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版本号：N510683202600002820260409002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绵竹市“十五五”城市更新规划</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N5106832026000028</w:t>
      </w:r>
    </w:p>
    <w:p>
      <w:pPr>
        <w:pStyle w:val="null3"/>
        <w:jc w:val="center"/>
        <w:outlineLvl w:val="2"/>
      </w:pPr>
      <w:r>
        <w:rPr>
          <w:rFonts w:ascii="仿宋_GB2312" w:hAnsi="仿宋_GB2312" w:cs="仿宋_GB2312" w:eastAsia="仿宋_GB2312"/>
          <w:sz w:val="28"/>
          <w:b/>
        </w:rPr>
        <w:t>绵竹市住房和城乡建设局</w:t>
      </w:r>
    </w:p>
    <w:p>
      <w:pPr>
        <w:pStyle w:val="null3"/>
        <w:jc w:val="center"/>
        <w:outlineLvl w:val="2"/>
      </w:pPr>
      <w:r>
        <w:rPr>
          <w:rFonts w:ascii="仿宋_GB2312" w:hAnsi="仿宋_GB2312" w:cs="仿宋_GB2312" w:eastAsia="仿宋_GB2312"/>
          <w:sz w:val="28"/>
          <w:b/>
        </w:rPr>
        <w:t>四川五邑招标代理有限公司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四川五邑招标代理有限公司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绵竹市住房和城乡建设局</w:t>
      </w:r>
      <w:r>
        <w:rPr>
          <w:rFonts w:ascii="仿宋_GB2312" w:hAnsi="仿宋_GB2312" w:cs="仿宋_GB2312" w:eastAsia="仿宋_GB2312"/>
        </w:rPr>
        <w:t xml:space="preserve"> 委托，拟对 </w:t>
      </w:r>
      <w:r>
        <w:rPr>
          <w:rFonts w:ascii="仿宋_GB2312" w:hAnsi="仿宋_GB2312" w:cs="仿宋_GB2312" w:eastAsia="仿宋_GB2312"/>
        </w:rPr>
        <w:t>绵竹市“十五五”城市更新规划</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N5106832026000028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绵竹市“十五五”城市更新规划</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本规划以绵竹市建成区范围为总体研究范围，共计18.02平方公里，重点聚焦城镇开发边界范围内的低效存量建设空间。规划范围包括紫岩街道、剑南街道、孝德镇3个街道（乡镇）和涉及的24个社区。</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1、具有行政主管部门颁发的有效期内的城乡规划编制乙级及以上资质（描述：供应商需在项目电子化交易系统中按要求上传有效期内的城乡规划编制乙级及以上资质证明文件）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绵竹市住房和城乡建设局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绵竹市紫岩街道通汇路78号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0838-6903417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四川五邑招标代理有限公司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四川省成都市高新区梓州大道4111号领馆国际城写字楼（希尔顿惠庭）5楼502号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028-87481677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代理服务费收费标准：按照《四川省财政厅关于印发&lt;四川省政府采购营商环境指标提升专项行动工作方案&gt;的通知》（川财采〔2020〕74号），代理服务费按照定额7500元收取。 收款单位：四川五邑招标代理有限公司； 开 户 行：招商银行股份有限公司成都双楠支行； 银行账号：1289 1045 2210 901。</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绵竹市住房和城乡建设局</w:t>
      </w:r>
      <w:r>
        <w:rPr>
          <w:rFonts w:ascii="仿宋_GB2312" w:hAnsi="仿宋_GB2312" w:cs="仿宋_GB2312" w:eastAsia="仿宋_GB2312"/>
        </w:rPr>
        <w:t xml:space="preserve"> 和 </w:t>
      </w:r>
      <w:r>
        <w:rPr>
          <w:rFonts w:ascii="仿宋_GB2312" w:hAnsi="仿宋_GB2312" w:cs="仿宋_GB2312" w:eastAsia="仿宋_GB2312"/>
        </w:rPr>
        <w:t>四川五邑招标代理有限公司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绵竹市住房和城乡建设局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四川五邑招标代理有限公司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在成交供应商提交最终成果并申请进行履约验收后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号）及政府采购相关法律法规的要求进行验收。存在国家强制规定或行业标准的遵照相关规定执行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号）及政府采购相关法律法规的要求进行验收。存在国家强制规定或行业标准的遵照相关规定执行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号）及政府采购相关法律法规的要求进行验收。存在国家强制规定或行业标准的遵照相关规定执行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绵竹市住房和城乡建设局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四川五邑招标代理有限公司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四川五邑招标代理有限公司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联系人：魏先生</w:t>
      </w:r>
    </w:p>
    <w:p>
      <w:pPr>
        <w:pStyle w:val="null3"/>
        <w:jc w:val="left"/>
      </w:pPr>
      <w:r>
        <w:rPr>
          <w:rFonts w:ascii="仿宋_GB2312" w:hAnsi="仿宋_GB2312" w:cs="仿宋_GB2312" w:eastAsia="仿宋_GB2312"/>
        </w:rPr>
        <w:t>联系电话：028-87481677</w:t>
      </w:r>
    </w:p>
    <w:p>
      <w:pPr>
        <w:pStyle w:val="null3"/>
        <w:jc w:val="left"/>
      </w:pPr>
      <w:r>
        <w:rPr>
          <w:rFonts w:ascii="仿宋_GB2312" w:hAnsi="仿宋_GB2312" w:cs="仿宋_GB2312" w:eastAsia="仿宋_GB2312"/>
        </w:rPr>
        <w:t>地址：四川省成都市高新区梓州大道4111号领馆国际城写字楼（希尔顿惠庭）5楼502室</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联系电话：0838-6903417</w:t>
      </w:r>
    </w:p>
    <w:p>
      <w:pPr>
        <w:pStyle w:val="null3"/>
        <w:jc w:val="left"/>
      </w:pPr>
      <w:r>
        <w:rPr>
          <w:rFonts w:ascii="仿宋_GB2312" w:hAnsi="仿宋_GB2312" w:cs="仿宋_GB2312" w:eastAsia="仿宋_GB2312"/>
        </w:rPr>
        <w:t>地址：四川省绵竹市紫岩街道通汇路78号</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C13010000 区域规划和设计服务</w:t>
            </w:r>
          </w:p>
        </w:tc>
        <w:tc>
          <w:tcPr>
            <w:tcW w:type="dxa" w:w="821"/>
          </w:tcPr>
          <w:p>
            <w:pPr>
              <w:pStyle w:val="null3"/>
              <w:jc w:val="left"/>
            </w:pPr>
            <w:r>
              <w:rPr>
                <w:rFonts w:ascii="仿宋_GB2312" w:hAnsi="仿宋_GB2312" w:cs="仿宋_GB2312" w:eastAsia="仿宋_GB2312"/>
              </w:rPr>
              <w:t>绵竹市“十五五”城市更新规划</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绵竹市“十五五”城市更新规划</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标的名称：绵竹市“十五五”城市更新规划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jc w:val="left"/>
            </w:pPr>
            <w:r>
              <w:rPr>
                <w:rFonts w:ascii="仿宋_GB2312" w:hAnsi="仿宋_GB2312" w:cs="仿宋_GB2312" w:eastAsia="仿宋_GB2312"/>
                <w:sz w:val="24"/>
              </w:rPr>
              <w:t>本规划以绵竹市建成区范围为总体研究范围，共计18.02平方公里，重点聚焦城镇开发边界范围内的低效存量建设空间。规划范围包括紫岩街道、剑南街道、孝德镇3个街道（乡镇）和涉及的24个社区。</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rPr>
              <w:t>围绕“十五五”期间绵竹市城市更新发展开展研究，基于科学的数据分析和实地调研，提出“十五五”期间城市更新发展的目标、路径和举措，编制具备科学性、系统性、前瞻性、创新性和可操作性的“十五五”规划，形成规划文本、规划图表及支撑材料。具体编制内容以《城市更新规划编制导则》为遵循，应包含针对绵竹城市更新重点任务的更新体检评估、规划目标、重点任务、城市设计、片区指引、项目库、保障措施等方面。</w:t>
            </w:r>
          </w:p>
          <w:p>
            <w:pPr>
              <w:pStyle w:val="null3"/>
              <w:jc w:val="left"/>
            </w:pPr>
            <w:r>
              <w:rPr>
                <w:rFonts w:ascii="仿宋_GB2312" w:hAnsi="仿宋_GB2312" w:cs="仿宋_GB2312" w:eastAsia="仿宋_GB2312"/>
                <w:sz w:val="24"/>
              </w:rPr>
              <w:t>编制具备科学性、系统性、前瞻性、创新性和可操作性的城市更新规划，具体内容包括：</w:t>
            </w:r>
            <w:r>
              <w:br/>
            </w:r>
            <w:r>
              <w:rPr>
                <w:rFonts w:ascii="仿宋_GB2312" w:hAnsi="仿宋_GB2312" w:cs="仿宋_GB2312" w:eastAsia="仿宋_GB2312"/>
                <w:sz w:val="24"/>
              </w:rPr>
              <w:t xml:space="preserve"> 1.背景政策梳理：系统性梳理国家战略背景、德阳市更新政策、绵竹市城市空间布局等重大战略部署，并与德阳市国土空间总体规划、德阳市城市更新规划、绵竹市国民经济和社会发展规划等衔接，明确发展机遇和工作方向。</w:t>
            </w:r>
            <w:r>
              <w:br/>
            </w:r>
            <w:r>
              <w:rPr>
                <w:rFonts w:ascii="仿宋_GB2312" w:hAnsi="仿宋_GB2312" w:cs="仿宋_GB2312" w:eastAsia="仿宋_GB2312"/>
                <w:sz w:val="24"/>
              </w:rPr>
              <w:t xml:space="preserve"> 2.城市更新存量资源梳理及重点更新任务体检评估：通过数据分析、现场调研等多种方式，摸清城市更新存量底数，结合绵竹市城市体检结果针对绵竹更新的特色开展城市更新体检评估，深入剖析绵竹市城市更新的优势与存在的关键问题。</w:t>
            </w:r>
            <w:r>
              <w:br/>
            </w:r>
            <w:r>
              <w:rPr>
                <w:rFonts w:ascii="仿宋_GB2312" w:hAnsi="仿宋_GB2312" w:cs="仿宋_GB2312" w:eastAsia="仿宋_GB2312"/>
                <w:sz w:val="24"/>
              </w:rPr>
              <w:t xml:space="preserve"> 3.规划目标制定：结合规划要求、现状难点，衔接城市中长期发展需求，确定城市更新五年期的总体目标和年度工作目标。</w:t>
            </w:r>
            <w:r>
              <w:br/>
            </w:r>
            <w:r>
              <w:rPr>
                <w:rFonts w:ascii="仿宋_GB2312" w:hAnsi="仿宋_GB2312" w:cs="仿宋_GB2312" w:eastAsia="仿宋_GB2312"/>
                <w:sz w:val="24"/>
              </w:rPr>
              <w:t xml:space="preserve"> 4.更新任务分析：结合中央和省市城市更新行动部署，确定既有建筑改造利用、城镇老旧小区整治改造、完整社区建设、老旧街区老旧厂区城中村等更新改造、城市功能完善、城市基础设施建设改造、城市生态系统修复、城市历史文化保护传承等任务和要求。重点结合绵竹市城市更新工作实际，围绕低效用地再开发和存量空间再利用2大方面重点工作任务进行详细研究。</w:t>
            </w:r>
            <w:r>
              <w:br/>
            </w:r>
            <w:r>
              <w:rPr>
                <w:rFonts w:ascii="仿宋_GB2312" w:hAnsi="仿宋_GB2312" w:cs="仿宋_GB2312" w:eastAsia="仿宋_GB2312"/>
                <w:sz w:val="24"/>
              </w:rPr>
              <w:t xml:space="preserve"> 5.城市设计研究：围绕绵竹市城市空间布局，提出绵竹市城市空间形态优化思路。</w:t>
            </w:r>
            <w:r>
              <w:br/>
            </w:r>
            <w:r>
              <w:rPr>
                <w:rFonts w:ascii="仿宋_GB2312" w:hAnsi="仿宋_GB2312" w:cs="仿宋_GB2312" w:eastAsia="仿宋_GB2312"/>
                <w:sz w:val="24"/>
              </w:rPr>
              <w:t xml:space="preserve"> 6.片区指引研究：对功能区进行分析，研究重点片区，提出片区指引。</w:t>
            </w:r>
            <w:r>
              <w:br/>
            </w:r>
            <w:r>
              <w:rPr>
                <w:rFonts w:ascii="仿宋_GB2312" w:hAnsi="仿宋_GB2312" w:cs="仿宋_GB2312" w:eastAsia="仿宋_GB2312"/>
                <w:sz w:val="24"/>
              </w:rPr>
              <w:t xml:space="preserve"> 7.项目库整理：结合工作任务和片区更新指引，建立城市更新项目库。</w:t>
            </w:r>
            <w:r>
              <w:br/>
            </w:r>
            <w:r>
              <w:rPr>
                <w:rFonts w:ascii="仿宋_GB2312" w:hAnsi="仿宋_GB2312" w:cs="仿宋_GB2312" w:eastAsia="仿宋_GB2312"/>
                <w:sz w:val="24"/>
              </w:rPr>
              <w:t xml:space="preserve"> 8.保障措施梳理：强化政策支持，围绕推动城市更新工作发展，提出土地、财政等配套支持政策建议。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jc w:val="left"/>
            </w:pPr>
            <w:r>
              <w:rPr>
                <w:rFonts w:ascii="仿宋_GB2312" w:hAnsi="仿宋_GB2312" w:cs="仿宋_GB2312" w:eastAsia="仿宋_GB2312"/>
                <w:sz w:val="24"/>
              </w:rPr>
              <w:t>1.提供满足采购人要求的规划成果，包括但不限于城市更新存量资源梳理及绵竹更新重点任务体检评估、规划目标、重点任务、重点片区、项目实施计划等内容，形成规划文本、规划图表、PPT及支撑材料等。</w:t>
            </w:r>
            <w:r>
              <w:br/>
            </w:r>
            <w:r>
              <w:rPr>
                <w:rFonts w:ascii="仿宋_GB2312" w:hAnsi="仿宋_GB2312" w:cs="仿宋_GB2312" w:eastAsia="仿宋_GB2312"/>
                <w:sz w:val="24"/>
              </w:rPr>
              <w:t xml:space="preserve"> 2.成交供应商须在服务期限内按照采购人要求提交给采购人满足评审需要、规划报批需要、工作需要的各阶段规划成果的纸质文件和电子文件。最终提交成果包含纸质文件（软装成册）4套，电子文件（PPT）1套。</w:t>
            </w:r>
            <w:r>
              <w:br/>
            </w:r>
            <w:r>
              <w:rPr>
                <w:rFonts w:ascii="仿宋_GB2312" w:hAnsi="仿宋_GB2312" w:cs="仿宋_GB2312" w:eastAsia="仿宋_GB2312"/>
                <w:sz w:val="24"/>
              </w:rPr>
              <w:t xml:space="preserve"> 3.供应商应保证本项目所提供的所有服务、成果不涉及侵犯任何第三方的专利权、商标权、著作权或其他合法权益。采购人在结清所有委托设计服务费用后对成果享有著作权、版权和所有权，供应商对设计完成的成果仅享有署名权。</w:t>
            </w:r>
            <w:r>
              <w:br/>
            </w:r>
            <w:r>
              <w:rPr>
                <w:rFonts w:ascii="仿宋_GB2312" w:hAnsi="仿宋_GB2312" w:cs="仿宋_GB2312" w:eastAsia="仿宋_GB2312"/>
                <w:sz w:val="24"/>
              </w:rPr>
              <w:t xml:space="preserve"> 4.成交供应商须提供保密承诺书，承诺对项目实施过程中的数据等信息保密，且制定针对本项目的保密制度。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1、供应商应针对本项目进行规划背景分析，内容包括： 本项目规划背景认识； 规划重点； 上位规划解读。 供应商应针对本项目制定规划目标 ，内容包括： 更新目标； 规划指标；更新策略。 供应商应针对本项目进行城市体检成果分析，内容包括：城市体检成果总体分析；城区维度潜力更新分析；街区维度潜力更新分析； 社区维度潜力更新分析； 住房维度潜力更新分析。 供应商应分析本项目的重点任务，内容包括： 既有建筑改造利用； 城镇老旧小区整治改造； 完整社区建设；老旧街区及城中村更新改造；城市功能完善；城市基础设施建设改造。</w:t>
            </w:r>
          </w:p>
          <w:p>
            <w:pPr>
              <w:pStyle w:val="null3"/>
              <w:jc w:val="left"/>
            </w:pPr>
            <w:r>
              <w:rPr>
                <w:rFonts w:ascii="仿宋_GB2312" w:hAnsi="仿宋_GB2312" w:cs="仿宋_GB2312" w:eastAsia="仿宋_GB2312"/>
              </w:rPr>
              <w:t>2、供应商应针对本项目提供详细的编制管理方案，内容包括： 项目管理机构图、工作职能组织运行图、内部管理的职责分工、日常管理制度和考核办法。</w:t>
            </w:r>
          </w:p>
          <w:p>
            <w:pPr>
              <w:pStyle w:val="null3"/>
              <w:jc w:val="left"/>
            </w:pPr>
            <w:r>
              <w:rPr>
                <w:rFonts w:ascii="仿宋_GB2312" w:hAnsi="仿宋_GB2312" w:cs="仿宋_GB2312" w:eastAsia="仿宋_GB2312"/>
              </w:rPr>
              <w:t>3、供应商应为本项目提供专业的服务人员，包含：项目负责人、技术负责人、规划专业负责人、市政专业负责人、建筑专业负责人、给排水专业负责人、电气专业负责人。</w:t>
            </w:r>
          </w:p>
          <w:p>
            <w:pPr>
              <w:pStyle w:val="null3"/>
              <w:jc w:val="left"/>
            </w:pPr>
            <w:r>
              <w:rPr>
                <w:rFonts w:ascii="仿宋_GB2312" w:hAnsi="仿宋_GB2312" w:cs="仿宋_GB2312" w:eastAsia="仿宋_GB2312"/>
              </w:rPr>
              <w:t>4、供应商应有2023年1月1日至响应文件截止之日止，正在编制或已完成的规划类业绩。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合同签订后60工作日提交成果稿</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绵竹市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号）及政府采购相关法律法规的要求进行验收。存在国家强制规定或行业标准的遵照相关规定执行。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1、预付款，签订合同后，成交供应商向采购人出具合法有效完整的发票，达到付款条件起10日内，支付合同总金额的40.00%</w:t>
            </w:r>
          </w:p>
          <w:p>
            <w:pPr>
              <w:pStyle w:val="null3"/>
              <w:jc w:val="left"/>
            </w:pPr>
            <w:r>
              <w:rPr>
                <w:rFonts w:ascii="仿宋_GB2312" w:hAnsi="仿宋_GB2312" w:cs="仿宋_GB2312" w:eastAsia="仿宋_GB2312"/>
              </w:rPr>
              <w:t>2、进度款，编制初步成果经专委会和规委会审核通过，成交供应商向采购人出具合法有效完整的发票及凭证资料后，达到付款条件起10日内，支付合同总金额的40.00%</w:t>
            </w:r>
          </w:p>
          <w:p>
            <w:pPr>
              <w:pStyle w:val="null3"/>
              <w:jc w:val="left"/>
            </w:pPr>
            <w:r>
              <w:rPr>
                <w:rFonts w:ascii="仿宋_GB2312" w:hAnsi="仿宋_GB2312" w:cs="仿宋_GB2312" w:eastAsia="仿宋_GB2312"/>
              </w:rPr>
              <w:t>3、尾款，编制成果经采购人验收合格并报经市政府批复后，成交供应商向采购人出具合法有效完整的发票及凭证资料后，达到付款条件起10日内，支付合同总金额的20.00%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1、采购人与成交供应商双方必须遵守本合同并执行合同中的各项规定，保证本合同的正常履行。 2、成交供应商提交的成果经审核或验收不合格的，应在采购人要求时间内予以整改；成交供应商拒绝整改或限期内未完成整改的，采购人有权解除本合同并不予支付任何费用（已支付的成交供应商应全额退还），同时要求成交供应商赔偿采购人的实际损失，赔偿金额不超过当期已支付的服务费总额。 3、成交供应商对从采购人处获取的一切未经公开的资料负有永久性保密义务，若有因成交供应商泄露相关资料并造成采购人损失，成交供应商赔偿采购人的实际损失，并承担其他法律责任。 4、成交供应商承诺成交供应商及成交供应商人员具备履行本合同项下权利义务的相应资质，否则采购人有权解除本合同并不予支付任何费用（已支付的成交供应商应全额退还），同时要求成交供应商赔偿采购人的实际损失，赔偿金额不超过当期已支付的服务费总额。</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具有行政主管部门颁发的有效期内的城乡规划编制乙级及以上资质</w:t>
            </w:r>
          </w:p>
        </w:tc>
        <w:tc>
          <w:tcPr>
            <w:tcW w:type="dxa" w:w="3322"/>
          </w:tcPr>
          <w:p>
            <w:pPr>
              <w:pStyle w:val="null3"/>
              <w:jc w:val="left"/>
            </w:pPr>
            <w:r>
              <w:rPr>
                <w:rFonts w:ascii="仿宋_GB2312" w:hAnsi="仿宋_GB2312" w:cs="仿宋_GB2312" w:eastAsia="仿宋_GB2312"/>
              </w:rPr>
              <w:t>供应商需在项目电子化交易系统中按要求上传有效期内的城乡规划编制乙级及以上资质证明文件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符合采购文件第三章的实质性要求</w:t>
            </w:r>
          </w:p>
        </w:tc>
        <w:tc>
          <w:tcPr>
            <w:tcW w:type="dxa" w:w="3322"/>
          </w:tcPr>
          <w:p>
            <w:pPr>
              <w:pStyle w:val="null3"/>
              <w:jc w:val="left"/>
            </w:pPr>
            <w:r>
              <w:rPr>
                <w:rFonts w:ascii="仿宋_GB2312" w:hAnsi="仿宋_GB2312" w:cs="仿宋_GB2312" w:eastAsia="仿宋_GB2312"/>
              </w:rPr>
              <w:t>针对本项目第三章实质性要求，供应商按照采购文件要求上传相应证明材料。第三章要求单独提供承诺的提供对应承诺函。</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不属于采购文件规定的无效情形 供应商的响应文件中不存在采购文件规定的无效情形。</w:t>
            </w:r>
          </w:p>
        </w:tc>
        <w:tc>
          <w:tcPr>
            <w:tcW w:type="dxa" w:w="1661"/>
          </w:tcPr>
          <w:p>
            <w:pPr>
              <w:pStyle w:val="null3"/>
              <w:jc w:val="left"/>
            </w:pPr>
            <w:r>
              <w:rPr>
                <w:rFonts w:ascii="仿宋_GB2312" w:hAnsi="仿宋_GB2312" w:cs="仿宋_GB2312" w:eastAsia="仿宋_GB2312"/>
              </w:rPr>
              <w:t>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服务方案、编制管理方案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（1）规划背景分析（6 分）： 根据供应商提供的项目背景进行评审，内容包括： ①本项目规划背景认识； ②规划重点； ③上位规划解读，以上内容完整且无缺陷的情形得 6 分，每缺少一项内容扣 2 分，每有一处内容有缺陷的扣 1分，扣完为止。 （2）规划目标 （6 分）： 根据供应商提供的项目规划目标进行评审，内容包括： ①更新目标； ②规划指标； ③更新策略，以上内容完整且无缺陷的情形得 6 分，每缺少一项内容扣 2 分，每有一处内容有缺陷的扣 1分，扣完为止。 （3）城市体检成果分析（ 15 分）： 根据供应商提供的项目城市体检成果分析进行评审，内容包括： ①城市体检成果总体分析； ②城区维度潜力更新分析； ③街区维度潜力更新分析； ④社区维度潜力更新分析； ⑤住房维度潜力更新分析，以上内容完整且无缺陷的情形得 15分，每缺少一项内容扣 3分，每有一处内容有缺陷的扣 1.5分，扣完为止。 （4）重点任务（24 分）： 根据供应商提供的项目重点任务进行评审，内容包括： ①既有建筑改造利用； ②城镇老旧小区整治改造； ③完整社区建设；④老旧街区及城中村更新改造；⑤城市功能完善；⑥城市基础设施建设改造，以上内容完整且无缺陷的情形得24分，每缺少一项内容扣4分，每有一处内容有缺陷的扣2，扣完为止。 注：缺陷是指①本项目提供的方案中引用法律或规范或标准存在失效或错误；②内容与本项目需求不符或无关或未体现采购需求；③复制或套用其他项目内容；④项目名称或项目编号或采购人或服务地点错误；⑤方案仅有框架或标题或照搬采购文件且未作出进一步细化，以上任意一种情形。</w:t>
            </w:r>
          </w:p>
        </w:tc>
        <w:tc>
          <w:tcPr>
            <w:tcW w:type="dxa" w:w="831"/>
          </w:tcPr>
          <w:p>
            <w:pPr>
              <w:pStyle w:val="null3"/>
              <w:jc w:val="center"/>
            </w:pPr>
            <w:r>
              <w:rPr>
                <w:rFonts w:ascii="仿宋_GB2312" w:hAnsi="仿宋_GB2312" w:cs="仿宋_GB2312" w:eastAsia="仿宋_GB2312"/>
              </w:rPr>
              <w:t>51.0000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编制管理方案</w:t>
            </w:r>
          </w:p>
        </w:tc>
        <w:tc>
          <w:tcPr>
            <w:tcW w:type="dxa" w:w="2575"/>
          </w:tcPr>
          <w:p>
            <w:pPr>
              <w:pStyle w:val="null3"/>
              <w:jc w:val="left"/>
            </w:pPr>
            <w:r>
              <w:rPr>
                <w:rFonts w:ascii="仿宋_GB2312" w:hAnsi="仿宋_GB2312" w:cs="仿宋_GB2312" w:eastAsia="仿宋_GB2312"/>
              </w:rPr>
              <w:t>根据供应商提供的项目编制管理方案进行评审，内容包括：①项目管理机构图、②工作职能组织运行图、③内部管理的职责分工、④日常管理制度和考核办法。以上内容完整且无缺陷的情形得8分，每缺少一项内容扣 2 分，每有一处内容有缺陷的扣 1分，扣完为止。 注：缺陷是指①本项目提供的方案中引用法律或规范或标准存在失效或错误；②内容与本项目需求不符或无关或未体现采购需求；③复制或套用其他项目内容；④项目名称或项目编号或采购人或服务地点错误；⑤方案仅有框架或标题或照搬采购文件且未作出进一步细化，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项目人员配置</w:t>
            </w:r>
          </w:p>
        </w:tc>
        <w:tc>
          <w:tcPr>
            <w:tcW w:type="dxa" w:w="2575"/>
          </w:tcPr>
          <w:p>
            <w:pPr>
              <w:pStyle w:val="null3"/>
              <w:jc w:val="left"/>
            </w:pPr>
            <w:r>
              <w:rPr>
                <w:rFonts w:ascii="仿宋_GB2312" w:hAnsi="仿宋_GB2312" w:cs="仿宋_GB2312" w:eastAsia="仿宋_GB2312"/>
              </w:rPr>
              <w:t>（1）项目负责人：拟任项目负责人具有国家注册城市（乡）规划师注册证书得 3 分；同时具有规划类专业副高级或副高级以上职称加 1 分；本项最高得 4分。 （2）技术负责人（不含项目负责人）：拟任技术负责人具有国家注册城市（乡）规划师注册证书得 3 分；同时具有规划类专业副高级或副高级以上职称加 1分；本项最高得 4分。 （3）项目组成员配置（项目负责人、技术负责人除外）： ①规划专业负责人：项目配备的规划专业负责人，具有国家注册城市（乡）规划师注册证书得2 分，同时具有规划类专业中级或中级以上职称加 1 分；本项目最高得3 分。 ②市政专业负责人：项目配备的市政专业负责人，具有国家注册土木工程师（道路工程）证书得2分；具有市政工程类专业中级或中级以上职称加 1 分；本项最高得3分。 ③建筑专业负责人：项目配备的建筑专业负责人，具有国家一级注册建筑师注册证书得2 分；同时具有建筑类专业中级或中级以上职称的加 1 分；本项目最高得 3分。 ④给排水专业负责人：项目配备的给排水专业负责人，具有注册公用设备工程师（给水排水）注册证书得2分；同时具有工程类中级或中级以上职称加 1 分；本项最高得3分。 ⑤电气专业负责人：项目配备的电气专业负责人，具有国家注册电气工程师证书得2分；同时具有工程类中级或中级以上职称加 1 分；本项最高得 3 分。 注： 以上人员之间不得兼任且同一成员不重复计分，应提供相关证书复印件和在职证明加盖供应商电子章，否则不予计分。</w:t>
            </w:r>
          </w:p>
        </w:tc>
        <w:tc>
          <w:tcPr>
            <w:tcW w:type="dxa" w:w="831"/>
          </w:tcPr>
          <w:p>
            <w:pPr>
              <w:pStyle w:val="null3"/>
              <w:jc w:val="center"/>
            </w:pPr>
            <w:r>
              <w:rPr>
                <w:rFonts w:ascii="仿宋_GB2312" w:hAnsi="仿宋_GB2312" w:cs="仿宋_GB2312" w:eastAsia="仿宋_GB2312"/>
              </w:rPr>
              <w:t>23.0000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供应商2023年1月1日至响应文件截止之日止每提供一个正在编制或已完成的与本项目类似业绩的得4分，本项最多得8分。 注：类似业绩指规划类业绩。证明材料提供合同复印件（时间以合同签订时间为准）或中标（成交）通知书（时间以通知书落款时间为准），并加盖供应商公章，未提供不得分。若同时提供合同复印件和中标（成交）通知书的，时间以合同签订时间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