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版本号：N511922202600001820260317001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2026-2027年度县城路灯及光亮设施维修维护购买服务采购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N5119222026000018</w:t>
      </w:r>
    </w:p>
    <w:p>
      <w:pPr>
        <w:pStyle w:val="null3"/>
        <w:jc w:val="left"/>
        <w:outlineLvl w:val="2"/>
      </w:pPr>
      <w:r>
        <w:rPr>
          <w:rFonts w:ascii="仿宋_GB2312" w:hAnsi="仿宋_GB2312" w:cs="仿宋_GB2312" w:eastAsia="仿宋_GB2312"/>
          <w:sz w:val="28"/>
          <w:b/>
        </w:rPr>
        <w:t>南江县住房和城乡建设局</w:t>
      </w:r>
    </w:p>
    <w:p>
      <w:pPr>
        <w:pStyle w:val="null3"/>
        <w:jc w:val="center"/>
        <w:outlineLvl w:val="2"/>
      </w:pPr>
      <w:r>
        <w:rPr>
          <w:rFonts w:ascii="仿宋_GB2312" w:hAnsi="仿宋_GB2312" w:cs="仿宋_GB2312" w:eastAsia="仿宋_GB2312"/>
          <w:sz w:val="28"/>
          <w:b/>
        </w:rPr>
        <w:t>四川省宇创工程项目管理咨询有限公司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四川省宇创工程项目管理咨询有限公司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南江县住房和城乡建设局</w:t>
      </w:r>
      <w:r>
        <w:rPr>
          <w:rFonts w:ascii="仿宋_GB2312" w:hAnsi="仿宋_GB2312" w:cs="仿宋_GB2312" w:eastAsia="仿宋_GB2312"/>
        </w:rPr>
        <w:t xml:space="preserve"> 委托，拟对 </w:t>
      </w:r>
      <w:r>
        <w:rPr>
          <w:rFonts w:ascii="仿宋_GB2312" w:hAnsi="仿宋_GB2312" w:cs="仿宋_GB2312" w:eastAsia="仿宋_GB2312"/>
        </w:rPr>
        <w:t>2026-2027年度县城路灯及光亮设施维修维护购买服务采购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巴中市南江县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N5119222026000018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2026-2027年度县城路灯及光亮设施维修维护购买服务采购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2026-2027年度县城路灯及光亮设施维修维护购买服务采购主要目的是保障城市市政公共基础设施的完好运行，为夜间行驶的车辆和行人提供充足光照，提高夜间交通安全性，降低交通事故发生率，以及打造山水南江靓丽夜间光亮效果，属于公益性项目，项目效益主要体现为社会效益。通过实施本项目，确保了县城市政公共基础设施完好运行，达到了便民利民的目的，得到市民充分肯定。</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1、其他资格要求（描述：1.参加本项目政府采购活动的投标人、法定代表人（主要负责人）在参加本项目前三年内不具有行贿犯罪记录。（在响应文件中提供承诺函，格式自拟）。 2.提供法定代表人/负责人有效的身份证扫描件。 3.参加本项目的授权代表不是法定代表人（主要负责人）的，应提供授权委托书及其有效的身份证扫描件。 4.具有法律、行政法规规定的其他条件。（提供承诺函） 注：以上资料须进行电子签章）</w:t>
      </w:r>
    </w:p>
    <w:p>
      <w:pPr>
        <w:pStyle w:val="null3"/>
        <w:jc w:val="left"/>
      </w:pPr>
      <w:r>
        <w:rPr>
          <w:rFonts w:ascii="仿宋_GB2312" w:hAnsi="仿宋_GB2312" w:cs="仿宋_GB2312" w:eastAsia="仿宋_GB2312"/>
        </w:rPr>
        <w:t>2、特殊资格要求（描述：1.提供建设行政主管部门核发的市政公用工程施工总承包三级及以上资质证书扫描件； 2.提供有效期内的《安全生产许可证》扫描件 ； 3.四川省省外企业报名应具备《四川省省外建筑企业入川承揽业务验证登记证》或带二维码的《四川省省外施工、监理入川承揽业务信息录入证》或具有的入川登记备案的相关证明材料。若在投标截止时间前未办理入川备案证明的，应在签订合同时一并提供。 注：以上资料须进行电子签章）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南江县住房和城乡建设局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四川省巴中市南江县朝阳大段住建大楼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刘彦君</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13408278174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四川省宇创工程项目管理咨询有限公司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巴中市南江县宏帆广场2号楼6楼29号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0827-8882166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采购包1：1,082,300.00元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采购合同总金额（扣除暂定部分）的 /  %。采用支票、汇票、本票或者金融机构出具的保函等非现金形式交纳。</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 按照《四川省政府采购营商环境指标提升专项行动工作方案》中“成本支出+合理利润”原则及国家计委计价格[2002]1980号及发改办价格[2003]857号通知规定计取，下浮20%。</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南江县住房和城乡建设局</w:t>
      </w:r>
      <w:r>
        <w:rPr>
          <w:rFonts w:ascii="仿宋_GB2312" w:hAnsi="仿宋_GB2312" w:cs="仿宋_GB2312" w:eastAsia="仿宋_GB2312"/>
        </w:rPr>
        <w:t xml:space="preserve"> 和 </w:t>
      </w:r>
      <w:r>
        <w:rPr>
          <w:rFonts w:ascii="仿宋_GB2312" w:hAnsi="仿宋_GB2312" w:cs="仿宋_GB2312" w:eastAsia="仿宋_GB2312"/>
        </w:rPr>
        <w:t>四川省宇创工程项目管理咨询有限公司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南江县住房和城乡建设局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四川省宇创工程项目管理咨询有限公司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每一项技术要求的履约情况。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每一项商务要求的履约情况。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验收标准要包括所有客观、量化指标。不能明确客观标准、涉及主观判断的，可以通过在采购人、使用人中开展问卷调查等方式，转化为客观、量化的验收标准。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南江县住房和城乡建设局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四川省宇创工程项目管理咨询有限公司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四川省宇创工程项目管理咨询有限公司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联系人：胡女士</w:t>
      </w:r>
    </w:p>
    <w:p>
      <w:pPr>
        <w:pStyle w:val="null3"/>
        <w:jc w:val="left"/>
      </w:pPr>
      <w:r>
        <w:rPr>
          <w:rFonts w:ascii="仿宋_GB2312" w:hAnsi="仿宋_GB2312" w:cs="仿宋_GB2312" w:eastAsia="仿宋_GB2312"/>
        </w:rPr>
        <w:t>联系电话：0827-8882166</w:t>
      </w:r>
    </w:p>
    <w:p>
      <w:pPr>
        <w:pStyle w:val="null3"/>
        <w:jc w:val="left"/>
      </w:pPr>
      <w:r>
        <w:rPr>
          <w:rFonts w:ascii="仿宋_GB2312" w:hAnsi="仿宋_GB2312" w:cs="仿宋_GB2312" w:eastAsia="仿宋_GB2312"/>
        </w:rPr>
        <w:t>地址：巴中市南江县宏帆广场2号楼6楼29号</w:t>
      </w:r>
    </w:p>
    <w:p>
      <w:pPr>
        <w:pStyle w:val="null3"/>
        <w:jc w:val="left"/>
      </w:pPr>
      <w:r>
        <w:rPr>
          <w:rFonts w:ascii="仿宋_GB2312" w:hAnsi="仿宋_GB2312" w:cs="仿宋_GB2312" w:eastAsia="仿宋_GB2312"/>
        </w:rPr>
        <w:t>邮编：635600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1,082,300.00</w:t>
      </w:r>
    </w:p>
    <w:p>
      <w:pPr>
        <w:pStyle w:val="null3"/>
        <w:jc w:val="left"/>
      </w:pPr>
      <w:r>
        <w:rPr>
          <w:rFonts w:ascii="仿宋_GB2312" w:hAnsi="仿宋_GB2312" w:cs="仿宋_GB2312" w:eastAsia="仿宋_GB2312"/>
        </w:rPr>
        <w:t>采购包最高限价（元）: 1,082,299.91</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C13020000 市政公用设施管理服务</w:t>
            </w:r>
          </w:p>
        </w:tc>
        <w:tc>
          <w:tcPr>
            <w:tcW w:type="dxa" w:w="821"/>
          </w:tcPr>
          <w:p>
            <w:pPr>
              <w:pStyle w:val="null3"/>
              <w:jc w:val="left"/>
            </w:pPr>
            <w:r>
              <w:rPr>
                <w:rFonts w:ascii="仿宋_GB2312" w:hAnsi="仿宋_GB2312" w:cs="仿宋_GB2312" w:eastAsia="仿宋_GB2312"/>
              </w:rPr>
              <w:t>2026-2027年度县城路灯及光亮设施维修维护购买服务采购</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1,082,299.91</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2026-2027年度县城路灯及光亮设施维修维护购买服务采购</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1,082,299.91</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投标人按采购人提供的工程量清单自主报价，对工程量清单中载明的项目均应报价，报价应是完成本项目全部工作任务所有费用，具体内容详见招标工程量清单。</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C13020000 市政公用设施管理服务</w:t>
            </w:r>
          </w:p>
        </w:tc>
        <w:tc>
          <w:tcPr>
            <w:tcW w:type="dxa" w:w="2492"/>
          </w:tcPr>
          <w:p>
            <w:pPr>
              <w:pStyle w:val="null3"/>
              <w:jc w:val="left"/>
            </w:pPr>
            <w:r>
              <w:rPr>
                <w:rFonts w:ascii="仿宋_GB2312" w:hAnsi="仿宋_GB2312" w:cs="仿宋_GB2312" w:eastAsia="仿宋_GB2312"/>
              </w:rPr>
              <w:t>2026-2027年度县城路灯及光亮设施维修维护购买服务采购</w:t>
            </w:r>
          </w:p>
        </w:tc>
        <w:tc>
          <w:tcPr>
            <w:tcW w:type="dxa" w:w="2492"/>
          </w:tcPr>
          <w:p>
            <w:pPr>
              <w:pStyle w:val="null3"/>
              <w:jc w:val="left"/>
            </w:pPr>
            <w:r>
              <w:rPr>
                <w:rFonts w:ascii="仿宋_GB2312" w:hAnsi="仿宋_GB2312" w:cs="仿宋_GB2312" w:eastAsia="仿宋_GB2312"/>
              </w:rPr>
              <w:t>水泥、PE管及其配件、PVC管、商品混凝土</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标的名称：2026-2027年度县城路灯及光亮设施维修维护购买服务采购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服务范围</w:t>
            </w:r>
          </w:p>
        </w:tc>
        <w:tc>
          <w:tcPr>
            <w:tcW w:type="dxa" w:w="5814"/>
          </w:tcPr>
          <w:p>
            <w:pPr>
              <w:pStyle w:val="null3"/>
              <w:jc w:val="left"/>
            </w:pPr>
            <w:r>
              <w:rPr>
                <w:rFonts w:ascii="仿宋_GB2312" w:hAnsi="仿宋_GB2312" w:cs="仿宋_GB2312" w:eastAsia="仿宋_GB2312"/>
                <w:sz w:val="24"/>
              </w:rPr>
              <w:t>县城规划区内主干道、支干道、背街小巷等市政公共路灯以及县城节点景观亮化等属市政管理的市政光亮设施等。</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南江县城路灯及光亮设施年度维护</w:t>
            </w:r>
            <w:r>
              <w:rPr>
                <w:rFonts w:ascii="仿宋_GB2312" w:hAnsi="仿宋_GB2312" w:cs="仿宋_GB2312" w:eastAsia="仿宋_GB2312"/>
                <w:sz w:val="24"/>
              </w:rPr>
              <w:t>服务内容：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1）县城区范围内公共路灯、立面亮化</w:t>
            </w:r>
            <w:r>
              <w:rPr>
                <w:rFonts w:ascii="仿宋_GB2312" w:hAnsi="仿宋_GB2312" w:cs="仿宋_GB2312" w:eastAsia="仿宋_GB2312"/>
                <w:sz w:val="24"/>
              </w:rPr>
              <w:t>排危</w:t>
            </w:r>
            <w:r>
              <w:rPr>
                <w:rFonts w:ascii="仿宋_GB2312" w:hAnsi="仿宋_GB2312" w:cs="仿宋_GB2312" w:eastAsia="仿宋_GB2312"/>
                <w:sz w:val="24"/>
              </w:rPr>
              <w:t>、</w:t>
            </w:r>
            <w:r>
              <w:rPr>
                <w:rFonts w:ascii="仿宋_GB2312" w:hAnsi="仿宋_GB2312" w:cs="仿宋_GB2312" w:eastAsia="仿宋_GB2312"/>
                <w:sz w:val="24"/>
              </w:rPr>
              <w:t>景观亮化、</w:t>
            </w:r>
            <w:r>
              <w:rPr>
                <w:rFonts w:ascii="仿宋_GB2312" w:hAnsi="仿宋_GB2312" w:cs="仿宋_GB2312" w:eastAsia="仿宋_GB2312"/>
                <w:sz w:val="24"/>
              </w:rPr>
              <w:t>路灯杆、电缆以及控制柜等配套设施安全排查、隐患整改、维修维护，路灯清洁清洗，路灯亮灯率达到</w:t>
            </w:r>
            <w:r>
              <w:rPr>
                <w:rFonts w:ascii="仿宋_GB2312" w:hAnsi="仿宋_GB2312" w:cs="仿宋_GB2312" w:eastAsia="仿宋_GB2312"/>
                <w:sz w:val="24"/>
              </w:rPr>
              <w:t>98%；</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2）根据季节变化，负责路灯开启、关闭时间调整，在节假日期间负责县城景观灯的开启、关闭；</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3）建立市政日常应急抢险队伍并承担县城路灯及光亮设施防洪巡查、市政设施安全隐患排查等工作</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二、单项工程服务内容：（</w:t>
            </w:r>
            <w:r>
              <w:rPr>
                <w:rFonts w:ascii="仿宋_GB2312" w:hAnsi="仿宋_GB2312" w:cs="仿宋_GB2312" w:eastAsia="仿宋_GB2312"/>
                <w:sz w:val="24"/>
              </w:rPr>
              <w:t>1</w:t>
            </w:r>
            <w:r>
              <w:rPr>
                <w:rFonts w:ascii="仿宋_GB2312" w:hAnsi="仿宋_GB2312" w:cs="仿宋_GB2312" w:eastAsia="仿宋_GB2312"/>
                <w:sz w:val="24"/>
              </w:rPr>
              <w:t>）因工作需要零时安排的单项工程；（</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路灯及光亮设施维修过程中，涉及路面开槽、砼浇筑、路面恢复</w:t>
            </w:r>
            <w:r>
              <w:rPr>
                <w:rFonts w:ascii="仿宋_GB2312" w:hAnsi="仿宋_GB2312" w:cs="仿宋_GB2312" w:eastAsia="仿宋_GB2312"/>
                <w:sz w:val="24"/>
              </w:rPr>
              <w:t>等；（</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重大节庆活动要求景观亮化大规模更换或新增</w:t>
            </w:r>
            <w:r>
              <w:rPr>
                <w:rFonts w:ascii="仿宋_GB2312" w:hAnsi="仿宋_GB2312" w:cs="仿宋_GB2312" w:eastAsia="仿宋_GB2312"/>
                <w:sz w:val="24"/>
              </w:rPr>
              <w:t>等；（</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突发自然灾害的路灯应急处置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以上单项维修</w:t>
            </w:r>
            <w:r>
              <w:rPr>
                <w:rFonts w:ascii="仿宋_GB2312" w:hAnsi="仿宋_GB2312" w:cs="仿宋_GB2312" w:eastAsia="仿宋_GB2312"/>
                <w:sz w:val="24"/>
              </w:rPr>
              <w:t>内容具体详见《招标工程量清单》。</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1）县城路灯按照季节变化调整开启、关闭时间；县城景观光亮按节假日及相关要求开启、关闭时间。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2）每日负责对城区路灯、景观光亮等相关配套设施开展巡查、维修、隐患整改（包括市民私拉乱搭用电、用电设施漏电、路灯杆倾斜倒伏等），灯亮率不低于98％，同时做好排查整改记录以及影像资料收集。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3）对损坏、撞倒等人为破坏路灯杆及光亮设施，受市政园林服务中心委托可以对造成损失的人要求赔付，所赔付资金用于恢复</w:t>
            </w:r>
            <w:r>
              <w:rPr>
                <w:rFonts w:ascii="仿宋_GB2312" w:hAnsi="仿宋_GB2312" w:cs="仿宋_GB2312" w:eastAsia="仿宋_GB2312"/>
                <w:sz w:val="24"/>
              </w:rPr>
              <w:t>（采购人不再计量）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每日必须开展日常巡查，建立巡查台账，发现安全</w:t>
            </w:r>
            <w:r>
              <w:rPr>
                <w:rFonts w:ascii="仿宋_GB2312" w:hAnsi="仿宋_GB2312" w:cs="仿宋_GB2312" w:eastAsia="仿宋_GB2312"/>
                <w:sz w:val="24"/>
              </w:rPr>
              <w:t>隐患</w:t>
            </w:r>
            <w:r>
              <w:rPr>
                <w:rFonts w:ascii="仿宋_GB2312" w:hAnsi="仿宋_GB2312" w:cs="仿宋_GB2312" w:eastAsia="仿宋_GB2312"/>
                <w:sz w:val="24"/>
              </w:rPr>
              <w:t>及时</w:t>
            </w:r>
            <w:r>
              <w:rPr>
                <w:rFonts w:ascii="仿宋_GB2312" w:hAnsi="仿宋_GB2312" w:cs="仿宋_GB2312" w:eastAsia="仿宋_GB2312"/>
                <w:sz w:val="24"/>
              </w:rPr>
              <w:t>整改</w:t>
            </w:r>
            <w:r>
              <w:rPr>
                <w:rFonts w:ascii="仿宋_GB2312" w:hAnsi="仿宋_GB2312" w:cs="仿宋_GB2312" w:eastAsia="仿宋_GB2312"/>
                <w:sz w:val="24"/>
              </w:rPr>
              <w:t>，</w:t>
            </w:r>
            <w:r>
              <w:rPr>
                <w:rFonts w:ascii="仿宋_GB2312" w:hAnsi="仿宋_GB2312" w:cs="仿宋_GB2312" w:eastAsia="仿宋_GB2312"/>
                <w:sz w:val="24"/>
              </w:rPr>
              <w:t>不能及时整改的限时整改，同时报市政中心现场负责人。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5）专业电工技术维修人员（持证）不低于8人。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6）配备必要的用电安全检测相关设备，作业人员经企业安全培训后才能上岗作业。</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7）建立一支不少于8人应急抢险队伍，如遇突发事件，应立即启动路灯、亮化应急抢险预案，</w:t>
            </w:r>
            <w:r>
              <w:rPr>
                <w:rFonts w:ascii="仿宋_GB2312" w:hAnsi="仿宋_GB2312" w:cs="仿宋_GB2312" w:eastAsia="仿宋_GB2312"/>
                <w:sz w:val="24"/>
              </w:rPr>
              <w:t>应</w:t>
            </w:r>
            <w:r>
              <w:rPr>
                <w:rFonts w:ascii="仿宋_GB2312" w:hAnsi="仿宋_GB2312" w:cs="仿宋_GB2312" w:eastAsia="仿宋_GB2312"/>
                <w:sz w:val="24"/>
              </w:rPr>
              <w:t>急抢险人员在</w:t>
            </w:r>
            <w:r>
              <w:rPr>
                <w:rFonts w:ascii="仿宋_GB2312" w:hAnsi="仿宋_GB2312" w:cs="仿宋_GB2312" w:eastAsia="仿宋_GB2312"/>
                <w:sz w:val="24"/>
                <w:shd w:fill="FFFF00" w:val="clear"/>
              </w:rPr>
              <w:t>15</w:t>
            </w:r>
            <w:r>
              <w:rPr>
                <w:rFonts w:ascii="仿宋_GB2312" w:hAnsi="仿宋_GB2312" w:cs="仿宋_GB2312" w:eastAsia="仿宋_GB2312"/>
                <w:sz w:val="24"/>
              </w:rPr>
              <w:t>分钟内赶到事发现场抢险，一般险情</w:t>
            </w:r>
            <w:r>
              <w:rPr>
                <w:rFonts w:ascii="仿宋_GB2312" w:hAnsi="仿宋_GB2312" w:cs="仿宋_GB2312" w:eastAsia="仿宋_GB2312"/>
                <w:sz w:val="24"/>
              </w:rPr>
              <w:t>2小时内修复，重大险情不超过12小时内修复。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8）路灯及景观亮化设施定期清洗保洁（路灯杆无粘贴小广告、灯罩无灰尘蜘蛛网等），保持整洁美观。时间要求：春节、五一节、国庆节等重要节庆活动提前三天将所有灯具清洗。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9）发现私拉乱搭电源、破坏路灯及景观亮化设施行为进行制止，同时报警及上报县市政园林服务中心。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为确保维修、管护的市政公共基础设施正常运行，保障行人、车辆通行安全。杜绝因不可控因素造成第三者人身损害，故本工程按总预算价的</w:t>
            </w:r>
            <w:r>
              <w:rPr>
                <w:rFonts w:ascii="仿宋_GB2312" w:hAnsi="仿宋_GB2312" w:cs="仿宋_GB2312" w:eastAsia="仿宋_GB2312"/>
                <w:sz w:val="24"/>
              </w:rPr>
              <w:t>3%(</w:t>
            </w:r>
            <w:r>
              <w:rPr>
                <w:rFonts w:ascii="仿宋_GB2312" w:hAnsi="仿宋_GB2312" w:cs="仿宋_GB2312" w:eastAsia="仿宋_GB2312"/>
                <w:sz w:val="24"/>
              </w:rPr>
              <w:t>31523.30</w:t>
            </w:r>
            <w:r>
              <w:rPr>
                <w:rFonts w:ascii="仿宋_GB2312" w:hAnsi="仿宋_GB2312" w:cs="仿宋_GB2312" w:eastAsia="仿宋_GB2312"/>
                <w:sz w:val="24"/>
              </w:rPr>
              <w:t>元）计取第三者意外伤害保险费（用于对所管护市政公共基础设施发生安全事故进行强制意外伤害保险赔偿，由中标人负责理赔，采购人不承担任何赔偿责任）。</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签订合同后365个日历天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南江县城</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①验收方式：由甲方组织，乙方参与，根据《关于印发南江县城市政设施日常维护考核细则的通知》（南住建发〔2025〕10号）要求进行考核验收。 ②验收标准：严格按照《财政部关于进一步加强政府采购需求和履约验收管理的指导意见的通知》（财库〔2016〕205号）、《财政部关于印发&lt;政府采购需求管理办法&gt;的通知》（财库〔2021〕22号）及《巴中市财政局关于进一步加强政府采购项目合同履约验收管理工作的通知》（巴财采〔2021〕21号）、采购文件规定的要求和投标文件承诺及合同约定的标准进行验收。 ③验收内容：技术服务和商务要求全部内容及合同履约情况以及应当由乙方提供的其他资料。 ④验收结果运用：验收结果作为支付采购资金的依据。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南江县城路灯及光亮设施年度维护费用（县城路灯及景观亮化等配套设施日常隐患排查、维修维护、清洗保洁、路灯开启关闭等服务人工费）支付：月考核和年度考核相结合办法，根据《关于印发南江县城市政设施日常维护考核细则的通知》（南住建发【2025】10号）要求，由市政园林服务中心组织相关人员在每月对乙方本月工作成效进行考核，达到付款条件起30日内，据实结算说明为达到付款条件30日内按月支付服务费（月服务费=成交金额/12-根据月考核结果确定的应扣服务费）</w:t>
            </w:r>
          </w:p>
          <w:p>
            <w:pPr>
              <w:pStyle w:val="null3"/>
              <w:jc w:val="left"/>
            </w:pPr>
            <w:r>
              <w:rPr>
                <w:rFonts w:ascii="仿宋_GB2312" w:hAnsi="仿宋_GB2312" w:cs="仿宋_GB2312" w:eastAsia="仿宋_GB2312"/>
              </w:rPr>
              <w:t>2、单项工程（路灯及景观光亮日常零星维修工程）支付：以实际发生的工程量为准据实结算，达到付款条件起30日内，据实结算说明为甲方委托具有造价咨询资质机构依法审核并出具审核结论报告后，作为支付费用的依据，达到付款条件30日内一次性支付给乙方</w:t>
            </w:r>
          </w:p>
          <w:p>
            <w:pPr>
              <w:pStyle w:val="null3"/>
              <w:jc w:val="left"/>
            </w:pPr>
            <w:r>
              <w:rPr>
                <w:rFonts w:ascii="仿宋_GB2312" w:hAnsi="仿宋_GB2312" w:cs="仿宋_GB2312" w:eastAsia="仿宋_GB2312"/>
              </w:rPr>
              <w:t>3、第三者意外伤害保险费支付：合同签订生效后，达到付款条件起30日内，据实结算说明为达到付款条件起30日内支付合同金额中第三者意外伤害保险费的100%。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甲乙双方必须遵守本合同并执行合同中的各项规定，保证本合同的正常履行。（2）如因乙方工作人员在履行职务过程中的疏忽、失职、过错等故意或者过失原因给甲方造成损失或侵害，包括但不限于甲方本身的财产损失、由此而导致的甲方对任何第三方的法律责任等，乙方对此均应承担全部的赔偿责任。 2.争议解决办法：（1）在执行本合同中发生的或与本合同有关的争端，双方应通过友好协商解决，经协商不能达成协议时，当事人依法维护自身合法权益。 （2）法院判决应为最终决定，并对双方具有约束力。 （3）除另有判决外，诉讼费应由败诉方负担。 （4）在诉讼期间，除正在进行诉讼部分外，合同其他部分继续执行。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 （1）报价构成：投标人报价应是完成本项目全部工作任务所有费用，包括服务费、人工费、辅材费、机械设备费、安装调试费、包装运输费（含装卸费）、临时设施费、安全文明费、环境保护费、服务范围内的日常及防洪巡查费、市政设施安全隐患排查费、税费、管理费、保险费（含项目实施过程所使用的机械设备保障、车辆保障、人员工伤保险及意外伤害保险等）、利润、措施费、后续服务费等与本项目相关的一切费用，因投标人少报、漏报均自行承担相关责任。 （2）报价要求：投标人在响应文件中须进行单项工程量清单格式报价。（注：①报价以元为单位，按四舍五入保留两位小数；②供应商报价不得超过最高限价，否则作为无效响应处理；③不可竞争费用（暂估价、暂列金、安全文明施工措施费、规费）投标时按照招标工程量清单给定金额报价，结算时根据实际实施情况及成交供应商企业资质核定等级调整办理并据实结算。 ★2、质量保修范围和保修期： （1）质量保修范围：本项目由中标人提供的全部服务内容。 （2）保修期：单项服务内容验收合格后1年。 （3）保修期内出现质量问题，供应商在接到通知后1小时内响应，8小时内维修人员应到达现场并提出处置方案。 ★3、包装方式及运输：涉及的商品包装和快递包装，均应符合《商品包装政府采购需求标准（试行）》《快递包装政府采购需求标准（试行）》的要求，包装应适应于远距离运输、防潮、防震、防锈和防野蛮装卸，以确保货物安全无损运抵指定地点。 4、考核管理：详细考核标准见根据《关于印发南江县城市政设施日常维护考核细则的通知》（南住建发【2025】10号）要求，日常考核由南江县市政园林服务中心负责。①采购人负责对中标人所实施的市政维护服务进行全程监督，组织人员核定工程量、进行工程验收，负责对中标人所管护范围内的路灯及光亮设施是否巡查到位进行监督检查。②中标人按照采购人的要求做好路灯及光亮设施管理维护，确保正常运行。③中标人因排查不到位而发生路灯等设施损坏及未及时修复而受到主管部门问责，当月考核为不合格，并扣减 2000 元的管护费用，三次以上采购人可单方面解除合同，所造成损失由中标人自行承担。④中标人因不按工作安排及相关规范进行施工,质量验收不合格所造成返工及损失由中标人自行承担。 ★5、质量要求：达到市政工程相关质量合格标准。 ★6、该项目除日常管护外，路灯及景观光亮日常零星维修工程属预估价，最终以采购人安排的维护内容实施，办理竣工结算并以出具的审核结论为结算金额。 7、新建达到移交条件移交市政管护的路灯及光亮设施，根据移交时间、移交范围、移交数量等内容纳入本次采购管护范围，具体管护内容及管护费用在合同中另行约定。 8、后续服务及要求：本项目服务期满后，采购人未采购到合格的供应商进行维护管理，需中标人继续进行维护管理的，中标人应继续履行服务职责，服务费结算方式按照本项目要求执行。 ★9、安全责任：供应商在履行合同过程中，因其自身或其工作人员在履行职务过程中的疏忽、失职、过错等故意或者过失原因造成的人员安全责任及事故责任由中标人负责，如对采购人造成损失的，包括但不限于采购人本身的财产损失、由此而导致的采购人对任何第三方的法律责任等，中标人对此应承担相应的责任。中标人应为参与本项目实施人员购买工伤保险或人身意外伤害保险。 10、人员及设备要求：投标人应针对本项目的实施组建应急抢险队伍，配备必要的专业技术人员和相应的设施设备及车辆。 11、项目服务方案：投标人根据本项目采购需求及技术服务要求在投标文件中提供服务方案具体内容及要求详见分包评审条款。 12、本项目所引相关法律制度及标准规定，在政府采购中有变化的，按照变化后的相关法律制度及标准规定执行。规定的内容条款，在本项目递交投标文件截止时间届满后，因相关法律制度及标准规定的变化导致不符合相关法律制度及标准规定的，直接按照变化后的相关法律制度及标准规定执行，本项目招标文件不再做调整。 13、国家或行业主管部门对投标人和服务事项的技术标准、质量标准和资格资质条件等有强制性规定的，必须符合其要求。 14、其他未尽事宜在政府采购合同中约定。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1.投标人需在项目电子化交易系统中按要求填写《投标（响应）函》完成承诺并进行电子签章。 2.投标人是法人的，提供统一社会信用代码《营业执照》或其他能够证明其依法有效存在的书面材料扫描件；投标人是其他组织的，提供能够证明其依法有效存在的书面材料扫描件；投标人是自然人的，提供其有效期内的身份证扫描件。并进行电子签章。 注：本项目除银行、保险、石油石化、电信（含广电网络）等特殊行业可以以法定的分支机构投标外，其他行业不得以法人分支机构投标。</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 注：投标人在参加政府采购活动前，被纳入法院、市场监督管理部门、税务部门、银行认定的失信名单且在有效期内，或者在前3年政府采购合同履约过程中及其他经营活动履约过程中未依法履约被有关行政部门处罚（处理）的，本项目将认定其不具有良好的商业信誉。</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1、投标人需在项目电子化交易系统中按要求填写《投标（响应）函》完成承诺并进行电子签章。 2、提供具有健全的财务会计制度证明材料（以下任选其一）：（1）可提供投标人2024年度或2025年度经审计的财务报告原件扫描件；（2）可提供投标人2024年度或2025年度财务报表（至少包括资产负债表和利润表）原件扫描件； （3）本项目响应文件截止时间前新注册不足1年的投标人可提供市场监管部门备案的公司章程。（4）可提供具有健全的财务会计制度承诺函。 注：以上资料须进行电子签章。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 注：本项目投标人参加本次政府采购活动前三年内，在经营活动中没有重大违法记录中的较大金额罚款标准为200万元以上（财库[2022]3号）。</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根据《政府采购促进中小企业发展管理办法》（财库〔2020〕46号）、《巴中市财政局关于进一步加大政府采购支持中小企业力度的通知》（巴财采〔2022〕14号）的规定，本项目专门面向中小企业采购，不再执行价格扣除评审。</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其他资格要求</w:t>
            </w:r>
          </w:p>
        </w:tc>
        <w:tc>
          <w:tcPr>
            <w:tcW w:type="dxa" w:w="3322"/>
          </w:tcPr>
          <w:p>
            <w:pPr>
              <w:pStyle w:val="null3"/>
              <w:jc w:val="left"/>
            </w:pPr>
            <w:r>
              <w:rPr>
                <w:rFonts w:ascii="仿宋_GB2312" w:hAnsi="仿宋_GB2312" w:cs="仿宋_GB2312" w:eastAsia="仿宋_GB2312"/>
              </w:rPr>
              <w:t>1.参加本项目政府采购活动的投标人、法定代表人（主要负责人）在参加本项目前三年内不具有行贿犯罪记录。（在响应文件中提供承诺函，格式自拟）。 2.提供法定代表人/负责人有效的身份证扫描件。 3.参加本项目的授权代表不是法定代表人（主要负责人）的，应提供授权委托书及其有效的身份证扫描件。 4.具有法律、行政法规规定的其他条件。（提供承诺函） 注：以上资料须进行电子签章</w:t>
            </w:r>
          </w:p>
        </w:tc>
        <w:tc>
          <w:tcPr>
            <w:tcW w:type="dxa" w:w="1661"/>
          </w:tcPr>
          <w:p>
            <w:pPr>
              <w:pStyle w:val="null3"/>
              <w:jc w:val="left"/>
            </w:pPr>
            <w:r>
              <w:rPr>
                <w:rFonts w:ascii="仿宋_GB2312" w:hAnsi="仿宋_GB2312" w:cs="仿宋_GB2312" w:eastAsia="仿宋_GB2312"/>
              </w:rPr>
              <w:t>投标人应提交的相关证明材料,授权委托书.docx,投标文件封面,投标（响应）函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特殊资格要求</w:t>
            </w:r>
          </w:p>
        </w:tc>
        <w:tc>
          <w:tcPr>
            <w:tcW w:type="dxa" w:w="3322"/>
          </w:tcPr>
          <w:p>
            <w:pPr>
              <w:pStyle w:val="null3"/>
              <w:jc w:val="left"/>
            </w:pPr>
            <w:r>
              <w:rPr>
                <w:rFonts w:ascii="仿宋_GB2312" w:hAnsi="仿宋_GB2312" w:cs="仿宋_GB2312" w:eastAsia="仿宋_GB2312"/>
              </w:rPr>
              <w:t>1.提供建设行政主管部门核发的市政公用工程施工总承包三级及以上资质证书扫描件； 2.提供有效期内的《安全生产许可证》扫描件 ； 3.四川省省外企业报名应具备《四川省省外建筑企业入川承揽业务验证登记证》或带二维码的《四川省省外施工、监理入川承揽业务信息录入证》或具有的入川登记备案的相关证明材料。若在投标截止时间前未办理入川备案证明的，应在签订合同时一并提供。 注：以上资料须进行电子签章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本项目采购评审中出现下列情形之一的，评标委员会应当启动异常低价投标（响应）审查程序：  　　 （1）响应报价低于全部通过符合性审查投标人响应报价平均值50%的，即响应报价&lt;全部通过符合性审查供应商响应报价平均值×50%；  　　 （2）响应报价低于通过符合性审查的次低报价投标人响应报价50%的，即响应报价&lt;通过符合性审查的次低报价投标人响应报价×50%；  　　 （3）响应报价低于采购项目最高限价45%的，即响应报价&lt;采购项目最高限价×45%；  　　 （4）评标委员会基于专业判断，认为投标人报价过低，有可能影响产品质量或者不能诚信履约的其他情形。 评标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投标人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w:t>
            </w:r>
          </w:p>
        </w:tc>
        <w:tc>
          <w:tcPr>
            <w:tcW w:type="dxa" w:w="1661"/>
          </w:tcPr>
          <w:p>
            <w:pPr>
              <w:pStyle w:val="null3"/>
              <w:jc w:val="left"/>
            </w:pPr>
            <w:r>
              <w:rPr>
                <w:rFonts w:ascii="仿宋_GB2312" w:hAnsi="仿宋_GB2312" w:cs="仿宋_GB2312" w:eastAsia="仿宋_GB2312"/>
              </w:rPr>
              <w:t>报价明细表,报价表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技术服务、商务响应部分</w:t>
            </w:r>
          </w:p>
        </w:tc>
        <w:tc>
          <w:tcPr>
            <w:tcW w:type="dxa" w:w="3322"/>
          </w:tcPr>
          <w:p>
            <w:pPr>
              <w:pStyle w:val="null3"/>
              <w:jc w:val="left"/>
            </w:pPr>
            <w:r>
              <w:rPr>
                <w:rFonts w:ascii="仿宋_GB2312" w:hAnsi="仿宋_GB2312" w:cs="仿宋_GB2312" w:eastAsia="仿宋_GB2312"/>
              </w:rPr>
              <w:t>投标人需在项目电子化交易系统中按要求上传相应文件并进行电子签章。</w:t>
            </w:r>
          </w:p>
        </w:tc>
        <w:tc>
          <w:tcPr>
            <w:tcW w:type="dxa" w:w="1661"/>
          </w:tcPr>
          <w:p>
            <w:pPr>
              <w:pStyle w:val="null3"/>
              <w:jc w:val="left"/>
            </w:pPr>
            <w:r>
              <w:rPr>
                <w:rFonts w:ascii="仿宋_GB2312" w:hAnsi="仿宋_GB2312" w:cs="仿宋_GB2312" w:eastAsia="仿宋_GB2312"/>
              </w:rPr>
              <w:t>投标人应提交的相关证明材料,技术、服务要求响应情况对照表.docx,商务要求及其他要求应答表.docx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投标人根据本项目采购需求和技术服务要求提供的项目实施方案，细化量化指标包括：①项目服务需求分析；②项目服务目标；③项目组织机构及职责分工；④人员及设施设备配置；⑤服务重点难点分析及解决措施；⑥服务进度计划及控制措施；⑦质量保证措施；⑧安全管理措施（包括安全管理体系、安全教育和培训计划、安全防护措施、安全管理工作制度）；⑨环境保护措施。以上①～⑨项，每项4分。以上内容完整且完全满足本项目实际要求的得36分；每缺少一项内容或内容不符合本项目实际要求的扣4分，每有一处内容缺陷（指项目实施地点、项目名称错误或引用的标准规范错误或实施计划超期或仅有框架标题无细化措施或标题与内容描述不符或有关内容不符合技术服务及商务要求或分项内容描述不完整）的扣2分，扣完为止。 2.投标人根据本项目采购需求和技术服务要求提供的应急处置方案，细化量化指标包括:①应急管理组织机构；②应急处置人员安排；③消防火灾处置措施；④突发公共事件处置措施；⑤节假日、迎接检查措施；⑥突击整治措施；⑦防汛抢险救灾措施。以上①～⑦项，每项3分。以上内容完整且完全满足本项目实际要求的得21分；每缺少一项内容或内容不符合本项目实际要求的扣3分，每有一处内容缺陷（指项目实施地点、项目名称错误或引用的标准规范错误或实施计划超期或仅有框架标题无细化措施或标题与内容描述不符或有关内容不符合技术服务及商务要求或分项内容描述不完整）的扣1.5分，扣完为止。</w:t>
            </w:r>
          </w:p>
        </w:tc>
        <w:tc>
          <w:tcPr>
            <w:tcW w:type="dxa" w:w="831"/>
          </w:tcPr>
          <w:p>
            <w:pPr>
              <w:pStyle w:val="null3"/>
              <w:jc w:val="center"/>
            </w:pPr>
            <w:r>
              <w:rPr>
                <w:rFonts w:ascii="仿宋_GB2312" w:hAnsi="仿宋_GB2312" w:cs="仿宋_GB2312" w:eastAsia="仿宋_GB2312"/>
              </w:rPr>
              <w:t>57.0000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1.项目拟派人员具有高空作业证、特种作业证任意一项的，每提供一人得2分，本项最多得14分。 2.项目拟派人员具有专业电工人员8人的得8分，每增加1名电工加1分，本项最多得10分。 注：提供相关人员证书、身份证扫描件及人员为投标人自有人员的证明材料扫描件（提供劳动合同扫描件或近6个月内任意一个月的社保证明）。</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人员配备.docx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投标人2023年以来承担过类似项目的，每提供1个得2分，本项最多得6分。 注：1.类似项目指：路灯照明工程或光亮设施设备维护管护类项目。 2.提供中标（成交）通知书或合同扫描件，时间以中标（成交）通知书发出或合同签订时间为准。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优先采购节能、环境标志产品</w:t>
            </w:r>
          </w:p>
        </w:tc>
        <w:tc>
          <w:tcPr>
            <w:tcW w:type="dxa" w:w="2575"/>
          </w:tcPr>
          <w:p>
            <w:pPr>
              <w:pStyle w:val="null3"/>
              <w:jc w:val="left"/>
            </w:pPr>
            <w:r>
              <w:rPr>
                <w:rFonts w:ascii="仿宋_GB2312" w:hAnsi="仿宋_GB2312" w:cs="仿宋_GB2312" w:eastAsia="仿宋_GB2312"/>
              </w:rPr>
              <w:t>投标人在本项目实施过程中所使用的产品中每有一项属于环境标志产品政府采购品目清单中优先采购范围的得1分；本项最多得3分。 说明： 1、投标人在本项目使用的环境标志产品应在服务方案中明确产品品牌、名称、规格型号，否则，不得分。 2、本项目采购的产品中属于节能产品或环境标志产品政府采购品目清单中强制采购范围的，不属于本项评分范围。 3、投标人所响应的产品属于节能产品或环境标志产品政府采购品目清单中优先采购范围的，应当在投标文件中提供国家确定的认证机构的认证结果信息发布平台公布的该产品认证信息截图，否则不予给分。 注：节能产品、环境标志产品优先采购范围以品目清单为准。本项目所使用的水泥、PE管及其配件、PVC管、商品混凝土为环境标志产品。</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以有效投标人最低的报价为评标基准价，其价格分为满分10分。其他投标人的价格分统一按照下列公式计算：报价得分=(评标基准价／投标报价)*10 （注：得分按四舍五入保留两位小数）。</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详见附件：授权委托书.docx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详见附件：技术、服务要求响应情况对照表.docx</w:t>
      </w:r>
    </w:p>
    <w:p>
      <w:pPr>
        <w:pStyle w:val="null3"/>
        <w:ind w:firstLine="960"/>
        <w:jc w:val="left"/>
      </w:pPr>
      <w:r>
        <w:rPr>
          <w:rFonts w:ascii="仿宋_GB2312" w:hAnsi="仿宋_GB2312" w:cs="仿宋_GB2312" w:eastAsia="仿宋_GB2312"/>
        </w:rPr>
        <w:t>详见附件：商务要求及其他要求应答表.docx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详见附件：人员配备.docx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