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187C6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具有</w:t>
      </w:r>
      <w:r>
        <w:rPr>
          <w:rFonts w:hint="eastAsia" w:ascii="宋体" w:hAnsi="宋体" w:eastAsia="宋体" w:cs="宋体"/>
          <w:sz w:val="32"/>
          <w:szCs w:val="32"/>
        </w:rPr>
        <w:t>健全财务会计制度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的证明材料</w:t>
      </w:r>
    </w:p>
    <w:p w14:paraId="7C17A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供应商提供202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年度或202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年度经审计的财务报告（包含审计报告和审计报告中所涉及的财务报表和报表附注）或者银行出具的资信证明；未经审计的提供财务报告（包括资产负债表、利润表、现金流量表、所有者权益变动表及其附注）。供应商注册时间截至响应文件提交截止之日前不足一年的，也可提供在相关主管部门备案的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公司章程等证明材料。</w:t>
      </w:r>
    </w:p>
    <w:p w14:paraId="2622E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 xml:space="preserve"> 2.供应商需在使用投标(响应)客户端编制响应文件时，按要求填写《投标（响应）函》完成承诺并进行电子签章。 </w:t>
      </w:r>
    </w:p>
    <w:p w14:paraId="4E2C4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</w:p>
    <w:p w14:paraId="0F110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注：以上要求任意选择提供其中1项即可。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YzMzZTgwZjY2NzhmMWJjMzIyOTY4Y2ExYzMwODIifQ=="/>
  </w:docVars>
  <w:rsids>
    <w:rsidRoot w:val="00000000"/>
    <w:rsid w:val="15C63E78"/>
    <w:rsid w:val="2FD93797"/>
    <w:rsid w:val="4DC802DE"/>
    <w:rsid w:val="6519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247</Characters>
  <Lines>0</Lines>
  <Paragraphs>0</Paragraphs>
  <TotalTime>2</TotalTime>
  <ScaleCrop>false</ScaleCrop>
  <LinksUpToDate>false</LinksUpToDate>
  <CharactersWithSpaces>249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2024-03-27T07:02:00Z</dcterms:created>
  <dc:creator>Lenovo</dc:creator>
  <cp:lastModifiedBy>陶冶</cp:lastModifiedBy>
  <dcterms:modified xsi:type="dcterms:W3CDTF">2026-03-23T09:02:48Z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A52A6FEE32F44459BCD0B5A532DF5E5F_13</vt:lpwstr>
  </property>
  <property fmtid="{D5CDD505-2E9C-101B-9397-08002B2CF9AE}" pid="4" name="KSOTemplateDocerSaveRecord">
    <vt:lpwstr>eyJoZGlkIjoiY2JmMGMwN2VjNjc1ZTFiMDlhOTAxMWEzYTMxMjY5M2MiLCJ1c2VySWQiOiIyNzE5NjUxNzIifQ==</vt:lpwstr>
  </property>
</Properties>
</file>