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版本号：N513429202600000920260323001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布拖县草牧业建设与提升工程项目(二次)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N5134292026000009</w:t>
      </w:r>
    </w:p>
    <w:p>
      <w:pPr>
        <w:pStyle w:val="null3"/>
        <w:jc w:val="left"/>
        <w:outlineLvl w:val="2"/>
      </w:pPr>
      <w:r>
        <w:rPr>
          <w:rFonts w:ascii="仿宋_GB2312" w:hAnsi="仿宋_GB2312" w:cs="仿宋_GB2312" w:eastAsia="仿宋_GB2312"/>
          <w:sz w:val="28"/>
          <w:b/>
        </w:rPr>
        <w:t>布拖县农业农村局</w:t>
      </w:r>
    </w:p>
    <w:p>
      <w:pPr>
        <w:pStyle w:val="null3"/>
        <w:jc w:val="center"/>
        <w:outlineLvl w:val="2"/>
      </w:pPr>
      <w:r>
        <w:rPr>
          <w:rFonts w:ascii="仿宋_GB2312" w:hAnsi="仿宋_GB2312" w:cs="仿宋_GB2312" w:eastAsia="仿宋_GB2312"/>
          <w:sz w:val="28"/>
          <w:b/>
        </w:rPr>
        <w:t>四川新望建设项目管理有限公司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四川新望建设项目管理有限公司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布拖县农业农村局</w:t>
      </w:r>
      <w:r>
        <w:rPr>
          <w:rFonts w:ascii="仿宋_GB2312" w:hAnsi="仿宋_GB2312" w:cs="仿宋_GB2312" w:eastAsia="仿宋_GB2312"/>
        </w:rPr>
        <w:t xml:space="preserve"> 委托，拟对 </w:t>
      </w:r>
      <w:r>
        <w:rPr>
          <w:rFonts w:ascii="仿宋_GB2312" w:hAnsi="仿宋_GB2312" w:cs="仿宋_GB2312" w:eastAsia="仿宋_GB2312"/>
        </w:rPr>
        <w:t>布拖县草牧业建设与提升工程项目(二次)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凉山彝族自治州布拖县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N5134292026000009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布拖县草牧业建设与提升工程项目(二次)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布拖县草牧业建设与提升工程项目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1、根据采购项目提出的特定资格要求（描述：（1）供应商须具备有效的《农作物种子经营许可证》或《农作物种子生产许可证》或《农作物种子生产经营许可证》。）</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布拖县农业农村局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布拖县普提下街35号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0834-8531181</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四川新望建设项目管理有限公司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西昌市风情园路4号民体苑4栋7楼701</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0834-2562092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采购包1：1,800,000.00元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签订合同前，缴纳成交金额的10%为本项目履约保证金；项目验收合格后退还本项目履约保证金。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参照原国家计委《招标代理服务费收费管理暂行办法》(国家计委计价[2002]1980号)规定的收费标准以及合理利润，本项目招标代理服务费金额：23800元，由中标供应商在领取中标（成交）通知书时支付。</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布拖县农业农村局</w:t>
      </w:r>
      <w:r>
        <w:rPr>
          <w:rFonts w:ascii="仿宋_GB2312" w:hAnsi="仿宋_GB2312" w:cs="仿宋_GB2312" w:eastAsia="仿宋_GB2312"/>
        </w:rPr>
        <w:t xml:space="preserve"> 和 </w:t>
      </w:r>
      <w:r>
        <w:rPr>
          <w:rFonts w:ascii="仿宋_GB2312" w:hAnsi="仿宋_GB2312" w:cs="仿宋_GB2312" w:eastAsia="仿宋_GB2312"/>
        </w:rPr>
        <w:t>四川新望建设项目管理有限公司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布拖县农业农村局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四川新望建设项目管理有限公司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种子交货完成并完成后续发放任务经甲方验收合格后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合同约定</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标准按国家有关规定以及采购人采购文件的质量要求和技术指标、供应商的响应文件及承诺与本合同约定标准进行验收；采购人与供应商双方如对质量要求和技术指标的约定标准有相互抵触或异议的事项，由采购人在采购与响应文件中按质量要求和技术指标比较优胜的原则确定该项的约定标准进行验收；验收时如不能满足相关规范标准及采购人使用要求或其它不符合标准及本合同规定之情形者，采购人应做出详尽的现场记录，或由采购人与供应商双方签署备忘录，此现场记录或备忘录可用作有效证据，由此产生的时间延误与有关费用由供应商承担，验收期限相应顺延；如质量验收合格，双方签署验收报告。</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按国家有关规定以及采购人采购文件的商务条款、供应商的响应文件及承诺条款进行验收。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 号)、《政府采购需求管理办法》（财库〔2021〕22号）的要求及国家行业主管部门规定的标准、方法和内容进行验收。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合同约定</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四川新望建设项目管理有限公司</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四川新望建设项目管理有限公司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四川新望建设项目管理有限公司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联系人：周先生</w:t>
      </w:r>
    </w:p>
    <w:p>
      <w:pPr>
        <w:pStyle w:val="null3"/>
        <w:jc w:val="left"/>
      </w:pPr>
      <w:r>
        <w:rPr>
          <w:rFonts w:ascii="仿宋_GB2312" w:hAnsi="仿宋_GB2312" w:cs="仿宋_GB2312" w:eastAsia="仿宋_GB2312"/>
        </w:rPr>
        <w:t>联系电话：0834-2562092</w:t>
      </w:r>
    </w:p>
    <w:p>
      <w:pPr>
        <w:pStyle w:val="null3"/>
        <w:jc w:val="left"/>
      </w:pPr>
      <w:r>
        <w:rPr>
          <w:rFonts w:ascii="仿宋_GB2312" w:hAnsi="仿宋_GB2312" w:cs="仿宋_GB2312" w:eastAsia="仿宋_GB2312"/>
        </w:rPr>
        <w:t>地址：西昌市风情园路4号民体苑4栋7楼701（MOK KTV后门7楼）</w:t>
      </w:r>
    </w:p>
    <w:p>
      <w:pPr>
        <w:pStyle w:val="null3"/>
        <w:jc w:val="left"/>
      </w:pPr>
      <w:r>
        <w:rPr>
          <w:rFonts w:ascii="仿宋_GB2312" w:hAnsi="仿宋_GB2312" w:cs="仿宋_GB2312" w:eastAsia="仿宋_GB2312"/>
        </w:rPr>
        <w:t>邮编：615000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1,800,000.00</w:t>
      </w:r>
    </w:p>
    <w:p>
      <w:pPr>
        <w:pStyle w:val="null3"/>
        <w:jc w:val="left"/>
      </w:pPr>
      <w:r>
        <w:rPr>
          <w:rFonts w:ascii="仿宋_GB2312" w:hAnsi="仿宋_GB2312" w:cs="仿宋_GB2312" w:eastAsia="仿宋_GB2312"/>
        </w:rPr>
        <w:t>采购包最高限价（元）: 1,800,000.00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A07030904 饲料作物用种子</w:t>
            </w:r>
          </w:p>
        </w:tc>
        <w:tc>
          <w:tcPr>
            <w:tcW w:type="dxa" w:w="821"/>
          </w:tcPr>
          <w:p>
            <w:pPr>
              <w:pStyle w:val="null3"/>
              <w:jc w:val="left"/>
            </w:pPr>
            <w:r>
              <w:rPr>
                <w:rFonts w:ascii="仿宋_GB2312" w:hAnsi="仿宋_GB2312" w:cs="仿宋_GB2312" w:eastAsia="仿宋_GB2312"/>
              </w:rPr>
              <w:t>光叶紫花苕</w:t>
            </w:r>
          </w:p>
        </w:tc>
        <w:tc>
          <w:tcPr>
            <w:tcW w:type="dxa" w:w="821"/>
          </w:tcPr>
          <w:p>
            <w:pPr>
              <w:pStyle w:val="null3"/>
              <w:jc w:val="right"/>
            </w:pPr>
            <w:r>
              <w:rPr>
                <w:rFonts w:ascii="仿宋_GB2312" w:hAnsi="仿宋_GB2312" w:cs="仿宋_GB2312" w:eastAsia="仿宋_GB2312"/>
              </w:rPr>
              <w:t>79.54（吨）</w:t>
            </w:r>
          </w:p>
        </w:tc>
        <w:tc>
          <w:tcPr>
            <w:tcW w:type="dxa" w:w="821"/>
          </w:tcPr>
          <w:p>
            <w:pPr>
              <w:pStyle w:val="null3"/>
              <w:jc w:val="right"/>
            </w:pPr>
            <w:r>
              <w:rPr>
                <w:rFonts w:ascii="仿宋_GB2312" w:hAnsi="仿宋_GB2312" w:cs="仿宋_GB2312" w:eastAsia="仿宋_GB2312"/>
              </w:rPr>
              <w:t>1,750,000.00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A07030904 饲料作物用种子</w:t>
            </w:r>
          </w:p>
        </w:tc>
        <w:tc>
          <w:tcPr>
            <w:tcW w:type="dxa" w:w="821"/>
          </w:tcPr>
          <w:p>
            <w:pPr>
              <w:pStyle w:val="null3"/>
              <w:jc w:val="left"/>
            </w:pPr>
            <w:r>
              <w:rPr>
                <w:rFonts w:ascii="仿宋_GB2312" w:hAnsi="仿宋_GB2312" w:cs="仿宋_GB2312" w:eastAsia="仿宋_GB2312"/>
              </w:rPr>
              <w:t>紫花苜蓿</w:t>
            </w:r>
          </w:p>
        </w:tc>
        <w:tc>
          <w:tcPr>
            <w:tcW w:type="dxa" w:w="821"/>
          </w:tcPr>
          <w:p>
            <w:pPr>
              <w:pStyle w:val="null3"/>
              <w:jc w:val="right"/>
            </w:pPr>
            <w:r>
              <w:rPr>
                <w:rFonts w:ascii="仿宋_GB2312" w:hAnsi="仿宋_GB2312" w:cs="仿宋_GB2312" w:eastAsia="仿宋_GB2312"/>
              </w:rPr>
              <w:t>1.31（吨）</w:t>
            </w:r>
          </w:p>
        </w:tc>
        <w:tc>
          <w:tcPr>
            <w:tcW w:type="dxa" w:w="821"/>
          </w:tcPr>
          <w:p>
            <w:pPr>
              <w:pStyle w:val="null3"/>
              <w:jc w:val="right"/>
            </w:pPr>
            <w:r>
              <w:rPr>
                <w:rFonts w:ascii="仿宋_GB2312" w:hAnsi="仿宋_GB2312" w:cs="仿宋_GB2312" w:eastAsia="仿宋_GB2312"/>
              </w:rPr>
              <w:t>50,000.00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光叶紫花苕</w:t>
            </w:r>
          </w:p>
        </w:tc>
        <w:tc>
          <w:tcPr>
            <w:tcW w:type="dxa" w:w="1138"/>
          </w:tcPr>
          <w:p>
            <w:pPr>
              <w:pStyle w:val="null3"/>
              <w:jc w:val="center"/>
            </w:pPr>
            <w:r>
              <w:rPr>
                <w:rFonts w:ascii="仿宋_GB2312" w:hAnsi="仿宋_GB2312" w:cs="仿宋_GB2312" w:eastAsia="仿宋_GB2312"/>
              </w:rPr>
              <w:t>79.54（吨）</w:t>
            </w:r>
          </w:p>
        </w:tc>
        <w:tc>
          <w:tcPr>
            <w:tcW w:type="dxa" w:w="1365"/>
          </w:tcPr>
          <w:p>
            <w:pPr>
              <w:pStyle w:val="null3"/>
              <w:jc w:val="center"/>
            </w:pPr>
            <w:r>
              <w:rPr>
                <w:rFonts w:ascii="仿宋_GB2312" w:hAnsi="仿宋_GB2312" w:cs="仿宋_GB2312" w:eastAsia="仿宋_GB2312"/>
              </w:rPr>
              <w:t>1,750,000.00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紫花苜蓿</w:t>
            </w:r>
          </w:p>
        </w:tc>
        <w:tc>
          <w:tcPr>
            <w:tcW w:type="dxa" w:w="1138"/>
          </w:tcPr>
          <w:p>
            <w:pPr>
              <w:pStyle w:val="null3"/>
              <w:jc w:val="center"/>
            </w:pPr>
            <w:r>
              <w:rPr>
                <w:rFonts w:ascii="仿宋_GB2312" w:hAnsi="仿宋_GB2312" w:cs="仿宋_GB2312" w:eastAsia="仿宋_GB2312"/>
              </w:rPr>
              <w:t>1.31（吨）</w:t>
            </w:r>
          </w:p>
        </w:tc>
        <w:tc>
          <w:tcPr>
            <w:tcW w:type="dxa" w:w="1365"/>
          </w:tcPr>
          <w:p>
            <w:pPr>
              <w:pStyle w:val="null3"/>
              <w:jc w:val="center"/>
            </w:pPr>
            <w:r>
              <w:rPr>
                <w:rFonts w:ascii="仿宋_GB2312" w:hAnsi="仿宋_GB2312" w:cs="仿宋_GB2312" w:eastAsia="仿宋_GB2312"/>
              </w:rPr>
              <w:t>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A07030904 饲料作物用种子</w:t>
            </w:r>
          </w:p>
        </w:tc>
        <w:tc>
          <w:tcPr>
            <w:tcW w:type="dxa" w:w="2492"/>
          </w:tcPr>
          <w:p>
            <w:pPr>
              <w:pStyle w:val="null3"/>
              <w:jc w:val="left"/>
            </w:pPr>
            <w:r>
              <w:rPr>
                <w:rFonts w:ascii="仿宋_GB2312" w:hAnsi="仿宋_GB2312" w:cs="仿宋_GB2312" w:eastAsia="仿宋_GB2312"/>
              </w:rPr>
              <w:t>光叶紫花苕</w:t>
            </w:r>
          </w:p>
        </w:tc>
        <w:tc>
          <w:tcPr>
            <w:tcW w:type="dxa" w:w="2492"/>
          </w:tcPr>
          <w:p>
            <w:pPr>
              <w:pStyle w:val="null3"/>
              <w:jc w:val="left"/>
            </w:pPr>
            <w:r>
              <w:rPr>
                <w:rFonts w:ascii="仿宋_GB2312" w:hAnsi="仿宋_GB2312" w:cs="仿宋_GB2312" w:eastAsia="仿宋_GB2312"/>
              </w:rPr>
              <w:t>光叶紫花苕</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标的名称：光叶紫花苕</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ind w:firstLine="480"/>
              <w:jc w:val="left"/>
            </w:pPr>
            <w:r>
              <w:rPr>
                <w:rFonts w:ascii="仿宋_GB2312" w:hAnsi="仿宋_GB2312" w:cs="仿宋_GB2312" w:eastAsia="仿宋_GB2312"/>
                <w:sz w:val="24"/>
                <w:color w:val="000000"/>
              </w:rPr>
              <w:t>1:由于系统设置原因采购数量填写只能保留两位小数，具体采购数量为79545公斤。</w:t>
            </w:r>
          </w:p>
          <w:p>
            <w:pPr>
              <w:pStyle w:val="null3"/>
              <w:ind w:firstLine="480"/>
              <w:jc w:val="left"/>
            </w:pPr>
            <w:r>
              <w:rPr>
                <w:rFonts w:ascii="仿宋_GB2312" w:hAnsi="仿宋_GB2312" w:cs="仿宋_GB2312" w:eastAsia="仿宋_GB2312"/>
                <w:sz w:val="24"/>
                <w:color w:val="000000"/>
              </w:rPr>
              <w:t>2：草种为光叶紫花苕无杂质、无破碎附属物。</w:t>
            </w:r>
          </w:p>
          <w:p>
            <w:pPr>
              <w:pStyle w:val="null3"/>
              <w:ind w:firstLine="480"/>
              <w:jc w:val="left"/>
            </w:pPr>
            <w:r>
              <w:rPr>
                <w:rFonts w:ascii="仿宋_GB2312" w:hAnsi="仿宋_GB2312" w:cs="仿宋_GB2312" w:eastAsia="仿宋_GB2312"/>
                <w:sz w:val="24"/>
                <w:color w:val="000000"/>
              </w:rPr>
              <w:t>3：牧草种子质量经技监部门认证的第三方牧草种子检验单位检验，种子质量执行GB6141-2008标准，达到二级及以上标准，提供完整检测报告（带CASL或CMA)。</w:t>
            </w:r>
          </w:p>
          <w:p>
            <w:pPr>
              <w:pStyle w:val="null3"/>
              <w:jc w:val="center"/>
            </w:pPr>
            <w:r>
              <w:rPr>
                <w:rFonts w:ascii="仿宋_GB2312" w:hAnsi="仿宋_GB2312" w:cs="仿宋_GB2312" w:eastAsia="仿宋_GB2312"/>
                <w:sz w:val="24"/>
                <w:color w:val="000000"/>
              </w:rPr>
              <w:t>国家牧草种子质量分级标准</w:t>
            </w:r>
          </w:p>
          <w:tbl>
            <w:tblPr>
              <w:tblBorders>
                <w:top w:val="none" w:color="000000" w:sz="4"/>
                <w:left w:val="none" w:color="000000" w:sz="4"/>
                <w:bottom w:val="none" w:color="000000" w:sz="4"/>
                <w:right w:val="none" w:color="000000" w:sz="4"/>
                <w:insideH w:val="none"/>
                <w:insideV w:val="none"/>
              </w:tblBorders>
            </w:tblPr>
            <w:tblGrid>
              <w:gridCol w:w="603"/>
              <w:gridCol w:w="1542"/>
              <w:gridCol w:w="338"/>
              <w:gridCol w:w="900"/>
              <w:gridCol w:w="997"/>
              <w:gridCol w:w="899"/>
            </w:tblGrid>
            <w:tr>
              <w:tc>
                <w:tcPr>
                  <w:tcW w:type="dxa" w:w="6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中文名</w:t>
                  </w:r>
                </w:p>
              </w:tc>
              <w:tc>
                <w:tcPr>
                  <w:tcW w:type="dxa" w:w="15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学名</w:t>
                  </w:r>
                </w:p>
              </w:tc>
              <w:tc>
                <w:tcPr>
                  <w:tcW w:type="dxa" w:w="3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级别</w:t>
                  </w:r>
                </w:p>
              </w:tc>
              <w:tc>
                <w:tcPr>
                  <w:tcW w:type="dxa" w:w="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净度（</w:t>
                  </w:r>
                  <w:r>
                    <w:rPr>
                      <w:rFonts w:ascii="仿宋_GB2312" w:hAnsi="仿宋_GB2312" w:cs="仿宋_GB2312" w:eastAsia="仿宋_GB2312"/>
                      <w:sz w:val="24"/>
                      <w:b/>
                    </w:rPr>
                    <w:t>%）不低于</w:t>
                  </w:r>
                </w:p>
              </w:tc>
              <w:tc>
                <w:tcPr>
                  <w:tcW w:type="dxa" w:w="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发芽率（</w:t>
                  </w:r>
                  <w:r>
                    <w:rPr>
                      <w:rFonts w:ascii="仿宋_GB2312" w:hAnsi="仿宋_GB2312" w:cs="仿宋_GB2312" w:eastAsia="仿宋_GB2312"/>
                      <w:sz w:val="24"/>
                      <w:b/>
                    </w:rPr>
                    <w:t>%）不低于</w:t>
                  </w:r>
                </w:p>
              </w:tc>
              <w:tc>
                <w:tcPr>
                  <w:tcW w:type="dxa" w:w="8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水分（</w:t>
                  </w:r>
                  <w:r>
                    <w:rPr>
                      <w:rFonts w:ascii="仿宋_GB2312" w:hAnsi="仿宋_GB2312" w:cs="仿宋_GB2312" w:eastAsia="仿宋_GB2312"/>
                      <w:sz w:val="24"/>
                      <w:b/>
                    </w:rPr>
                    <w:t>%）不高于</w:t>
                  </w:r>
                </w:p>
              </w:tc>
            </w:tr>
            <w:tr>
              <w:tc>
                <w:tcPr>
                  <w:tcW w:type="dxa" w:w="6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光叶紫花苕</w:t>
                  </w:r>
                </w:p>
              </w:tc>
              <w:tc>
                <w:tcPr>
                  <w:tcW w:type="dxa" w:w="15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i/>
                    </w:rPr>
                    <w:t>Vicia villosa</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r>
                    <w:rPr>
                      <w:rFonts w:ascii="仿宋_GB2312" w:hAnsi="仿宋_GB2312" w:cs="仿宋_GB2312" w:eastAsia="仿宋_GB2312"/>
                      <w:sz w:val="24"/>
                    </w:rPr>
                    <w:t>8</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r>
            <w:tr>
              <w:tc>
                <w:tcPr>
                  <w:tcW w:type="dxa" w:w="603"/>
                  <w:vMerge/>
                  <w:tcBorders>
                    <w:top w:val="none" w:color="000000" w:sz="4"/>
                    <w:left w:val="single" w:color="000000" w:sz="4"/>
                    <w:bottom w:val="single" w:color="000000" w:sz="4"/>
                    <w:right w:val="single" w:color="000000" w:sz="4"/>
                  </w:tcBorders>
                </w:tcPr>
                <w:p/>
              </w:tc>
              <w:tc>
                <w:tcPr>
                  <w:tcW w:type="dxa" w:w="1542"/>
                  <w:vMerge/>
                  <w:tcBorders>
                    <w:top w:val="none" w:color="000000" w:sz="4"/>
                    <w:left w:val="none" w:color="000000" w:sz="4"/>
                    <w:bottom w:val="single" w:color="000000" w:sz="4"/>
                    <w:right w:val="single" w:color="000000" w:sz="4"/>
                  </w:tcBorders>
                </w:tcP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r>
                    <w:rPr>
                      <w:rFonts w:ascii="仿宋_GB2312" w:hAnsi="仿宋_GB2312" w:cs="仿宋_GB2312" w:eastAsia="仿宋_GB2312"/>
                      <w:sz w:val="24"/>
                    </w:rPr>
                    <w:t>5</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3</w:t>
                  </w:r>
                </w:p>
              </w:tc>
            </w:tr>
          </w:tbl>
          <w:p>
            <w:pPr>
              <w:pStyle w:val="null3"/>
              <w:ind w:firstLine="480"/>
              <w:jc w:val="left"/>
            </w:pPr>
            <w:r>
              <w:rPr>
                <w:rFonts w:ascii="仿宋_GB2312" w:hAnsi="仿宋_GB2312" w:cs="仿宋_GB2312" w:eastAsia="仿宋_GB2312"/>
                <w:sz w:val="24"/>
                <w:color w:val="000000"/>
              </w:rPr>
              <w:t>4：种子服务要求：按照“技术引领、效益优先”的原则，项目技术人员需深入项目乡镇，全力以赴做好种子发放种植指导服务工作。供应商需提供彝汉双语的光叶紫花苕种植技术手册。</w:t>
            </w:r>
          </w:p>
          <w:p>
            <w:pPr>
              <w:pStyle w:val="null3"/>
              <w:ind w:firstLine="480"/>
              <w:jc w:val="left"/>
            </w:pPr>
            <w:r>
              <w:rPr>
                <w:rFonts w:ascii="仿宋_GB2312" w:hAnsi="仿宋_GB2312" w:cs="仿宋_GB2312" w:eastAsia="仿宋_GB2312"/>
                <w:sz w:val="24"/>
                <w:color w:val="000000"/>
              </w:rPr>
              <w:t>注：以上种子技术指标及草种质量等相关标准，如国家、省有新的标准，以最新标准为准。</w:t>
            </w:r>
          </w:p>
          <w:p>
            <w:pPr>
              <w:pStyle w:val="null3"/>
              <w:ind w:firstLine="480"/>
              <w:jc w:val="left"/>
            </w:pPr>
            <w:r>
              <w:rPr>
                <w:rFonts w:ascii="仿宋_GB2312" w:hAnsi="仿宋_GB2312" w:cs="仿宋_GB2312" w:eastAsia="仿宋_GB2312"/>
                <w:sz w:val="21"/>
                <w:color w:val="000000"/>
              </w:rPr>
              <w:t>5：包装规格：50公斤/袋</w:t>
            </w:r>
          </w:p>
          <w:p>
            <w:pPr>
              <w:pStyle w:val="null3"/>
              <w:jc w:val="left"/>
            </w:pPr>
            <w:r>
              <w:rPr>
                <w:rFonts w:ascii="仿宋_GB2312" w:hAnsi="仿宋_GB2312" w:cs="仿宋_GB2312" w:eastAsia="仿宋_GB2312"/>
                <w:sz w:val="21"/>
                <w:color w:val="000000"/>
              </w:rPr>
              <w:t xml:space="preserve">   6：后续发放：供应商采购完种子交货验收合格后负责种子的发放任务</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标的名称：紫花苜蓿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ind w:firstLine="480"/>
              <w:jc w:val="left"/>
            </w:pP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1:由于系统设置原因采购数量填写只能保留两位小数，具体采购数量为1316公斤。</w:t>
            </w:r>
          </w:p>
          <w:p>
            <w:pPr>
              <w:pStyle w:val="null3"/>
              <w:ind w:firstLine="480"/>
              <w:jc w:val="left"/>
            </w:pPr>
            <w:r>
              <w:rPr>
                <w:rFonts w:ascii="仿宋_GB2312" w:hAnsi="仿宋_GB2312" w:cs="仿宋_GB2312" w:eastAsia="仿宋_GB2312"/>
                <w:sz w:val="24"/>
                <w:color w:val="000000"/>
              </w:rPr>
              <w:t>2：草种选择：草种为紫花苜蓿，无杂质、无破碎附属物。</w:t>
            </w:r>
          </w:p>
          <w:p>
            <w:pPr>
              <w:pStyle w:val="null3"/>
              <w:ind w:firstLine="480"/>
              <w:jc w:val="left"/>
            </w:pPr>
            <w:r>
              <w:rPr>
                <w:rFonts w:ascii="仿宋_GB2312" w:hAnsi="仿宋_GB2312" w:cs="仿宋_GB2312" w:eastAsia="仿宋_GB2312"/>
                <w:sz w:val="24"/>
                <w:color w:val="000000"/>
              </w:rPr>
              <w:t>3：牧草种子质量经技监部门认证的第三方牧草种子检验单位检验，种子质量执行GB6141-2008标准，达到二级及以上标准，提供完整检测报告(带CASL或CMA)。</w:t>
            </w:r>
          </w:p>
          <w:p>
            <w:pPr>
              <w:pStyle w:val="null3"/>
              <w:jc w:val="center"/>
            </w:pPr>
            <w:r>
              <w:rPr>
                <w:rFonts w:ascii="仿宋_GB2312" w:hAnsi="仿宋_GB2312" w:cs="仿宋_GB2312" w:eastAsia="仿宋_GB2312"/>
                <w:sz w:val="24"/>
                <w:color w:val="000000"/>
              </w:rPr>
              <w:t>国家牧草种子质量分级标准</w:t>
            </w:r>
          </w:p>
          <w:tbl>
            <w:tblPr>
              <w:tblBorders>
                <w:top w:val="none" w:color="000000" w:sz="4"/>
                <w:left w:val="none" w:color="000000" w:sz="4"/>
                <w:bottom w:val="none" w:color="000000" w:sz="4"/>
                <w:right w:val="none" w:color="000000" w:sz="4"/>
                <w:insideH w:val="none"/>
                <w:insideV w:val="none"/>
              </w:tblBorders>
            </w:tblPr>
            <w:tblGrid>
              <w:gridCol w:w="603"/>
              <w:gridCol w:w="1542"/>
              <w:gridCol w:w="338"/>
              <w:gridCol w:w="900"/>
              <w:gridCol w:w="997"/>
              <w:gridCol w:w="899"/>
            </w:tblGrid>
            <w:tr>
              <w:tc>
                <w:tcPr>
                  <w:tcW w:type="dxa" w:w="6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中文名</w:t>
                  </w:r>
                </w:p>
              </w:tc>
              <w:tc>
                <w:tcPr>
                  <w:tcW w:type="dxa" w:w="15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学名</w:t>
                  </w:r>
                </w:p>
              </w:tc>
              <w:tc>
                <w:tcPr>
                  <w:tcW w:type="dxa" w:w="3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级别</w:t>
                  </w:r>
                </w:p>
              </w:tc>
              <w:tc>
                <w:tcPr>
                  <w:tcW w:type="dxa" w:w="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净度（</w:t>
                  </w:r>
                  <w:r>
                    <w:rPr>
                      <w:rFonts w:ascii="仿宋_GB2312" w:hAnsi="仿宋_GB2312" w:cs="仿宋_GB2312" w:eastAsia="仿宋_GB2312"/>
                      <w:sz w:val="24"/>
                      <w:b/>
                    </w:rPr>
                    <w:t>%）不低于</w:t>
                  </w:r>
                </w:p>
              </w:tc>
              <w:tc>
                <w:tcPr>
                  <w:tcW w:type="dxa" w:w="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发芽率（</w:t>
                  </w:r>
                  <w:r>
                    <w:rPr>
                      <w:rFonts w:ascii="仿宋_GB2312" w:hAnsi="仿宋_GB2312" w:cs="仿宋_GB2312" w:eastAsia="仿宋_GB2312"/>
                      <w:sz w:val="24"/>
                      <w:b/>
                    </w:rPr>
                    <w:t>%）不低于</w:t>
                  </w:r>
                </w:p>
              </w:tc>
              <w:tc>
                <w:tcPr>
                  <w:tcW w:type="dxa" w:w="8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水分（</w:t>
                  </w:r>
                  <w:r>
                    <w:rPr>
                      <w:rFonts w:ascii="仿宋_GB2312" w:hAnsi="仿宋_GB2312" w:cs="仿宋_GB2312" w:eastAsia="仿宋_GB2312"/>
                      <w:sz w:val="24"/>
                      <w:b/>
                    </w:rPr>
                    <w:t>%）不高于</w:t>
                  </w:r>
                </w:p>
              </w:tc>
            </w:tr>
            <w:tr>
              <w:tc>
                <w:tcPr>
                  <w:tcW w:type="dxa" w:w="6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紫花苜蓿</w:t>
                  </w:r>
                </w:p>
              </w:tc>
              <w:tc>
                <w:tcPr>
                  <w:tcW w:type="dxa" w:w="15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i/>
                    </w:rPr>
                    <w:t>M</w:t>
                  </w:r>
                  <w:r>
                    <w:rPr>
                      <w:rFonts w:ascii="仿宋_GB2312" w:hAnsi="仿宋_GB2312" w:cs="仿宋_GB2312" w:eastAsia="仿宋_GB2312"/>
                      <w:sz w:val="20"/>
                      <w:i/>
                    </w:rPr>
                    <w:t>wdicago</w:t>
                  </w:r>
                  <w:r>
                    <w:rPr>
                      <w:rFonts w:ascii="仿宋_GB2312" w:hAnsi="仿宋_GB2312" w:cs="仿宋_GB2312" w:eastAsia="仿宋_GB2312"/>
                      <w:sz w:val="20"/>
                      <w:i/>
                    </w:rPr>
                    <w:t xml:space="preserve"> satava</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r>
                    <w:rPr>
                      <w:rFonts w:ascii="仿宋_GB2312" w:hAnsi="仿宋_GB2312" w:cs="仿宋_GB2312" w:eastAsia="仿宋_GB2312"/>
                      <w:sz w:val="24"/>
                    </w:rPr>
                    <w:t>5</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r>
            <w:tr>
              <w:tc>
                <w:tcPr>
                  <w:tcW w:type="dxa" w:w="603"/>
                  <w:vMerge/>
                  <w:tcBorders>
                    <w:top w:val="none" w:color="000000" w:sz="4"/>
                    <w:left w:val="single" w:color="000000" w:sz="4"/>
                    <w:bottom w:val="single" w:color="000000" w:sz="4"/>
                    <w:right w:val="single" w:color="000000" w:sz="4"/>
                  </w:tcBorders>
                </w:tcPr>
                <w:p/>
              </w:tc>
              <w:tc>
                <w:tcPr>
                  <w:tcW w:type="dxa" w:w="1542"/>
                  <w:vMerge/>
                  <w:tcBorders>
                    <w:top w:val="none" w:color="000000" w:sz="4"/>
                    <w:left w:val="none" w:color="000000" w:sz="4"/>
                    <w:bottom w:val="single" w:color="000000" w:sz="4"/>
                    <w:right w:val="single" w:color="000000" w:sz="4"/>
                  </w:tcBorders>
                </w:tcP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r>
                    <w:rPr>
                      <w:rFonts w:ascii="仿宋_GB2312" w:hAnsi="仿宋_GB2312" w:cs="仿宋_GB2312" w:eastAsia="仿宋_GB2312"/>
                      <w:sz w:val="24"/>
                    </w:rPr>
                    <w:t>0</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85</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2</w:t>
                  </w:r>
                </w:p>
              </w:tc>
            </w:tr>
          </w:tbl>
          <w:p>
            <w:pPr>
              <w:pStyle w:val="null3"/>
              <w:ind w:firstLine="480"/>
              <w:jc w:val="left"/>
            </w:pPr>
            <w:r>
              <w:rPr>
                <w:rFonts w:ascii="仿宋_GB2312" w:hAnsi="仿宋_GB2312" w:cs="仿宋_GB2312" w:eastAsia="仿宋_GB2312"/>
                <w:sz w:val="24"/>
                <w:color w:val="000000"/>
              </w:rPr>
              <w:t>4：种子服务要求：按照“技术引领、效益优先”的原则，项目技术人员需深入项目乡镇，全力以赴做好种子发放种植指导服务工作。供应商需提供彝汉双语的紫花苜蓿种植技术手册。</w:t>
            </w:r>
          </w:p>
          <w:p>
            <w:pPr>
              <w:pStyle w:val="null3"/>
              <w:ind w:firstLine="480"/>
              <w:jc w:val="left"/>
            </w:pPr>
            <w:r>
              <w:rPr>
                <w:rFonts w:ascii="仿宋_GB2312" w:hAnsi="仿宋_GB2312" w:cs="仿宋_GB2312" w:eastAsia="仿宋_GB2312"/>
                <w:sz w:val="21"/>
                <w:color w:val="000000"/>
              </w:rPr>
              <w:t>5：包装规格：25公斤/袋。</w:t>
            </w:r>
          </w:p>
          <w:p>
            <w:pPr>
              <w:pStyle w:val="null3"/>
              <w:ind w:firstLine="480"/>
              <w:jc w:val="left"/>
            </w:pPr>
            <w:r>
              <w:rPr>
                <w:rFonts w:ascii="仿宋_GB2312" w:hAnsi="仿宋_GB2312" w:cs="仿宋_GB2312" w:eastAsia="仿宋_GB2312"/>
                <w:sz w:val="24"/>
                <w:color w:val="000000"/>
              </w:rPr>
              <w:t>4：后续发放：</w:t>
            </w:r>
            <w:r>
              <w:rPr>
                <w:rFonts w:ascii="仿宋_GB2312" w:hAnsi="仿宋_GB2312" w:cs="仿宋_GB2312" w:eastAsia="仿宋_GB2312"/>
                <w:sz w:val="21"/>
                <w:color w:val="000000"/>
              </w:rPr>
              <w:t>供应商采购完种子交货验收合格后负责种子的发放任务。</w:t>
            </w:r>
          </w:p>
          <w:p>
            <w:pPr>
              <w:pStyle w:val="null3"/>
              <w:ind w:firstLine="480"/>
              <w:jc w:val="left"/>
            </w:pPr>
            <w:r>
              <w:rPr>
                <w:rFonts w:ascii="仿宋_GB2312" w:hAnsi="仿宋_GB2312" w:cs="仿宋_GB2312" w:eastAsia="仿宋_GB2312"/>
                <w:sz w:val="24"/>
                <w:color w:val="000000"/>
              </w:rPr>
              <w:t>注：以上种子技术指标及草种质量等相关标准，如国家、省有新的标准，以最新标准为准。</w:t>
            </w:r>
          </w:p>
          <w:p>
            <w:pPr>
              <w:pStyle w:val="null3"/>
              <w:jc w:val="left"/>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1、合同签订后，达到付款条件起10日内，支付合同总金额的40.00%</w:t>
            </w:r>
          </w:p>
          <w:p>
            <w:pPr>
              <w:pStyle w:val="null3"/>
              <w:jc w:val="left"/>
            </w:pPr>
            <w:r>
              <w:rPr>
                <w:rFonts w:ascii="仿宋_GB2312" w:hAnsi="仿宋_GB2312" w:cs="仿宋_GB2312" w:eastAsia="仿宋_GB2312"/>
              </w:rPr>
              <w:t>2、种子进场后经甲方验收合格，达到付款条件起10日内，支付合同总金额的30.00%</w:t>
            </w:r>
          </w:p>
          <w:p>
            <w:pPr>
              <w:pStyle w:val="null3"/>
              <w:jc w:val="left"/>
            </w:pPr>
            <w:r>
              <w:rPr>
                <w:rFonts w:ascii="仿宋_GB2312" w:hAnsi="仿宋_GB2312" w:cs="仿宋_GB2312" w:eastAsia="仿宋_GB2312"/>
              </w:rPr>
              <w:t>3、后续发放任务完工后经甲方验收合格，达到付款条件起10日内，支付合同总金额的30.00%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严格按照《财政部关于进一步加强政府采购需求和履约验收管理的指导意见》(财库〔2016〕205 号)、《政府采购需求管理办法》（财库〔2021〕22号）的要求及国家行业主管部门规定的标准、方法和内容进行验收。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半年（自交货并验收合格之日起计算）</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（1）、因所投产品质量问题发生争议，由采购人或其指定的第三方机构进行质量鉴定鉴定费由成交供应商承担。 （2）、合同履行期间，若双方发生争议，可协商或由有关部门调解解决，协商或调解不成的，供应商或采购人都可向项目所在地人民法院起诉。 （3）、在诉讼期间，除正在进行诉讼部分外，合同其他部分继续执行。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为保障项目质量，供应商需针对本项目提供：一、项目实施方案（①备货方案及包装和运输方案、②应急管理措施、③运输保障措施、④进度管理措施、⑤质量保障措施、⑥人员配备及职责分工）、二、后续服务方案（①售后服务承诺②售后服务内容③响应时间、④售后服务人员配置（12个乡镇每个乡镇至少配备1名能彝汉双语指导的售后种植服务人员）、⑤应急处理措施（自然因素和人为因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投标人提供2023年以来任意一年经审计的年度财务报告复印件；②供应商可提供2023年以来任意一年供应商年度财务报表复印件(至少包含资产负债表、利润表、现金流量表)；③如供应商注册时间截至响应文件递交截止日不足一年的，也可提供在相关主管部门备案的公司章程等证明材料。以上3条提供任意一条即可，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根据采购项目提出的特定资格要求</w:t>
            </w:r>
          </w:p>
        </w:tc>
        <w:tc>
          <w:tcPr>
            <w:tcW w:type="dxa" w:w="3322"/>
          </w:tcPr>
          <w:p>
            <w:pPr>
              <w:pStyle w:val="null3"/>
              <w:jc w:val="left"/>
            </w:pPr>
            <w:r>
              <w:rPr>
                <w:rFonts w:ascii="仿宋_GB2312" w:hAnsi="仿宋_GB2312" w:cs="仿宋_GB2312" w:eastAsia="仿宋_GB2312"/>
              </w:rPr>
              <w:t>（1）供应商须具备有效的《农作物种子经营许可证》或《农作物种子生产许可证》或《农作物种子生产经营许可证》。</w:t>
            </w:r>
          </w:p>
        </w:tc>
        <w:tc>
          <w:tcPr>
            <w:tcW w:type="dxa" w:w="1661"/>
          </w:tcPr>
          <w:p>
            <w:pPr>
              <w:pStyle w:val="null3"/>
              <w:jc w:val="left"/>
            </w:pPr>
            <w:r>
              <w:rPr>
                <w:rFonts w:ascii="仿宋_GB2312" w:hAnsi="仿宋_GB2312" w:cs="仿宋_GB2312" w:eastAsia="仿宋_GB2312"/>
              </w:rPr>
              <w:t>投标人应提交的相关证明材料,投标（响应）函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供应商针对本项目编制项目实施方案，包括但不限于①备货及包装和运输方案、②应急管理措施、③运输保障措施、④进度管理措施、⑤质量保障措施、⑥人员配备及职责分工，以上内容完整且符合本项目需求和特点的得36分，每缺一项扣6分。每有一项存在缺陷或有不完善的扣3分，单项扣完为止。 注：内容缺陷或有不完善是指：内容与实际情况不符、内容与项目无关、内容表述错误、内容凭空编造、项目信息错误（包括时间、地点、名称等）、不符合本项目涉及的相关规范或标准要求等情形。</w:t>
            </w:r>
          </w:p>
        </w:tc>
        <w:tc>
          <w:tcPr>
            <w:tcW w:type="dxa" w:w="831"/>
          </w:tcPr>
          <w:p>
            <w:pPr>
              <w:pStyle w:val="null3"/>
              <w:jc w:val="center"/>
            </w:pPr>
            <w:r>
              <w:rPr>
                <w:rFonts w:ascii="仿宋_GB2312" w:hAnsi="仿宋_GB2312" w:cs="仿宋_GB2312" w:eastAsia="仿宋_GB2312"/>
              </w:rPr>
              <w:t>36.0000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供应商针对本项目编制项目技术服务方案，包括但不限于①售后服务承诺②售后服务内容③响应时间、④售后服务人员配置（12个乡镇每个乡镇至少配备1名能彝汉双语指导的售后种植服务人员）、⑤应急处理措施（自然因素和人为因素）等。以上内容完整且符合本项目需求和特点的得30分，每缺一项扣6分。每有一项存在缺陷或有不完善的扣3分，单项扣完为止。 注：内容缺陷或有不完善是指：内容与实际情况不符、内容与项目无关、内容表述错误、内容凭空编造、项目信息错误（包括时间、地点、名称等）、不符合本项目涉及的相关规范或标准要求等情形。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自2023年1月1日以来至响应文件递交截止之日止，具备一个类似项目业绩的得2分，在此基础上每增加1个加1分，本项最多得4分。 注：类似业绩是指种子销售，提供完整合同及相对应的发票复印件加盖供应商公章。</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