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版本号：N510101202500200720260325003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多功能实训教室LED采购项目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N5101012025002007</w:t>
      </w:r>
    </w:p>
    <w:p>
      <w:pPr>
        <w:pStyle w:val="null3"/>
        <w:jc w:val="left"/>
        <w:outlineLvl w:val="2"/>
      </w:pPr>
      <w:r>
        <w:rPr>
          <w:rFonts w:ascii="仿宋_GB2312" w:hAnsi="仿宋_GB2312" w:cs="仿宋_GB2312" w:eastAsia="仿宋_GB2312"/>
          <w:sz w:val="28"/>
          <w:b/>
        </w:rPr>
        <w:t>成都职业技术学院</w:t>
      </w:r>
    </w:p>
    <w:p>
      <w:pPr>
        <w:pStyle w:val="null3"/>
        <w:jc w:val="center"/>
        <w:outlineLvl w:val="2"/>
      </w:pPr>
      <w:r>
        <w:rPr>
          <w:rFonts w:ascii="仿宋_GB2312" w:hAnsi="仿宋_GB2312" w:cs="仿宋_GB2312" w:eastAsia="仿宋_GB2312"/>
          <w:sz w:val="28"/>
          <w:b/>
        </w:rPr>
        <w:t>成都市政府采购中心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成都职业技术学院</w:t>
      </w:r>
      <w:r>
        <w:rPr>
          <w:rFonts w:ascii="仿宋_GB2312" w:hAnsi="仿宋_GB2312" w:cs="仿宋_GB2312" w:eastAsia="仿宋_GB2312"/>
        </w:rPr>
        <w:t xml:space="preserve"> 委托，拟对 </w:t>
      </w:r>
      <w:r>
        <w:rPr>
          <w:rFonts w:ascii="仿宋_GB2312" w:hAnsi="仿宋_GB2312" w:cs="仿宋_GB2312" w:eastAsia="仿宋_GB2312"/>
        </w:rPr>
        <w:t>多功能实训教室LED采购项目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N5101012025002007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多功能实训教室LED采购项目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7"/>
        </w:rPr>
        <w:t>1、资金来源、预算金额及最高限价：财政性资金，政府采购实施计划备案表号：</w:t>
      </w:r>
      <w:r>
        <w:rPr>
          <w:rFonts w:ascii="仿宋_GB2312" w:hAnsi="仿宋_GB2312" w:cs="仿宋_GB2312" w:eastAsia="仿宋_GB2312"/>
          <w:sz w:val="27"/>
          <w:shd w:fill="FFFFFF" w:val="clear"/>
        </w:rPr>
        <w:t>51010025210200046622[2025]02608</w:t>
      </w:r>
      <w:r>
        <w:rPr>
          <w:rFonts w:ascii="仿宋_GB2312" w:hAnsi="仿宋_GB2312" w:cs="仿宋_GB2312" w:eastAsia="仿宋_GB2312"/>
          <w:sz w:val="27"/>
        </w:rPr>
        <w:t>；预算品目：A02021103 LED 显示屏；预算金额：</w:t>
      </w:r>
      <w:r>
        <w:rPr>
          <w:rFonts w:ascii="仿宋_GB2312" w:hAnsi="仿宋_GB2312" w:cs="仿宋_GB2312" w:eastAsia="仿宋_GB2312"/>
          <w:sz w:val="27"/>
          <w:shd w:fill="FFFFFF" w:val="clear"/>
        </w:rPr>
        <w:t>1,989,000.00</w:t>
      </w:r>
      <w:r>
        <w:rPr>
          <w:rFonts w:ascii="仿宋_GB2312" w:hAnsi="仿宋_GB2312" w:cs="仿宋_GB2312" w:eastAsia="仿宋_GB2312"/>
          <w:sz w:val="27"/>
        </w:rPr>
        <w:t>元；最高限价（控制价）：</w:t>
      </w:r>
      <w:r>
        <w:rPr>
          <w:rFonts w:ascii="仿宋_GB2312" w:hAnsi="仿宋_GB2312" w:cs="仿宋_GB2312" w:eastAsia="仿宋_GB2312"/>
          <w:sz w:val="27"/>
          <w:shd w:fill="FFFFFF" w:val="clear"/>
        </w:rPr>
        <w:t>1,989,000.00</w:t>
      </w:r>
      <w:r>
        <w:rPr>
          <w:rFonts w:ascii="仿宋_GB2312" w:hAnsi="仿宋_GB2312" w:cs="仿宋_GB2312" w:eastAsia="仿宋_GB2312"/>
          <w:sz w:val="27"/>
        </w:rPr>
        <w:t>元。</w:t>
      </w:r>
    </w:p>
    <w:p>
      <w:pPr>
        <w:pStyle w:val="null3"/>
        <w:ind w:firstLine="480"/>
        <w:jc w:val="left"/>
      </w:pPr>
      <w:r>
        <w:rPr>
          <w:rFonts w:ascii="仿宋_GB2312" w:hAnsi="仿宋_GB2312" w:cs="仿宋_GB2312" w:eastAsia="仿宋_GB2312"/>
          <w:sz w:val="27"/>
        </w:rPr>
        <w:t>2、投诉受理单位：本项目同级财政部门，即成都市财政局。 联系电话：028-61882648。 地址：成都市高新区锦城大道366号。 邮编：610041。</w:t>
      </w:r>
    </w:p>
    <w:p>
      <w:pPr>
        <w:pStyle w:val="null3"/>
        <w:ind w:firstLine="480"/>
        <w:jc w:val="left"/>
      </w:pPr>
      <w:r>
        <w:rPr>
          <w:rFonts w:ascii="仿宋_GB2312" w:hAnsi="仿宋_GB2312" w:cs="仿宋_GB2312" w:eastAsia="仿宋_GB2312"/>
          <w:sz w:val="27"/>
        </w:rPr>
        <w:t>3、采购内容：多功能实训教室LED采购项目包括3个实训教室内所有LED显示屏及其配套系统的采购、安装与集成。包括总面积约160平方米的高清LED主屏、弧形屏、高分屏及会标屏，并配套专业的视频拼接系统、控制系统、空调散热系统和智能电源管理中心，旨在构建一套技术先进、显示效果卓越、运行稳定可靠的高清LED大屏显示系统。现采购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成都市高新区益州大道北段15号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周松松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028-85322355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成都市天府大道北段966号(天府国际中心7号楼)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郭彦君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028-85325791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采购包1：1,989,000.00元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1）中标通知书发放后，合同签订前，供应商向采购人支付合同总金额的5%作为履约保证金，若供应商违约，采购人可以先从履约保证金、未支付货款中扣除违约金，不足部分供应商应另行支付，同时供应商应在扣除违约金3日内补足履约保证金。</w:t>
              <w:br/>
              <w:t>（2）履约保证金汇入的银行及账号:</w:t>
              <w:br/>
              <w:t>收款单位:成都职业技术学院</w:t>
              <w:br/>
              <w:t>开户银行: 中国银行成都城南支行</w:t>
              <w:br/>
              <w:t>银行账号: 123928472289</w:t>
              <w:br/>
              <w:t>（3）履约保证金在项目验收合格后，供应商提交履约保证金退还申请，采购人在收到申请后的10个日历日内一次性无息退还供应商的履约保证金。因采购人原因逾期退还的，除应及时退还，还应向投标人支付未退还金额0.1‰/天的违约金。</w:t>
              <w:br/>
              <w:t>（4）履约保证金不予退还情形:未按政府采购合同履约的。履约保证金不予退还的，将按照有关规定上缴国库。</w:t>
              <w:br/>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成都职业技术学院</w:t>
      </w:r>
      <w:r>
        <w:rPr>
          <w:rFonts w:ascii="仿宋_GB2312" w:hAnsi="仿宋_GB2312" w:cs="仿宋_GB2312" w:eastAsia="仿宋_GB2312"/>
        </w:rPr>
        <w:t xml:space="preserve"> 和 </w:t>
      </w:r>
      <w:r>
        <w:rPr>
          <w:rFonts w:ascii="仿宋_GB2312" w:hAnsi="仿宋_GB2312" w:cs="仿宋_GB2312" w:eastAsia="仿宋_GB2312"/>
        </w:rPr>
        <w:t>成都市政府采购中心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收到投标人提出验收申请后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根据招标（采购）文件、投标（响应）文件及合同约定事项逐一验收。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根据招标（采购）文件、投标（响应）文件及合同约定事项逐一验收。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 号)及招标文件约定进行验收。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成都职业技术学院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联系人：周松松</w:t>
      </w:r>
    </w:p>
    <w:p>
      <w:pPr>
        <w:pStyle w:val="null3"/>
        <w:jc w:val="left"/>
      </w:pPr>
      <w:r>
        <w:rPr>
          <w:rFonts w:ascii="仿宋_GB2312" w:hAnsi="仿宋_GB2312" w:cs="仿宋_GB2312" w:eastAsia="仿宋_GB2312"/>
        </w:rPr>
        <w:t>联系电话：028-85322355</w:t>
      </w:r>
    </w:p>
    <w:p>
      <w:pPr>
        <w:pStyle w:val="null3"/>
        <w:jc w:val="left"/>
      </w:pPr>
      <w:r>
        <w:rPr>
          <w:rFonts w:ascii="仿宋_GB2312" w:hAnsi="仿宋_GB2312" w:cs="仿宋_GB2312" w:eastAsia="仿宋_GB2312"/>
        </w:rPr>
        <w:t>地址：成都市高新区益州大道北段15号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联系人：郭彦君</w:t>
      </w:r>
    </w:p>
    <w:p>
      <w:pPr>
        <w:pStyle w:val="null3"/>
        <w:jc w:val="left"/>
      </w:pPr>
      <w:r>
        <w:rPr>
          <w:rFonts w:ascii="仿宋_GB2312" w:hAnsi="仿宋_GB2312" w:cs="仿宋_GB2312" w:eastAsia="仿宋_GB2312"/>
        </w:rPr>
        <w:t>联系电话：028-85325791</w:t>
      </w:r>
    </w:p>
    <w:p>
      <w:pPr>
        <w:pStyle w:val="null3"/>
        <w:jc w:val="left"/>
      </w:pPr>
      <w:r>
        <w:rPr>
          <w:rFonts w:ascii="仿宋_GB2312" w:hAnsi="仿宋_GB2312" w:cs="仿宋_GB2312" w:eastAsia="仿宋_GB2312"/>
        </w:rPr>
        <w:t>地址：成都市天府大道北段966号(天府国际中心7号楼)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1,989,000.00</w:t>
      </w:r>
    </w:p>
    <w:p>
      <w:pPr>
        <w:pStyle w:val="null3"/>
        <w:jc w:val="left"/>
      </w:pPr>
      <w:r>
        <w:rPr>
          <w:rFonts w:ascii="仿宋_GB2312" w:hAnsi="仿宋_GB2312" w:cs="仿宋_GB2312" w:eastAsia="仿宋_GB2312"/>
        </w:rPr>
        <w:t>采购包最高限价（元）: 1,980,000.00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全彩LED显示屏1</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外弧形安装屏</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视频拼接系统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149,000.00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全彩LED显示屏2</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920,000.00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LED会标屏</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控制系统</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42,500.00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电源管理中心</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全彩LED显示屏1</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外弧形安装屏</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视频拼接系统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149,000.00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全彩LED显示屏2</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920,000.00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LED会标屏</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控制系统</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42,500.00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电源管理中心</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全彩LED显示屏2</w:t>
            </w:r>
          </w:p>
        </w:tc>
        <w:tc>
          <w:tcPr>
            <w:tcW w:type="dxa" w:w="2492"/>
          </w:tcPr>
          <w:p>
            <w:pPr>
              <w:pStyle w:val="null3"/>
              <w:jc w:val="left"/>
            </w:pPr>
            <w:r>
              <w:rPr>
                <w:rFonts w:ascii="仿宋_GB2312" w:hAnsi="仿宋_GB2312" w:cs="仿宋_GB2312" w:eastAsia="仿宋_GB2312"/>
              </w:rPr>
              <w:t>全彩LED显示屏2</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标的名称：全彩LED显示屏1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before="105" w:after="105"/>
              <w:jc w:val="left"/>
            </w:pPr>
            <w:r>
              <w:rPr>
                <w:rFonts w:ascii="仿宋_GB2312" w:hAnsi="仿宋_GB2312" w:cs="仿宋_GB2312" w:eastAsia="仿宋_GB2312"/>
                <w:sz w:val="27"/>
              </w:rPr>
              <w:t>★1.点间距≤1.86mm，模组尺寸≥320mm×160mm；屏体自带接收系统及配电系统；显示屏换帧率≥60fps，灰度等级≥16bit，整屏播放高速运动画面(如体育赛事)时无拖影、残影、卡顿；整屏显示中英文字符清晰锐利，几何无失真；PWM调光频率≥3840Hz，显示屏整屏显示文字或图像时，用手机拍摄屏幕，相机快门速度1/1000s条件下无可见扫描线，画面无“水波纹”或闪烁现象；显示屏连续运行72小时，每平方米死灯数≤2颗；显示屏连续运行一周无黑屏、闪屏、花屏；显示屏开关机时间≤5秒，信号输入延迟≤16.7ms，多屏同步误差≤1ms。</w:t>
            </w:r>
          </w:p>
          <w:p>
            <w:pPr>
              <w:pStyle w:val="null3"/>
              <w:spacing w:before="105" w:after="105"/>
              <w:jc w:val="left"/>
            </w:pPr>
            <w:r>
              <w:rPr>
                <w:rFonts w:ascii="仿宋_GB2312" w:hAnsi="仿宋_GB2312" w:cs="仿宋_GB2312" w:eastAsia="仿宋_GB2312"/>
                <w:sz w:val="27"/>
              </w:rPr>
              <w:t>★2.全彩LED显示屏1显示面积≥82平方米,采用箱体安装，投标人负责全彩LED显示屏1安装，全彩LED显示屏1安装包含但不限于金属安装支架、不锈钢包边、屏体内部强弱电线材。</w:t>
            </w:r>
          </w:p>
          <w:p>
            <w:pPr>
              <w:pStyle w:val="null3"/>
              <w:spacing w:before="105" w:after="105"/>
              <w:jc w:val="left"/>
            </w:pPr>
            <w:r>
              <w:rPr>
                <w:rFonts w:ascii="仿宋_GB2312" w:hAnsi="仿宋_GB2312" w:cs="仿宋_GB2312" w:eastAsia="仿宋_GB2312"/>
                <w:sz w:val="27"/>
              </w:rPr>
              <w:t>3.具有亮暗线调节功能，支持暗线修复、隐亮消除。</w:t>
            </w:r>
          </w:p>
          <w:p>
            <w:pPr>
              <w:pStyle w:val="null3"/>
              <w:spacing w:before="105" w:after="105"/>
              <w:jc w:val="left"/>
            </w:pPr>
            <w:r>
              <w:rPr>
                <w:rFonts w:ascii="仿宋_GB2312" w:hAnsi="仿宋_GB2312" w:cs="仿宋_GB2312" w:eastAsia="仿宋_GB2312"/>
                <w:sz w:val="27"/>
              </w:rPr>
              <w:t>4.可实时监控显示屏工作状态、温度，具有过温或故障报警功能，发生故障立即发消息到指定邮箱；具有工作电压、接收卡、发送卡工作状态监控功能。</w:t>
            </w:r>
          </w:p>
          <w:p>
            <w:pPr>
              <w:pStyle w:val="null3"/>
              <w:spacing w:before="105" w:after="105"/>
              <w:jc w:val="left"/>
            </w:pPr>
            <w:r>
              <w:rPr>
                <w:rFonts w:ascii="仿宋_GB2312" w:hAnsi="仿宋_GB2312" w:cs="仿宋_GB2312" w:eastAsia="仿宋_GB2312"/>
                <w:sz w:val="27"/>
              </w:rPr>
              <w:t>5.对比度≥3000:1； NTSC色域覆盖率≥115%；像素失控率≤1/1500000；平整度≤0.05mm；单元拼缝间隙：模组间/单元间的拼缝与间隙≤0.05mm；基色主波长误差：C级△λD≤5nm，亮度误差值≤3%，灯芯的波长误差值在±1nm之内；亮度鉴别等级C级 Bj≥20。</w:t>
            </w:r>
          </w:p>
          <w:p>
            <w:pPr>
              <w:pStyle w:val="null3"/>
              <w:spacing w:before="105" w:after="105"/>
              <w:jc w:val="left"/>
            </w:pPr>
            <w:r>
              <w:rPr>
                <w:rFonts w:ascii="仿宋_GB2312" w:hAnsi="仿宋_GB2312" w:cs="仿宋_GB2312" w:eastAsia="仿宋_GB2312"/>
                <w:sz w:val="27"/>
              </w:rPr>
              <w:t>▲6.PCB板：焊盘采用OSP工艺处理，板材采用玻璃化温度≥150℃的覆铜板。（说明：提供具有CMA标识的检测报告复印件。）</w:t>
            </w:r>
          </w:p>
          <w:p>
            <w:pPr>
              <w:pStyle w:val="null3"/>
              <w:jc w:val="left"/>
            </w:pPr>
            <w:r>
              <w:rPr>
                <w:rFonts w:ascii="仿宋_GB2312" w:hAnsi="仿宋_GB2312" w:cs="仿宋_GB2312" w:eastAsia="仿宋_GB2312"/>
                <w:sz w:val="27"/>
              </w:rPr>
              <w:t>7.根据SJ/T 11590-2016LED显示屏图像质量主观评价方法，静态图像清晰度、运动图像清晰度、大面积色彩还原、图像均匀性、拼装精度、灰度表现力2(伪轮廓现象)、回扫线或频闪现象符合评价优；符合IK10机械碰撞防护要求；PCB板、塑胶件、内部线材阻燃符合V-0要求；屏体正面为黑色亚光处理，反光率≤1.5%。</w:t>
            </w:r>
          </w:p>
        </w:tc>
      </w:tr>
    </w:tbl>
    <w:p>
      <w:pPr>
        <w:pStyle w:val="null3"/>
        <w:jc w:val="left"/>
      </w:pPr>
      <w:r>
        <w:rPr>
          <w:rFonts w:ascii="仿宋_GB2312" w:hAnsi="仿宋_GB2312" w:cs="仿宋_GB2312" w:eastAsia="仿宋_GB2312"/>
        </w:rPr>
        <w:t>标的名称：外弧形安装屏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before="105" w:after="105"/>
              <w:jc w:val="left"/>
            </w:pPr>
            <w:r>
              <w:rPr>
                <w:rFonts w:ascii="仿宋_GB2312" w:hAnsi="仿宋_GB2312" w:cs="仿宋_GB2312" w:eastAsia="仿宋_GB2312"/>
                <w:sz w:val="27"/>
              </w:rPr>
              <w:t>★1.点间距≤1.86mm，模组尺寸≥320mm×160mm；屏体自带接收系统及配电系统；显示屏换帧率≥60fps，灰度等级≥16bit，整屏播放高速运动画面(如体育赛事)时无拖影、残影、卡顿；整屏显示中英文字符清晰锐利，几何无失真；PWM调光频率≥3840Hz，显示屏整屏显示文字或图像时，用手机拍摄屏幕，相机快门速度1/1000s条件下无可见扫描线，画面无“水波纹”或闪烁现象；显示屏连续运行72小时，每平方米死灯数≤2颗；显示屏连续运行一周无黑屏、闪屏、花屏；显示屏开关机时间≤5秒，信号输入延迟≤16.7ms，多屏同步误差≤1ms。</w:t>
            </w:r>
          </w:p>
          <w:p>
            <w:pPr>
              <w:pStyle w:val="null3"/>
              <w:spacing w:before="105" w:after="105"/>
              <w:jc w:val="left"/>
            </w:pPr>
            <w:r>
              <w:rPr>
                <w:rFonts w:ascii="仿宋_GB2312" w:hAnsi="仿宋_GB2312" w:cs="仿宋_GB2312" w:eastAsia="仿宋_GB2312"/>
                <w:sz w:val="27"/>
              </w:rPr>
              <w:t>★2.外弧形安装屏显示面积≥42平方米,采用箱体安装，投标人负责外弧形安装屏安装，外弧形安装屏安装包含但不限于金属安装支架、不锈钢包边、屏体内部强弱电线材。</w:t>
            </w:r>
          </w:p>
          <w:p>
            <w:pPr>
              <w:pStyle w:val="null3"/>
              <w:spacing w:before="105" w:after="105"/>
              <w:jc w:val="left"/>
            </w:pPr>
            <w:r>
              <w:rPr>
                <w:rFonts w:ascii="仿宋_GB2312" w:hAnsi="仿宋_GB2312" w:cs="仿宋_GB2312" w:eastAsia="仿宋_GB2312"/>
                <w:sz w:val="27"/>
              </w:rPr>
              <w:t>3.配置具有智能亮度调节、智能监测与数据可视化、多路HDMI接口切换功能的软件。</w:t>
            </w:r>
          </w:p>
          <w:p>
            <w:pPr>
              <w:pStyle w:val="null3"/>
              <w:spacing w:before="105" w:after="105"/>
              <w:jc w:val="left"/>
            </w:pPr>
            <w:r>
              <w:rPr>
                <w:rFonts w:ascii="仿宋_GB2312" w:hAnsi="仿宋_GB2312" w:cs="仿宋_GB2312" w:eastAsia="仿宋_GB2312"/>
                <w:sz w:val="27"/>
              </w:rPr>
              <w:t>4.对比度：≥3000:1； NTSC色域覆盖率：≥115%；像素失控率≤1/1500000；平整度：≤0.05mm；单元拼缝间隙：模组间/单元间的拼缝与间隙≤0.05mm；像素中心距偏差≤1%，亮度≥550nit（0-100%无级可调），亮度均匀性≥98%；色度均匀性在±0.001Cx，Cy之内，可视角度：水平≥160°，垂直≥160°。</w:t>
            </w:r>
          </w:p>
          <w:p>
            <w:pPr>
              <w:pStyle w:val="null3"/>
              <w:spacing w:before="105" w:after="105"/>
              <w:jc w:val="left"/>
            </w:pPr>
            <w:r>
              <w:rPr>
                <w:rFonts w:ascii="仿宋_GB2312" w:hAnsi="仿宋_GB2312" w:cs="仿宋_GB2312" w:eastAsia="仿宋_GB2312"/>
                <w:sz w:val="27"/>
              </w:rPr>
              <w:t>5.功耗：峰值功率≤350W/㎡，平均功率≤120W/㎡，黑屏功率≤20W/㎡；具有单点、模块级亮度、色度校正功能，校正后亮度损失＜10%；具有通过调整流入每个LED的电流控制像素亮度的功能；支持对色彩及亮度自动调整。</w:t>
            </w:r>
          </w:p>
          <w:p>
            <w:pPr>
              <w:pStyle w:val="null3"/>
              <w:spacing w:before="105" w:after="105"/>
              <w:jc w:val="left"/>
            </w:pPr>
            <w:r>
              <w:rPr>
                <w:rFonts w:ascii="仿宋_GB2312" w:hAnsi="仿宋_GB2312" w:cs="仿宋_GB2312" w:eastAsia="仿宋_GB2312"/>
                <w:sz w:val="27"/>
              </w:rPr>
              <w:t>★6.采用分布式供电，配置具有电源过压、过流、断电保护以及温度控制系统。</w:t>
            </w:r>
          </w:p>
          <w:p>
            <w:pPr>
              <w:pStyle w:val="null3"/>
              <w:spacing w:before="105" w:after="105"/>
              <w:jc w:val="left"/>
            </w:pPr>
            <w:r>
              <w:rPr>
                <w:rFonts w:ascii="仿宋_GB2312" w:hAnsi="仿宋_GB2312" w:cs="仿宋_GB2312" w:eastAsia="仿宋_GB2312"/>
                <w:sz w:val="27"/>
              </w:rPr>
              <w:t>▲7.可通过手机 APP 控制软件，设定电流、电压、温湿度、烟雾等报警值；支持实时采集电力数据，并通过网络发送至后台控制系统和手机APP。（说明：提供具有CMA标识的检测报告复印件。）</w:t>
            </w:r>
          </w:p>
        </w:tc>
      </w:tr>
    </w:tbl>
    <w:p>
      <w:pPr>
        <w:pStyle w:val="null3"/>
        <w:jc w:val="left"/>
      </w:pPr>
      <w:r>
        <w:rPr>
          <w:rFonts w:ascii="仿宋_GB2312" w:hAnsi="仿宋_GB2312" w:cs="仿宋_GB2312" w:eastAsia="仿宋_GB2312"/>
        </w:rPr>
        <w:t>标的名称：视频拼接系统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before="105" w:after="105"/>
              <w:jc w:val="left"/>
            </w:pPr>
            <w:r>
              <w:rPr>
                <w:rFonts w:ascii="仿宋_GB2312" w:hAnsi="仿宋_GB2312" w:cs="仿宋_GB2312" w:eastAsia="仿宋_GB2312"/>
                <w:sz w:val="27"/>
              </w:rPr>
              <w:t>★1.采用≤9.5U标准机箱插卡式设计，前面板具备≥5英寸触摸显示屏用于显示设备当前状态以及参数的设置。</w:t>
            </w:r>
          </w:p>
          <w:p>
            <w:pPr>
              <w:pStyle w:val="null3"/>
              <w:spacing w:before="105" w:after="105"/>
              <w:jc w:val="left"/>
            </w:pPr>
            <w:r>
              <w:rPr>
                <w:rFonts w:ascii="仿宋_GB2312" w:hAnsi="仿宋_GB2312" w:cs="仿宋_GB2312" w:eastAsia="仿宋_GB2312"/>
                <w:sz w:val="27"/>
              </w:rPr>
              <w:t>★2.配置4K输入板卡1张，输入板卡具有≥2路HDMI2.0输入接口，≥2路DP1.2输入接口，≥2路LOOP环出接口，HDMI2.0接口可通过LOOP接口进行视频环出。</w:t>
            </w:r>
          </w:p>
          <w:p>
            <w:pPr>
              <w:pStyle w:val="null3"/>
              <w:spacing w:before="105" w:after="105"/>
              <w:jc w:val="left"/>
            </w:pPr>
            <w:r>
              <w:rPr>
                <w:rFonts w:ascii="仿宋_GB2312" w:hAnsi="仿宋_GB2312" w:cs="仿宋_GB2312" w:eastAsia="仿宋_GB2312"/>
                <w:sz w:val="27"/>
              </w:rPr>
              <w:t>★3.配置发送输出卡3张，发送输出卡具有≥20路RJ45千兆网口，单张带载≥1300万像素，支持网口间环路冗余备份。</w:t>
            </w:r>
          </w:p>
          <w:p>
            <w:pPr>
              <w:pStyle w:val="null3"/>
              <w:spacing w:before="105" w:after="105"/>
              <w:jc w:val="left"/>
            </w:pPr>
            <w:r>
              <w:rPr>
                <w:rFonts w:ascii="仿宋_GB2312" w:hAnsi="仿宋_GB2312" w:cs="仿宋_GB2312" w:eastAsia="仿宋_GB2312"/>
                <w:sz w:val="27"/>
              </w:rPr>
              <w:t>★4.配置预监输出卡1张，预监输出卡具有≥1 个预监输出接口和 ≥1 个回显输出接口，均为HDMI2.0 接口，支持自适应 2K/4K 分辨率显示器；支持通过输出接口输出至显示器预监回显、在 Web 界面预监回显、在设备前面板触摸屏预监回显三种方式实现预监回显功能。</w:t>
            </w:r>
          </w:p>
          <w:p>
            <w:pPr>
              <w:pStyle w:val="null3"/>
              <w:spacing w:before="105" w:after="105"/>
              <w:jc w:val="left"/>
            </w:pPr>
            <w:r>
              <w:rPr>
                <w:rFonts w:ascii="仿宋_GB2312" w:hAnsi="仿宋_GB2312" w:cs="仿宋_GB2312" w:eastAsia="仿宋_GB2312"/>
                <w:sz w:val="27"/>
              </w:rPr>
              <w:t>★5.配置6路输入卡2张，输入卡具有≥6路HDMI接口，可通过EDID设置自定义分辨率，支持≥2048×1080@60Hz视频输入。</w:t>
            </w:r>
          </w:p>
          <w:p>
            <w:pPr>
              <w:pStyle w:val="null3"/>
              <w:spacing w:before="105" w:after="105"/>
              <w:jc w:val="left"/>
            </w:pPr>
            <w:r>
              <w:rPr>
                <w:rFonts w:ascii="仿宋_GB2312" w:hAnsi="仿宋_GB2312" w:cs="仿宋_GB2312" w:eastAsia="仿宋_GB2312"/>
                <w:sz w:val="27"/>
              </w:rPr>
              <w:t>★6.配置6路输出卡2张，输出卡具有≥6路HDMI接口，支持≥2048×1080@60Hz视频输出。</w:t>
            </w:r>
          </w:p>
          <w:p>
            <w:pPr>
              <w:pStyle w:val="null3"/>
              <w:spacing w:before="105" w:after="105"/>
              <w:jc w:val="left"/>
            </w:pPr>
            <w:r>
              <w:rPr>
                <w:rFonts w:ascii="仿宋_GB2312" w:hAnsi="仿宋_GB2312" w:cs="仿宋_GB2312" w:eastAsia="仿宋_GB2312"/>
                <w:sz w:val="27"/>
              </w:rPr>
              <w:t>7.配置多画面拼接处理器PC版软件。</w:t>
            </w:r>
          </w:p>
          <w:p>
            <w:pPr>
              <w:pStyle w:val="null3"/>
              <w:spacing w:before="105" w:after="105"/>
              <w:jc w:val="left"/>
            </w:pPr>
            <w:r>
              <w:rPr>
                <w:rFonts w:ascii="仿宋_GB2312" w:hAnsi="仿宋_GB2312" w:cs="仿宋_GB2312" w:eastAsia="仿宋_GB2312"/>
                <w:sz w:val="27"/>
              </w:rPr>
              <w:t>8.配置具有LED大屏亮色度校正、屏幕参数配置、十字线修复、修缝、备份恢复、信息发布、屏幕控制等系统软件功能的软件。</w:t>
            </w:r>
          </w:p>
          <w:p>
            <w:pPr>
              <w:pStyle w:val="null3"/>
              <w:spacing w:before="105" w:after="105"/>
              <w:jc w:val="left"/>
            </w:pPr>
            <w:r>
              <w:rPr>
                <w:rFonts w:ascii="仿宋_GB2312" w:hAnsi="仿宋_GB2312" w:cs="仿宋_GB2312" w:eastAsia="仿宋_GB2312"/>
                <w:sz w:val="27"/>
              </w:rPr>
              <w:t>★9.配置HDMI双绞线传输器10套。</w:t>
            </w:r>
          </w:p>
          <w:p>
            <w:pPr>
              <w:pStyle w:val="null3"/>
              <w:spacing w:before="105" w:after="105"/>
              <w:jc w:val="left"/>
            </w:pPr>
            <w:r>
              <w:rPr>
                <w:rFonts w:ascii="仿宋_GB2312" w:hAnsi="仿宋_GB2312" w:cs="仿宋_GB2312" w:eastAsia="仿宋_GB2312"/>
                <w:sz w:val="27"/>
              </w:rPr>
              <w:t>▲10. 配置的HDMI双绞线传输器技术参数要求：视频输入、输出接口：HDMI（公头）；视频传输接口:RJ45；无需外接电源，尺寸大小≤60mm×25mm×25mm(长×宽×高)，具有保护电路,支持热插拔，具有防雷功能；在无外接电源状态下，连接≥80m双绞线传输1920*1080P@60Hz数字视频信号，能正常显示；内嵌数字双绞线传输系统软件、低码率视频压缩处理功能软件。（说明：提供具有CMA标识的检测报告复印件。）</w:t>
            </w:r>
          </w:p>
          <w:p>
            <w:pPr>
              <w:pStyle w:val="null3"/>
              <w:spacing w:before="105" w:after="105"/>
              <w:jc w:val="left"/>
            </w:pPr>
            <w:r>
              <w:rPr>
                <w:rFonts w:ascii="仿宋_GB2312" w:hAnsi="仿宋_GB2312" w:cs="仿宋_GB2312" w:eastAsia="仿宋_GB2312"/>
                <w:sz w:val="27"/>
              </w:rPr>
              <w:t>★11.配置中继器10套。</w:t>
            </w:r>
          </w:p>
          <w:p>
            <w:pPr>
              <w:pStyle w:val="null3"/>
              <w:spacing w:before="105" w:after="105"/>
              <w:jc w:val="left"/>
            </w:pPr>
            <w:r>
              <w:rPr>
                <w:rFonts w:ascii="仿宋_GB2312" w:hAnsi="仿宋_GB2312" w:cs="仿宋_GB2312" w:eastAsia="仿宋_GB2312"/>
                <w:sz w:val="27"/>
              </w:rPr>
              <w:t>▲12. 配置的中继器技术参数要求：具备POE供电；视频信号输入、输出接口：RJ45；具有绿黄指示灯，信号正常情况下双灯常亮；自适应EDID,在无外接电源情况下支持1920×1080@60Hz≥80米无压缩传输，4K@30Hz≥20米无压缩传输，输入TMDS信号：1.2Vp-p，输入DDC信号：5Vp-p；自适应EDID,支持1920×1080@60Hz ≥80米无压缩传输，4K@30Hz≥20米无压缩传输；内嵌TD-LTE传输视频编辑软件、智能电源控制系统软件。（说明：提供具有CMA标识的检测报告复印件。）</w:t>
            </w:r>
          </w:p>
          <w:p>
            <w:pPr>
              <w:pStyle w:val="null3"/>
              <w:spacing w:before="105" w:after="105"/>
              <w:jc w:val="left"/>
            </w:pPr>
            <w:r>
              <w:rPr>
                <w:rFonts w:ascii="仿宋_GB2312" w:hAnsi="仿宋_GB2312" w:cs="仿宋_GB2312" w:eastAsia="仿宋_GB2312"/>
                <w:sz w:val="27"/>
              </w:rPr>
              <w:t>▲13.后面板具有≥18个输入卡槽，≥10个输出卡槽，≥1个预监卡槽，≥２个电源插孔。</w:t>
            </w:r>
          </w:p>
          <w:p>
            <w:pPr>
              <w:pStyle w:val="null3"/>
              <w:spacing w:before="105" w:after="105"/>
              <w:jc w:val="left"/>
            </w:pPr>
            <w:r>
              <w:rPr>
                <w:rFonts w:ascii="仿宋_GB2312" w:hAnsi="仿宋_GB2312" w:cs="仿宋_GB2312" w:eastAsia="仿宋_GB2312"/>
                <w:sz w:val="27"/>
              </w:rPr>
              <w:t>14.整机千兆网口输出数量支持≥100路，最大带载≥6500万像素；支持单机输出带载≥20路4096×2160@60Hz；具备千兆网口、5G 网口、万兆光口、HDMI/DVI 视频输入输出功能。</w:t>
            </w:r>
          </w:p>
          <w:p>
            <w:pPr>
              <w:pStyle w:val="null3"/>
              <w:spacing w:before="105" w:after="105"/>
              <w:jc w:val="left"/>
            </w:pPr>
            <w:r>
              <w:rPr>
                <w:rFonts w:ascii="仿宋_GB2312" w:hAnsi="仿宋_GB2312" w:cs="仿宋_GB2312" w:eastAsia="仿宋_GB2312"/>
                <w:sz w:val="27"/>
              </w:rPr>
              <w:t>15.支持 HDR 显示，符合HLG 标准；支持 Genlock 同步锁相及 LOOP 环出，支持≥160 个图层显示，图层大小和位置可在输出分组内自由调节，支持≥20000 个场景的保存和调用、场景自动定时轮巡，支持超高清底图和滚动字幕显示，支持 Web 端控制，兼容 Windows、信创等操作系统，支持前面板触摸屏查看设备信息和功能设置； 支持 HDCP2.2 协议的高带宽数字内容保护技术。</w:t>
            </w:r>
          </w:p>
          <w:p>
            <w:pPr>
              <w:pStyle w:val="null3"/>
              <w:spacing w:before="105" w:after="105"/>
              <w:jc w:val="left"/>
            </w:pPr>
            <w:r>
              <w:rPr>
                <w:rFonts w:ascii="仿宋_GB2312" w:hAnsi="仿宋_GB2312" w:cs="仿宋_GB2312" w:eastAsia="仿宋_GB2312"/>
                <w:sz w:val="27"/>
              </w:rPr>
              <w:t>16.支持设备自检和状态监控功能，可显示设备运行状态(CPU状态、内存状态、存储空间占用率、电源功耗、风扇转速)、板卡及接口状态；支持建立≥10组 LED/LCD 屏幕分组，支持自定义建屏，支持单张输出板卡建屏；具备在任一视频输出显示画面上叠加显示多个不同视频输入信号的显示口，单个输出板卡具有≥16个窗口叠加显示。</w:t>
            </w:r>
          </w:p>
        </w:tc>
      </w:tr>
    </w:tbl>
    <w:p>
      <w:pPr>
        <w:pStyle w:val="null3"/>
        <w:jc w:val="left"/>
      </w:pPr>
      <w:r>
        <w:rPr>
          <w:rFonts w:ascii="仿宋_GB2312" w:hAnsi="仿宋_GB2312" w:cs="仿宋_GB2312" w:eastAsia="仿宋_GB2312"/>
        </w:rPr>
        <w:t>标的名称：全彩LED显示屏2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before="105" w:after="105"/>
              <w:jc w:val="left"/>
            </w:pPr>
            <w:r>
              <w:rPr>
                <w:rFonts w:ascii="仿宋_GB2312" w:hAnsi="仿宋_GB2312" w:cs="仿宋_GB2312" w:eastAsia="仿宋_GB2312"/>
                <w:sz w:val="27"/>
              </w:rPr>
              <w:t>★1.整屏显示面积≥37平方米。</w:t>
            </w:r>
          </w:p>
          <w:p>
            <w:pPr>
              <w:pStyle w:val="null3"/>
              <w:spacing w:before="105" w:after="105"/>
              <w:jc w:val="left"/>
            </w:pPr>
            <w:r>
              <w:rPr>
                <w:rFonts w:ascii="仿宋_GB2312" w:hAnsi="仿宋_GB2312" w:cs="仿宋_GB2312" w:eastAsia="仿宋_GB2312"/>
                <w:sz w:val="27"/>
              </w:rPr>
              <w:t xml:space="preserve">★2.投标人负责全彩LED显示屏2的安装，箱体内含电源，全彩LED显示屏2的安装包含但不限于金属安装支架、不锈钢包边、屏体内部强弱电线材。 </w:t>
            </w:r>
          </w:p>
          <w:p>
            <w:pPr>
              <w:pStyle w:val="null3"/>
              <w:spacing w:before="105" w:after="105"/>
              <w:jc w:val="left"/>
            </w:pPr>
            <w:r>
              <w:rPr>
                <w:rFonts w:ascii="仿宋_GB2312" w:hAnsi="仿宋_GB2312" w:cs="仿宋_GB2312" w:eastAsia="仿宋_GB2312"/>
                <w:sz w:val="27"/>
              </w:rPr>
              <w:t>★3.点间距≤1.25mm，刷新率≥3840Hz，采用全倒装COB工艺封装； 箱体采用压铸铝合金材质，自然散热结构，无风扇、无孔、防尘、静音设计，箱体尺寸≤600mm×337.5mm×48mm，整屏无网线设计。（说明：提供具有CMA标识的检测报告复印件。）</w:t>
            </w:r>
          </w:p>
          <w:p>
            <w:pPr>
              <w:pStyle w:val="null3"/>
              <w:spacing w:before="105" w:after="105"/>
              <w:jc w:val="left"/>
            </w:pPr>
            <w:r>
              <w:rPr>
                <w:rFonts w:ascii="仿宋_GB2312" w:hAnsi="仿宋_GB2312" w:cs="仿宋_GB2312" w:eastAsia="仿宋_GB2312"/>
                <w:sz w:val="27"/>
              </w:rPr>
              <w:t>★4.支持HDMI输入接口且单卡带载≥230万像素，最宽≥4096点、最高≥2560点的接收卡。（说明：提供具有CMA标识的检测报告复印件。）</w:t>
            </w:r>
          </w:p>
          <w:p>
            <w:pPr>
              <w:pStyle w:val="null3"/>
              <w:spacing w:before="105" w:after="105"/>
              <w:jc w:val="left"/>
            </w:pPr>
            <w:r>
              <w:rPr>
                <w:rFonts w:ascii="仿宋_GB2312" w:hAnsi="仿宋_GB2312" w:cs="仿宋_GB2312" w:eastAsia="仿宋_GB2312"/>
                <w:sz w:val="27"/>
              </w:rPr>
              <w:t>5.存储与备份：模组采用智能存储电路，可以存储模组生产信息参数、运行参数，存储容量≥16kb；支持双发送卡信号热备份，屏体采用两套发送卡互为备份方式，自动转换；支持双电力备份，屏体可以同时接入 ≥2 路电力供电互为备份方式，任意一电力故障不影响单元显示。</w:t>
            </w:r>
          </w:p>
          <w:p>
            <w:pPr>
              <w:pStyle w:val="null3"/>
              <w:spacing w:before="105" w:after="105"/>
              <w:jc w:val="left"/>
            </w:pPr>
            <w:r>
              <w:rPr>
                <w:rFonts w:ascii="仿宋_GB2312" w:hAnsi="仿宋_GB2312" w:cs="仿宋_GB2312" w:eastAsia="仿宋_GB2312"/>
                <w:sz w:val="27"/>
              </w:rPr>
              <w:t>6.内嵌高光效长寿命驱动参数智能系统、图像智能化增强处理技术系统、蓝光护眼多重过滤保护系统软件。</w:t>
            </w:r>
          </w:p>
          <w:p>
            <w:pPr>
              <w:pStyle w:val="null3"/>
              <w:spacing w:before="105" w:after="105"/>
              <w:jc w:val="left"/>
            </w:pPr>
            <w:r>
              <w:rPr>
                <w:rFonts w:ascii="仿宋_GB2312" w:hAnsi="仿宋_GB2312" w:cs="仿宋_GB2312" w:eastAsia="仿宋_GB2312"/>
                <w:sz w:val="27"/>
              </w:rPr>
              <w:t>7.亮度：0-1000cd/㎡可调；对比度：≥10000:1； NTSC色域覆盖率：≥120%；单元拼缝间隙：模组间/箱体间的拼缝与间隙≤0.05mm；低亮高灰：支持软件实现不同亮度（0-100%）的情况下，灰度8-16bit 任意设置，即20%， 50%，75%， 100%亮度时8-16bit 任意设置。</w:t>
            </w:r>
          </w:p>
          <w:p>
            <w:pPr>
              <w:pStyle w:val="null3"/>
              <w:spacing w:before="105" w:after="105"/>
              <w:jc w:val="left"/>
            </w:pPr>
            <w:r>
              <w:rPr>
                <w:rFonts w:ascii="仿宋_GB2312" w:hAnsi="仿宋_GB2312" w:cs="仿宋_GB2312" w:eastAsia="仿宋_GB2312"/>
                <w:sz w:val="27"/>
              </w:rPr>
              <w:t>8.反光率＜2%；功耗：峰值功率≤350W/㎡，平均功率≤120W/㎡，黑屏功率≤20W/㎡，同时具有动态节能处理，带有智能（黑屏）节电功能，开启智能节电功能比没有开启节能 40%以上。</w:t>
            </w:r>
          </w:p>
          <w:p>
            <w:pPr>
              <w:pStyle w:val="null3"/>
              <w:spacing w:before="105" w:after="105"/>
              <w:jc w:val="left"/>
            </w:pPr>
            <w:r>
              <w:rPr>
                <w:rFonts w:ascii="仿宋_GB2312" w:hAnsi="仿宋_GB2312" w:cs="仿宋_GB2312" w:eastAsia="仿宋_GB2312"/>
                <w:sz w:val="27"/>
              </w:rPr>
              <w:t>9.像素失控率≤1/200000，无连续失控；典型寿命值≥200000h；平均无故障使用时间≥200000h；平均故障修复时间≤5分钟；模组灯面防护等级≥IP65。</w:t>
            </w:r>
          </w:p>
          <w:p>
            <w:pPr>
              <w:pStyle w:val="null3"/>
              <w:spacing w:before="105" w:after="105"/>
              <w:jc w:val="left"/>
            </w:pPr>
            <w:r>
              <w:rPr>
                <w:rFonts w:ascii="仿宋_GB2312" w:hAnsi="仿宋_GB2312" w:cs="仿宋_GB2312" w:eastAsia="仿宋_GB2312"/>
                <w:sz w:val="27"/>
              </w:rPr>
              <w:t>10.PCB板：PCB板采用共阳方案和共阴方案的兼容性设计，多层电路板沉金工艺设计，同时具有消隐、节能处理、EMC 处理、智能模组存储处理功能电路；电源：使用无风扇静音设计并带 PFC 功能的开关电源，功率因素≥0.95 ，电源效率≥90%。</w:t>
            </w:r>
          </w:p>
          <w:p>
            <w:pPr>
              <w:pStyle w:val="null3"/>
              <w:spacing w:before="105" w:after="105"/>
              <w:jc w:val="left"/>
            </w:pPr>
            <w:r>
              <w:rPr>
                <w:rFonts w:ascii="仿宋_GB2312" w:hAnsi="仿宋_GB2312" w:cs="仿宋_GB2312" w:eastAsia="仿宋_GB2312"/>
                <w:sz w:val="27"/>
              </w:rPr>
              <w:t>11.显示屏应符合《HDR显示认证技术规范》3.0版本要求；显示屏光生物安全符合GB/T 20145-2006/IEC 62471:2006标准的无危害类要求；蓝光安全符合IEC/TR 62778:2014无危害要求。</w:t>
            </w:r>
          </w:p>
          <w:p>
            <w:pPr>
              <w:pStyle w:val="null3"/>
              <w:spacing w:before="105" w:after="105"/>
              <w:jc w:val="left"/>
            </w:pPr>
            <w:r>
              <w:rPr>
                <w:rFonts w:ascii="仿宋_GB2312" w:hAnsi="仿宋_GB2312" w:cs="仿宋_GB2312" w:eastAsia="仿宋_GB2312"/>
                <w:sz w:val="27"/>
              </w:rPr>
              <w:t>▲12.显示屏支持分步时序开关机，同时可支持 PC 联网控制、远程定时开关机；支持采用开关电源组合集中供电系统，强弱电分离，箱体内部无强电；箱体输入电压支持≤48V；支持 N+1 冗余备份、不关屏热插拔功能。</w:t>
            </w:r>
          </w:p>
          <w:p>
            <w:pPr>
              <w:pStyle w:val="null3"/>
              <w:jc w:val="left"/>
            </w:pPr>
            <w:r>
              <w:rPr>
                <w:rFonts w:ascii="仿宋_GB2312" w:hAnsi="仿宋_GB2312" w:cs="仿宋_GB2312" w:eastAsia="仿宋_GB2312"/>
                <w:sz w:val="27"/>
              </w:rPr>
              <w:t>▲13.单箱体具有≥1路485的控制接口，具有≥2路HDM输入、≥2路HDM输出接口。</w:t>
            </w:r>
          </w:p>
        </w:tc>
      </w:tr>
    </w:tbl>
    <w:p>
      <w:pPr>
        <w:pStyle w:val="null3"/>
        <w:jc w:val="left"/>
      </w:pPr>
      <w:r>
        <w:rPr>
          <w:rFonts w:ascii="仿宋_GB2312" w:hAnsi="仿宋_GB2312" w:cs="仿宋_GB2312" w:eastAsia="仿宋_GB2312"/>
        </w:rPr>
        <w:t>标的名称：LED会标屏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7"/>
              </w:rPr>
              <w:t>1.点间距≤4.75mm；单色；分辨率：像素点≥44321点/㎡；单元板分辨率≥64×32。</w:t>
            </w:r>
          </w:p>
          <w:p>
            <w:pPr>
              <w:pStyle w:val="null3"/>
              <w:spacing w:before="105" w:after="105"/>
              <w:jc w:val="left"/>
            </w:pPr>
            <w:r>
              <w:rPr>
                <w:rFonts w:ascii="仿宋_GB2312" w:hAnsi="仿宋_GB2312" w:cs="仿宋_GB2312" w:eastAsia="仿宋_GB2312"/>
                <w:sz w:val="27"/>
              </w:rPr>
              <w:t>★2.总显示面积≥36平方米，共分为4张屏独立安装。投标人负责4张屏的安装，包含系统处理、发送卡，接收卡、软件、金属安装支架、不锈钢包边、屏体内部强弱电线材等。</w:t>
            </w:r>
          </w:p>
        </w:tc>
      </w:tr>
    </w:tbl>
    <w:p>
      <w:pPr>
        <w:pStyle w:val="null3"/>
        <w:jc w:val="left"/>
      </w:pPr>
      <w:r>
        <w:rPr>
          <w:rFonts w:ascii="仿宋_GB2312" w:hAnsi="仿宋_GB2312" w:cs="仿宋_GB2312" w:eastAsia="仿宋_GB2312"/>
        </w:rPr>
        <w:t>标的名称：控制系统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before="105" w:after="105"/>
              <w:jc w:val="left"/>
            </w:pPr>
            <w:r>
              <w:rPr>
                <w:rFonts w:ascii="仿宋_GB2312" w:hAnsi="仿宋_GB2312" w:cs="仿宋_GB2312" w:eastAsia="仿宋_GB2312"/>
                <w:sz w:val="27"/>
              </w:rPr>
              <w:t>★1.单系统支持前端≥230万像素输出信号源通过，标准HDMI线缆直连，且控制系统之间也采用标准HDMI线缆级联，实现稳定的超大带宽数据传输，同时具备数据储存功能。</w:t>
            </w:r>
          </w:p>
          <w:p>
            <w:pPr>
              <w:pStyle w:val="null3"/>
              <w:spacing w:before="105" w:after="105"/>
              <w:jc w:val="left"/>
            </w:pPr>
            <w:r>
              <w:rPr>
                <w:rFonts w:ascii="仿宋_GB2312" w:hAnsi="仿宋_GB2312" w:cs="仿宋_GB2312" w:eastAsia="仿宋_GB2312"/>
                <w:sz w:val="27"/>
              </w:rPr>
              <w:t>★2.采用网格星链式的级联结构，控制卡自带上下左右两进两出的HDMI接口，每相邻控制器之间可以一个主输入，一个副输入，一个主输出，一个副输出，实现用一主一备功能。</w:t>
            </w:r>
          </w:p>
          <w:p>
            <w:pPr>
              <w:pStyle w:val="null3"/>
              <w:spacing w:before="105" w:after="105"/>
              <w:jc w:val="left"/>
            </w:pPr>
            <w:r>
              <w:rPr>
                <w:rFonts w:ascii="仿宋_GB2312" w:hAnsi="仿宋_GB2312" w:cs="仿宋_GB2312" w:eastAsia="仿宋_GB2312"/>
                <w:sz w:val="27"/>
              </w:rPr>
              <w:t>★3.可</w:t>
            </w:r>
            <w:r>
              <w:rPr>
                <w:rFonts w:ascii="仿宋_GB2312" w:hAnsi="仿宋_GB2312" w:cs="仿宋_GB2312" w:eastAsia="仿宋_GB2312"/>
                <w:sz w:val="27"/>
              </w:rPr>
              <w:t>满足</w:t>
            </w:r>
            <w:r>
              <w:rPr>
                <w:rFonts w:ascii="仿宋_GB2312" w:hAnsi="仿宋_GB2312" w:cs="仿宋_GB2312" w:eastAsia="仿宋_GB2312"/>
                <w:sz w:val="27"/>
              </w:rPr>
              <w:t>点间距≤1.25mm全彩LED且</w:t>
            </w:r>
            <w:r>
              <w:rPr>
                <w:rFonts w:ascii="仿宋_GB2312" w:hAnsi="仿宋_GB2312" w:cs="仿宋_GB2312" w:eastAsia="仿宋_GB2312"/>
                <w:sz w:val="27"/>
              </w:rPr>
              <w:t>面积≥37平方米显示屏的</w:t>
            </w:r>
            <w:r>
              <w:rPr>
                <w:rFonts w:ascii="仿宋_GB2312" w:hAnsi="仿宋_GB2312" w:cs="仿宋_GB2312" w:eastAsia="仿宋_GB2312"/>
                <w:sz w:val="27"/>
              </w:rPr>
              <w:t>系统处理能力。</w:t>
            </w:r>
          </w:p>
          <w:p>
            <w:pPr>
              <w:pStyle w:val="null3"/>
              <w:spacing w:before="105" w:after="105"/>
              <w:jc w:val="left"/>
            </w:pPr>
            <w:r>
              <w:rPr>
                <w:rFonts w:ascii="仿宋_GB2312" w:hAnsi="仿宋_GB2312" w:cs="仿宋_GB2312" w:eastAsia="仿宋_GB2312"/>
                <w:sz w:val="27"/>
              </w:rPr>
              <w:t>4.内嵌多通道视频融合控制系统软件、智能电源控制系统软件、区域扩展器系统软件。</w:t>
            </w:r>
          </w:p>
          <w:p>
            <w:pPr>
              <w:pStyle w:val="null3"/>
              <w:spacing w:before="105" w:after="105"/>
              <w:jc w:val="left"/>
            </w:pPr>
            <w:r>
              <w:rPr>
                <w:rFonts w:ascii="仿宋_GB2312" w:hAnsi="仿宋_GB2312" w:cs="仿宋_GB2312" w:eastAsia="仿宋_GB2312"/>
                <w:sz w:val="27"/>
              </w:rPr>
              <w:t>5.具有LED大屏亮色度校正、屏幕参数配置、十字线修复、修缝、备份恢复、信息发布、屏幕控制等系统软件功能。</w:t>
            </w:r>
          </w:p>
          <w:p>
            <w:pPr>
              <w:pStyle w:val="null3"/>
              <w:spacing w:before="105" w:after="105"/>
              <w:jc w:val="left"/>
            </w:pPr>
            <w:r>
              <w:rPr>
                <w:rFonts w:ascii="仿宋_GB2312" w:hAnsi="仿宋_GB2312" w:cs="仿宋_GB2312" w:eastAsia="仿宋_GB2312"/>
                <w:sz w:val="27"/>
              </w:rPr>
              <w:t>6.具有错误自我修复能力，正常工作中如有数据链路出现异常或断掉，系统自动检测，并能无缝切换到另外的备份链路，保证正常运行，只要有一条数据链路正常通信，系统即可稳定的工作。</w:t>
            </w:r>
          </w:p>
          <w:p>
            <w:pPr>
              <w:pStyle w:val="null3"/>
              <w:spacing w:before="105" w:after="105"/>
              <w:jc w:val="left"/>
            </w:pPr>
            <w:r>
              <w:rPr>
                <w:rFonts w:ascii="仿宋_GB2312" w:hAnsi="仿宋_GB2312" w:cs="仿宋_GB2312" w:eastAsia="仿宋_GB2312"/>
                <w:sz w:val="27"/>
              </w:rPr>
              <w:t>7.无需设置屏幕的起始坐标，支持每个控制器能自动识别自身坐标，自动定位，大屏拼接，无需设置数据链路的连线方式，上电即可使用，可随意更换控制器位置不影响图像。</w:t>
            </w:r>
          </w:p>
          <w:p>
            <w:pPr>
              <w:pStyle w:val="null3"/>
              <w:spacing w:before="105" w:after="105"/>
              <w:jc w:val="left"/>
            </w:pPr>
            <w:r>
              <w:rPr>
                <w:rFonts w:ascii="仿宋_GB2312" w:hAnsi="仿宋_GB2312" w:cs="仿宋_GB2312" w:eastAsia="仿宋_GB2312"/>
                <w:sz w:val="27"/>
              </w:rPr>
              <w:t>8.支持标准的HDMI协议和HDMI接口，传输无压缩的高分辨率音视频信号，及在信号传送前无需进行数/模或者模/数转换。</w:t>
            </w:r>
          </w:p>
          <w:p>
            <w:pPr>
              <w:pStyle w:val="null3"/>
              <w:spacing w:before="105" w:after="105"/>
              <w:jc w:val="left"/>
            </w:pPr>
            <w:r>
              <w:rPr>
                <w:rFonts w:ascii="仿宋_GB2312" w:hAnsi="仿宋_GB2312" w:cs="仿宋_GB2312" w:eastAsia="仿宋_GB2312"/>
                <w:sz w:val="27"/>
              </w:rPr>
              <w:t>9.支持RS485输入输出接口串联级联，实现数据通讯，进行LED显示屏参数、亮度、色温、对比度等设置，支持系统回读配置参数及保存到本地。</w:t>
            </w:r>
          </w:p>
          <w:p>
            <w:pPr>
              <w:pStyle w:val="null3"/>
              <w:spacing w:before="105" w:after="105"/>
              <w:jc w:val="left"/>
            </w:pPr>
            <w:r>
              <w:rPr>
                <w:rFonts w:ascii="仿宋_GB2312" w:hAnsi="仿宋_GB2312" w:cs="仿宋_GB2312" w:eastAsia="仿宋_GB2312"/>
                <w:sz w:val="27"/>
              </w:rPr>
              <w:t>10.具有自动寻址定位功能，系统能自动检测边界，智能构造组合屏幕；具有FLASH管理功能，支持视频信号通讯状态实时检测，支持一键回读和复原。</w:t>
            </w:r>
          </w:p>
        </w:tc>
      </w:tr>
    </w:tbl>
    <w:p>
      <w:pPr>
        <w:pStyle w:val="null3"/>
        <w:jc w:val="left"/>
      </w:pPr>
      <w:r>
        <w:rPr>
          <w:rFonts w:ascii="仿宋_GB2312" w:hAnsi="仿宋_GB2312" w:cs="仿宋_GB2312" w:eastAsia="仿宋_GB2312"/>
        </w:rPr>
        <w:t>标的名称：电源管理中心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before="105" w:after="105"/>
              <w:jc w:val="left"/>
            </w:pPr>
            <w:r>
              <w:rPr>
                <w:rFonts w:ascii="仿宋_GB2312" w:hAnsi="仿宋_GB2312" w:cs="仿宋_GB2312" w:eastAsia="仿宋_GB2312"/>
                <w:sz w:val="27"/>
              </w:rPr>
              <w:t>★1.输出：≥12路独立输出，每路相电压AC 220V±10％，每路带载≥4kW，12路输出可带载≥48kW；短路保护：每路输出配有液压电磁式≥20A断路器，断路器可提供过载，短路保护；并机运行：支持多台设备组网运行，对所有组网设备一键开关，可以保存当前所有开关状态作为场景，可保存多个场景，支持开关状态一键恢复。（说明：提供具有CMA标识的检测报告复印件。）</w:t>
            </w:r>
          </w:p>
          <w:p>
            <w:pPr>
              <w:pStyle w:val="null3"/>
              <w:spacing w:before="105" w:after="105"/>
              <w:jc w:val="left"/>
            </w:pPr>
            <w:r>
              <w:rPr>
                <w:rFonts w:ascii="仿宋_GB2312" w:hAnsi="仿宋_GB2312" w:cs="仿宋_GB2312" w:eastAsia="仿宋_GB2312"/>
                <w:sz w:val="27"/>
              </w:rPr>
              <w:t>▲2.报警管理：报警原因自动上传报警日志至云端，可在手机或电脑上远程实时监控；联网控制：具有RJ45接口，接入外网可自动分配IP接入云平台，联网后，可由手机和平板APP控制，实现电源一键开关、并机运行、顺序开关、场景保存、参数监测、报警管理，支持网络升级。（说明：提供具有CMA标识的检测报告复印件。）</w:t>
            </w:r>
          </w:p>
          <w:p>
            <w:pPr>
              <w:pStyle w:val="null3"/>
              <w:spacing w:before="105" w:after="105"/>
              <w:jc w:val="left"/>
            </w:pPr>
            <w:r>
              <w:rPr>
                <w:rFonts w:ascii="仿宋_GB2312" w:hAnsi="仿宋_GB2312" w:cs="仿宋_GB2312" w:eastAsia="仿宋_GB2312"/>
                <w:sz w:val="27"/>
              </w:rPr>
              <w:t>3.配置具有智慧电源局域网控制功能、智慧电源管理平台和管理终端功能软件。</w:t>
            </w:r>
          </w:p>
          <w:p>
            <w:pPr>
              <w:pStyle w:val="null3"/>
              <w:spacing w:before="105" w:after="105"/>
              <w:jc w:val="left"/>
            </w:pPr>
            <w:r>
              <w:rPr>
                <w:rFonts w:ascii="仿宋_GB2312" w:hAnsi="仿宋_GB2312" w:cs="仿宋_GB2312" w:eastAsia="仿宋_GB2312"/>
                <w:sz w:val="27"/>
              </w:rPr>
              <w:t>4.顺序开关：可以自定义选择任意输出通道为其自定义开关顺序，实现一键式自定义顺序开关；定时控制：可以自定义选择输出通道定时开启或关闭，可单次运行，也可以循环运行。</w:t>
            </w:r>
          </w:p>
          <w:p>
            <w:pPr>
              <w:pStyle w:val="null3"/>
              <w:spacing w:before="105" w:after="105"/>
              <w:jc w:val="left"/>
            </w:pPr>
            <w:r>
              <w:rPr>
                <w:rFonts w:ascii="仿宋_GB2312" w:hAnsi="仿宋_GB2312" w:cs="仿宋_GB2312" w:eastAsia="仿宋_GB2312"/>
                <w:sz w:val="27"/>
              </w:rPr>
              <w:t>▲5.参数监测：每路输出通道都具有电流，电压，功率，温度，开关状态，运行时长与三相平衡监测，监控电源输入和每路输出通道异常情况告警。（说明：提供具有CMA标识的检测报告复印件。）</w:t>
            </w:r>
          </w:p>
          <w:p>
            <w:pPr>
              <w:pStyle w:val="null3"/>
              <w:spacing w:before="105" w:after="105"/>
              <w:jc w:val="left"/>
            </w:pPr>
            <w:r>
              <w:rPr>
                <w:rFonts w:ascii="仿宋_GB2312" w:hAnsi="仿宋_GB2312" w:cs="仿宋_GB2312" w:eastAsia="仿宋_GB2312"/>
                <w:sz w:val="27"/>
              </w:rPr>
              <w:t>6.电气设置：可以设置输入电压过压和欠压阈值，可以为每路输出单独设置电流、功率、温度断电阈值，超出范围报警，能够识别出没有正常工作的设备，也可以选择是否断开输出电源。</w:t>
            </w:r>
          </w:p>
          <w:p>
            <w:pPr>
              <w:pStyle w:val="null3"/>
              <w:spacing w:before="105" w:after="105"/>
              <w:jc w:val="left"/>
            </w:pPr>
            <w:r>
              <w:rPr>
                <w:rFonts w:ascii="仿宋_GB2312" w:hAnsi="仿宋_GB2312" w:cs="仿宋_GB2312" w:eastAsia="仿宋_GB2312"/>
                <w:sz w:val="27"/>
              </w:rPr>
              <w:t>7.安全设置：可开启和关闭远程操作功能，防止因远端误操作造成的安全隐患。</w:t>
            </w:r>
          </w:p>
          <w:p>
            <w:pPr>
              <w:pStyle w:val="null3"/>
              <w:spacing w:before="105" w:after="105"/>
              <w:jc w:val="left"/>
            </w:pPr>
            <w:r>
              <w:rPr>
                <w:rFonts w:ascii="仿宋_GB2312" w:hAnsi="仿宋_GB2312" w:cs="仿宋_GB2312" w:eastAsia="仿宋_GB2312"/>
                <w:sz w:val="27"/>
              </w:rPr>
              <w:t>▲8.具有≥2.8英寸触摸显示屏，可以显示设备状态，日期、时间，通道开启状态，每一路漏电、过压，过载等告警状态，可以操控设备。自带屏幕锁，可调节屏幕亮度。</w:t>
            </w:r>
          </w:p>
          <w:p>
            <w:pPr>
              <w:pStyle w:val="null3"/>
              <w:spacing w:before="105" w:after="105"/>
              <w:jc w:val="left"/>
            </w:pPr>
            <w:r>
              <w:rPr>
                <w:rFonts w:ascii="仿宋_GB2312" w:hAnsi="仿宋_GB2312" w:cs="仿宋_GB2312" w:eastAsia="仿宋_GB2312"/>
                <w:sz w:val="27"/>
              </w:rPr>
              <w:t>9.对接中控：具有凤凰端子，可以通过RS485向设备发送通讯协议控制设备通道开关。</w:t>
            </w:r>
          </w:p>
          <w:p>
            <w:pPr>
              <w:pStyle w:val="null3"/>
              <w:spacing w:before="105" w:after="105"/>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sz w:val="27"/>
              </w:rPr>
              <w:t>投标人应具有类似项目业绩。</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项目实施方案</w:t>
            </w:r>
          </w:p>
        </w:tc>
        <w:tc>
          <w:tcPr>
            <w:tcW w:type="dxa" w:w="5814"/>
          </w:tcPr>
          <w:p>
            <w:pPr>
              <w:pStyle w:val="null3"/>
              <w:jc w:val="left"/>
            </w:pPr>
            <w:r>
              <w:rPr>
                <w:rFonts w:ascii="仿宋_GB2312" w:hAnsi="仿宋_GB2312" w:cs="仿宋_GB2312" w:eastAsia="仿宋_GB2312"/>
                <w:sz w:val="27"/>
              </w:rPr>
              <w:t>投标人提供的项目实施方案应包含①人员组织安排、②项目实施时间计划、③项目质量控制措施、④项目安全控制措施的内容。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运维和售后服务方案</w:t>
            </w:r>
          </w:p>
        </w:tc>
        <w:tc>
          <w:tcPr>
            <w:tcW w:type="dxa" w:w="5814"/>
          </w:tcPr>
          <w:p>
            <w:pPr>
              <w:pStyle w:val="null3"/>
              <w:jc w:val="left"/>
            </w:pPr>
            <w:r>
              <w:rPr>
                <w:rFonts w:ascii="仿宋_GB2312" w:hAnsi="仿宋_GB2312" w:cs="仿宋_GB2312" w:eastAsia="仿宋_GB2312"/>
                <w:sz w:val="27"/>
              </w:rPr>
              <w:t>投标人提供的运维和售后服务方案包含①运维和售后的服务目标及计划方案、②运维和售后的组织计划措施及保障方案、③售后服务的组织构架、人员安排和服务保障措施、④应急保障措施方案的内容。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自合同签订之日起60日。（说明：投标人在投标文件中响应。）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成都职业技术学院新校区（新津区花园街）。（说明：投标人在投标文件中响应。）</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1、预付款，（说明：投标人在投标文件中响应。）自政府采购合同签订生效,供应商向采购人出具有效的增值税发票并提交采购人要求的付款申请资料，达到付款条件起10日内，支付合同总金额的40.00%</w:t>
            </w:r>
          </w:p>
          <w:p>
            <w:pPr>
              <w:pStyle w:val="null3"/>
              <w:jc w:val="left"/>
            </w:pPr>
            <w:r>
              <w:rPr>
                <w:rFonts w:ascii="仿宋_GB2312" w:hAnsi="仿宋_GB2312" w:cs="仿宋_GB2312" w:eastAsia="仿宋_GB2312"/>
              </w:rPr>
              <w:t>2、尾款，（说明：投标人在投标文件中响应。）项目安装调试完毕并验收合格后，向采购人出具有效的增值税发票并提交采购人要求的付款申请资料，达到付款条件起10日内，支付合同总金额的60.00%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（2）验收时间：采购人接到供应商履约完毕通知后60日内组织履约验收。 （3）验收方法：一次性验收。 （4）验收内容： ①技术履约内容：按国家有关规定以及本项目招标文件的质量要求和技术指标、供应商的投标文件及承诺与合同约定标准进行技术履约验收。 ②商务履约内容：按照招标文件商务要求及供应商响应内容进行商务履约验收。 （5）验收标准：按国家有关规定以及招标文件的质量要求和技术指标、供应商的投标文件及承诺与本合同约定标准进行验收；合同双方如对质量要求和技术指标的约定标准有相互抵触或异议的事项，由采购人在投标文件中按质量要求和技术指标比较优胜的原则确定该项的约定标准进行验收； （6）验收时如发现所交付的货物有短装、次品、损坏或其它不符合标准及本合同规定之情形者，采购人应做出详尽的现场记录，或由合同双方签署备忘录，此现场记录或备忘录可用作补充、缺失和更换损坏部件的有效证据，由此产生的时间延误与有关费用由供应商承担，验收期限相应顺延； （7）如质量验收合格，双方签署质量验收报告。 （8）货物安装完成后 70 日内，采购人无故不进行验收工作并已使用货物的，视同已安装调试完成并验收合格。 （9）供应商应将所提供货物的装箱清单、配件、随机工具、用户使用手册、原厂保修卡等资料交付给采购人；供应商不能完整交付货物及本款规定的单证和工具的，必须负责补齐，否则视为未按合同约定交货。 （10）如货物经供应商 3 次维修仍不能达到合同约定的质量标准，采购人有权退货，并视作供应商不能交付货物而违约，采购人可依法依约追究供应商的违约责任。 （11）其他未尽事宜参照《财政部关于进一步加强政府采购需求和履约验收管理的指导意见》(财库〔2016〕205号)要求进行验收。 （说明：投标人在投标文件中响应。）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（1）质保期：质保期为三年，从验收合格之日起开始计算。 （2）投标人应有完善的技术支持与服务体系，专人负责与采购人联系售后服务事宜，必要的售后机具配置、具有专门固定的售后服务电话。 （3）在质保期内投标人应负责本次采购的所有软硬件设备的运行维护，确保其正常运行。在质保期内货物出现质量问题，投标人应在接到采购人通知后30分钟内达到现场，并于规定时间完成维修或更换。逾期未完成维修或更换的，投标人应向采购人支付合同总价1%的违约金。 （4）货物经供应商3次维修或更换仍不能达到本合同约定的质量标准，采购人有权退货并追究投标人的违约责任。 （5）投标人应保证本项目全部货物的各种部件均齐备、充足供应，若因产品升级更新等原因不能保障供应造成采购人损失的，投标人承担全部赔偿责任，在交货时需向采购人提供货物常规备品备件。 （6）质保期届满后，设备非因采购人过错出现质量问题，投标人仍应按前款约定上门维修或更换，相关费用由采购人承担。其他未描述保修细节按照投标人和制造商相关文件执行。 （说明：投标人在投标文件中响应。）</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（1）采购人、投标人均应遵守本合同并执行合同中的各项规定，保证本合同的正常履行。 （2）如因投标人工作人员在履行职务过程中的疏忽、失职、过错等故意或者过失原因给采购人造成损失或侵害，包括但不限于采购人本身的财产损失、律师费、诉讼费、公证费、保全费、保全保险费、鉴定费等以及由此而导致的采购人对任何第三方的法律责任等，投标人对此均应承担全部的赔偿责任。 （3）投标人不能按合同约定要求提供服务，采购人有权单方面解除合同且不承担任何违约责任；投标人服务未达采购人基础要求标准三次被处罚的，除考核处罚外，投标人还应承担因此给采购人带来的损失，采购人有权单方面解除合同且不承担任何违约责任，合同自采购人书面解除通知送达投标人即告解除。 （4）投标人在履约过程中，服务经采购人验收不合格的，采购人有权要求投标人整改，投标人未整改或投标人三次整改仍不符合采购人要求的，采购人有权单方解除合同且不承担任何违约责任，合同自采购人书面解除通知送达投标人即告解除。 （5）投标人应当遵守采购人的相关项目需求及相关技术要求及实质性条款，实施完成采购合同应当完全满足相关项目需求及相关技术要求及实质性条款，若投标人瑕疵履行采购合同，采购人有权向投标人要求支付合同总价款10%的违约金，若造成相关损失且违约金不足以弥补采购人损失的，采购人有权要求投标人承担所有赔偿责任。 （6）有下列情形之一的，当事人可以解除合同： ①因不可抗力致使不能实现合同目的(由于非投标人或采购人原因，致使合同实质性条款无法实现的)； ②当事人一方迟延履行主要债务，经催告后在合理期限内仍未履行； ③当事人一方迟延履行债务或者有其他违约行为致使不能实现合同目的； ④法律规定的其他情形。 （说明：投标人在投标文件中响应。） 2.解决争议的方式：合同履行期间,若双方发生争议，可协商或由有关部门调解解决，协商或调解不成的，向本合同签订的有管辖权的人民法院起诉。（说明：投标人在投标文件中响应。）</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说明：投标人在投标文件中响应。）</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★一、投标人为本项目提供的所有产品、辅材符合现行的强制性国家相关标准、行业标准。（说明：投标人在投标文件中响应。） // ★二、投标人为本项目提供的所有投标产品均为非进口产品。（说明：投标人在投标文件中响应。）// ★三、采购内容中的所有标的（标的名称以报价内容中的名称为准），投标人必须在报价表中载明响应报价、产地、品牌、规格型号、制造商、单价。// ★四、供应商为本项目提供的所有产品、辅材中属于《国家强制性产品认证目录》范围内产品的，均通过国家强制性产品认证并取得认证证书。（说明：投标人在投标文件中响应。）。// ★五、本项目不接受供应商以联合体方式参加投标。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行贿犯罪记录：在行贿犯罪信息查询期限内，投标人及其现任法定代表人、主要负责人没有行贿犯罪记录的书面声明材料。[说明：①按声明函的内容及要求提供书面声明材料并进行电子签章；投标文件中不需提供中国裁判文书网（https://wenshu.court.gov.cn）查询结果的证明材料；②在行贿犯罪信息查询期限内，供应商及其现任法定代表人、主要负责人没有行贿犯罪记录。] 3、未被列入失信被执行人、重大税收违法案件当事人名单、政府采购严重违法失信行为记录名单：（1）投标人未列入失信被执行人、重大税收违法案件当事人名单、政府采购严重违法失信行为记录名单的书面声明材料。[说明：①按声明函的内容及要求提供书面声明材料并进行电子签章；②投标人未列入失信被执行人、重大税收违法案件当事人名单、政府采购严重违法失信行为记录名单。]（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 4、未处于被行政部门禁止参与政府采购活动的期限内：投标人未处于被行政部门禁止参与政府采购活动的期限内。[说明：①按声明函的内容及要求提供书面声明材料并进行电子签章；②供应商未处于被行政部门禁止参与政府采购活动的期限内。] 5、不属于国家相关法律法规规定的其他禁止参加投标的情形：（1）根据招标文件的要求不属于禁止参加投标或投标无效的供应商；（2）资格审查小组未发现或者未知晓投标人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按招标文件要求提供法定代表人或主要负责人身份证明书、报价表。</w:t>
            </w:r>
          </w:p>
        </w:tc>
        <w:tc>
          <w:tcPr>
            <w:tcW w:type="dxa" w:w="1661"/>
          </w:tcPr>
          <w:p>
            <w:pPr>
              <w:pStyle w:val="null3"/>
              <w:jc w:val="left"/>
            </w:pPr>
            <w:r>
              <w:rPr>
                <w:rFonts w:ascii="仿宋_GB2312" w:hAnsi="仿宋_GB2312" w:cs="仿宋_GB2312" w:eastAsia="仿宋_GB2312"/>
              </w:rPr>
              <w:t>法定代表人或主要负责人身份证明书.docx,报价表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加★号的技术、服务、商务及其他要求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投标文件均实质性响应招标文件中加★号的技术、服务、商务及其他要求。</w:t>
            </w:r>
          </w:p>
        </w:tc>
        <w:tc>
          <w:tcPr>
            <w:tcW w:type="dxa" w:w="1661"/>
          </w:tcPr>
          <w:p>
            <w:pPr>
              <w:pStyle w:val="null3"/>
              <w:jc w:val="left"/>
            </w:pPr>
            <w:r>
              <w:rPr>
                <w:rFonts w:ascii="仿宋_GB2312" w:hAnsi="仿宋_GB2312" w:cs="仿宋_GB2312" w:eastAsia="仿宋_GB2312"/>
              </w:rPr>
              <w:t>产品技术参数响应表,服务应答表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1、投标人投标产品的技术参数完全满足招标文件技术要求中未加★、▲号的技术参数与性能指标的得16分；投标人投标产品的技术参数不满足招标文件技术要求中未加★、▲号的技术参数与性能指标的，则16分的基础上，按以下原则扣分，扣完为止：每有一项不满足招标文件中未加★、▲号的技术参数与性能指标的扣0.5分。（说明：以阿拉伯数字标注为一项。） 2、投标人投标产品的技术参数完全满足招标文件技术要求中加▲号的技术参数与性能指标的得40分；投标人投标产品的技术参数不满足招标文件技术要求中加▲号的技术参数与性能指标的，则在40分的基础上，按以下原则扣分，扣完为止：每有一项不满足招标文件中加▲号的技术参数与性能指标的扣4分。 （说明：以阿拉伯数字标注为一项。）</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投标人2023年1月1日（含1日）以后每具有一个类似项目业绩（合同内容至少包含LED显示屏的供货）的得2分，最多得6分。（说明:1.提供合同复印件和验收报告复印件。2.项目业绩时间以合同签订时间为准。）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提供的项目实施方案包含①人员组织安排、②项目实施时间计划、③项目质量控制措施、④项目安全控制措施的内容的得4分，每缺少一项内容或每有一处缺陷（缺陷是指：方案内容前后矛盾、逻辑错误、项目名称或实施地点与本项目需求不一致、只有标题或简单的文字描述）的，每缺少一项内容扣1分，每有一处缺陷扣0.5分，扣完为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运维和售后服务方案</w:t>
            </w:r>
          </w:p>
        </w:tc>
        <w:tc>
          <w:tcPr>
            <w:tcW w:type="dxa" w:w="2575"/>
          </w:tcPr>
          <w:p>
            <w:pPr>
              <w:pStyle w:val="null3"/>
              <w:jc w:val="left"/>
            </w:pPr>
            <w:r>
              <w:rPr>
                <w:rFonts w:ascii="仿宋_GB2312" w:hAnsi="仿宋_GB2312" w:cs="仿宋_GB2312" w:eastAsia="仿宋_GB2312"/>
              </w:rPr>
              <w:t>投标人提供的运维和售后服务方案包含①运维和售后的服务目标及计划方案、②运维和售后的组织计划措施及保障方案、③售后服务的组织构架、人员安排和服务保障措施、④应急保障措施方案的内容的得4分，每缺少一项内容或每有一处缺陷（缺陷是指：方案内容前后矛盾、逻辑错误、项目名称或实施地点与本项目需求不一致、只有标题或简单的文字描述）的，每缺少一项内容扣1分，每有一处缺陷扣0.5分，扣完为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价格表</w:t>
            </w:r>
          </w:p>
        </w:tc>
        <w:tc>
          <w:tcPr>
            <w:tcW w:type="dxa" w:w="2575"/>
          </w:tcPr>
          <w:p>
            <w:pPr>
              <w:pStyle w:val="null3"/>
              <w:jc w:val="left"/>
            </w:pPr>
            <w:r>
              <w:rPr>
                <w:rFonts w:ascii="仿宋_GB2312" w:hAnsi="仿宋_GB2312" w:cs="仿宋_GB2312" w:eastAsia="仿宋_GB2312"/>
              </w:rPr>
              <w:t>1、经评标委员会评审，通过资格性和符合性审查，且投标报价最低的投标人的投标报价作为评标基准价； 2、满足招标文件要求且投标价格最低的投标报价为评标基准价，其价格分为满分。其他投标人的价格分统一按照下列公式计算：投标报价得分=(评标基准价／投标报价)×30分。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投标产品制造商为招标文件载明的采购标的及其所属行业（本项目采购标的及其所属行业详见招标文件第3章3.1采购内容）的小型或微型企业的，则给予其报价10%的价格扣除，用扣除后的价格参与评审。[说明：①投标人投标产品为中小企业制造的货物提供中小企业申明函；投标人投标产品为残疾人福利性单位制造的货物提供残疾人福利性单位声明函；投标人投标产品中为监狱企业制造的货物应提供由省级以上监狱管理局、戒毒管理局（含新疆生产建设兵团）出具的制造商属于监狱企业的证明文件复印件；②残疾人福利性单位、监狱企业视同为小型、微型企业。③同一货物仅作一次价格扣除。④提供的货物既有中小企业制造货物，也有大型企业制造货物的，不享受价格扣除。]</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详见附件：声明函.docx</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