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版本号：N510101202500220720260323003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智算中心UPS电源采购项目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N5101012025002207</w:t>
      </w:r>
    </w:p>
    <w:p>
      <w:pPr>
        <w:pStyle w:val="null3"/>
        <w:jc w:val="left"/>
        <w:outlineLvl w:val="2"/>
      </w:pPr>
      <w:r>
        <w:rPr>
          <w:rFonts w:ascii="仿宋_GB2312" w:hAnsi="仿宋_GB2312" w:cs="仿宋_GB2312" w:eastAsia="仿宋_GB2312"/>
          <w:sz w:val="28"/>
          <w:b/>
        </w:rPr>
        <w:t>成都职业技术学院</w:t>
      </w:r>
    </w:p>
    <w:p>
      <w:pPr>
        <w:pStyle w:val="null3"/>
        <w:jc w:val="center"/>
        <w:outlineLvl w:val="2"/>
      </w:pPr>
      <w:r>
        <w:rPr>
          <w:rFonts w:ascii="仿宋_GB2312" w:hAnsi="仿宋_GB2312" w:cs="仿宋_GB2312" w:eastAsia="仿宋_GB2312"/>
          <w:sz w:val="28"/>
          <w:b/>
        </w:rPr>
        <w:t>成都市政府采购中心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2026年01月16日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成都职业技术学院</w:t>
      </w:r>
      <w:r>
        <w:rPr>
          <w:rFonts w:ascii="仿宋_GB2312" w:hAnsi="仿宋_GB2312" w:cs="仿宋_GB2312" w:eastAsia="仿宋_GB2312"/>
        </w:rPr>
        <w:t xml:space="preserve"> 委托，拟对 </w:t>
      </w:r>
      <w:r>
        <w:rPr>
          <w:rFonts w:ascii="仿宋_GB2312" w:hAnsi="仿宋_GB2312" w:cs="仿宋_GB2312" w:eastAsia="仿宋_GB2312"/>
        </w:rPr>
        <w:t>智算中心UPS电源采购项目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N5101012025002207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智算中心UPS电源采购项目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7"/>
        </w:rPr>
        <w:t>1、资金来源、预算金额及最高限价：财政性资金，政府采购实施计划备案表号：51010025210200046627[2025]02874；预算品目：A02061504 不间断电源；预算金额：1,112,800.00元；最高限价（控制价）：1,112,800.00元。</w:t>
      </w:r>
    </w:p>
    <w:p>
      <w:pPr>
        <w:pStyle w:val="null3"/>
        <w:ind w:firstLine="480"/>
        <w:jc w:val="left"/>
      </w:pPr>
      <w:r>
        <w:rPr>
          <w:rFonts w:ascii="仿宋_GB2312" w:hAnsi="仿宋_GB2312" w:cs="仿宋_GB2312" w:eastAsia="仿宋_GB2312"/>
          <w:sz w:val="27"/>
        </w:rPr>
        <w:t>2、投诉受理单位：本项目同级财政部门，即成都市财政局。 联系电话：028-61882648。 地址：成都市高新区锦城大道366号。 邮编：610041。</w:t>
      </w:r>
    </w:p>
    <w:p>
      <w:pPr>
        <w:pStyle w:val="null3"/>
        <w:ind w:firstLine="480"/>
        <w:jc w:val="left"/>
      </w:pPr>
      <w:r>
        <w:rPr>
          <w:rFonts w:ascii="仿宋_GB2312" w:hAnsi="仿宋_GB2312" w:cs="仿宋_GB2312" w:eastAsia="仿宋_GB2312"/>
          <w:sz w:val="27"/>
        </w:rPr>
        <w:t>3、采购内容：智算中心UPS电源采购建设项目包括2套模块化UPS主机、240只UPS蓄电池及其配套的电池架、电池开关柜、连接线缆/铜排和承重散力架的采购、安装、集成、调试及后续运维服务。旨在为智算中心构建一套技术先进、高可靠、高效率、高可维护性的2N双总线不间断电源系统。</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成都职业技术学院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成都市高新区益州大道北段15号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周松松</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028-85322355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成都市高新区天府大道北段966号（天府国际金融中心7号楼）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郭彦君</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028-85325791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采购包1：1,112,800.00元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1）中标通知书发放后，合同签订前，供应商向采购人支付合同总金额的5%作为履约保证金，若供应商违约，采购人可以先从履约保证金、未支付货款中扣除违约金，不足部分供应商应另行支付，同时供应商应在扣除违约金3日内补足履约保证金。</w:t>
              <w:br/>
              <w:t>（2）履约保证金汇入的银行及账号:</w:t>
              <w:br/>
              <w:t>收款单位:成都职业技术学院</w:t>
              <w:br/>
              <w:t>开户银行: 中国银行成都城南支行</w:t>
              <w:br/>
              <w:t>银行账号: 123928472289</w:t>
              <w:br/>
              <w:t>（3）履约保证金在项目验收合格后，供应商提交履约保证金退还申请，采购人在收到申请后的10个日历日内一次性无息退还供应商的履约保证金。因采购人原因逾期退还的，除应及时退还，还应向投标人支付未退还金额0.1‰/天的违约金。</w:t>
              <w:br/>
              <w:t>（4）履约保证金不予退还情形:未按政府采购合同履约的。履约保证金不予退还的，将按照有关规定上缴国库。</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成都职业技术学院</w:t>
      </w:r>
      <w:r>
        <w:rPr>
          <w:rFonts w:ascii="仿宋_GB2312" w:hAnsi="仿宋_GB2312" w:cs="仿宋_GB2312" w:eastAsia="仿宋_GB2312"/>
        </w:rPr>
        <w:t xml:space="preserve"> 和 </w:t>
      </w:r>
      <w:r>
        <w:rPr>
          <w:rFonts w:ascii="仿宋_GB2312" w:hAnsi="仿宋_GB2312" w:cs="仿宋_GB2312" w:eastAsia="仿宋_GB2312"/>
        </w:rPr>
        <w:t>成都市政府采购中心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成都职业技术学院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向采购人提交验收申请后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按照招标文件及合同约定事项逐一验收。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成都职业技术学院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成都市政府采购中心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联系人：周松松</w:t>
      </w:r>
    </w:p>
    <w:p>
      <w:pPr>
        <w:pStyle w:val="null3"/>
        <w:jc w:val="left"/>
      </w:pPr>
      <w:r>
        <w:rPr>
          <w:rFonts w:ascii="仿宋_GB2312" w:hAnsi="仿宋_GB2312" w:cs="仿宋_GB2312" w:eastAsia="仿宋_GB2312"/>
        </w:rPr>
        <w:t>联系电话：028-85322355</w:t>
      </w:r>
    </w:p>
    <w:p>
      <w:pPr>
        <w:pStyle w:val="null3"/>
        <w:jc w:val="left"/>
      </w:pPr>
      <w:r>
        <w:rPr>
          <w:rFonts w:ascii="仿宋_GB2312" w:hAnsi="仿宋_GB2312" w:cs="仿宋_GB2312" w:eastAsia="仿宋_GB2312"/>
        </w:rPr>
        <w:t>地址：成都市高新区益州大道北段15号</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联系人：郭彦君</w:t>
      </w:r>
    </w:p>
    <w:p>
      <w:pPr>
        <w:pStyle w:val="null3"/>
        <w:jc w:val="left"/>
      </w:pPr>
      <w:r>
        <w:rPr>
          <w:rFonts w:ascii="仿宋_GB2312" w:hAnsi="仿宋_GB2312" w:cs="仿宋_GB2312" w:eastAsia="仿宋_GB2312"/>
        </w:rPr>
        <w:t>联系电话：028-85325791</w:t>
      </w:r>
    </w:p>
    <w:p>
      <w:pPr>
        <w:pStyle w:val="null3"/>
        <w:jc w:val="left"/>
      </w:pPr>
      <w:r>
        <w:rPr>
          <w:rFonts w:ascii="仿宋_GB2312" w:hAnsi="仿宋_GB2312" w:cs="仿宋_GB2312" w:eastAsia="仿宋_GB2312"/>
        </w:rPr>
        <w:t>地址：成都市天府大道北段966号(天府国际金融中心7号楼)</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1,112,800.00</w:t>
      </w:r>
    </w:p>
    <w:p>
      <w:pPr>
        <w:pStyle w:val="null3"/>
        <w:jc w:val="left"/>
      </w:pPr>
      <w:r>
        <w:rPr>
          <w:rFonts w:ascii="仿宋_GB2312" w:hAnsi="仿宋_GB2312" w:cs="仿宋_GB2312" w:eastAsia="仿宋_GB2312"/>
        </w:rPr>
        <w:t>采购包最高限价（元）: 1,112,800.00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A02061504 不间断电源</w:t>
            </w:r>
          </w:p>
        </w:tc>
        <w:tc>
          <w:tcPr>
            <w:tcW w:type="dxa" w:w="821"/>
          </w:tcPr>
          <w:p>
            <w:pPr>
              <w:pStyle w:val="null3"/>
              <w:jc w:val="left"/>
            </w:pPr>
            <w:r>
              <w:rPr>
                <w:rFonts w:ascii="仿宋_GB2312" w:hAnsi="仿宋_GB2312" w:cs="仿宋_GB2312" w:eastAsia="仿宋_GB2312"/>
              </w:rPr>
              <w:t>模块化UPS主机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781,600.00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A02061504 不间断电源</w:t>
            </w:r>
          </w:p>
        </w:tc>
        <w:tc>
          <w:tcPr>
            <w:tcW w:type="dxa" w:w="821"/>
          </w:tcPr>
          <w:p>
            <w:pPr>
              <w:pStyle w:val="null3"/>
              <w:jc w:val="left"/>
            </w:pPr>
            <w:r>
              <w:rPr>
                <w:rFonts w:ascii="仿宋_GB2312" w:hAnsi="仿宋_GB2312" w:cs="仿宋_GB2312" w:eastAsia="仿宋_GB2312"/>
              </w:rPr>
              <w:t>UPS蓄电池</w:t>
            </w:r>
          </w:p>
        </w:tc>
        <w:tc>
          <w:tcPr>
            <w:tcW w:type="dxa" w:w="821"/>
          </w:tcPr>
          <w:p>
            <w:pPr>
              <w:pStyle w:val="null3"/>
              <w:jc w:val="right"/>
            </w:pPr>
            <w:r>
              <w:rPr>
                <w:rFonts w:ascii="仿宋_GB2312" w:hAnsi="仿宋_GB2312" w:cs="仿宋_GB2312" w:eastAsia="仿宋_GB2312"/>
              </w:rPr>
              <w:t>240.00（支）</w:t>
            </w:r>
          </w:p>
        </w:tc>
        <w:tc>
          <w:tcPr>
            <w:tcW w:type="dxa" w:w="821"/>
          </w:tcPr>
          <w:p>
            <w:pPr>
              <w:pStyle w:val="null3"/>
              <w:jc w:val="right"/>
            </w:pPr>
            <w:r>
              <w:rPr>
                <w:rFonts w:ascii="仿宋_GB2312" w:hAnsi="仿宋_GB2312" w:cs="仿宋_GB2312" w:eastAsia="仿宋_GB2312"/>
              </w:rPr>
              <w:t>331,200.00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模块化UPS主机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781,600.00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UPS蓄电池</w:t>
            </w:r>
          </w:p>
        </w:tc>
        <w:tc>
          <w:tcPr>
            <w:tcW w:type="dxa" w:w="1138"/>
          </w:tcPr>
          <w:p>
            <w:pPr>
              <w:pStyle w:val="null3"/>
              <w:jc w:val="center"/>
            </w:pPr>
            <w:r>
              <w:rPr>
                <w:rFonts w:ascii="仿宋_GB2312" w:hAnsi="仿宋_GB2312" w:cs="仿宋_GB2312" w:eastAsia="仿宋_GB2312"/>
              </w:rPr>
              <w:t>240.00（支）</w:t>
            </w:r>
          </w:p>
        </w:tc>
        <w:tc>
          <w:tcPr>
            <w:tcW w:type="dxa" w:w="1365"/>
          </w:tcPr>
          <w:p>
            <w:pPr>
              <w:pStyle w:val="null3"/>
              <w:jc w:val="center"/>
            </w:pPr>
            <w:r>
              <w:rPr>
                <w:rFonts w:ascii="仿宋_GB2312" w:hAnsi="仿宋_GB2312" w:cs="仿宋_GB2312" w:eastAsia="仿宋_GB2312"/>
              </w:rPr>
              <w:t>331,200.00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响应报价=单价x数量。</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A02061504 不间断电源</w:t>
            </w:r>
          </w:p>
        </w:tc>
        <w:tc>
          <w:tcPr>
            <w:tcW w:type="dxa" w:w="2492"/>
          </w:tcPr>
          <w:p>
            <w:pPr>
              <w:pStyle w:val="null3"/>
              <w:jc w:val="left"/>
            </w:pPr>
            <w:r>
              <w:rPr>
                <w:rFonts w:ascii="仿宋_GB2312" w:hAnsi="仿宋_GB2312" w:cs="仿宋_GB2312" w:eastAsia="仿宋_GB2312"/>
              </w:rPr>
              <w:t>模块化UPS主机</w:t>
            </w:r>
          </w:p>
        </w:tc>
        <w:tc>
          <w:tcPr>
            <w:tcW w:type="dxa" w:w="2492"/>
          </w:tcPr>
          <w:p>
            <w:pPr>
              <w:pStyle w:val="null3"/>
              <w:jc w:val="left"/>
            </w:pPr>
            <w:r>
              <w:rPr>
                <w:rFonts w:ascii="仿宋_GB2312" w:hAnsi="仿宋_GB2312" w:cs="仿宋_GB2312" w:eastAsia="仿宋_GB2312"/>
              </w:rPr>
              <w:t>模块化UPS主机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标的名称：模块化UPS主机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7"/>
              </w:rPr>
              <w:t>★1.UPS主机采用模块化热插拔式结构设计，三进三出，单机架额定容量≥1200KVA，本次配置容量≥750KVA；UPS输出采用双总线输出方式；支持2套UPS主机组成2N双总线供电架构，UPS主机内置双母线同步控制功能。</w:t>
            </w:r>
            <w:r>
              <w:br/>
            </w:r>
            <w:r>
              <w:rPr>
                <w:rFonts w:ascii="仿宋_GB2312" w:hAnsi="仿宋_GB2312" w:cs="仿宋_GB2312" w:eastAsia="仿宋_GB2312"/>
                <w:sz w:val="27"/>
              </w:rPr>
              <w:t xml:space="preserve"> ★2.单功率模块的额定容量≥120KVA，功率模块支持在线热插拔。</w:t>
            </w:r>
          </w:p>
          <w:p>
            <w:pPr>
              <w:pStyle w:val="null3"/>
              <w:jc w:val="left"/>
            </w:pPr>
            <w:r>
              <w:rPr>
                <w:rFonts w:ascii="仿宋_GB2312" w:hAnsi="仿宋_GB2312" w:cs="仿宋_GB2312" w:eastAsia="仿宋_GB2312"/>
                <w:sz w:val="27"/>
              </w:rPr>
              <w:t>★3.UPS设备需配置相应的UPS原厂电池总开关套件，标配的电池总开关要求选用符合国家标准的直流断路器，电池总开关应具有分励脱扣线圈，当出现故障需要断开电池开关时，UPS控制电路向此线圈发出信号，使电池开关闸。电池总开关套件具有以下功能:①短路保护和放电终止保护，电池电压降到放电终止电压时，电池开关自动断开；②支持UPS</w:t>
            </w:r>
            <w:r>
              <w:rPr>
                <w:rFonts w:ascii="仿宋_GB2312" w:hAnsi="仿宋_GB2312" w:cs="仿宋_GB2312" w:eastAsia="仿宋_GB2312"/>
                <w:sz w:val="27"/>
              </w:rPr>
              <w:t>的EPO功能，按下UPS触摸控制面板上的EPO开关时，电池开关自动断开。</w:t>
            </w:r>
          </w:p>
          <w:p>
            <w:pPr>
              <w:pStyle w:val="null3"/>
              <w:jc w:val="left"/>
            </w:pPr>
            <w:r>
              <w:rPr>
                <w:rFonts w:ascii="仿宋_GB2312" w:hAnsi="仿宋_GB2312" w:cs="仿宋_GB2312" w:eastAsia="仿宋_GB2312"/>
                <w:sz w:val="27"/>
              </w:rPr>
              <w:t>★4.</w:t>
            </w:r>
            <w:r>
              <w:rPr>
                <w:rFonts w:ascii="仿宋_GB2312" w:hAnsi="仿宋_GB2312" w:cs="仿宋_GB2312" w:eastAsia="仿宋_GB2312"/>
                <w:sz w:val="27"/>
              </w:rPr>
              <w:t>配置UPS设备至电池开关柜及到电池组采用电缆连接，线缆规格选用不低于WDZA-YJYR-240mm²，总长度≥220米（UPS主机到电池开关柜采用4拼不低于WDZA-YJYR-240mm</w:t>
            </w:r>
            <w:r>
              <w:rPr>
                <w:rFonts w:ascii="仿宋_GB2312" w:hAnsi="仿宋_GB2312" w:cs="仿宋_GB2312" w:eastAsia="仿宋_GB2312"/>
                <w:sz w:val="27"/>
                <w:vertAlign w:val="superscript"/>
              </w:rPr>
              <w:t>2</w:t>
            </w:r>
            <w:r>
              <w:rPr>
                <w:rFonts w:ascii="仿宋_GB2312" w:hAnsi="仿宋_GB2312" w:cs="仿宋_GB2312" w:eastAsia="仿宋_GB2312"/>
                <w:sz w:val="27"/>
              </w:rPr>
              <w:t>电缆连接，电池开关柜到电池组采用2拼不低于WDZA-YJYR-240mm</w:t>
            </w:r>
            <w:r>
              <w:rPr>
                <w:rFonts w:ascii="仿宋_GB2312" w:hAnsi="仿宋_GB2312" w:cs="仿宋_GB2312" w:eastAsia="仿宋_GB2312"/>
                <w:sz w:val="27"/>
                <w:vertAlign w:val="superscript"/>
              </w:rPr>
              <w:t>2</w:t>
            </w:r>
            <w:r>
              <w:rPr>
                <w:rFonts w:ascii="仿宋_GB2312" w:hAnsi="仿宋_GB2312" w:cs="仿宋_GB2312" w:eastAsia="仿宋_GB2312"/>
                <w:sz w:val="27"/>
              </w:rPr>
              <w:t>电缆连接）。</w:t>
            </w:r>
            <w:r>
              <w:br/>
            </w:r>
            <w:r>
              <w:rPr>
                <w:rFonts w:ascii="仿宋_GB2312" w:hAnsi="仿宋_GB2312" w:cs="仿宋_GB2312" w:eastAsia="仿宋_GB2312"/>
                <w:sz w:val="27"/>
              </w:rPr>
              <w:t xml:space="preserve"> ★5.配置承重散力架，采用≥L50*5镀锌角钢焊接而成，架空高与原有地板面齐平；焊点做防锈处理，支架通过膨胀螺栓与地面固定，支架根据实际设备尺寸制作。</w:t>
            </w:r>
          </w:p>
          <w:p>
            <w:pPr>
              <w:pStyle w:val="null3"/>
              <w:jc w:val="left"/>
            </w:pPr>
            <w:r>
              <w:rPr>
                <w:rFonts w:ascii="仿宋_GB2312" w:hAnsi="仿宋_GB2312" w:cs="仿宋_GB2312" w:eastAsia="仿宋_GB2312"/>
                <w:sz w:val="27"/>
              </w:rPr>
              <w:t>▲6.UPS主机满载时，输入电流谐波≤1.2%；输出电压波形失真度：阻性负载 ≤0.8％，非线性负载 ≤1%。（说明：提供具有CMA标识的检测报告复印件。）</w:t>
            </w:r>
          </w:p>
          <w:p>
            <w:pPr>
              <w:pStyle w:val="null3"/>
              <w:jc w:val="left"/>
            </w:pPr>
            <w:r>
              <w:rPr>
                <w:rFonts w:ascii="仿宋_GB2312" w:hAnsi="仿宋_GB2312" w:cs="仿宋_GB2312" w:eastAsia="仿宋_GB2312"/>
                <w:sz w:val="27"/>
              </w:rPr>
              <w:t>▲7.三相负载不平衡度：100%负载时，三相输出电压不平衡度满足：平衡负载≤0.2%，不平衡负载≤0.9%。（说明：提供具有CMA标识的检测报告复印件。）</w:t>
            </w:r>
          </w:p>
          <w:p>
            <w:pPr>
              <w:pStyle w:val="null3"/>
              <w:jc w:val="left"/>
            </w:pPr>
            <w:r>
              <w:rPr>
                <w:rFonts w:ascii="仿宋_GB2312" w:hAnsi="仿宋_GB2312" w:cs="仿宋_GB2312" w:eastAsia="仿宋_GB2312"/>
                <w:sz w:val="27"/>
              </w:rPr>
              <w:t>▲8.UPS主机在50%及100%负载时，UPS单机输出电流不均衡度需≤1%。</w:t>
            </w:r>
          </w:p>
          <w:p>
            <w:pPr>
              <w:pStyle w:val="null3"/>
              <w:jc w:val="left"/>
            </w:pPr>
            <w:r>
              <w:rPr>
                <w:rFonts w:ascii="仿宋_GB2312" w:hAnsi="仿宋_GB2312" w:cs="仿宋_GB2312" w:eastAsia="仿宋_GB2312"/>
                <w:sz w:val="27"/>
              </w:rPr>
              <w:t>▲9.UPS主机输入功率因数≥0.99；输出有功功率≥1；整机运行效率：30%及50%负载时，效率≥97.3%。（说明：提供具有CMA标识的检测报告复印件。）</w:t>
            </w:r>
            <w:r>
              <w:br/>
            </w:r>
            <w:r>
              <w:rPr>
                <w:rFonts w:ascii="仿宋_GB2312" w:hAnsi="仿宋_GB2312" w:cs="仿宋_GB2312" w:eastAsia="仿宋_GB2312"/>
                <w:sz w:val="27"/>
              </w:rPr>
              <w:t xml:space="preserve"> ▲10.UPS主机的电压瞬变恢复时间在空载和满载情况下均为0ms。（说明：提供具有CMA标识的检测报告复印件。）</w:t>
            </w:r>
            <w:r>
              <w:br/>
            </w:r>
            <w:r>
              <w:rPr>
                <w:rFonts w:ascii="仿宋_GB2312" w:hAnsi="仿宋_GB2312" w:cs="仿宋_GB2312" w:eastAsia="仿宋_GB2312"/>
                <w:sz w:val="27"/>
              </w:rPr>
              <w:t xml:space="preserve"> ▲11.UPS设备具备ECO模式（或动态在线模式、智能在线模式），在该模式下负载效率≥97%。（说明：提供具有CMA标识的检测报告复印件。）</w:t>
            </w:r>
          </w:p>
          <w:p>
            <w:pPr>
              <w:pStyle w:val="null3"/>
              <w:spacing w:before="105" w:after="105"/>
              <w:jc w:val="left"/>
            </w:pPr>
            <w:r>
              <w:rPr>
                <w:rFonts w:ascii="仿宋_GB2312" w:hAnsi="仿宋_GB2312" w:cs="仿宋_GB2312" w:eastAsia="仿宋_GB2312"/>
                <w:sz w:val="27"/>
              </w:rPr>
              <w:t>12.UPS主机具有高可靠性，产品通过盐雾、气态污染物、导电性污染物测试。</w:t>
            </w:r>
          </w:p>
          <w:p>
            <w:pPr>
              <w:pStyle w:val="null3"/>
              <w:jc w:val="left"/>
            </w:pPr>
            <w:r>
              <w:rPr>
                <w:rFonts w:ascii="仿宋_GB2312" w:hAnsi="仿宋_GB2312" w:cs="仿宋_GB2312" w:eastAsia="仿宋_GB2312"/>
                <w:sz w:val="27"/>
              </w:rPr>
              <w:t>★13.数据中心机房配电间空间有限，UPS主机占地面积≤1.5㎡。</w:t>
            </w:r>
          </w:p>
          <w:p>
            <w:pPr>
              <w:pStyle w:val="null3"/>
              <w:jc w:val="left"/>
            </w:pPr>
            <w:r>
              <w:rPr>
                <w:rFonts w:ascii="仿宋_GB2312" w:hAnsi="仿宋_GB2312" w:cs="仿宋_GB2312" w:eastAsia="仿宋_GB2312"/>
                <w:sz w:val="27"/>
              </w:rPr>
              <w:t>▲14.UPS设备需具备良好的高温带载能力，40℃持续运行不降额，50℃环境温度仍可输出≥80%额定功率。</w:t>
            </w:r>
            <w:r>
              <w:br/>
            </w:r>
            <w:r>
              <w:rPr>
                <w:rFonts w:ascii="仿宋_GB2312" w:hAnsi="仿宋_GB2312" w:cs="仿宋_GB2312" w:eastAsia="仿宋_GB2312"/>
                <w:sz w:val="27"/>
              </w:rPr>
              <w:t xml:space="preserve"> 15.逆变器过载能力：≤105%连续运行、≤125%持续运行不低于10分钟、≤150%持续运行不低于1分钟。</w:t>
            </w:r>
          </w:p>
          <w:p>
            <w:pPr>
              <w:pStyle w:val="null3"/>
              <w:spacing w:before="105" w:after="105"/>
              <w:jc w:val="left"/>
            </w:pPr>
            <w:r>
              <w:rPr>
                <w:rFonts w:ascii="仿宋_GB2312" w:hAnsi="仿宋_GB2312" w:cs="仿宋_GB2312" w:eastAsia="仿宋_GB2312"/>
                <w:sz w:val="27"/>
              </w:rPr>
              <w:t>16.UPS主机具备电池界面管理功能和除尘预警功能。</w:t>
            </w:r>
          </w:p>
          <w:p>
            <w:pPr>
              <w:pStyle w:val="null3"/>
              <w:spacing w:before="105" w:after="105"/>
              <w:jc w:val="left"/>
            </w:pPr>
            <w:r>
              <w:rPr>
                <w:rFonts w:ascii="仿宋_GB2312" w:hAnsi="仿宋_GB2312" w:cs="仿宋_GB2312" w:eastAsia="仿宋_GB2312"/>
                <w:sz w:val="27"/>
              </w:rPr>
              <w:t>17.UPS具有运维操作风险提示功能。</w:t>
            </w:r>
          </w:p>
          <w:p>
            <w:pPr>
              <w:pStyle w:val="null3"/>
              <w:jc w:val="left"/>
            </w:pPr>
            <w:r>
              <w:rPr>
                <w:rFonts w:ascii="仿宋_GB2312" w:hAnsi="仿宋_GB2312" w:cs="仿宋_GB2312" w:eastAsia="仿宋_GB2312"/>
                <w:sz w:val="27"/>
              </w:rPr>
              <w:t>★18.</w:t>
            </w:r>
            <w:r>
              <w:rPr>
                <w:rFonts w:ascii="仿宋_GB2312" w:hAnsi="仿宋_GB2312" w:cs="仿宋_GB2312" w:eastAsia="仿宋_GB2312"/>
                <w:sz w:val="27"/>
              </w:rPr>
              <w:t>UPS主机需配备标准开放通讯接口，具备RS485、以太网口等标准通信接口，支持SNMP、ModBus-RTU 标准通信方式，可实时上传设备运行状态、故障告警、参数信息等数据。设备需完成与采购人现有动力环境监控系统的对接配置、数据点调试、告警联调、功能验证，确保数据准确上传、稳定监控。</w:t>
            </w:r>
            <w:r>
              <w:br/>
            </w:r>
            <w:r>
              <w:rPr>
                <w:rFonts w:ascii="仿宋_GB2312" w:hAnsi="仿宋_GB2312" w:cs="仿宋_GB2312" w:eastAsia="仿宋_GB2312"/>
                <w:sz w:val="27"/>
              </w:rPr>
              <w:t xml:space="preserve"> 19.功率模块内部散热风道采用独立风道设计，防止灰尘积累导致短路、拉弧故障发生。</w:t>
            </w:r>
          </w:p>
          <w:p>
            <w:pPr>
              <w:pStyle w:val="null3"/>
              <w:jc w:val="left"/>
            </w:pPr>
            <w:r>
              <w:rPr>
                <w:rFonts w:ascii="仿宋_GB2312" w:hAnsi="仿宋_GB2312" w:cs="仿宋_GB2312" w:eastAsia="仿宋_GB2312"/>
                <w:sz w:val="27"/>
              </w:rPr>
              <w:t>20.UPS主机内部的功率模块并联采用分散控制技术，每个功率模块具有独立DSP控制，并联模块间自主均流。</w:t>
            </w:r>
          </w:p>
          <w:p>
            <w:pPr>
              <w:pStyle w:val="null3"/>
              <w:jc w:val="left"/>
            </w:pPr>
            <w:r>
              <w:rPr>
                <w:rFonts w:ascii="仿宋_GB2312" w:hAnsi="仿宋_GB2312" w:cs="仿宋_GB2312" w:eastAsia="仿宋_GB2312"/>
                <w:sz w:val="27"/>
              </w:rPr>
              <w:t>21.输入额定电压(V):380/400/415，3Ph+N+PE，输入电压范围(V):228～478；UPS主机内部采用系统控制冗余设计，具有旁路反灌保护功能，短路耐受能力≥150kA。</w:t>
            </w:r>
            <w:r>
              <w:br/>
            </w:r>
            <w:r>
              <w:rPr>
                <w:rFonts w:ascii="仿宋_GB2312" w:hAnsi="仿宋_GB2312" w:cs="仿宋_GB2312" w:eastAsia="仿宋_GB2312"/>
                <w:sz w:val="27"/>
              </w:rPr>
              <w:t xml:space="preserve"> 22.UPS采用交直流电容，电容及风扇具有易损件智能预告警功能。</w:t>
            </w:r>
          </w:p>
          <w:p>
            <w:pPr>
              <w:pStyle w:val="null3"/>
              <w:jc w:val="left"/>
            </w:pPr>
            <w:r>
              <w:rPr>
                <w:rFonts w:ascii="仿宋_GB2312" w:hAnsi="仿宋_GB2312" w:cs="仿宋_GB2312" w:eastAsia="仿宋_GB2312"/>
                <w:sz w:val="27"/>
              </w:rPr>
              <w:t>23.UPS主机具有人机交互性能，LCD触摸屏显示器≥9英寸，具备故障录波功能，并存储故障信息，支持并机系统一键开/关机功能。</w:t>
            </w:r>
            <w:r>
              <w:br/>
            </w:r>
            <w:r>
              <w:rPr>
                <w:rFonts w:ascii="仿宋_GB2312" w:hAnsi="仿宋_GB2312" w:cs="仿宋_GB2312" w:eastAsia="仿宋_GB2312"/>
                <w:sz w:val="27"/>
              </w:rPr>
              <w:t xml:space="preserve"> 24.UPS系统的电池组采用40~50节（12V电池）设计，支持电池组电压480Vdc-600Vdc设置，UPS主机与电池组只需正负极连接，无需N线。</w:t>
            </w:r>
          </w:p>
          <w:p>
            <w:pPr>
              <w:pStyle w:val="null3"/>
              <w:spacing w:before="105" w:after="105"/>
              <w:jc w:val="left"/>
            </w:pPr>
            <w:r>
              <w:rPr>
                <w:rFonts w:ascii="仿宋_GB2312" w:hAnsi="仿宋_GB2312" w:cs="仿宋_GB2312" w:eastAsia="仿宋_GB2312"/>
                <w:sz w:val="27"/>
              </w:rPr>
              <w:t>▲25.UPS主机需通过抗震性能检测且抗震等级≥8级烈度。（说明：提供具有CMA标识的检测报告复印件。）</w:t>
            </w:r>
          </w:p>
          <w:p>
            <w:pPr>
              <w:pStyle w:val="null3"/>
              <w:jc w:val="left"/>
            </w:pPr>
            <w:r>
              <w:rPr>
                <w:rFonts w:ascii="仿宋_GB2312" w:hAnsi="仿宋_GB2312" w:cs="仿宋_GB2312" w:eastAsia="仿宋_GB2312"/>
                <w:sz w:val="27"/>
              </w:rPr>
              <w:t>26.UPS主机具备故障功率模块自动退出功能，单个或者部分功率模块故障不影响UPS主机正常运行。</w:t>
            </w:r>
          </w:p>
        </w:tc>
      </w:tr>
    </w:tbl>
    <w:p>
      <w:pPr>
        <w:pStyle w:val="null3"/>
        <w:jc w:val="left"/>
      </w:pPr>
      <w:r>
        <w:rPr>
          <w:rFonts w:ascii="仿宋_GB2312" w:hAnsi="仿宋_GB2312" w:cs="仿宋_GB2312" w:eastAsia="仿宋_GB2312"/>
        </w:rPr>
        <w:t>标的名称：UPS蓄电池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7"/>
              </w:rPr>
              <w:t>★1.阀控式密封铅酸蓄电池，单节蓄电池标称电压12V，单节蓄电池容量≥250Ah，在温度为25℃时，电池的设计浮充寿命≥10年。</w:t>
            </w:r>
          </w:p>
          <w:p>
            <w:pPr>
              <w:pStyle w:val="null3"/>
              <w:jc w:val="left"/>
            </w:pPr>
            <w:r>
              <w:rPr>
                <w:rFonts w:ascii="仿宋_GB2312" w:hAnsi="仿宋_GB2312" w:cs="仿宋_GB2312" w:eastAsia="仿宋_GB2312"/>
                <w:sz w:val="27"/>
              </w:rPr>
              <w:t>★2.蓄电池外观应无变形、漏液、裂纹及污迹，标识清晰，正、负极端子有明显标志且便于连接。</w:t>
            </w:r>
          </w:p>
          <w:p>
            <w:pPr>
              <w:pStyle w:val="null3"/>
              <w:jc w:val="left"/>
            </w:pPr>
            <w:r>
              <w:rPr>
                <w:rFonts w:ascii="仿宋_GB2312" w:hAnsi="仿宋_GB2312" w:cs="仿宋_GB2312" w:eastAsia="仿宋_GB2312"/>
                <w:sz w:val="27"/>
              </w:rPr>
              <w:t>★3.配置电池连接线缆或铜排，需配置相应的电池组支路直流开关柜，柜内标配的开关要求选用符合国家标准的直流断路器。</w:t>
            </w:r>
          </w:p>
          <w:p>
            <w:pPr>
              <w:pStyle w:val="null3"/>
              <w:jc w:val="left"/>
            </w:pPr>
            <w:r>
              <w:rPr>
                <w:rFonts w:ascii="仿宋_GB2312" w:hAnsi="仿宋_GB2312" w:cs="仿宋_GB2312" w:eastAsia="仿宋_GB2312"/>
                <w:sz w:val="27"/>
              </w:rPr>
              <w:t>★4.配置承重散力架，采用≥L50*5镀锌角钢焊接，架空高与原有地板面齐平；焊点做防锈处理，支架通过膨胀螺栓与地面固定，支架根据所投产品实际设备尺寸制作。</w:t>
            </w:r>
          </w:p>
          <w:p>
            <w:pPr>
              <w:pStyle w:val="null3"/>
              <w:jc w:val="left"/>
            </w:pPr>
            <w:r>
              <w:rPr>
                <w:rFonts w:ascii="仿宋_GB2312" w:hAnsi="仿宋_GB2312" w:cs="仿宋_GB2312" w:eastAsia="仿宋_GB2312"/>
                <w:sz w:val="27"/>
              </w:rPr>
              <w:t>★5.蓄电</w:t>
            </w:r>
            <w:r>
              <w:rPr>
                <w:rFonts w:ascii="仿宋_GB2312" w:hAnsi="仿宋_GB2312" w:cs="仿宋_GB2312" w:eastAsia="仿宋_GB2312"/>
                <w:sz w:val="27"/>
                <w:shd w:fill="FFFFFF" w:val="clear"/>
              </w:rPr>
              <w:t>池为制造厂原厂生产组装</w:t>
            </w:r>
            <w:r>
              <w:rPr>
                <w:rFonts w:ascii="仿宋_GB2312" w:hAnsi="仿宋_GB2312" w:cs="仿宋_GB2312" w:eastAsia="仿宋_GB2312"/>
                <w:sz w:val="27"/>
                <w:shd w:fill="FFFFFF" w:val="clear"/>
              </w:rPr>
              <w:t>，</w:t>
            </w:r>
            <w:r>
              <w:rPr>
                <w:rFonts w:ascii="仿宋_GB2312" w:hAnsi="仿宋_GB2312" w:cs="仿宋_GB2312" w:eastAsia="仿宋_GB2312"/>
                <w:sz w:val="27"/>
                <w:shd w:fill="FFFFFF" w:val="clear"/>
              </w:rPr>
              <w:t>非</w:t>
            </w:r>
            <w:r>
              <w:rPr>
                <w:rFonts w:ascii="仿宋_GB2312" w:hAnsi="仿宋_GB2312" w:cs="仿宋_GB2312" w:eastAsia="仿宋_GB2312"/>
                <w:sz w:val="27"/>
                <w:shd w:fill="FFFFFF" w:val="clear"/>
              </w:rPr>
              <w:t>采用委托代工方式（OEM）生产的产品。</w:t>
            </w:r>
          </w:p>
          <w:p>
            <w:pPr>
              <w:pStyle w:val="null3"/>
              <w:jc w:val="left"/>
            </w:pPr>
            <w:r>
              <w:rPr>
                <w:rFonts w:ascii="仿宋_GB2312" w:hAnsi="仿宋_GB2312" w:cs="仿宋_GB2312" w:eastAsia="仿宋_GB2312"/>
                <w:sz w:val="27"/>
              </w:rPr>
              <w:t>▲6.蓄电池密封反应效率≥99%，容量保存率：静置28天后容量保存率≥98%，电池间连接电压降：5.5I10放电条件下，△U应≤5mV。（说明：提供具有CMA标识的检测报告复印件。）</w:t>
            </w:r>
          </w:p>
          <w:p>
            <w:pPr>
              <w:pStyle w:val="null3"/>
              <w:jc w:val="left"/>
            </w:pPr>
            <w:r>
              <w:rPr>
                <w:rFonts w:ascii="仿宋_GB2312" w:hAnsi="仿宋_GB2312" w:cs="仿宋_GB2312" w:eastAsia="仿宋_GB2312"/>
                <w:sz w:val="27"/>
              </w:rPr>
              <w:t>▲7.同组蓄电池10h率容量试验时，最大实际容量与最小实际容量差值应≤2.5%；蓄电池具有自动开启和自动关闭的功能，开阀压力应在17~25kPa范围内，闭阀压力应在10~16kPa范围内。（说明：提供具有CMA标识的检测报告复印件。）</w:t>
            </w:r>
          </w:p>
          <w:p>
            <w:pPr>
              <w:pStyle w:val="null3"/>
              <w:jc w:val="left"/>
            </w:pPr>
            <w:r>
              <w:rPr>
                <w:rFonts w:ascii="仿宋_GB2312" w:hAnsi="仿宋_GB2312" w:cs="仿宋_GB2312" w:eastAsia="仿宋_GB2312"/>
                <w:sz w:val="27"/>
              </w:rPr>
              <w:t>▲8.蓄电池端电压均衡性：开路的最高与最低差值应≤30mV，进入浮充状态24h后端电压差应≤15mV，放电状态端电压差应≤0.3V。（说明：提供具有CMA标识的检测报告复印件。）</w:t>
            </w:r>
          </w:p>
          <w:p>
            <w:pPr>
              <w:pStyle w:val="null3"/>
              <w:jc w:val="left"/>
            </w:pPr>
            <w:r>
              <w:rPr>
                <w:rFonts w:ascii="仿宋_GB2312" w:hAnsi="仿宋_GB2312" w:cs="仿宋_GB2312" w:eastAsia="仿宋_GB2312"/>
                <w:sz w:val="27"/>
              </w:rPr>
              <w:t>9.电池极柱（端子）部位有防漏液的设计。</w:t>
            </w:r>
          </w:p>
          <w:p>
            <w:pPr>
              <w:pStyle w:val="null3"/>
              <w:jc w:val="left"/>
            </w:pPr>
            <w:r>
              <w:rPr>
                <w:rFonts w:ascii="仿宋_GB2312" w:hAnsi="仿宋_GB2312" w:cs="仿宋_GB2312" w:eastAsia="仿宋_GB2312"/>
                <w:sz w:val="27"/>
              </w:rPr>
              <w:t>▲10.</w:t>
            </w:r>
            <w:r>
              <w:rPr>
                <w:rFonts w:ascii="仿宋_GB2312" w:hAnsi="仿宋_GB2312" w:cs="仿宋_GB2312" w:eastAsia="仿宋_GB2312"/>
                <w:sz w:val="27"/>
              </w:rPr>
              <w:t>蓄电池壳、盖、连接条保护罩符合GB/T2408-2021中第8.4.2条HB(水平级)和第9.4条V-0(垂直级)的要求。（说明：提供具有CMA标识的检测报告复印件。）</w:t>
            </w:r>
          </w:p>
          <w:p>
            <w:pPr>
              <w:pStyle w:val="null3"/>
              <w:jc w:val="left"/>
            </w:pPr>
            <w:r>
              <w:rPr>
                <w:rFonts w:ascii="仿宋_GB2312" w:hAnsi="仿宋_GB2312" w:cs="仿宋_GB2312" w:eastAsia="仿宋_GB2312"/>
                <w:sz w:val="27"/>
              </w:rPr>
              <w:t>11.蓄电池充电过程中遇明火，内部不引燃、不引爆；正常浮充工作过程中应无酸雾逸出；蓄电池以30I10放电3min，极柱应不熔断、内部汇流排应不熔断，外观应不出现异常。</w:t>
            </w:r>
          </w:p>
          <w:p>
            <w:pPr>
              <w:pStyle w:val="null3"/>
              <w:jc w:val="left"/>
            </w:pPr>
            <w:r>
              <w:rPr>
                <w:rFonts w:ascii="仿宋_GB2312" w:hAnsi="仿宋_GB2312" w:cs="仿宋_GB2312" w:eastAsia="仿宋_GB2312"/>
                <w:sz w:val="27"/>
              </w:rPr>
              <w:t>▲12.热失控敏感性：蓄电池温度在(25±5)℃环境中，以(2.45±0.1)V/单体的恒定电压（不限流）连续充电168h，应满足每24h的电流增长率≤15%。（说明：提供具有CMA标识的检测报告复印件。）</w:t>
            </w:r>
          </w:p>
          <w:p>
            <w:pPr>
              <w:pStyle w:val="null3"/>
              <w:jc w:val="left"/>
            </w:pPr>
            <w:r>
              <w:rPr>
                <w:rFonts w:ascii="仿宋_GB2312" w:hAnsi="仿宋_GB2312" w:cs="仿宋_GB2312" w:eastAsia="仿宋_GB2312"/>
                <w:sz w:val="27"/>
              </w:rPr>
              <w:t>▲13.蓄电池需通过抗震检测且抗震等级≥8级。（说明：提供具有CMA标识的检测报告复印件。）</w:t>
            </w:r>
          </w:p>
          <w:p>
            <w:pPr>
              <w:pStyle w:val="null3"/>
              <w:jc w:val="left"/>
            </w:pPr>
            <w:r>
              <w:rPr>
                <w:rFonts w:ascii="仿宋_GB2312" w:hAnsi="仿宋_GB2312" w:cs="仿宋_GB2312" w:eastAsia="仿宋_GB2312"/>
                <w:sz w:val="27"/>
              </w:rPr>
              <w:t>▲14.配置电池架可放置12V 250AH蓄电池，单列4层放置，单个电池架放40只电池，型材厚度≥4mm，有喷涂，黑色；电池架通过结构抗振动性能测试，抗震烈度≥8级。</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履约能力</w:t>
            </w:r>
          </w:p>
        </w:tc>
        <w:tc>
          <w:tcPr>
            <w:tcW w:type="dxa" w:w="5814"/>
          </w:tcPr>
          <w:p>
            <w:pPr>
              <w:pStyle w:val="null3"/>
              <w:jc w:val="left"/>
            </w:pPr>
            <w:r>
              <w:rPr>
                <w:rFonts w:ascii="仿宋_GB2312" w:hAnsi="仿宋_GB2312" w:cs="仿宋_GB2312" w:eastAsia="仿宋_GB2312"/>
                <w:sz w:val="27"/>
              </w:rPr>
              <w:t>投标人应具有类似项目业绩。</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项目实施方案</w:t>
            </w:r>
          </w:p>
        </w:tc>
        <w:tc>
          <w:tcPr>
            <w:tcW w:type="dxa" w:w="5814"/>
          </w:tcPr>
          <w:p>
            <w:pPr>
              <w:pStyle w:val="null3"/>
              <w:jc w:val="left"/>
            </w:pPr>
            <w:r>
              <w:rPr>
                <w:rFonts w:ascii="仿宋_GB2312" w:hAnsi="仿宋_GB2312" w:cs="仿宋_GB2312" w:eastAsia="仿宋_GB2312"/>
                <w:sz w:val="27"/>
              </w:rPr>
              <w:t>投标人提供的项目实施方案应包含</w:t>
            </w:r>
            <w:r>
              <w:rPr>
                <w:rFonts w:ascii="仿宋_GB2312" w:hAnsi="仿宋_GB2312" w:cs="仿宋_GB2312" w:eastAsia="仿宋_GB2312"/>
                <w:sz w:val="27"/>
              </w:rPr>
              <w:t>①设备配送运输方案，②安装前机械设备和材料的准备，③设备安装进度计划，</w:t>
            </w:r>
            <w:r>
              <w:rPr>
                <w:rFonts w:ascii="仿宋_GB2312" w:hAnsi="仿宋_GB2312" w:cs="仿宋_GB2312" w:eastAsia="仿宋_GB2312"/>
                <w:sz w:val="27"/>
              </w:rPr>
              <w:t>④</w:t>
            </w:r>
            <w:r>
              <w:rPr>
                <w:rFonts w:ascii="仿宋_GB2312" w:hAnsi="仿宋_GB2312" w:cs="仿宋_GB2312" w:eastAsia="仿宋_GB2312"/>
                <w:sz w:val="27"/>
              </w:rPr>
              <w:t>设备的安装调试方案的内容。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项目售后服务</w:t>
            </w:r>
          </w:p>
        </w:tc>
        <w:tc>
          <w:tcPr>
            <w:tcW w:type="dxa" w:w="5814"/>
          </w:tcPr>
          <w:p>
            <w:pPr>
              <w:pStyle w:val="null3"/>
              <w:jc w:val="both"/>
            </w:pPr>
            <w:r>
              <w:rPr>
                <w:rFonts w:ascii="仿宋_GB2312" w:hAnsi="仿宋_GB2312" w:cs="仿宋_GB2312" w:eastAsia="仿宋_GB2312"/>
                <w:sz w:val="27"/>
              </w:rPr>
              <w:t>（</w:t>
            </w:r>
            <w:r>
              <w:rPr>
                <w:rFonts w:ascii="仿宋_GB2312" w:hAnsi="仿宋_GB2312" w:cs="仿宋_GB2312" w:eastAsia="仿宋_GB2312"/>
                <w:sz w:val="27"/>
              </w:rPr>
              <w:t>1）投标人应具有售后服务热线电话进行售后技术服务响应，且有专门场所存放维保产品配件。</w:t>
            </w:r>
          </w:p>
          <w:p>
            <w:pPr>
              <w:pStyle w:val="null3"/>
              <w:jc w:val="left"/>
            </w:pPr>
            <w:r>
              <w:rPr>
                <w:rFonts w:ascii="仿宋_GB2312" w:hAnsi="仿宋_GB2312" w:cs="仿宋_GB2312" w:eastAsia="仿宋_GB2312"/>
                <w:sz w:val="27"/>
              </w:rPr>
              <w:t>（</w:t>
            </w:r>
            <w:r>
              <w:rPr>
                <w:rFonts w:ascii="仿宋_GB2312" w:hAnsi="仿宋_GB2312" w:cs="仿宋_GB2312" w:eastAsia="仿宋_GB2312"/>
                <w:sz w:val="27"/>
              </w:rPr>
              <w:t>2）</w:t>
            </w:r>
            <w:r>
              <w:rPr>
                <w:rFonts w:ascii="仿宋_GB2312" w:hAnsi="仿宋_GB2312" w:cs="仿宋_GB2312" w:eastAsia="仿宋_GB2312"/>
                <w:sz w:val="27"/>
              </w:rPr>
              <w:t>投标人应在质保期内每年对电池进行带载放电测试。</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项目售后服务方案</w:t>
            </w:r>
          </w:p>
        </w:tc>
        <w:tc>
          <w:tcPr>
            <w:tcW w:type="dxa" w:w="5814"/>
          </w:tcPr>
          <w:p>
            <w:pPr>
              <w:pStyle w:val="null3"/>
              <w:jc w:val="left"/>
            </w:pPr>
            <w:r>
              <w:rPr>
                <w:rFonts w:ascii="仿宋_GB2312" w:hAnsi="仿宋_GB2312" w:cs="仿宋_GB2312" w:eastAsia="仿宋_GB2312"/>
                <w:sz w:val="27"/>
              </w:rPr>
              <w:t>投标人提供的项目售后服务方案应包含</w:t>
            </w:r>
            <w:r>
              <w:rPr>
                <w:rFonts w:ascii="仿宋_GB2312" w:hAnsi="仿宋_GB2312" w:cs="仿宋_GB2312" w:eastAsia="仿宋_GB2312"/>
                <w:sz w:val="27"/>
              </w:rPr>
              <w:t>①响应方式及时间、②售后服务巡检及保养服务、③售后服务应急措施的内容。</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人员配备</w:t>
            </w:r>
          </w:p>
        </w:tc>
        <w:tc>
          <w:tcPr>
            <w:tcW w:type="dxa" w:w="5814"/>
          </w:tcPr>
          <w:p>
            <w:pPr>
              <w:pStyle w:val="null3"/>
              <w:jc w:val="left"/>
            </w:pPr>
            <w:r>
              <w:rPr>
                <w:rFonts w:ascii="仿宋_GB2312" w:hAnsi="仿宋_GB2312" w:cs="仿宋_GB2312" w:eastAsia="仿宋_GB2312"/>
                <w:sz w:val="27"/>
              </w:rPr>
              <w:t>投标人为本项目配备的负责项目施工安装的人员</w:t>
            </w:r>
            <w:r>
              <w:rPr>
                <w:rFonts w:ascii="仿宋_GB2312" w:hAnsi="仿宋_GB2312" w:cs="仿宋_GB2312" w:eastAsia="仿宋_GB2312"/>
                <w:sz w:val="27"/>
              </w:rPr>
              <w:t>≥3人，且均具有有效的中华人民共和国特种作业操作证（低压电工）。（说明：提供证书复印件。）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质保期</w:t>
            </w:r>
          </w:p>
        </w:tc>
        <w:tc>
          <w:tcPr>
            <w:tcW w:type="dxa" w:w="5814"/>
          </w:tcPr>
          <w:p>
            <w:pPr>
              <w:pStyle w:val="null3"/>
              <w:jc w:val="left"/>
            </w:pPr>
            <w:r>
              <w:rPr>
                <w:rFonts w:ascii="仿宋_GB2312" w:hAnsi="仿宋_GB2312" w:cs="仿宋_GB2312" w:eastAsia="仿宋_GB2312"/>
                <w:sz w:val="27"/>
              </w:rPr>
              <w:t>投标人承诺本项目整体质保期为6年。（说明：投标人在投标文件中响应。）</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自合同签订之日起120日。（说明：投标人在投标文件中响应。）</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成都市新津区花源街道官林街成都职业技术学院新校区。（说明：投标人在投标文件中响应。）</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1、预付款，（说明：投标人在投标文件中响应。）自政府采购合同签订生效,供应商向采购人出具有效的增值税发票并提交采购人要求的付款申请资料，达到付款条件起10日内，支付合同总金额的40.00%</w:t>
            </w:r>
          </w:p>
          <w:p>
            <w:pPr>
              <w:pStyle w:val="null3"/>
              <w:jc w:val="left"/>
            </w:pPr>
            <w:r>
              <w:rPr>
                <w:rFonts w:ascii="仿宋_GB2312" w:hAnsi="仿宋_GB2312" w:cs="仿宋_GB2312" w:eastAsia="仿宋_GB2312"/>
              </w:rPr>
              <w:t>2、尾款，（说明：投标人在投标文件中响应。）项目安装调试完毕并验收合格后，向采购人出具有效的增值税发票并提交采购人要求的付款申请资料，达到付款条件起10日内，支付合同总金额的60.00%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（1）验收标准：按照《财政部关于进一步加强政府采购需求和履约验收管理的指导意见》（财库〔2016〕205 号）的要求进行验收。 （2）验收由采购人组织，供应商按采购人要求准备验收所需材料，包括但不限于《招标文件》《投标文件》和合同、项目过程文档、运行记录、设备清单、工作报告、成果文档及根据实际需要提交的测试报告等。 （3）项目满足验收要求后，供应商向采购人提交书面验收申请，采购人在收到验收申请且确认符合验收条件后 30 日内组织成立验收小组，通过召开评审会的方式，对项目文档及成果进行审查，包括但不限于检查项目是否按照《招标文件》《投标文件》和合同约定实施；项目过程文档、运行记录、设备清单、工作报告、成果文档是否齐全、完整、规范；系统运行是否正常、高效；项目成果是否满足采购人需求。 （说明：投标人在投标文件中响应。）</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（一）产品质量要求： （1）投标人所提供的产品符合国家现行有效标准，并为生产厂家制造的原装合格产品，因质量问题而发生的任何事故由投标人负责。 （2）招标人在交货地点验收，如发现损坏、缺件等问题，由投标人负责。 （3）投标人所供产品必须是全新的、未经使用过的。 （4）投标人在交付产品时应提供必要的技术文件，包括装箱清单、产品合格证等。 （说明：投标人在投标文件中响应。） （二）产品进场安装、调试及验收： 1.检验 （1）投标人向招标人提供的服务及设备，应满足国家在行业的有关要求和规定； （2）投标人应保证按技术规范书要求提供的产品及材料的安全性、环保性能符合国家要求； （3）招标人将对投标人提供的服务及产品，按双方商定的合同进行验收； 2.验收 （1）货物的安装、调试由投标人承担至正常运行。 （2）货物安装开始前，投标人按照招标人的书面通知，按装箱清单共同开箱验收，主要检验货物的外观质量，货物的原产地及数量； （3）竣工验收由招标人与投标人及相关人员依国家有关标准、合同及有关要求进行； （4）货物的最终验收在安装现场进行，投标人应保证货物的各项性能指标符合合同和技术规格规定的标准。 （5）严格按有关产品的国家标准生产、制造、验收，并应符合施工设计要求，调试验收时同时提供出厂前的整体质量检验报告、合格书。 3.安装：产品交货验收合格后，由供货商按采购方要求负责安装到位。投标人必须有平滑的安装替换方案，确保所有实施工作不影响数据中心的正常运行。投标人必须严格按照安全规范施工，进场前需将项目的施工组织方案报送学校，经审核同意后方可进场。施工过程中要安全生产，若发生安全事故由项目中标人负责处理一切事宜，学校不承担任何施工安全责任。 （说明：投标人在投标文件中响应。） （三）售后服务要求： 1、自验收合格之日起，质保6年。 2、维护响应时间：1小时响应，8小时内完成维修。约定时间内不能完成维修的，供应商应向采购人提供可替代产品使用；若维修2次后仍达不到使用要求的，成交供应商应免费更换全新产品； 3、投标人向采购人提供产品的配置、功能介绍、设备操作规程、安全规范等； 4、投标人向采购人提供2次产品技术培训。 5、质保期内每年度提供4次对UPS及蓄电池的全面巡检，并提供每次巡检的测试报告。 （说明：投标人在投标文件中响应。）</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（1）采购人无正当理由拒收货物的，采购人应偿付合同总价百分之五的违约金。 （2）因采购人原因逾期支付货款的，除应及时付足货款外，应向投标人偿付欠款总额万分之十/天的违约金；逾期付款超过30天的，投标人有权终止合同。 （3）采购人偿付的违约金不足以弥补投标人损失的，还应按投标人损失尚未弥补的部分，支付赔偿金给投标人。 （说明：投标人在投标文件中响应。） 2.投标人违约责任 （1）投标人交付的货物质量不符合合同规定的，投标人应向采购人支付合同总价的百分之五的违约金，并须在合同规定的交货时间内更换合格的货物给采购人，否则，视作投标人不能交付货物而违约。 （2）投标人不能交付货物或逾期交付货物而违约的，除应及时交足货物外，应向采购人偿付逾期交货部分货款总额的万分之十/天的违约金；逾期交货或未能按时完工超过30天，采购人有权终止合同，投标人则应按合同总价的百分之五的款额向采购人偿付赔偿金，并须全额退还采购人已经付给投标人的货款及其利息。 （3）如货物经投标人2次维修仍不能达到合同约定的质量标准，采购人有权退货，并视作投标人不能交付货物而须支付违约赔偿金给采购人，采购人还可依法追究投标人的违约责任。 （4）投标人货物经采购人送交具有法定资格条件的质量技术监督机构检测后，如检测结果认定货物质量不符合本合同规定标准的，则视为投标人没有按时交货而违约，投标人须在30天内无条件更换合格的货物，如逾期不能更换合格的货物，采购人有权终止本合同，投标人应另付合同总价的百分之五的赔偿金给采购人。 （5）投标人保证本合同货物的权利无瑕疵，包括货物所有权及知识产权等权利无瑕疵。如任何第三方经法院(或仲裁机构)裁决有权对上述货物主张权利或国家机关依法对货物进行没收查处的，投标人除应向采购人返还已收款项外，还应另按合同总价的百分之五向采购人支付违约金并赔偿因此给采购人造成的一切损失。 （6）投标人偿付的违约金不足以弥补采购人损失的，还应按采购人损失尚未弥补的部分，支付赔偿金给采购人。 （说明：投标人在投标文件中响应。） 3.解决争议办法： 在执行本合同中发生的有关争议，双方应通过友好协商解决，协商不成的，任何一方可向采购人所在地人民法院提起诉讼。 （说明：投标人在投标文件中响应。）</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 （说明：投标人在投标文件中响应。）</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★一、投标人为本项目提供的所有产品、辅材符合现行的强制性国家相关标准、行业标准。（说明：投标人在投标文件中响应。） // ★二、投标人为本项目提供的所有投标产品均为非进口产品。（说明：投标人在投标文件中响应。）// ★三、采购内容中的所有标的（标的名称以报价内容中的名称为准），投标人必须在报价表中载明响应报价、产地、品牌、规格型号、制造商、单价。// ★四、供应商为本项目提供的所有产品、辅材中属于《国家强制性产品认证目录》范围内产品的，均通过国家强制性产品认证并取得认证证书。（说明：投标人在投标文件中响应。）。// ★五、本项目不接受供应商以联合体方式参加投标。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 2、行贿犯罪记录：在行贿犯罪信息查询期限内，投标人及其现任法定代表人、主要负责人没有行贿犯罪记录的书面声明材料。[说明：①按声明函的内容及要求提供书面声明材料并进行电子签章；投标文件中不需提供中国裁判文书网（https://wenshu.court.gov.cn）查询结果的证明材料；②在行贿犯罪信息查询期限内，供应商及其现任法定代表人、主要负责人没有行贿犯罪记录。] 3、未被列入失信被执行人、重大税收违法案件当事人名单、政府采购严重违法失信行为记录名单：（1）投标人未列入失信被执行人、重大税收违法案件当事人名单、政府采购严重违法失信行为记录名单的书面声明材料。[说明：①按声明函的内容及要求提供书面声明材料并进行电子签章；②投标人未列入失信被执行人、重大税收违法案件当事人名单、政府采购严重违法失信行为记录名单。]（2）资格审查小组根据“信用中国”和“中国政府采购网”网站的查询结果，在资格审查期间对投标人是否被列入失信被执行人、重大税收违法案件当事人名单、政府采购严重违法失信行为记录名单进行审查。[说明：投标人未列入失信被执行人、重大税收违法案件当事人名单、政府采购严重违法失信行为记录名单。] 4、未处于被行政部门禁止参与政府采购活动的期限内：投标人未处于被行政部门禁止参与政府采购活动的期限内。[说明：①按声明函的内容及要求提供书面声明材料并进行电子签章；②供应商未处于被行政部门禁止参与政府采购活动的期限内。] 5、不属于国家相关法律法规规定的其他禁止参加投标的情形：（1）根据招标文件的要求不属于禁止参加投标或投标无效的供应商；（2）资格审查小组未发现或者未知晓投标人存在属于国家相关法律法规规定的禁止参加投标或投标无效的供应商。</w:t>
            </w:r>
          </w:p>
        </w:tc>
        <w:tc>
          <w:tcPr>
            <w:tcW w:type="dxa" w:w="1661"/>
          </w:tcPr>
          <w:p>
            <w:pPr>
              <w:pStyle w:val="null3"/>
              <w:jc w:val="left"/>
            </w:pPr>
            <w:r>
              <w:rPr>
                <w:rFonts w:ascii="仿宋_GB2312" w:hAnsi="仿宋_GB2312" w:cs="仿宋_GB2312" w:eastAsia="仿宋_GB2312"/>
              </w:rPr>
              <w:t>声明函.docx,投标（响应）函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在评标过程中，关于异常低价问题，应当严格按照《关于推动解决政府采购异常低价问题的通知》（财库〔2026〕2号）相关要求予以处理：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人提交的书面说明、证明材料，应当加盖投标人法定名称章，在评标委员会要求的时间内通过项目电子化交易系统进行提交，否则视为未提供书面说明、证明材料。投标（响应）供应商不能提供书面说明、证明材料，或者提供的书面说明、证明材料不能证明其报价合理性的，评审委员会应当将其作为无效投标（响应）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投标文件的组成</w:t>
            </w:r>
          </w:p>
        </w:tc>
        <w:tc>
          <w:tcPr>
            <w:tcW w:type="dxa" w:w="3322"/>
          </w:tcPr>
          <w:p>
            <w:pPr>
              <w:pStyle w:val="null3"/>
              <w:jc w:val="left"/>
            </w:pPr>
            <w:r>
              <w:rPr>
                <w:rFonts w:ascii="仿宋_GB2312" w:hAnsi="仿宋_GB2312" w:cs="仿宋_GB2312" w:eastAsia="仿宋_GB2312"/>
              </w:rPr>
              <w:t>按招标文件要求提供法定代表人或主要负责人身份证明书、报价表。</w:t>
            </w:r>
          </w:p>
        </w:tc>
        <w:tc>
          <w:tcPr>
            <w:tcW w:type="dxa" w:w="1661"/>
          </w:tcPr>
          <w:p>
            <w:pPr>
              <w:pStyle w:val="null3"/>
              <w:jc w:val="left"/>
            </w:pPr>
            <w:r>
              <w:rPr>
                <w:rFonts w:ascii="仿宋_GB2312" w:hAnsi="仿宋_GB2312" w:cs="仿宋_GB2312" w:eastAsia="仿宋_GB2312"/>
              </w:rPr>
              <w:t>法定代表人或主要负责人身份证明书.docx,报价表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3322"/>
          </w:tcPr>
          <w:p>
            <w:pPr>
              <w:pStyle w:val="null3"/>
              <w:jc w:val="left"/>
            </w:pPr>
            <w:r>
              <w:rPr>
                <w:rFonts w:ascii="仿宋_GB2312" w:hAnsi="仿宋_GB2312" w:cs="仿宋_GB2312" w:eastAsia="仿宋_GB2312"/>
              </w:rPr>
              <w:t>投标文件的计量单位、语言、报价货币、投标有效期、知识产权等采购文件实质性要求或是否应当作无效投标处理。</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 2.未超过招标文件规定的最高限价； 3.投标报价应包含本次招标要求的所有货物及服务的费用。</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身份证复印件或护照复印件【注：法定代表人或主要负责人身份证复印件（身份证两面均应复印，在有效期内）或护照复印件（法定代表人或主要负责人为外籍人士的，按此提供）。】</w:t>
            </w:r>
          </w:p>
        </w:tc>
        <w:tc>
          <w:tcPr>
            <w:tcW w:type="dxa" w:w="1661"/>
          </w:tcPr>
          <w:p>
            <w:pPr>
              <w:pStyle w:val="null3"/>
              <w:jc w:val="left"/>
            </w:pPr>
            <w:r>
              <w:rPr>
                <w:rFonts w:ascii="仿宋_GB2312" w:hAnsi="仿宋_GB2312" w:cs="仿宋_GB2312" w:eastAsia="仿宋_GB2312"/>
              </w:rPr>
              <w:t>法定代表人或主要负责人身份证明书.docx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加★号的技术、服务、商务及其他要求</w:t>
            </w:r>
          </w:p>
        </w:tc>
        <w:tc>
          <w:tcPr>
            <w:tcW w:type="dxa" w:w="3322"/>
          </w:tcPr>
          <w:p>
            <w:pPr>
              <w:pStyle w:val="null3"/>
              <w:jc w:val="left"/>
            </w:pPr>
            <w:r>
              <w:rPr>
                <w:rFonts w:ascii="仿宋_GB2312" w:hAnsi="仿宋_GB2312" w:cs="仿宋_GB2312" w:eastAsia="仿宋_GB2312"/>
              </w:rPr>
              <w:t>投标文件均实质性响应招标文件中加★号的技术、服务、商务及其他要求。</w:t>
            </w:r>
          </w:p>
        </w:tc>
        <w:tc>
          <w:tcPr>
            <w:tcW w:type="dxa" w:w="1661"/>
          </w:tcPr>
          <w:p>
            <w:pPr>
              <w:pStyle w:val="null3"/>
              <w:jc w:val="left"/>
            </w:pPr>
            <w:r>
              <w:rPr>
                <w:rFonts w:ascii="仿宋_GB2312" w:hAnsi="仿宋_GB2312" w:cs="仿宋_GB2312" w:eastAsia="仿宋_GB2312"/>
              </w:rPr>
              <w:t>产品技术参数响应表,服务应答表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（1）根据招标文件的要求不属于禁止参加投标或投标无效的投标人；（2）评标委员会未发现或者未知晓投标人存在属于国家相关法律法规规定的禁止参加投标或投标无效的投标人。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投标文件封面</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技术参数及要求</w:t>
            </w:r>
          </w:p>
        </w:tc>
        <w:tc>
          <w:tcPr>
            <w:tcW w:type="dxa" w:w="2575"/>
          </w:tcPr>
          <w:p>
            <w:pPr>
              <w:pStyle w:val="null3"/>
              <w:jc w:val="left"/>
            </w:pPr>
            <w:r>
              <w:rPr>
                <w:rFonts w:ascii="仿宋_GB2312" w:hAnsi="仿宋_GB2312" w:cs="仿宋_GB2312" w:eastAsia="仿宋_GB2312"/>
              </w:rPr>
              <w:t>1、投标人投标产品的技术参数完全满足招标文件技术要求中未加★、▲号的技术参数与性能指标的得13分；投标人投标产品的技术参数不满足招标文件技术要求中未加★、▲号的技术参数与性能指标的，则13分的基础上，按以下原则扣分，扣完为止：每有一项不满足招标文件中未加★、▲号的技术参数与性能指标的扣1分。（说明：以阿拉伯数字标注为一项。） 2、投标人投标产品的技术参数完全满足招标文件技术要求中加▲号的技术参数与性能指标的得30分；投标人投标产品的技术参数不满足招标文件技术要求中加▲号的技术参数与性能指标的，则在30分的基础上，按以下原则扣分，扣完为止：每有一项不满足招标文件中加▲号的技术参数与性能指标的扣2分。 （说明：以阿拉伯数字标注为一项。）</w:t>
            </w:r>
          </w:p>
        </w:tc>
        <w:tc>
          <w:tcPr>
            <w:tcW w:type="dxa" w:w="831"/>
          </w:tcPr>
          <w:p>
            <w:pPr>
              <w:pStyle w:val="null3"/>
              <w:jc w:val="center"/>
            </w:pPr>
            <w:r>
              <w:rPr>
                <w:rFonts w:ascii="仿宋_GB2312" w:hAnsi="仿宋_GB2312" w:cs="仿宋_GB2312" w:eastAsia="仿宋_GB2312"/>
              </w:rPr>
              <w:t>43.0000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投标人2023年1月1日（含1日）以后每具有一个类似项目业绩（合同内容至少包含UPS供货）的得1.5分，最多得6分。（说明:1.提供合同复印件和验收报告复印件。2.项目业绩时间以合同签订时间为准。）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提供的项目实施方案包含①设备配送运输方案，②安装前机械设备和材料的准备，③设备安装进度计划，④设备的安装调试方案的内容的得12分，每缺少一项内容或每有一处缺陷（缺陷是指：方案内容前后矛盾、逻辑错误、项目名称或实施地点与本项目需求不一致、只有标题或简单的文字描述）的，每缺少一项内容扣3分，每有一处缺陷扣1.5分，扣完为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项目售后服务</w:t>
            </w:r>
          </w:p>
        </w:tc>
        <w:tc>
          <w:tcPr>
            <w:tcW w:type="dxa" w:w="2575"/>
          </w:tcPr>
          <w:p>
            <w:pPr>
              <w:pStyle w:val="null3"/>
              <w:jc w:val="left"/>
            </w:pPr>
            <w:r>
              <w:rPr>
                <w:rFonts w:ascii="仿宋_GB2312" w:hAnsi="仿宋_GB2312" w:cs="仿宋_GB2312" w:eastAsia="仿宋_GB2312"/>
              </w:rPr>
              <w:t>1.投标人具有售后服务热线电话进行售后技术服务响应，且有专门场所存放维保产品配件的得1分。 2.投标人承诺每年对电池进行带载放电测试的得2分。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提供的项目售后服务方案包含①响应方式及时间、②售后服务巡检及保养服务、③售后服务应急措施的内容的得6分，每缺少一项内容或每有一处缺陷（缺陷是指：方案内容前后矛盾、逻辑错误、项目名称或实施地点与本项目需求不一致、只有标题或简单的文字描述）的，每缺少一项内容扣2分，每有一处缺陷扣1分，扣完为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1、经评标委员会评审，通过资格性和符合性审查，且投标报价最低的投标人的投标报价作为评标基准价； 2、满足招标文件要求且投标价格最低的投标报价为评标基准价，其价格分为满分。其他投标人的价格分统一按照下列公式计算：投标报价得分=(评标基准价／投标报价)×30分。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投标产品制造商为招标文件载明的采购标的及其所属行业（本项目采购标的及其所属行业详见招标文件第3章3.1采购内容）的小型或微型企业的，则给予其报价10%的价格扣除，用扣除后的价格参与评审。[说明：①投标人投标产品为中小企业制造的货物提供中小企业申明函；投标人投标产品为残疾人福利性单位制造的货物提供残疾人福利性单位声明函；投标人投标产品中为监狱企业制造的货物应提供由省级以上监狱管理局、戒毒管理局（含新疆生产建设兵团）出具的制造商属于监狱企业的证明文件复印件；②残疾人福利性单位、监狱企业视同为小型、微型企业。③同一货物仅作一次价格扣除。④提供的货物既有中小企业制造货物，也有大型企业制造货物的，不享受价格扣除。]</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详见附件：声明函.docx</w:t>
      </w:r>
    </w:p>
    <w:p>
      <w:pPr>
        <w:pStyle w:val="null3"/>
        <w:ind w:firstLine="960"/>
        <w:jc w:val="left"/>
      </w:pPr>
      <w:r>
        <w:rPr>
          <w:rFonts w:ascii="仿宋_GB2312" w:hAnsi="仿宋_GB2312" w:cs="仿宋_GB2312" w:eastAsia="仿宋_GB2312"/>
        </w:rPr>
        <w:t>详见附件：法定代表人或主要负责人身份证明书.docx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