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687695" cy="5330825"/>
            <wp:effectExtent l="0" t="0" r="1905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533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543040" cy="5589270"/>
            <wp:effectExtent l="0" t="0" r="10160" b="11430"/>
            <wp:docPr id="1" name="图片 1" descr="新疆维吾尔自治区塔里木河流域巴音郭楞管理局2024年1月政府采购意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疆维吾尔自治区塔里木河流域巴音郭楞管理局2024年1月政府采购意向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3040" cy="558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http://www.ccgp-xinjiang.gov.cn/site/detail?parentId=3661&amp;articleId=JDnTohHvU508rVCmuzLJDg==&amp;utm=site.site-PC-42166.1024-pc-wsg-secondLevelPage-front.1.1a702280abb911ee86731b71b7a06ec5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ODJkOWMyZTEzZjk2NzU3N2EyNTc1ODQ3YTNhNDYifQ=="/>
  </w:docVars>
  <w:rsids>
    <w:rsidRoot w:val="00000000"/>
    <w:rsid w:val="7975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2024-01-05T10:59:41Z</dcterms:created>
  <dc:creator>lenovo</dc:creator>
  <cp:lastModifiedBy>原来你也在这里</cp:lastModifiedBy>
  <dcterms:modified xsi:type="dcterms:W3CDTF">2024-01-05T11:01:07Z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07BE131958A3412E9330B6330378EA20_12</vt:lpwstr>
  </property>
</Properties>
</file>