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52"/>
          <w:highlight w:val="none"/>
        </w:rPr>
      </w:pPr>
    </w:p>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44"/>
          <w:szCs w:val="20"/>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72"/>
          <w:szCs w:val="72"/>
          <w:highlight w:val="none"/>
        </w:rPr>
      </w:pPr>
      <w:r>
        <w:rPr>
          <w:rFonts w:hint="eastAsia" w:asciiTheme="minorEastAsia" w:hAnsiTheme="minorEastAsia" w:eastAsiaTheme="minorEastAsia" w:cstheme="minorEastAsia"/>
          <w:color w:val="auto"/>
          <w:spacing w:val="0"/>
          <w:position w:val="0"/>
          <w:sz w:val="72"/>
          <w:szCs w:val="72"/>
          <w:highlight w:val="none"/>
        </w:rPr>
        <w:t>政府采购</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pacing w:val="0"/>
          <w:position w:val="0"/>
          <w:sz w:val="36"/>
          <w:szCs w:val="36"/>
          <w:highlight w:val="none"/>
        </w:rPr>
      </w:pPr>
      <w:r>
        <w:rPr>
          <w:rFonts w:hint="eastAsia" w:asciiTheme="minorEastAsia" w:hAnsiTheme="minorEastAsia" w:eastAsiaTheme="minorEastAsia" w:cstheme="minorEastAsia"/>
          <w:color w:val="auto"/>
          <w:spacing w:val="0"/>
          <w:position w:val="0"/>
          <w:sz w:val="72"/>
          <w:szCs w:val="72"/>
          <w:highlight w:val="none"/>
          <w:lang w:eastAsia="zh-CN"/>
        </w:rPr>
        <w:t>公开</w:t>
      </w:r>
      <w:r>
        <w:rPr>
          <w:rFonts w:hint="eastAsia" w:asciiTheme="minorEastAsia" w:hAnsiTheme="minorEastAsia" w:eastAsiaTheme="minorEastAsia" w:cstheme="minorEastAsia"/>
          <w:color w:val="auto"/>
          <w:spacing w:val="0"/>
          <w:position w:val="0"/>
          <w:sz w:val="72"/>
          <w:szCs w:val="72"/>
          <w:highlight w:val="none"/>
        </w:rPr>
        <w:t>招标文件</w:t>
      </w: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Theme="minorEastAsia" w:hAnsiTheme="minorEastAsia" w:eastAsiaTheme="minorEastAsia" w:cstheme="minorEastAsia"/>
          <w:color w:val="auto"/>
          <w:spacing w:val="0"/>
          <w:position w:val="0"/>
          <w:sz w:val="48"/>
          <w:szCs w:val="48"/>
          <w:highlight w:val="none"/>
        </w:rPr>
        <w:t>（货物类）</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r>
        <w:rPr>
          <w:rFonts w:hint="eastAsia" w:ascii="宋体" w:hAnsi="宋体" w:eastAsia="宋体" w:cs="宋体"/>
          <w:b/>
          <w:bCs/>
          <w:color w:val="auto"/>
          <w:spacing w:val="0"/>
          <w:position w:val="0"/>
          <w:sz w:val="28"/>
          <w:szCs w:val="28"/>
          <w:highlight w:val="none"/>
          <w:lang w:eastAsia="zh-CN"/>
        </w:rPr>
        <w:drawing>
          <wp:anchor distT="0" distB="0" distL="114300" distR="114300" simplePos="0" relativeHeight="251659264" behindDoc="1" locked="0" layoutInCell="1" allowOverlap="1">
            <wp:simplePos x="0" y="0"/>
            <wp:positionH relativeFrom="column">
              <wp:posOffset>1433830</wp:posOffset>
            </wp:positionH>
            <wp:positionV relativeFrom="paragraph">
              <wp:posOffset>102235</wp:posOffset>
            </wp:positionV>
            <wp:extent cx="2544445" cy="1998345"/>
            <wp:effectExtent l="0" t="0" r="635" b="13335"/>
            <wp:wrapNone/>
            <wp:docPr id="7"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图片1"/>
                    <pic:cNvPicPr>
                      <a:picLocks noChangeAspect="1"/>
                    </pic:cNvPicPr>
                  </pic:nvPicPr>
                  <pic:blipFill>
                    <a:blip r:embed="rId20"/>
                    <a:stretch>
                      <a:fillRect/>
                    </a:stretch>
                  </pic:blipFill>
                  <pic:spPr>
                    <a:xfrm>
                      <a:off x="0" y="0"/>
                      <a:ext cx="2544445" cy="1998345"/>
                    </a:xfrm>
                    <a:prstGeom prst="rect">
                      <a:avLst/>
                    </a:prstGeom>
                    <a:noFill/>
                    <a:ln>
                      <a:noFill/>
                    </a:ln>
                  </pic:spPr>
                </pic:pic>
              </a:graphicData>
            </a:graphic>
          </wp:anchor>
        </w:drawing>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pacing w:val="0"/>
          <w:position w:val="0"/>
          <w:sz w:val="32"/>
          <w:highlight w:val="none"/>
          <w:lang w:val="en-US" w:eastAsia="zh-CN"/>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r>
        <w:rPr>
          <w:rFonts w:hint="eastAsia" w:asciiTheme="minorEastAsia" w:hAnsiTheme="minorEastAsia" w:eastAsiaTheme="minorEastAsia" w:cstheme="minorEastAsia"/>
          <w:b/>
          <w:color w:val="auto"/>
          <w:spacing w:val="0"/>
          <w:position w:val="0"/>
          <w:sz w:val="32"/>
          <w:highlight w:val="none"/>
          <w:lang w:val="en-US" w:eastAsia="zh-CN"/>
        </w:rPr>
        <w:t>项目名称：乌鲁木齐市米东区中医医院医疗设备采购项目</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Theme="minorEastAsia" w:hAnsiTheme="minorEastAsia" w:eastAsiaTheme="minorEastAsia" w:cstheme="minorEastAsia"/>
          <w:b/>
          <w:color w:val="auto"/>
          <w:spacing w:val="0"/>
          <w:position w:val="0"/>
          <w:sz w:val="32"/>
          <w:highlight w:val="none"/>
          <w:lang w:val="en-US" w:eastAsia="zh-CN"/>
        </w:rPr>
      </w:pPr>
      <w:r>
        <w:rPr>
          <w:rStyle w:val="23"/>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t>招标编号：XJCC-ZB-2024-019-02</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采购人：</w:t>
      </w: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乌鲁木齐市米东区中医医院</w:t>
      </w: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bookmarkStart w:id="116" w:name="_GoBack"/>
      <w:bookmarkEnd w:id="116"/>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u w:val="single" w:color="000000"/>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代理机构：</w:t>
      </w: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新疆诚成工程项目管理有限公司</w:t>
      </w: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日期：2024年03月</w:t>
      </w:r>
    </w:p>
    <w:p>
      <w:pPr>
        <w:pStyle w:val="25"/>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0"/>
          <w:cols w:space="720" w:num="1"/>
          <w:titlePg/>
          <w:docGrid w:type="lines" w:linePitch="312" w:charSpace="0"/>
        </w:sectPr>
      </w:pPr>
    </w:p>
    <w:p>
      <w:pPr>
        <w:pStyle w:val="25"/>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3"/>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ageBreakBefore w:val="0"/>
        <w:kinsoku/>
        <w:overflowPunct/>
        <w:topLinePunct w:val="0"/>
        <w:bidi w:val="0"/>
        <w:spacing w:line="360" w:lineRule="auto"/>
        <w:ind w:firstLine="4357" w:firstLineChars="1550"/>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lang w:val="zh-CN"/>
        </w:rPr>
        <w:t>目 录</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color w:val="auto"/>
          <w:spacing w:val="0"/>
          <w:position w:val="0"/>
          <w:highlight w:val="none"/>
        </w:rPr>
        <w:instrText xml:space="preserve"> TOC \o "1-3" \u </w:instrText>
      </w:r>
      <w:r>
        <w:rPr>
          <w:rFonts w:hint="eastAsia" w:asciiTheme="minorEastAsia" w:hAnsiTheme="minorEastAsia" w:eastAsiaTheme="minorEastAsia" w:cstheme="minorEastAsia"/>
          <w:color w:val="auto"/>
          <w:spacing w:val="0"/>
          <w:position w:val="0"/>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lang w:val="en-US" w:eastAsia="zh-CN"/>
        </w:rPr>
        <w:t>第一部分  招标公告</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 xml:space="preserve">第二部分  </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须知</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4</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第三部分   采购需求</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第四部分   评审方法（综合评分法）</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33</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第五部分   政府采购合同</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rPr>
        <w:fldChar w:fldCharType="begin"/>
      </w:r>
      <w:r>
        <w:rPr>
          <w:rFonts w:hint="eastAsia" w:asciiTheme="minorEastAsia" w:hAnsiTheme="minorEastAsia" w:eastAsiaTheme="minorEastAsia" w:cstheme="minorEastAsia"/>
          <w:color w:val="auto"/>
          <w:spacing w:val="0"/>
          <w:position w:val="0"/>
          <w:sz w:val="24"/>
          <w:szCs w:val="24"/>
          <w:highlight w:val="none"/>
        </w:rPr>
        <w:instrText xml:space="preserve"> PAGEREF _Toc22459 \h </w:instrText>
      </w:r>
      <w:r>
        <w:rPr>
          <w:rFonts w:hint="eastAsia" w:asciiTheme="minorEastAsia" w:hAnsiTheme="minorEastAsia" w:eastAsiaTheme="minorEastAsia" w:cstheme="minorEastAsia"/>
          <w:color w:val="auto"/>
          <w:spacing w:val="0"/>
          <w:position w:val="0"/>
          <w:sz w:val="24"/>
          <w:szCs w:val="24"/>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rPr>
        <w:t>3</w:t>
      </w:r>
      <w:r>
        <w:rPr>
          <w:rFonts w:hint="eastAsia" w:asciiTheme="minorEastAsia" w:hAnsiTheme="minorEastAsia" w:eastAsiaTheme="minorEastAsia" w:cstheme="minorEastAsia"/>
          <w:color w:val="auto"/>
          <w:spacing w:val="0"/>
          <w:position w:val="0"/>
          <w:sz w:val="24"/>
          <w:szCs w:val="24"/>
          <w:highlight w:val="none"/>
          <w:lang w:val="en-US" w:eastAsia="zh-CN"/>
        </w:rPr>
        <w:t>7</w:t>
      </w:r>
      <w:r>
        <w:rPr>
          <w:rFonts w:hint="eastAsia" w:asciiTheme="minorEastAsia" w:hAnsiTheme="minorEastAsia" w:eastAsiaTheme="minorEastAsia" w:cstheme="minorEastAsia"/>
          <w:color w:val="auto"/>
          <w:spacing w:val="0"/>
          <w:position w:val="0"/>
          <w:sz w:val="24"/>
          <w:szCs w:val="24"/>
          <w:highlight w:val="none"/>
        </w:rPr>
        <w:fldChar w:fldCharType="end"/>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第六部分   投标文件格式</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50</w:t>
      </w:r>
    </w:p>
    <w:p>
      <w:pPr>
        <w:pStyle w:val="10"/>
        <w:pageBreakBefore w:val="0"/>
        <w:tabs>
          <w:tab w:val="right" w:leader="dot" w:pos="8312"/>
        </w:tabs>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b/>
          <w:bCs/>
          <w:color w:val="auto"/>
          <w:spacing w:val="0"/>
          <w:position w:val="0"/>
          <w:highlight w:val="none"/>
          <w:lang w:val="zh-CN"/>
        </w:rPr>
      </w:pPr>
      <w:r>
        <w:rPr>
          <w:rFonts w:hint="eastAsia" w:asciiTheme="minorEastAsia" w:hAnsiTheme="minorEastAsia" w:eastAsiaTheme="minorEastAsia" w:cstheme="minorEastAsia"/>
          <w:color w:val="auto"/>
          <w:spacing w:val="0"/>
          <w:position w:val="0"/>
          <w:highlight w:val="none"/>
        </w:rPr>
        <w:fldChar w:fldCharType="end"/>
      </w:r>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bookmarkStart w:id="0" w:name="_Toc4964"/>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pPr>
      <w:r>
        <w:rPr>
          <w:rFonts w:hint="eastAsia" w:asciiTheme="minorEastAsia" w:hAnsiTheme="minorEastAsia" w:eastAsiaTheme="minorEastAsia" w:cstheme="minorEastAsia"/>
          <w:b/>
          <w:color w:val="auto"/>
          <w:spacing w:val="0"/>
          <w:position w:val="0"/>
          <w:sz w:val="28"/>
          <w:szCs w:val="28"/>
          <w:highlight w:val="none"/>
          <w:lang w:val="en-US" w:eastAsia="zh-CN"/>
        </w:rPr>
        <w:t>第一部分  招标公告</w:t>
      </w:r>
      <w:bookmarkEnd w:id="0"/>
    </w:p>
    <w:p>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
          <w:color w:val="auto"/>
          <w:spacing w:val="0"/>
          <w:kern w:val="0"/>
          <w:position w:val="0"/>
          <w:sz w:val="28"/>
          <w:szCs w:val="28"/>
          <w:highlight w:val="none"/>
          <w:lang w:eastAsia="zh-CN"/>
        </w:rPr>
        <w:t>乌鲁木齐市米东区中医医院医疗设备采购项目</w:t>
      </w:r>
      <w:r>
        <w:rPr>
          <w:rFonts w:hint="eastAsia" w:asciiTheme="minorEastAsia" w:hAnsiTheme="minorEastAsia" w:eastAsiaTheme="minorEastAsia" w:cstheme="minorEastAsia"/>
          <w:b/>
          <w:color w:val="auto"/>
          <w:spacing w:val="0"/>
          <w:kern w:val="0"/>
          <w:position w:val="0"/>
          <w:sz w:val="28"/>
          <w:szCs w:val="28"/>
          <w:highlight w:val="none"/>
        </w:rPr>
        <w:t>招标公告</w:t>
      </w:r>
    </w:p>
    <w:tbl>
      <w:tblPr>
        <w:tblStyle w:val="2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项目概况</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w:t>
            </w:r>
            <w:r>
              <w:rPr>
                <w:rFonts w:hint="eastAsia" w:asciiTheme="minorEastAsia" w:hAnsiTheme="minorEastAsia" w:eastAsiaTheme="minorEastAsia" w:cstheme="minorEastAsia"/>
                <w:i w:val="0"/>
                <w:iCs w:val="0"/>
                <w:color w:val="auto"/>
                <w:spacing w:val="0"/>
                <w:position w:val="0"/>
                <w:highlight w:val="none"/>
                <w:u w:val="single"/>
                <w:lang w:eastAsia="zh-CN"/>
              </w:rPr>
              <w:t>乌鲁木齐市米东区中医医院医疗设备采购项目</w:t>
            </w:r>
            <w:r>
              <w:rPr>
                <w:rFonts w:hint="eastAsia" w:asciiTheme="minorEastAsia" w:hAnsiTheme="minorEastAsia" w:eastAsiaTheme="minorEastAsia" w:cstheme="minorEastAsia"/>
                <w:color w:val="auto"/>
                <w:spacing w:val="0"/>
                <w:position w:val="0"/>
                <w:highlight w:val="none"/>
              </w:rPr>
              <w:t>招标项目的潜在投标人应在</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spacing w:val="0"/>
                <w:position w:val="0"/>
                <w:highlight w:val="none"/>
              </w:rPr>
              <w:t>获取招标文件，并于</w:t>
            </w: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2024年04月11日10:30（北京时间）</w:t>
            </w:r>
            <w:r>
              <w:rPr>
                <w:rFonts w:hint="eastAsia" w:asciiTheme="minorEastAsia" w:hAnsiTheme="minorEastAsia" w:eastAsiaTheme="minorEastAsia" w:cstheme="minorEastAsia"/>
                <w:color w:val="auto"/>
                <w:spacing w:val="0"/>
                <w:position w:val="0"/>
                <w:highlight w:val="none"/>
              </w:rPr>
              <w:t>前递交投标文件。</w:t>
            </w:r>
          </w:p>
        </w:tc>
      </w:tr>
    </w:tbl>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lang w:eastAsia="zh-CN"/>
        </w:rPr>
      </w:pPr>
      <w:r>
        <w:rPr>
          <w:rFonts w:hint="eastAsia" w:asciiTheme="minorEastAsia" w:hAnsiTheme="minorEastAsia" w:eastAsiaTheme="minorEastAsia" w:cstheme="minorEastAsia"/>
          <w:b/>
          <w:bCs/>
          <w:color w:val="auto"/>
          <w:spacing w:val="0"/>
          <w:position w:val="0"/>
          <w:highlight w:val="none"/>
          <w:lang w:eastAsia="zh-CN"/>
        </w:rPr>
        <w:t>一、项目基本情况</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b w:val="0"/>
          <w:bCs w:val="0"/>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项目编号：</w:t>
      </w:r>
      <w:r>
        <w:rPr>
          <w:rFonts w:hint="eastAsia" w:asciiTheme="minorEastAsia" w:hAnsiTheme="minorEastAsia" w:eastAsiaTheme="minorEastAsia" w:cstheme="minorEastAsia"/>
          <w:color w:val="auto"/>
          <w:spacing w:val="0"/>
          <w:position w:val="0"/>
          <w:highlight w:val="none"/>
          <w:lang w:eastAsia="zh-CN"/>
        </w:rPr>
        <w:t>XJCC-ZB-2024-019-02</w:t>
      </w:r>
      <w:r>
        <w:rPr>
          <w:rFonts w:hint="eastAsia" w:asciiTheme="minorEastAsia" w:hAnsiTheme="minorEastAsia" w:eastAsiaTheme="minorEastAsia" w:cstheme="minorEastAsia"/>
          <w:b w:val="0"/>
          <w:bCs w:val="0"/>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项目名称</w:t>
      </w:r>
      <w:r>
        <w:rPr>
          <w:rFonts w:hint="eastAsia" w:asciiTheme="minorEastAsia" w:hAnsiTheme="minorEastAsia" w:eastAsiaTheme="minorEastAsia" w:cstheme="minorEastAsia"/>
          <w:color w:val="auto"/>
          <w:spacing w:val="0"/>
          <w:position w:val="0"/>
          <w:highlight w:val="none"/>
          <w:lang w:eastAsia="zh-CN"/>
        </w:rPr>
        <w:t>：乌鲁木齐市米东区中医医院医疗设备采购项目</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34</w:t>
      </w:r>
      <w:r>
        <w:rPr>
          <w:rFonts w:hint="eastAsia" w:asciiTheme="minorEastAsia" w:hAnsiTheme="minorEastAsia" w:eastAsiaTheme="minorEastAsia" w:cstheme="minorEastAsia"/>
          <w:color w:val="auto"/>
          <w:spacing w:val="0"/>
          <w:position w:val="0"/>
          <w:highlight w:val="none"/>
        </w:rPr>
        <w:t>8000.00</w:t>
      </w:r>
      <w:r>
        <w:rPr>
          <w:rFonts w:hint="eastAsia" w:asciiTheme="minorEastAsia" w:hAnsiTheme="minorEastAsia" w:eastAsiaTheme="minorEastAsia" w:cstheme="minorEastAsia"/>
          <w:color w:val="auto"/>
          <w:spacing w:val="0"/>
          <w:position w:val="0"/>
          <w:highlight w:val="none"/>
          <w:lang w:val="en-US" w:eastAsia="zh-CN"/>
        </w:rPr>
        <w:t>元</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采购需求：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标项一</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标项名称</w:t>
      </w:r>
      <w:r>
        <w:rPr>
          <w:rFonts w:hint="eastAsia" w:asciiTheme="minorEastAsia" w:hAnsiTheme="minorEastAsia" w:eastAsiaTheme="minorEastAsia" w:cstheme="minorEastAsia"/>
          <w:color w:val="auto"/>
          <w:spacing w:val="0"/>
          <w:position w:val="0"/>
          <w:highlight w:val="none"/>
          <w:lang w:eastAsia="zh-CN"/>
        </w:rPr>
        <w:t>：乌鲁木齐市米东区中医医院医疗设备采购项目（第</w:t>
      </w:r>
      <w:r>
        <w:rPr>
          <w:rFonts w:hint="eastAsia" w:asciiTheme="minorEastAsia" w:hAnsiTheme="minorEastAsia" w:eastAsiaTheme="minorEastAsia" w:cstheme="minorEastAsia"/>
          <w:color w:val="auto"/>
          <w:spacing w:val="0"/>
          <w:position w:val="0"/>
          <w:highlight w:val="none"/>
          <w:lang w:val="en-US" w:eastAsia="zh-CN"/>
        </w:rPr>
        <w:t>二</w:t>
      </w:r>
      <w:r>
        <w:rPr>
          <w:rFonts w:hint="eastAsia" w:asciiTheme="minorEastAsia" w:hAnsiTheme="minorEastAsia" w:eastAsiaTheme="minorEastAsia" w:cstheme="minorEastAsia"/>
          <w:color w:val="auto"/>
          <w:spacing w:val="0"/>
          <w:position w:val="0"/>
          <w:highlight w:val="none"/>
          <w:lang w:eastAsia="zh-CN"/>
        </w:rPr>
        <w:t>包）</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数量</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预算金额（元）</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34</w:t>
      </w:r>
      <w:r>
        <w:rPr>
          <w:rFonts w:hint="eastAsia" w:asciiTheme="minorEastAsia" w:hAnsiTheme="minorEastAsia" w:eastAsiaTheme="minorEastAsia" w:cstheme="minorEastAsia"/>
          <w:color w:val="auto"/>
          <w:spacing w:val="0"/>
          <w:position w:val="0"/>
          <w:highlight w:val="none"/>
        </w:rPr>
        <w:t>8000.00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简要规格描述或项目基本概况介绍、用途：详见招标文件</w:t>
      </w:r>
    </w:p>
    <w:p>
      <w:pPr>
        <w:pStyle w:val="16"/>
        <w:pageBreakBefore w:val="0"/>
        <w:kinsoku/>
        <w:overflowPunct/>
        <w:topLinePunct w:val="0"/>
        <w:bidi w:val="0"/>
        <w:ind w:left="0" w:leftChars="0" w:firstLine="0" w:firstLineChars="0"/>
        <w:rPr>
          <w:rFonts w:hint="eastAsia"/>
          <w:color w:val="auto"/>
          <w:spacing w:val="0"/>
          <w:position w:val="0"/>
          <w:highlight w:val="non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合同履行期限：自合同签订之日起30日内。</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本项目（否）接受联合体投标。</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rPr>
      </w:pPr>
      <w:r>
        <w:rPr>
          <w:rFonts w:hint="eastAsia" w:asciiTheme="minorEastAsia" w:hAnsiTheme="minorEastAsia" w:eastAsiaTheme="minorEastAsia" w:cstheme="minorEastAsia"/>
          <w:b/>
          <w:bCs/>
          <w:color w:val="auto"/>
          <w:spacing w:val="0"/>
          <w:position w:val="0"/>
          <w:highlight w:val="none"/>
        </w:rPr>
        <w:t>二、申请人的资格要求：</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1.满足《中华人民共和国政府采购法》第二十二条规定；</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3.本项目的特定资格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b/>
          <w:bCs w:val="0"/>
          <w:color w:val="auto"/>
          <w:spacing w:val="0"/>
          <w:position w:val="0"/>
          <w:sz w:val="24"/>
          <w:szCs w:val="24"/>
          <w:highlight w:val="none"/>
        </w:rPr>
      </w:pPr>
      <w:r>
        <w:rPr>
          <w:rStyle w:val="22"/>
          <w:rFonts w:hint="eastAsia" w:asciiTheme="minorEastAsia" w:hAnsiTheme="minorEastAsia" w:eastAsiaTheme="minorEastAsia" w:cstheme="minorEastAsia"/>
          <w:b/>
          <w:bCs w:val="0"/>
          <w:color w:val="auto"/>
          <w:spacing w:val="0"/>
          <w:position w:val="0"/>
          <w:sz w:val="24"/>
          <w:szCs w:val="24"/>
          <w:highlight w:val="none"/>
        </w:rPr>
        <w:t>三、获取招标文件</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时间：2024年03月21日至2024年03月27日，每天上午00:00至12:00，下午12:00至23:59（北京时间，法定节假日除外）</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3"/>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3"/>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政采云平台线上</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pacing w:val="0"/>
          <w:position w:val="0"/>
          <w:sz w:val="24"/>
          <w:szCs w:val="24"/>
          <w:highlight w:val="none"/>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b/>
          <w:bCs w:val="0"/>
          <w:color w:val="auto"/>
          <w:spacing w:val="0"/>
          <w:position w:val="0"/>
          <w:sz w:val="24"/>
          <w:szCs w:val="24"/>
          <w:highlight w:val="none"/>
        </w:rPr>
      </w:pPr>
      <w:bookmarkStart w:id="1" w:name="_Toc25999"/>
      <w:r>
        <w:rPr>
          <w:rStyle w:val="22"/>
          <w:rFonts w:hint="eastAsia" w:asciiTheme="minorEastAsia" w:hAnsiTheme="minorEastAsia" w:eastAsiaTheme="minorEastAsia" w:cstheme="minorEastAsia"/>
          <w:b/>
          <w:bCs w:val="0"/>
          <w:color w:val="auto"/>
          <w:spacing w:val="0"/>
          <w:position w:val="0"/>
          <w:sz w:val="24"/>
          <w:szCs w:val="24"/>
          <w:highlight w:val="none"/>
        </w:rPr>
        <w:t>四、提交投标文件截止时间、开标时间和地点</w:t>
      </w:r>
      <w:bookmarkEnd w:id="1"/>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提交投标文件截止时间：2024年04月11日10:30（北京时间）</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3"/>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w:t>
      </w:r>
      <w:r>
        <w:rPr>
          <w:rStyle w:val="23"/>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请登录政采云投标客户端投标</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开标时间：2024年04月11日10:30（北京时间）</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23"/>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政采云平台https://www.zcygov.cn/</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pPr>
        <w:pStyle w:val="26"/>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 </w:t>
      </w: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pacing w:val="0"/>
          <w:position w:val="0"/>
          <w:sz w:val="24"/>
          <w:szCs w:val="24"/>
          <w:highlight w:val="none"/>
        </w:rPr>
      </w:pPr>
      <w:bookmarkStart w:id="2" w:name="_Toc4893"/>
      <w:r>
        <w:rPr>
          <w:rStyle w:val="22"/>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r>
        <w:rPr>
          <w:rStyle w:val="22"/>
          <w:rFonts w:hint="eastAsia" w:asciiTheme="minorEastAsia" w:hAnsiTheme="minorEastAsia" w:eastAsiaTheme="minorEastAsia" w:cstheme="minorEastAsia"/>
          <w:b/>
          <w:bCs/>
          <w:i w:val="0"/>
          <w:caps w:val="0"/>
          <w:color w:val="auto"/>
          <w:spacing w:val="0"/>
          <w:w w:val="100"/>
          <w:position w:val="0"/>
          <w:sz w:val="24"/>
          <w:highlight w:val="none"/>
        </w:rPr>
        <w:t>　</w:t>
      </w:r>
      <w:r>
        <w:rPr>
          <w:rFonts w:hint="eastAsia" w:asciiTheme="minorEastAsia" w:hAnsiTheme="minorEastAsia" w:eastAsiaTheme="minorEastAsia" w:cstheme="minorEastAsia"/>
          <w:color w:val="auto"/>
          <w:spacing w:val="0"/>
          <w:position w:val="0"/>
          <w:sz w:val="24"/>
          <w:szCs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名称：乌鲁木齐市米东区中医医院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地址：乌鲁木齐市米东区府前中路1055号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项目联系人（询问）：</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孙继刚</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项目联系方式（询问）：</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13899993721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名 称：新疆诚成工程项目管理有限公司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地 址：乌鲁木齐市水磨沟区红光山路2588号绿地中心</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领海大厦1806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13199858738、18690136275</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马琴、李颖</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电话：13199858738、18690136275</w:t>
      </w:r>
    </w:p>
    <w:p>
      <w:pPr>
        <w:pStyle w:val="16"/>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2"/>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color w:val="auto"/>
          <w:spacing w:val="0"/>
          <w:position w:val="0"/>
          <w:sz w:val="28"/>
          <w:szCs w:val="28"/>
          <w:highlight w:val="none"/>
        </w:rPr>
      </w:pPr>
      <w:bookmarkStart w:id="3" w:name="_Toc22314"/>
      <w:r>
        <w:rPr>
          <w:rFonts w:hint="eastAsia" w:asciiTheme="minorEastAsia" w:hAnsiTheme="minorEastAsia" w:eastAsiaTheme="minorEastAsia" w:cstheme="minorEastAsia"/>
          <w:b/>
          <w:color w:val="auto"/>
          <w:spacing w:val="0"/>
          <w:position w:val="0"/>
          <w:sz w:val="28"/>
          <w:szCs w:val="28"/>
          <w:highlight w:val="none"/>
        </w:rPr>
        <w:t xml:space="preserve">第二部分  </w:t>
      </w:r>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w:t>
      </w:r>
      <w:bookmarkEnd w:id="3"/>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b/>
          <w:color w:val="auto"/>
          <w:spacing w:val="0"/>
          <w:position w:val="0"/>
          <w:sz w:val="28"/>
          <w:szCs w:val="28"/>
          <w:highlight w:val="none"/>
        </w:rPr>
      </w:pPr>
      <w:bookmarkStart w:id="4" w:name="_Toc11613"/>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须知前附表</w:t>
      </w:r>
      <w:bookmarkEnd w:id="4"/>
    </w:p>
    <w:tbl>
      <w:tblPr>
        <w:tblStyle w:val="1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序号</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内容</w:t>
            </w:r>
          </w:p>
        </w:tc>
        <w:tc>
          <w:tcPr>
            <w:tcW w:w="7002" w:type="dxa"/>
            <w:noWrap w:val="0"/>
            <w:vAlign w:val="center"/>
          </w:tcPr>
          <w:p>
            <w:pPr>
              <w:pStyle w:val="27"/>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restart"/>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1</w:t>
            </w:r>
          </w:p>
        </w:tc>
        <w:tc>
          <w:tcPr>
            <w:tcW w:w="1638" w:type="dxa"/>
            <w:noWrap w:val="0"/>
            <w:vAlign w:val="center"/>
          </w:tcPr>
          <w:p>
            <w:pPr>
              <w:pStyle w:val="27"/>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项目名称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continue"/>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p>
        </w:tc>
        <w:tc>
          <w:tcPr>
            <w:tcW w:w="1638" w:type="dxa"/>
            <w:noWrap w:val="0"/>
            <w:vAlign w:val="center"/>
          </w:tcPr>
          <w:p>
            <w:pPr>
              <w:pStyle w:val="27"/>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default" w:asciiTheme="minorEastAsia" w:hAnsiTheme="minorEastAsia" w:eastAsiaTheme="minorEastAsia" w:cstheme="minorEastAsia"/>
                <w:bCs w:val="0"/>
                <w:color w:val="auto"/>
                <w:spacing w:val="0"/>
                <w:position w:val="0"/>
                <w:sz w:val="24"/>
                <w:szCs w:val="24"/>
                <w:highlight w:val="none"/>
                <w:u w:val="none"/>
                <w:lang w:val="en-US" w:eastAsia="zh-CN"/>
              </w:rPr>
            </w:pPr>
            <w:r>
              <w:rPr>
                <w:rFonts w:hint="eastAsia" w:asciiTheme="minorEastAsia" w:hAnsiTheme="minorEastAsia" w:eastAsiaTheme="minorEastAsia" w:cstheme="minorEastAsia"/>
                <w:bCs w:val="0"/>
                <w:color w:val="auto"/>
                <w:spacing w:val="0"/>
                <w:position w:val="0"/>
                <w:sz w:val="24"/>
                <w:szCs w:val="24"/>
                <w:highlight w:val="none"/>
                <w:u w:val="none"/>
                <w:lang w:val="en-US" w:eastAsia="zh-CN"/>
              </w:rPr>
              <w:t>标项名称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乌鲁木齐市米东区中医医院医疗设备采购项目（</w:t>
            </w:r>
            <w:r>
              <w:rPr>
                <w:rFonts w:hint="eastAsia" w:asciiTheme="minorEastAsia" w:hAnsiTheme="minorEastAsia" w:eastAsiaTheme="minorEastAsia" w:cstheme="minorEastAsia"/>
                <w:color w:val="auto"/>
                <w:spacing w:val="0"/>
                <w:position w:val="0"/>
                <w:sz w:val="24"/>
                <w:szCs w:val="24"/>
                <w:highlight w:val="none"/>
                <w:u w:val="none"/>
                <w:lang w:val="en-US" w:eastAsia="zh-CN"/>
              </w:rPr>
              <w:t>第二包</w:t>
            </w:r>
            <w:r>
              <w:rPr>
                <w:rFonts w:hint="eastAsia" w:asciiTheme="minorEastAsia" w:hAnsiTheme="minorEastAsia" w:eastAsiaTheme="minorEastAsia" w:cstheme="minorEastAsia"/>
                <w:color w:val="auto"/>
                <w:spacing w:val="0"/>
                <w:positio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2</w:t>
            </w:r>
          </w:p>
        </w:tc>
        <w:tc>
          <w:tcPr>
            <w:tcW w:w="1638" w:type="dxa"/>
            <w:noWrap w:val="0"/>
            <w:vAlign w:val="center"/>
          </w:tcPr>
          <w:p>
            <w:pPr>
              <w:pStyle w:val="27"/>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采购人</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采购人名称：乌鲁木齐市米东区中医医院</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孙继刚</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联系电话：13899993721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地址：乌鲁木齐市米东区府前中路1055号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采购代理机构</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采购代理机构名称：新疆诚成工程项目管理有限公司</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联系电话：</w:t>
            </w:r>
            <w:r>
              <w:rPr>
                <w:rFonts w:hint="eastAsia" w:asciiTheme="minorEastAsia" w:hAnsiTheme="minorEastAsia" w:eastAsiaTheme="minorEastAsia" w:cstheme="minorEastAsia"/>
                <w:color w:val="auto"/>
                <w:spacing w:val="0"/>
                <w:position w:val="0"/>
                <w:sz w:val="24"/>
                <w:szCs w:val="24"/>
                <w:highlight w:val="none"/>
                <w:u w:val="none"/>
                <w:lang w:eastAsia="zh-CN"/>
              </w:rPr>
              <w:t>13199858738、18690136275</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地址：乌鲁木齐市水磨沟区红光山路2588号绿地中心领海大厦1806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4</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采购内容</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eastAsia="zh-CN"/>
              </w:rPr>
              <w:t>乌鲁木齐市米东区中医医院医疗设备采购项目（</w:t>
            </w:r>
            <w:r>
              <w:rPr>
                <w:rFonts w:hint="eastAsia" w:asciiTheme="minorEastAsia" w:hAnsiTheme="minorEastAsia" w:eastAsiaTheme="minorEastAsia" w:cstheme="minorEastAsia"/>
                <w:color w:val="auto"/>
                <w:spacing w:val="0"/>
                <w:position w:val="0"/>
                <w:sz w:val="24"/>
                <w:szCs w:val="24"/>
                <w:highlight w:val="none"/>
                <w:u w:val="none"/>
                <w:lang w:val="en-US" w:eastAsia="zh-CN"/>
              </w:rPr>
              <w:t>第二包</w:t>
            </w:r>
            <w:r>
              <w:rPr>
                <w:rFonts w:hint="eastAsia" w:asciiTheme="minorEastAsia" w:hAnsiTheme="minorEastAsia" w:eastAsiaTheme="minorEastAsia" w:cstheme="minorEastAsia"/>
                <w:color w:val="auto"/>
                <w:spacing w:val="0"/>
                <w:position w:val="0"/>
                <w:sz w:val="24"/>
                <w:szCs w:val="24"/>
                <w:highlight w:val="none"/>
                <w:u w:val="none"/>
                <w:lang w:eastAsia="zh-CN"/>
              </w:rPr>
              <w:t>），具体</w:t>
            </w:r>
            <w:r>
              <w:rPr>
                <w:rFonts w:hint="eastAsia" w:asciiTheme="minorEastAsia" w:hAnsiTheme="minorEastAsia" w:eastAsiaTheme="minorEastAsia" w:cstheme="minorEastAsia"/>
                <w:color w:val="auto"/>
                <w:spacing w:val="0"/>
                <w:position w:val="0"/>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5</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资格要求</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5" w:name="EB7907836f74a6455bb75d2ff8b438afad"/>
            <w:bookmarkEnd w:id="5"/>
            <w:r>
              <w:rPr>
                <w:rFonts w:hint="eastAsia" w:asciiTheme="minorEastAsia" w:hAnsiTheme="minorEastAsia" w:eastAsiaTheme="minorEastAsia" w:cstheme="minorEastAsia"/>
                <w:color w:val="auto"/>
                <w:spacing w:val="0"/>
                <w:position w:val="0"/>
                <w:sz w:val="24"/>
                <w:szCs w:val="24"/>
                <w:highlight w:val="none"/>
                <w:u w:val="none"/>
              </w:rPr>
              <w:t>1.满足《中华人民共和国政府采购法》第二十二条规定；</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3.本项目的特定资格要求</w:t>
            </w:r>
            <w:r>
              <w:rPr>
                <w:rFonts w:hint="eastAsia" w:asciiTheme="minorEastAsia" w:hAnsiTheme="minorEastAsia" w:eastAsiaTheme="minorEastAsia" w:cstheme="minorEastAsia"/>
                <w:color w:val="auto"/>
                <w:spacing w:val="0"/>
                <w:position w:val="0"/>
                <w:sz w:val="24"/>
                <w:szCs w:val="24"/>
                <w:highlight w:val="none"/>
                <w:u w:val="none"/>
                <w:lang w:eastAsia="zh-CN"/>
              </w:rPr>
              <w:t>：</w:t>
            </w:r>
            <w:r>
              <w:rPr>
                <w:rFonts w:hint="eastAsia" w:asciiTheme="minorEastAsia" w:hAnsiTheme="minorEastAsia" w:eastAsiaTheme="minorEastAsia" w:cstheme="minorEastAsia"/>
                <w:color w:val="auto"/>
                <w:spacing w:val="0"/>
                <w:position w:val="0"/>
                <w:sz w:val="24"/>
                <w:szCs w:val="24"/>
                <w:highlight w:val="none"/>
                <w:u w:val="none"/>
              </w:rPr>
              <w:t xml:space="preserve">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是否允许联合体投标</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 xml:space="preserve">是。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应满足要求：</w:t>
            </w:r>
            <w:r>
              <w:rPr>
                <w:rFonts w:hint="eastAsia" w:asciiTheme="minorEastAsia" w:hAnsiTheme="minorEastAsia" w:eastAsiaTheme="minorEastAsia" w:cstheme="minorEastAsia"/>
                <w:color w:val="auto"/>
                <w:spacing w:val="0"/>
                <w:position w:val="0"/>
                <w:sz w:val="24"/>
                <w:szCs w:val="24"/>
                <w:highlight w:val="none"/>
                <w:u w:val="none"/>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否。     </w:t>
            </w: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是否允许投报进口产品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是</w:t>
            </w:r>
            <w:r>
              <w:rPr>
                <w:rFonts w:hint="eastAsia" w:asciiTheme="minorEastAsia" w:hAnsiTheme="minorEastAsia" w:eastAsiaTheme="minorEastAsia" w:cstheme="minorEastAsia"/>
                <w:color w:val="auto"/>
                <w:spacing w:val="0"/>
                <w:kern w:val="0"/>
                <w:position w:val="0"/>
                <w:sz w:val="24"/>
                <w:szCs w:val="24"/>
                <w:highlight w:val="none"/>
                <w:u w:val="none"/>
                <w:lang w:eastAsia="zh-CN"/>
              </w:rPr>
              <w:t>，仅指定产品允许进口</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w:t>
            </w:r>
            <w:r>
              <w:rPr>
                <w:rFonts w:hint="eastAsia" w:asciiTheme="minorEastAsia" w:hAnsiTheme="minorEastAsia" w:eastAsiaTheme="minorEastAsia" w:cstheme="minorEastAsia"/>
                <w:b/>
                <w:color w:val="auto"/>
                <w:spacing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position w:val="0"/>
                <w:sz w:val="24"/>
                <w:szCs w:val="24"/>
                <w:highlight w:val="none"/>
                <w:u w:val="none"/>
              </w:rPr>
              <w:t>将项目非主体、非关键性工作交由他人完成</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□是。</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踏勘现场</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自行踏勘。</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□统一组织。</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答疑接受时间</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spacing w:val="0"/>
                <w:kern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spacing w:val="0"/>
                <w:kern w:val="0"/>
                <w:position w:val="0"/>
                <w:sz w:val="24"/>
                <w:szCs w:val="24"/>
                <w:highlight w:val="none"/>
                <w:u w:val="none"/>
                <w:lang w:eastAsia="zh-CN"/>
              </w:rPr>
              <w:t>13199858738、18690136275</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spacing w:val="0"/>
                <w:kern w:val="0"/>
                <w:position w:val="0"/>
                <w:sz w:val="24"/>
                <w:szCs w:val="24"/>
                <w:highlight w:val="none"/>
                <w:u w:val="none"/>
              </w:rPr>
              <w:t xml:space="preserve">现场递交纸质版及Word格式电子版质疑文件至接受单位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pacing w:val="0"/>
                <w:position w:val="0"/>
                <w:sz w:val="24"/>
                <w:szCs w:val="24"/>
                <w:highlight w:val="none"/>
                <w:u w:val="none"/>
              </w:rPr>
            </w:pPr>
            <w:r>
              <w:rPr>
                <w:rFonts w:hint="eastAsia" w:asciiTheme="minorEastAsia" w:hAnsiTheme="minorEastAsia" w:eastAsiaTheme="minorEastAsia" w:cstheme="minorEastAsia"/>
                <w:bCs/>
                <w:color w:val="auto"/>
                <w:spacing w:val="0"/>
                <w:position w:val="0"/>
                <w:sz w:val="24"/>
                <w:szCs w:val="24"/>
                <w:highlight w:val="none"/>
                <w:u w:val="none"/>
              </w:rPr>
              <w:t>注：澄清、修改文件发出后，</w:t>
            </w:r>
            <w:r>
              <w:rPr>
                <w:rFonts w:hint="eastAsia" w:asciiTheme="minorEastAsia" w:hAnsiTheme="minorEastAsia" w:eastAsiaTheme="minorEastAsia" w:cstheme="minorEastAsia"/>
                <w:bCs/>
                <w:color w:val="auto"/>
                <w:spacing w:val="0"/>
                <w:position w:val="0"/>
                <w:sz w:val="24"/>
                <w:szCs w:val="24"/>
                <w:highlight w:val="none"/>
                <w:u w:val="none"/>
                <w:lang w:eastAsia="zh-CN"/>
              </w:rPr>
              <w:t>供应商</w:t>
            </w:r>
            <w:r>
              <w:rPr>
                <w:rFonts w:hint="eastAsia" w:asciiTheme="minorEastAsia" w:hAnsiTheme="minorEastAsia" w:eastAsiaTheme="minorEastAsia" w:cstheme="minorEastAsia"/>
                <w:bCs/>
                <w:color w:val="auto"/>
                <w:spacing w:val="0"/>
                <w:position w:val="0"/>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投标有效期</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pacing w:val="0"/>
                <w:position w:val="0"/>
                <w:sz w:val="24"/>
                <w:szCs w:val="24"/>
                <w:highlight w:val="none"/>
                <w:u w:val="single"/>
                <w:lang w:val="en-US" w:eastAsia="zh-CN"/>
              </w:rPr>
              <w:t>90</w:t>
            </w:r>
            <w:r>
              <w:rPr>
                <w:rFonts w:hint="eastAsia" w:asciiTheme="minorEastAsia" w:hAnsiTheme="minorEastAsia" w:eastAsiaTheme="minorEastAsia" w:cstheme="minorEastAsia"/>
                <w:color w:val="auto"/>
                <w:spacing w:val="0"/>
                <w:position w:val="0"/>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投标截止时间（开标时间）</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截止时间：</w:t>
            </w:r>
            <w:bookmarkStart w:id="22" w:name="EB7d3dd1e1f72448c6869af9e368eca561"/>
            <w:bookmarkEnd w:id="22"/>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在投标截止时间前提交的文件</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投标文件（具体要求见本表第1</w:t>
            </w:r>
            <w:r>
              <w:rPr>
                <w:rFonts w:hint="eastAsia" w:asciiTheme="minorEastAsia" w:hAnsiTheme="minorEastAsia" w:eastAsiaTheme="minorEastAsia" w:cstheme="minorEastAsia"/>
                <w:color w:val="auto"/>
                <w:spacing w:val="0"/>
                <w:position w:val="0"/>
                <w:sz w:val="24"/>
                <w:szCs w:val="24"/>
                <w:highlight w:val="none"/>
                <w:u w:val="none"/>
                <w:lang w:val="en-US" w:eastAsia="zh-CN"/>
              </w:rPr>
              <w:t>4</w:t>
            </w:r>
            <w:r>
              <w:rPr>
                <w:rFonts w:hint="eastAsia" w:asciiTheme="minorEastAsia" w:hAnsiTheme="minorEastAsia" w:eastAsiaTheme="minorEastAsia" w:cstheme="minorEastAsia"/>
                <w:color w:val="auto"/>
                <w:spacing w:val="0"/>
                <w:position w:val="0"/>
                <w:sz w:val="24"/>
                <w:szCs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rPr>
            </w:pPr>
            <w:r>
              <w:rPr>
                <w:rStyle w:val="23"/>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u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pPr>
              <w:pStyle w:val="28"/>
              <w:keepNext w:val="0"/>
              <w:keepLines w:val="0"/>
              <w:pageBreakBefore w:val="0"/>
              <w:kinsoku/>
              <w:wordWrap/>
              <w:overflowPunct/>
              <w:topLinePunct w:val="0"/>
              <w:bidi w:val="0"/>
              <w:adjustRightInd w:val="0"/>
              <w:snapToGrid w:val="0"/>
              <w:spacing w:line="440" w:lineRule="exact"/>
              <w:ind w:firstLine="0" w:firstLineChars="0"/>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评标委员会的组成</w:t>
            </w:r>
          </w:p>
        </w:tc>
        <w:tc>
          <w:tcPr>
            <w:tcW w:w="7002"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招标采购单位依法组建</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由采购人代表和评审专家共</w:t>
            </w:r>
            <w:r>
              <w:rPr>
                <w:rFonts w:hint="eastAsia" w:asciiTheme="minorEastAsia" w:hAnsiTheme="minorEastAsia" w:eastAsiaTheme="minorEastAsia" w:cstheme="minorEastAsia"/>
                <w:color w:val="auto"/>
                <w:spacing w:val="0"/>
                <w:position w:val="0"/>
                <w:sz w:val="24"/>
                <w:szCs w:val="24"/>
                <w:highlight w:val="none"/>
                <w:lang w:val="en-US" w:eastAsia="zh-CN"/>
              </w:rPr>
              <w:t>5</w:t>
            </w:r>
            <w:r>
              <w:rPr>
                <w:rFonts w:hint="eastAsia" w:asciiTheme="minorEastAsia" w:hAnsiTheme="minorEastAsia" w:eastAsiaTheme="minorEastAsia" w:cstheme="minorEastAsia"/>
                <w:color w:val="auto"/>
                <w:spacing w:val="0"/>
                <w:position w:val="0"/>
                <w:sz w:val="24"/>
                <w:szCs w:val="24"/>
                <w:highlight w:val="none"/>
              </w:rPr>
              <w:t>人以上单数组成，其中评审专家人数不得少于</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成员总数的2/3。</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评标</w:t>
            </w:r>
            <w:r>
              <w:rPr>
                <w:rFonts w:hint="eastAsia" w:asciiTheme="minorEastAsia" w:hAnsiTheme="minorEastAsia" w:eastAsiaTheme="minorEastAsia" w:cstheme="minorEastAsia"/>
                <w:color w:val="auto"/>
                <w:spacing w:val="0"/>
                <w:position w:val="0"/>
                <w:sz w:val="24"/>
                <w:szCs w:val="24"/>
                <w:highlight w:val="none"/>
              </w:rPr>
              <w:t>专家确定方式：</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sym w:font="Wingdings 2" w:char="0052"/>
            </w:r>
            <w:r>
              <w:rPr>
                <w:rFonts w:hint="eastAsia" w:asciiTheme="minorEastAsia" w:hAnsiTheme="minorEastAsia" w:eastAsiaTheme="minorEastAsia" w:cstheme="minorEastAsia"/>
                <w:color w:val="auto"/>
                <w:spacing w:val="0"/>
                <w:position w:val="0"/>
                <w:sz w:val="24"/>
                <w:szCs w:val="24"/>
                <w:highlight w:val="none"/>
              </w:rPr>
              <w:t xml:space="preserve">计算机随机抽取语音通知方式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sym w:font="Wingdings 2" w:char="00A3"/>
            </w:r>
            <w:r>
              <w:rPr>
                <w:rFonts w:hint="eastAsia" w:asciiTheme="minorEastAsia" w:hAnsiTheme="minorEastAsia" w:eastAsiaTheme="minorEastAsia" w:cstheme="minorEastAsia"/>
                <w:color w:val="auto"/>
                <w:spacing w:val="0"/>
                <w:position w:val="0"/>
                <w:sz w:val="24"/>
                <w:szCs w:val="24"/>
                <w:highlight w:val="none"/>
              </w:rPr>
              <w:t>其他方式：</w:t>
            </w:r>
            <w:r>
              <w:rPr>
                <w:rFonts w:hint="eastAsia" w:asciiTheme="minorEastAsia" w:hAnsiTheme="minorEastAsia" w:eastAsiaTheme="minorEastAsia" w:cstheme="minorEastAsia"/>
                <w:color w:val="auto"/>
                <w:spacing w:val="0"/>
                <w:position w:val="0"/>
                <w:sz w:val="24"/>
                <w:szCs w:val="24"/>
                <w:highlight w:val="none"/>
                <w:lang w:val="en-US" w:eastAsia="zh-CN"/>
              </w:rPr>
              <w:t>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投标保证金</w:t>
            </w:r>
          </w:p>
        </w:tc>
        <w:tc>
          <w:tcPr>
            <w:tcW w:w="7002"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3"/>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pPr>
            <w:bookmarkStart w:id="23" w:name="EB6479c32eb2ce45839a2e1507d7cdac93"/>
            <w:bookmarkEnd w:id="23"/>
            <w:r>
              <w:rPr>
                <w:rStyle w:val="23"/>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t>投标保证金额为：3400.00元</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，叁仟肆佰元整；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1、若采用银行汇票、银行电汇、转账、本票时，投标保证金于</w:t>
            </w:r>
            <w:r>
              <w:rPr>
                <w:rStyle w:val="23"/>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2024年04月11日10:30（北京时间）</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（以到账时间为准）之前从供应商账户汇至新疆诚成工程项目管理有限公司账户，否则其投标文件将被拒绝评审，供应商提交投标保证金应充分考虑资金在途时间。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注：供应商向银行办理投标保证金汇（转）款时，应在用途栏（备注栏）准确注明"本项目招标编号（例如：XJCC-ZB-2024-</w:t>
            </w:r>
            <w:r>
              <w:rPr>
                <w:rFonts w:hint="eastAsia" w:asciiTheme="minorEastAsia" w:hAnsiTheme="minorEastAsia" w:eastAsiaTheme="minorEastAsia" w:cstheme="minorEastAsia"/>
                <w:bCs/>
                <w:color w:val="auto"/>
                <w:spacing w:val="0"/>
                <w:kern w:val="0"/>
                <w:position w:val="0"/>
                <w:sz w:val="24"/>
                <w:szCs w:val="24"/>
                <w:highlight w:val="none"/>
                <w:u w:val="none"/>
                <w:lang w:val="en-US" w:eastAsia="zh-CN"/>
              </w:rPr>
              <w:t>XX</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开户行号：313881000176</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spacing w:val="0"/>
                <w:kern w:val="0"/>
                <w:position w:val="0"/>
                <w:sz w:val="24"/>
                <w:szCs w:val="24"/>
                <w:highlight w:val="none"/>
                <w:u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1.本项目不专门面向中小企业预留采购份额。</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2.根据工信部等部委发布的《关于印发中小企业划型标准规定的通知》（工信部联企业〔2011〕300号）、财政部、工业和信息化部《政府采购促进中小企业发展管理办法 》（财库[2020]46号文）规定，本次采购标的所属行业为</w:t>
            </w:r>
            <w:r>
              <w:rPr>
                <w:rStyle w:val="23"/>
                <w:rFonts w:hint="eastAsia" w:ascii="宋体" w:hAnsi="宋体" w:eastAsia="宋体" w:cs="宋体"/>
                <w:b/>
                <w:bCs/>
                <w:i w:val="0"/>
                <w:caps w:val="0"/>
                <w:color w:val="auto"/>
                <w:spacing w:val="0"/>
                <w:w w:val="100"/>
                <w:kern w:val="0"/>
                <w:position w:val="0"/>
                <w:sz w:val="24"/>
                <w:szCs w:val="24"/>
                <w:highlight w:val="none"/>
                <w:u w:val="none" w:color="auto"/>
                <w:lang w:val="en-US" w:eastAsia="zh-CN" w:bidi="ar-SA"/>
              </w:rPr>
              <w:t>工业制造业</w:t>
            </w: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，符合以下条件的中小微型企业应按照招标文件格式要求提供《中小企业声明函》。</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 xml:space="preserve">（3）根据上述文件规定，对满足以上（1）（2）两项条件并按照规定格式提供《中小企业声明函》的小微企业的投标总报价给予 </w:t>
            </w:r>
            <w:r>
              <w:rPr>
                <w:rStyle w:val="23"/>
                <w:rFonts w:hint="eastAsia" w:ascii="宋体" w:hAnsi="宋体" w:eastAsia="宋体" w:cs="宋体"/>
                <w:b/>
                <w:bCs/>
                <w:i w:val="0"/>
                <w:caps w:val="0"/>
                <w:color w:val="auto"/>
                <w:spacing w:val="0"/>
                <w:w w:val="100"/>
                <w:kern w:val="0"/>
                <w:position w:val="0"/>
                <w:sz w:val="24"/>
                <w:szCs w:val="24"/>
                <w:highlight w:val="none"/>
                <w:u w:val="none" w:color="auto"/>
                <w:lang w:val="en-US" w:eastAsia="zh-CN" w:bidi="ar-SA"/>
              </w:rPr>
              <w:t>10 %</w:t>
            </w: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的扣除，用扣除后的价格参与评审。</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（4）依据本办法规定享受扶持政策获得政府采购合同的，小微企业不得将合同分包给大中型企业，中型企业不得将合同分包给大型企业。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（5）提供由省级以上监狱管理局、戒毒管理局（含新疆生产建设兵团）出具的属于监狱企业证明文件（扫描件）的，视同为小型和微型企业。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（6）符合享受政府采购支持政策的残疾人福利性单位条件且提供《残疾人福利性单位声明函》的，视同为小型和微型企业。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3.节能、环境标志产品评审优惠内容及加分幅度：</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严格执行《财政部 发展改革委 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u w:val="none" w:color="auto"/>
                <w:lang w:val="en-US" w:eastAsia="zh-CN" w:bidi="ar-SA"/>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技术部分是否采用“暗标”评审方式</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评审方法</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资格后审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资格预审</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综合评分法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最低评标价法</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注：</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作为中标人的评标方法。每一</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spacing w:val="0"/>
                <w:kern w:val="0"/>
                <w:position w:val="0"/>
                <w:sz w:val="24"/>
                <w:szCs w:val="24"/>
                <w:highlight w:val="none"/>
                <w:u w:val="none"/>
              </w:rPr>
              <w:t>。</w:t>
            </w:r>
            <w:r>
              <w:rPr>
                <w:rFonts w:hint="eastAsia" w:asciiTheme="minorEastAsia" w:hAnsiTheme="minorEastAsia" w:eastAsiaTheme="minorEastAsia" w:cstheme="minorEastAsia"/>
                <w:color w:val="auto"/>
                <w:spacing w:val="0"/>
                <w:kern w:val="0"/>
                <w:positio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21</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履约保证金</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代理服务费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按照《新疆维吾尔自治区招标代理服务收费指导意见》新建招协(2024〕4 号文的计算方法计算，在领取中标通知书时由中标人一次性支付。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公证费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由中标人向公证处缴纳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付款途径</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pacing w:val="0"/>
                <w:position w:val="0"/>
                <w:sz w:val="24"/>
                <w:szCs w:val="24"/>
                <w:highlight w:val="none"/>
                <w:u w:val="none"/>
                <w:lang w:val="en-US" w:eastAsia="zh-CN"/>
              </w:rPr>
              <w:t>银行转账</w:t>
            </w:r>
            <w:r>
              <w:rPr>
                <w:rFonts w:hint="eastAsia" w:asciiTheme="minorEastAsia" w:hAnsiTheme="minorEastAsia" w:eastAsiaTheme="minorEastAsia" w:cstheme="minorEastAsia"/>
                <w:color w:val="auto"/>
                <w:spacing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付款方式及币种</w:t>
            </w:r>
          </w:p>
        </w:tc>
        <w:tc>
          <w:tcPr>
            <w:tcW w:w="7002" w:type="dxa"/>
            <w:noWrap w:val="0"/>
            <w:vAlign w:val="center"/>
          </w:tcPr>
          <w:p>
            <w:pPr>
              <w:keepNext w:val="0"/>
              <w:keepLines w:val="0"/>
              <w:pageBreakBefore w:val="0"/>
              <w:kinsoku/>
              <w:wordWrap/>
              <w:overflowPunct/>
              <w:topLinePunct w:val="0"/>
              <w:bidi w:val="0"/>
              <w:snapToGrid/>
              <w:spacing w:line="440" w:lineRule="exact"/>
              <w:jc w:val="left"/>
              <w:rPr>
                <w:rFonts w:hint="eastAsia" w:asciiTheme="minorEastAsia" w:hAnsiTheme="minorEastAsia" w:eastAsiaTheme="minorEastAsia" w:cstheme="minorEastAsia"/>
                <w:color w:val="auto"/>
                <w:spacing w:val="0"/>
                <w:position w:val="0"/>
                <w:sz w:val="24"/>
                <w:szCs w:val="24"/>
                <w:highlight w:val="none"/>
              </w:rPr>
            </w:pPr>
            <w:bookmarkStart w:id="28" w:name="EB2f5f405fa5e847b7b1e93aa13e02f53c"/>
            <w:bookmarkEnd w:id="28"/>
            <w:bookmarkStart w:id="29" w:name="EB032dd5bb9a2a45ea8238724fe0749933"/>
            <w:bookmarkEnd w:id="29"/>
            <w:r>
              <w:rPr>
                <w:rFonts w:hint="eastAsia" w:asciiTheme="minorEastAsia" w:hAnsiTheme="minorEastAsia" w:eastAsiaTheme="minorEastAsia" w:cstheme="minorEastAsia"/>
                <w:color w:val="auto"/>
                <w:spacing w:val="0"/>
                <w:position w:val="0"/>
                <w:sz w:val="24"/>
                <w:szCs w:val="24"/>
                <w:highlight w:val="none"/>
              </w:rPr>
              <w:t>1、付款币种</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本次招标所述的项目资金均以人民币支付。</w:t>
            </w:r>
          </w:p>
          <w:p>
            <w:pPr>
              <w:keepNext w:val="0"/>
              <w:keepLines w:val="0"/>
              <w:pageBreakBefore w:val="0"/>
              <w:kinsoku/>
              <w:wordWrap/>
              <w:overflowPunct/>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2、付款方式：合同签订后三十个工作日内支付合同价50 %预付款；货物抵达交货地点安装、调试完毕且经甲方验收合格支付合同总金额的47%（如设备验收不合格甲方有权拒绝付款并要求退货）待设备首次验收合格之日起满</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年后，且无质量问题质保争议的，无息支付合同总金额的3%。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自合同签订之日起30日内。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交货地点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spacing w:val="0"/>
                <w:position w:val="0"/>
                <w:sz w:val="24"/>
                <w:szCs w:val="24"/>
                <w:highlight w:val="none"/>
                <w:u w:val="none"/>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质保期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2" w:name="EB2dc74b14846046859499e4929e78dd41"/>
            <w:bookmarkEnd w:id="32"/>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29</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核心产品</w:t>
            </w:r>
          </w:p>
        </w:tc>
        <w:tc>
          <w:tcPr>
            <w:tcW w:w="7002"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sz w:val="24"/>
                <w:szCs w:val="24"/>
              </w:rPr>
            </w:pPr>
            <w:r>
              <w:rPr>
                <w:rFonts w:hint="default" w:ascii="Times New Roman" w:hAnsi="Times New Roman"/>
                <w:sz w:val="24"/>
                <w:szCs w:val="24"/>
              </w:rPr>
              <w:t>□关于核心产品本项目__包不适用。</w:t>
            </w:r>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sz w:val="24"/>
                <w:szCs w:val="24"/>
              </w:rPr>
            </w:pPr>
            <w:r>
              <w:rPr>
                <w:rFonts w:hint="default" w:ascii="Times New Roman" w:hAnsi="Times New Roman"/>
                <w:sz w:val="24"/>
                <w:szCs w:val="24"/>
              </w:rPr>
              <w:t>□本项目__包为单一产品采购项目。</w:t>
            </w:r>
          </w:p>
          <w:p>
            <w:pPr>
              <w:keepNext w:val="0"/>
              <w:keepLines w:val="0"/>
              <w:pageBreakBefore w:val="0"/>
              <w:widowControl w:val="0"/>
              <w:kinsoku/>
              <w:wordWrap/>
              <w:overflowPunct/>
              <w:topLinePunct w:val="0"/>
              <w:autoSpaceDE/>
              <w:autoSpaceDN/>
              <w:bidi w:val="0"/>
              <w:snapToGrid/>
              <w:spacing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sz w:val="24"/>
                <w:szCs w:val="24"/>
                <w:lang w:eastAsia="zh-CN"/>
              </w:rPr>
              <w:t>☑</w:t>
            </w:r>
            <w:r>
              <w:rPr>
                <w:sz w:val="24"/>
                <w:szCs w:val="24"/>
              </w:rPr>
              <w:t>本项目__包为非单一产品采购项目，核心产品为：</w:t>
            </w:r>
            <w:r>
              <w:rPr>
                <w:rFonts w:hint="eastAsia"/>
                <w:sz w:val="24"/>
                <w:szCs w:val="24"/>
              </w:rPr>
              <w:t>便携式彩色多普勒超声系统</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是否需要</w:t>
            </w:r>
          </w:p>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提交样品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3" w:name="EB18b15cc3091846bba088c32790cb7a66"/>
            <w:bookmarkEnd w:id="33"/>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□需要，样品要求如下</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样品要求如下：</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现场陈述</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4" w:name="EB164305855d7d4c53942a57bb4dac7000"/>
            <w:bookmarkEnd w:id="34"/>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1、陈述内容：</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2、陈述人员：</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3、陈述时限：</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position w:val="0"/>
                <w:sz w:val="24"/>
                <w:szCs w:val="24"/>
                <w:highlight w:val="none"/>
                <w:u w:val="none"/>
                <w:lang w:val="zh-CN"/>
              </w:rPr>
              <w:t>分钟。</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4、陈述形式：</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项目预算</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5" w:name="EBdca9b04348ec4d4e88722d261482d984"/>
            <w:bookmarkEnd w:id="35"/>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见采购需求产品清单中的总价及单价。</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（投标人投标报价不得高于预算总价，否则其投标将被否决。）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其他</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36" w:name="EBfccade37b80d427c8050f6c32f24c7e6"/>
            <w:bookmarkEnd w:id="36"/>
            <w:r>
              <w:rPr>
                <w:rFonts w:hint="eastAsia" w:asciiTheme="minorEastAsia" w:hAnsiTheme="minorEastAsia" w:eastAsiaTheme="minorEastAsia" w:cstheme="minorEastAsia"/>
                <w:color w:val="auto"/>
                <w:spacing w:val="0"/>
                <w:position w:val="0"/>
                <w:sz w:val="24"/>
                <w:szCs w:val="24"/>
                <w:highlight w:val="none"/>
                <w:u w:val="none"/>
              </w:rPr>
              <w:t>1、各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rPr>
              <w:t>2、</w:t>
            </w:r>
            <w:r>
              <w:rPr>
                <w:rFonts w:hint="eastAsia" w:asciiTheme="minorEastAsia" w:hAnsiTheme="minorEastAsia" w:eastAsiaTheme="minorEastAsia" w:cstheme="minorEastAsia"/>
                <w:color w:val="auto"/>
                <w:spacing w:val="0"/>
                <w:position w:val="0"/>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002" w:type="dxa"/>
            <w:noWrap w:val="0"/>
            <w:vAlign w:val="center"/>
          </w:tcPr>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7" w:name="EB4545dfd19ee14bf990935163cccc2961"/>
            <w:bookmarkEnd w:id="37"/>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35</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招标人补充的其他内容</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8" w:name="EB2bf8f7172c8d4220b807b8bf667df51d"/>
            <w:bookmarkEnd w:id="38"/>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备注</w:t>
            </w:r>
          </w:p>
        </w:tc>
        <w:tc>
          <w:tcPr>
            <w:tcW w:w="8640" w:type="dxa"/>
            <w:gridSpan w:val="2"/>
            <w:noWrap w:val="0"/>
            <w:vAlign w:val="center"/>
          </w:tcPr>
          <w:p>
            <w:pPr>
              <w:keepNext w:val="0"/>
              <w:keepLines w:val="0"/>
              <w:pageBreakBefore w:val="0"/>
              <w:widowControl/>
              <w:kinsoku/>
              <w:wordWrap w:val="0"/>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pacing w:val="0"/>
                <w:position w:val="0"/>
                <w:sz w:val="24"/>
                <w:szCs w:val="24"/>
                <w:highlight w:val="none"/>
                <w:u w:val="none"/>
                <w:lang w:val="en-US" w:eastAsia="zh-CN"/>
              </w:rPr>
            </w:pPr>
          </w:p>
        </w:tc>
      </w:tr>
    </w:tbl>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注：1、本表中加☆项目若有缺失或无效，将导致投标无效且不允许在开标后补正；</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2、本表内容与招标文件其它内容不一致的，应当以本表内容为准。</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3、本表中“</w:t>
      </w:r>
      <w:r>
        <w:rPr>
          <w:rFonts w:hint="eastAsia" w:asciiTheme="minorEastAsia" w:hAnsiTheme="minorEastAsia" w:eastAsiaTheme="minorEastAsia" w:cstheme="minorEastAsia"/>
          <w:color w:val="auto"/>
          <w:spacing w:val="0"/>
          <w:kern w:val="0"/>
          <w:position w:val="0"/>
          <w:sz w:val="24"/>
          <w:highlight w:val="none"/>
        </w:rPr>
        <w:fldChar w:fldCharType="begin"/>
      </w:r>
      <w:r>
        <w:rPr>
          <w:rFonts w:hint="eastAsia" w:asciiTheme="minorEastAsia" w:hAnsiTheme="minorEastAsia" w:eastAsiaTheme="minorEastAsia" w:cstheme="minorEastAsia"/>
          <w:color w:val="auto"/>
          <w:spacing w:val="0"/>
          <w:kern w:val="0"/>
          <w:position w:val="0"/>
          <w:sz w:val="24"/>
          <w:highlight w:val="none"/>
        </w:rPr>
        <w:instrText xml:space="preserve"> eq \o\ac(□,√)</w:instrText>
      </w:r>
      <w:r>
        <w:rPr>
          <w:rFonts w:hint="eastAsia" w:asciiTheme="minorEastAsia" w:hAnsiTheme="minorEastAsia" w:eastAsiaTheme="minorEastAsia" w:cstheme="minorEastAsia"/>
          <w:color w:val="auto"/>
          <w:spacing w:val="0"/>
          <w:kern w:val="0"/>
          <w:position w:val="0"/>
          <w:sz w:val="24"/>
          <w:highlight w:val="none"/>
        </w:rPr>
        <w:fldChar w:fldCharType="end"/>
      </w:r>
      <w:r>
        <w:rPr>
          <w:rFonts w:hint="eastAsia" w:asciiTheme="minorEastAsia" w:hAnsiTheme="minorEastAsia" w:eastAsiaTheme="minorEastAsia" w:cstheme="minorEastAsia"/>
          <w:color w:val="auto"/>
          <w:spacing w:val="0"/>
          <w:kern w:val="0"/>
          <w:position w:val="0"/>
          <w:sz w:val="24"/>
          <w:highlight w:val="none"/>
        </w:rPr>
        <w:t>”标示选择使用该项，“□”标示不选择使用该项。</w:t>
      </w:r>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8"/>
          <w:szCs w:val="28"/>
          <w:highlight w:val="none"/>
        </w:rPr>
        <w:br w:type="page"/>
      </w:r>
      <w:bookmarkStart w:id="39" w:name="_Toc20770"/>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须知正文部分</w:t>
      </w:r>
      <w:bookmarkEnd w:id="39"/>
      <w:bookmarkStart w:id="40" w:name="EB6161aeb75e73451e88b561c498c7790b"/>
      <w:bookmarkEnd w:id="40"/>
      <w:bookmarkStart w:id="41" w:name="EB45a2b082a6fc468db99fa2bedab5cec9"/>
      <w:bookmarkEnd w:id="41"/>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2" w:name="_Toc32102"/>
      <w:bookmarkStart w:id="43" w:name="_Toc256000004"/>
      <w:r>
        <w:rPr>
          <w:rFonts w:hint="eastAsia" w:asciiTheme="minorEastAsia" w:hAnsiTheme="minorEastAsia" w:eastAsiaTheme="minorEastAsia" w:cstheme="minorEastAsia"/>
          <w:color w:val="auto"/>
          <w:spacing w:val="0"/>
          <w:position w:val="0"/>
          <w:sz w:val="24"/>
          <w:szCs w:val="24"/>
          <w:highlight w:val="none"/>
        </w:rPr>
        <w:t>一、总则</w:t>
      </w:r>
      <w:bookmarkEnd w:id="42"/>
      <w:bookmarkEnd w:id="4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 本招标文件适用于本次招标采购项目的招标投标。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2.定义</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 “采购人”名称见本招标文件第二部分“投标人须知前附表”。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2.2 “采购代理机构”名称见本招标文件第二部分“投标人须知前附表”。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 “服务”指招标文件第三部分所述投标人应该履行的承诺和义务。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 “潜在投标人”指符合招标文件各项规定的供应商。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 “投标人”指符合招标文件规定并参加投标的供应商。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 “投标人公章”在投标文件中指与投标人标准公章一致的投标人电子签章。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3.合格投标人的条件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3.1 具有本项目实施能力，符合、承认并承诺履行本文件各项规定的国内法人、其他组织或自然人均可参加投标。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 遵守有关的国家法律、法规和条例，具备《中华人民共和国政府采购法》和本文件中规定的条件：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1)具有独立承担民事责任的能力；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4)具有依法缴纳税收和社会保障资金的良好记录；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5)参加政府采购活动前三年内，在经营活动中没有重大违法记录；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7)具有本招标文件第二部分“投标人须知前附表”中第5项规定的资格条件。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 投标人之间如果存在下列情形之一的，不得同时参加同一包（标段）或者不分包（标段）的同一项目投标：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法定代表人为同一个人的两个及两个以上法人；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母公司、全资子公司及其控股公司；</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参加投标的其他组织之间存在特殊的利害关系的；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法律和行政法规规定的其他情形。</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3.4 投标人须持有《法定代表人授权委托书》。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 供应商在政采云交易平台内针对本项目报名并下载了电子采购文件。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 投标人按时足额交纳投标保证金。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pacing w:val="0"/>
          <w:position w:val="0"/>
          <w:sz w:val="24"/>
          <w:highlight w:val="none"/>
          <w:lang w:val="en-US" w:eastAsia="zh-CN"/>
        </w:rPr>
        <w:t>6</w:t>
      </w:r>
      <w:r>
        <w:rPr>
          <w:rFonts w:hint="eastAsia" w:asciiTheme="minorEastAsia" w:hAnsiTheme="minorEastAsia" w:eastAsiaTheme="minorEastAsia" w:cstheme="minorEastAsia"/>
          <w:color w:val="auto"/>
          <w:spacing w:val="0"/>
          <w:position w:val="0"/>
          <w:sz w:val="24"/>
          <w:highlight w:val="none"/>
        </w:rPr>
        <w:t>项的规定。如果允许，除均应符合上述规定外，还应符合下列要求：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2）联合体各方中至少应当有一方对应满足本项目规定的相应资质条件，并且联合体投标人整体应当符合本项目的资质要求，否则，其提交的联合投标将被拒绝。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3）由不同专业的投标人组成的联合体, 首先以投标的全权代表方的应答材料作为认定资质以及商务评审的依据；涉及行业专属的资质,按照所属行业所对应的投标人的应答材料确定。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9"/>
        <w:pageBreakBefore w:val="0"/>
        <w:tabs>
          <w:tab w:val="left" w:pos="1146"/>
        </w:tabs>
        <w:kinsoku/>
        <w:overflowPunct/>
        <w:topLinePunct w:val="0"/>
        <w:bidi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投标人不得与采购人、采购代理机构等有利害关系。</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4.投标费用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4.1 投标人应承担所有与准备和参加投标有关的费用。</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5.纪律</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5.1 投标人的投标行为应遵守中国的有关法律、法规和规章。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 有下列情形之一的，属于投标人相互串通投标：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5.2.1.1 投标人之间协商投标报价等投标文件的实质性内容；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5.2.1.2 投标人之间约定中标人；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5.2.1.3 投标人之间约定部分投标人放弃投标或者中标；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5.2.1.4 属于同一集团、协会、商会等组织成员的投标人按照该组织要求协同投标；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5.2.1.5 投标人之间为谋取中标或者排斥特定投标人而采取的其他联合行动。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 有下列情形之一的，视为投标人相互串通投标：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5.2.2.1 不同投标人的投标文件由同一单位或者个人编制；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5.2.2.2 不同投标人委托同一单位或者个人办理投标事宜，或制作电子投标文件的文件制作机器码（mac地址）一致，或制作电子投标文件的文件创建标识码一致；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5.2.2.3 不同投标人的投标文件载明的项目管理成员为同一人；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5.2.2.4 不同投标人的投标文件异常一致或者投标报价呈规律性差异；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5.2.2.5 不同投标人的投标文件相互混装；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5.2.2.6 不同投标人的投标保证金从同一单位或者个人的账户转出。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6.通知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4" w:name="_Toc256000005"/>
      <w:bookmarkStart w:id="45" w:name="_Toc9328"/>
      <w:r>
        <w:rPr>
          <w:rFonts w:hint="eastAsia" w:asciiTheme="minorEastAsia" w:hAnsiTheme="minorEastAsia" w:eastAsiaTheme="minorEastAsia" w:cstheme="minorEastAsia"/>
          <w:color w:val="auto"/>
          <w:spacing w:val="0"/>
          <w:position w:val="0"/>
          <w:sz w:val="24"/>
          <w:szCs w:val="24"/>
          <w:highlight w:val="none"/>
        </w:rPr>
        <w:t>二、招标文件</w:t>
      </w:r>
      <w:bookmarkEnd w:id="44"/>
      <w:bookmarkEnd w:id="4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7.招标文件组成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7.1 招标文件由招标文件目录所列内容组成。</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8.踏勘现场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8.3 除非有特殊要求，招标文件不单独提供供货使用地的自然环境、气候条件、公用设施等情况，投标人被视为熟悉上述与履行合同有关的一切情况。</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8.4 除采购人原因外，投标人自行负责在踏勘现场中所发生的人员伤亡和财产损失。</w:t>
      </w:r>
    </w:p>
    <w:p>
      <w:pPr>
        <w:pageBreakBefore w:val="0"/>
        <w:kinsoku/>
        <w:overflowPunct/>
        <w:topLinePunct w:val="0"/>
        <w:bidi w:val="0"/>
        <w:spacing w:line="360" w:lineRule="auto"/>
        <w:rPr>
          <w:rFonts w:hint="eastAsia" w:asciiTheme="minorEastAsia" w:hAnsiTheme="minorEastAsia" w:eastAsiaTheme="minorEastAsia" w:cstheme="minorEastAsia"/>
          <w:bCs/>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9.知识产权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9.2 投标人如欲在项目实施过程中采用自有知识成果，须在投标文件中声明，并提供相关知识产权证明文件。使用该知识成果后，投标人须提供开发接口和开发手册等技术文档。</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10.答疑及招标文件的澄清和修改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投标人在规定的时间内未对招标文件提出疑问或要求澄清的，采购代理机构将视其为同意，对在“答疑接受时间”后就招标文件内容提出的疑问及澄清要求将不予受理。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特殊情况下，采购代理机构发布澄清、修改文件后，征得投标人同意，可不改变投标截止时间和开标时间。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10.4 采购代理机构对招标文件作出的澄清、修改在</w:t>
      </w:r>
      <w:r>
        <w:rPr>
          <w:rFonts w:hint="eastAsia" w:asciiTheme="minorEastAsia" w:hAnsiTheme="minorEastAsia" w:eastAsiaTheme="minorEastAsia" w:cstheme="minorEastAsia"/>
          <w:color w:val="auto"/>
          <w:spacing w:val="0"/>
          <w:position w:val="0"/>
          <w:sz w:val="24"/>
          <w:highlight w:val="none"/>
          <w:lang w:eastAsia="zh-CN"/>
        </w:rPr>
        <w:t>政采云</w:t>
      </w:r>
      <w:r>
        <w:rPr>
          <w:rFonts w:hint="eastAsia" w:asciiTheme="minorEastAsia" w:hAnsiTheme="minorEastAsia" w:eastAsiaTheme="minorEastAsia" w:cstheme="minorEastAsia"/>
          <w:color w:val="auto"/>
          <w:spacing w:val="0"/>
          <w:position w:val="0"/>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10.5澄清、修改文件发出后，供应商必须使用最新的答疑、澄清文件制作电子投标文件，未按最终版本招标文件制作的投标文件造成的后果由投标人自行承担。</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6" w:name="_Toc256000006"/>
      <w:bookmarkStart w:id="47" w:name="_Toc22770"/>
      <w:r>
        <w:rPr>
          <w:rFonts w:hint="eastAsia" w:asciiTheme="minorEastAsia" w:hAnsiTheme="minorEastAsia" w:eastAsiaTheme="minorEastAsia" w:cstheme="minorEastAsia"/>
          <w:color w:val="auto"/>
          <w:spacing w:val="0"/>
          <w:position w:val="0"/>
          <w:sz w:val="24"/>
          <w:highlight w:val="none"/>
        </w:rPr>
        <w:t>三、投标文件</w:t>
      </w:r>
      <w:bookmarkEnd w:id="46"/>
      <w:bookmarkEnd w:id="4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11.投标文件的语言及计量单位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11.1 投标人提交的投标文件（包括技术文件和资料、图纸中的说明）以及投标人与采购代理机构就有关投标的所有来往函电均应使用中文简体字。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11.3 除非招标文件另有规定，投标文件所使用的计量单位，应使用国家法定计量单位。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11.4 对违反上述规定情形的，评标委员会有权要求投标人限期提供相应文件或决定对其投标予以拒绝。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11.5 电报、电话、传真形式的投标概不接受。投标人的投标文件一律不予退还。</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12.投标文件组成及编制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12.1投标文件分为资格审查、商务文件、技术文件和服务文件。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12.2供应商递交的投标文件及相关要求按照招标文件第二部分“供应商须知前附表”中的规定。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 电子投标文件的编制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12.2.1.2电子投标文件须使用供应商公章的电子签章以及法定代表人的电子签章。若无电子签章，则视为无效投标。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12.2.1.4电子投标文件制作工具在生成加密投标文件时，同时生成非加密投标文件一份。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13.投标报价</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13.2 投标人投报多包的，须对每包分别制作投标文件并报价</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13.3 除非招标文件另有规定，不接受可选择或可调整的投标方案和报价，任何有选择的或可调整的投标方案和报价将被视为非响应性投标而被拒绝。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13.4 本项目是否接受进口产品按照招标文件第二部分“投标人须知前附表中”中第6项的规定。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13.6 投标人须严格按照报价明细表规定的内容填写货物单价以及其他事项。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13.7 投标人对投标报价若有说明应在投标文件中显著处注明。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除政策性文件规定以外，投标人所报价格在合同实施期间不因市场变化因素而变动。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13.9 最低报价不能作为中标的保证。</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14.投标有效期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14.1 本项目的投标有效期按照招标文件第二部分“投标人须知前附表”中的规定。投标有效期自开标之日起计算，短于规定期限的投标将按无效投标处理。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15.投标内容填写说明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15.3 开标一览表为在开标仪式上唱标的内容，要求按格式统一填写，不得自行增减内容。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15.5 投标人必须保证投标文件所提供的全部资料真实可靠，并接受采购代理机构或评标委员会对其中任何资料进一步审查的要求。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8" w:name="_Toc13369"/>
      <w:bookmarkStart w:id="49" w:name="_Toc256000007"/>
      <w:r>
        <w:rPr>
          <w:rFonts w:hint="eastAsia" w:asciiTheme="minorEastAsia" w:hAnsiTheme="minorEastAsia" w:eastAsiaTheme="minorEastAsia" w:cstheme="minorEastAsia"/>
          <w:color w:val="auto"/>
          <w:spacing w:val="0"/>
          <w:position w:val="0"/>
          <w:sz w:val="24"/>
          <w:highlight w:val="none"/>
        </w:rPr>
        <w:t>四、投标保证金</w:t>
      </w:r>
      <w:bookmarkEnd w:id="48"/>
      <w:bookmarkEnd w:id="4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 xml:space="preserve">16.投标保证金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0" w:name="_Toc5875"/>
      <w:bookmarkStart w:id="51" w:name="_Toc256000008"/>
      <w:r>
        <w:rPr>
          <w:rFonts w:hint="eastAsia" w:asciiTheme="minorEastAsia" w:hAnsiTheme="minorEastAsia" w:eastAsiaTheme="minorEastAsia" w:cstheme="minorEastAsia"/>
          <w:color w:val="auto"/>
          <w:spacing w:val="0"/>
          <w:position w:val="0"/>
          <w:sz w:val="24"/>
          <w:highlight w:val="none"/>
        </w:rPr>
        <w:t>五、投标文件的递交</w:t>
      </w:r>
      <w:bookmarkEnd w:id="50"/>
      <w:bookmarkEnd w:id="51"/>
    </w:p>
    <w:p>
      <w:pPr>
        <w:pageBreakBefore w:val="0"/>
        <w:kinsoku/>
        <w:wordWrap/>
        <w:overflowPunct/>
        <w:topLinePunct w:val="0"/>
        <w:bidi w:val="0"/>
        <w:snapToGrid w:val="0"/>
        <w:spacing w:before="0" w:beforeAutospacing="0" w:after="0" w:afterAutospacing="0" w:line="360" w:lineRule="auto"/>
        <w:jc w:val="both"/>
        <w:textAlignment w:val="baseline"/>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pPr>
        <w:pageBreakBefore w:val="0"/>
        <w:kinsoku/>
        <w:wordWrap/>
        <w:overflowPunct/>
        <w:topLinePunct w:val="0"/>
        <w:bidi w:val="0"/>
        <w:snapToGrid w:val="0"/>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19.投标文件的修改和撤回</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19.1  投标人在递交投标文件后，可以修改或撤回其投标，但这种修改和撤回，必须在规定的投标截止时间前。在投标截止时间后，投标人不得要求修改或撤回其投标文件。</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2" w:name="_Toc256000009"/>
      <w:bookmarkStart w:id="53" w:name="_Toc13383"/>
      <w:r>
        <w:rPr>
          <w:rFonts w:hint="eastAsia" w:asciiTheme="minorEastAsia" w:hAnsiTheme="minorEastAsia" w:eastAsiaTheme="minorEastAsia" w:cstheme="minorEastAsia"/>
          <w:color w:val="auto"/>
          <w:spacing w:val="0"/>
          <w:position w:val="0"/>
          <w:sz w:val="24"/>
          <w:highlight w:val="none"/>
        </w:rPr>
        <w:t>六、开标</w:t>
      </w:r>
      <w:bookmarkEnd w:id="52"/>
      <w:bookmarkEnd w:id="5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20.开标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4" w:name="_Toc25139"/>
      <w:bookmarkStart w:id="55" w:name="_Toc256000010"/>
      <w:r>
        <w:rPr>
          <w:rFonts w:hint="eastAsia" w:asciiTheme="minorEastAsia" w:hAnsiTheme="minorEastAsia" w:eastAsiaTheme="minorEastAsia" w:cstheme="minorEastAsia"/>
          <w:color w:val="auto"/>
          <w:spacing w:val="0"/>
          <w:position w:val="0"/>
          <w:sz w:val="24"/>
          <w:highlight w:val="none"/>
        </w:rPr>
        <w:t>七、评标步骤和要求</w:t>
      </w:r>
      <w:bookmarkEnd w:id="54"/>
      <w:bookmarkEnd w:id="5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21.组建评标委员会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21.2 参与过本项目的论证专家不得作为评标专家参加评标，采购人不得以专家身份参与评标。</w:t>
      </w:r>
    </w:p>
    <w:p>
      <w:pPr>
        <w:pageBreakBefore w:val="0"/>
        <w:kinsoku/>
        <w:overflowPunct/>
        <w:topLinePunct w:val="0"/>
        <w:bidi w:val="0"/>
        <w:spacing w:line="360" w:lineRule="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22、资格审查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pacing w:val="0"/>
          <w:position w:val="0"/>
          <w:sz w:val="24"/>
          <w:highlight w:val="none"/>
          <w:lang w:val="en-US" w:eastAsia="zh-CN"/>
        </w:rPr>
        <w:t>资格审查内容见下表：</w:t>
      </w:r>
    </w:p>
    <w:tbl>
      <w:tblPr>
        <w:tblStyle w:val="19"/>
        <w:tblW w:w="10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442"/>
        <w:gridCol w:w="6080"/>
        <w:gridCol w:w="605"/>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评分因素</w:t>
            </w:r>
          </w:p>
        </w:tc>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评分点</w:t>
            </w:r>
          </w:p>
        </w:tc>
        <w:tc>
          <w:tcPr>
            <w:tcW w:w="60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评分标准</w:t>
            </w:r>
          </w:p>
        </w:tc>
        <w:tc>
          <w:tcPr>
            <w:tcW w:w="136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8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资格检查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营业执照具有独立承担民事责任的能力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具有良好的商业信誉和健全的财务会计制度</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具有履行合同所必需的设备和专业技术能力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具备履行合同所必需的设备和专业技术能力的书面声明原件扫描件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有依法缴纳税收和社会保障资金的良好记录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参加政府采购活动前三年内，在经营活动中没有重大违法记录；须提供书面声明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30"/>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投标保证金</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是否有投标保证金缴纳凭证</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right w:val="single" w:color="000000" w:sz="4" w:space="0"/>
            </w:tcBorders>
            <w:noWrap w:val="0"/>
            <w:vAlign w:val="center"/>
          </w:tcPr>
          <w:p>
            <w:pPr>
              <w:pStyle w:val="30"/>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资质证书</w:t>
            </w:r>
          </w:p>
        </w:tc>
        <w:tc>
          <w:tcPr>
            <w:tcW w:w="608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605"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bl>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23.初步评审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23.1 评标委员会审查投标文件是否符合招标文件的基本要求：内容是否完整、资格证明文件是否合格、文件签署是否齐全、有无计算错误等。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23.2 评标委员会审查投标文件是否实质上响应招标文件的要求。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1）实质上响应的投标是指与招标文件上的条款、条件和规格相符，没有重大偏离或保留，否则将视为无效投标。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A、招标文件第二部分“投标人须知前附表”第6条“投标文件组成”部分中，带“☆”号部分的证明文件不全或无效的；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B、投标文件未按招标文件的规定签章的；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C、未按投标文件份数要求提交投标文件的；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D、招标文件带“☆”号部分任意一款不满足要求的；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E、报价超过项目预算或经评标委员会认定低于成本的；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F、投标有效期不足的；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G、联合体投标文件未附联合体投标协议书的；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H、不符合招标文件中有关分包规定的；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I、有串通投标或弄虚作假或有其他违法行为的；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J、投标人递交的电子投标文件无法满足正常开标、评标使用功能的；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K、投标人名称或组织结构与报名时不一致且无有效变更证明的；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L、不符合招标文件中规定的其他实质性要求。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23.4 初步评审中，对明显的文字和计算错误按下述原则处理，若出现相互矛盾之处，应以排列在先的原则为准优先处理：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1）投标文件中的开标一览表与明细表内容不一致的，以开标一览表为准。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2）如果以文字表示的数据与数字表示的有差别，以文字为准修正数字。如果大写金额和小写金额不一致的，以大写金额为准；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4）调整后的数据对投标人具有约束力，投标人不同意以上修正，其投标将被拒绝。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23.5 评标委员会对投标文件的判定，只依据投标文件内容本身，不依据其他外来证明。</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24.投标的澄清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25.详细评审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26.确定中标人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26.2 评标委员会根据评审结果及招标文件的规定确定中标人。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27.评标过程要求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27.1 开标之后，直到签订合同止，凡是属于审查、澄清、评价和比较投标的有关资料以及定标意向等，均不向投标人或者其他与评标无关的人员透露。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27.2 在确定中标人之前，投标人试图在投标文件审查、澄清、比较和评标时对评标委员会、采购人和采购代理机构施加任何影响都可能导致其投标无效。</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 电子招投标的应急措施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27.3.1 电子开标、评标如出现下列原因，导致系统无法正常运行或无法正常评标时，应采取应急措施。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（1）系统服务器发生故障，无法访问或无法使用系统；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（2）系统的软件或数据库出现错误，不能进行正常操作；</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（3）系统发现有安全漏洞，有潜在的泄密危险；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（4）病毒发作或受到外来病毒的攻击；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（5）出现其他不可抗拒的客观原因造成开评标系统无法正常使用。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出现上述情况时，应对未开标的暂停开标。已在系统内开标、评标的立即停止。采取应急措施时，必须对原有资料及信息作出妥善保密处理。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27.3.2 因系统原因导致投标人均无法解密电子投标文件时，采购代理机构可在开标现场直接导入投标人在投标截止时间前递交的未加密的电子投标文件进行开标、评标。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28.投标人瑕疵滞后发现的处理规则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29.采购项目废标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29.1 在评标过程中，评标委员会发现有下列情形之一的，应对采购项目予以废标：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1）符合专业条件的供应商或者对招标文件作实质响应的供应商数量不足，导致进入详细评审、打分阶段的供应商不足3家的；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2）投标人的报价均超过了采购预算；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3）出现影响采购公正的违法、违规行为的；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4）因重大变故，采购任务取消的。</w:t>
      </w:r>
    </w:p>
    <w:p>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除前款第四项规定的情形外，项目废标后，采购代理机构将依法重新组织招标。</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6" w:name="_Toc256000011"/>
      <w:bookmarkStart w:id="57" w:name="_Toc871"/>
      <w:r>
        <w:rPr>
          <w:rFonts w:hint="eastAsia" w:asciiTheme="minorEastAsia" w:hAnsiTheme="minorEastAsia" w:eastAsiaTheme="minorEastAsia" w:cstheme="minorEastAsia"/>
          <w:color w:val="auto"/>
          <w:spacing w:val="0"/>
          <w:position w:val="0"/>
          <w:sz w:val="24"/>
          <w:highlight w:val="none"/>
        </w:rPr>
        <w:t>八、履约保证金</w:t>
      </w:r>
      <w:bookmarkEnd w:id="56"/>
      <w:bookmarkEnd w:id="5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30.履约保证金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30.1 履约保证金按照招标文件第二部分“投标人须知前附表”中第21项规定，在签订合同前交纳。</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30.2 中标人在中标公告发布后及时足额交纳履约保证金。</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8" w:name="_Toc256000012"/>
      <w:bookmarkStart w:id="59" w:name="_Toc10446"/>
      <w:r>
        <w:rPr>
          <w:rFonts w:hint="eastAsia" w:asciiTheme="minorEastAsia" w:hAnsiTheme="minorEastAsia" w:eastAsiaTheme="minorEastAsia" w:cstheme="minorEastAsia"/>
          <w:color w:val="auto"/>
          <w:spacing w:val="0"/>
          <w:position w:val="0"/>
          <w:sz w:val="24"/>
          <w:highlight w:val="none"/>
        </w:rPr>
        <w:t>九、代理服务费、公证费</w:t>
      </w:r>
      <w:bookmarkEnd w:id="58"/>
      <w:bookmarkEnd w:id="5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31.代理服务费、公证费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31.1 代理服务费、公证费按照招标文件第二部分“投标人须知前附表”中第22项和第</w:t>
      </w:r>
      <w:r>
        <w:rPr>
          <w:rFonts w:hint="eastAsia" w:asciiTheme="minorEastAsia" w:hAnsiTheme="minorEastAsia" w:eastAsiaTheme="minorEastAsia" w:cstheme="minorEastAsia"/>
          <w:color w:val="auto"/>
          <w:spacing w:val="0"/>
          <w:position w:val="0"/>
          <w:sz w:val="24"/>
          <w:highlight w:val="none"/>
          <w:lang w:val="en-US" w:eastAsia="zh-CN"/>
        </w:rPr>
        <w:t>23</w:t>
      </w:r>
      <w:r>
        <w:rPr>
          <w:rFonts w:hint="eastAsia" w:asciiTheme="minorEastAsia" w:hAnsiTheme="minorEastAsia" w:eastAsiaTheme="minorEastAsia" w:cstheme="minorEastAsia"/>
          <w:color w:val="auto"/>
          <w:spacing w:val="0"/>
          <w:position w:val="0"/>
          <w:sz w:val="24"/>
          <w:highlight w:val="none"/>
        </w:rPr>
        <w:t>项的规定由中标人交纳，请投标人在测算投标报价时充分考虑这一因素。</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0" w:name="_Toc16321"/>
      <w:bookmarkStart w:id="61" w:name="_Toc256000013"/>
      <w:r>
        <w:rPr>
          <w:rFonts w:hint="eastAsia" w:asciiTheme="minorEastAsia" w:hAnsiTheme="minorEastAsia" w:eastAsiaTheme="minorEastAsia" w:cstheme="minorEastAsia"/>
          <w:color w:val="auto"/>
          <w:spacing w:val="0"/>
          <w:position w:val="0"/>
          <w:sz w:val="24"/>
          <w:highlight w:val="none"/>
        </w:rPr>
        <w:t>十、签订、审核合同</w:t>
      </w:r>
      <w:bookmarkEnd w:id="60"/>
      <w:bookmarkEnd w:id="61"/>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32.中标通知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32.2 采购代理机构对未中标的投标人不作未中标原因的解释，但中标结果的有效性不以未中标的投标人是否收到相应的通知为前提。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32.3 中标通知书是合同的组成部分。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33.签订合同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中标人须在中标通知书发出之日起</w:t>
      </w:r>
      <w:r>
        <w:rPr>
          <w:rFonts w:hint="eastAsia" w:asciiTheme="minorEastAsia" w:hAnsiTheme="minorEastAsia" w:eastAsiaTheme="minorEastAsia" w:cstheme="minorEastAsia"/>
          <w:color w:val="auto"/>
          <w:spacing w:val="0"/>
          <w:position w:val="0"/>
          <w:sz w:val="24"/>
          <w:highlight w:val="none"/>
          <w:lang w:val="en-US" w:eastAsia="zh-CN"/>
        </w:rPr>
        <w:t>30</w:t>
      </w:r>
      <w:r>
        <w:rPr>
          <w:rFonts w:hint="eastAsia" w:asciiTheme="minorEastAsia" w:hAnsiTheme="minorEastAsia" w:eastAsiaTheme="minorEastAsia" w:cstheme="minorEastAsia"/>
          <w:color w:val="auto"/>
          <w:spacing w:val="0"/>
          <w:position w:val="0"/>
          <w:sz w:val="24"/>
          <w:highlight w:val="none"/>
        </w:rPr>
        <w:t>日内与采购人签订采购合同。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中标人须按照招标文件、投标文件及评标过程中的有关澄清、说明或者补正文件的内容与采购人签订合同。中标人不得再与采购人签订背离合同实质性内容的其他协议或声明。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中标人一旦中标及签订合同后，不得转包，亦不得将合同全部及任何权利、义务向第三方转让。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33.6 违反32.1条、32.2条的规定，给对方造成损失的，应承担赔偿责任。</w:t>
      </w:r>
    </w:p>
    <w:p>
      <w:pPr>
        <w:pageBreakBefore w:val="0"/>
        <w:kinsoku/>
        <w:wordWrap/>
        <w:overflowPunct/>
        <w:topLinePunct w:val="0"/>
        <w:bidi w:val="0"/>
        <w:snapToGrid w:val="0"/>
        <w:spacing w:before="0" w:beforeAutospacing="0" w:after="0" w:afterAutospacing="0" w:line="360" w:lineRule="auto"/>
        <w:jc w:val="both"/>
        <w:textAlignment w:val="baseline"/>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2" w:name="_Toc16099"/>
      <w:bookmarkStart w:id="63" w:name="_Toc256000014"/>
      <w:r>
        <w:rPr>
          <w:rFonts w:hint="eastAsia" w:asciiTheme="minorEastAsia" w:hAnsiTheme="minorEastAsia" w:eastAsiaTheme="minorEastAsia" w:cstheme="minorEastAsia"/>
          <w:color w:val="auto"/>
          <w:spacing w:val="0"/>
          <w:position w:val="0"/>
          <w:sz w:val="24"/>
          <w:highlight w:val="none"/>
        </w:rPr>
        <w:t>十一、处罚、询问和质疑</w:t>
      </w:r>
      <w:bookmarkEnd w:id="62"/>
      <w:bookmarkEnd w:id="63"/>
      <w:r>
        <w:rPr>
          <w:rFonts w:hint="eastAsia" w:asciiTheme="minorEastAsia" w:hAnsiTheme="minorEastAsia" w:eastAsiaTheme="minorEastAsia" w:cstheme="minorEastAsia"/>
          <w:color w:val="auto"/>
          <w:spacing w:val="0"/>
          <w:position w:val="0"/>
          <w:sz w:val="24"/>
          <w:highlight w:val="none"/>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35.处罚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35.1 发生下列情况之一，投标人的保证金不予退还；情节严重的将其列入不良记录名单。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1）开标后在投标有效期内，投标人撤回其投标；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2）中标后无正当理由不与采购人签订合同的；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3）中标人与采购人订立背离合同实质性内容的其他协议；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4）将中标项目转让给他人，或者在投标文件中未说明，且未经采购代理机构同意，将中标项目分包给他人的；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5）存在串通投标行为的；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6）存在弄虚作假或提供虚假材料谋取中标的；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7）投标人其他未按招标文件规定和合同约定履行义务的行为。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36.询问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36.1 投标人对采购事项有疑问的，可以向采购人或采购代理机构提出询问。</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37.投标人有权就招标事宜提出质疑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37.1 投标人认为招标文件、采购过程和中标结果使自已的权益受到损害的，可以在知道或者应知其权益受到损害之日起7个工作日内，以书面形式提出质疑。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37.2 质疑应当按照《中华人民共和国政府采购法》、《中华人民共和国政府采购法实施条例》、《政府采购供应商投诉处理办法》等法律法规的相关规定，以书面形式向采购代理机构提出。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37.4 质疑人可以采取直接送达或者邮寄方式提交质疑书。采购代理机构收到质疑书后，对质疑书进行审查，对符合质疑条件的将办理签收手续，自签收质疑书之日起即为受理。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37.5 采购代理机构将在受理书面质疑后7个工作日内审查质疑事项，作出答复或相关处理决定，并以书面形式通知质疑人和其他相关供应商，但答复的内容不涉及商业秘密。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37.6 投标人进行虚假和恶意质疑的，采购代理机构将提请有关部门将其列入不良记录名单，在一至三年内禁止参加政府采购活动，并将处理决定在相关政府采购媒体上公布。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37.7 质疑人对答复不满意以及采购代理机构未在规定的时间内作出答复的，可以在答复期满后15个工作日内向财政部门投拆。</w:t>
      </w:r>
      <w:bookmarkStart w:id="64" w:name="EB39c71293e74d40469078ba26d6416c98"/>
      <w:r>
        <w:rPr>
          <w:rFonts w:hint="eastAsia" w:asciiTheme="minorEastAsia" w:hAnsiTheme="minorEastAsia" w:eastAsiaTheme="minorEastAsia" w:cstheme="minorEastAsia"/>
          <w:color w:val="auto"/>
          <w:spacing w:val="0"/>
          <w:position w:val="0"/>
          <w:sz w:val="20"/>
          <w:highlight w:val="none"/>
        </w:rPr>
        <w:t xml:space="preserve"> </w:t>
      </w:r>
      <w:bookmarkEnd w:id="64"/>
      <w:bookmarkStart w:id="65" w:name="EB271efed5eb2c4571a51ef86245b10499"/>
      <w:r>
        <w:rPr>
          <w:rFonts w:hint="eastAsia" w:asciiTheme="minorEastAsia" w:hAnsiTheme="minorEastAsia" w:eastAsiaTheme="minorEastAsia" w:cstheme="minorEastAsia"/>
          <w:color w:val="auto"/>
          <w:spacing w:val="0"/>
          <w:position w:val="0"/>
          <w:sz w:val="20"/>
          <w:highlight w:val="none"/>
        </w:rPr>
        <w:t xml:space="preserve"> </w:t>
      </w:r>
      <w:bookmarkEnd w:id="65"/>
      <w:bookmarkStart w:id="66" w:name="EB1019d0c475354d278c10922fbe210b36"/>
      <w:r>
        <w:rPr>
          <w:rFonts w:hint="eastAsia" w:asciiTheme="minorEastAsia" w:hAnsiTheme="minorEastAsia" w:eastAsiaTheme="minorEastAsia" w:cstheme="minorEastAsia"/>
          <w:color w:val="auto"/>
          <w:spacing w:val="0"/>
          <w:position w:val="0"/>
          <w:sz w:val="20"/>
          <w:highlight w:val="none"/>
        </w:rPr>
        <w:t xml:space="preserve"> </w:t>
      </w:r>
      <w:bookmarkEnd w:id="66"/>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7" w:name="_Toc10562"/>
      <w:bookmarkStart w:id="68" w:name="_Toc256000015"/>
      <w:r>
        <w:rPr>
          <w:rFonts w:hint="eastAsia" w:asciiTheme="minorEastAsia" w:hAnsiTheme="minorEastAsia" w:eastAsiaTheme="minorEastAsia" w:cstheme="minorEastAsia"/>
          <w:color w:val="auto"/>
          <w:spacing w:val="0"/>
          <w:position w:val="0"/>
          <w:sz w:val="24"/>
          <w:highlight w:val="none"/>
        </w:rPr>
        <w:t>十二、保密和披露</w:t>
      </w:r>
      <w:bookmarkEnd w:id="67"/>
      <w:bookmarkEnd w:id="68"/>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38.保密和披露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38.2 采购代理机构有权将投标人提供的所有资料向有关政府部门或评审标书的有关人员披露。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9" w:name="EB0daf250e925e43f5a6d3d576f31932f5"/>
      <w:r>
        <w:rPr>
          <w:rFonts w:hint="eastAsia" w:asciiTheme="minorEastAsia" w:hAnsiTheme="minorEastAsia" w:eastAsiaTheme="minorEastAsia" w:cstheme="minorEastAsia"/>
          <w:color w:val="auto"/>
          <w:spacing w:val="0"/>
          <w:position w:val="0"/>
          <w:sz w:val="20"/>
          <w:highlight w:val="none"/>
        </w:rPr>
        <w:t xml:space="preserve"> </w:t>
      </w:r>
      <w:bookmarkEnd w:id="69"/>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70" w:name="_Toc16687"/>
      <w:r>
        <w:rPr>
          <w:rFonts w:hint="eastAsia" w:asciiTheme="minorEastAsia" w:hAnsiTheme="minorEastAsia" w:eastAsiaTheme="minorEastAsia" w:cstheme="minorEastAsia"/>
          <w:b/>
          <w:color w:val="auto"/>
          <w:spacing w:val="0"/>
          <w:position w:val="0"/>
          <w:sz w:val="36"/>
          <w:highlight w:val="none"/>
        </w:rPr>
        <w:t>第三部分   采购需求</w:t>
      </w:r>
      <w:bookmarkEnd w:id="70"/>
      <w:bookmarkStart w:id="71" w:name="EBe6f29cfd18e6459587ecf2aa36a0140e"/>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一、采购清单</w:t>
      </w: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p>
    <w:tbl>
      <w:tblPr>
        <w:tblStyle w:val="19"/>
        <w:tblW w:w="52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716"/>
        <w:gridCol w:w="828"/>
        <w:gridCol w:w="835"/>
        <w:gridCol w:w="1436"/>
        <w:gridCol w:w="1436"/>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预算单价（元）</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预算合计（元）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新生儿专用监护仪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48000.00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48000.00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便携式彩色多普勒超声系统</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300000.00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300000.00 </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2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34</w:t>
            </w:r>
            <w:r>
              <w:rPr>
                <w:rFonts w:hint="eastAsia" w:ascii="宋体" w:hAnsi="宋体" w:eastAsia="宋体" w:cs="宋体"/>
                <w:i w:val="0"/>
                <w:iCs w:val="0"/>
                <w:color w:val="auto"/>
                <w:kern w:val="0"/>
                <w:sz w:val="24"/>
                <w:szCs w:val="24"/>
                <w:highlight w:val="none"/>
                <w:u w:val="none"/>
                <w:lang w:val="en-US" w:eastAsia="zh-CN" w:bidi="ar"/>
              </w:rPr>
              <w:t xml:space="preserve">8000.00 </w:t>
            </w:r>
          </w:p>
        </w:tc>
      </w:tr>
    </w:tbl>
    <w:p>
      <w:pPr>
        <w:pStyle w:val="4"/>
        <w:pageBreakBefore w:val="0"/>
        <w:kinsoku/>
        <w:overflowPunct/>
        <w:topLinePunct w:val="0"/>
        <w:bidi w:val="0"/>
        <w:ind w:left="0" w:leftChars="0" w:firstLine="0" w:firstLineChars="0"/>
        <w:rPr>
          <w:rFonts w:hint="default" w:asciiTheme="minorEastAsia" w:hAnsiTheme="minorEastAsia" w:eastAsiaTheme="minorEastAsia" w:cstheme="minorEastAsia"/>
          <w:b/>
          <w:bCs/>
          <w:color w:val="auto"/>
          <w:spacing w:val="0"/>
          <w:position w:val="0"/>
          <w:sz w:val="24"/>
          <w:szCs w:val="24"/>
          <w:highlight w:val="non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二、技术参数</w:t>
      </w:r>
      <w:bookmarkEnd w:id="71"/>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bookmarkStart w:id="72" w:name="_Toc2110"/>
      <w:r>
        <w:rPr>
          <w:rFonts w:hint="eastAsia" w:asciiTheme="minorEastAsia" w:hAnsiTheme="minorEastAsia" w:eastAsiaTheme="minorEastAsia" w:cstheme="minorEastAsia"/>
          <w:b/>
          <w:bCs/>
          <w:color w:val="auto"/>
          <w:sz w:val="24"/>
          <w:szCs w:val="24"/>
          <w:highlight w:val="none"/>
          <w:lang w:val="en-US" w:eastAsia="zh-CN"/>
        </w:rPr>
        <w:t>1、新生儿专用监护仪参数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1"/>
          <w:lang w:val="en-US" w:eastAsia="zh-CN"/>
        </w:rPr>
        <w:t>一、</w:t>
      </w:r>
      <w:r>
        <w:rPr>
          <w:rFonts w:hint="eastAsia" w:asciiTheme="minorEastAsia" w:hAnsiTheme="minorEastAsia" w:eastAsiaTheme="minorEastAsia" w:cstheme="minorEastAsia"/>
          <w:b/>
          <w:sz w:val="24"/>
          <w:szCs w:val="24"/>
        </w:rPr>
        <w:t>基本要求</w:t>
      </w:r>
      <w:r>
        <w:rPr>
          <w:rFonts w:hint="eastAsia" w:asciiTheme="minorEastAsia" w:hAnsiTheme="minorEastAsia" w:eastAsiaTheme="minorEastAsia" w:cstheme="minorEastAsia"/>
          <w:b/>
          <w:sz w:val="24"/>
          <w:szCs w:val="24"/>
          <w:lang w:val="en-US" w:eastAsia="zh-CN"/>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要求通过SFDA、CE认证；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产品注册名称应为：新生儿专用监护仪，要求提供产品注册证证明。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szCs w:val="24"/>
          <w14:textFill>
            <w14:solidFill>
              <w14:schemeClr w14:val="tx1"/>
            </w14:solidFill>
          </w14:textFill>
        </w:rPr>
        <w:t>硬件结构</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固定式提手，便于携带；</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≥8英寸LED背光液晶屏，标配触摸屏；</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具有两个独立报警灯，生理、技术报警灯分开显示，直观判断报警类型；</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具有VGA接口，支持外接显示器；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4"/>
          <w:szCs w:val="24"/>
          <w14:textFill>
            <w14:solidFill>
              <w14:schemeClr w14:val="tx1"/>
            </w14:solidFill>
          </w14:textFill>
        </w:rPr>
        <w:t>监测参数</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专用于新生儿监护，无成人和小儿测量模式，保证测量安全；</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支持3/5导心电监测；</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具有ECG波形级联显示功能；</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配置新生儿专用夹式心电导联线、新生儿专用电极片；</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★可选全球金标准的</w:t>
      </w:r>
      <w:r>
        <w:rPr>
          <w:rFonts w:hint="eastAsia" w:asciiTheme="minorEastAsia" w:hAnsiTheme="minorEastAsia" w:eastAsiaTheme="minorEastAsia" w:cstheme="minorEastAsia"/>
          <w:color w:val="000000" w:themeColor="text1"/>
          <w:sz w:val="24"/>
          <w:szCs w:val="24"/>
          <w14:textFill>
            <w14:solidFill>
              <w14:schemeClr w14:val="tx1"/>
            </w14:solidFill>
          </w14:textFill>
        </w:rPr>
        <w:t>Masimo SET血氧</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确认各种环境下对血氧的精准监测；</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SPO</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测量范围：1％～100％；在70％～100％范围内，为±3％（非运动状态和运动状态）；</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支持PI灌注指数显示，有效反映外周血管灌注情况；</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NIBP静态压力测量范围：0～150mmHg，精度±3mmHg；</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NIBP可选择初始充气压力，提升测量的准确性和患者舒适性；</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配置1-4号四种规格大小的新生儿专用血压袖套，医护人员可根据患者情况灵活选择合适的大小；</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可升级呼末二氧化碳监测功能，</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测量范围0mmHg～190mmHg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旁流监测无需脱水瓶，防止交叉感染。</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可升级选配新生儿窒息唤醒功能（需提供证明文件）</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可升级选配氧浓度监测功能（需提供证明文件）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4"/>
          <w:szCs w:val="24"/>
          <w14:textFill>
            <w14:solidFill>
              <w14:schemeClr w14:val="tx1"/>
            </w14:solidFill>
          </w14:textFill>
        </w:rPr>
        <w:t>系统功能</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支持手写输入功能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支持显示屏亮度1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-100级调节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具备大字体界面，呼吸氧合图界面，趋势共存界面，它床观察界面及标准界面等多种显示界面；</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支持不少于160小时趋势数据、200 次参数报警事件、2000组NIBP测量数据、48 小时波形全息回顾；</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支持不少于2000组窒息唤醒数据回顾； </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具有夜间避免打扰患者休息的夜间模式；</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支持按键背光灯，方便夜间操作；</w:t>
      </w:r>
    </w:p>
    <w:p>
      <w:pPr>
        <w:pStyle w:val="79"/>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内置通讯接口，支持连接中央监护系统；</w:t>
      </w:r>
    </w:p>
    <w:p>
      <w:pPr>
        <w:pStyle w:val="7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售后：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要求厂家在本省具有分公司，提供十名以上工程师社保证明和联系方式，质保两年。</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2、便携式彩色多普勒超声系统参数</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货物名称：</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lang w:val="zh-TW" w:eastAsia="zh-TW"/>
        </w:rPr>
      </w:pPr>
      <w:r>
        <w:rPr>
          <w:rFonts w:hint="eastAsia" w:asciiTheme="minorEastAsia" w:hAnsiTheme="minorEastAsia" w:eastAsiaTheme="minorEastAsia" w:cstheme="minorEastAsia"/>
          <w:color w:val="auto"/>
          <w:sz w:val="24"/>
          <w:szCs w:val="24"/>
          <w:u w:val="none" w:color="1D1B11"/>
          <w:lang w:val="zh-TW" w:eastAsia="zh-TW"/>
        </w:rPr>
        <w:t>全数字化平板</w:t>
      </w:r>
      <w:r>
        <w:rPr>
          <w:rFonts w:hint="eastAsia" w:asciiTheme="minorEastAsia" w:hAnsiTheme="minorEastAsia" w:eastAsiaTheme="minorEastAsia" w:cstheme="minorEastAsia"/>
          <w:color w:val="auto"/>
          <w:sz w:val="24"/>
          <w:szCs w:val="24"/>
          <w:u w:val="none" w:color="1D1B11"/>
          <w:lang w:val="zh-TW"/>
        </w:rPr>
        <w:t>式</w:t>
      </w:r>
      <w:r>
        <w:rPr>
          <w:rFonts w:hint="eastAsia" w:asciiTheme="minorEastAsia" w:hAnsiTheme="minorEastAsia" w:eastAsiaTheme="minorEastAsia" w:cstheme="minorEastAsia"/>
          <w:color w:val="auto"/>
          <w:sz w:val="24"/>
          <w:szCs w:val="24"/>
          <w:u w:val="none" w:color="1D1B11"/>
          <w:lang w:val="zh-TW" w:eastAsia="zh-TW"/>
        </w:rPr>
        <w:t>彩色多谱勒超声诊断系统</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用途说明：</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lang w:val="zh-TW" w:eastAsia="zh-TW"/>
        </w:rPr>
      </w:pPr>
      <w:r>
        <w:rPr>
          <w:rFonts w:hint="eastAsia" w:asciiTheme="minorEastAsia" w:hAnsiTheme="minorEastAsia" w:eastAsiaTheme="minorEastAsia" w:cstheme="minorEastAsia"/>
          <w:color w:val="auto"/>
          <w:sz w:val="24"/>
          <w:szCs w:val="24"/>
          <w:u w:val="none" w:color="1D1B11"/>
          <w:lang w:val="zh-TW" w:eastAsia="zh-TW"/>
        </w:rPr>
        <w:t>腹</w:t>
      </w:r>
      <w:r>
        <w:rPr>
          <w:rFonts w:hint="eastAsia" w:asciiTheme="minorEastAsia" w:hAnsiTheme="minorEastAsia" w:eastAsiaTheme="minorEastAsia" w:cstheme="minorEastAsia"/>
          <w:color w:val="auto"/>
          <w:sz w:val="24"/>
          <w:szCs w:val="24"/>
          <w:lang w:val="zh-TW" w:eastAsia="zh-TW"/>
        </w:rPr>
        <w:t>部、小器官、浅表、妇科、产科、心脏、血管、泌尿、急诊、介入其他等全身应用</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系统技术规格及概述：</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FF0000"/>
        </w:rPr>
      </w:pP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≥15</w:t>
      </w:r>
      <w:r>
        <w:rPr>
          <w:rFonts w:hint="eastAsia" w:asciiTheme="minorEastAsia" w:hAnsiTheme="minorEastAsia" w:eastAsiaTheme="minorEastAsia" w:cstheme="minorEastAsia"/>
          <w:b w:val="0"/>
          <w:color w:val="auto"/>
          <w:sz w:val="24"/>
          <w:szCs w:val="24"/>
          <w:lang w:val="zh-TW" w:eastAsia="zh-TW"/>
        </w:rPr>
        <w:t>寸</w:t>
      </w:r>
      <w:r>
        <w:rPr>
          <w:rFonts w:hint="eastAsia" w:asciiTheme="minorEastAsia" w:hAnsiTheme="minorEastAsia" w:eastAsiaTheme="minorEastAsia" w:cstheme="minorEastAsia"/>
          <w:b w:val="0"/>
          <w:color w:val="auto"/>
          <w:sz w:val="24"/>
          <w:szCs w:val="24"/>
          <w:lang w:val="en-US" w:eastAsia="zh-CN"/>
        </w:rPr>
        <w:t>彩色显示屏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机器内置</w:t>
      </w:r>
      <w:r>
        <w:rPr>
          <w:rFonts w:hint="eastAsia" w:asciiTheme="minorEastAsia" w:hAnsiTheme="minorEastAsia" w:eastAsiaTheme="minorEastAsia" w:cstheme="minorEastAsia"/>
          <w:b w:val="0"/>
          <w:color w:val="auto"/>
          <w:sz w:val="24"/>
          <w:szCs w:val="24"/>
          <w:lang w:val="en-US" w:eastAsia="zh-CN"/>
        </w:rPr>
        <w:t>≥</w:t>
      </w:r>
      <w:r>
        <w:rPr>
          <w:rFonts w:hint="eastAsia" w:asciiTheme="minorEastAsia" w:hAnsiTheme="minorEastAsia" w:eastAsiaTheme="minorEastAsia" w:cstheme="minorEastAsia"/>
          <w:b w:val="0"/>
          <w:color w:val="auto"/>
          <w:sz w:val="24"/>
          <w:szCs w:val="24"/>
        </w:rPr>
        <w:t>3</w:t>
      </w:r>
      <w:r>
        <w:rPr>
          <w:rFonts w:hint="eastAsia" w:asciiTheme="minorEastAsia" w:hAnsiTheme="minorEastAsia" w:eastAsiaTheme="minorEastAsia" w:cstheme="minorEastAsia"/>
          <w:b w:val="0"/>
          <w:color w:val="auto"/>
          <w:sz w:val="24"/>
          <w:szCs w:val="24"/>
          <w:lang w:val="zh-TW" w:eastAsia="zh-TW"/>
        </w:rPr>
        <w:t>个探头接口，</w:t>
      </w:r>
      <w:r>
        <w:rPr>
          <w:rFonts w:hint="eastAsia" w:asciiTheme="minorEastAsia" w:hAnsiTheme="minorEastAsia" w:eastAsiaTheme="minorEastAsia" w:cstheme="minorEastAsia"/>
          <w:b w:val="0"/>
          <w:color w:val="auto"/>
          <w:sz w:val="24"/>
          <w:szCs w:val="24"/>
          <w:lang w:val="zh-TW"/>
        </w:rPr>
        <w:t>全部</w:t>
      </w:r>
      <w:r>
        <w:rPr>
          <w:rFonts w:hint="eastAsia" w:asciiTheme="minorEastAsia" w:hAnsiTheme="minorEastAsia" w:eastAsiaTheme="minorEastAsia" w:cstheme="minorEastAsia"/>
          <w:b w:val="0"/>
          <w:color w:val="auto"/>
          <w:sz w:val="24"/>
          <w:szCs w:val="24"/>
          <w:lang w:val="zh-TW" w:eastAsia="zh-TW"/>
        </w:rPr>
        <w:t>激活</w:t>
      </w:r>
      <w:r>
        <w:rPr>
          <w:rFonts w:hint="eastAsia" w:asciiTheme="minorEastAsia" w:hAnsiTheme="minorEastAsia" w:eastAsiaTheme="minorEastAsia" w:cstheme="minorEastAsia"/>
          <w:b w:val="0"/>
          <w:color w:val="auto"/>
          <w:sz w:val="24"/>
          <w:szCs w:val="24"/>
          <w:lang w:val="zh-TW"/>
        </w:rPr>
        <w:t>可用</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rPr>
        <w:t>≥4</w:t>
      </w:r>
      <w:r>
        <w:rPr>
          <w:rFonts w:hint="eastAsia" w:asciiTheme="minorEastAsia" w:hAnsiTheme="minorEastAsia" w:eastAsiaTheme="minorEastAsia" w:cstheme="minorEastAsia"/>
          <w:b w:val="0"/>
          <w:color w:val="auto"/>
          <w:sz w:val="24"/>
          <w:szCs w:val="24"/>
          <w:u w:val="none" w:color="1D1B11"/>
          <w:lang w:val="zh-TW" w:eastAsia="zh-TW"/>
        </w:rPr>
        <w:t>个</w:t>
      </w:r>
      <w:r>
        <w:rPr>
          <w:rFonts w:hint="eastAsia" w:asciiTheme="minorEastAsia" w:hAnsiTheme="minorEastAsia" w:eastAsiaTheme="minorEastAsia" w:cstheme="minorEastAsia"/>
          <w:b w:val="0"/>
          <w:color w:val="auto"/>
          <w:sz w:val="24"/>
          <w:szCs w:val="24"/>
          <w:u w:val="none" w:color="1D1B11"/>
        </w:rPr>
        <w:t>USB 3.0</w:t>
      </w:r>
      <w:r>
        <w:rPr>
          <w:rFonts w:hint="eastAsia" w:asciiTheme="minorEastAsia" w:hAnsiTheme="minorEastAsia" w:eastAsiaTheme="minorEastAsia" w:cstheme="minorEastAsia"/>
          <w:b w:val="0"/>
          <w:color w:val="auto"/>
          <w:sz w:val="24"/>
          <w:szCs w:val="24"/>
          <w:u w:val="none" w:color="1D1B11"/>
          <w:lang w:val="zh-TW" w:eastAsia="zh-TW"/>
        </w:rPr>
        <w:t>接口</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数字波束增强器</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多倍波束合成</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二维灰阶模式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组织谐波成像模式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宽带频移谐波</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组织特异性成像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频率复合成像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空间复合成像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斑点抑制成像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彩色多普勒成像（包括彩色、能量、方向能量多普勒模式）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频谱多普勒成像：脉冲多普勒</w:t>
      </w:r>
      <w:r>
        <w:rPr>
          <w:rFonts w:hint="eastAsia" w:asciiTheme="minorEastAsia" w:hAnsiTheme="minorEastAsia" w:eastAsiaTheme="minorEastAsia" w:cstheme="minorEastAsia"/>
          <w:b w:val="0"/>
          <w:color w:val="auto"/>
          <w:sz w:val="24"/>
          <w:szCs w:val="24"/>
          <w:u w:val="none" w:color="1D1B11"/>
          <w:lang w:val="zh-TW" w:eastAsia="zh-CN"/>
        </w:rPr>
        <w:t>、</w:t>
      </w:r>
      <w:r>
        <w:rPr>
          <w:rFonts w:hint="eastAsia" w:asciiTheme="minorEastAsia" w:hAnsiTheme="minorEastAsia" w:eastAsiaTheme="minorEastAsia" w:cstheme="minorEastAsia"/>
          <w:b w:val="0"/>
          <w:color w:val="auto"/>
          <w:sz w:val="24"/>
          <w:szCs w:val="24"/>
          <w:u w:val="none" w:color="1D1B11"/>
          <w:lang w:val="zh-TW" w:eastAsia="zh-TW"/>
        </w:rPr>
        <w:t>连续波多普勒</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rPr>
        <w:t>M</w:t>
      </w:r>
      <w:r>
        <w:rPr>
          <w:rFonts w:hint="eastAsia" w:asciiTheme="minorEastAsia" w:hAnsiTheme="minorEastAsia" w:eastAsiaTheme="minorEastAsia" w:cstheme="minorEastAsia"/>
          <w:b w:val="0"/>
          <w:color w:val="auto"/>
          <w:sz w:val="24"/>
          <w:szCs w:val="24"/>
          <w:u w:val="none" w:color="1D1B11"/>
          <w:lang w:val="zh-TW" w:eastAsia="zh-TW"/>
        </w:rPr>
        <w:t>型模式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独立角度偏转</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扩展成像</w:t>
      </w:r>
    </w:p>
    <w:p>
      <w:pPr>
        <w:pStyle w:val="79"/>
        <w:keepNext w:val="0"/>
        <w:keepLines w:val="0"/>
        <w:pageBreakBefore w:val="0"/>
        <w:numPr>
          <w:ilvl w:val="1"/>
          <w:numId w:val="4"/>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color w:val="auto"/>
          <w:sz w:val="24"/>
          <w:szCs w:val="24"/>
          <w:lang w:val="zh-TW" w:eastAsia="zh-TW"/>
        </w:rPr>
      </w:pPr>
      <w:r>
        <w:rPr>
          <w:rFonts w:hint="eastAsia" w:asciiTheme="minorEastAsia" w:hAnsiTheme="minorEastAsia" w:eastAsiaTheme="minorEastAsia" w:cstheme="minorEastAsia"/>
          <w:color w:val="auto"/>
          <w:sz w:val="24"/>
          <w:szCs w:val="24"/>
          <w:u w:val="none" w:color="1D1B11"/>
          <w:lang w:val="zh-TW" w:eastAsia="zh-TW"/>
        </w:rPr>
        <w:t>实时双幅对比成像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TW" w:eastAsia="zh-TW"/>
        </w:rPr>
        <w:t>一键自动优化（包括应用于二维、彩色及频谱模式，彩色多普勒自动识别，包括</w:t>
      </w:r>
      <w:r>
        <w:rPr>
          <w:rFonts w:hint="eastAsia" w:asciiTheme="minorEastAsia" w:hAnsiTheme="minorEastAsia" w:eastAsiaTheme="minorEastAsia" w:cstheme="minorEastAsia"/>
          <w:color w:val="auto"/>
          <w:sz w:val="24"/>
          <w:szCs w:val="24"/>
        </w:rPr>
        <w:t>ROI</w:t>
      </w:r>
      <w:r>
        <w:rPr>
          <w:rFonts w:hint="eastAsia" w:asciiTheme="minorEastAsia" w:hAnsiTheme="minorEastAsia" w:eastAsiaTheme="minorEastAsia" w:cstheme="minorEastAsia"/>
          <w:color w:val="auto"/>
          <w:sz w:val="24"/>
          <w:szCs w:val="24"/>
          <w:lang w:val="zh-TW" w:eastAsia="zh-TW"/>
        </w:rPr>
        <w:t>框位置、角度自动改变）</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TW" w:eastAsia="zh-TW"/>
        </w:rPr>
        <w:t>全屏放大</w:t>
      </w:r>
    </w:p>
    <w:p>
      <w:pPr>
        <w:pStyle w:val="79"/>
        <w:keepNext w:val="0"/>
        <w:keepLines w:val="0"/>
        <w:pageBreakBefore w:val="0"/>
        <w:numPr>
          <w:ilvl w:val="1"/>
          <w:numId w:val="4"/>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color w:val="auto"/>
          <w:sz w:val="24"/>
          <w:szCs w:val="24"/>
          <w:lang w:val="zh-TW" w:eastAsia="zh-TW"/>
        </w:rPr>
      </w:pPr>
      <w:r>
        <w:rPr>
          <w:rFonts w:hint="eastAsia" w:asciiTheme="minorEastAsia" w:hAnsiTheme="minorEastAsia" w:eastAsiaTheme="minorEastAsia" w:cstheme="minorEastAsia"/>
          <w:color w:val="auto"/>
          <w:sz w:val="24"/>
          <w:szCs w:val="24"/>
          <w:u w:val="none" w:color="1D1B11"/>
          <w:lang w:val="zh-TW" w:eastAsia="zh-TW"/>
        </w:rPr>
        <w:t>局部放大（支持前端、后端放大）</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回波增强技术</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智能血流跟踪（自动随探头移动，取样框自动角度偏转、自动跟踪血流显示情况，无需手动调节）</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支持锁屏功能</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自动唤醒功能</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rPr>
        <w:t>全科测量软件包</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图像后处理，可处理参数</w:t>
      </w:r>
      <w:r>
        <w:rPr>
          <w:rFonts w:hint="eastAsia" w:asciiTheme="minorEastAsia" w:hAnsiTheme="minorEastAsia" w:eastAsiaTheme="minorEastAsia" w:cstheme="minorEastAsia"/>
          <w:b w:val="0"/>
          <w:color w:val="auto"/>
          <w:sz w:val="24"/>
          <w:szCs w:val="24"/>
          <w:u w:val="none" w:color="1D1B11"/>
        </w:rPr>
        <w:t>≥26</w:t>
      </w:r>
      <w:r>
        <w:rPr>
          <w:rFonts w:hint="eastAsia" w:asciiTheme="minorEastAsia" w:hAnsiTheme="minorEastAsia" w:eastAsiaTheme="minorEastAsia" w:cstheme="minorEastAsia"/>
          <w:b w:val="0"/>
          <w:color w:val="auto"/>
          <w:sz w:val="24"/>
          <w:szCs w:val="24"/>
          <w:u w:val="none" w:color="1D1B11"/>
          <w:lang w:val="zh-TW" w:eastAsia="zh-TW"/>
        </w:rPr>
        <w:t>种</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支持手动触摸屏上注释，支持手动触摸屏上包络测量 </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zh-TW" w:eastAsia="zh-TW"/>
        </w:rPr>
        <w:t>支持手势操作（图像调整、测量和注释、图像浏览）</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lang w:val="zh-TW" w:eastAsia="zh-TW"/>
        </w:rPr>
        <w:t>穿刺针增强技术，要求具有双屏实时对比显示，增强前后效果，并同时支持增强平面多角度可调</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rPr>
        <w:t>中文</w:t>
      </w:r>
      <w:r>
        <w:rPr>
          <w:rFonts w:hint="eastAsia" w:asciiTheme="minorEastAsia" w:hAnsiTheme="minorEastAsia" w:eastAsiaTheme="minorEastAsia" w:cstheme="minorEastAsia"/>
          <w:b w:val="0"/>
          <w:color w:val="auto"/>
          <w:sz w:val="24"/>
          <w:szCs w:val="24"/>
          <w:u w:val="none" w:color="1D1B11"/>
          <w:lang w:val="zh-TW" w:eastAsia="zh-TW"/>
        </w:rPr>
        <w:t>语言</w:t>
      </w:r>
      <w:r>
        <w:rPr>
          <w:rFonts w:hint="eastAsia" w:asciiTheme="minorEastAsia" w:hAnsiTheme="minorEastAsia" w:eastAsiaTheme="minorEastAsia" w:cstheme="minorEastAsia"/>
          <w:b w:val="0"/>
          <w:color w:val="auto"/>
          <w:sz w:val="24"/>
          <w:szCs w:val="24"/>
          <w:u w:val="none" w:color="1D1B11"/>
          <w:lang w:val="zh-TW"/>
        </w:rPr>
        <w:t>系统</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rPr>
        <w:t>可</w:t>
      </w:r>
      <w:r>
        <w:rPr>
          <w:rFonts w:hint="eastAsia" w:asciiTheme="minorEastAsia" w:hAnsiTheme="minorEastAsia" w:eastAsiaTheme="minorEastAsia" w:cstheme="minorEastAsia"/>
          <w:b w:val="0"/>
          <w:color w:val="auto"/>
          <w:sz w:val="24"/>
          <w:szCs w:val="24"/>
          <w:u w:val="none" w:color="1D1B11"/>
          <w:lang w:val="en-US" w:eastAsia="zh-CN"/>
        </w:rPr>
        <w:t>升级</w:t>
      </w:r>
      <w:r>
        <w:rPr>
          <w:rFonts w:hint="eastAsia" w:asciiTheme="minorEastAsia" w:hAnsiTheme="minorEastAsia" w:eastAsiaTheme="minorEastAsia" w:cstheme="minorEastAsia"/>
          <w:b w:val="0"/>
          <w:color w:val="auto"/>
          <w:sz w:val="24"/>
          <w:szCs w:val="24"/>
          <w:u w:val="none" w:color="1D1B11"/>
          <w:lang w:val="zh-TW"/>
        </w:rPr>
        <w:t>磁导航功能</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测量</w:t>
      </w:r>
      <w:r>
        <w:rPr>
          <w:rFonts w:hint="eastAsia" w:asciiTheme="minorEastAsia" w:hAnsiTheme="minorEastAsia" w:eastAsiaTheme="minorEastAsia" w:cstheme="minorEastAsia"/>
          <w:b w:val="0"/>
          <w:color w:val="auto"/>
          <w:sz w:val="24"/>
          <w:szCs w:val="24"/>
          <w:u w:val="none" w:color="1D1B11"/>
        </w:rPr>
        <w:t>/</w:t>
      </w:r>
      <w:r>
        <w:rPr>
          <w:rFonts w:hint="eastAsia" w:asciiTheme="minorEastAsia" w:hAnsiTheme="minorEastAsia" w:eastAsiaTheme="minorEastAsia" w:cstheme="minorEastAsia"/>
          <w:b w:val="0"/>
          <w:color w:val="auto"/>
          <w:sz w:val="24"/>
          <w:szCs w:val="24"/>
          <w:u w:val="none" w:color="1D1B11"/>
          <w:lang w:val="zh-TW" w:eastAsia="zh-TW"/>
        </w:rPr>
        <w:t>分析和报告</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1D1B11"/>
        </w:rPr>
      </w:pP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常规测量</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lang w:val="zh-TW"/>
        </w:rPr>
      </w:pPr>
      <w:r>
        <w:rPr>
          <w:rFonts w:hint="eastAsia" w:asciiTheme="minorEastAsia" w:hAnsiTheme="minorEastAsia" w:eastAsiaTheme="minorEastAsia" w:cstheme="minorEastAsia"/>
          <w:color w:val="auto"/>
          <w:sz w:val="24"/>
          <w:szCs w:val="24"/>
          <w:u w:val="none" w:color="1D1B11"/>
          <w:lang w:val="zh-TW" w:eastAsia="zh-TW"/>
        </w:rPr>
        <w:t>距离测量、椭圆及描迹测量面积周长、体积测量</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多普勒测量（自动或手动包络测量，自动计算测量参数）</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lang w:val="zh-TW"/>
        </w:rPr>
      </w:pPr>
      <w:r>
        <w:rPr>
          <w:rFonts w:hint="eastAsia" w:asciiTheme="minorEastAsia" w:hAnsiTheme="minorEastAsia" w:eastAsiaTheme="minorEastAsia" w:cstheme="minorEastAsia"/>
          <w:color w:val="auto"/>
          <w:sz w:val="24"/>
          <w:szCs w:val="24"/>
          <w:u w:val="none" w:color="1D1B11"/>
          <w:lang w:val="zh-TW" w:eastAsia="zh-TW"/>
        </w:rPr>
        <w:t>全科测量包</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急诊、神经、肌骨、腹部、产科、妇科、小器官、泌尿、血管</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心脏功能专用测量及分析（左室心功能2D/M: Teichholz）</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电影回放和原始数据处理</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1D1B11"/>
        </w:rPr>
      </w:pP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所有模式下可用</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支持手动、自动回放</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支持向后存储和向前存储，时间长度可预置(向后：最大时间480s；向前：120s)</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检查存储和管理（内置超声工作站）</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0"/>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检查存储</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rPr>
        <w:t>≥120GB SSD硬盘、内置超声工作站</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rPr>
        <w:t>多种导出图像格式：动态图像、静态图像以PC格式直接导出，无需特殊软件即能在普通PC 机上直接观看图像。导出、备份图像数据资料同时，可进行实时检查，不影响检查操作</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rPr>
      </w:pPr>
      <w:r>
        <w:rPr>
          <w:rFonts w:hint="eastAsia" w:asciiTheme="minorEastAsia" w:hAnsiTheme="minorEastAsia" w:eastAsiaTheme="minorEastAsia" w:cstheme="minorEastAsia"/>
          <w:b w:val="0"/>
          <w:color w:val="auto"/>
          <w:sz w:val="24"/>
          <w:szCs w:val="24"/>
          <w:u w:val="none" w:color="1D1B11"/>
        </w:rPr>
        <w:t>检查管理：</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en-US" w:eastAsia="zh-CN"/>
        </w:rPr>
      </w:pPr>
      <w:r>
        <w:rPr>
          <w:rFonts w:hint="eastAsia" w:asciiTheme="minorEastAsia" w:hAnsiTheme="minorEastAsia" w:eastAsiaTheme="minorEastAsia" w:cstheme="minorEastAsia"/>
          <w:color w:val="auto"/>
          <w:sz w:val="24"/>
          <w:szCs w:val="24"/>
          <w:u w:val="none" w:color="1D1B11"/>
          <w:lang w:val="en-US" w:eastAsia="zh-CN"/>
        </w:rPr>
        <w:t>具备</w:t>
      </w:r>
      <w:r>
        <w:rPr>
          <w:rFonts w:hint="eastAsia" w:asciiTheme="minorEastAsia" w:hAnsiTheme="minorEastAsia" w:eastAsiaTheme="minorEastAsia" w:cstheme="minorEastAsia"/>
          <w:color w:val="auto"/>
          <w:sz w:val="24"/>
          <w:szCs w:val="24"/>
          <w:u w:val="none" w:color="1D1B11"/>
        </w:rPr>
        <w:t>病人信息管理</w:t>
      </w:r>
      <w:r>
        <w:rPr>
          <w:rFonts w:hint="eastAsia" w:asciiTheme="minorEastAsia" w:hAnsiTheme="minorEastAsia" w:eastAsiaTheme="minorEastAsia" w:cstheme="minorEastAsia"/>
          <w:color w:val="auto"/>
          <w:sz w:val="24"/>
          <w:szCs w:val="24"/>
          <w:u w:val="none" w:color="1D1B11"/>
          <w:lang w:val="en-US" w:eastAsia="zh-CN"/>
        </w:rPr>
        <w:t>系统</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连通性要求</w:t>
      </w:r>
      <w:r>
        <w:rPr>
          <w:rFonts w:hint="eastAsia" w:asciiTheme="minorEastAsia" w:hAnsiTheme="minorEastAsia" w:eastAsiaTheme="minorEastAsia" w:cstheme="minorEastAsia"/>
          <w:b w:val="0"/>
          <w:color w:val="auto"/>
          <w:sz w:val="24"/>
          <w:szCs w:val="24"/>
          <w:u w:val="none" w:color="1D1B11"/>
          <w:lang w:val="zh-TW"/>
        </w:rPr>
        <w:t>：</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FF0000"/>
        </w:rPr>
      </w:pP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支持网络连接：</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FF0000"/>
        </w:rPr>
      </w:pPr>
      <w:r>
        <w:rPr>
          <w:rFonts w:hint="eastAsia" w:asciiTheme="minorEastAsia" w:hAnsiTheme="minorEastAsia" w:eastAsiaTheme="minorEastAsia" w:cstheme="minorEastAsia"/>
          <w:color w:val="auto"/>
          <w:sz w:val="24"/>
          <w:szCs w:val="24"/>
          <w:u w:val="none" w:color="FF0000"/>
        </w:rPr>
        <w:t>有线网络</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FF0000"/>
        </w:rPr>
      </w:pPr>
      <w:r>
        <w:rPr>
          <w:rFonts w:hint="eastAsia" w:asciiTheme="minorEastAsia" w:hAnsiTheme="minorEastAsia" w:eastAsiaTheme="minorEastAsia" w:cstheme="minorEastAsia"/>
          <w:color w:val="auto"/>
          <w:sz w:val="24"/>
          <w:szCs w:val="24"/>
          <w:u w:val="none" w:color="FF0000"/>
        </w:rPr>
        <w:t>无线网络</w:t>
      </w:r>
    </w:p>
    <w:p>
      <w:pPr>
        <w:pStyle w:val="79"/>
        <w:keepNext w:val="0"/>
        <w:keepLines w:val="0"/>
        <w:pageBreakBefore w:val="0"/>
        <w:numPr>
          <w:ilvl w:val="1"/>
          <w:numId w:val="5"/>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 xml:space="preserve">DICOM 3.0 </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系统技术参数及要求</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FF0000"/>
        </w:rPr>
      </w:pP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rPr>
        <w:t>≥15</w:t>
      </w:r>
      <w:r>
        <w:rPr>
          <w:rFonts w:hint="eastAsia" w:asciiTheme="minorEastAsia" w:hAnsiTheme="minorEastAsia" w:eastAsiaTheme="minorEastAsia" w:cstheme="minorEastAsia"/>
          <w:b w:val="0"/>
          <w:color w:val="auto"/>
          <w:sz w:val="24"/>
          <w:szCs w:val="24"/>
          <w:u w:val="none" w:color="1D1B11"/>
          <w:lang w:val="zh-TW" w:eastAsia="zh-TW"/>
        </w:rPr>
        <w:t>寸</w:t>
      </w:r>
      <w:r>
        <w:rPr>
          <w:rFonts w:hint="eastAsia" w:asciiTheme="minorEastAsia" w:hAnsiTheme="minorEastAsia" w:eastAsiaTheme="minorEastAsia" w:cstheme="minorEastAsia"/>
          <w:b w:val="0"/>
          <w:color w:val="auto"/>
          <w:sz w:val="24"/>
          <w:szCs w:val="24"/>
          <w:u w:val="none" w:color="1D1B11"/>
          <w:lang w:val="en-US" w:eastAsia="zh-CN"/>
        </w:rPr>
        <w:t>彩色显示屏</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机器内置探头接口</w:t>
      </w:r>
      <w:r>
        <w:rPr>
          <w:rFonts w:hint="eastAsia" w:asciiTheme="minorEastAsia" w:hAnsiTheme="minorEastAsia" w:eastAsiaTheme="minorEastAsia" w:cstheme="minorEastAsia"/>
          <w:b w:val="0"/>
          <w:color w:val="auto"/>
          <w:sz w:val="24"/>
          <w:szCs w:val="24"/>
          <w:u w:val="none" w:color="1D1B11"/>
        </w:rPr>
        <w:t>≥3</w:t>
      </w:r>
      <w:r>
        <w:rPr>
          <w:rFonts w:hint="eastAsia" w:asciiTheme="minorEastAsia" w:hAnsiTheme="minorEastAsia" w:eastAsiaTheme="minorEastAsia" w:cstheme="minorEastAsia"/>
          <w:b w:val="0"/>
          <w:color w:val="auto"/>
          <w:sz w:val="24"/>
          <w:szCs w:val="24"/>
          <w:u w:val="none" w:color="1D1B11"/>
          <w:lang w:val="zh-TW" w:eastAsia="zh-TW"/>
        </w:rPr>
        <w:t>个、</w:t>
      </w:r>
      <w:r>
        <w:rPr>
          <w:rFonts w:hint="eastAsia" w:asciiTheme="minorEastAsia" w:hAnsiTheme="minorEastAsia" w:eastAsiaTheme="minorEastAsia" w:cstheme="minorEastAsia"/>
          <w:b w:val="0"/>
          <w:color w:val="auto"/>
          <w:sz w:val="24"/>
          <w:szCs w:val="24"/>
          <w:u w:val="none" w:color="1D1B11"/>
          <w:lang w:val="zh-TW"/>
        </w:rPr>
        <w:t>全部</w:t>
      </w:r>
      <w:r>
        <w:rPr>
          <w:rFonts w:hint="eastAsia" w:asciiTheme="minorEastAsia" w:hAnsiTheme="minorEastAsia" w:eastAsiaTheme="minorEastAsia" w:cstheme="minorEastAsia"/>
          <w:b w:val="0"/>
          <w:color w:val="auto"/>
          <w:sz w:val="24"/>
          <w:szCs w:val="24"/>
          <w:u w:val="none" w:color="1D1B11"/>
          <w:lang w:val="zh-TW" w:eastAsia="zh-TW"/>
        </w:rPr>
        <w:t>激活</w:t>
      </w:r>
      <w:r>
        <w:rPr>
          <w:rFonts w:hint="eastAsia" w:asciiTheme="minorEastAsia" w:hAnsiTheme="minorEastAsia" w:eastAsiaTheme="minorEastAsia" w:cstheme="minorEastAsia"/>
          <w:b w:val="0"/>
          <w:color w:val="auto"/>
          <w:sz w:val="24"/>
          <w:szCs w:val="24"/>
          <w:u w:val="none" w:color="1D1B11"/>
        </w:rPr>
        <w:t>可用。</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rPr>
        <w:t>≥4</w:t>
      </w:r>
      <w:r>
        <w:rPr>
          <w:rFonts w:hint="eastAsia" w:asciiTheme="minorEastAsia" w:hAnsiTheme="minorEastAsia" w:eastAsiaTheme="minorEastAsia" w:cstheme="minorEastAsia"/>
          <w:b w:val="0"/>
          <w:color w:val="auto"/>
          <w:sz w:val="24"/>
          <w:szCs w:val="24"/>
          <w:u w:val="none" w:color="1D1B11"/>
          <w:lang w:val="zh-TW" w:eastAsia="zh-TW"/>
        </w:rPr>
        <w:t>个</w:t>
      </w:r>
      <w:r>
        <w:rPr>
          <w:rFonts w:hint="eastAsia" w:asciiTheme="minorEastAsia" w:hAnsiTheme="minorEastAsia" w:eastAsiaTheme="minorEastAsia" w:cstheme="minorEastAsia"/>
          <w:b w:val="0"/>
          <w:color w:val="auto"/>
          <w:sz w:val="24"/>
          <w:szCs w:val="24"/>
          <w:u w:val="none" w:color="1D1B11"/>
        </w:rPr>
        <w:t>USB 3.0</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u w:val="none" w:color="1D1B11"/>
          <w:lang w:val="zh-TW" w:eastAsia="zh-TW"/>
        </w:rPr>
        <w:t>二维灰阶模式</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eastAsia="zh-TW"/>
        </w:rPr>
      </w:pPr>
      <w:r>
        <w:rPr>
          <w:rFonts w:hint="eastAsia" w:asciiTheme="minorEastAsia" w:hAnsiTheme="minorEastAsia" w:eastAsiaTheme="minorEastAsia" w:cstheme="minorEastAsia"/>
          <w:color w:val="auto"/>
          <w:sz w:val="24"/>
          <w:szCs w:val="24"/>
          <w:u w:val="none" w:color="1D1B11"/>
          <w:lang w:val="zh-TW" w:eastAsia="zh-TW"/>
        </w:rPr>
        <w:t>数字化声束形成器</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数字化全程动态聚焦</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eastAsia="zh-TW"/>
        </w:rPr>
      </w:pPr>
      <w:r>
        <w:rPr>
          <w:rFonts w:hint="eastAsia" w:asciiTheme="minorEastAsia" w:hAnsiTheme="minorEastAsia" w:eastAsiaTheme="minorEastAsia" w:cstheme="minorEastAsia"/>
          <w:color w:val="auto"/>
          <w:sz w:val="24"/>
          <w:szCs w:val="24"/>
          <w:u w:val="none" w:color="1D1B11"/>
          <w:lang w:val="zh-TW" w:eastAsia="zh-TW"/>
        </w:rPr>
        <w:t>预设条件：针对不同的检查脏器，预置最佳图像检查条件</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最大显示深度</w:t>
      </w:r>
      <w:r>
        <w:rPr>
          <w:rFonts w:hint="eastAsia" w:asciiTheme="minorEastAsia" w:hAnsiTheme="minorEastAsia" w:eastAsiaTheme="minorEastAsia" w:cstheme="minorEastAsia"/>
          <w:color w:val="auto"/>
          <w:sz w:val="24"/>
          <w:szCs w:val="24"/>
          <w:u w:val="none" w:color="1D1B11"/>
        </w:rPr>
        <w:t>:≥3</w:t>
      </w:r>
      <w:r>
        <w:rPr>
          <w:rFonts w:hint="eastAsia" w:asciiTheme="minorEastAsia" w:hAnsiTheme="minorEastAsia" w:eastAsiaTheme="minorEastAsia" w:cstheme="minorEastAsia"/>
          <w:color w:val="auto"/>
          <w:sz w:val="24"/>
          <w:szCs w:val="24"/>
          <w:u w:val="none" w:color="1D1B11"/>
          <w:lang w:val="en-US" w:eastAsia="zh-CN"/>
        </w:rPr>
        <w:t>6</w:t>
      </w:r>
      <w:r>
        <w:rPr>
          <w:rFonts w:hint="eastAsia" w:asciiTheme="minorEastAsia" w:hAnsiTheme="minorEastAsia" w:eastAsiaTheme="minorEastAsia" w:cstheme="minorEastAsia"/>
          <w:color w:val="auto"/>
          <w:sz w:val="24"/>
          <w:szCs w:val="24"/>
          <w:u w:val="none" w:color="1D1B11"/>
        </w:rPr>
        <w:t>cm</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动态范围</w:t>
      </w:r>
      <w:r>
        <w:rPr>
          <w:rFonts w:hint="eastAsia" w:asciiTheme="minorEastAsia" w:hAnsiTheme="minorEastAsia" w:eastAsiaTheme="minorEastAsia" w:cstheme="minorEastAsia"/>
          <w:color w:val="auto"/>
          <w:sz w:val="24"/>
          <w:szCs w:val="24"/>
          <w:u w:val="none" w:color="1D1B11"/>
        </w:rPr>
        <w:t>: ≥230</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增益调节</w:t>
      </w:r>
      <w:r>
        <w:rPr>
          <w:rFonts w:hint="eastAsia" w:asciiTheme="minorEastAsia" w:hAnsiTheme="minorEastAsia" w:eastAsiaTheme="minorEastAsia" w:cstheme="minorEastAsia"/>
          <w:color w:val="auto"/>
          <w:sz w:val="24"/>
          <w:szCs w:val="24"/>
          <w:u w:val="none" w:color="1D1B11"/>
        </w:rPr>
        <w:t>: B/M/D</w:t>
      </w:r>
      <w:r>
        <w:rPr>
          <w:rFonts w:hint="eastAsia" w:asciiTheme="minorEastAsia" w:hAnsiTheme="minorEastAsia" w:eastAsiaTheme="minorEastAsia" w:cstheme="minorEastAsia"/>
          <w:color w:val="auto"/>
          <w:sz w:val="24"/>
          <w:szCs w:val="24"/>
          <w:u w:val="none" w:color="1D1B11"/>
          <w:lang w:val="zh-TW" w:eastAsia="zh-TW"/>
        </w:rPr>
        <w:t>分别独立可调，</w:t>
      </w:r>
      <w:r>
        <w:rPr>
          <w:rFonts w:hint="eastAsia" w:asciiTheme="minorEastAsia" w:hAnsiTheme="minorEastAsia" w:eastAsiaTheme="minorEastAsia" w:cstheme="minorEastAsia"/>
          <w:color w:val="auto"/>
          <w:sz w:val="24"/>
          <w:szCs w:val="24"/>
          <w:u w:val="none" w:color="1D1B11"/>
        </w:rPr>
        <w:t>≥100</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伪彩图谱</w:t>
      </w:r>
      <w:r>
        <w:rPr>
          <w:rFonts w:hint="eastAsia" w:asciiTheme="minorEastAsia" w:hAnsiTheme="minorEastAsia" w:eastAsiaTheme="minorEastAsia" w:cstheme="minorEastAsia"/>
          <w:color w:val="auto"/>
          <w:sz w:val="24"/>
          <w:szCs w:val="24"/>
          <w:u w:val="none" w:color="1D1B11"/>
        </w:rPr>
        <w:t>: ≥8</w:t>
      </w:r>
      <w:r>
        <w:rPr>
          <w:rFonts w:hint="eastAsia" w:asciiTheme="minorEastAsia" w:hAnsiTheme="minorEastAsia" w:eastAsiaTheme="minorEastAsia" w:cstheme="minorEastAsia"/>
          <w:color w:val="auto"/>
          <w:sz w:val="24"/>
          <w:szCs w:val="24"/>
          <w:u w:val="none" w:color="1D1B11"/>
          <w:lang w:val="zh-TW" w:eastAsia="zh-TW"/>
        </w:rPr>
        <w:t>种</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彩色多普勒成像</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eastAsia="zh-TW"/>
        </w:rPr>
      </w:pPr>
      <w:r>
        <w:rPr>
          <w:rFonts w:hint="eastAsia" w:asciiTheme="minorEastAsia" w:hAnsiTheme="minorEastAsia" w:eastAsiaTheme="minorEastAsia" w:cstheme="minorEastAsia"/>
          <w:color w:val="auto"/>
          <w:sz w:val="24"/>
          <w:szCs w:val="24"/>
          <w:u w:val="none" w:color="1D1B11"/>
          <w:lang w:val="zh-TW" w:eastAsia="zh-TW"/>
        </w:rPr>
        <w:t>包括速度、速度方差、能量、方向能量显示等</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eastAsia="zh-TW"/>
        </w:rPr>
      </w:pPr>
      <w:r>
        <w:rPr>
          <w:rFonts w:hint="eastAsia" w:asciiTheme="minorEastAsia" w:hAnsiTheme="minorEastAsia" w:eastAsiaTheme="minorEastAsia" w:cstheme="minorEastAsia"/>
          <w:color w:val="auto"/>
          <w:sz w:val="24"/>
          <w:szCs w:val="24"/>
          <w:u w:val="none" w:color="1D1B11"/>
          <w:lang w:val="zh-TW" w:eastAsia="zh-TW"/>
        </w:rPr>
        <w:t>显示方式：</w:t>
      </w:r>
      <w:r>
        <w:rPr>
          <w:rFonts w:hint="eastAsia" w:asciiTheme="minorEastAsia" w:hAnsiTheme="minorEastAsia" w:eastAsiaTheme="minorEastAsia" w:cstheme="minorEastAsia"/>
          <w:color w:val="auto"/>
          <w:sz w:val="24"/>
          <w:szCs w:val="24"/>
          <w:u w:val="none" w:color="1D1B11"/>
          <w:lang w:eastAsia="zh-TW"/>
        </w:rPr>
        <w:t>B/C</w:t>
      </w:r>
      <w:r>
        <w:rPr>
          <w:rFonts w:hint="eastAsia" w:asciiTheme="minorEastAsia" w:hAnsiTheme="minorEastAsia" w:eastAsiaTheme="minorEastAsia" w:cstheme="minorEastAsia"/>
          <w:color w:val="auto"/>
          <w:sz w:val="24"/>
          <w:szCs w:val="24"/>
          <w:u w:val="none" w:color="1D1B11"/>
          <w:lang w:val="zh-TW" w:eastAsia="zh-TW"/>
        </w:rPr>
        <w:t>、</w:t>
      </w:r>
      <w:r>
        <w:rPr>
          <w:rFonts w:hint="eastAsia" w:asciiTheme="minorEastAsia" w:hAnsiTheme="minorEastAsia" w:eastAsiaTheme="minorEastAsia" w:cstheme="minorEastAsia"/>
          <w:color w:val="auto"/>
          <w:sz w:val="24"/>
          <w:szCs w:val="24"/>
          <w:u w:val="none" w:color="1D1B11"/>
          <w:lang w:eastAsia="zh-TW"/>
        </w:rPr>
        <w:t>B/C/M</w:t>
      </w:r>
      <w:r>
        <w:rPr>
          <w:rFonts w:hint="eastAsia" w:asciiTheme="minorEastAsia" w:hAnsiTheme="minorEastAsia" w:eastAsiaTheme="minorEastAsia" w:cstheme="minorEastAsia"/>
          <w:color w:val="auto"/>
          <w:sz w:val="24"/>
          <w:szCs w:val="24"/>
          <w:u w:val="none" w:color="1D1B11"/>
          <w:lang w:val="zh-TW" w:eastAsia="zh-TW"/>
        </w:rPr>
        <w:t>、</w:t>
      </w:r>
      <w:r>
        <w:rPr>
          <w:rFonts w:hint="eastAsia" w:asciiTheme="minorEastAsia" w:hAnsiTheme="minorEastAsia" w:eastAsiaTheme="minorEastAsia" w:cstheme="minorEastAsia"/>
          <w:color w:val="auto"/>
          <w:sz w:val="24"/>
          <w:szCs w:val="24"/>
          <w:u w:val="none" w:color="1D1B11"/>
          <w:lang w:eastAsia="zh-TW"/>
        </w:rPr>
        <w:t>B/POWER</w:t>
      </w:r>
      <w:r>
        <w:rPr>
          <w:rFonts w:hint="eastAsia" w:asciiTheme="minorEastAsia" w:hAnsiTheme="minorEastAsia" w:eastAsiaTheme="minorEastAsia" w:cstheme="minorEastAsia"/>
          <w:color w:val="auto"/>
          <w:sz w:val="24"/>
          <w:szCs w:val="24"/>
          <w:u w:val="none" w:color="1D1B11"/>
          <w:lang w:val="zh-TW" w:eastAsia="zh-TW"/>
        </w:rPr>
        <w:t>、</w:t>
      </w:r>
      <w:r>
        <w:rPr>
          <w:rFonts w:hint="eastAsia" w:asciiTheme="minorEastAsia" w:hAnsiTheme="minorEastAsia" w:eastAsiaTheme="minorEastAsia" w:cstheme="minorEastAsia"/>
          <w:color w:val="auto"/>
          <w:sz w:val="24"/>
          <w:szCs w:val="24"/>
          <w:u w:val="none" w:color="1D1B11"/>
          <w:lang w:eastAsia="zh-TW"/>
        </w:rPr>
        <w:t>B/C/PW</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eastAsia="zh-TW"/>
        </w:rPr>
      </w:pPr>
      <w:r>
        <w:rPr>
          <w:rFonts w:hint="eastAsia" w:asciiTheme="minorEastAsia" w:hAnsiTheme="minorEastAsia" w:eastAsiaTheme="minorEastAsia" w:cstheme="minorEastAsia"/>
          <w:color w:val="auto"/>
          <w:sz w:val="24"/>
          <w:szCs w:val="24"/>
          <w:u w:val="none" w:color="1D1B11"/>
          <w:lang w:val="zh-TW" w:eastAsia="zh-TW"/>
        </w:rPr>
        <w:t>取样框偏转</w:t>
      </w:r>
      <w:r>
        <w:rPr>
          <w:rFonts w:hint="eastAsia" w:asciiTheme="minorEastAsia" w:hAnsiTheme="minorEastAsia" w:eastAsiaTheme="minorEastAsia" w:cstheme="minorEastAsia"/>
          <w:color w:val="auto"/>
          <w:sz w:val="24"/>
          <w:szCs w:val="24"/>
          <w:u w:val="none" w:color="1D1B11"/>
          <w:lang w:eastAsia="zh-TW"/>
        </w:rPr>
        <w:t>: ≥±30</w:t>
      </w:r>
      <w:r>
        <w:rPr>
          <w:rFonts w:hint="eastAsia" w:asciiTheme="minorEastAsia" w:hAnsiTheme="minorEastAsia" w:eastAsiaTheme="minorEastAsia" w:cstheme="minorEastAsia"/>
          <w:color w:val="auto"/>
          <w:sz w:val="24"/>
          <w:szCs w:val="24"/>
          <w:u w:val="none" w:color="1D1B11"/>
          <w:lang w:val="zh-TW" w:eastAsia="zh-TW"/>
        </w:rPr>
        <w:t xml:space="preserve">度 </w:t>
      </w:r>
      <w:r>
        <w:rPr>
          <w:rFonts w:hint="eastAsia" w:asciiTheme="minorEastAsia" w:hAnsiTheme="minorEastAsia" w:eastAsiaTheme="minorEastAsia" w:cstheme="minorEastAsia"/>
          <w:color w:val="auto"/>
          <w:sz w:val="24"/>
          <w:szCs w:val="24"/>
          <w:u w:val="none" w:color="1D1B11"/>
          <w:lang w:eastAsia="zh-TW"/>
        </w:rPr>
        <w:t>(</w:t>
      </w:r>
      <w:r>
        <w:rPr>
          <w:rFonts w:hint="eastAsia" w:asciiTheme="minorEastAsia" w:hAnsiTheme="minorEastAsia" w:eastAsiaTheme="minorEastAsia" w:cstheme="minorEastAsia"/>
          <w:color w:val="auto"/>
          <w:sz w:val="24"/>
          <w:szCs w:val="24"/>
          <w:u w:val="none" w:color="1D1B11"/>
          <w:lang w:val="zh-TW" w:eastAsia="zh-TW"/>
        </w:rPr>
        <w:t>线阵探头</w:t>
      </w:r>
      <w:r>
        <w:rPr>
          <w:rFonts w:hint="eastAsia" w:asciiTheme="minorEastAsia" w:hAnsiTheme="minorEastAsia" w:eastAsiaTheme="minorEastAsia" w:cstheme="minorEastAsia"/>
          <w:color w:val="auto"/>
          <w:sz w:val="24"/>
          <w:szCs w:val="24"/>
          <w:u w:val="none" w:color="1D1B11"/>
          <w:lang w:eastAsia="zh-TW"/>
        </w:rPr>
        <w:t>)</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最大帧率</w:t>
      </w:r>
      <w:r>
        <w:rPr>
          <w:rFonts w:hint="eastAsia" w:asciiTheme="minorEastAsia" w:hAnsiTheme="minorEastAsia" w:eastAsiaTheme="minorEastAsia" w:cstheme="minorEastAsia"/>
          <w:color w:val="auto"/>
          <w:sz w:val="24"/>
          <w:szCs w:val="24"/>
          <w:u w:val="none" w:color="1D1B11"/>
        </w:rPr>
        <w:t>: ≥364</w:t>
      </w:r>
      <w:r>
        <w:rPr>
          <w:rFonts w:hint="eastAsia" w:asciiTheme="minorEastAsia" w:hAnsiTheme="minorEastAsia" w:eastAsiaTheme="minorEastAsia" w:cstheme="minorEastAsia"/>
          <w:color w:val="auto"/>
          <w:sz w:val="24"/>
          <w:szCs w:val="24"/>
          <w:u w:val="none" w:color="1D1B11"/>
          <w:lang w:val="zh-TW" w:eastAsia="zh-TW"/>
        </w:rPr>
        <w:t>帧</w:t>
      </w:r>
      <w:r>
        <w:rPr>
          <w:rFonts w:hint="eastAsia" w:asciiTheme="minorEastAsia" w:hAnsiTheme="minorEastAsia" w:eastAsiaTheme="minorEastAsia" w:cstheme="minorEastAsia"/>
          <w:color w:val="auto"/>
          <w:sz w:val="24"/>
          <w:szCs w:val="24"/>
          <w:u w:val="none" w:color="1D1B11"/>
        </w:rPr>
        <w:t>/</w:t>
      </w:r>
      <w:r>
        <w:rPr>
          <w:rFonts w:hint="eastAsia" w:asciiTheme="minorEastAsia" w:hAnsiTheme="minorEastAsia" w:eastAsiaTheme="minorEastAsia" w:cstheme="minorEastAsia"/>
          <w:color w:val="auto"/>
          <w:sz w:val="24"/>
          <w:szCs w:val="24"/>
          <w:u w:val="none" w:color="1D1B11"/>
          <w:lang w:val="zh-TW" w:eastAsia="zh-TW"/>
        </w:rPr>
        <w:t>秒</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支持</w:t>
      </w:r>
      <w:r>
        <w:rPr>
          <w:rFonts w:hint="eastAsia" w:asciiTheme="minorEastAsia" w:hAnsiTheme="minorEastAsia" w:eastAsiaTheme="minorEastAsia" w:cstheme="minorEastAsia"/>
          <w:color w:val="auto"/>
          <w:sz w:val="24"/>
          <w:szCs w:val="24"/>
          <w:u w:val="none" w:color="1D1B11"/>
        </w:rPr>
        <w:t xml:space="preserve">B/C </w:t>
      </w:r>
      <w:r>
        <w:rPr>
          <w:rFonts w:hint="eastAsia" w:asciiTheme="minorEastAsia" w:hAnsiTheme="minorEastAsia" w:eastAsiaTheme="minorEastAsia" w:cstheme="minorEastAsia"/>
          <w:color w:val="auto"/>
          <w:sz w:val="24"/>
          <w:szCs w:val="24"/>
          <w:u w:val="none" w:color="1D1B11"/>
          <w:lang w:val="zh-TW" w:eastAsia="zh-TW"/>
        </w:rPr>
        <w:t>同宽</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频谱多普勒模式</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rPr>
      </w:pPr>
      <w:r>
        <w:rPr>
          <w:rFonts w:hint="eastAsia" w:asciiTheme="minorEastAsia" w:hAnsiTheme="minorEastAsia" w:eastAsiaTheme="minorEastAsia" w:cstheme="minorEastAsia"/>
          <w:color w:val="auto"/>
          <w:sz w:val="24"/>
          <w:szCs w:val="24"/>
          <w:u w:val="none" w:color="1D1B11"/>
          <w:lang w:val="zh-TW" w:eastAsia="zh-TW"/>
        </w:rPr>
        <w:t>包括脉冲多普勒、连续多普勒</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eastAsia="zh-TW"/>
        </w:rPr>
      </w:pPr>
      <w:r>
        <w:rPr>
          <w:rFonts w:hint="eastAsia" w:asciiTheme="minorEastAsia" w:hAnsiTheme="minorEastAsia" w:eastAsiaTheme="minorEastAsia" w:cstheme="minorEastAsia"/>
          <w:color w:val="auto"/>
          <w:sz w:val="24"/>
          <w:szCs w:val="24"/>
          <w:u w:val="none" w:color="1D1B11"/>
          <w:lang w:val="zh-TW" w:eastAsia="zh-TW"/>
        </w:rPr>
        <w:t>快速角度校正</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shd w:val="clear" w:color="auto" w:fill="FFFF00"/>
          <w:lang w:val="zh-TW" w:eastAsia="zh-TW"/>
        </w:rPr>
      </w:pPr>
      <w:r>
        <w:rPr>
          <w:rFonts w:hint="eastAsia" w:asciiTheme="minorEastAsia" w:hAnsiTheme="minorEastAsia" w:eastAsiaTheme="minorEastAsia" w:cstheme="minorEastAsia"/>
          <w:color w:val="auto"/>
          <w:sz w:val="24"/>
          <w:szCs w:val="24"/>
          <w:u w:val="none" w:color="1D1B11"/>
          <w:lang w:val="zh-TW" w:eastAsia="zh-TW"/>
        </w:rPr>
        <w:t>支持频谱自动测量</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具备穿刺针增强功能，</w:t>
      </w:r>
      <w:r>
        <w:rPr>
          <w:rFonts w:hint="eastAsia" w:asciiTheme="minorEastAsia" w:hAnsiTheme="minorEastAsia" w:eastAsiaTheme="minorEastAsia" w:cstheme="minorEastAsia"/>
          <w:b w:val="0"/>
          <w:color w:val="auto"/>
          <w:sz w:val="24"/>
          <w:szCs w:val="24"/>
          <w:u w:val="none" w:color="1D1B11"/>
          <w:lang w:val="zh-TW"/>
        </w:rPr>
        <w:t>波束偏转角度随进针角度自动调整</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探头规格</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rPr>
          <w:rFonts w:hint="eastAsia" w:asciiTheme="minorEastAsia" w:hAnsiTheme="minorEastAsia" w:eastAsiaTheme="minorEastAsia" w:cstheme="minorEastAsia"/>
          <w:vanish/>
          <w:color w:val="auto"/>
          <w:sz w:val="24"/>
          <w:szCs w:val="24"/>
          <w:u w:val="none" w:color="FF0000"/>
        </w:rPr>
      </w:pP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探头频率：</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频率带宽</w:t>
      </w:r>
      <w:r>
        <w:rPr>
          <w:rFonts w:hint="eastAsia" w:asciiTheme="minorEastAsia" w:hAnsiTheme="minorEastAsia" w:eastAsiaTheme="minorEastAsia" w:cstheme="minorEastAsia"/>
          <w:color w:val="auto"/>
          <w:sz w:val="24"/>
          <w:szCs w:val="24"/>
          <w:u w:val="none" w:color="1D1B11"/>
          <w:lang w:val="en-US" w:eastAsia="zh-CN"/>
        </w:rPr>
        <w:t>约</w:t>
      </w:r>
      <w:r>
        <w:rPr>
          <w:rFonts w:hint="eastAsia" w:asciiTheme="minorEastAsia" w:hAnsiTheme="minorEastAsia" w:eastAsiaTheme="minorEastAsia" w:cstheme="minorEastAsia"/>
          <w:color w:val="auto"/>
          <w:sz w:val="24"/>
          <w:szCs w:val="24"/>
          <w:u w:val="none" w:color="1D1B11"/>
        </w:rPr>
        <w:t>1.3-16.2MHz</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所有探头均为宽频变频探头</w:t>
      </w:r>
      <w:r>
        <w:rPr>
          <w:rFonts w:hint="eastAsia" w:asciiTheme="minorEastAsia" w:hAnsiTheme="minorEastAsia" w:eastAsiaTheme="minorEastAsia" w:cstheme="minorEastAsia"/>
          <w:color w:val="auto"/>
          <w:sz w:val="24"/>
          <w:szCs w:val="24"/>
          <w:u w:val="none" w:color="1D1B11"/>
        </w:rPr>
        <w:t>,</w:t>
      </w:r>
      <w:r>
        <w:rPr>
          <w:rFonts w:hint="eastAsia" w:asciiTheme="minorEastAsia" w:hAnsiTheme="minorEastAsia" w:eastAsiaTheme="minorEastAsia" w:cstheme="minorEastAsia"/>
          <w:color w:val="auto"/>
          <w:sz w:val="24"/>
          <w:szCs w:val="24"/>
          <w:u w:val="none" w:color="1D1B11"/>
          <w:lang w:val="zh-TW" w:eastAsia="zh-TW"/>
        </w:rPr>
        <w:t>二维、谐波、彩色及频谱多普勒模式分别独立变频，</w:t>
      </w:r>
      <w:r>
        <w:rPr>
          <w:rFonts w:hint="eastAsia" w:asciiTheme="minorEastAsia" w:hAnsiTheme="minorEastAsia" w:eastAsiaTheme="minorEastAsia" w:cstheme="minorEastAsia"/>
          <w:color w:val="auto"/>
          <w:sz w:val="24"/>
          <w:szCs w:val="24"/>
          <w:u w:val="none" w:color="1D1B11"/>
        </w:rPr>
        <w:t>≥3</w:t>
      </w:r>
      <w:r>
        <w:rPr>
          <w:rFonts w:hint="eastAsia" w:asciiTheme="minorEastAsia" w:hAnsiTheme="minorEastAsia" w:eastAsiaTheme="minorEastAsia" w:cstheme="minorEastAsia"/>
          <w:color w:val="auto"/>
          <w:sz w:val="24"/>
          <w:szCs w:val="24"/>
          <w:u w:val="none" w:color="1D1B11"/>
          <w:lang w:val="zh-TW" w:eastAsia="zh-TW"/>
        </w:rPr>
        <w:t>段</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r>
        <w:rPr>
          <w:rFonts w:hint="eastAsia" w:asciiTheme="minorEastAsia" w:hAnsiTheme="minorEastAsia" w:eastAsiaTheme="minorEastAsia" w:cstheme="minorEastAsia"/>
          <w:color w:val="auto"/>
          <w:sz w:val="24"/>
          <w:szCs w:val="24"/>
          <w:u w:val="none" w:color="1D1B11"/>
          <w:lang w:val="zh-TW" w:eastAsia="zh-TW"/>
        </w:rPr>
        <w:t>振元：最大有效振元数</w:t>
      </w:r>
      <w:r>
        <w:rPr>
          <w:rFonts w:hint="eastAsia" w:asciiTheme="minorEastAsia" w:hAnsiTheme="minorEastAsia" w:eastAsiaTheme="minorEastAsia" w:cstheme="minorEastAsia"/>
          <w:color w:val="auto"/>
          <w:sz w:val="24"/>
          <w:szCs w:val="24"/>
          <w:u w:val="none" w:color="1D1B11"/>
        </w:rPr>
        <w:t>≥192</w:t>
      </w:r>
      <w:r>
        <w:rPr>
          <w:rFonts w:hint="eastAsia" w:asciiTheme="minorEastAsia" w:hAnsiTheme="minorEastAsia" w:eastAsiaTheme="minorEastAsia" w:cstheme="minorEastAsia"/>
          <w:color w:val="auto"/>
          <w:sz w:val="24"/>
          <w:szCs w:val="24"/>
          <w:u w:val="none" w:color="1D1B11"/>
          <w:lang w:val="zh-TW" w:eastAsia="zh-TW"/>
        </w:rPr>
        <w:t>振元</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穿刺引导</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lang w:val="zh-TW" w:eastAsia="zh-TW"/>
        </w:rPr>
      </w:pPr>
      <w:r>
        <w:rPr>
          <w:rFonts w:hint="eastAsia" w:asciiTheme="minorEastAsia" w:hAnsiTheme="minorEastAsia" w:eastAsiaTheme="minorEastAsia" w:cstheme="minorEastAsia"/>
          <w:color w:val="auto"/>
          <w:sz w:val="24"/>
          <w:szCs w:val="24"/>
          <w:u w:val="none" w:color="1D1B11"/>
          <w:lang w:val="zh-TW" w:eastAsia="zh-TW"/>
        </w:rPr>
        <w:t>凸阵、线阵、具备多角度穿刺引导功能</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1D1B11"/>
          <w:lang w:val="zh-TW" w:eastAsia="zh-TW"/>
        </w:rPr>
      </w:pPr>
      <w:r>
        <w:rPr>
          <w:rFonts w:hint="eastAsia" w:asciiTheme="minorEastAsia" w:hAnsiTheme="minorEastAsia" w:eastAsiaTheme="minorEastAsia" w:cstheme="minorEastAsia"/>
          <w:b w:val="0"/>
          <w:color w:val="auto"/>
          <w:sz w:val="24"/>
          <w:szCs w:val="24"/>
          <w:u w:val="none" w:color="FF0000"/>
        </w:rPr>
        <w:t>探头</w:t>
      </w:r>
      <w:r>
        <w:rPr>
          <w:rFonts w:hint="eastAsia" w:asciiTheme="minorEastAsia" w:hAnsiTheme="minorEastAsia" w:eastAsiaTheme="minorEastAsia" w:cstheme="minorEastAsia"/>
          <w:b w:val="0"/>
          <w:color w:val="auto"/>
          <w:sz w:val="24"/>
          <w:szCs w:val="24"/>
          <w:u w:val="none" w:color="FF0000"/>
          <w:lang w:val="en-US" w:eastAsia="zh-CN"/>
        </w:rPr>
        <w:t>配置</w:t>
      </w:r>
      <w:r>
        <w:rPr>
          <w:rFonts w:hint="eastAsia" w:asciiTheme="minorEastAsia" w:hAnsiTheme="minorEastAsia" w:eastAsiaTheme="minorEastAsia" w:cstheme="minorEastAsia"/>
          <w:b w:val="0"/>
          <w:color w:val="auto"/>
          <w:sz w:val="24"/>
          <w:szCs w:val="24"/>
          <w:u w:val="none" w:color="FF0000"/>
        </w:rPr>
        <w:t>：</w:t>
      </w:r>
    </w:p>
    <w:p>
      <w:pPr>
        <w:pStyle w:val="79"/>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FF0000"/>
        </w:rPr>
      </w:pPr>
      <w:r>
        <w:rPr>
          <w:rFonts w:hint="eastAsia" w:asciiTheme="minorEastAsia" w:hAnsiTheme="minorEastAsia" w:eastAsiaTheme="minorEastAsia" w:cstheme="minorEastAsia"/>
          <w:color w:val="auto"/>
          <w:sz w:val="24"/>
          <w:szCs w:val="24"/>
          <w:u w:val="none" w:color="FF0000"/>
        </w:rPr>
        <w:t>凸阵探头频率范围: 1.3- 6.0 MHz，扩展后最大角度可达115°，</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FF0000"/>
        </w:rPr>
      </w:pPr>
      <w:r>
        <w:rPr>
          <w:rFonts w:hint="eastAsia" w:asciiTheme="minorEastAsia" w:hAnsiTheme="minorEastAsia" w:eastAsiaTheme="minorEastAsia" w:cstheme="minorEastAsia"/>
          <w:color w:val="auto"/>
          <w:sz w:val="24"/>
          <w:szCs w:val="24"/>
          <w:u w:val="none" w:color="FF0000"/>
        </w:rPr>
        <w:t xml:space="preserve">线阵探头频率范围: </w:t>
      </w:r>
      <w:r>
        <w:rPr>
          <w:rFonts w:hint="eastAsia" w:asciiTheme="minorEastAsia" w:hAnsiTheme="minorEastAsia" w:eastAsiaTheme="minorEastAsia" w:cstheme="minorEastAsia"/>
          <w:color w:val="auto"/>
          <w:sz w:val="24"/>
          <w:szCs w:val="24"/>
          <w:u w:val="none" w:color="FF0000"/>
          <w:lang w:val="en-US" w:eastAsia="zh-CN"/>
        </w:rPr>
        <w:t>3.5</w:t>
      </w:r>
      <w:r>
        <w:rPr>
          <w:rFonts w:hint="eastAsia" w:asciiTheme="minorEastAsia" w:hAnsiTheme="minorEastAsia" w:eastAsiaTheme="minorEastAsia" w:cstheme="minorEastAsia"/>
          <w:color w:val="auto"/>
          <w:sz w:val="24"/>
          <w:szCs w:val="24"/>
          <w:u w:val="none" w:color="FF0000"/>
        </w:rPr>
        <w:t>-1</w:t>
      </w:r>
      <w:r>
        <w:rPr>
          <w:rFonts w:hint="eastAsia" w:asciiTheme="minorEastAsia" w:hAnsiTheme="minorEastAsia" w:eastAsiaTheme="minorEastAsia" w:cstheme="minorEastAsia"/>
          <w:color w:val="auto"/>
          <w:sz w:val="24"/>
          <w:szCs w:val="24"/>
          <w:u w:val="none" w:color="FF0000"/>
          <w:lang w:val="en-US" w:eastAsia="zh-CN"/>
        </w:rPr>
        <w:t>2</w:t>
      </w:r>
      <w:r>
        <w:rPr>
          <w:rFonts w:hint="eastAsia" w:asciiTheme="minorEastAsia" w:hAnsiTheme="minorEastAsia" w:eastAsiaTheme="minorEastAsia" w:cstheme="minorEastAsia"/>
          <w:color w:val="auto"/>
          <w:sz w:val="24"/>
          <w:szCs w:val="24"/>
          <w:u w:val="none" w:color="FF0000"/>
        </w:rPr>
        <w:t xml:space="preserve">MHz，扩展后最大角度40° </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B/M、彩色、能量多普勒输出功率可选择分级调节</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系统输入和输出</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具备HDMI: 1</w:t>
      </w:r>
      <w:r>
        <w:rPr>
          <w:rFonts w:hint="eastAsia" w:asciiTheme="minorEastAsia" w:hAnsiTheme="minorEastAsia" w:eastAsiaTheme="minorEastAsia" w:cstheme="minorEastAsia"/>
          <w:color w:val="auto"/>
          <w:sz w:val="24"/>
          <w:szCs w:val="24"/>
          <w:lang w:val="zh-TW" w:eastAsia="zh-TW"/>
        </w:rPr>
        <w:t>个</w:t>
      </w:r>
      <w:r>
        <w:rPr>
          <w:rFonts w:hint="eastAsia" w:asciiTheme="minorEastAsia" w:hAnsiTheme="minorEastAsia" w:eastAsiaTheme="minorEastAsia" w:cstheme="minorEastAsia"/>
          <w:color w:val="auto"/>
          <w:sz w:val="24"/>
          <w:szCs w:val="24"/>
        </w:rPr>
        <w:t>，USB 3.0: 4</w:t>
      </w:r>
      <w:r>
        <w:rPr>
          <w:rFonts w:hint="eastAsia" w:asciiTheme="minorEastAsia" w:hAnsiTheme="minorEastAsia" w:eastAsiaTheme="minorEastAsia" w:cstheme="minorEastAsia"/>
          <w:color w:val="auto"/>
          <w:sz w:val="24"/>
          <w:szCs w:val="24"/>
          <w:lang w:val="zh-TW" w:eastAsia="zh-TW"/>
        </w:rPr>
        <w:t>个，网口</w:t>
      </w:r>
      <w:r>
        <w:rPr>
          <w:rFonts w:hint="eastAsia" w:asciiTheme="minorEastAsia" w:hAnsiTheme="minorEastAsia" w:eastAsiaTheme="minorEastAsia" w:cstheme="minorEastAsia"/>
          <w:color w:val="auto"/>
          <w:sz w:val="24"/>
          <w:szCs w:val="24"/>
        </w:rPr>
        <w:t>: 1</w:t>
      </w:r>
      <w:r>
        <w:rPr>
          <w:rFonts w:hint="eastAsia" w:asciiTheme="minorEastAsia" w:hAnsiTheme="minorEastAsia" w:eastAsiaTheme="minorEastAsia" w:cstheme="minorEastAsia"/>
          <w:color w:val="auto"/>
          <w:sz w:val="24"/>
          <w:szCs w:val="24"/>
          <w:lang w:val="zh-TW" w:eastAsia="zh-TW"/>
        </w:rPr>
        <w:t>个</w:t>
      </w:r>
      <w:r>
        <w:rPr>
          <w:rFonts w:hint="eastAsia" w:asciiTheme="minorEastAsia" w:hAnsiTheme="minorEastAsia" w:eastAsiaTheme="minorEastAsia" w:cstheme="minorEastAsia"/>
          <w:color w:val="auto"/>
          <w:sz w:val="24"/>
          <w:szCs w:val="24"/>
          <w:lang w:val="zh-TW"/>
        </w:rPr>
        <w:t>。</w:t>
      </w:r>
    </w:p>
    <w:p>
      <w:pPr>
        <w:pStyle w:val="79"/>
        <w:keepNext w:val="0"/>
        <w:keepLines w:val="0"/>
        <w:pageBreakBefore w:val="0"/>
        <w:numPr>
          <w:ilvl w:val="0"/>
          <w:numId w:val="4"/>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0"/>
        <w:rPr>
          <w:rFonts w:hint="eastAsia" w:asciiTheme="minorEastAsia" w:hAnsiTheme="minorEastAsia" w:eastAsiaTheme="minorEastAsia" w:cstheme="minorEastAsia"/>
          <w:b w:val="0"/>
          <w:color w:val="auto"/>
          <w:sz w:val="24"/>
          <w:szCs w:val="24"/>
          <w:lang w:val="zh-TW" w:eastAsia="zh-TW"/>
        </w:rPr>
      </w:pPr>
      <w:r>
        <w:rPr>
          <w:rFonts w:hint="eastAsia" w:asciiTheme="minorEastAsia" w:hAnsiTheme="minorEastAsia" w:eastAsiaTheme="minorEastAsia" w:cstheme="minorEastAsia"/>
          <w:b w:val="0"/>
          <w:color w:val="auto"/>
          <w:sz w:val="24"/>
          <w:szCs w:val="24"/>
          <w:u w:val="none" w:color="1D1B11"/>
          <w:lang w:val="zh-TW" w:eastAsia="zh-TW"/>
        </w:rPr>
        <w:t>外设和附件</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0"/>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台车（包括：耦合剂杯套组、储物篮、打印机架、AC电源及电源线、辅助输出电源线、纸巾架）</w:t>
      </w:r>
    </w:p>
    <w:p>
      <w:pPr>
        <w:pStyle w:val="79"/>
        <w:keepNext w:val="0"/>
        <w:keepLines w:val="0"/>
        <w:pageBreakBefore w:val="0"/>
        <w:numPr>
          <w:ilvl w:val="1"/>
          <w:numId w:val="6"/>
        </w:numPr>
        <w:kinsoku/>
        <w:wordWrap/>
        <w:overflowPunct/>
        <w:topLinePunct w:val="0"/>
        <w:autoSpaceDE/>
        <w:autoSpaceDN/>
        <w:bidi w:val="0"/>
        <w:adjustRightInd/>
        <w:snapToGrid/>
        <w:spacing w:beforeAutospacing="0" w:afterAutospacing="0" w:line="440" w:lineRule="exact"/>
        <w:ind w:left="150" w:leftChars="0" w:right="0" w:rightChars="0" w:firstLine="480" w:firstLineChars="0"/>
        <w:jc w:val="left"/>
        <w:textAlignment w:val="auto"/>
        <w:outlineLvl w:val="1"/>
        <w:rPr>
          <w:rFonts w:hint="eastAsia" w:asciiTheme="minorEastAsia" w:hAnsiTheme="minorEastAsia" w:eastAsiaTheme="minorEastAsia" w:cstheme="minorEastAsia"/>
          <w:b w:val="0"/>
          <w:color w:val="auto"/>
          <w:sz w:val="24"/>
          <w:szCs w:val="24"/>
          <w:u w:val="none" w:color="FF0000"/>
        </w:rPr>
      </w:pPr>
      <w:r>
        <w:rPr>
          <w:rFonts w:hint="eastAsia" w:asciiTheme="minorEastAsia" w:hAnsiTheme="minorEastAsia" w:eastAsiaTheme="minorEastAsia" w:cstheme="minorEastAsia"/>
          <w:b w:val="0"/>
          <w:color w:val="auto"/>
          <w:sz w:val="24"/>
          <w:szCs w:val="24"/>
          <w:u w:val="none" w:color="FF0000"/>
        </w:rPr>
        <w:t>可支持数字黑白、数字彩色、文本</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FF0000"/>
        </w:rPr>
      </w:pPr>
      <w:r>
        <w:rPr>
          <w:rFonts w:hint="eastAsia" w:asciiTheme="minorEastAsia" w:hAnsiTheme="minorEastAsia" w:eastAsiaTheme="minorEastAsia" w:cstheme="minorEastAsia"/>
          <w:b w:val="0"/>
          <w:color w:val="auto"/>
          <w:sz w:val="24"/>
          <w:szCs w:val="24"/>
          <w:u w:val="none" w:color="1D1B11"/>
          <w:lang w:val="en-US" w:eastAsia="zh-CN"/>
        </w:rPr>
        <w:t>生产厂家在本地具备售后服务机构及多名工程师，在省会城市有备品备件库，提供现场技术培训</w:t>
      </w:r>
    </w:p>
    <w:p>
      <w:pPr>
        <w:pStyle w:val="7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u w:val="none" w:color="1D1B11"/>
        </w:rPr>
      </w:pPr>
    </w:p>
    <w:p>
      <w:pPr>
        <w:pStyle w:val="80"/>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lang w:val="zh-CN" w:eastAsia="zh-CN"/>
        </w:rPr>
        <w:t>注：以上参数必须提供原厂技术白皮书（加盖公章）或检测报告以供验证</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第四部分   评审方法（综合评分法）</w:t>
      </w:r>
      <w:bookmarkEnd w:id="72"/>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本项目评审方法见招标文件第二部分“</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须知前附表”中第</w:t>
      </w:r>
      <w:r>
        <w:rPr>
          <w:rFonts w:hint="eastAsia" w:asciiTheme="minorEastAsia" w:hAnsiTheme="minorEastAsia" w:eastAsiaTheme="minorEastAsia" w:cstheme="minorEastAsia"/>
          <w:color w:val="auto"/>
          <w:spacing w:val="0"/>
          <w:position w:val="0"/>
          <w:sz w:val="24"/>
          <w:highlight w:val="none"/>
          <w:lang w:val="en-US" w:eastAsia="zh-CN"/>
        </w:rPr>
        <w:t>20</w:t>
      </w:r>
      <w:r>
        <w:rPr>
          <w:rFonts w:hint="eastAsia" w:asciiTheme="minorEastAsia" w:hAnsiTheme="minorEastAsia" w:eastAsiaTheme="minorEastAsia" w:cstheme="minorEastAsia"/>
          <w:color w:val="auto"/>
          <w:spacing w:val="0"/>
          <w:position w:val="0"/>
          <w:sz w:val="24"/>
          <w:highlight w:val="none"/>
        </w:rPr>
        <w:t>项的规定。</w:t>
      </w:r>
      <w:r>
        <w:rPr>
          <w:rFonts w:hint="eastAsia" w:asciiTheme="minorEastAsia" w:hAnsiTheme="minorEastAsia" w:eastAsiaTheme="minorEastAsia" w:cstheme="minorEastAsia"/>
          <w:color w:val="auto"/>
          <w:spacing w:val="0"/>
          <w:kern w:val="0"/>
          <w:position w:val="0"/>
          <w:sz w:val="24"/>
          <w:highlight w:val="none"/>
        </w:rPr>
        <w:t>如果采用综合评分法，评分细则如下：</w:t>
      </w: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kern w:val="2"/>
          <w:position w:val="0"/>
          <w:sz w:val="24"/>
          <w:szCs w:val="22"/>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2"/>
          <w:highlight w:val="none"/>
          <w:lang w:val="en-US" w:eastAsia="zh-CN" w:bidi="ar-SA"/>
        </w:rPr>
        <w:t>1、初步评审及详细评审</w:t>
      </w:r>
    </w:p>
    <w:tbl>
      <w:tblPr>
        <w:tblStyle w:val="19"/>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232"/>
        <w:gridCol w:w="5801"/>
        <w:gridCol w:w="37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58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符合性检查</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eastAsia="zh-CN"/>
              </w:rPr>
              <w:t>供应商</w:t>
            </w:r>
            <w:r>
              <w:rPr>
                <w:rFonts w:hint="eastAsia" w:asciiTheme="minorEastAsia" w:hAnsiTheme="minorEastAsia" w:eastAsiaTheme="minorEastAsia" w:cstheme="minorEastAsia"/>
                <w:b w:val="0"/>
                <w:bCs/>
                <w:color w:val="auto"/>
                <w:spacing w:val="0"/>
                <w:position w:val="0"/>
                <w:sz w:val="24"/>
                <w:szCs w:val="24"/>
                <w:highlight w:val="none"/>
              </w:rPr>
              <w:t>名称</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是否与营业执照、资质证书一致</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投标函</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是否按招标文件规定格式提供投标函</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签字盖章</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文件格式要求提供单位盖章及法定代表人或法定代表人授权的代理人签字或盖章的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产品注册（备案）情况</w:t>
            </w:r>
          </w:p>
        </w:tc>
        <w:tc>
          <w:tcPr>
            <w:tcW w:w="5801" w:type="dxa"/>
            <w:noWrap w:val="0"/>
            <w:vAlign w:val="center"/>
          </w:tcPr>
          <w:p>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b w:val="0"/>
                <w:bCs/>
                <w:color w:val="auto"/>
                <w:spacing w:val="0"/>
                <w:position w:val="0"/>
                <w:sz w:val="24"/>
                <w:szCs w:val="24"/>
                <w:highlight w:val="none"/>
              </w:rPr>
            </w:pP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投标有效期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投标有效期是否满足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要求的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供应商所报</w:t>
            </w: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r>
              <w:rPr>
                <w:rFonts w:hint="eastAsia" w:asciiTheme="minorEastAsia" w:hAnsiTheme="minorEastAsia" w:eastAsiaTheme="minorEastAsia" w:cstheme="minorEastAsia"/>
                <w:b w:val="0"/>
                <w:bCs/>
                <w:color w:val="auto"/>
                <w:spacing w:val="0"/>
                <w:position w:val="0"/>
                <w:sz w:val="24"/>
                <w:szCs w:val="24"/>
                <w:highlight w:val="none"/>
              </w:rPr>
              <w:t>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规定期限的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供应商投标报价是否超过预算价</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其余</w:t>
            </w: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响应文件是否附有招标人不能接受的条件</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是否有不符合</w:t>
            </w:r>
            <w:r>
              <w:rPr>
                <w:rFonts w:hint="eastAsia" w:asciiTheme="minorEastAsia" w:hAnsiTheme="minorEastAsia" w:eastAsiaTheme="minorEastAsia" w:cstheme="minorEastAsia"/>
                <w:b w:val="0"/>
                <w:bCs/>
                <w:color w:val="auto"/>
                <w:spacing w:val="0"/>
                <w:position w:val="0"/>
                <w:sz w:val="24"/>
                <w:szCs w:val="24"/>
                <w:highlight w:val="none"/>
                <w:lang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文件中规定的其他实质性要求</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供应商是否有违法招标投标纪律的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响应</w:t>
            </w:r>
            <w:r>
              <w:rPr>
                <w:rFonts w:hint="eastAsia" w:asciiTheme="minorEastAsia" w:hAnsiTheme="minorEastAsia" w:eastAsiaTheme="minorEastAsia" w:cstheme="minorEastAsia"/>
                <w:b w:val="0"/>
                <w:bCs/>
                <w:color w:val="auto"/>
                <w:spacing w:val="0"/>
                <w:position w:val="0"/>
                <w:sz w:val="24"/>
                <w:szCs w:val="24"/>
                <w:highlight w:val="none"/>
              </w:rPr>
              <w:t>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经营业绩</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根据投标文件所提供的</w:t>
            </w:r>
            <w:r>
              <w:rPr>
                <w:rFonts w:hint="eastAsia" w:asciiTheme="minorEastAsia" w:hAnsiTheme="minorEastAsia" w:eastAsiaTheme="minorEastAsia" w:cstheme="minorEastAsia"/>
                <w:color w:val="auto"/>
                <w:spacing w:val="0"/>
                <w:kern w:val="0"/>
                <w:position w:val="0"/>
                <w:sz w:val="24"/>
                <w:szCs w:val="24"/>
                <w:highlight w:val="none"/>
                <w:lang w:eastAsia="zh-CN"/>
              </w:rPr>
              <w:t>所投产品</w:t>
            </w:r>
            <w:r>
              <w:rPr>
                <w:rFonts w:hint="eastAsia" w:asciiTheme="minorEastAsia" w:hAnsiTheme="minorEastAsia" w:eastAsiaTheme="minorEastAsia" w:cstheme="minorEastAsia"/>
                <w:color w:val="auto"/>
                <w:spacing w:val="0"/>
                <w:kern w:val="0"/>
                <w:position w:val="0"/>
                <w:sz w:val="24"/>
                <w:szCs w:val="24"/>
                <w:highlight w:val="none"/>
              </w:rPr>
              <w:t>投标截止日前三年内经营业绩进行比较：（有效业绩需附合同或中标通知书复印件，每一份有效业绩加</w:t>
            </w:r>
            <w:r>
              <w:rPr>
                <w:rFonts w:hint="eastAsia" w:asciiTheme="minorEastAsia" w:hAnsiTheme="minorEastAsia" w:eastAsiaTheme="minorEastAsia" w:cstheme="minorEastAsia"/>
                <w:color w:val="auto"/>
                <w:spacing w:val="0"/>
                <w:kern w:val="0"/>
                <w:position w:val="0"/>
                <w:sz w:val="24"/>
                <w:szCs w:val="24"/>
                <w:highlight w:val="none"/>
                <w:lang w:val="en-US" w:eastAsia="zh-CN"/>
              </w:rPr>
              <w:t>1</w:t>
            </w:r>
            <w:r>
              <w:rPr>
                <w:rFonts w:hint="eastAsia" w:asciiTheme="minorEastAsia" w:hAnsiTheme="minorEastAsia" w:eastAsiaTheme="minorEastAsia" w:cstheme="minorEastAsia"/>
                <w:color w:val="auto"/>
                <w:spacing w:val="0"/>
                <w:kern w:val="0"/>
                <w:position w:val="0"/>
                <w:sz w:val="24"/>
                <w:szCs w:val="24"/>
                <w:highlight w:val="none"/>
              </w:rPr>
              <w:t>分，直至满</w:t>
            </w:r>
            <w:r>
              <w:rPr>
                <w:rFonts w:hint="eastAsia" w:asciiTheme="minorEastAsia" w:hAnsiTheme="minorEastAsia" w:eastAsiaTheme="minorEastAsia" w:cstheme="minorEastAsia"/>
                <w:color w:val="auto"/>
                <w:spacing w:val="0"/>
                <w:kern w:val="0"/>
                <w:position w:val="0"/>
                <w:sz w:val="24"/>
                <w:szCs w:val="24"/>
                <w:highlight w:val="none"/>
                <w:lang w:val="en-US" w:eastAsia="zh-CN"/>
              </w:rPr>
              <w:t>5</w:t>
            </w:r>
            <w:r>
              <w:rPr>
                <w:rFonts w:hint="eastAsia" w:asciiTheme="minorEastAsia" w:hAnsiTheme="minorEastAsia" w:eastAsiaTheme="minorEastAsia" w:cstheme="minorEastAsia"/>
                <w:color w:val="auto"/>
                <w:spacing w:val="0"/>
                <w:kern w:val="0"/>
                <w:position w:val="0"/>
                <w:sz w:val="24"/>
                <w:szCs w:val="24"/>
                <w:highlight w:val="none"/>
              </w:rPr>
              <w:t>分。未提供相关证明的该项为0分。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产品符合性</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供应商全部满足招标文件“第三章采购项目技术规格、参数及要求”技术要求的得满分；由专家评审，逐条确定是否达到技术要求，技术要求一项不满足扣3分，扣完为止。</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技术支持资料以国家或省市自治区级权威检验检测部门出具的完整的检验检测报告、对外公开发行印刷的的宣传彩页、设备出厂原始数据为准。（未提供参数或与其提供的技术支持资料不一致的，不得分）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bidi="ar-SA"/>
              </w:rPr>
              <w:t>售后服务方案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提供针对本项目的售后服务方案，包括： ①售后服务流程（2分） ②售后服务联系方式（2分） ③售后服务人员安排、售后服务响应时间（2分） ④质量保修期内的免费维修维护（包括响应时间、修复时间、对采购人造成损失的补偿措施等内容）（2分） ⑤对质量保修期外的维修维护（2分） 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8"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eastAsia="zh-CN" w:bidi="ar-SA"/>
              </w:rPr>
              <w:t>供货计划</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提供针对本项目的供货方案，包括： ①供货计划（2分） ②供货流程安排（2分） ③供货时间安排（2分） ④供货渠道（2分） ⑤验收方案（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eastAsia="zh-CN"/>
              </w:rPr>
              <w:t>应急服务方案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提供针对本项目的应急服务方案，包括： ①故障处理（4分） ②应急程序（4分）每有一项内容得4分，每小项内容存在缺陷的得2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培训</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培训方案，从①培训内容、②培训方式、③培训覆盖面、④预期培训效果等方面对投标人提供的培训方案进行评价，完整合理、针对性强的得5分，不够完善的3分，极不完善的得1分，未提供的不得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default"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2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合计</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100</w:t>
            </w:r>
            <w:r>
              <w:rPr>
                <w:rFonts w:hint="eastAsia" w:asciiTheme="minorEastAsia" w:hAnsiTheme="minorEastAsia" w:eastAsiaTheme="minorEastAsia" w:cstheme="minorEastAsia"/>
                <w:b w:val="0"/>
                <w:bCs/>
                <w:color w:val="auto"/>
                <w:spacing w:val="0"/>
                <w:positio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注：评分分值计算保留小数点后两位，小数点后第三位“四舍五入”</w:t>
            </w:r>
          </w:p>
        </w:tc>
      </w:tr>
    </w:tbl>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3" w:name="EBa48645eff2ee4582a36f886367fb689c"/>
      <w:bookmarkEnd w:id="73"/>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本项目专门面向中小企业采购，供应商须按《政府采购促进中小企业发展管理办法》（财库〔2020〕46号）第四条的规定参与此次投标，并提供中小企业声明函。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4、评标原则</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pPr>
        <w:pageBreakBefore w:val="0"/>
        <w:kinsoku/>
        <w:overflowPunct/>
        <w:topLinePunct w:val="0"/>
        <w:bidi w:val="0"/>
        <w:spacing w:line="360" w:lineRule="auto"/>
        <w:ind w:firstLine="480" w:firstLineChars="200"/>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pPr>
        <w:pageBreakBefore w:val="0"/>
        <w:kinsoku/>
        <w:overflowPunct/>
        <w:topLinePunct w:val="0"/>
        <w:bidi w:val="0"/>
        <w:spacing w:line="360" w:lineRule="auto"/>
        <w:ind w:firstLine="480" w:firstLineChars="200"/>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pPr>
        <w:pageBreakBefore w:val="0"/>
        <w:kinsoku/>
        <w:overflowPunct/>
        <w:topLinePunct w:val="0"/>
        <w:bidi w:val="0"/>
        <w:spacing w:line="360" w:lineRule="auto"/>
        <w:ind w:firstLine="480" w:firstLineChars="200"/>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bookmarkStart w:id="74" w:name="EBeba6c8bebe3f4c21be55c1d97db8c8aa"/>
      <w:r>
        <w:rPr>
          <w:rFonts w:hint="eastAsia" w:asciiTheme="minorEastAsia" w:hAnsiTheme="minorEastAsia" w:eastAsiaTheme="minorEastAsia" w:cstheme="minorEastAsia"/>
          <w:color w:val="auto"/>
          <w:spacing w:val="0"/>
          <w:position w:val="0"/>
          <w:sz w:val="24"/>
          <w:highlight w:val="none"/>
        </w:rPr>
        <w:t xml:space="preserve"> </w:t>
      </w:r>
      <w:bookmarkEnd w:id="74"/>
      <w:bookmarkStart w:id="75" w:name="EB4893741502564d04b2d404c47c5fa523"/>
      <w:r>
        <w:rPr>
          <w:rFonts w:hint="eastAsia" w:asciiTheme="minorEastAsia" w:hAnsiTheme="minorEastAsia" w:eastAsiaTheme="minorEastAsia" w:cstheme="minorEastAsia"/>
          <w:color w:val="auto"/>
          <w:spacing w:val="0"/>
          <w:position w:val="0"/>
          <w:sz w:val="24"/>
          <w:highlight w:val="none"/>
        </w:rPr>
        <w:t xml:space="preserve"> </w:t>
      </w:r>
      <w:bookmarkEnd w:id="75"/>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bookmarkStart w:id="76" w:name="_Toc480368415"/>
      <w:bookmarkStart w:id="77" w:name="_Toc480371714"/>
      <w:r>
        <w:rPr>
          <w:rFonts w:hint="eastAsia" w:asciiTheme="minorEastAsia" w:hAnsiTheme="minorEastAsia" w:eastAsiaTheme="minorEastAsia" w:cstheme="minorEastAsia"/>
          <w:b/>
          <w:color w:val="auto"/>
          <w:spacing w:val="0"/>
          <w:position w:val="0"/>
          <w:sz w:val="36"/>
          <w:highlight w:val="none"/>
        </w:rPr>
        <w:br w:type="page"/>
      </w:r>
      <w:bookmarkEnd w:id="76"/>
      <w:bookmarkEnd w:id="77"/>
      <w:bookmarkStart w:id="78" w:name="_Toc22459"/>
      <w:r>
        <w:rPr>
          <w:rFonts w:hint="eastAsia" w:asciiTheme="minorEastAsia" w:hAnsiTheme="minorEastAsia" w:eastAsiaTheme="minorEastAsia" w:cstheme="minorEastAsia"/>
          <w:b/>
          <w:color w:val="auto"/>
          <w:spacing w:val="0"/>
          <w:position w:val="0"/>
          <w:sz w:val="36"/>
          <w:highlight w:val="none"/>
        </w:rPr>
        <w:t>第五部分   政府采购合同</w:t>
      </w:r>
      <w:bookmarkEnd w:id="78"/>
    </w:p>
    <w:p>
      <w:pPr>
        <w:pStyle w:val="32"/>
        <w:pageBreakBefore w:val="0"/>
        <w:kinsoku/>
        <w:overflowPunct/>
        <w:topLinePunct w:val="0"/>
        <w:bidi w:val="0"/>
        <w:rPr>
          <w:rFonts w:hint="eastAsia" w:asciiTheme="minorEastAsia" w:hAnsiTheme="minorEastAsia" w:eastAsiaTheme="minorEastAsia" w:cstheme="minorEastAsia"/>
          <w:b/>
          <w:color w:val="auto"/>
          <w:spacing w:val="0"/>
          <w:position w:val="0"/>
          <w:sz w:val="24"/>
          <w:highlight w:val="none"/>
          <w:lang w:eastAsia="zh-CN"/>
        </w:rPr>
      </w:pPr>
      <w:bookmarkStart w:id="79" w:name="_Toc21049"/>
      <w:r>
        <w:rPr>
          <w:rFonts w:hint="eastAsia" w:asciiTheme="minorEastAsia" w:hAnsiTheme="minorEastAsia" w:eastAsiaTheme="minorEastAsia" w:cstheme="minorEastAsia"/>
          <w:b/>
          <w:color w:val="auto"/>
          <w:spacing w:val="0"/>
          <w:position w:val="0"/>
          <w:sz w:val="24"/>
          <w:highlight w:val="none"/>
        </w:rPr>
        <w:t>一、合同格式</w:t>
      </w:r>
      <w:r>
        <w:rPr>
          <w:rFonts w:hint="eastAsia" w:asciiTheme="minorEastAsia" w:hAnsiTheme="minorEastAsia" w:eastAsiaTheme="minorEastAsia" w:cstheme="minorEastAsia"/>
          <w:b/>
          <w:color w:val="auto"/>
          <w:spacing w:val="0"/>
          <w:position w:val="0"/>
          <w:sz w:val="24"/>
          <w:highlight w:val="none"/>
          <w:lang w:eastAsia="zh-CN"/>
        </w:rPr>
        <w:t>（</w:t>
      </w:r>
      <w:r>
        <w:rPr>
          <w:rFonts w:hint="eastAsia" w:asciiTheme="minorEastAsia" w:hAnsiTheme="minorEastAsia" w:eastAsiaTheme="minorEastAsia" w:cstheme="minorEastAsia"/>
          <w:b/>
          <w:color w:val="auto"/>
          <w:spacing w:val="0"/>
          <w:position w:val="0"/>
          <w:sz w:val="24"/>
          <w:highlight w:val="none"/>
          <w:lang w:val="en-US" w:eastAsia="zh-CN"/>
        </w:rPr>
        <w:t>以最终签订为准</w:t>
      </w:r>
      <w:r>
        <w:rPr>
          <w:rFonts w:hint="eastAsia" w:asciiTheme="minorEastAsia" w:hAnsiTheme="minorEastAsia" w:eastAsiaTheme="minorEastAsia" w:cstheme="minorEastAsia"/>
          <w:b/>
          <w:color w:val="auto"/>
          <w:spacing w:val="0"/>
          <w:position w:val="0"/>
          <w:sz w:val="24"/>
          <w:highlight w:val="none"/>
          <w:lang w:eastAsia="zh-CN"/>
        </w:rPr>
        <w:t>）</w:t>
      </w:r>
    </w:p>
    <w:p>
      <w:pPr>
        <w:pStyle w:val="32"/>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52"/>
          <w:szCs w:val="52"/>
          <w:highlight w:val="none"/>
        </w:rPr>
      </w:pPr>
    </w:p>
    <w:p>
      <w:pPr>
        <w:keepNext w:val="0"/>
        <w:keepLines w:val="0"/>
        <w:pageBreakBefore w:val="0"/>
        <w:widowControl w:val="0"/>
        <w:kinsoku/>
        <w:wordWrap/>
        <w:topLinePunct w:val="0"/>
        <w:autoSpaceDE/>
        <w:autoSpaceDN/>
        <w:bidi w:val="0"/>
        <w:adjustRightInd/>
        <w:snapToGrid/>
        <w:spacing w:before="229" w:line="219" w:lineRule="auto"/>
        <w:ind w:left="0" w:leftChars="0" w:firstLine="0" w:firstLineChars="0"/>
        <w:textAlignment w:val="auto"/>
        <w:outlineLvl w:val="0"/>
        <w:rPr>
          <w:rFonts w:ascii="宋体" w:hAnsi="宋体" w:eastAsia="宋体" w:cs="宋体"/>
          <w:color w:val="auto"/>
          <w:sz w:val="46"/>
          <w:szCs w:val="46"/>
          <w:highlight w:val="none"/>
        </w:rPr>
      </w:pPr>
      <w:r>
        <w:rPr>
          <w:rFonts w:hint="eastAsia" w:ascii="宋体" w:hAnsi="宋体" w:eastAsia="宋体" w:cs="宋体"/>
          <w:b/>
          <w:bCs/>
          <w:color w:val="auto"/>
          <w:spacing w:val="11"/>
          <w:sz w:val="46"/>
          <w:szCs w:val="46"/>
          <w:highlight w:val="none"/>
          <w:lang w:eastAsia="zh-CN"/>
        </w:rPr>
        <w:t>乌鲁木齐市米东区中医医院</w:t>
      </w:r>
      <w:r>
        <w:rPr>
          <w:rFonts w:ascii="宋体" w:hAnsi="宋体" w:eastAsia="宋体" w:cs="宋体"/>
          <w:b/>
          <w:bCs/>
          <w:color w:val="auto"/>
          <w:spacing w:val="11"/>
          <w:sz w:val="46"/>
          <w:szCs w:val="46"/>
          <w:highlight w:val="none"/>
        </w:rPr>
        <w:t>购置</w:t>
      </w: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ascii="宋体" w:hAnsi="宋体" w:eastAsia="宋体" w:cs="宋体"/>
          <w:color w:val="auto"/>
          <w:sz w:val="31"/>
          <w:szCs w:val="31"/>
          <w:highlight w:val="none"/>
        </w:rPr>
      </w:pPr>
      <w:r>
        <w:rPr>
          <w:rFonts w:ascii="宋体" w:hAnsi="宋体" w:eastAsia="宋体" w:cs="宋体"/>
          <w:b/>
          <w:bCs/>
          <w:color w:val="auto"/>
          <w:spacing w:val="-27"/>
          <w:sz w:val="31"/>
          <w:szCs w:val="31"/>
          <w:highlight w:val="none"/>
        </w:rPr>
        <w:t>(</w:t>
      </w:r>
      <w:r>
        <w:rPr>
          <w:rFonts w:hint="eastAsia" w:ascii="宋体" w:hAnsi="宋体" w:eastAsia="宋体" w:cs="宋体"/>
          <w:b/>
          <w:bCs/>
          <w:color w:val="auto"/>
          <w:spacing w:val="-27"/>
          <w:sz w:val="31"/>
          <w:szCs w:val="31"/>
          <w:highlight w:val="none"/>
          <w:lang w:val="en-US" w:eastAsia="zh-CN"/>
        </w:rPr>
        <w:t>XX采购</w:t>
      </w:r>
      <w:r>
        <w:rPr>
          <w:rFonts w:ascii="宋体" w:hAnsi="宋体" w:eastAsia="宋体" w:cs="宋体"/>
          <w:b/>
          <w:bCs/>
          <w:color w:val="auto"/>
          <w:spacing w:val="-27"/>
          <w:sz w:val="31"/>
          <w:szCs w:val="31"/>
          <w:highlight w:val="none"/>
        </w:rPr>
        <w:t>)</w:t>
      </w: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50" w:line="221" w:lineRule="auto"/>
        <w:ind w:left="0" w:leftChars="0" w:firstLine="0" w:firstLineChars="0"/>
        <w:textAlignment w:val="auto"/>
        <w:rPr>
          <w:rFonts w:ascii="宋体" w:hAnsi="宋体" w:eastAsia="宋体" w:cs="宋体"/>
          <w:color w:val="auto"/>
          <w:sz w:val="46"/>
          <w:szCs w:val="46"/>
          <w:highlight w:val="none"/>
        </w:rPr>
      </w:pPr>
      <w:r>
        <w:rPr>
          <w:rFonts w:ascii="宋体" w:hAnsi="宋体" w:eastAsia="宋体" w:cs="宋体"/>
          <w:b/>
          <w:bCs/>
          <w:color w:val="auto"/>
          <w:spacing w:val="-24"/>
          <w:sz w:val="46"/>
          <w:szCs w:val="46"/>
          <w:highlight w:val="none"/>
        </w:rPr>
        <w:t>销</w:t>
      </w:r>
      <w:r>
        <w:rPr>
          <w:rFonts w:ascii="宋体" w:hAnsi="宋体" w:eastAsia="宋体" w:cs="宋体"/>
          <w:color w:val="auto"/>
          <w:spacing w:val="194"/>
          <w:sz w:val="46"/>
          <w:szCs w:val="46"/>
          <w:highlight w:val="none"/>
        </w:rPr>
        <w:t xml:space="preserve"> </w:t>
      </w:r>
      <w:r>
        <w:rPr>
          <w:rFonts w:ascii="宋体" w:hAnsi="宋体" w:eastAsia="宋体" w:cs="宋体"/>
          <w:b/>
          <w:bCs/>
          <w:color w:val="auto"/>
          <w:spacing w:val="-24"/>
          <w:sz w:val="46"/>
          <w:szCs w:val="46"/>
          <w:highlight w:val="none"/>
        </w:rPr>
        <w:t>售</w:t>
      </w:r>
      <w:r>
        <w:rPr>
          <w:rFonts w:ascii="宋体" w:hAnsi="宋体" w:eastAsia="宋体" w:cs="宋体"/>
          <w:color w:val="auto"/>
          <w:spacing w:val="-24"/>
          <w:sz w:val="46"/>
          <w:szCs w:val="46"/>
          <w:highlight w:val="none"/>
        </w:rPr>
        <w:t xml:space="preserve">  </w:t>
      </w:r>
      <w:r>
        <w:rPr>
          <w:rFonts w:ascii="宋体" w:hAnsi="宋体" w:eastAsia="宋体" w:cs="宋体"/>
          <w:b/>
          <w:bCs/>
          <w:color w:val="auto"/>
          <w:spacing w:val="-24"/>
          <w:sz w:val="46"/>
          <w:szCs w:val="46"/>
          <w:highlight w:val="none"/>
        </w:rPr>
        <w:t>合</w:t>
      </w:r>
      <w:r>
        <w:rPr>
          <w:rFonts w:ascii="宋体" w:hAnsi="宋体" w:eastAsia="宋体" w:cs="宋体"/>
          <w:color w:val="auto"/>
          <w:spacing w:val="15"/>
          <w:sz w:val="46"/>
          <w:szCs w:val="46"/>
          <w:highlight w:val="none"/>
        </w:rPr>
        <w:t xml:space="preserve">  </w:t>
      </w:r>
      <w:r>
        <w:rPr>
          <w:rFonts w:ascii="宋体" w:hAnsi="宋体" w:eastAsia="宋体" w:cs="宋体"/>
          <w:b/>
          <w:bCs/>
          <w:color w:val="auto"/>
          <w:spacing w:val="-24"/>
          <w:sz w:val="46"/>
          <w:szCs w:val="46"/>
          <w:highlight w:val="none"/>
        </w:rPr>
        <w:t>同</w:t>
      </w: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hint="default" w:ascii="宋体" w:hAnsi="宋体" w:eastAsia="宋体" w:cs="宋体"/>
          <w:color w:val="auto"/>
          <w:sz w:val="31"/>
          <w:szCs w:val="31"/>
          <w:highlight w:val="none"/>
          <w:lang w:val="en-US" w:eastAsia="zh-CN"/>
        </w:rPr>
      </w:pPr>
      <w:r>
        <w:rPr>
          <w:rFonts w:ascii="宋体" w:hAnsi="宋体" w:eastAsia="宋体" w:cs="宋体"/>
          <w:b/>
          <w:bCs/>
          <w:color w:val="auto"/>
          <w:spacing w:val="20"/>
          <w:sz w:val="31"/>
          <w:szCs w:val="31"/>
          <w:highlight w:val="none"/>
        </w:rPr>
        <w:t>甲方(买方):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乌鲁木齐市米东区中医医院</w:t>
      </w: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color w:val="auto"/>
          <w:highlight w:val="none"/>
        </w:rPr>
      </w:pPr>
      <w:r>
        <w:rPr>
          <w:rFonts w:ascii="宋体" w:hAnsi="宋体" w:eastAsia="宋体" w:cs="宋体"/>
          <w:b/>
          <w:bCs/>
          <w:color w:val="auto"/>
          <w:spacing w:val="20"/>
          <w:sz w:val="31"/>
          <w:szCs w:val="31"/>
          <w:highlight w:val="none"/>
        </w:rPr>
        <w:t>乙方(卖方):</w:t>
      </w:r>
      <w:r>
        <w:rPr>
          <w:rFonts w:ascii="宋体" w:hAnsi="宋体" w:eastAsia="宋体" w:cs="宋体"/>
          <w:color w:val="auto"/>
          <w:spacing w:val="20"/>
          <w:sz w:val="31"/>
          <w:szCs w:val="31"/>
          <w:highlight w:val="none"/>
        </w:rPr>
        <w:t xml:space="preserve"> </w:t>
      </w:r>
      <w:r>
        <w:rPr>
          <w:rFonts w:hint="eastAsia" w:ascii="宋体" w:hAnsi="宋体" w:eastAsia="宋体" w:cs="宋体"/>
          <w:b/>
          <w:bCs/>
          <w:color w:val="auto"/>
          <w:spacing w:val="20"/>
          <w:sz w:val="31"/>
          <w:szCs w:val="31"/>
          <w:highlight w:val="none"/>
          <w:u w:val="single" w:color="auto"/>
          <w:lang w:val="en-US" w:eastAsia="zh-CN"/>
        </w:rPr>
        <w:t xml:space="preserve">                        </w:t>
      </w: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合</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同</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编</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号</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8"/>
          <w:sz w:val="31"/>
          <w:szCs w:val="31"/>
          <w:highlight w:val="none"/>
        </w:rPr>
        <w:t>：</w:t>
      </w:r>
    </w:p>
    <w:p>
      <w:pPr>
        <w:pStyle w:val="6"/>
        <w:keepNext w:val="0"/>
        <w:keepLines w:val="0"/>
        <w:pageBreakBefore w:val="0"/>
        <w:widowControl w:val="0"/>
        <w:kinsoku/>
        <w:wordWrap/>
        <w:topLinePunct w:val="0"/>
        <w:autoSpaceDE/>
        <w:autoSpaceDN/>
        <w:bidi w:val="0"/>
        <w:adjustRightInd/>
        <w:snapToGrid/>
        <w:spacing w:line="278"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hint="default" w:ascii="宋体" w:hAnsi="宋体" w:eastAsia="宋体" w:cs="宋体"/>
          <w:b/>
          <w:bCs/>
          <w:color w:val="auto"/>
          <w:spacing w:val="-8"/>
          <w:sz w:val="31"/>
          <w:szCs w:val="31"/>
          <w:highlight w:val="none"/>
          <w:lang w:val="en-US" w:eastAsia="zh-CN"/>
        </w:rPr>
      </w:pPr>
      <w:r>
        <w:rPr>
          <w:rFonts w:hint="eastAsia" w:ascii="宋体" w:hAnsi="宋体" w:eastAsia="宋体" w:cs="宋体"/>
          <w:b/>
          <w:bCs/>
          <w:color w:val="auto"/>
          <w:spacing w:val="-8"/>
          <w:sz w:val="31"/>
          <w:szCs w:val="31"/>
          <w:highlight w:val="none"/>
          <w:lang w:val="en-US" w:eastAsia="zh-CN"/>
        </w:rPr>
        <w:t>年  月   日</w:t>
      </w:r>
    </w:p>
    <w:p>
      <w:pPr>
        <w:keepNext w:val="0"/>
        <w:keepLines w:val="0"/>
        <w:pageBreakBefore w:val="0"/>
        <w:widowControl w:val="0"/>
        <w:kinsoku/>
        <w:wordWrap/>
        <w:topLinePunct w:val="0"/>
        <w:autoSpaceDE/>
        <w:autoSpaceDN/>
        <w:bidi w:val="0"/>
        <w:adjustRightInd/>
        <w:snapToGrid/>
        <w:spacing w:line="611" w:lineRule="exact"/>
        <w:ind w:left="0" w:leftChars="0" w:firstLine="0" w:firstLineChars="0"/>
        <w:textAlignment w:val="auto"/>
        <w:rPr>
          <w:color w:val="auto"/>
          <w:highlight w:val="none"/>
        </w:rPr>
        <w:sectPr>
          <w:footerReference r:id="rId9" w:type="default"/>
          <w:pgSz w:w="11906" w:h="16838"/>
          <w:pgMar w:top="1440" w:right="1800" w:bottom="1440" w:left="1800" w:header="0" w:footer="0" w:gutter="0"/>
          <w:pgNumType w:fmt="decimal" w:start="1"/>
          <w:cols w:space="720" w:num="1"/>
        </w:sectPr>
      </w:pPr>
    </w:p>
    <w:p>
      <w:pPr>
        <w:keepNext w:val="0"/>
        <w:keepLines w:val="0"/>
        <w:pageBreakBefore w:val="0"/>
        <w:widowControl w:val="0"/>
        <w:kinsoku/>
        <w:wordWrap/>
        <w:topLinePunct w:val="0"/>
        <w:autoSpaceDE/>
        <w:autoSpaceDN/>
        <w:bidi w:val="0"/>
        <w:adjustRightInd/>
        <w:snapToGrid/>
        <w:spacing w:line="20" w:lineRule="exact"/>
        <w:ind w:left="0" w:leftChars="0" w:firstLine="0" w:firstLineChars="0"/>
        <w:textAlignment w:val="auto"/>
        <w:rPr>
          <w:color w:val="auto"/>
          <w:highlight w:val="none"/>
        </w:rPr>
      </w:pPr>
      <w:r>
        <w:rPr>
          <w:color w:val="auto"/>
          <w:highlight w:val="none"/>
        </w:rPr>
        <w:drawing>
          <wp:inline distT="0" distB="0" distL="0" distR="0">
            <wp:extent cx="6578600"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6578641" cy="12755"/>
                    </a:xfrm>
                    <a:prstGeom prst="rect">
                      <a:avLst/>
                    </a:prstGeom>
                  </pic:spPr>
                </pic:pic>
              </a:graphicData>
            </a:graphic>
          </wp:inline>
        </w:drawing>
      </w:r>
    </w:p>
    <w:p>
      <w:pPr>
        <w:keepNext w:val="0"/>
        <w:keepLines w:val="0"/>
        <w:pageBreakBefore w:val="0"/>
        <w:widowControl w:val="0"/>
        <w:kinsoku/>
        <w:wordWrap/>
        <w:topLinePunct w:val="0"/>
        <w:autoSpaceDE/>
        <w:autoSpaceDN/>
        <w:bidi w:val="0"/>
        <w:adjustRightInd/>
        <w:snapToGrid/>
        <w:spacing w:before="113" w:line="221" w:lineRule="auto"/>
        <w:ind w:left="0" w:leftChars="0" w:firstLine="0" w:firstLineChars="0"/>
        <w:jc w:val="center"/>
        <w:textAlignment w:val="auto"/>
        <w:rPr>
          <w:rFonts w:ascii="宋体" w:hAnsi="宋体" w:eastAsia="宋体" w:cs="宋体"/>
          <w:color w:val="auto"/>
          <w:sz w:val="40"/>
          <w:szCs w:val="40"/>
          <w:highlight w:val="none"/>
        </w:rPr>
      </w:pPr>
      <w:r>
        <w:rPr>
          <w:rFonts w:ascii="宋体" w:hAnsi="宋体" w:eastAsia="宋体" w:cs="宋体"/>
          <w:b/>
          <w:bCs/>
          <w:color w:val="auto"/>
          <w:spacing w:val="-17"/>
          <w:sz w:val="40"/>
          <w:szCs w:val="40"/>
          <w:highlight w:val="none"/>
        </w:rPr>
        <w:t>销</w:t>
      </w:r>
      <w:r>
        <w:rPr>
          <w:rFonts w:ascii="宋体" w:hAnsi="宋体" w:eastAsia="宋体" w:cs="宋体"/>
          <w:color w:val="auto"/>
          <w:spacing w:val="16"/>
          <w:sz w:val="40"/>
          <w:szCs w:val="40"/>
          <w:highlight w:val="none"/>
        </w:rPr>
        <w:t xml:space="preserve"> </w:t>
      </w:r>
      <w:r>
        <w:rPr>
          <w:rFonts w:ascii="宋体" w:hAnsi="宋体" w:eastAsia="宋体" w:cs="宋体"/>
          <w:b/>
          <w:bCs/>
          <w:color w:val="auto"/>
          <w:spacing w:val="-17"/>
          <w:sz w:val="40"/>
          <w:szCs w:val="40"/>
          <w:highlight w:val="none"/>
        </w:rPr>
        <w:t>售</w:t>
      </w:r>
      <w:r>
        <w:rPr>
          <w:rFonts w:ascii="宋体" w:hAnsi="宋体" w:eastAsia="宋体" w:cs="宋体"/>
          <w:color w:val="auto"/>
          <w:spacing w:val="18"/>
          <w:sz w:val="40"/>
          <w:szCs w:val="40"/>
          <w:highlight w:val="none"/>
        </w:rPr>
        <w:t xml:space="preserve"> </w:t>
      </w:r>
      <w:r>
        <w:rPr>
          <w:rFonts w:ascii="宋体" w:hAnsi="宋体" w:eastAsia="宋体" w:cs="宋体"/>
          <w:b/>
          <w:bCs/>
          <w:color w:val="auto"/>
          <w:spacing w:val="-17"/>
          <w:sz w:val="40"/>
          <w:szCs w:val="40"/>
          <w:highlight w:val="none"/>
        </w:rPr>
        <w:t>合</w:t>
      </w:r>
      <w:r>
        <w:rPr>
          <w:rFonts w:ascii="宋体" w:hAnsi="宋体" w:eastAsia="宋体" w:cs="宋体"/>
          <w:color w:val="auto"/>
          <w:spacing w:val="55"/>
          <w:sz w:val="40"/>
          <w:szCs w:val="40"/>
          <w:highlight w:val="none"/>
        </w:rPr>
        <w:t xml:space="preserve"> </w:t>
      </w:r>
      <w:r>
        <w:rPr>
          <w:rFonts w:ascii="宋体" w:hAnsi="宋体" w:eastAsia="宋体" w:cs="宋体"/>
          <w:b/>
          <w:bCs/>
          <w:color w:val="auto"/>
          <w:spacing w:val="-17"/>
          <w:sz w:val="40"/>
          <w:szCs w:val="40"/>
          <w:highlight w:val="none"/>
        </w:rPr>
        <w:t>同</w:t>
      </w:r>
    </w:p>
    <w:p>
      <w:pPr>
        <w:keepNext w:val="0"/>
        <w:keepLines w:val="0"/>
        <w:pageBreakBefore w:val="0"/>
        <w:widowControl w:val="0"/>
        <w:kinsoku/>
        <w:wordWrap/>
        <w:topLinePunct w:val="0"/>
        <w:autoSpaceDE/>
        <w:autoSpaceDN/>
        <w:bidi w:val="0"/>
        <w:adjustRightInd/>
        <w:snapToGrid/>
        <w:spacing w:before="82" w:line="219" w:lineRule="auto"/>
        <w:ind w:left="0" w:leftChars="0" w:firstLine="0" w:firstLineChars="0"/>
        <w:textAlignment w:val="auto"/>
        <w:rPr>
          <w:rFonts w:hint="eastAsia" w:ascii="宋体" w:hAnsi="宋体" w:eastAsia="宋体" w:cs="宋体"/>
          <w:color w:val="auto"/>
          <w:sz w:val="21"/>
          <w:szCs w:val="21"/>
          <w:highlight w:val="none"/>
          <w:lang w:eastAsia="zh-CN"/>
        </w:rPr>
      </w:pPr>
      <w:r>
        <w:rPr>
          <w:rFonts w:ascii="宋体" w:hAnsi="宋体" w:eastAsia="宋体" w:cs="宋体"/>
          <w:b/>
          <w:bCs/>
          <w:color w:val="auto"/>
          <w:spacing w:val="-7"/>
          <w:sz w:val="21"/>
          <w:szCs w:val="21"/>
          <w:highlight w:val="none"/>
        </w:rPr>
        <w:t>甲方：</w:t>
      </w:r>
      <w:r>
        <w:rPr>
          <w:rFonts w:hint="eastAsia" w:ascii="宋体" w:hAnsi="宋体" w:eastAsia="宋体" w:cs="宋体"/>
          <w:b/>
          <w:bCs/>
          <w:color w:val="auto"/>
          <w:spacing w:val="-7"/>
          <w:sz w:val="21"/>
          <w:szCs w:val="21"/>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spacing w:before="100" w:line="219" w:lineRule="auto"/>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b/>
          <w:bCs/>
          <w:color w:val="auto"/>
          <w:spacing w:val="-4"/>
          <w:sz w:val="21"/>
          <w:szCs w:val="21"/>
          <w:highlight w:val="none"/>
        </w:rPr>
        <w:t>乙方：</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pacing w:val="-4"/>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04" w:line="272" w:lineRule="auto"/>
        <w:ind w:left="0" w:leftChars="0" w:right="65"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甲乙双方根据《中华人民共和国民法典》</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《中华人民共和国政府采购法》、《中华人民共和国政府采购法</w:t>
      </w:r>
      <w:r>
        <w:rPr>
          <w:rFonts w:hint="eastAsia" w:ascii="宋体" w:hAnsi="宋体" w:eastAsia="宋体" w:cs="宋体"/>
          <w:color w:val="auto"/>
          <w:spacing w:val="-4"/>
          <w:sz w:val="21"/>
          <w:szCs w:val="21"/>
          <w:highlight w:val="none"/>
          <w:lang w:val="en-US" w:eastAsia="zh-CN"/>
        </w:rPr>
        <w:t>实施条例</w:t>
      </w:r>
      <w:r>
        <w:rPr>
          <w:rFonts w:ascii="宋体" w:hAnsi="宋体" w:eastAsia="宋体" w:cs="宋体"/>
          <w:color w:val="auto"/>
          <w:spacing w:val="-4"/>
          <w:sz w:val="21"/>
          <w:szCs w:val="21"/>
          <w:highlight w:val="none"/>
        </w:rPr>
        <w:t>》</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及其他相关法律法规的规定，本着平等互利、协商一致、等价有偿的原则，就甲方购买乙方的</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设备并由乙方提供相关服务事宜，达成一致，</w:t>
      </w:r>
      <w:r>
        <w:rPr>
          <w:rFonts w:ascii="宋体" w:hAnsi="宋体" w:eastAsia="宋体" w:cs="宋体"/>
          <w:color w:val="auto"/>
          <w:spacing w:val="-3"/>
          <w:sz w:val="21"/>
          <w:szCs w:val="21"/>
          <w:highlight w:val="none"/>
        </w:rPr>
        <w:t>协议如下：</w:t>
      </w:r>
    </w:p>
    <w:p>
      <w:pPr>
        <w:keepNext w:val="0"/>
        <w:keepLines w:val="0"/>
        <w:pageBreakBefore w:val="0"/>
        <w:widowControl w:val="0"/>
        <w:kinsoku/>
        <w:wordWrap/>
        <w:topLinePunct w:val="0"/>
        <w:autoSpaceDE/>
        <w:autoSpaceDN/>
        <w:bidi w:val="0"/>
        <w:adjustRightInd/>
        <w:snapToGrid/>
        <w:spacing w:before="102"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一、设备名称、规格(型号)、数量详见下表</w:t>
      </w:r>
    </w:p>
    <w:p>
      <w:pPr>
        <w:keepNext w:val="0"/>
        <w:keepLines w:val="0"/>
        <w:pageBreakBefore w:val="0"/>
        <w:widowControl w:val="0"/>
        <w:kinsoku/>
        <w:wordWrap/>
        <w:topLinePunct w:val="0"/>
        <w:autoSpaceDE/>
        <w:autoSpaceDN/>
        <w:bidi w:val="0"/>
        <w:adjustRightInd/>
        <w:snapToGrid/>
        <w:spacing w:line="27" w:lineRule="exact"/>
        <w:ind w:left="0" w:leftChars="0" w:firstLine="0" w:firstLineChars="0"/>
        <w:textAlignment w:val="auto"/>
        <w:rPr>
          <w:color w:val="auto"/>
          <w:highlight w:val="none"/>
        </w:rPr>
      </w:pPr>
    </w:p>
    <w:tbl>
      <w:tblPr>
        <w:tblStyle w:val="33"/>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08"/>
        <w:gridCol w:w="1139"/>
        <w:gridCol w:w="1409"/>
        <w:gridCol w:w="669"/>
        <w:gridCol w:w="749"/>
        <w:gridCol w:w="1169"/>
        <w:gridCol w:w="1549"/>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r>
              <w:rPr>
                <w:color w:val="auto"/>
                <w:spacing w:val="6"/>
                <w:highlight w:val="none"/>
              </w:rPr>
              <w:t>序号</w:t>
            </w:r>
          </w:p>
        </w:tc>
        <w:tc>
          <w:tcPr>
            <w:tcW w:w="1508" w:type="dxa"/>
            <w:vAlign w:val="top"/>
          </w:tcPr>
          <w:p>
            <w:pPr>
              <w:keepNext w:val="0"/>
              <w:keepLines w:val="0"/>
              <w:pageBreakBefore w:val="0"/>
              <w:widowControl w:val="0"/>
              <w:kinsoku/>
              <w:wordWrap/>
              <w:topLinePunct w:val="0"/>
              <w:autoSpaceDE/>
              <w:autoSpaceDN/>
              <w:bidi w:val="0"/>
              <w:adjustRightInd/>
              <w:snapToGrid/>
              <w:spacing w:line="355"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9" w:line="221" w:lineRule="auto"/>
              <w:ind w:left="0" w:leftChars="0" w:firstLine="0" w:firstLineChars="0"/>
              <w:textAlignment w:val="auto"/>
              <w:rPr>
                <w:color w:val="auto"/>
                <w:highlight w:val="none"/>
              </w:rPr>
            </w:pPr>
            <w:r>
              <w:rPr>
                <w:color w:val="auto"/>
                <w:spacing w:val="5"/>
                <w:highlight w:val="none"/>
              </w:rPr>
              <w:t>名称</w:t>
            </w:r>
          </w:p>
        </w:tc>
        <w:tc>
          <w:tcPr>
            <w:tcW w:w="1139" w:type="dxa"/>
            <w:vAlign w:val="top"/>
          </w:tcPr>
          <w:p>
            <w:pPr>
              <w:keepNext w:val="0"/>
              <w:keepLines w:val="0"/>
              <w:pageBreakBefore w:val="0"/>
              <w:widowControl w:val="0"/>
              <w:kinsoku/>
              <w:wordWrap/>
              <w:topLinePunct w:val="0"/>
              <w:autoSpaceDE/>
              <w:autoSpaceDN/>
              <w:bidi w:val="0"/>
              <w:adjustRightInd/>
              <w:snapToGrid/>
              <w:spacing w:line="353"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r>
              <w:rPr>
                <w:color w:val="auto"/>
                <w:spacing w:val="4"/>
                <w:highlight w:val="none"/>
              </w:rPr>
              <w:t>品牌</w:t>
            </w:r>
          </w:p>
        </w:tc>
        <w:tc>
          <w:tcPr>
            <w:tcW w:w="1409" w:type="dxa"/>
            <w:vAlign w:val="top"/>
          </w:tcPr>
          <w:p>
            <w:pPr>
              <w:pStyle w:val="34"/>
              <w:keepNext w:val="0"/>
              <w:keepLines w:val="0"/>
              <w:pageBreakBefore w:val="0"/>
              <w:widowControl w:val="0"/>
              <w:kinsoku/>
              <w:wordWrap/>
              <w:topLinePunct w:val="0"/>
              <w:autoSpaceDE/>
              <w:autoSpaceDN/>
              <w:bidi w:val="0"/>
              <w:adjustRightInd/>
              <w:snapToGrid/>
              <w:spacing w:before="253" w:line="522" w:lineRule="exact"/>
              <w:ind w:left="0" w:leftChars="0" w:firstLine="0" w:firstLineChars="0"/>
              <w:textAlignment w:val="auto"/>
              <w:rPr>
                <w:color w:val="auto"/>
                <w:highlight w:val="none"/>
              </w:rPr>
            </w:pPr>
            <w:r>
              <w:rPr>
                <w:color w:val="auto"/>
                <w:spacing w:val="-3"/>
                <w:position w:val="24"/>
                <w:highlight w:val="none"/>
              </w:rPr>
              <w:t>规格</w:t>
            </w:r>
          </w:p>
          <w:p>
            <w:pPr>
              <w:pStyle w:val="34"/>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6"/>
                <w:highlight w:val="none"/>
              </w:rPr>
              <w:t>型号</w:t>
            </w:r>
          </w:p>
        </w:tc>
        <w:tc>
          <w:tcPr>
            <w:tcW w:w="669" w:type="dxa"/>
            <w:vAlign w:val="top"/>
          </w:tcPr>
          <w:p>
            <w:pPr>
              <w:keepNext w:val="0"/>
              <w:keepLines w:val="0"/>
              <w:pageBreakBefore w:val="0"/>
              <w:widowControl w:val="0"/>
              <w:kinsoku/>
              <w:wordWrap/>
              <w:topLinePunct w:val="0"/>
              <w:autoSpaceDE/>
              <w:autoSpaceDN/>
              <w:bidi w:val="0"/>
              <w:adjustRightInd/>
              <w:snapToGrid/>
              <w:spacing w:line="433"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20" w:lineRule="auto"/>
              <w:ind w:left="0" w:leftChars="0" w:firstLine="0" w:firstLineChars="0"/>
              <w:textAlignment w:val="auto"/>
              <w:rPr>
                <w:color w:val="auto"/>
                <w:highlight w:val="none"/>
              </w:rPr>
            </w:pPr>
            <w:r>
              <w:rPr>
                <w:color w:val="auto"/>
                <w:spacing w:val="-3"/>
                <w:highlight w:val="none"/>
              </w:rPr>
              <w:t>单位</w:t>
            </w:r>
          </w:p>
        </w:tc>
        <w:tc>
          <w:tcPr>
            <w:tcW w:w="749" w:type="dxa"/>
            <w:vAlign w:val="top"/>
          </w:tcPr>
          <w:p>
            <w:pPr>
              <w:keepNext w:val="0"/>
              <w:keepLines w:val="0"/>
              <w:pageBreakBefore w:val="0"/>
              <w:widowControl w:val="0"/>
              <w:kinsoku/>
              <w:wordWrap/>
              <w:topLinePunct w:val="0"/>
              <w:autoSpaceDE/>
              <w:autoSpaceDN/>
              <w:bidi w:val="0"/>
              <w:adjustRightInd/>
              <w:snapToGrid/>
              <w:spacing w:line="422"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9" w:line="219" w:lineRule="auto"/>
              <w:ind w:left="0" w:leftChars="0" w:firstLine="0" w:firstLineChars="0"/>
              <w:textAlignment w:val="auto"/>
              <w:rPr>
                <w:color w:val="auto"/>
                <w:highlight w:val="none"/>
              </w:rPr>
            </w:pPr>
            <w:r>
              <w:rPr>
                <w:color w:val="auto"/>
                <w:spacing w:val="-3"/>
                <w:highlight w:val="none"/>
              </w:rPr>
              <w:t>数量</w:t>
            </w:r>
          </w:p>
        </w:tc>
        <w:tc>
          <w:tcPr>
            <w:tcW w:w="1169" w:type="dxa"/>
            <w:vAlign w:val="top"/>
          </w:tcPr>
          <w:p>
            <w:pPr>
              <w:pStyle w:val="34"/>
              <w:keepNext w:val="0"/>
              <w:keepLines w:val="0"/>
              <w:pageBreakBefore w:val="0"/>
              <w:widowControl w:val="0"/>
              <w:kinsoku/>
              <w:wordWrap/>
              <w:topLinePunct w:val="0"/>
              <w:autoSpaceDE/>
              <w:autoSpaceDN/>
              <w:bidi w:val="0"/>
              <w:adjustRightInd/>
              <w:snapToGrid/>
              <w:spacing w:before="251" w:line="493" w:lineRule="exact"/>
              <w:ind w:left="0" w:leftChars="0" w:firstLine="0" w:firstLineChars="0"/>
              <w:textAlignment w:val="auto"/>
              <w:rPr>
                <w:color w:val="auto"/>
                <w:highlight w:val="none"/>
              </w:rPr>
            </w:pPr>
            <w:r>
              <w:rPr>
                <w:color w:val="auto"/>
                <w:spacing w:val="-2"/>
                <w:position w:val="21"/>
                <w:highlight w:val="none"/>
              </w:rPr>
              <w:t>含税单价</w:t>
            </w:r>
          </w:p>
          <w:p>
            <w:pPr>
              <w:pStyle w:val="34"/>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15"/>
                <w:highlight w:val="none"/>
              </w:rPr>
              <w:t>(元)</w:t>
            </w:r>
          </w:p>
        </w:tc>
        <w:tc>
          <w:tcPr>
            <w:tcW w:w="1549" w:type="dxa"/>
            <w:vAlign w:val="top"/>
          </w:tcPr>
          <w:p>
            <w:pPr>
              <w:pStyle w:val="34"/>
              <w:keepNext w:val="0"/>
              <w:keepLines w:val="0"/>
              <w:pageBreakBefore w:val="0"/>
              <w:widowControl w:val="0"/>
              <w:kinsoku/>
              <w:wordWrap/>
              <w:topLinePunct w:val="0"/>
              <w:autoSpaceDE/>
              <w:autoSpaceDN/>
              <w:bidi w:val="0"/>
              <w:adjustRightInd/>
              <w:snapToGrid/>
              <w:spacing w:before="253" w:line="511" w:lineRule="exact"/>
              <w:ind w:left="0" w:leftChars="0" w:firstLine="0" w:firstLineChars="0"/>
              <w:textAlignment w:val="auto"/>
              <w:rPr>
                <w:color w:val="auto"/>
                <w:highlight w:val="none"/>
              </w:rPr>
            </w:pPr>
            <w:r>
              <w:rPr>
                <w:color w:val="auto"/>
                <w:spacing w:val="-2"/>
                <w:position w:val="23"/>
                <w:highlight w:val="none"/>
              </w:rPr>
              <w:t>合计金额</w:t>
            </w:r>
          </w:p>
          <w:p>
            <w:pPr>
              <w:pStyle w:val="34"/>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color w:val="auto"/>
                <w:highlight w:val="none"/>
              </w:rPr>
            </w:pPr>
            <w:r>
              <w:rPr>
                <w:color w:val="auto"/>
                <w:spacing w:val="15"/>
                <w:highlight w:val="none"/>
              </w:rPr>
              <w:t>(元)</w:t>
            </w:r>
          </w:p>
        </w:tc>
        <w:tc>
          <w:tcPr>
            <w:tcW w:w="103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r>
              <w:rPr>
                <w:color w:val="auto"/>
                <w:spacing w:val="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color w:val="auto"/>
                <w:highlight w:val="none"/>
              </w:rPr>
            </w:pPr>
            <w:r>
              <w:rPr>
                <w:color w:val="auto"/>
                <w:highlight w:val="none"/>
              </w:rPr>
              <w:t>1</w:t>
            </w:r>
          </w:p>
        </w:tc>
        <w:tc>
          <w:tcPr>
            <w:tcW w:w="1508" w:type="dxa"/>
            <w:vAlign w:val="top"/>
          </w:tcPr>
          <w:p>
            <w:pPr>
              <w:pStyle w:val="34"/>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keepNext w:val="0"/>
              <w:keepLines w:val="0"/>
              <w:pageBreakBefore w:val="0"/>
              <w:widowControl w:val="0"/>
              <w:kinsoku/>
              <w:wordWrap/>
              <w:topLinePunct w:val="0"/>
              <w:autoSpaceDE/>
              <w:autoSpaceDN/>
              <w:bidi w:val="0"/>
              <w:adjustRightInd/>
              <w:snapToGrid/>
              <w:spacing w:line="440"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keepNext w:val="0"/>
              <w:keepLines w:val="0"/>
              <w:pageBreakBefore w:val="0"/>
              <w:widowControl w:val="0"/>
              <w:kinsoku/>
              <w:wordWrap/>
              <w:topLinePunct w:val="0"/>
              <w:autoSpaceDE/>
              <w:autoSpaceDN/>
              <w:bidi w:val="0"/>
              <w:adjustRightInd/>
              <w:snapToGrid/>
              <w:spacing w:line="434"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ascii="Arial"/>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ascii="Arial"/>
                <w:color w:val="auto"/>
                <w:sz w:val="21"/>
                <w:highlight w:val="none"/>
              </w:rPr>
            </w:pPr>
          </w:p>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center"/>
          </w:tcPr>
          <w:p>
            <w:pPr>
              <w:pStyle w:val="34"/>
              <w:keepNext w:val="0"/>
              <w:keepLines w:val="0"/>
              <w:pageBreakBefore w:val="0"/>
              <w:widowControl w:val="0"/>
              <w:kinsoku/>
              <w:wordWrap/>
              <w:topLinePunct w:val="0"/>
              <w:autoSpaceDE/>
              <w:autoSpaceDN/>
              <w:bidi w:val="0"/>
              <w:adjustRightInd/>
              <w:snapToGrid/>
              <w:spacing w:before="68" w:line="184" w:lineRule="auto"/>
              <w:ind w:left="0" w:leftChars="0" w:firstLine="0" w:firstLineChars="0"/>
              <w:jc w:val="both"/>
              <w:textAlignment w:val="auto"/>
              <w:rPr>
                <w:rFonts w:hint="eastAsia" w:eastAsia="宋体"/>
                <w:color w:val="auto"/>
                <w:highlight w:val="none"/>
                <w:lang w:val="en-US" w:eastAsia="zh-CN"/>
              </w:rPr>
            </w:pPr>
            <w:r>
              <w:rPr>
                <w:rFonts w:hint="eastAsia"/>
                <w:color w:val="auto"/>
                <w:highlight w:val="none"/>
                <w:lang w:val="en-US" w:eastAsia="zh-CN"/>
              </w:rPr>
              <w:t>2</w:t>
            </w:r>
          </w:p>
        </w:tc>
        <w:tc>
          <w:tcPr>
            <w:tcW w:w="1508" w:type="dxa"/>
            <w:vAlign w:val="top"/>
          </w:tcPr>
          <w:p>
            <w:pPr>
              <w:pStyle w:val="34"/>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pStyle w:val="34"/>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pStyle w:val="34"/>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pStyle w:val="34"/>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rFonts w:hint="eastAsia"/>
                <w:color w:val="auto"/>
                <w:highlight w:val="none"/>
                <w:lang w:val="en-US" w:eastAsia="zh-CN"/>
              </w:rPr>
            </w:pPr>
          </w:p>
        </w:tc>
        <w:tc>
          <w:tcPr>
            <w:tcW w:w="1508" w:type="dxa"/>
            <w:vAlign w:val="top"/>
          </w:tcPr>
          <w:p>
            <w:pPr>
              <w:pStyle w:val="34"/>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color w:val="auto"/>
                <w:highlight w:val="none"/>
              </w:rPr>
            </w:pPr>
          </w:p>
        </w:tc>
        <w:tc>
          <w:tcPr>
            <w:tcW w:w="1139" w:type="dxa"/>
            <w:vAlign w:val="top"/>
          </w:tcPr>
          <w:p>
            <w:pPr>
              <w:pStyle w:val="34"/>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color w:val="auto"/>
                <w:highlight w:val="none"/>
              </w:rPr>
            </w:pPr>
          </w:p>
        </w:tc>
        <w:tc>
          <w:tcPr>
            <w:tcW w:w="140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669" w:type="dxa"/>
            <w:vAlign w:val="top"/>
          </w:tcPr>
          <w:p>
            <w:pPr>
              <w:pStyle w:val="34"/>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color w:val="auto"/>
                <w:highlight w:val="none"/>
              </w:rPr>
            </w:pPr>
          </w:p>
        </w:tc>
        <w:tc>
          <w:tcPr>
            <w:tcW w:w="74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16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549" w:type="dxa"/>
            <w:vAlign w:val="top"/>
          </w:tcPr>
          <w:p>
            <w:pPr>
              <w:pStyle w:val="34"/>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930" w:type="dxa"/>
            <w:gridSpan w:val="9"/>
            <w:vAlign w:val="top"/>
          </w:tcPr>
          <w:p>
            <w:pPr>
              <w:pStyle w:val="34"/>
              <w:keepNext w:val="0"/>
              <w:keepLines w:val="0"/>
              <w:pageBreakBefore w:val="0"/>
              <w:widowControl w:val="0"/>
              <w:kinsoku/>
              <w:wordWrap/>
              <w:topLinePunct w:val="0"/>
              <w:autoSpaceDE/>
              <w:autoSpaceDN/>
              <w:bidi w:val="0"/>
              <w:adjustRightInd/>
              <w:snapToGrid/>
              <w:spacing w:before="276" w:line="225" w:lineRule="auto"/>
              <w:ind w:left="0" w:leftChars="0" w:firstLine="0" w:firstLineChars="0"/>
              <w:textAlignment w:val="auto"/>
              <w:rPr>
                <w:color w:val="auto"/>
                <w:highlight w:val="none"/>
              </w:rPr>
            </w:pPr>
            <w:r>
              <w:rPr>
                <w:color w:val="auto"/>
                <w:highlight w:val="none"/>
              </w:rPr>
              <w:t>总计：人民币(大写)</w:t>
            </w:r>
            <w:r>
              <w:rPr>
                <w:rFonts w:hint="eastAsia"/>
                <w:color w:val="auto"/>
                <w:highlight w:val="none"/>
                <w:lang w:val="en-US" w:eastAsia="zh-CN"/>
              </w:rPr>
              <w:t xml:space="preserve"> </w:t>
            </w:r>
            <w:r>
              <w:rPr>
                <w:color w:val="auto"/>
                <w:spacing w:val="5"/>
                <w:highlight w:val="none"/>
              </w:rPr>
              <w:t xml:space="preserve">                   </w:t>
            </w:r>
            <w:r>
              <w:rPr>
                <w:rFonts w:hint="eastAsia"/>
                <w:color w:val="auto"/>
                <w:spacing w:val="5"/>
                <w:highlight w:val="none"/>
                <w:lang w:val="en-US" w:eastAsia="zh-CN"/>
              </w:rPr>
              <w:t xml:space="preserve">            </w:t>
            </w:r>
            <w:r>
              <w:rPr>
                <w:color w:val="auto"/>
                <w:position w:val="-1"/>
                <w:highlight w:val="none"/>
              </w:rPr>
              <w:t>(小写)</w:t>
            </w:r>
            <w:r>
              <w:rPr>
                <w:rFonts w:hint="eastAsia"/>
                <w:color w:val="auto"/>
                <w:position w:val="-1"/>
                <w:highlight w:val="none"/>
                <w:lang w:val="en-US" w:eastAsia="zh-CN"/>
              </w:rPr>
              <w:t xml:space="preserve">          </w:t>
            </w:r>
            <w:r>
              <w:rPr>
                <w:color w:val="auto"/>
                <w:position w:val="-1"/>
                <w:highlight w:val="none"/>
              </w:rPr>
              <w:t>元</w:t>
            </w:r>
          </w:p>
        </w:tc>
      </w:tr>
    </w:tbl>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本合同为固定总价，上述合同总价为固定不变金额，包括但不限于以下全部项目：货物供给、货物包装、运</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rPr>
        <w:t>输费、装卸费、安装调试费、税金、相关手续费、保修费和保险等的全部费用。乙方应保证</w:t>
      </w:r>
      <w:r>
        <w:rPr>
          <w:rFonts w:ascii="宋体" w:hAnsi="宋体" w:eastAsia="宋体" w:cs="宋体"/>
          <w:color w:val="auto"/>
          <w:spacing w:val="-1"/>
          <w:sz w:val="21"/>
          <w:szCs w:val="21"/>
          <w:highlight w:val="none"/>
        </w:rPr>
        <w:t>甲方除支付合同约定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货款之外无需再行支付其他任何费用和款项。</w:t>
      </w:r>
    </w:p>
    <w:p>
      <w:pPr>
        <w:keepNext w:val="0"/>
        <w:keepLines w:val="0"/>
        <w:pageBreakBefore w:val="0"/>
        <w:widowControl w:val="0"/>
        <w:kinsoku/>
        <w:wordWrap/>
        <w:topLinePunct w:val="0"/>
        <w:autoSpaceDE/>
        <w:autoSpaceDN/>
        <w:bidi w:val="0"/>
        <w:adjustRightInd/>
        <w:snapToGrid/>
        <w:spacing w:before="92"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二、</w:t>
      </w:r>
      <w:r>
        <w:rPr>
          <w:rFonts w:ascii="宋体" w:hAnsi="宋体" w:eastAsia="宋体" w:cs="宋体"/>
          <w:color w:val="auto"/>
          <w:spacing w:val="-44"/>
          <w:sz w:val="21"/>
          <w:szCs w:val="21"/>
          <w:highlight w:val="none"/>
        </w:rPr>
        <w:t xml:space="preserve"> </w:t>
      </w:r>
      <w:r>
        <w:rPr>
          <w:rFonts w:ascii="宋体" w:hAnsi="宋体" w:eastAsia="宋体" w:cs="宋体"/>
          <w:color w:val="auto"/>
          <w:spacing w:val="-10"/>
          <w:sz w:val="21"/>
          <w:szCs w:val="21"/>
          <w:highlight w:val="none"/>
        </w:rPr>
        <w:t>制造商及原产地</w:t>
      </w:r>
    </w:p>
    <w:p>
      <w:pPr>
        <w:keepNext w:val="0"/>
        <w:keepLines w:val="0"/>
        <w:pageBreakBefore w:val="0"/>
        <w:widowControl w:val="0"/>
        <w:kinsoku/>
        <w:wordWrap/>
        <w:topLinePunct w:val="0"/>
        <w:autoSpaceDE/>
        <w:autoSpaceDN/>
        <w:bidi w:val="0"/>
        <w:adjustRightInd/>
        <w:snapToGrid/>
        <w:spacing w:before="80" w:line="350" w:lineRule="exact"/>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color w:val="auto"/>
          <w:spacing w:val="-1"/>
          <w:position w:val="10"/>
          <w:sz w:val="21"/>
          <w:szCs w:val="21"/>
          <w:highlight w:val="none"/>
        </w:rPr>
        <w:t>制造商：</w:t>
      </w:r>
      <w:r>
        <w:rPr>
          <w:rFonts w:hint="eastAsia" w:ascii="宋体" w:hAnsi="宋体" w:eastAsia="宋体" w:cs="宋体"/>
          <w:color w:val="auto"/>
          <w:spacing w:val="-1"/>
          <w:position w:val="10"/>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 w:line="218" w:lineRule="auto"/>
        <w:ind w:left="0" w:leftChars="0" w:firstLine="0" w:firstLineChars="0"/>
        <w:textAlignment w:val="auto"/>
        <w:rPr>
          <w:rFonts w:hint="default" w:ascii="宋体" w:hAnsi="宋体" w:eastAsia="宋体" w:cs="宋体"/>
          <w:color w:val="auto"/>
          <w:sz w:val="21"/>
          <w:szCs w:val="21"/>
          <w:highlight w:val="none"/>
          <w:u w:val="single"/>
          <w:lang w:val="en-US" w:eastAsia="zh-CN"/>
        </w:rPr>
      </w:pPr>
      <w:r>
        <w:rPr>
          <w:rFonts w:ascii="宋体" w:hAnsi="宋体" w:eastAsia="宋体" w:cs="宋体"/>
          <w:color w:val="auto"/>
          <w:spacing w:val="-2"/>
          <w:sz w:val="21"/>
          <w:szCs w:val="21"/>
          <w:highlight w:val="none"/>
        </w:rPr>
        <w:t>原产地：</w:t>
      </w:r>
      <w:r>
        <w:rPr>
          <w:rFonts w:hint="eastAsia" w:ascii="宋体" w:hAnsi="宋体" w:eastAsia="宋体" w:cs="宋体"/>
          <w:color w:val="auto"/>
          <w:spacing w:val="-2"/>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81"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三</w:t>
      </w:r>
      <w:r>
        <w:rPr>
          <w:rFonts w:ascii="宋体" w:hAnsi="宋体" w:eastAsia="宋体" w:cs="宋体"/>
          <w:color w:val="auto"/>
          <w:spacing w:val="-18"/>
          <w:sz w:val="21"/>
          <w:szCs w:val="21"/>
          <w:highlight w:val="none"/>
        </w:rPr>
        <w:t xml:space="preserve"> </w:t>
      </w:r>
      <w:r>
        <w:rPr>
          <w:rFonts w:ascii="宋体" w:hAnsi="宋体" w:eastAsia="宋体" w:cs="宋体"/>
          <w:color w:val="auto"/>
          <w:spacing w:val="-9"/>
          <w:sz w:val="21"/>
          <w:szCs w:val="21"/>
          <w:highlight w:val="none"/>
        </w:rPr>
        <w:t>、系统配置：详见附件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四、随机的必备品、配件、工具及其数量：</w:t>
      </w:r>
      <w:r>
        <w:rPr>
          <w:rFonts w:ascii="宋体" w:hAnsi="宋体" w:eastAsia="宋体" w:cs="宋体"/>
          <w:color w:val="auto"/>
          <w:spacing w:val="-1"/>
          <w:sz w:val="21"/>
          <w:szCs w:val="21"/>
          <w:highlight w:val="none"/>
        </w:rPr>
        <w:t>乙方应按产品说明书和装箱单及出厂要求配备必须的备品、配件和专</w:t>
      </w:r>
      <w:r>
        <w:rPr>
          <w:rFonts w:ascii="宋体" w:hAnsi="宋体" w:eastAsia="宋体" w:cs="宋体"/>
          <w:color w:val="auto"/>
          <w:spacing w:val="-8"/>
          <w:sz w:val="21"/>
          <w:szCs w:val="21"/>
          <w:highlight w:val="none"/>
        </w:rPr>
        <w:t>用工具。</w:t>
      </w:r>
    </w:p>
    <w:p>
      <w:pPr>
        <w:keepNext w:val="0"/>
        <w:keepLines w:val="0"/>
        <w:pageBreakBefore w:val="0"/>
        <w:widowControl w:val="0"/>
        <w:kinsoku/>
        <w:wordWrap/>
        <w:topLinePunct w:val="0"/>
        <w:autoSpaceDE/>
        <w:autoSpaceDN/>
        <w:bidi w:val="0"/>
        <w:adjustRightInd/>
        <w:snapToGrid/>
        <w:spacing w:before="96" w:line="219" w:lineRule="auto"/>
        <w:ind w:left="0" w:leftChars="0" w:firstLine="0" w:firstLineChars="0"/>
        <w:textAlignment w:val="auto"/>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五、交货期、地点、保修期：</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a) 交货期：自合同签订之日起</w:t>
      </w:r>
      <w:r>
        <w:rPr>
          <w:rFonts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u w:val="single"/>
        </w:rPr>
        <w:t xml:space="preserve">  </w:t>
      </w:r>
      <w:r>
        <w:rPr>
          <w:rFonts w:ascii="宋体" w:hAnsi="宋体" w:eastAsia="宋体" w:cs="宋体"/>
          <w:color w:val="auto"/>
          <w:spacing w:val="-1"/>
          <w:sz w:val="21"/>
          <w:szCs w:val="21"/>
          <w:highlight w:val="none"/>
        </w:rPr>
        <w:t>天内(按合同签订之日算起),将货物运送至甲方指定地点，并负责完成安装调试，配合甲方完成验收。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b) 交货地点：甲方指定。</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c) 质保期：系统安装验收合格之日起</w:t>
      </w:r>
      <w:r>
        <w:rPr>
          <w:rFonts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rPr>
        <w:t>年，提供整机(包含附件)原厂保修服务，承担保修期内设备任何故障产生的费用。</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六、售后服务：详见附件，需涵盖以下条款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w:t>
      </w:r>
      <w:r>
        <w:rPr>
          <w:rFonts w:ascii="宋体" w:hAnsi="宋体" w:eastAsia="宋体" w:cs="宋体"/>
          <w:color w:val="auto"/>
          <w:sz w:val="21"/>
          <w:szCs w:val="21"/>
          <w:highlight w:val="none"/>
        </w:rPr>
        <w:t>保修期自验收合格时起，在保修期间，乙方需提供免费的维修及零配件更换；在甲方发出要求服务通知的2</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小时内，乙方指派的服务人员必须到达用户方现场，对设备出现的较大的问题，解决时间不超过3个日历日。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z w:val="21"/>
          <w:szCs w:val="21"/>
          <w:highlight w:val="none"/>
        </w:rPr>
        <w:t>设备如出现故障，乙方二小时内回应，二十四小时内排除故障，如一天不能解决处理的，应向甲方提供同类型的应急代用设备，如相同的事故出现两次将无偿更换新机或退回甲方货款。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4、如设备维修调试后达不到合同或招投标文件规定的质量或技术指标要求，甲方有权提出退货</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并要求乙方退回货款。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5、保修期外，终身免费维修，定期保养，最优惠提供零配件、易损件和耗材。</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6、疆内设有常年维修点或提供常驻维修人员。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7、乙方接到甲方通知后未依照约定时间到场提供维修(包括零配件更换)保养等售后服务的，甲方有权另行聘请专业人员进行维修处理，产生的合理费用在合同总金额</w:t>
      </w:r>
      <w:r>
        <w:rPr>
          <w:rFonts w:hint="eastAsia" w:ascii="宋体" w:hAnsi="宋体" w:eastAsia="宋体" w:cs="宋体"/>
          <w:color w:val="auto"/>
          <w:sz w:val="21"/>
          <w:szCs w:val="21"/>
          <w:highlight w:val="none"/>
          <w:u w:val="single"/>
          <w:lang w:val="en-US" w:eastAsia="zh-CN"/>
        </w:rPr>
        <w:t xml:space="preserve"> 10  </w:t>
      </w:r>
      <w:r>
        <w:rPr>
          <w:rFonts w:ascii="宋体" w:hAnsi="宋体" w:eastAsia="宋体" w:cs="宋体"/>
          <w:color w:val="auto"/>
          <w:sz w:val="21"/>
          <w:szCs w:val="21"/>
          <w:highlight w:val="none"/>
        </w:rPr>
        <w:t>%中予以扣除，不足部分，乙方应予以补足。</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8、乙方应当按照附件及本约定履行售后服</w:t>
      </w:r>
      <w:r>
        <w:rPr>
          <w:color w:val="auto"/>
          <w:highlight w:val="none"/>
        </w:rPr>
        <w:t>务义务</w:t>
      </w:r>
      <w:r>
        <w:rPr>
          <w:rFonts w:ascii="宋体" w:hAnsi="宋体" w:eastAsia="宋体" w:cs="宋体"/>
          <w:color w:val="auto"/>
          <w:sz w:val="21"/>
          <w:szCs w:val="21"/>
          <w:highlight w:val="none"/>
        </w:rPr>
        <w:t>，附件与本约定不一致的，以本约定为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七、付款方式：</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1、合同签订后</w:t>
      </w:r>
      <w:r>
        <w:rPr>
          <w:rFonts w:hint="eastAsia" w:ascii="宋体" w:hAnsi="宋体" w:eastAsia="宋体" w:cs="宋体"/>
          <w:color w:val="auto"/>
          <w:sz w:val="21"/>
          <w:szCs w:val="21"/>
          <w:highlight w:val="none"/>
          <w:lang w:val="en-US" w:eastAsia="zh-CN"/>
        </w:rPr>
        <w:t>三</w:t>
      </w:r>
      <w:r>
        <w:rPr>
          <w:rFonts w:ascii="宋体" w:hAnsi="宋体" w:eastAsia="宋体" w:cs="宋体"/>
          <w:color w:val="auto"/>
          <w:sz w:val="21"/>
          <w:szCs w:val="21"/>
          <w:highlight w:val="none"/>
        </w:rPr>
        <w:t>十</w:t>
      </w:r>
      <w:r>
        <w:rPr>
          <w:rFonts w:hint="eastAsia" w:ascii="宋体" w:hAnsi="宋体" w:eastAsia="宋体" w:cs="宋体"/>
          <w:color w:val="auto"/>
          <w:sz w:val="21"/>
          <w:szCs w:val="21"/>
          <w:highlight w:val="none"/>
        </w:rPr>
        <w:t>个工作日</w:t>
      </w:r>
      <w:r>
        <w:rPr>
          <w:rFonts w:ascii="宋体" w:hAnsi="宋体" w:eastAsia="宋体" w:cs="宋体"/>
          <w:color w:val="auto"/>
          <w:sz w:val="21"/>
          <w:szCs w:val="21"/>
          <w:highlight w:val="none"/>
        </w:rPr>
        <w:t>内支付合同价</w:t>
      </w:r>
      <w:r>
        <w:rPr>
          <w:rFonts w:hint="eastAsia" w:ascii="宋体" w:hAnsi="宋体" w:eastAsia="宋体" w:cs="宋体"/>
          <w:color w:val="auto"/>
          <w:sz w:val="21"/>
          <w:szCs w:val="21"/>
          <w:highlight w:val="none"/>
          <w:u w:val="single"/>
          <w:lang w:val="en-US" w:eastAsia="zh-CN"/>
        </w:rPr>
        <w:t xml:space="preserve">  50  </w:t>
      </w:r>
      <w:r>
        <w:rPr>
          <w:rFonts w:ascii="宋体" w:hAnsi="宋体" w:eastAsia="宋体" w:cs="宋体"/>
          <w:color w:val="auto"/>
          <w:sz w:val="21"/>
          <w:szCs w:val="21"/>
          <w:highlight w:val="none"/>
        </w:rPr>
        <w:t>%预付款；</w:t>
      </w:r>
      <w:r>
        <w:rPr>
          <w:rFonts w:hint="eastAsia" w:ascii="宋体" w:hAnsi="宋体" w:eastAsia="宋体" w:cs="宋体"/>
          <w:color w:val="auto"/>
          <w:sz w:val="21"/>
          <w:szCs w:val="21"/>
          <w:highlight w:val="none"/>
        </w:rPr>
        <w:t>货物抵达交货地点安装、调试完毕且经甲方验收合格支付合同总金额的</w:t>
      </w:r>
      <w:r>
        <w:rPr>
          <w:rFonts w:hint="eastAsia" w:ascii="宋体" w:hAnsi="宋体" w:eastAsia="宋体" w:cs="宋体"/>
          <w:color w:val="auto"/>
          <w:sz w:val="21"/>
          <w:szCs w:val="21"/>
          <w:highlight w:val="none"/>
          <w:u w:val="single"/>
          <w:lang w:val="en-US" w:eastAsia="zh-CN"/>
        </w:rPr>
        <w:t xml:space="preserve">  47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%,即(人民币大写：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整，小写：¥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lang w:val="en-US" w:eastAsia="zh-CN"/>
        </w:rPr>
        <w:t>（如设备验收不合格甲方有权拒绝付款并要求退货）</w:t>
      </w:r>
      <w:r>
        <w:rPr>
          <w:rFonts w:hint="eastAsia" w:ascii="宋体" w:hAnsi="宋体" w:eastAsia="宋体" w:cs="宋体"/>
          <w:color w:val="auto"/>
          <w:sz w:val="21"/>
          <w:szCs w:val="21"/>
          <w:highlight w:val="none"/>
        </w:rPr>
        <w:t>待设备首次验收合格之日起满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年后，</w:t>
      </w:r>
      <w:r>
        <w:rPr>
          <w:rFonts w:hint="eastAsia" w:ascii="宋体" w:hAnsi="宋体" w:eastAsia="宋体" w:cs="宋体"/>
          <w:color w:val="auto"/>
          <w:sz w:val="21"/>
          <w:szCs w:val="21"/>
          <w:highlight w:val="none"/>
          <w:lang w:val="en-US" w:eastAsia="zh-CN"/>
        </w:rPr>
        <w:t>且无质量问题质保争议的</w:t>
      </w:r>
      <w:r>
        <w:rPr>
          <w:rFonts w:hint="eastAsia" w:ascii="宋体" w:hAnsi="宋体" w:eastAsia="宋体" w:cs="宋体"/>
          <w:color w:val="auto"/>
          <w:sz w:val="21"/>
          <w:szCs w:val="21"/>
          <w:highlight w:val="none"/>
        </w:rPr>
        <w:t>，无息支付合同总金额的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整，小写：¥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2、以上付款均需乙方在符合付款条件下，先向甲方提交真实合法有效且符合甲方财务做账要求的等额增值税发票并提出书面付款申请，由甲方财务审核通过后，按照甲方财务计划予以支付。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、乙方银行账户信息：</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 xml:space="preserve">开户行：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八、包装标准：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 乙方提供的全部货物须采用相应标准的保护措施进行包装。这种包装应适于航空、海运和内陆运输，并有良 好的防潮、防震、防锈和防野蛮装卸的保护措施，以确保货物安全运抵交货地点。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 由于乙方包装或其防护措施不妥而引起货物锈蚀、损坏和丢失的任何损失的责任或费用由乙方承担。 3、除双方特殊约定以外，乙方提供的包装物费用包括在本合同总价中。</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4、乙方负责将送至甲方指定地点的设备包装物从甲方工作场所中清除出去，不得给甲方工作人员或环境造成影响，否则将承担相应的责任，赔偿甲方的损失。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5、货物在运输途中的安全问题均由乙方负责。</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九、技术参数：乙方负责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十、安装调试：</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1、乙方必须在合同签订后1周内将所有的安装调试条件、需甲方配合的事项以书面方式通知甲方；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2、乙方负责物品的运送、安装、调试、技术协助、校准、培训以及其他类似等工作，直至该物品可以正常使用。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3、乙方应指派专业的技术人员对甲方的设备维修人员及使用人员进行免费培训，确保维修人员能对设备进行日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常维护和一般性故障的查找及故障的排除，确保使用人员能够熟练掌握设备的各项功能和操作，且上述费用已包含在合同总价中，甲方不再另行支付。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4、在安装调试期间，因物件发生的事故及造成任何人身伤亡，由乙方承担全部责任责任。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十一、验收标准：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1、单证齐全：应有产品合格证(或质量证明)、使用说明、保修证明、发票和其他应具有的单证。同时由乙方 提供该套设备的商检证，需计量鉴定的，还需提供初次计量鉴定证书。</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2、质量符合国家法律法规规定的标准、招标文件和投标文件的要求。其中有关设备名称、制造商、数量等信息须符合投标文件和配置清单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3、设备到达用户所在地后，由甲、乙双方负责对货物进行数量、包装及品质的验收。确定与合同规定相符后，乙方工程师须</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7 </w:t>
      </w:r>
      <w:r>
        <w:rPr>
          <w:rFonts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天内负责对设备进行安装调试。因乙方原因造成不能按时完成安装调试工作，乙方应承担甲方由此所受的损失。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设备正常运行15-30日，</w:t>
      </w:r>
      <w:r>
        <w:rPr>
          <w:rFonts w:ascii="宋体" w:hAnsi="宋体" w:eastAsia="宋体" w:cs="宋体"/>
          <w:color w:val="auto"/>
          <w:sz w:val="21"/>
          <w:szCs w:val="21"/>
          <w:highlight w:val="none"/>
        </w:rPr>
        <w:t>甲方设备使用科室最终签发相关的安装验收合格报告，并且甲方有权委托中国有资质的单位对仪器进行精度校核，所发生的费用由乙方承担且乙方同意授权甲方从应付货款中直接扣除。</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6、根据《中华人民共和国强制检定的工作计量器具目录》及招标文件要求，属于计量器具需要进行计量检定、校准的设备，由乙方承担首次技术监督局的检定、校准费用，并提供承诺函。</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十二、质量技术标准及损害赔偿：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2、乙方应保证其提供的货物是原产地的原装产品，是全新的、未使用过的，采用的是最佳材料和第一流的工艺，并在各个方面符合合同规定的质量、规格和性能要求。否则按退货处理。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4、设备在保修期内，如出现三次以上(含三次)因质量问题引起的故障，乙方负责更换同类新的货物，以达到合同规定的规格、质量和性能，并从更换之日起重新计算被更换货物的保修期，由此产生的一切费用由乙方承担。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5、如因为乙方设备质量原因，导致甲方损失，由乙方承担全部责任并赔偿甲方所有损失。如因乙方提供的设备发生医疗器械不良事件，乙方应承担全部责任和所有费用。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十三、合同修改、变更、转让及专利权：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1、未经甲方书面同意，乙方不得对合同条款及服务内容进行任何修改、变更。并且不得转让其应履行的义务。否则，甲方有权终止合同，所发生的损失由乙方全部承担。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2、乙方须保障甲方在使用其设备、服务及其任何部分不受到第三方关于侵犯专利权、商标权或工业设计权的指控。任何第三方提出侵权指控，乙方须与第三方交涉并承担由此而引起的一切法律责任和费用。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十五、违约责任：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乙方交付设备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w:t>
      </w:r>
      <w:r>
        <w:rPr>
          <w:rFonts w:ascii="宋体" w:hAnsi="宋体" w:eastAsia="宋体" w:cs="宋体"/>
          <w:color w:val="auto"/>
          <w:sz w:val="21"/>
          <w:szCs w:val="21"/>
          <w:highlight w:val="none"/>
          <w:u w:val="single"/>
        </w:rPr>
        <w:t>10</w:t>
      </w:r>
      <w:r>
        <w:rPr>
          <w:rFonts w:ascii="宋体" w:hAnsi="宋体" w:eastAsia="宋体" w:cs="宋体"/>
          <w:color w:val="auto"/>
          <w:sz w:val="21"/>
          <w:szCs w:val="21"/>
          <w:highlight w:val="none"/>
        </w:rPr>
        <w:t>%承担违约金。同时，甲方有权选择退货，乙方应承担因退货而发生的一切直接损失和费用并按照本合同总金额</w:t>
      </w:r>
      <w:r>
        <w:rPr>
          <w:rFonts w:ascii="宋体" w:hAnsi="宋体" w:eastAsia="宋体" w:cs="宋体"/>
          <w:color w:val="auto"/>
          <w:sz w:val="21"/>
          <w:szCs w:val="21"/>
          <w:highlight w:val="none"/>
          <w:u w:val="single"/>
        </w:rPr>
        <w:t>10</w:t>
      </w:r>
      <w:r>
        <w:rPr>
          <w:rFonts w:ascii="宋体" w:hAnsi="宋体" w:eastAsia="宋体" w:cs="宋体"/>
          <w:color w:val="auto"/>
          <w:sz w:val="21"/>
          <w:szCs w:val="21"/>
          <w:highlight w:val="none"/>
        </w:rPr>
        <w:t>%向甲方支付违约金。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2、乙方逾期交货的，按逾期交货部分货款计算，乙方向甲方偿付每日千分之五的违约金，逾期十天以上的，甲方有权解除合同，乙方应当承担因终止合同而发生的一切直接损失和费用。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3、如因乙方原因设备未按投标文件确定的日期进行维修或维修未达到甲方要求，违反有关质量保证及售后服务的，在甲方提出赔偿十日内，乙方应当按照甲方赔偿要求赔偿数额支付。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4、乙方不得以任何形式在任何情况下对甲方工作人员进行商业贿赂活动，否则甲方有权单方解除合同，同时乙方需按照本合同总金额20%向甲方支付违约金并承担相应的法律责任。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十六、赔偿、追索权：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 署的其他合同乙方的权利中，追偿上述经济损失及违约金。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2、本合同所有条款约定的违约金、赔偿金等均应以人民币的方式支付，双方明确按照第一次购汇当日的银行汇卖价，即购汇凭单上的购汇汇率，作为今后违约金、赔偿金等结算支付的汇率。</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十七、解决合同纠纷的方式：</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1、合同双方本着诚实、公平合理的原则协商解决，协商仍不能达成共识，可向甲方所在地人民法院提起诉讼。</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2、在诉讼期间，合同未发生争议部分应当继续履行。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十八、其它：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2、乙方保证提供的资质是真实的，与原件相符。否则，产生的责任及给甲方造成的损失均由乙方承担并赔偿。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3、乙方保证合同中提供的电话、传真、开户银行、账号等信息准确无误。否则造成的责任及损失由乙方承担。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4、本合同应按中华人民共和国的相关法律解释，合同内容如遇国家法律、法规及政策另有规定的，从其规定。</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5、本合同文本一式五份，甲方执四份、乙方执一份，均具有同等的法律效力。自甲、乙双方签字盖章之日起生效，双方如有未尽事宜，可另行友好协商解决。</w:t>
      </w:r>
    </w:p>
    <w:p>
      <w:pPr>
        <w:keepNext w:val="0"/>
        <w:keepLines w:val="0"/>
        <w:pageBreakBefore w:val="0"/>
        <w:widowControl w:val="0"/>
        <w:kinsoku/>
        <w:wordWrap/>
        <w:topLinePunct w:val="0"/>
        <w:autoSpaceDE/>
        <w:autoSpaceDN/>
        <w:bidi w:val="0"/>
        <w:adjustRightInd/>
        <w:snapToGrid/>
        <w:spacing w:before="111"/>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before="110"/>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sectPr>
          <w:footerReference r:id="rId10" w:type="default"/>
          <w:pgSz w:w="11880" w:h="16820"/>
          <w:pgMar w:top="1440" w:right="1800" w:bottom="1440" w:left="1800" w:header="0" w:footer="419" w:gutter="0"/>
          <w:pgNumType w:fmt="decimal"/>
          <w:cols w:equalWidth="0" w:num="1">
            <w:col w:w="10247"/>
          </w:cols>
        </w:sect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color w:val="auto"/>
          <w:highlight w:val="none"/>
          <w:lang w:eastAsia="zh-CN"/>
        </w:rPr>
      </w:pPr>
      <w:r>
        <w:rPr>
          <w:color w:val="auto"/>
          <w:highlight w:val="none"/>
        </w:rPr>
        <w:t>甲方：</w:t>
      </w:r>
      <w:r>
        <w:rPr>
          <w:rFonts w:hint="eastAsia"/>
          <w:color w:val="auto"/>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甲方法人：</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甲方代表：</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台同专用草：</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单位地址：</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单位电话：</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default"/>
          <w:color w:val="auto"/>
          <w:highlight w:val="none"/>
          <w:lang w:val="en-US" w:eastAsia="zh-CN"/>
        </w:rPr>
      </w:pPr>
      <w:r>
        <w:rPr>
          <w:color w:val="auto"/>
          <w:highlight w:val="none"/>
        </w:rPr>
        <w:t xml:space="preserve">合同签订时间 </w:t>
      </w:r>
      <w:r>
        <w:rPr>
          <w:rFonts w:hint="eastAsia"/>
          <w:color w:val="auto"/>
          <w:highlight w:val="none"/>
          <w:lang w:eastAsia="zh-CN"/>
        </w:rPr>
        <w:t>：</w:t>
      </w:r>
      <w:r>
        <w:rPr>
          <w:rFonts w:hint="eastAsia"/>
          <w:color w:val="auto"/>
          <w:highlight w:val="none"/>
          <w:lang w:val="en-US" w:eastAsia="zh-CN"/>
        </w:rPr>
        <w:t xml:space="preserve">      年      月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乙方法人(签字)：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乙方代表(签字)：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color w:val="auto"/>
          <w:highlight w:val="none"/>
          <w:lang w:eastAsia="zh-CN"/>
        </w:rPr>
      </w:pPr>
      <w:r>
        <w:rPr>
          <w:color w:val="auto"/>
          <w:highlight w:val="none"/>
        </w:rPr>
        <w:t>合同专用章</w:t>
      </w:r>
      <w:r>
        <w:rPr>
          <w:rFonts w:hint="eastAsia"/>
          <w:color w:val="auto"/>
          <w:highlight w:val="none"/>
          <w:lang w:eastAsia="zh-CN"/>
        </w:rPr>
        <w:t>：</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单位地址：</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单位电话：</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color w:val="auto"/>
          <w:highlight w:val="none"/>
        </w:rPr>
      </w:pPr>
      <w:r>
        <w:rPr>
          <w:color w:val="auto"/>
          <w:highlight w:val="none"/>
        </w:rPr>
        <w:t>开户行：</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帐号：</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r>
        <w:rPr>
          <w:color w:val="auto"/>
          <w:highlight w:val="none"/>
        </w:rPr>
        <w:t xml:space="preserve">合同签订时间：   </w:t>
      </w:r>
      <w:r>
        <w:rPr>
          <w:rFonts w:hint="eastAsia" w:eastAsia="宋体"/>
          <w:color w:val="auto"/>
          <w:highlight w:val="none"/>
          <w:lang w:val="en-US" w:eastAsia="zh-CN"/>
        </w:rPr>
        <w:t xml:space="preserve">  </w:t>
      </w:r>
      <w:r>
        <w:rPr>
          <w:color w:val="auto"/>
          <w:highlight w:val="none"/>
        </w:rPr>
        <w:t xml:space="preserve"> 年   </w:t>
      </w:r>
      <w:r>
        <w:rPr>
          <w:rFonts w:hint="eastAsia" w:eastAsia="宋体"/>
          <w:color w:val="auto"/>
          <w:highlight w:val="none"/>
          <w:lang w:val="en-US" w:eastAsia="zh-CN"/>
        </w:rPr>
        <w:t xml:space="preserve">  </w:t>
      </w:r>
      <w:r>
        <w:rPr>
          <w:color w:val="auto"/>
          <w:highlight w:val="none"/>
        </w:rPr>
        <w:t>月</w:t>
      </w:r>
      <w:r>
        <w:rPr>
          <w:rFonts w:hint="eastAsia" w:eastAsia="宋体"/>
          <w:color w:val="auto"/>
          <w:highlight w:val="none"/>
          <w:lang w:val="en-US" w:eastAsia="zh-CN"/>
        </w:rPr>
        <w:t xml:space="preserve"> </w:t>
      </w:r>
      <w:r>
        <w:rPr>
          <w:color w:val="auto"/>
          <w:highlight w:val="none"/>
        </w:rPr>
        <w:t xml:space="preserve">  </w:t>
      </w:r>
      <w:r>
        <w:rPr>
          <w:rFonts w:hint="eastAsia" w:eastAsia="宋体"/>
          <w:color w:val="auto"/>
          <w:highlight w:val="none"/>
          <w:lang w:val="en-US" w:eastAsia="zh-CN"/>
        </w:rPr>
        <w:t xml:space="preserve">  </w:t>
      </w:r>
      <w:r>
        <w:rPr>
          <w:color w:val="auto"/>
          <w:highlight w:val="none"/>
        </w:rPr>
        <w:t xml:space="preserve">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ascii="宋体" w:hAnsi="宋体" w:eastAsia="宋体" w:cs="宋体"/>
          <w:color w:val="auto"/>
          <w:sz w:val="22"/>
          <w:szCs w:val="22"/>
          <w:highlight w:val="none"/>
        </w:rPr>
        <w:sectPr>
          <w:type w:val="continuous"/>
          <w:pgSz w:w="11880" w:h="16820"/>
          <w:pgMar w:top="1440" w:right="1800" w:bottom="1440" w:left="1800" w:header="0" w:footer="419" w:gutter="0"/>
          <w:pgNumType w:fmt="decimal"/>
          <w:cols w:equalWidth="0" w:num="2">
            <w:col w:w="3970" w:space="100"/>
            <w:col w:w="4210"/>
          </w:cols>
        </w:sectPr>
      </w:pPr>
    </w:p>
    <w:p>
      <w:pPr>
        <w:spacing w:before="55" w:line="219" w:lineRule="auto"/>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附件1:</w:t>
      </w:r>
    </w:p>
    <w:p>
      <w:pPr>
        <w:pStyle w:val="6"/>
        <w:spacing w:line="329" w:lineRule="auto"/>
        <w:rPr>
          <w:color w:val="auto"/>
          <w:highlight w:val="none"/>
        </w:rPr>
      </w:pPr>
    </w:p>
    <w:p>
      <w:pPr>
        <w:spacing w:before="150" w:line="219" w:lineRule="auto"/>
        <w:ind w:left="3486"/>
        <w:rPr>
          <w:rFonts w:ascii="宋体" w:hAnsi="宋体" w:eastAsia="宋体" w:cs="宋体"/>
          <w:color w:val="auto"/>
          <w:sz w:val="46"/>
          <w:szCs w:val="46"/>
          <w:highlight w:val="none"/>
        </w:rPr>
      </w:pPr>
      <w:r>
        <w:rPr>
          <w:rFonts w:ascii="宋体" w:hAnsi="宋体" w:eastAsia="宋体" w:cs="宋体"/>
          <w:b/>
          <w:bCs/>
          <w:color w:val="auto"/>
          <w:spacing w:val="1"/>
          <w:sz w:val="46"/>
          <w:szCs w:val="46"/>
          <w:highlight w:val="none"/>
        </w:rPr>
        <w:t>法人身份证明书</w:t>
      </w:r>
    </w:p>
    <w:p>
      <w:pPr>
        <w:pStyle w:val="6"/>
        <w:spacing w:line="305" w:lineRule="auto"/>
        <w:rPr>
          <w:rFonts w:hint="default" w:eastAsia="宋体"/>
          <w:color w:val="auto"/>
          <w:highlight w:val="none"/>
          <w:lang w:val="en-US" w:eastAsia="zh-CN"/>
        </w:rPr>
      </w:pPr>
      <w:r>
        <w:rPr>
          <w:rFonts w:hint="eastAsia" w:eastAsia="宋体"/>
          <w:color w:val="auto"/>
          <w:highlight w:val="none"/>
          <w:lang w:val="en-US" w:eastAsia="zh-CN"/>
        </w:rPr>
        <w:t>附身份证正反面</w:t>
      </w:r>
    </w:p>
    <w:p>
      <w:pPr>
        <w:pStyle w:val="6"/>
        <w:spacing w:line="305" w:lineRule="auto"/>
        <w:rPr>
          <w:color w:val="auto"/>
          <w:highlight w:val="none"/>
        </w:rPr>
      </w:pPr>
    </w:p>
    <w:p>
      <w:pPr>
        <w:pStyle w:val="6"/>
        <w:spacing w:line="305" w:lineRule="auto"/>
        <w:rPr>
          <w:color w:val="auto"/>
          <w:highlight w:val="none"/>
        </w:rPr>
      </w:pPr>
    </w:p>
    <w:p>
      <w:pPr>
        <w:pStyle w:val="6"/>
        <w:spacing w:line="263" w:lineRule="auto"/>
        <w:rPr>
          <w:color w:val="auto"/>
          <w:highlight w:val="none"/>
        </w:rPr>
      </w:pPr>
    </w:p>
    <w:p>
      <w:pPr>
        <w:pStyle w:val="6"/>
        <w:spacing w:line="263" w:lineRule="auto"/>
        <w:rPr>
          <w:color w:val="auto"/>
          <w:highlight w:val="none"/>
        </w:rPr>
      </w:pPr>
    </w:p>
    <w:p>
      <w:pPr>
        <w:pStyle w:val="6"/>
        <w:spacing w:line="263" w:lineRule="auto"/>
        <w:rPr>
          <w:color w:val="auto"/>
          <w:highlight w:val="none"/>
        </w:rPr>
      </w:pPr>
    </w:p>
    <w:p>
      <w:pPr>
        <w:spacing w:line="223" w:lineRule="auto"/>
        <w:rPr>
          <w:color w:val="auto"/>
          <w:sz w:val="14"/>
          <w:szCs w:val="14"/>
          <w:highlight w:val="none"/>
        </w:rPr>
        <w:sectPr>
          <w:footerReference r:id="rId11" w:type="default"/>
          <w:pgSz w:w="11880" w:h="16820"/>
          <w:pgMar w:top="1440" w:right="1800" w:bottom="1440" w:left="1800" w:header="0" w:footer="499" w:gutter="0"/>
          <w:pgNumType w:fmt="decimal"/>
          <w:cols w:space="720" w:num="1"/>
        </w:sectPr>
      </w:pPr>
    </w:p>
    <w:p>
      <w:pPr>
        <w:spacing w:before="57" w:line="219" w:lineRule="auto"/>
        <w:rPr>
          <w:rFonts w:ascii="宋体" w:hAnsi="宋体" w:eastAsia="宋体" w:cs="宋体"/>
          <w:color w:val="auto"/>
          <w:sz w:val="29"/>
          <w:szCs w:val="29"/>
          <w:highlight w:val="none"/>
        </w:rPr>
      </w:pPr>
      <w:r>
        <w:rPr>
          <w:rFonts w:ascii="宋体" w:hAnsi="宋体" w:eastAsia="宋体" w:cs="宋体"/>
          <w:b/>
          <w:bCs/>
          <w:color w:val="auto"/>
          <w:spacing w:val="-1"/>
          <w:sz w:val="29"/>
          <w:szCs w:val="29"/>
          <w:highlight w:val="none"/>
        </w:rPr>
        <w:t>附件2:</w:t>
      </w:r>
    </w:p>
    <w:p>
      <w:pPr>
        <w:pStyle w:val="6"/>
        <w:spacing w:line="244" w:lineRule="auto"/>
        <w:rPr>
          <w:color w:val="auto"/>
          <w:highlight w:val="none"/>
        </w:rPr>
      </w:pPr>
    </w:p>
    <w:p>
      <w:pPr>
        <w:pStyle w:val="6"/>
        <w:spacing w:line="244" w:lineRule="auto"/>
        <w:rPr>
          <w:color w:val="auto"/>
          <w:highlight w:val="none"/>
        </w:rPr>
      </w:pPr>
    </w:p>
    <w:p>
      <w:pPr>
        <w:spacing w:before="108" w:line="219" w:lineRule="auto"/>
        <w:jc w:val="center"/>
        <w:rPr>
          <w:rFonts w:ascii="宋体" w:hAnsi="宋体" w:eastAsia="宋体" w:cs="宋体"/>
          <w:color w:val="auto"/>
          <w:sz w:val="33"/>
          <w:szCs w:val="33"/>
          <w:highlight w:val="none"/>
        </w:rPr>
      </w:pPr>
      <w:r>
        <w:rPr>
          <w:rFonts w:hint="eastAsia" w:ascii="宋体" w:hAnsi="宋体" w:eastAsia="宋体" w:cs="宋体"/>
          <w:b/>
          <w:bCs/>
          <w:color w:val="auto"/>
          <w:spacing w:val="-21"/>
          <w:sz w:val="33"/>
          <w:szCs w:val="33"/>
          <w:highlight w:val="none"/>
          <w:lang w:val="en-US" w:eastAsia="zh-CN"/>
        </w:rPr>
        <w:t>产品</w:t>
      </w:r>
      <w:r>
        <w:rPr>
          <w:rFonts w:ascii="宋体" w:hAnsi="宋体" w:eastAsia="宋体" w:cs="宋体"/>
          <w:b/>
          <w:bCs/>
          <w:color w:val="auto"/>
          <w:spacing w:val="-21"/>
          <w:sz w:val="33"/>
          <w:szCs w:val="33"/>
          <w:highlight w:val="none"/>
        </w:rPr>
        <w:t>注册证</w:t>
      </w:r>
    </w:p>
    <w:p>
      <w:pPr>
        <w:pStyle w:val="6"/>
        <w:spacing w:line="274" w:lineRule="auto"/>
        <w:rPr>
          <w:color w:val="auto"/>
          <w:highlight w:val="none"/>
        </w:rPr>
      </w:pPr>
    </w:p>
    <w:p>
      <w:pPr>
        <w:pStyle w:val="6"/>
        <w:spacing w:line="274" w:lineRule="auto"/>
        <w:rPr>
          <w:color w:val="auto"/>
          <w:highlight w:val="none"/>
        </w:rPr>
      </w:pPr>
    </w:p>
    <w:p>
      <w:pPr>
        <w:pStyle w:val="6"/>
        <w:spacing w:line="274" w:lineRule="auto"/>
        <w:rPr>
          <w:color w:val="auto"/>
          <w:highlight w:val="none"/>
        </w:rPr>
      </w:pPr>
    </w:p>
    <w:p>
      <w:pPr>
        <w:pStyle w:val="6"/>
        <w:spacing w:line="275" w:lineRule="auto"/>
        <w:rPr>
          <w:color w:val="auto"/>
          <w:highlight w:val="none"/>
        </w:rPr>
      </w:pPr>
    </w:p>
    <w:p>
      <w:pPr>
        <w:pStyle w:val="6"/>
        <w:spacing w:line="275" w:lineRule="auto"/>
        <w:rPr>
          <w:color w:val="auto"/>
          <w:highlight w:val="none"/>
        </w:rPr>
      </w:pPr>
    </w:p>
    <w:p>
      <w:pPr>
        <w:spacing w:line="219" w:lineRule="auto"/>
        <w:rPr>
          <w:rFonts w:ascii="宋体" w:hAnsi="宋体" w:eastAsia="宋体" w:cs="宋体"/>
          <w:color w:val="auto"/>
          <w:sz w:val="17"/>
          <w:szCs w:val="17"/>
          <w:highlight w:val="none"/>
        </w:rPr>
        <w:sectPr>
          <w:footerReference r:id="rId12" w:type="default"/>
          <w:pgSz w:w="11906" w:h="16838"/>
          <w:pgMar w:top="1440" w:right="1800" w:bottom="1440" w:left="1800" w:header="0" w:footer="555" w:gutter="0"/>
          <w:pgNumType w:fmt="decimal"/>
          <w:cols w:space="720" w:num="1"/>
        </w:sectPr>
      </w:pPr>
    </w:p>
    <w:p>
      <w:pPr>
        <w:spacing w:before="57" w:line="219" w:lineRule="auto"/>
        <w:ind w:left="129"/>
        <w:rPr>
          <w:rFonts w:ascii="宋体" w:hAnsi="宋体" w:eastAsia="宋体" w:cs="宋体"/>
          <w:color w:val="auto"/>
          <w:sz w:val="29"/>
          <w:szCs w:val="29"/>
          <w:highlight w:val="none"/>
        </w:rPr>
      </w:pPr>
      <w:r>
        <w:rPr>
          <w:rFonts w:ascii="宋体" w:hAnsi="宋体" w:eastAsia="宋体" w:cs="宋体"/>
          <w:b/>
          <w:bCs/>
          <w:color w:val="auto"/>
          <w:spacing w:val="2"/>
          <w:sz w:val="29"/>
          <w:szCs w:val="29"/>
          <w:highlight w:val="none"/>
        </w:rPr>
        <w:t>附件3:</w:t>
      </w:r>
    </w:p>
    <w:p>
      <w:pPr>
        <w:keepNext w:val="0"/>
        <w:keepLines w:val="0"/>
        <w:pageBreakBefore w:val="0"/>
        <w:widowControl w:val="0"/>
        <w:kinsoku/>
        <w:wordWrap/>
        <w:overflowPunct/>
        <w:topLinePunct w:val="0"/>
        <w:autoSpaceDE/>
        <w:autoSpaceDN/>
        <w:bidi w:val="0"/>
        <w:adjustRightInd/>
        <w:snapToGrid/>
        <w:spacing w:before="131" w:line="221" w:lineRule="auto"/>
        <w:ind w:left="0"/>
        <w:jc w:val="center"/>
        <w:textAlignment w:val="auto"/>
        <w:rPr>
          <w:rFonts w:ascii="宋体" w:hAnsi="宋体" w:eastAsia="宋体" w:cs="宋体"/>
          <w:color w:val="auto"/>
          <w:sz w:val="38"/>
          <w:szCs w:val="38"/>
          <w:highlight w:val="none"/>
        </w:rPr>
      </w:pPr>
      <w:r>
        <w:rPr>
          <w:rFonts w:ascii="宋体" w:hAnsi="宋体" w:eastAsia="宋体" w:cs="宋体"/>
          <w:b/>
          <w:bCs/>
          <w:color w:val="auto"/>
          <w:spacing w:val="-15"/>
          <w:sz w:val="38"/>
          <w:szCs w:val="38"/>
          <w:highlight w:val="none"/>
        </w:rPr>
        <w:t>配</w:t>
      </w:r>
      <w:r>
        <w:rPr>
          <w:rFonts w:ascii="宋体" w:hAnsi="宋体" w:eastAsia="宋体" w:cs="宋体"/>
          <w:color w:val="auto"/>
          <w:spacing w:val="33"/>
          <w:sz w:val="38"/>
          <w:szCs w:val="38"/>
          <w:highlight w:val="none"/>
        </w:rPr>
        <w:t xml:space="preserve"> </w:t>
      </w:r>
      <w:r>
        <w:rPr>
          <w:rFonts w:ascii="宋体" w:hAnsi="宋体" w:eastAsia="宋体" w:cs="宋体"/>
          <w:b/>
          <w:bCs/>
          <w:color w:val="auto"/>
          <w:spacing w:val="-15"/>
          <w:sz w:val="38"/>
          <w:szCs w:val="38"/>
          <w:highlight w:val="none"/>
        </w:rPr>
        <w:t>置</w:t>
      </w:r>
      <w:r>
        <w:rPr>
          <w:rFonts w:ascii="宋体" w:hAnsi="宋体" w:eastAsia="宋体" w:cs="宋体"/>
          <w:color w:val="auto"/>
          <w:spacing w:val="35"/>
          <w:sz w:val="38"/>
          <w:szCs w:val="38"/>
          <w:highlight w:val="none"/>
        </w:rPr>
        <w:t xml:space="preserve"> </w:t>
      </w:r>
      <w:r>
        <w:rPr>
          <w:rFonts w:ascii="宋体" w:hAnsi="宋体" w:eastAsia="宋体" w:cs="宋体"/>
          <w:b/>
          <w:bCs/>
          <w:color w:val="auto"/>
          <w:spacing w:val="-15"/>
          <w:sz w:val="38"/>
          <w:szCs w:val="38"/>
          <w:highlight w:val="none"/>
        </w:rPr>
        <w:t>清</w:t>
      </w:r>
      <w:r>
        <w:rPr>
          <w:rFonts w:ascii="宋体" w:hAnsi="宋体" w:eastAsia="宋体" w:cs="宋体"/>
          <w:color w:val="auto"/>
          <w:spacing w:val="38"/>
          <w:sz w:val="38"/>
          <w:szCs w:val="38"/>
          <w:highlight w:val="none"/>
        </w:rPr>
        <w:t xml:space="preserve"> </w:t>
      </w:r>
      <w:r>
        <w:rPr>
          <w:rFonts w:ascii="宋体" w:hAnsi="宋体" w:eastAsia="宋体" w:cs="宋体"/>
          <w:b/>
          <w:bCs/>
          <w:color w:val="auto"/>
          <w:spacing w:val="-15"/>
          <w:sz w:val="38"/>
          <w:szCs w:val="38"/>
          <w:highlight w:val="none"/>
        </w:rPr>
        <w:t>单</w:t>
      </w:r>
    </w:p>
    <w:p>
      <w:pPr>
        <w:spacing w:before="78" w:line="241" w:lineRule="auto"/>
        <w:ind w:left="784" w:leftChars="307" w:right="1088" w:hanging="139" w:hangingChars="39"/>
        <w:rPr>
          <w:rFonts w:hint="eastAsia" w:ascii="宋体" w:hAnsi="宋体" w:eastAsia="宋体" w:cs="宋体"/>
          <w:color w:val="auto"/>
          <w:sz w:val="32"/>
          <w:szCs w:val="32"/>
          <w:highlight w:val="none"/>
          <w:lang w:eastAsia="zh-CN"/>
        </w:rPr>
      </w:pPr>
      <w:r>
        <w:rPr>
          <w:rFonts w:ascii="宋体" w:hAnsi="宋体" w:eastAsia="宋体" w:cs="宋体"/>
          <w:b/>
          <w:bCs/>
          <w:color w:val="auto"/>
          <w:spacing w:val="17"/>
          <w:sz w:val="32"/>
          <w:szCs w:val="32"/>
          <w:highlight w:val="none"/>
          <w:u w:val="none" w:color="auto"/>
        </w:rPr>
        <w:t>设备名称</w:t>
      </w:r>
      <w:r>
        <w:rPr>
          <w:rFonts w:hint="eastAsia" w:ascii="宋体" w:hAnsi="宋体" w:eastAsia="宋体" w:cs="宋体"/>
          <w:color w:val="auto"/>
          <w:sz w:val="32"/>
          <w:szCs w:val="32"/>
          <w:highlight w:val="none"/>
          <w:lang w:eastAsia="zh-CN"/>
        </w:rPr>
        <w:t>：</w:t>
      </w:r>
    </w:p>
    <w:p>
      <w:pPr>
        <w:spacing w:before="78" w:line="241" w:lineRule="auto"/>
        <w:ind w:left="784" w:leftChars="307" w:right="1088" w:hanging="139" w:hangingChars="39"/>
        <w:rPr>
          <w:rFonts w:ascii="宋体" w:hAnsi="宋体" w:eastAsia="宋体" w:cs="宋体"/>
          <w:color w:val="auto"/>
          <w:spacing w:val="-146"/>
          <w:sz w:val="32"/>
          <w:szCs w:val="32"/>
          <w:highlight w:val="none"/>
          <w:u w:val="single" w:color="auto"/>
        </w:rPr>
      </w:pPr>
      <w:r>
        <w:rPr>
          <w:rFonts w:ascii="宋体" w:hAnsi="宋体" w:eastAsia="宋体" w:cs="宋体"/>
          <w:b/>
          <w:bCs/>
          <w:color w:val="auto"/>
          <w:spacing w:val="17"/>
          <w:sz w:val="32"/>
          <w:szCs w:val="32"/>
          <w:highlight w:val="none"/>
          <w:u w:val="none" w:color="auto"/>
        </w:rPr>
        <w:t>型</w:t>
      </w:r>
      <w:r>
        <w:rPr>
          <w:rFonts w:hint="eastAsia" w:ascii="宋体" w:hAnsi="宋体" w:eastAsia="宋体" w:cs="宋体"/>
          <w:b/>
          <w:bCs/>
          <w:color w:val="auto"/>
          <w:spacing w:val="17"/>
          <w:sz w:val="32"/>
          <w:szCs w:val="32"/>
          <w:highlight w:val="none"/>
          <w:u w:val="none" w:color="auto"/>
          <w:lang w:val="en-US" w:eastAsia="zh-CN"/>
        </w:rPr>
        <w:t xml:space="preserve">   </w:t>
      </w:r>
      <w:r>
        <w:rPr>
          <w:rFonts w:ascii="宋体" w:hAnsi="宋体" w:eastAsia="宋体" w:cs="宋体"/>
          <w:b/>
          <w:bCs/>
          <w:color w:val="auto"/>
          <w:spacing w:val="17"/>
          <w:sz w:val="32"/>
          <w:szCs w:val="32"/>
          <w:highlight w:val="none"/>
          <w:u w:val="none" w:color="auto"/>
        </w:rPr>
        <w:t>号</w:t>
      </w:r>
      <w:r>
        <w:rPr>
          <w:rFonts w:hint="eastAsia" w:ascii="宋体" w:hAnsi="宋体" w:eastAsia="宋体" w:cs="宋体"/>
          <w:b/>
          <w:bCs/>
          <w:color w:val="auto"/>
          <w:spacing w:val="17"/>
          <w:sz w:val="32"/>
          <w:szCs w:val="32"/>
          <w:highlight w:val="none"/>
          <w:u w:val="none" w:color="auto"/>
          <w:lang w:eastAsia="zh-CN"/>
        </w:rPr>
        <w:t>：</w:t>
      </w:r>
      <w:r>
        <w:rPr>
          <w:rFonts w:ascii="宋体" w:hAnsi="宋体" w:eastAsia="宋体" w:cs="宋体"/>
          <w:color w:val="auto"/>
          <w:spacing w:val="105"/>
          <w:sz w:val="32"/>
          <w:szCs w:val="32"/>
          <w:highlight w:val="none"/>
        </w:rPr>
        <w:t xml:space="preserve"> </w:t>
      </w:r>
      <w:r>
        <w:rPr>
          <w:rFonts w:ascii="宋体" w:hAnsi="宋体" w:eastAsia="宋体" w:cs="宋体"/>
          <w:color w:val="auto"/>
          <w:spacing w:val="-146"/>
          <w:sz w:val="32"/>
          <w:szCs w:val="32"/>
          <w:highlight w:val="none"/>
          <w:u w:val="single" w:color="auto"/>
        </w:rPr>
        <w:t xml:space="preserve"> </w:t>
      </w:r>
    </w:p>
    <w:p>
      <w:pPr>
        <w:spacing w:before="78" w:line="241" w:lineRule="auto"/>
        <w:ind w:left="771" w:leftChars="307" w:right="1088" w:hanging="126" w:hangingChars="39"/>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设备</w:t>
      </w:r>
      <w:r>
        <w:rPr>
          <w:rFonts w:hint="eastAsia" w:ascii="宋体" w:hAnsi="宋体" w:eastAsia="宋体" w:cs="宋体"/>
          <w:b/>
          <w:bCs/>
          <w:color w:val="auto"/>
          <w:spacing w:val="1"/>
          <w:sz w:val="32"/>
          <w:szCs w:val="32"/>
          <w:highlight w:val="none"/>
          <w:lang w:val="en-US" w:eastAsia="zh-CN"/>
        </w:rPr>
        <w:t>数量</w:t>
      </w:r>
      <w:r>
        <w:rPr>
          <w:rFonts w:ascii="宋体" w:hAnsi="宋体" w:eastAsia="宋体" w:cs="宋体"/>
          <w:b/>
          <w:bCs/>
          <w:color w:val="auto"/>
          <w:spacing w:val="1"/>
          <w:sz w:val="32"/>
          <w:szCs w:val="32"/>
          <w:highlight w:val="none"/>
        </w:rPr>
        <w:t>：</w:t>
      </w:r>
    </w:p>
    <w:tbl>
      <w:tblPr>
        <w:tblStyle w:val="33"/>
        <w:tblpPr w:leftFromText="180" w:rightFromText="180" w:vertAnchor="text" w:horzAnchor="page" w:tblpX="1000" w:tblpY="35"/>
        <w:tblOverlap w:val="never"/>
        <w:tblW w:w="9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506"/>
        <w:gridCol w:w="1968"/>
        <w:gridCol w:w="929"/>
        <w:gridCol w:w="133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4"/>
              <w:spacing w:before="88" w:line="220" w:lineRule="auto"/>
              <w:ind w:left="4254"/>
              <w:jc w:val="center"/>
              <w:rPr>
                <w:color w:val="auto"/>
                <w:sz w:val="31"/>
                <w:szCs w:val="31"/>
                <w:highlight w:val="none"/>
              </w:rPr>
            </w:pPr>
            <w:r>
              <w:rPr>
                <w:color w:val="auto"/>
                <w:spacing w:val="2"/>
                <w:sz w:val="31"/>
                <w:szCs w:val="31"/>
                <w:highlight w:val="none"/>
              </w:rPr>
              <w:t>标准配置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80" w:line="221" w:lineRule="auto"/>
              <w:ind w:left="179"/>
              <w:jc w:val="center"/>
              <w:rPr>
                <w:color w:val="auto"/>
                <w:sz w:val="31"/>
                <w:szCs w:val="31"/>
                <w:highlight w:val="none"/>
              </w:rPr>
            </w:pPr>
            <w:r>
              <w:rPr>
                <w:b/>
                <w:bCs/>
                <w:color w:val="auto"/>
                <w:spacing w:val="1"/>
                <w:sz w:val="31"/>
                <w:szCs w:val="31"/>
                <w:highlight w:val="none"/>
              </w:rPr>
              <w:t>序号</w:t>
            </w:r>
          </w:p>
        </w:tc>
        <w:tc>
          <w:tcPr>
            <w:tcW w:w="3506" w:type="dxa"/>
            <w:vAlign w:val="center"/>
          </w:tcPr>
          <w:p>
            <w:pPr>
              <w:pStyle w:val="34"/>
              <w:spacing w:before="82" w:line="221" w:lineRule="auto"/>
              <w:ind w:left="1435"/>
              <w:jc w:val="center"/>
              <w:rPr>
                <w:color w:val="auto"/>
                <w:sz w:val="31"/>
                <w:szCs w:val="31"/>
                <w:highlight w:val="none"/>
              </w:rPr>
            </w:pPr>
            <w:r>
              <w:rPr>
                <w:b/>
                <w:bCs/>
                <w:color w:val="auto"/>
                <w:sz w:val="31"/>
                <w:szCs w:val="31"/>
                <w:highlight w:val="none"/>
              </w:rPr>
              <w:t>名称</w:t>
            </w:r>
          </w:p>
        </w:tc>
        <w:tc>
          <w:tcPr>
            <w:tcW w:w="1968" w:type="dxa"/>
            <w:vAlign w:val="center"/>
          </w:tcPr>
          <w:p>
            <w:pPr>
              <w:pStyle w:val="34"/>
              <w:spacing w:before="84" w:line="221" w:lineRule="auto"/>
              <w:ind w:left="664"/>
              <w:jc w:val="center"/>
              <w:rPr>
                <w:color w:val="auto"/>
                <w:sz w:val="31"/>
                <w:szCs w:val="31"/>
                <w:highlight w:val="none"/>
              </w:rPr>
            </w:pPr>
            <w:r>
              <w:rPr>
                <w:color w:val="auto"/>
                <w:spacing w:val="9"/>
                <w:sz w:val="31"/>
                <w:szCs w:val="31"/>
                <w:highlight w:val="none"/>
              </w:rPr>
              <w:t>型号</w:t>
            </w:r>
          </w:p>
        </w:tc>
        <w:tc>
          <w:tcPr>
            <w:tcW w:w="929" w:type="dxa"/>
            <w:vAlign w:val="center"/>
          </w:tcPr>
          <w:p>
            <w:pPr>
              <w:pStyle w:val="34"/>
              <w:spacing w:before="83" w:line="219" w:lineRule="auto"/>
              <w:ind w:left="146"/>
              <w:jc w:val="center"/>
              <w:rPr>
                <w:color w:val="auto"/>
                <w:sz w:val="31"/>
                <w:szCs w:val="31"/>
                <w:highlight w:val="none"/>
              </w:rPr>
            </w:pPr>
            <w:r>
              <w:rPr>
                <w:color w:val="auto"/>
                <w:spacing w:val="6"/>
                <w:sz w:val="31"/>
                <w:szCs w:val="31"/>
                <w:highlight w:val="none"/>
              </w:rPr>
              <w:t>数量</w:t>
            </w:r>
          </w:p>
        </w:tc>
        <w:tc>
          <w:tcPr>
            <w:tcW w:w="1339" w:type="dxa"/>
            <w:vAlign w:val="center"/>
          </w:tcPr>
          <w:p>
            <w:pPr>
              <w:pStyle w:val="34"/>
              <w:spacing w:before="83" w:line="220" w:lineRule="auto"/>
              <w:ind w:left="357"/>
              <w:jc w:val="center"/>
              <w:rPr>
                <w:color w:val="auto"/>
                <w:sz w:val="31"/>
                <w:szCs w:val="31"/>
                <w:highlight w:val="none"/>
              </w:rPr>
            </w:pPr>
            <w:r>
              <w:rPr>
                <w:color w:val="auto"/>
                <w:spacing w:val="6"/>
                <w:sz w:val="31"/>
                <w:szCs w:val="31"/>
                <w:highlight w:val="none"/>
              </w:rPr>
              <w:t>单位</w:t>
            </w:r>
          </w:p>
        </w:tc>
        <w:tc>
          <w:tcPr>
            <w:tcW w:w="1044" w:type="dxa"/>
            <w:vAlign w:val="center"/>
          </w:tcPr>
          <w:p>
            <w:pPr>
              <w:pStyle w:val="34"/>
              <w:spacing w:before="84" w:line="221" w:lineRule="auto"/>
              <w:ind w:left="208"/>
              <w:jc w:val="center"/>
              <w:rPr>
                <w:color w:val="auto"/>
                <w:sz w:val="31"/>
                <w:szCs w:val="31"/>
                <w:highlight w:val="none"/>
              </w:rPr>
            </w:pPr>
            <w:r>
              <w:rPr>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331" w:line="184" w:lineRule="auto"/>
              <w:ind w:left="405"/>
              <w:jc w:val="center"/>
              <w:rPr>
                <w:color w:val="auto"/>
                <w:sz w:val="31"/>
                <w:szCs w:val="31"/>
                <w:highlight w:val="none"/>
              </w:rPr>
            </w:pPr>
            <w:r>
              <w:rPr>
                <w:color w:val="auto"/>
                <w:sz w:val="31"/>
                <w:szCs w:val="31"/>
                <w:highlight w:val="none"/>
              </w:rPr>
              <w:t>1</w:t>
            </w:r>
          </w:p>
        </w:tc>
        <w:tc>
          <w:tcPr>
            <w:tcW w:w="3506" w:type="dxa"/>
            <w:vAlign w:val="center"/>
          </w:tcPr>
          <w:p>
            <w:pPr>
              <w:pStyle w:val="34"/>
              <w:spacing w:before="250" w:line="219" w:lineRule="auto"/>
              <w:ind w:left="1430"/>
              <w:jc w:val="center"/>
              <w:rPr>
                <w:color w:val="auto"/>
                <w:sz w:val="31"/>
                <w:szCs w:val="31"/>
                <w:highlight w:val="none"/>
              </w:rPr>
            </w:pPr>
          </w:p>
        </w:tc>
        <w:tc>
          <w:tcPr>
            <w:tcW w:w="1968" w:type="dxa"/>
            <w:vAlign w:val="center"/>
          </w:tcPr>
          <w:p>
            <w:pPr>
              <w:pStyle w:val="34"/>
              <w:spacing w:before="104" w:line="234" w:lineRule="exact"/>
              <w:ind w:left="824"/>
              <w:jc w:val="center"/>
              <w:rPr>
                <w:color w:val="auto"/>
                <w:sz w:val="31"/>
                <w:szCs w:val="31"/>
                <w:highlight w:val="none"/>
              </w:rPr>
            </w:pPr>
          </w:p>
        </w:tc>
        <w:tc>
          <w:tcPr>
            <w:tcW w:w="929" w:type="dxa"/>
            <w:vAlign w:val="center"/>
          </w:tcPr>
          <w:p>
            <w:pPr>
              <w:pStyle w:val="34"/>
              <w:spacing w:before="332" w:line="183" w:lineRule="auto"/>
              <w:ind w:left="376"/>
              <w:jc w:val="center"/>
              <w:rPr>
                <w:color w:val="auto"/>
                <w:sz w:val="31"/>
                <w:szCs w:val="31"/>
                <w:highlight w:val="none"/>
              </w:rPr>
            </w:pPr>
          </w:p>
        </w:tc>
        <w:tc>
          <w:tcPr>
            <w:tcW w:w="1339" w:type="dxa"/>
            <w:vAlign w:val="center"/>
          </w:tcPr>
          <w:p>
            <w:pPr>
              <w:pStyle w:val="34"/>
              <w:spacing w:before="257" w:line="221" w:lineRule="auto"/>
              <w:ind w:left="508"/>
              <w:jc w:val="center"/>
              <w:rPr>
                <w:color w:val="auto"/>
                <w:sz w:val="31"/>
                <w:szCs w:val="31"/>
                <w:highlight w:val="none"/>
              </w:rPr>
            </w:pPr>
          </w:p>
        </w:tc>
        <w:tc>
          <w:tcPr>
            <w:tcW w:w="1044" w:type="dxa"/>
            <w:vAlign w:val="center"/>
          </w:tcPr>
          <w:p>
            <w:pPr>
              <w:pStyle w:val="34"/>
              <w:spacing w:before="261"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263" w:line="183" w:lineRule="auto"/>
              <w:ind w:left="405"/>
              <w:jc w:val="center"/>
              <w:rPr>
                <w:color w:val="auto"/>
                <w:sz w:val="31"/>
                <w:szCs w:val="31"/>
                <w:highlight w:val="none"/>
              </w:rPr>
            </w:pPr>
            <w:r>
              <w:rPr>
                <w:color w:val="auto"/>
                <w:sz w:val="31"/>
                <w:szCs w:val="31"/>
                <w:highlight w:val="none"/>
              </w:rPr>
              <w:t>2</w:t>
            </w:r>
          </w:p>
        </w:tc>
        <w:tc>
          <w:tcPr>
            <w:tcW w:w="3506" w:type="dxa"/>
            <w:vAlign w:val="center"/>
          </w:tcPr>
          <w:p>
            <w:pPr>
              <w:pStyle w:val="34"/>
              <w:spacing w:before="183" w:line="219" w:lineRule="auto"/>
              <w:ind w:left="1121"/>
              <w:jc w:val="center"/>
              <w:rPr>
                <w:color w:val="auto"/>
                <w:sz w:val="31"/>
                <w:szCs w:val="31"/>
                <w:highlight w:val="none"/>
              </w:rPr>
            </w:pPr>
          </w:p>
        </w:tc>
        <w:tc>
          <w:tcPr>
            <w:tcW w:w="1968" w:type="dxa"/>
            <w:vAlign w:val="center"/>
          </w:tcPr>
          <w:p>
            <w:pPr>
              <w:pStyle w:val="34"/>
              <w:spacing w:before="262" w:line="184" w:lineRule="auto"/>
              <w:ind w:left="584"/>
              <w:jc w:val="center"/>
              <w:rPr>
                <w:color w:val="auto"/>
                <w:sz w:val="31"/>
                <w:szCs w:val="31"/>
                <w:highlight w:val="none"/>
              </w:rPr>
            </w:pPr>
          </w:p>
        </w:tc>
        <w:tc>
          <w:tcPr>
            <w:tcW w:w="929" w:type="dxa"/>
            <w:vAlign w:val="center"/>
          </w:tcPr>
          <w:p>
            <w:pPr>
              <w:pStyle w:val="34"/>
              <w:spacing w:before="263" w:line="183" w:lineRule="auto"/>
              <w:ind w:left="376"/>
              <w:jc w:val="center"/>
              <w:rPr>
                <w:color w:val="auto"/>
                <w:sz w:val="31"/>
                <w:szCs w:val="31"/>
                <w:highlight w:val="none"/>
              </w:rPr>
            </w:pPr>
          </w:p>
        </w:tc>
        <w:tc>
          <w:tcPr>
            <w:tcW w:w="1339" w:type="dxa"/>
            <w:vAlign w:val="center"/>
          </w:tcPr>
          <w:p>
            <w:pPr>
              <w:pStyle w:val="34"/>
              <w:spacing w:before="183" w:line="219" w:lineRule="auto"/>
              <w:ind w:left="508"/>
              <w:jc w:val="center"/>
              <w:rPr>
                <w:color w:val="auto"/>
                <w:sz w:val="31"/>
                <w:szCs w:val="31"/>
                <w:highlight w:val="none"/>
              </w:rPr>
            </w:pPr>
          </w:p>
        </w:tc>
        <w:tc>
          <w:tcPr>
            <w:tcW w:w="1044" w:type="dxa"/>
            <w:vAlign w:val="center"/>
          </w:tcPr>
          <w:p>
            <w:pPr>
              <w:pStyle w:val="34"/>
              <w:spacing w:before="192"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00" w:line="183" w:lineRule="auto"/>
              <w:jc w:val="center"/>
              <w:rPr>
                <w:color w:val="auto"/>
                <w:sz w:val="31"/>
                <w:szCs w:val="31"/>
                <w:highlight w:val="none"/>
              </w:rPr>
            </w:pPr>
            <w:r>
              <w:rPr>
                <w:color w:val="auto"/>
                <w:sz w:val="31"/>
                <w:szCs w:val="31"/>
                <w:highlight w:val="none"/>
              </w:rPr>
              <w:t>3</w:t>
            </w:r>
          </w:p>
        </w:tc>
        <w:tc>
          <w:tcPr>
            <w:tcW w:w="3506" w:type="dxa"/>
            <w:vAlign w:val="center"/>
          </w:tcPr>
          <w:p>
            <w:pPr>
              <w:pStyle w:val="34"/>
              <w:spacing w:before="325" w:line="219" w:lineRule="auto"/>
              <w:jc w:val="center"/>
              <w:rPr>
                <w:color w:val="auto"/>
                <w:sz w:val="31"/>
                <w:szCs w:val="31"/>
                <w:highlight w:val="none"/>
              </w:rPr>
            </w:pPr>
          </w:p>
        </w:tc>
        <w:tc>
          <w:tcPr>
            <w:tcW w:w="1968" w:type="dxa"/>
            <w:vAlign w:val="center"/>
          </w:tcPr>
          <w:p>
            <w:pPr>
              <w:pStyle w:val="34"/>
              <w:spacing w:before="101" w:line="184" w:lineRule="auto"/>
              <w:jc w:val="center"/>
              <w:rPr>
                <w:color w:val="auto"/>
                <w:sz w:val="31"/>
                <w:szCs w:val="31"/>
                <w:highlight w:val="none"/>
              </w:rPr>
            </w:pPr>
          </w:p>
        </w:tc>
        <w:tc>
          <w:tcPr>
            <w:tcW w:w="929" w:type="dxa"/>
            <w:vAlign w:val="center"/>
          </w:tcPr>
          <w:p>
            <w:pPr>
              <w:pStyle w:val="34"/>
              <w:spacing w:before="100" w:line="183" w:lineRule="auto"/>
              <w:jc w:val="center"/>
              <w:rPr>
                <w:color w:val="auto"/>
                <w:sz w:val="31"/>
                <w:szCs w:val="31"/>
                <w:highlight w:val="none"/>
              </w:rPr>
            </w:pPr>
          </w:p>
        </w:tc>
        <w:tc>
          <w:tcPr>
            <w:tcW w:w="1339" w:type="dxa"/>
            <w:vAlign w:val="center"/>
          </w:tcPr>
          <w:p>
            <w:pPr>
              <w:pStyle w:val="34"/>
              <w:spacing w:before="325" w:line="219" w:lineRule="auto"/>
              <w:jc w:val="center"/>
              <w:rPr>
                <w:color w:val="auto"/>
                <w:sz w:val="31"/>
                <w:szCs w:val="31"/>
                <w:highlight w:val="none"/>
              </w:rPr>
            </w:pPr>
          </w:p>
        </w:tc>
        <w:tc>
          <w:tcPr>
            <w:tcW w:w="1044" w:type="dxa"/>
            <w:vAlign w:val="center"/>
          </w:tcPr>
          <w:p>
            <w:pPr>
              <w:pStyle w:val="34"/>
              <w:spacing w:before="333" w:line="224" w:lineRule="auto"/>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265" w:line="183" w:lineRule="auto"/>
              <w:ind w:left="405"/>
              <w:jc w:val="center"/>
              <w:rPr>
                <w:color w:val="auto"/>
                <w:sz w:val="31"/>
                <w:szCs w:val="31"/>
                <w:highlight w:val="none"/>
              </w:rPr>
            </w:pPr>
            <w:r>
              <w:rPr>
                <w:color w:val="auto"/>
                <w:sz w:val="31"/>
                <w:szCs w:val="31"/>
                <w:highlight w:val="none"/>
              </w:rPr>
              <w:t>4</w:t>
            </w:r>
          </w:p>
        </w:tc>
        <w:tc>
          <w:tcPr>
            <w:tcW w:w="3506" w:type="dxa"/>
            <w:vAlign w:val="center"/>
          </w:tcPr>
          <w:p>
            <w:pPr>
              <w:pStyle w:val="34"/>
              <w:spacing w:before="186" w:line="219" w:lineRule="auto"/>
              <w:ind w:left="1121"/>
              <w:jc w:val="center"/>
              <w:rPr>
                <w:color w:val="auto"/>
                <w:sz w:val="31"/>
                <w:szCs w:val="31"/>
                <w:highlight w:val="none"/>
              </w:rPr>
            </w:pPr>
          </w:p>
        </w:tc>
        <w:tc>
          <w:tcPr>
            <w:tcW w:w="1968" w:type="dxa"/>
            <w:vAlign w:val="center"/>
          </w:tcPr>
          <w:p>
            <w:pPr>
              <w:pStyle w:val="34"/>
              <w:spacing w:before="265" w:line="183" w:lineRule="auto"/>
              <w:ind w:left="584"/>
              <w:jc w:val="center"/>
              <w:rPr>
                <w:color w:val="auto"/>
                <w:sz w:val="31"/>
                <w:szCs w:val="31"/>
                <w:highlight w:val="none"/>
              </w:rPr>
            </w:pPr>
          </w:p>
        </w:tc>
        <w:tc>
          <w:tcPr>
            <w:tcW w:w="929" w:type="dxa"/>
            <w:vAlign w:val="center"/>
          </w:tcPr>
          <w:p>
            <w:pPr>
              <w:pStyle w:val="34"/>
              <w:spacing w:before="265" w:line="183" w:lineRule="auto"/>
              <w:ind w:left="376"/>
              <w:jc w:val="center"/>
              <w:rPr>
                <w:color w:val="auto"/>
                <w:sz w:val="31"/>
                <w:szCs w:val="31"/>
                <w:highlight w:val="none"/>
              </w:rPr>
            </w:pPr>
          </w:p>
        </w:tc>
        <w:tc>
          <w:tcPr>
            <w:tcW w:w="1339" w:type="dxa"/>
            <w:vAlign w:val="center"/>
          </w:tcPr>
          <w:p>
            <w:pPr>
              <w:pStyle w:val="34"/>
              <w:spacing w:before="186" w:line="219" w:lineRule="auto"/>
              <w:ind w:left="508"/>
              <w:jc w:val="center"/>
              <w:rPr>
                <w:color w:val="auto"/>
                <w:sz w:val="31"/>
                <w:szCs w:val="31"/>
                <w:highlight w:val="none"/>
              </w:rPr>
            </w:pPr>
          </w:p>
        </w:tc>
        <w:tc>
          <w:tcPr>
            <w:tcW w:w="1044" w:type="dxa"/>
            <w:vAlign w:val="center"/>
          </w:tcPr>
          <w:p>
            <w:pPr>
              <w:pStyle w:val="34"/>
              <w:spacing w:before="194"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238" w:line="182" w:lineRule="auto"/>
              <w:ind w:left="405"/>
              <w:jc w:val="center"/>
              <w:rPr>
                <w:color w:val="auto"/>
                <w:sz w:val="31"/>
                <w:szCs w:val="31"/>
                <w:highlight w:val="none"/>
              </w:rPr>
            </w:pPr>
            <w:r>
              <w:rPr>
                <w:color w:val="auto"/>
                <w:sz w:val="31"/>
                <w:szCs w:val="31"/>
                <w:highlight w:val="none"/>
              </w:rPr>
              <w:t>5</w:t>
            </w:r>
          </w:p>
        </w:tc>
        <w:tc>
          <w:tcPr>
            <w:tcW w:w="3506" w:type="dxa"/>
            <w:vAlign w:val="center"/>
          </w:tcPr>
          <w:p>
            <w:pPr>
              <w:pStyle w:val="34"/>
              <w:spacing w:before="157" w:line="219" w:lineRule="auto"/>
              <w:ind w:left="970"/>
              <w:jc w:val="center"/>
              <w:rPr>
                <w:color w:val="auto"/>
                <w:sz w:val="31"/>
                <w:szCs w:val="31"/>
                <w:highlight w:val="none"/>
              </w:rPr>
            </w:pPr>
          </w:p>
        </w:tc>
        <w:tc>
          <w:tcPr>
            <w:tcW w:w="1968" w:type="dxa"/>
            <w:vAlign w:val="center"/>
          </w:tcPr>
          <w:p>
            <w:pPr>
              <w:pStyle w:val="34"/>
              <w:spacing w:before="235" w:line="184" w:lineRule="auto"/>
              <w:ind w:left="584"/>
              <w:jc w:val="center"/>
              <w:rPr>
                <w:color w:val="auto"/>
                <w:sz w:val="31"/>
                <w:szCs w:val="31"/>
                <w:highlight w:val="none"/>
              </w:rPr>
            </w:pPr>
          </w:p>
        </w:tc>
        <w:tc>
          <w:tcPr>
            <w:tcW w:w="929" w:type="dxa"/>
            <w:vAlign w:val="center"/>
          </w:tcPr>
          <w:p>
            <w:pPr>
              <w:pStyle w:val="34"/>
              <w:spacing w:before="236" w:line="183" w:lineRule="auto"/>
              <w:ind w:left="376"/>
              <w:jc w:val="center"/>
              <w:rPr>
                <w:color w:val="auto"/>
                <w:sz w:val="31"/>
                <w:szCs w:val="31"/>
                <w:highlight w:val="none"/>
              </w:rPr>
            </w:pPr>
          </w:p>
        </w:tc>
        <w:tc>
          <w:tcPr>
            <w:tcW w:w="1339" w:type="dxa"/>
            <w:vAlign w:val="center"/>
          </w:tcPr>
          <w:p>
            <w:pPr>
              <w:pStyle w:val="34"/>
              <w:spacing w:before="157" w:line="219" w:lineRule="auto"/>
              <w:ind w:left="508"/>
              <w:jc w:val="center"/>
              <w:rPr>
                <w:color w:val="auto"/>
                <w:sz w:val="31"/>
                <w:szCs w:val="31"/>
                <w:highlight w:val="none"/>
              </w:rPr>
            </w:pPr>
          </w:p>
        </w:tc>
        <w:tc>
          <w:tcPr>
            <w:tcW w:w="1044" w:type="dxa"/>
            <w:vAlign w:val="center"/>
          </w:tcPr>
          <w:p>
            <w:pPr>
              <w:pStyle w:val="34"/>
              <w:spacing w:before="165"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spacing w:line="295" w:lineRule="auto"/>
              <w:jc w:val="center"/>
              <w:rPr>
                <w:rFonts w:ascii="Arial"/>
                <w:color w:val="auto"/>
                <w:sz w:val="21"/>
                <w:highlight w:val="none"/>
              </w:rPr>
            </w:pPr>
          </w:p>
          <w:p>
            <w:pPr>
              <w:pStyle w:val="34"/>
              <w:spacing w:before="100" w:line="183" w:lineRule="auto"/>
              <w:ind w:left="405"/>
              <w:jc w:val="center"/>
              <w:rPr>
                <w:color w:val="auto"/>
                <w:sz w:val="31"/>
                <w:szCs w:val="31"/>
                <w:highlight w:val="none"/>
              </w:rPr>
            </w:pPr>
            <w:r>
              <w:rPr>
                <w:color w:val="auto"/>
                <w:sz w:val="31"/>
                <w:szCs w:val="31"/>
                <w:highlight w:val="none"/>
              </w:rPr>
              <w:t>6</w:t>
            </w:r>
          </w:p>
        </w:tc>
        <w:tc>
          <w:tcPr>
            <w:tcW w:w="3506" w:type="dxa"/>
            <w:vAlign w:val="center"/>
          </w:tcPr>
          <w:p>
            <w:pPr>
              <w:pStyle w:val="34"/>
              <w:spacing w:before="318" w:line="219" w:lineRule="auto"/>
              <w:ind w:left="190"/>
              <w:jc w:val="center"/>
              <w:rPr>
                <w:color w:val="auto"/>
                <w:sz w:val="31"/>
                <w:szCs w:val="31"/>
                <w:highlight w:val="none"/>
              </w:rPr>
            </w:pPr>
          </w:p>
        </w:tc>
        <w:tc>
          <w:tcPr>
            <w:tcW w:w="1968" w:type="dxa"/>
            <w:vAlign w:val="center"/>
          </w:tcPr>
          <w:p>
            <w:pPr>
              <w:pStyle w:val="34"/>
              <w:spacing w:before="326" w:line="224" w:lineRule="auto"/>
              <w:ind w:left="894"/>
              <w:jc w:val="center"/>
              <w:rPr>
                <w:color w:val="auto"/>
                <w:sz w:val="31"/>
                <w:szCs w:val="31"/>
                <w:highlight w:val="none"/>
              </w:rPr>
            </w:pPr>
          </w:p>
        </w:tc>
        <w:tc>
          <w:tcPr>
            <w:tcW w:w="929" w:type="dxa"/>
            <w:vAlign w:val="center"/>
          </w:tcPr>
          <w:p>
            <w:pPr>
              <w:pStyle w:val="34"/>
              <w:spacing w:before="100" w:line="183" w:lineRule="auto"/>
              <w:ind w:left="376"/>
              <w:jc w:val="center"/>
              <w:rPr>
                <w:color w:val="auto"/>
                <w:sz w:val="31"/>
                <w:szCs w:val="31"/>
                <w:highlight w:val="none"/>
              </w:rPr>
            </w:pPr>
          </w:p>
        </w:tc>
        <w:tc>
          <w:tcPr>
            <w:tcW w:w="1339" w:type="dxa"/>
            <w:vAlign w:val="center"/>
          </w:tcPr>
          <w:p>
            <w:pPr>
              <w:pStyle w:val="34"/>
              <w:spacing w:before="318" w:line="220" w:lineRule="auto"/>
              <w:ind w:left="508"/>
              <w:jc w:val="center"/>
              <w:rPr>
                <w:color w:val="auto"/>
                <w:sz w:val="31"/>
                <w:szCs w:val="31"/>
                <w:highlight w:val="none"/>
              </w:rPr>
            </w:pPr>
          </w:p>
        </w:tc>
        <w:tc>
          <w:tcPr>
            <w:tcW w:w="1044" w:type="dxa"/>
            <w:vAlign w:val="center"/>
          </w:tcPr>
          <w:p>
            <w:pPr>
              <w:pStyle w:val="34"/>
              <w:spacing w:before="326"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01" w:line="182" w:lineRule="auto"/>
              <w:ind w:left="405"/>
              <w:jc w:val="center"/>
              <w:rPr>
                <w:color w:val="auto"/>
                <w:sz w:val="31"/>
                <w:szCs w:val="31"/>
                <w:highlight w:val="none"/>
              </w:rPr>
            </w:pPr>
            <w:r>
              <w:rPr>
                <w:color w:val="auto"/>
                <w:sz w:val="31"/>
                <w:szCs w:val="31"/>
                <w:highlight w:val="none"/>
              </w:rPr>
              <w:t>7</w:t>
            </w:r>
          </w:p>
        </w:tc>
        <w:tc>
          <w:tcPr>
            <w:tcW w:w="3506" w:type="dxa"/>
            <w:vAlign w:val="center"/>
          </w:tcPr>
          <w:p>
            <w:pPr>
              <w:pStyle w:val="34"/>
              <w:spacing w:before="318" w:line="219" w:lineRule="auto"/>
              <w:ind w:left="660"/>
              <w:jc w:val="center"/>
              <w:rPr>
                <w:color w:val="auto"/>
                <w:sz w:val="31"/>
                <w:szCs w:val="31"/>
                <w:highlight w:val="none"/>
              </w:rPr>
            </w:pPr>
          </w:p>
        </w:tc>
        <w:tc>
          <w:tcPr>
            <w:tcW w:w="1968" w:type="dxa"/>
            <w:vAlign w:val="center"/>
          </w:tcPr>
          <w:p>
            <w:pPr>
              <w:pStyle w:val="34"/>
              <w:spacing w:before="327" w:line="224" w:lineRule="auto"/>
              <w:ind w:left="894"/>
              <w:jc w:val="center"/>
              <w:rPr>
                <w:color w:val="auto"/>
                <w:sz w:val="31"/>
                <w:szCs w:val="31"/>
                <w:highlight w:val="none"/>
              </w:rPr>
            </w:pPr>
          </w:p>
        </w:tc>
        <w:tc>
          <w:tcPr>
            <w:tcW w:w="929" w:type="dxa"/>
            <w:vAlign w:val="center"/>
          </w:tcPr>
          <w:p>
            <w:pPr>
              <w:pStyle w:val="34"/>
              <w:spacing w:before="100" w:line="183" w:lineRule="auto"/>
              <w:ind w:left="376"/>
              <w:jc w:val="center"/>
              <w:rPr>
                <w:color w:val="auto"/>
                <w:sz w:val="31"/>
                <w:szCs w:val="31"/>
                <w:highlight w:val="none"/>
              </w:rPr>
            </w:pPr>
          </w:p>
        </w:tc>
        <w:tc>
          <w:tcPr>
            <w:tcW w:w="1339" w:type="dxa"/>
            <w:vAlign w:val="center"/>
          </w:tcPr>
          <w:p>
            <w:pPr>
              <w:pStyle w:val="34"/>
              <w:spacing w:before="319" w:line="220" w:lineRule="auto"/>
              <w:ind w:left="508"/>
              <w:jc w:val="center"/>
              <w:rPr>
                <w:color w:val="auto"/>
                <w:sz w:val="31"/>
                <w:szCs w:val="31"/>
                <w:highlight w:val="none"/>
              </w:rPr>
            </w:pPr>
          </w:p>
        </w:tc>
        <w:tc>
          <w:tcPr>
            <w:tcW w:w="1044" w:type="dxa"/>
            <w:vAlign w:val="center"/>
          </w:tcPr>
          <w:p>
            <w:pPr>
              <w:pStyle w:val="34"/>
              <w:spacing w:before="327"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69" w:line="173" w:lineRule="auto"/>
              <w:ind w:left="405"/>
              <w:jc w:val="center"/>
              <w:rPr>
                <w:color w:val="auto"/>
                <w:sz w:val="31"/>
                <w:szCs w:val="31"/>
                <w:highlight w:val="none"/>
              </w:rPr>
            </w:pPr>
            <w:r>
              <w:rPr>
                <w:color w:val="auto"/>
                <w:sz w:val="31"/>
                <w:szCs w:val="31"/>
                <w:highlight w:val="none"/>
              </w:rPr>
              <w:t>8</w:t>
            </w:r>
          </w:p>
        </w:tc>
        <w:tc>
          <w:tcPr>
            <w:tcW w:w="3506" w:type="dxa"/>
            <w:vAlign w:val="center"/>
          </w:tcPr>
          <w:p>
            <w:pPr>
              <w:pStyle w:val="34"/>
              <w:spacing w:before="90" w:line="219" w:lineRule="auto"/>
              <w:ind w:left="970"/>
              <w:jc w:val="center"/>
              <w:rPr>
                <w:color w:val="auto"/>
                <w:sz w:val="31"/>
                <w:szCs w:val="31"/>
                <w:highlight w:val="none"/>
              </w:rPr>
            </w:pPr>
          </w:p>
        </w:tc>
        <w:tc>
          <w:tcPr>
            <w:tcW w:w="1968" w:type="dxa"/>
            <w:vAlign w:val="center"/>
          </w:tcPr>
          <w:p>
            <w:pPr>
              <w:pStyle w:val="34"/>
              <w:spacing w:before="98" w:line="215" w:lineRule="auto"/>
              <w:ind w:left="894"/>
              <w:jc w:val="center"/>
              <w:rPr>
                <w:color w:val="auto"/>
                <w:sz w:val="31"/>
                <w:szCs w:val="31"/>
                <w:highlight w:val="none"/>
              </w:rPr>
            </w:pPr>
          </w:p>
        </w:tc>
        <w:tc>
          <w:tcPr>
            <w:tcW w:w="929" w:type="dxa"/>
            <w:vAlign w:val="center"/>
          </w:tcPr>
          <w:p>
            <w:pPr>
              <w:pStyle w:val="34"/>
              <w:spacing w:before="169" w:line="173" w:lineRule="auto"/>
              <w:ind w:left="376"/>
              <w:jc w:val="center"/>
              <w:rPr>
                <w:color w:val="auto"/>
                <w:sz w:val="31"/>
                <w:szCs w:val="31"/>
                <w:highlight w:val="none"/>
              </w:rPr>
            </w:pPr>
          </w:p>
        </w:tc>
        <w:tc>
          <w:tcPr>
            <w:tcW w:w="1339" w:type="dxa"/>
            <w:vAlign w:val="center"/>
          </w:tcPr>
          <w:p>
            <w:pPr>
              <w:pStyle w:val="34"/>
              <w:spacing w:before="93" w:line="218" w:lineRule="auto"/>
              <w:ind w:left="508"/>
              <w:jc w:val="center"/>
              <w:rPr>
                <w:color w:val="auto"/>
                <w:sz w:val="31"/>
                <w:szCs w:val="31"/>
                <w:highlight w:val="none"/>
              </w:rPr>
            </w:pPr>
          </w:p>
        </w:tc>
        <w:tc>
          <w:tcPr>
            <w:tcW w:w="1044" w:type="dxa"/>
            <w:vAlign w:val="center"/>
          </w:tcPr>
          <w:p>
            <w:pPr>
              <w:pStyle w:val="34"/>
              <w:spacing w:before="98" w:line="215"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69" w:line="173" w:lineRule="auto"/>
              <w:ind w:left="405"/>
              <w:jc w:val="center"/>
              <w:rPr>
                <w:color w:val="auto"/>
                <w:sz w:val="31"/>
                <w:szCs w:val="31"/>
                <w:highlight w:val="none"/>
              </w:rPr>
            </w:pPr>
            <w:r>
              <w:rPr>
                <w:color w:val="auto"/>
                <w:sz w:val="31"/>
                <w:szCs w:val="31"/>
                <w:highlight w:val="none"/>
              </w:rPr>
              <w:t>9</w:t>
            </w:r>
          </w:p>
        </w:tc>
        <w:tc>
          <w:tcPr>
            <w:tcW w:w="3506" w:type="dxa"/>
            <w:vAlign w:val="center"/>
          </w:tcPr>
          <w:p>
            <w:pPr>
              <w:pStyle w:val="34"/>
              <w:spacing w:before="90" w:line="219" w:lineRule="auto"/>
              <w:ind w:left="970"/>
              <w:jc w:val="center"/>
              <w:rPr>
                <w:color w:val="auto"/>
                <w:sz w:val="31"/>
                <w:szCs w:val="31"/>
                <w:highlight w:val="none"/>
              </w:rPr>
            </w:pPr>
          </w:p>
        </w:tc>
        <w:tc>
          <w:tcPr>
            <w:tcW w:w="1968" w:type="dxa"/>
            <w:vAlign w:val="center"/>
          </w:tcPr>
          <w:p>
            <w:pPr>
              <w:pStyle w:val="34"/>
              <w:spacing w:before="97" w:line="216" w:lineRule="auto"/>
              <w:ind w:left="894"/>
              <w:jc w:val="center"/>
              <w:rPr>
                <w:color w:val="auto"/>
                <w:sz w:val="31"/>
                <w:szCs w:val="31"/>
                <w:highlight w:val="none"/>
              </w:rPr>
            </w:pPr>
          </w:p>
        </w:tc>
        <w:tc>
          <w:tcPr>
            <w:tcW w:w="929" w:type="dxa"/>
            <w:vAlign w:val="center"/>
          </w:tcPr>
          <w:p>
            <w:pPr>
              <w:pStyle w:val="34"/>
              <w:spacing w:before="169" w:line="173" w:lineRule="auto"/>
              <w:ind w:left="376"/>
              <w:jc w:val="center"/>
              <w:rPr>
                <w:color w:val="auto"/>
                <w:sz w:val="31"/>
                <w:szCs w:val="31"/>
                <w:highlight w:val="none"/>
              </w:rPr>
            </w:pPr>
          </w:p>
        </w:tc>
        <w:tc>
          <w:tcPr>
            <w:tcW w:w="1339" w:type="dxa"/>
            <w:vAlign w:val="center"/>
          </w:tcPr>
          <w:p>
            <w:pPr>
              <w:pStyle w:val="34"/>
              <w:spacing w:before="90" w:line="219" w:lineRule="auto"/>
              <w:ind w:left="508"/>
              <w:jc w:val="center"/>
              <w:rPr>
                <w:color w:val="auto"/>
                <w:sz w:val="31"/>
                <w:szCs w:val="31"/>
                <w:highlight w:val="none"/>
              </w:rPr>
            </w:pPr>
          </w:p>
        </w:tc>
        <w:tc>
          <w:tcPr>
            <w:tcW w:w="1044" w:type="dxa"/>
            <w:vAlign w:val="center"/>
          </w:tcPr>
          <w:p>
            <w:pPr>
              <w:pStyle w:val="34"/>
              <w:spacing w:before="97" w:line="216"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268" w:line="184" w:lineRule="auto"/>
              <w:ind w:left="324"/>
              <w:jc w:val="center"/>
              <w:rPr>
                <w:color w:val="auto"/>
                <w:sz w:val="31"/>
                <w:szCs w:val="31"/>
                <w:highlight w:val="none"/>
              </w:rPr>
            </w:pPr>
            <w:r>
              <w:rPr>
                <w:color w:val="auto"/>
                <w:spacing w:val="-9"/>
                <w:sz w:val="31"/>
                <w:szCs w:val="31"/>
                <w:highlight w:val="none"/>
              </w:rPr>
              <w:t>10</w:t>
            </w:r>
          </w:p>
        </w:tc>
        <w:tc>
          <w:tcPr>
            <w:tcW w:w="3506" w:type="dxa"/>
            <w:vAlign w:val="center"/>
          </w:tcPr>
          <w:p>
            <w:pPr>
              <w:pStyle w:val="34"/>
              <w:spacing w:before="187" w:line="219" w:lineRule="auto"/>
              <w:ind w:left="660"/>
              <w:jc w:val="center"/>
              <w:rPr>
                <w:color w:val="auto"/>
                <w:sz w:val="31"/>
                <w:szCs w:val="31"/>
                <w:highlight w:val="none"/>
              </w:rPr>
            </w:pPr>
          </w:p>
        </w:tc>
        <w:tc>
          <w:tcPr>
            <w:tcW w:w="1968" w:type="dxa"/>
            <w:vAlign w:val="center"/>
          </w:tcPr>
          <w:p>
            <w:pPr>
              <w:pStyle w:val="34"/>
              <w:spacing w:before="198" w:line="224" w:lineRule="auto"/>
              <w:ind w:left="894"/>
              <w:jc w:val="center"/>
              <w:rPr>
                <w:color w:val="auto"/>
                <w:sz w:val="31"/>
                <w:szCs w:val="31"/>
                <w:highlight w:val="none"/>
              </w:rPr>
            </w:pPr>
          </w:p>
        </w:tc>
        <w:tc>
          <w:tcPr>
            <w:tcW w:w="929" w:type="dxa"/>
            <w:vAlign w:val="center"/>
          </w:tcPr>
          <w:p>
            <w:pPr>
              <w:pStyle w:val="34"/>
              <w:spacing w:before="269" w:line="183" w:lineRule="auto"/>
              <w:ind w:left="376"/>
              <w:jc w:val="center"/>
              <w:rPr>
                <w:color w:val="auto"/>
                <w:sz w:val="31"/>
                <w:szCs w:val="31"/>
                <w:highlight w:val="none"/>
              </w:rPr>
            </w:pPr>
          </w:p>
        </w:tc>
        <w:tc>
          <w:tcPr>
            <w:tcW w:w="1339" w:type="dxa"/>
            <w:vAlign w:val="center"/>
          </w:tcPr>
          <w:p>
            <w:pPr>
              <w:pStyle w:val="34"/>
              <w:spacing w:before="193" w:line="221" w:lineRule="auto"/>
              <w:ind w:left="508"/>
              <w:jc w:val="center"/>
              <w:rPr>
                <w:color w:val="auto"/>
                <w:sz w:val="31"/>
                <w:szCs w:val="31"/>
                <w:highlight w:val="none"/>
              </w:rPr>
            </w:pPr>
          </w:p>
        </w:tc>
        <w:tc>
          <w:tcPr>
            <w:tcW w:w="1044" w:type="dxa"/>
            <w:vAlign w:val="center"/>
          </w:tcPr>
          <w:p>
            <w:pPr>
              <w:pStyle w:val="34"/>
              <w:spacing w:before="198"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289" w:line="184" w:lineRule="auto"/>
              <w:ind w:left="324"/>
              <w:jc w:val="center"/>
              <w:rPr>
                <w:color w:val="auto"/>
                <w:sz w:val="31"/>
                <w:szCs w:val="31"/>
                <w:highlight w:val="none"/>
              </w:rPr>
            </w:pPr>
            <w:r>
              <w:rPr>
                <w:color w:val="auto"/>
                <w:spacing w:val="-9"/>
                <w:sz w:val="31"/>
                <w:szCs w:val="31"/>
                <w:highlight w:val="none"/>
              </w:rPr>
              <w:t>11</w:t>
            </w:r>
          </w:p>
        </w:tc>
        <w:tc>
          <w:tcPr>
            <w:tcW w:w="3506" w:type="dxa"/>
            <w:vAlign w:val="center"/>
          </w:tcPr>
          <w:p>
            <w:pPr>
              <w:pStyle w:val="34"/>
              <w:spacing w:before="208" w:line="219" w:lineRule="auto"/>
              <w:ind w:left="580"/>
              <w:jc w:val="center"/>
              <w:rPr>
                <w:color w:val="auto"/>
                <w:sz w:val="31"/>
                <w:szCs w:val="31"/>
                <w:highlight w:val="none"/>
              </w:rPr>
            </w:pPr>
          </w:p>
        </w:tc>
        <w:tc>
          <w:tcPr>
            <w:tcW w:w="1968" w:type="dxa"/>
            <w:vAlign w:val="center"/>
          </w:tcPr>
          <w:p>
            <w:pPr>
              <w:pStyle w:val="34"/>
              <w:spacing w:before="219" w:line="224" w:lineRule="auto"/>
              <w:ind w:left="894"/>
              <w:jc w:val="center"/>
              <w:rPr>
                <w:color w:val="auto"/>
                <w:sz w:val="31"/>
                <w:szCs w:val="31"/>
                <w:highlight w:val="none"/>
              </w:rPr>
            </w:pPr>
          </w:p>
        </w:tc>
        <w:tc>
          <w:tcPr>
            <w:tcW w:w="929" w:type="dxa"/>
            <w:vAlign w:val="center"/>
          </w:tcPr>
          <w:p>
            <w:pPr>
              <w:pStyle w:val="34"/>
              <w:spacing w:before="289" w:line="184" w:lineRule="auto"/>
              <w:ind w:left="376"/>
              <w:jc w:val="center"/>
              <w:rPr>
                <w:color w:val="auto"/>
                <w:sz w:val="31"/>
                <w:szCs w:val="31"/>
                <w:highlight w:val="none"/>
              </w:rPr>
            </w:pPr>
          </w:p>
        </w:tc>
        <w:tc>
          <w:tcPr>
            <w:tcW w:w="1339" w:type="dxa"/>
            <w:vAlign w:val="center"/>
          </w:tcPr>
          <w:p>
            <w:pPr>
              <w:pStyle w:val="34"/>
              <w:spacing w:before="215" w:line="221" w:lineRule="auto"/>
              <w:ind w:left="508"/>
              <w:jc w:val="center"/>
              <w:rPr>
                <w:color w:val="auto"/>
                <w:sz w:val="31"/>
                <w:szCs w:val="31"/>
                <w:highlight w:val="none"/>
              </w:rPr>
            </w:pPr>
          </w:p>
        </w:tc>
        <w:tc>
          <w:tcPr>
            <w:tcW w:w="1044" w:type="dxa"/>
            <w:vAlign w:val="center"/>
          </w:tcPr>
          <w:p>
            <w:pPr>
              <w:pStyle w:val="34"/>
              <w:spacing w:before="219" w:line="224"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4"/>
              <w:spacing w:before="89" w:line="214" w:lineRule="auto"/>
              <w:ind w:left="4569"/>
              <w:jc w:val="center"/>
              <w:rPr>
                <w:color w:val="auto"/>
                <w:sz w:val="31"/>
                <w:szCs w:val="31"/>
                <w:highlight w:val="none"/>
              </w:rPr>
            </w:pPr>
            <w:r>
              <w:rPr>
                <w:b/>
                <w:bCs/>
                <w:color w:val="auto"/>
                <w:spacing w:val="-7"/>
                <w:sz w:val="31"/>
                <w:szCs w:val="31"/>
                <w:highlight w:val="none"/>
              </w:rPr>
              <w:t>增配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00" w:line="220" w:lineRule="auto"/>
              <w:ind w:left="179"/>
              <w:jc w:val="center"/>
              <w:rPr>
                <w:color w:val="auto"/>
                <w:sz w:val="31"/>
                <w:szCs w:val="31"/>
                <w:highlight w:val="none"/>
              </w:rPr>
            </w:pPr>
            <w:r>
              <w:rPr>
                <w:b/>
                <w:bCs/>
                <w:color w:val="auto"/>
                <w:spacing w:val="1"/>
                <w:sz w:val="31"/>
                <w:szCs w:val="31"/>
                <w:highlight w:val="none"/>
              </w:rPr>
              <w:t>序号</w:t>
            </w:r>
          </w:p>
        </w:tc>
        <w:tc>
          <w:tcPr>
            <w:tcW w:w="3506" w:type="dxa"/>
            <w:vAlign w:val="center"/>
          </w:tcPr>
          <w:p>
            <w:pPr>
              <w:pStyle w:val="34"/>
              <w:spacing w:before="102" w:line="219" w:lineRule="auto"/>
              <w:ind w:left="1435"/>
              <w:jc w:val="center"/>
              <w:rPr>
                <w:color w:val="auto"/>
                <w:sz w:val="31"/>
                <w:szCs w:val="31"/>
                <w:highlight w:val="none"/>
              </w:rPr>
            </w:pPr>
            <w:r>
              <w:rPr>
                <w:b/>
                <w:bCs/>
                <w:color w:val="auto"/>
                <w:sz w:val="31"/>
                <w:szCs w:val="31"/>
                <w:highlight w:val="none"/>
              </w:rPr>
              <w:t>名称</w:t>
            </w:r>
          </w:p>
        </w:tc>
        <w:tc>
          <w:tcPr>
            <w:tcW w:w="1968" w:type="dxa"/>
            <w:vAlign w:val="center"/>
          </w:tcPr>
          <w:p>
            <w:pPr>
              <w:pStyle w:val="34"/>
              <w:spacing w:before="100" w:line="220" w:lineRule="auto"/>
              <w:ind w:left="669"/>
              <w:jc w:val="center"/>
              <w:rPr>
                <w:color w:val="auto"/>
                <w:sz w:val="31"/>
                <w:szCs w:val="31"/>
                <w:highlight w:val="none"/>
              </w:rPr>
            </w:pPr>
            <w:r>
              <w:rPr>
                <w:b/>
                <w:bCs/>
                <w:color w:val="auto"/>
                <w:spacing w:val="1"/>
                <w:sz w:val="31"/>
                <w:szCs w:val="31"/>
                <w:highlight w:val="none"/>
              </w:rPr>
              <w:t>型号</w:t>
            </w:r>
          </w:p>
        </w:tc>
        <w:tc>
          <w:tcPr>
            <w:tcW w:w="929" w:type="dxa"/>
            <w:vAlign w:val="center"/>
          </w:tcPr>
          <w:p>
            <w:pPr>
              <w:pStyle w:val="34"/>
              <w:spacing w:before="98" w:line="219" w:lineRule="auto"/>
              <w:ind w:left="151"/>
              <w:jc w:val="center"/>
              <w:rPr>
                <w:color w:val="auto"/>
                <w:sz w:val="31"/>
                <w:szCs w:val="31"/>
                <w:highlight w:val="none"/>
              </w:rPr>
            </w:pPr>
            <w:r>
              <w:rPr>
                <w:b/>
                <w:bCs/>
                <w:color w:val="auto"/>
                <w:spacing w:val="-7"/>
                <w:sz w:val="31"/>
                <w:szCs w:val="31"/>
                <w:highlight w:val="none"/>
              </w:rPr>
              <w:t>数量</w:t>
            </w:r>
          </w:p>
        </w:tc>
        <w:tc>
          <w:tcPr>
            <w:tcW w:w="1339" w:type="dxa"/>
            <w:vAlign w:val="center"/>
          </w:tcPr>
          <w:p>
            <w:pPr>
              <w:pStyle w:val="34"/>
              <w:spacing w:before="99" w:line="220" w:lineRule="auto"/>
              <w:ind w:left="362"/>
              <w:jc w:val="center"/>
              <w:rPr>
                <w:color w:val="auto"/>
                <w:sz w:val="31"/>
                <w:szCs w:val="31"/>
                <w:highlight w:val="none"/>
              </w:rPr>
            </w:pPr>
            <w:r>
              <w:rPr>
                <w:b/>
                <w:bCs/>
                <w:color w:val="auto"/>
                <w:spacing w:val="-7"/>
                <w:sz w:val="31"/>
                <w:szCs w:val="31"/>
                <w:highlight w:val="none"/>
              </w:rPr>
              <w:t>单位</w:t>
            </w:r>
          </w:p>
        </w:tc>
        <w:tc>
          <w:tcPr>
            <w:tcW w:w="1044" w:type="dxa"/>
            <w:vAlign w:val="center"/>
          </w:tcPr>
          <w:p>
            <w:pPr>
              <w:pStyle w:val="34"/>
              <w:spacing w:before="105" w:line="217" w:lineRule="auto"/>
              <w:ind w:left="208"/>
              <w:jc w:val="center"/>
              <w:rPr>
                <w:color w:val="auto"/>
                <w:sz w:val="31"/>
                <w:szCs w:val="31"/>
                <w:highlight w:val="none"/>
              </w:rPr>
            </w:pPr>
            <w:r>
              <w:rPr>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41" w:line="253" w:lineRule="exact"/>
              <w:ind w:left="405"/>
              <w:jc w:val="center"/>
              <w:rPr>
                <w:color w:val="auto"/>
                <w:sz w:val="31"/>
                <w:szCs w:val="31"/>
                <w:highlight w:val="none"/>
              </w:rPr>
            </w:pPr>
            <w:r>
              <w:rPr>
                <w:color w:val="auto"/>
                <w:position w:val="-3"/>
                <w:sz w:val="31"/>
                <w:szCs w:val="31"/>
                <w:highlight w:val="none"/>
              </w:rPr>
              <w:t>1</w:t>
            </w:r>
          </w:p>
        </w:tc>
        <w:tc>
          <w:tcPr>
            <w:tcW w:w="3506" w:type="dxa"/>
            <w:vAlign w:val="center"/>
          </w:tcPr>
          <w:p>
            <w:pPr>
              <w:jc w:val="center"/>
              <w:rPr>
                <w:rFonts w:ascii="Arial"/>
                <w:color w:val="auto"/>
                <w:sz w:val="21"/>
                <w:highlight w:val="none"/>
              </w:rPr>
            </w:pPr>
          </w:p>
        </w:tc>
        <w:tc>
          <w:tcPr>
            <w:tcW w:w="1968" w:type="dxa"/>
            <w:vAlign w:val="center"/>
          </w:tcPr>
          <w:p>
            <w:pPr>
              <w:pStyle w:val="34"/>
              <w:spacing w:before="70" w:line="193" w:lineRule="auto"/>
              <w:ind w:left="894"/>
              <w:jc w:val="center"/>
              <w:rPr>
                <w:color w:val="auto"/>
                <w:sz w:val="31"/>
                <w:szCs w:val="31"/>
                <w:highlight w:val="none"/>
              </w:rPr>
            </w:pPr>
          </w:p>
        </w:tc>
        <w:tc>
          <w:tcPr>
            <w:tcW w:w="929" w:type="dxa"/>
            <w:vAlign w:val="center"/>
          </w:tcPr>
          <w:p>
            <w:pPr>
              <w:pStyle w:val="34"/>
              <w:spacing w:before="70" w:line="193" w:lineRule="auto"/>
              <w:ind w:left="376"/>
              <w:jc w:val="center"/>
              <w:rPr>
                <w:color w:val="auto"/>
                <w:sz w:val="31"/>
                <w:szCs w:val="31"/>
                <w:highlight w:val="none"/>
              </w:rPr>
            </w:pPr>
          </w:p>
        </w:tc>
        <w:tc>
          <w:tcPr>
            <w:tcW w:w="1339" w:type="dxa"/>
            <w:vAlign w:val="center"/>
          </w:tcPr>
          <w:p>
            <w:pPr>
              <w:pStyle w:val="34"/>
              <w:spacing w:before="70" w:line="193" w:lineRule="auto"/>
              <w:ind w:left="587"/>
              <w:jc w:val="center"/>
              <w:rPr>
                <w:color w:val="auto"/>
                <w:sz w:val="31"/>
                <w:szCs w:val="31"/>
                <w:highlight w:val="none"/>
              </w:rPr>
            </w:pPr>
          </w:p>
        </w:tc>
        <w:tc>
          <w:tcPr>
            <w:tcW w:w="1044" w:type="dxa"/>
            <w:vAlign w:val="center"/>
          </w:tcPr>
          <w:p>
            <w:pPr>
              <w:pStyle w:val="34"/>
              <w:spacing w:before="70" w:line="193"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41" w:line="253" w:lineRule="exact"/>
              <w:ind w:left="405"/>
              <w:jc w:val="center"/>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2</w:t>
            </w:r>
          </w:p>
        </w:tc>
        <w:tc>
          <w:tcPr>
            <w:tcW w:w="3506" w:type="dxa"/>
            <w:vAlign w:val="center"/>
          </w:tcPr>
          <w:p>
            <w:pPr>
              <w:jc w:val="center"/>
              <w:rPr>
                <w:rFonts w:ascii="Arial"/>
                <w:color w:val="auto"/>
                <w:sz w:val="21"/>
                <w:highlight w:val="none"/>
              </w:rPr>
            </w:pPr>
          </w:p>
        </w:tc>
        <w:tc>
          <w:tcPr>
            <w:tcW w:w="1968" w:type="dxa"/>
            <w:vAlign w:val="center"/>
          </w:tcPr>
          <w:p>
            <w:pPr>
              <w:pStyle w:val="34"/>
              <w:spacing w:before="70" w:line="193" w:lineRule="auto"/>
              <w:ind w:left="894"/>
              <w:jc w:val="center"/>
              <w:rPr>
                <w:color w:val="auto"/>
                <w:sz w:val="31"/>
                <w:szCs w:val="31"/>
                <w:highlight w:val="none"/>
              </w:rPr>
            </w:pPr>
          </w:p>
        </w:tc>
        <w:tc>
          <w:tcPr>
            <w:tcW w:w="929" w:type="dxa"/>
            <w:vAlign w:val="center"/>
          </w:tcPr>
          <w:p>
            <w:pPr>
              <w:pStyle w:val="34"/>
              <w:spacing w:before="70" w:line="193" w:lineRule="auto"/>
              <w:ind w:left="376"/>
              <w:jc w:val="center"/>
              <w:rPr>
                <w:color w:val="auto"/>
                <w:sz w:val="31"/>
                <w:szCs w:val="31"/>
                <w:highlight w:val="none"/>
              </w:rPr>
            </w:pPr>
          </w:p>
        </w:tc>
        <w:tc>
          <w:tcPr>
            <w:tcW w:w="1339" w:type="dxa"/>
            <w:vAlign w:val="center"/>
          </w:tcPr>
          <w:p>
            <w:pPr>
              <w:pStyle w:val="34"/>
              <w:spacing w:before="70" w:line="193" w:lineRule="auto"/>
              <w:ind w:left="587"/>
              <w:jc w:val="center"/>
              <w:rPr>
                <w:color w:val="auto"/>
                <w:sz w:val="31"/>
                <w:szCs w:val="31"/>
                <w:highlight w:val="none"/>
              </w:rPr>
            </w:pPr>
          </w:p>
        </w:tc>
        <w:tc>
          <w:tcPr>
            <w:tcW w:w="1044" w:type="dxa"/>
            <w:vAlign w:val="center"/>
          </w:tcPr>
          <w:p>
            <w:pPr>
              <w:pStyle w:val="34"/>
              <w:spacing w:before="70" w:line="193" w:lineRule="auto"/>
              <w:ind w:left="438"/>
              <w:jc w:val="center"/>
              <w:rPr>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4"/>
              <w:spacing w:before="141" w:line="253" w:lineRule="exact"/>
              <w:ind w:left="405"/>
              <w:jc w:val="center"/>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3</w:t>
            </w:r>
          </w:p>
        </w:tc>
        <w:tc>
          <w:tcPr>
            <w:tcW w:w="3506" w:type="dxa"/>
            <w:vAlign w:val="center"/>
          </w:tcPr>
          <w:p>
            <w:pPr>
              <w:jc w:val="center"/>
              <w:rPr>
                <w:rFonts w:ascii="Arial"/>
                <w:color w:val="auto"/>
                <w:sz w:val="21"/>
                <w:highlight w:val="none"/>
              </w:rPr>
            </w:pPr>
          </w:p>
        </w:tc>
        <w:tc>
          <w:tcPr>
            <w:tcW w:w="1968" w:type="dxa"/>
            <w:vAlign w:val="center"/>
          </w:tcPr>
          <w:p>
            <w:pPr>
              <w:pStyle w:val="34"/>
              <w:spacing w:before="70" w:line="193" w:lineRule="auto"/>
              <w:ind w:left="894"/>
              <w:jc w:val="center"/>
              <w:rPr>
                <w:color w:val="auto"/>
                <w:sz w:val="31"/>
                <w:szCs w:val="31"/>
                <w:highlight w:val="none"/>
              </w:rPr>
            </w:pPr>
          </w:p>
        </w:tc>
        <w:tc>
          <w:tcPr>
            <w:tcW w:w="929" w:type="dxa"/>
            <w:vAlign w:val="center"/>
          </w:tcPr>
          <w:p>
            <w:pPr>
              <w:pStyle w:val="34"/>
              <w:spacing w:before="70" w:line="193" w:lineRule="auto"/>
              <w:ind w:left="376"/>
              <w:jc w:val="center"/>
              <w:rPr>
                <w:color w:val="auto"/>
                <w:sz w:val="31"/>
                <w:szCs w:val="31"/>
                <w:highlight w:val="none"/>
              </w:rPr>
            </w:pPr>
          </w:p>
        </w:tc>
        <w:tc>
          <w:tcPr>
            <w:tcW w:w="1339" w:type="dxa"/>
            <w:vAlign w:val="center"/>
          </w:tcPr>
          <w:p>
            <w:pPr>
              <w:pStyle w:val="34"/>
              <w:spacing w:before="70" w:line="193" w:lineRule="auto"/>
              <w:ind w:left="587"/>
              <w:jc w:val="center"/>
              <w:rPr>
                <w:color w:val="auto"/>
                <w:sz w:val="31"/>
                <w:szCs w:val="31"/>
                <w:highlight w:val="none"/>
              </w:rPr>
            </w:pPr>
          </w:p>
        </w:tc>
        <w:tc>
          <w:tcPr>
            <w:tcW w:w="1044" w:type="dxa"/>
            <w:vAlign w:val="center"/>
          </w:tcPr>
          <w:p>
            <w:pPr>
              <w:pStyle w:val="34"/>
              <w:spacing w:before="70" w:line="193" w:lineRule="auto"/>
              <w:ind w:left="438"/>
              <w:jc w:val="center"/>
              <w:rPr>
                <w:color w:val="auto"/>
                <w:sz w:val="31"/>
                <w:szCs w:val="31"/>
                <w:highlight w:val="none"/>
              </w:rPr>
            </w:pPr>
          </w:p>
        </w:tc>
      </w:tr>
    </w:tbl>
    <w:p>
      <w:pPr>
        <w:spacing w:line="46" w:lineRule="exact"/>
        <w:rPr>
          <w:color w:val="auto"/>
          <w:highlight w:val="none"/>
        </w:rPr>
      </w:pPr>
    </w:p>
    <w:p>
      <w:pPr>
        <w:spacing w:before="275"/>
        <w:ind w:left="774"/>
        <w:rPr>
          <w:color w:val="auto"/>
          <w:sz w:val="32"/>
          <w:szCs w:val="32"/>
          <w:highlight w:val="none"/>
        </w:rPr>
      </w:pPr>
      <w:r>
        <w:rPr>
          <w:rFonts w:ascii="宋体" w:hAnsi="宋体" w:eastAsia="宋体" w:cs="宋体"/>
          <w:color w:val="auto"/>
          <w:spacing w:val="-37"/>
          <w:w w:val="99"/>
          <w:sz w:val="32"/>
          <w:szCs w:val="32"/>
          <w:highlight w:val="none"/>
        </w:rPr>
        <w:t>使用科室：</w:t>
      </w:r>
      <w:r>
        <w:rPr>
          <w:rFonts w:ascii="宋体" w:hAnsi="宋体" w:eastAsia="宋体" w:cs="宋体"/>
          <w:color w:val="auto"/>
          <w:spacing w:val="7"/>
          <w:sz w:val="32"/>
          <w:szCs w:val="32"/>
          <w:highlight w:val="none"/>
        </w:rPr>
        <w:t xml:space="preserve"> </w:t>
      </w:r>
      <w:r>
        <w:rPr>
          <w:rFonts w:hint="eastAsia" w:ascii="宋体" w:hAnsi="宋体" w:cs="宋体"/>
          <w:color w:val="auto"/>
          <w:spacing w:val="7"/>
          <w:sz w:val="32"/>
          <w:szCs w:val="32"/>
          <w:highlight w:val="none"/>
          <w:lang w:val="en-US" w:eastAsia="zh-CN"/>
        </w:rPr>
        <w:t xml:space="preserve">      </w:t>
      </w:r>
      <w:r>
        <w:rPr>
          <w:rFonts w:ascii="宋体" w:hAnsi="宋体" w:eastAsia="宋体" w:cs="宋体"/>
          <w:color w:val="auto"/>
          <w:spacing w:val="27"/>
          <w:sz w:val="32"/>
          <w:szCs w:val="32"/>
          <w:highlight w:val="none"/>
        </w:rPr>
        <w:t>科室负责人(签字):</w:t>
      </w:r>
      <w:r>
        <w:rPr>
          <w:rFonts w:ascii="宋体" w:hAnsi="宋体" w:eastAsia="宋体" w:cs="宋体"/>
          <w:color w:val="auto"/>
          <w:spacing w:val="39"/>
          <w:sz w:val="32"/>
          <w:szCs w:val="32"/>
          <w:highlight w:val="none"/>
        </w:rPr>
        <w:t xml:space="preserve">   </w:t>
      </w:r>
    </w:p>
    <w:p>
      <w:pPr>
        <w:rPr>
          <w:color w:val="auto"/>
          <w:sz w:val="32"/>
          <w:szCs w:val="32"/>
          <w:highlight w:val="none"/>
        </w:rPr>
        <w:sectPr>
          <w:footerReference r:id="rId13" w:type="default"/>
          <w:pgSz w:w="11840" w:h="16800"/>
          <w:pgMar w:top="1440" w:right="1800" w:bottom="1440" w:left="1800" w:header="0" w:footer="0" w:gutter="0"/>
          <w:pgNumType w:fmt="decimal"/>
          <w:cols w:space="720" w:num="1"/>
        </w:sectPr>
      </w:pPr>
    </w:p>
    <w:p>
      <w:pPr>
        <w:pStyle w:val="6"/>
        <w:spacing w:line="353" w:lineRule="auto"/>
        <w:rPr>
          <w:color w:val="auto"/>
          <w:highlight w:val="none"/>
        </w:rPr>
      </w:pPr>
    </w:p>
    <w:p>
      <w:pPr>
        <w:spacing w:before="101" w:line="219" w:lineRule="auto"/>
        <w:ind w:left="12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附件4:</w:t>
      </w:r>
    </w:p>
    <w:p>
      <w:pPr>
        <w:spacing w:before="66" w:line="219" w:lineRule="auto"/>
        <w:ind w:left="4080"/>
        <w:rPr>
          <w:rFonts w:ascii="宋体" w:hAnsi="宋体" w:eastAsia="宋体" w:cs="宋体"/>
          <w:color w:val="auto"/>
          <w:sz w:val="40"/>
          <w:szCs w:val="40"/>
          <w:highlight w:val="none"/>
        </w:rPr>
      </w:pPr>
      <w:r>
        <w:rPr>
          <w:rFonts w:ascii="宋体" w:hAnsi="宋体" w:eastAsia="宋体" w:cs="宋体"/>
          <w:b/>
          <w:bCs/>
          <w:color w:val="auto"/>
          <w:spacing w:val="-8"/>
          <w:sz w:val="40"/>
          <w:szCs w:val="40"/>
          <w:highlight w:val="none"/>
        </w:rPr>
        <w:t>备品备件清单</w:t>
      </w:r>
    </w:p>
    <w:p>
      <w:pPr>
        <w:spacing w:before="132"/>
        <w:rPr>
          <w:color w:val="auto"/>
          <w:highlight w:val="none"/>
        </w:rPr>
      </w:pPr>
    </w:p>
    <w:tbl>
      <w:tblPr>
        <w:tblStyle w:val="33"/>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387"/>
        <w:gridCol w:w="2427"/>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3" w:type="dxa"/>
            <w:vAlign w:val="top"/>
          </w:tcPr>
          <w:p>
            <w:pPr>
              <w:pStyle w:val="34"/>
              <w:spacing w:before="121" w:line="216" w:lineRule="auto"/>
              <w:ind w:left="399"/>
              <w:rPr>
                <w:color w:val="auto"/>
                <w:sz w:val="33"/>
                <w:szCs w:val="33"/>
                <w:highlight w:val="none"/>
              </w:rPr>
            </w:pPr>
            <w:r>
              <w:rPr>
                <w:b/>
                <w:bCs/>
                <w:color w:val="auto"/>
                <w:spacing w:val="2"/>
                <w:sz w:val="33"/>
                <w:szCs w:val="33"/>
                <w:highlight w:val="none"/>
              </w:rPr>
              <w:t>序号</w:t>
            </w:r>
          </w:p>
        </w:tc>
        <w:tc>
          <w:tcPr>
            <w:tcW w:w="3387" w:type="dxa"/>
            <w:vAlign w:val="top"/>
          </w:tcPr>
          <w:p>
            <w:pPr>
              <w:pStyle w:val="34"/>
              <w:spacing w:before="118" w:line="218" w:lineRule="auto"/>
              <w:ind w:left="696"/>
              <w:rPr>
                <w:color w:val="auto"/>
                <w:sz w:val="33"/>
                <w:szCs w:val="33"/>
                <w:highlight w:val="none"/>
              </w:rPr>
            </w:pPr>
            <w:r>
              <w:rPr>
                <w:b/>
                <w:bCs/>
                <w:color w:val="auto"/>
                <w:spacing w:val="-3"/>
                <w:sz w:val="33"/>
                <w:szCs w:val="33"/>
                <w:highlight w:val="none"/>
              </w:rPr>
              <w:t>备品备件名称</w:t>
            </w:r>
          </w:p>
        </w:tc>
        <w:tc>
          <w:tcPr>
            <w:tcW w:w="2427" w:type="dxa"/>
            <w:vAlign w:val="top"/>
          </w:tcPr>
          <w:p>
            <w:pPr>
              <w:pStyle w:val="34"/>
              <w:spacing w:before="125" w:line="214" w:lineRule="auto"/>
              <w:ind w:left="874"/>
              <w:rPr>
                <w:color w:val="auto"/>
                <w:sz w:val="33"/>
                <w:szCs w:val="33"/>
                <w:highlight w:val="none"/>
              </w:rPr>
            </w:pPr>
            <w:r>
              <w:rPr>
                <w:color w:val="auto"/>
                <w:spacing w:val="10"/>
                <w:sz w:val="33"/>
                <w:szCs w:val="33"/>
                <w:highlight w:val="none"/>
              </w:rPr>
              <w:t>型号</w:t>
            </w:r>
          </w:p>
        </w:tc>
        <w:tc>
          <w:tcPr>
            <w:tcW w:w="2422" w:type="dxa"/>
            <w:vAlign w:val="top"/>
          </w:tcPr>
          <w:p>
            <w:pPr>
              <w:pStyle w:val="34"/>
              <w:spacing w:before="125" w:line="214" w:lineRule="auto"/>
              <w:ind w:left="877"/>
              <w:rPr>
                <w:color w:val="auto"/>
                <w:sz w:val="33"/>
                <w:szCs w:val="33"/>
                <w:highlight w:val="none"/>
              </w:rPr>
            </w:pPr>
            <w:r>
              <w:rPr>
                <w:color w:val="auto"/>
                <w:spacing w:val="8"/>
                <w:sz w:val="33"/>
                <w:szCs w:val="3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4"/>
              <w:spacing w:before="169" w:line="167" w:lineRule="auto"/>
              <w:ind w:left="634"/>
              <w:rPr>
                <w:color w:val="auto"/>
                <w:sz w:val="33"/>
                <w:szCs w:val="33"/>
                <w:highlight w:val="none"/>
              </w:rPr>
            </w:pPr>
            <w:r>
              <w:rPr>
                <w:color w:val="auto"/>
                <w:sz w:val="33"/>
                <w:szCs w:val="33"/>
                <w:highlight w:val="none"/>
              </w:rPr>
              <w:t>1</w:t>
            </w:r>
          </w:p>
        </w:tc>
        <w:tc>
          <w:tcPr>
            <w:tcW w:w="3387" w:type="dxa"/>
            <w:vAlign w:val="top"/>
          </w:tcPr>
          <w:p>
            <w:pPr>
              <w:pStyle w:val="34"/>
              <w:spacing w:before="85" w:line="214" w:lineRule="auto"/>
              <w:ind w:left="531"/>
              <w:rPr>
                <w:color w:val="auto"/>
                <w:sz w:val="33"/>
                <w:szCs w:val="33"/>
                <w:highlight w:val="none"/>
              </w:rPr>
            </w:pPr>
          </w:p>
        </w:tc>
        <w:tc>
          <w:tcPr>
            <w:tcW w:w="2427" w:type="dxa"/>
            <w:vAlign w:val="top"/>
          </w:tcPr>
          <w:p>
            <w:pPr>
              <w:pStyle w:val="34"/>
              <w:spacing w:before="171" w:line="166" w:lineRule="auto"/>
              <w:ind w:left="794"/>
              <w:rPr>
                <w:color w:val="auto"/>
                <w:sz w:val="33"/>
                <w:szCs w:val="33"/>
                <w:highlight w:val="none"/>
              </w:rPr>
            </w:pPr>
          </w:p>
        </w:tc>
        <w:tc>
          <w:tcPr>
            <w:tcW w:w="2422" w:type="dxa"/>
            <w:vAlign w:val="top"/>
          </w:tcPr>
          <w:p>
            <w:pPr>
              <w:pStyle w:val="34"/>
              <w:spacing w:before="94" w:line="209"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4"/>
              <w:spacing w:before="162" w:line="166" w:lineRule="auto"/>
              <w:ind w:left="634"/>
              <w:rPr>
                <w:color w:val="auto"/>
                <w:sz w:val="33"/>
                <w:szCs w:val="33"/>
                <w:highlight w:val="none"/>
              </w:rPr>
            </w:pPr>
            <w:r>
              <w:rPr>
                <w:color w:val="auto"/>
                <w:sz w:val="33"/>
                <w:szCs w:val="33"/>
                <w:highlight w:val="none"/>
              </w:rPr>
              <w:t>2</w:t>
            </w:r>
          </w:p>
        </w:tc>
        <w:tc>
          <w:tcPr>
            <w:tcW w:w="3387" w:type="dxa"/>
            <w:vAlign w:val="top"/>
          </w:tcPr>
          <w:p>
            <w:pPr>
              <w:pStyle w:val="34"/>
              <w:spacing w:before="76" w:line="214" w:lineRule="auto"/>
              <w:ind w:left="862"/>
              <w:rPr>
                <w:color w:val="auto"/>
                <w:sz w:val="33"/>
                <w:szCs w:val="33"/>
                <w:highlight w:val="none"/>
              </w:rPr>
            </w:pPr>
          </w:p>
        </w:tc>
        <w:tc>
          <w:tcPr>
            <w:tcW w:w="2427" w:type="dxa"/>
            <w:vAlign w:val="top"/>
          </w:tcPr>
          <w:p>
            <w:pPr>
              <w:pStyle w:val="34"/>
              <w:spacing w:before="162" w:line="166" w:lineRule="auto"/>
              <w:ind w:left="794"/>
              <w:rPr>
                <w:color w:val="auto"/>
                <w:sz w:val="33"/>
                <w:szCs w:val="33"/>
                <w:highlight w:val="none"/>
              </w:rPr>
            </w:pPr>
          </w:p>
        </w:tc>
        <w:tc>
          <w:tcPr>
            <w:tcW w:w="2422" w:type="dxa"/>
            <w:vAlign w:val="top"/>
          </w:tcPr>
          <w:p>
            <w:pPr>
              <w:pStyle w:val="34"/>
              <w:spacing w:before="87" w:line="208"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4"/>
              <w:spacing w:before="164" w:line="165" w:lineRule="auto"/>
              <w:ind w:left="634"/>
              <w:rPr>
                <w:color w:val="auto"/>
                <w:sz w:val="33"/>
                <w:szCs w:val="33"/>
                <w:highlight w:val="none"/>
              </w:rPr>
            </w:pPr>
            <w:r>
              <w:rPr>
                <w:color w:val="auto"/>
                <w:sz w:val="33"/>
                <w:szCs w:val="33"/>
                <w:highlight w:val="none"/>
              </w:rPr>
              <w:t>3</w:t>
            </w:r>
          </w:p>
        </w:tc>
        <w:tc>
          <w:tcPr>
            <w:tcW w:w="3387" w:type="dxa"/>
            <w:vAlign w:val="top"/>
          </w:tcPr>
          <w:p>
            <w:pPr>
              <w:pStyle w:val="34"/>
              <w:spacing w:before="80" w:line="212" w:lineRule="auto"/>
              <w:ind w:left="862"/>
              <w:rPr>
                <w:color w:val="auto"/>
                <w:sz w:val="33"/>
                <w:szCs w:val="33"/>
                <w:highlight w:val="none"/>
              </w:rPr>
            </w:pPr>
          </w:p>
        </w:tc>
        <w:tc>
          <w:tcPr>
            <w:tcW w:w="2427" w:type="dxa"/>
            <w:vAlign w:val="top"/>
          </w:tcPr>
          <w:p>
            <w:pPr>
              <w:pStyle w:val="34"/>
              <w:spacing w:before="164" w:line="165" w:lineRule="auto"/>
              <w:ind w:left="794"/>
              <w:rPr>
                <w:color w:val="auto"/>
                <w:sz w:val="33"/>
                <w:szCs w:val="33"/>
                <w:highlight w:val="none"/>
              </w:rPr>
            </w:pPr>
          </w:p>
        </w:tc>
        <w:tc>
          <w:tcPr>
            <w:tcW w:w="2422" w:type="dxa"/>
            <w:vAlign w:val="top"/>
          </w:tcPr>
          <w:p>
            <w:pPr>
              <w:pStyle w:val="34"/>
              <w:spacing w:before="87" w:line="208"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4"/>
              <w:spacing w:before="174" w:line="164" w:lineRule="auto"/>
              <w:ind w:left="634"/>
              <w:rPr>
                <w:color w:val="auto"/>
                <w:sz w:val="33"/>
                <w:szCs w:val="33"/>
                <w:highlight w:val="none"/>
              </w:rPr>
            </w:pPr>
            <w:r>
              <w:rPr>
                <w:color w:val="auto"/>
                <w:sz w:val="33"/>
                <w:szCs w:val="33"/>
                <w:highlight w:val="none"/>
              </w:rPr>
              <w:t>4</w:t>
            </w:r>
          </w:p>
        </w:tc>
        <w:tc>
          <w:tcPr>
            <w:tcW w:w="3387" w:type="dxa"/>
            <w:vAlign w:val="top"/>
          </w:tcPr>
          <w:p>
            <w:pPr>
              <w:pStyle w:val="34"/>
              <w:spacing w:before="87" w:line="213" w:lineRule="auto"/>
              <w:ind w:left="691"/>
              <w:rPr>
                <w:color w:val="auto"/>
                <w:sz w:val="33"/>
                <w:szCs w:val="33"/>
                <w:highlight w:val="none"/>
              </w:rPr>
            </w:pPr>
          </w:p>
        </w:tc>
        <w:tc>
          <w:tcPr>
            <w:tcW w:w="2427" w:type="dxa"/>
            <w:vAlign w:val="top"/>
          </w:tcPr>
          <w:p>
            <w:pPr>
              <w:pStyle w:val="34"/>
              <w:spacing w:before="174" w:line="164" w:lineRule="auto"/>
              <w:ind w:left="794"/>
              <w:rPr>
                <w:color w:val="auto"/>
                <w:sz w:val="33"/>
                <w:szCs w:val="33"/>
                <w:highlight w:val="none"/>
              </w:rPr>
            </w:pPr>
          </w:p>
        </w:tc>
        <w:tc>
          <w:tcPr>
            <w:tcW w:w="2422" w:type="dxa"/>
            <w:vAlign w:val="top"/>
          </w:tcPr>
          <w:p>
            <w:pPr>
              <w:pStyle w:val="34"/>
              <w:spacing w:before="97" w:line="207"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4"/>
              <w:spacing w:before="169" w:line="162" w:lineRule="auto"/>
              <w:ind w:left="634"/>
              <w:rPr>
                <w:color w:val="auto"/>
                <w:sz w:val="33"/>
                <w:szCs w:val="33"/>
                <w:highlight w:val="none"/>
              </w:rPr>
            </w:pPr>
            <w:r>
              <w:rPr>
                <w:color w:val="auto"/>
                <w:sz w:val="33"/>
                <w:szCs w:val="33"/>
                <w:highlight w:val="none"/>
              </w:rPr>
              <w:t>5</w:t>
            </w:r>
          </w:p>
        </w:tc>
        <w:tc>
          <w:tcPr>
            <w:tcW w:w="3387" w:type="dxa"/>
            <w:vAlign w:val="top"/>
          </w:tcPr>
          <w:p>
            <w:pPr>
              <w:pStyle w:val="34"/>
              <w:spacing w:before="81" w:line="211" w:lineRule="auto"/>
              <w:ind w:left="862"/>
              <w:rPr>
                <w:color w:val="auto"/>
                <w:sz w:val="33"/>
                <w:szCs w:val="33"/>
                <w:highlight w:val="none"/>
              </w:rPr>
            </w:pPr>
          </w:p>
        </w:tc>
        <w:tc>
          <w:tcPr>
            <w:tcW w:w="2427" w:type="dxa"/>
            <w:vAlign w:val="top"/>
          </w:tcPr>
          <w:p>
            <w:pPr>
              <w:pStyle w:val="34"/>
              <w:spacing w:before="165" w:line="164" w:lineRule="auto"/>
              <w:ind w:left="794"/>
              <w:rPr>
                <w:color w:val="auto"/>
                <w:sz w:val="33"/>
                <w:szCs w:val="33"/>
                <w:highlight w:val="none"/>
              </w:rPr>
            </w:pPr>
          </w:p>
        </w:tc>
        <w:tc>
          <w:tcPr>
            <w:tcW w:w="2422" w:type="dxa"/>
            <w:vAlign w:val="top"/>
          </w:tcPr>
          <w:p>
            <w:pPr>
              <w:pStyle w:val="34"/>
              <w:spacing w:before="90" w:line="206" w:lineRule="auto"/>
              <w:ind w:left="1117"/>
              <w:rPr>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699" w:type="dxa"/>
            <w:gridSpan w:val="4"/>
            <w:vAlign w:val="top"/>
          </w:tcPr>
          <w:p>
            <w:pPr>
              <w:pStyle w:val="34"/>
              <w:spacing w:before="85" w:line="219" w:lineRule="auto"/>
              <w:ind w:left="129"/>
              <w:rPr>
                <w:color w:val="auto"/>
                <w:sz w:val="33"/>
                <w:szCs w:val="33"/>
                <w:highlight w:val="none"/>
              </w:rPr>
            </w:pPr>
            <w:r>
              <w:rPr>
                <w:b/>
                <w:bCs/>
                <w:color w:val="auto"/>
                <w:spacing w:val="-4"/>
                <w:sz w:val="33"/>
                <w:szCs w:val="33"/>
                <w:highlight w:val="none"/>
              </w:rPr>
              <w:t>说明：质保期内免费提供以上备品备件</w:t>
            </w:r>
          </w:p>
        </w:tc>
      </w:tr>
    </w:tbl>
    <w:p>
      <w:pPr>
        <w:pStyle w:val="6"/>
        <w:rPr>
          <w:color w:val="auto"/>
          <w:highlight w:val="none"/>
        </w:rPr>
      </w:pPr>
    </w:p>
    <w:p>
      <w:pPr>
        <w:rPr>
          <w:color w:val="auto"/>
          <w:highlight w:val="none"/>
        </w:rPr>
        <w:sectPr>
          <w:headerReference r:id="rId14" w:type="default"/>
          <w:footerReference r:id="rId15" w:type="default"/>
          <w:pgSz w:w="11860" w:h="16880"/>
          <w:pgMar w:top="1440" w:right="1800" w:bottom="1440" w:left="1800" w:header="0" w:footer="559" w:gutter="0"/>
          <w:pgNumType w:fmt="decimal"/>
          <w:cols w:space="720" w:num="1"/>
        </w:sectPr>
      </w:pPr>
    </w:p>
    <w:p>
      <w:pPr>
        <w:pStyle w:val="6"/>
        <w:spacing w:line="254" w:lineRule="auto"/>
        <w:rPr>
          <w:color w:val="auto"/>
          <w:highlight w:val="none"/>
        </w:rPr>
      </w:pPr>
    </w:p>
    <w:p>
      <w:pPr>
        <w:pStyle w:val="6"/>
        <w:spacing w:line="255" w:lineRule="auto"/>
        <w:rPr>
          <w:color w:val="auto"/>
          <w:highlight w:val="none"/>
        </w:rPr>
      </w:pPr>
    </w:p>
    <w:p>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20"/>
          <w:sz w:val="32"/>
          <w:szCs w:val="32"/>
          <w:highlight w:val="none"/>
        </w:rPr>
        <w:t>附件5:</w:t>
      </w:r>
    </w:p>
    <w:p>
      <w:pPr>
        <w:spacing w:before="36"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技术参数</w:t>
      </w:r>
    </w:p>
    <w:p>
      <w:pPr>
        <w:pStyle w:val="6"/>
        <w:spacing w:line="277" w:lineRule="auto"/>
        <w:rPr>
          <w:color w:val="auto"/>
          <w:highlight w:val="none"/>
        </w:rPr>
      </w:pPr>
    </w:p>
    <w:p>
      <w:pPr>
        <w:pStyle w:val="6"/>
        <w:spacing w:line="278" w:lineRule="auto"/>
        <w:rPr>
          <w:color w:val="auto"/>
          <w:highlight w:val="none"/>
        </w:rPr>
      </w:pPr>
    </w:p>
    <w:p>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附件6:</w:t>
      </w:r>
    </w:p>
    <w:p>
      <w:pPr>
        <w:spacing w:before="36" w:line="219" w:lineRule="auto"/>
        <w:jc w:val="center"/>
        <w:rPr>
          <w:rFonts w:ascii="宋体" w:hAnsi="宋体" w:eastAsia="宋体" w:cs="宋体"/>
          <w:color w:val="auto"/>
          <w:sz w:val="40"/>
          <w:szCs w:val="40"/>
          <w:highlight w:val="none"/>
        </w:rPr>
      </w:pPr>
      <w:r>
        <w:rPr>
          <w:rFonts w:ascii="宋体" w:hAnsi="宋体" w:eastAsia="宋体" w:cs="宋体"/>
          <w:color w:val="auto"/>
          <w:spacing w:val="27"/>
          <w:sz w:val="29"/>
          <w:szCs w:val="29"/>
          <w:highlight w:val="none"/>
        </w:rPr>
        <w:t>基本服务要求承诺函</w:t>
      </w:r>
    </w:p>
    <w:p>
      <w:pPr>
        <w:pStyle w:val="6"/>
        <w:spacing w:line="409" w:lineRule="auto"/>
        <w:rPr>
          <w:color w:val="auto"/>
          <w:highlight w:val="none"/>
        </w:rPr>
      </w:pPr>
    </w:p>
    <w:p>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附件7:</w:t>
      </w:r>
    </w:p>
    <w:p>
      <w:pPr>
        <w:spacing w:before="170" w:line="219" w:lineRule="auto"/>
        <w:jc w:val="center"/>
        <w:rPr>
          <w:rFonts w:ascii="宋体" w:hAnsi="宋体" w:eastAsia="宋体" w:cs="宋体"/>
          <w:color w:val="auto"/>
          <w:sz w:val="29"/>
          <w:szCs w:val="29"/>
          <w:highlight w:val="none"/>
        </w:rPr>
      </w:pPr>
      <w:r>
        <w:rPr>
          <w:rFonts w:ascii="宋体" w:hAnsi="宋体" w:eastAsia="宋体" w:cs="宋体"/>
          <w:color w:val="auto"/>
          <w:spacing w:val="27"/>
          <w:sz w:val="29"/>
          <w:szCs w:val="29"/>
          <w:highlight w:val="none"/>
        </w:rPr>
        <w:t>代理商售后服务承诺书</w:t>
      </w:r>
    </w:p>
    <w:p>
      <w:pPr>
        <w:pStyle w:val="6"/>
        <w:spacing w:line="412" w:lineRule="auto"/>
        <w:rPr>
          <w:color w:val="auto"/>
          <w:highlight w:val="none"/>
        </w:rPr>
      </w:pPr>
    </w:p>
    <w:p>
      <w:pPr>
        <w:spacing w:before="91" w:line="219" w:lineRule="auto"/>
        <w:rPr>
          <w:rFonts w:ascii="宋体" w:hAnsi="宋体" w:eastAsia="宋体" w:cs="宋体"/>
          <w:color w:val="auto"/>
          <w:sz w:val="28"/>
          <w:szCs w:val="28"/>
          <w:highlight w:val="none"/>
        </w:rPr>
      </w:pPr>
      <w:r>
        <w:rPr>
          <w:rFonts w:ascii="宋体" w:hAnsi="宋体" w:eastAsia="宋体" w:cs="宋体"/>
          <w:b/>
          <w:bCs/>
          <w:color w:val="auto"/>
          <w:spacing w:val="-20"/>
          <w:sz w:val="32"/>
          <w:szCs w:val="32"/>
          <w:highlight w:val="none"/>
        </w:rPr>
        <w:t>附件8:</w:t>
      </w:r>
    </w:p>
    <w:p>
      <w:pPr>
        <w:pStyle w:val="6"/>
        <w:spacing w:line="394" w:lineRule="auto"/>
        <w:rPr>
          <w:color w:val="auto"/>
          <w:highlight w:val="none"/>
        </w:rPr>
      </w:pP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厂家售后服务承诺书</w:t>
      </w:r>
    </w:p>
    <w:p>
      <w:pPr>
        <w:pStyle w:val="6"/>
        <w:spacing w:line="247" w:lineRule="auto"/>
        <w:rPr>
          <w:color w:val="auto"/>
          <w:highlight w:val="none"/>
        </w:rPr>
      </w:pPr>
    </w:p>
    <w:p>
      <w:pPr>
        <w:pStyle w:val="6"/>
        <w:spacing w:line="349" w:lineRule="auto"/>
        <w:rPr>
          <w:color w:val="auto"/>
          <w:highlight w:val="none"/>
        </w:rPr>
      </w:pPr>
    </w:p>
    <w:p>
      <w:pPr>
        <w:spacing w:before="94" w:line="219" w:lineRule="auto"/>
        <w:rPr>
          <w:rFonts w:ascii="宋体" w:hAnsi="宋体" w:eastAsia="宋体" w:cs="宋体"/>
          <w:color w:val="auto"/>
          <w:sz w:val="29"/>
          <w:szCs w:val="29"/>
          <w:highlight w:val="none"/>
        </w:rPr>
      </w:pPr>
      <w:r>
        <w:rPr>
          <w:rFonts w:ascii="宋体" w:hAnsi="宋体" w:eastAsia="宋体" w:cs="宋体"/>
          <w:b/>
          <w:bCs/>
          <w:color w:val="auto"/>
          <w:spacing w:val="4"/>
          <w:sz w:val="29"/>
          <w:szCs w:val="29"/>
          <w:highlight w:val="none"/>
        </w:rPr>
        <w:t>附件9:</w:t>
      </w: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培训计划</w:t>
      </w:r>
    </w:p>
    <w:p>
      <w:pPr>
        <w:pStyle w:val="6"/>
        <w:spacing w:line="336" w:lineRule="auto"/>
        <w:rPr>
          <w:color w:val="auto"/>
          <w:highlight w:val="none"/>
        </w:rPr>
      </w:pPr>
    </w:p>
    <w:p>
      <w:pPr>
        <w:spacing w:before="98" w:line="219" w:lineRule="auto"/>
        <w:rPr>
          <w:color w:val="auto"/>
          <w:highlight w:val="none"/>
        </w:rPr>
      </w:pPr>
      <w:r>
        <w:rPr>
          <w:rFonts w:ascii="宋体" w:hAnsi="宋体" w:eastAsia="宋体" w:cs="宋体"/>
          <w:b/>
          <w:bCs/>
          <w:color w:val="auto"/>
          <w:spacing w:val="-10"/>
          <w:sz w:val="30"/>
          <w:szCs w:val="30"/>
          <w:highlight w:val="none"/>
        </w:rPr>
        <w:t>附件10:</w:t>
      </w:r>
    </w:p>
    <w:p>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中标(成交)通知书</w:t>
      </w: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第六部分   投标文件格式</w:t>
      </w:r>
      <w:bookmarkEnd w:id="79"/>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80" w:name="EBa6563f599c41462c9a1a5775fbb6dec3"/>
    </w:p>
    <w:bookmarkEnd w:id="80"/>
    <w:p>
      <w:pPr>
        <w:pStyle w:val="35"/>
        <w:pageBreakBefore w:val="0"/>
        <w:kinsoku/>
        <w:overflowPunct/>
        <w:topLinePunct w:val="0"/>
        <w:bidi w:val="0"/>
        <w:outlineLvl w:val="2"/>
        <w:rPr>
          <w:rFonts w:hint="eastAsia" w:asciiTheme="minorEastAsia" w:hAnsiTheme="minorEastAsia" w:eastAsiaTheme="minorEastAsia" w:cstheme="minorEastAsia"/>
          <w:color w:val="auto"/>
          <w:spacing w:val="0"/>
          <w:position w:val="0"/>
          <w:highlight w:val="none"/>
        </w:rPr>
      </w:pPr>
      <w:bookmarkStart w:id="81" w:name="_Toc25358"/>
      <w:r>
        <w:rPr>
          <w:rFonts w:hint="eastAsia" w:asciiTheme="minorEastAsia" w:hAnsiTheme="minorEastAsia" w:eastAsiaTheme="minorEastAsia" w:cstheme="minorEastAsia"/>
          <w:color w:val="auto"/>
          <w:spacing w:val="0"/>
          <w:position w:val="0"/>
          <w:highlight w:val="none"/>
        </w:rPr>
        <w:t>投标文件封面</w:t>
      </w:r>
      <w:bookmarkEnd w:id="81"/>
    </w:p>
    <w:p>
      <w:pPr>
        <w:pStyle w:val="36"/>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val="en-US" w:eastAsia="zh-CN"/>
        </w:rPr>
        <w:t>标项</w:t>
      </w:r>
      <w:r>
        <w:rPr>
          <w:rFonts w:hint="eastAsia" w:asciiTheme="minorEastAsia" w:hAnsiTheme="minorEastAsia" w:eastAsiaTheme="minorEastAsia" w:cstheme="minorEastAsia"/>
          <w:color w:val="auto"/>
          <w:spacing w:val="0"/>
          <w:position w:val="0"/>
          <w:sz w:val="28"/>
          <w:szCs w:val="28"/>
          <w:highlight w:val="none"/>
        </w:rPr>
        <w:t>名称）</w:t>
      </w: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72"/>
          <w:szCs w:val="72"/>
          <w:highlight w:val="none"/>
        </w:rPr>
      </w:pPr>
      <w:r>
        <w:rPr>
          <w:rFonts w:hint="eastAsia" w:asciiTheme="minorEastAsia" w:hAnsiTheme="minorEastAsia" w:eastAsiaTheme="minorEastAsia" w:cstheme="minorEastAsia"/>
          <w:b/>
          <w:color w:val="auto"/>
          <w:spacing w:val="0"/>
          <w:position w:val="0"/>
          <w:sz w:val="72"/>
          <w:szCs w:val="72"/>
          <w:highlight w:val="none"/>
        </w:rPr>
        <w:t>投标文件</w:t>
      </w: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eastAsia="zh-CN"/>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val="en-US" w:eastAsia="zh-CN"/>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6"/>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盖章</w:t>
      </w:r>
      <w:r>
        <w:rPr>
          <w:rFonts w:hint="eastAsia" w:asciiTheme="minorEastAsia" w:hAnsiTheme="minorEastAsia" w:eastAsiaTheme="minorEastAsia" w:cstheme="minorEastAsia"/>
          <w:color w:val="auto"/>
          <w:spacing w:val="0"/>
          <w:position w:val="0"/>
          <w:sz w:val="28"/>
          <w:szCs w:val="28"/>
          <w:highlight w:val="none"/>
        </w:rPr>
        <w:t>）</w:t>
      </w:r>
    </w:p>
    <w:p>
      <w:pPr>
        <w:pStyle w:val="3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lang w:eastAsia="zh-CN"/>
        </w:rPr>
        <w:t>或委托代理人：</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签字或盖章</w:t>
      </w:r>
      <w:r>
        <w:rPr>
          <w:rFonts w:hint="eastAsia" w:asciiTheme="minorEastAsia" w:hAnsiTheme="minorEastAsia" w:eastAsiaTheme="minorEastAsia" w:cstheme="minorEastAsia"/>
          <w:color w:val="auto"/>
          <w:spacing w:val="0"/>
          <w:position w:val="0"/>
          <w:sz w:val="28"/>
          <w:szCs w:val="28"/>
          <w:highlight w:val="none"/>
        </w:rPr>
        <w:t>）</w:t>
      </w:r>
    </w:p>
    <w:p>
      <w:pPr>
        <w:pStyle w:val="36"/>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联系人：</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6"/>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联系电话：</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6"/>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联系地址：</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（年/月/日）</w:t>
      </w:r>
    </w:p>
    <w:p>
      <w:pPr>
        <w:pStyle w:val="36"/>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8"/>
        <w:pageBreakBefore w:val="0"/>
        <w:kinsoku/>
        <w:overflowPunct/>
        <w:topLinePunct w:val="0"/>
        <w:bidi w:val="0"/>
        <w:jc w:val="both"/>
        <w:outlineLvl w:val="1"/>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br w:type="page"/>
      </w:r>
      <w:bookmarkStart w:id="82" w:name="_Toc15886"/>
      <w:r>
        <w:rPr>
          <w:rFonts w:hint="eastAsia" w:asciiTheme="minorEastAsia" w:hAnsiTheme="minorEastAsia" w:eastAsiaTheme="minorEastAsia" w:cstheme="minorEastAsia"/>
          <w:color w:val="auto"/>
          <w:spacing w:val="0"/>
          <w:position w:val="0"/>
          <w:highlight w:val="none"/>
          <w:lang w:eastAsia="zh-CN"/>
        </w:rPr>
        <w:t>目录</w:t>
      </w:r>
      <w:bookmarkEnd w:id="82"/>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83" w:name="_Toc6470"/>
      <w:r>
        <w:rPr>
          <w:rFonts w:hint="eastAsia" w:asciiTheme="minorEastAsia" w:hAnsiTheme="minorEastAsia" w:eastAsiaTheme="minorEastAsia" w:cstheme="minorEastAsia"/>
          <w:b w:val="0"/>
          <w:bCs/>
          <w:color w:val="auto"/>
          <w:spacing w:val="0"/>
          <w:position w:val="0"/>
          <w:sz w:val="24"/>
          <w:szCs w:val="24"/>
          <w:highlight w:val="none"/>
          <w:lang w:eastAsia="zh-CN"/>
        </w:rPr>
        <w:t>一、</w:t>
      </w:r>
      <w:r>
        <w:rPr>
          <w:rFonts w:hint="eastAsia" w:asciiTheme="minorEastAsia" w:hAnsiTheme="minorEastAsia" w:eastAsiaTheme="minorEastAsia" w:cstheme="minorEastAsia"/>
          <w:b w:val="0"/>
          <w:bCs/>
          <w:color w:val="auto"/>
          <w:spacing w:val="0"/>
          <w:position w:val="0"/>
          <w:sz w:val="24"/>
          <w:szCs w:val="24"/>
          <w:highlight w:val="none"/>
        </w:rPr>
        <w:t>资格审查材料</w:t>
      </w:r>
      <w:bookmarkEnd w:id="83"/>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4" w:name="_Toc17638"/>
      <w:r>
        <w:rPr>
          <w:rFonts w:hint="eastAsia" w:asciiTheme="minorEastAsia" w:hAnsiTheme="minorEastAsia" w:eastAsiaTheme="minorEastAsia" w:cstheme="minorEastAsia"/>
          <w:b w:val="0"/>
          <w:bCs/>
          <w:color w:val="auto"/>
          <w:spacing w:val="0"/>
          <w:position w:val="0"/>
          <w:sz w:val="24"/>
          <w:szCs w:val="24"/>
          <w:highlight w:val="none"/>
          <w:lang w:val="en-US" w:eastAsia="zh-CN"/>
        </w:rPr>
        <w:t>1.1</w:t>
      </w:r>
      <w:r>
        <w:rPr>
          <w:rFonts w:hint="eastAsia" w:asciiTheme="minorEastAsia" w:hAnsiTheme="minorEastAsia" w:eastAsiaTheme="minorEastAsia" w:cstheme="minorEastAsia"/>
          <w:b w:val="0"/>
          <w:bCs/>
          <w:color w:val="auto"/>
          <w:spacing w:val="0"/>
          <w:position w:val="0"/>
          <w:sz w:val="24"/>
          <w:szCs w:val="24"/>
          <w:highlight w:val="none"/>
        </w:rPr>
        <w:t>中华人民共和国政府采购法第二十二条规定</w:t>
      </w:r>
      <w:bookmarkEnd w:id="84"/>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val="en-US" w:eastAsia="zh-CN"/>
        </w:rPr>
      </w:pPr>
      <w:bookmarkStart w:id="85" w:name="_Toc6084"/>
      <w:r>
        <w:rPr>
          <w:rFonts w:hint="eastAsia" w:asciiTheme="minorEastAsia" w:hAnsiTheme="minorEastAsia" w:eastAsiaTheme="minorEastAsia" w:cstheme="minorEastAsia"/>
          <w:b w:val="0"/>
          <w:bCs/>
          <w:color w:val="auto"/>
          <w:spacing w:val="0"/>
          <w:position w:val="0"/>
          <w:sz w:val="24"/>
          <w:szCs w:val="24"/>
          <w:highlight w:val="none"/>
          <w:lang w:val="en-US" w:eastAsia="zh-CN"/>
        </w:rPr>
        <w:t>1.2投标保证金</w:t>
      </w:r>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1.3中小企业声明函</w:t>
      </w:r>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二、商务文件</w:t>
      </w:r>
      <w:bookmarkEnd w:id="85"/>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6" w:name="_Toc31795"/>
      <w:r>
        <w:rPr>
          <w:rFonts w:hint="eastAsia" w:asciiTheme="minorEastAsia" w:hAnsiTheme="minorEastAsia" w:eastAsiaTheme="minorEastAsia" w:cstheme="minorEastAsia"/>
          <w:b w:val="0"/>
          <w:bCs/>
          <w:color w:val="auto"/>
          <w:spacing w:val="0"/>
          <w:position w:val="0"/>
          <w:sz w:val="24"/>
          <w:szCs w:val="24"/>
          <w:highlight w:val="none"/>
        </w:rPr>
        <w:t>2.1投标函</w:t>
      </w:r>
      <w:bookmarkEnd w:id="86"/>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7" w:name="_Toc11731"/>
      <w:r>
        <w:rPr>
          <w:rFonts w:hint="eastAsia" w:asciiTheme="minorEastAsia" w:hAnsiTheme="minorEastAsia" w:eastAsiaTheme="minorEastAsia" w:cstheme="minorEastAsia"/>
          <w:b w:val="0"/>
          <w:bCs/>
          <w:color w:val="auto"/>
          <w:spacing w:val="0"/>
          <w:position w:val="0"/>
          <w:sz w:val="24"/>
          <w:szCs w:val="24"/>
          <w:highlight w:val="none"/>
        </w:rPr>
        <w:t>2.2法定代表人身份证明及授权委托书</w:t>
      </w:r>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3</w:t>
      </w:r>
      <w:r>
        <w:rPr>
          <w:rFonts w:hint="eastAsia" w:asciiTheme="minorEastAsia" w:hAnsiTheme="minorEastAsia" w:eastAsiaTheme="minorEastAsia" w:cstheme="minorEastAsia"/>
          <w:b w:val="0"/>
          <w:bCs/>
          <w:color w:val="auto"/>
          <w:spacing w:val="0"/>
          <w:position w:val="0"/>
          <w:sz w:val="24"/>
          <w:szCs w:val="24"/>
          <w:highlight w:val="none"/>
        </w:rPr>
        <w:t>企业基本情况表、项目负责人简历表、拟投入本项目主要成员表</w:t>
      </w:r>
      <w:bookmarkEnd w:id="87"/>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8" w:name="_Toc1199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4</w:t>
      </w:r>
      <w:r>
        <w:rPr>
          <w:rFonts w:hint="eastAsia" w:asciiTheme="minorEastAsia" w:hAnsiTheme="minorEastAsia" w:eastAsiaTheme="minorEastAsia" w:cstheme="minorEastAsia"/>
          <w:b w:val="0"/>
          <w:bCs/>
          <w:color w:val="auto"/>
          <w:spacing w:val="0"/>
          <w:position w:val="0"/>
          <w:sz w:val="24"/>
          <w:szCs w:val="24"/>
          <w:highlight w:val="none"/>
        </w:rPr>
        <w:t>近三年经营业绩表</w:t>
      </w:r>
      <w:bookmarkEnd w:id="88"/>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9" w:name="_Toc4594"/>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5</w:t>
      </w:r>
      <w:r>
        <w:rPr>
          <w:rFonts w:hint="eastAsia" w:asciiTheme="minorEastAsia" w:hAnsiTheme="minorEastAsia" w:eastAsiaTheme="minorEastAsia" w:cstheme="minorEastAsia"/>
          <w:b w:val="0"/>
          <w:bCs/>
          <w:color w:val="auto"/>
          <w:spacing w:val="0"/>
          <w:position w:val="0"/>
          <w:sz w:val="24"/>
          <w:szCs w:val="24"/>
          <w:highlight w:val="none"/>
        </w:rPr>
        <w:t>开标一览表</w:t>
      </w:r>
      <w:bookmarkEnd w:id="89"/>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0" w:name="_Toc3232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6</w:t>
      </w:r>
      <w:r>
        <w:rPr>
          <w:rFonts w:hint="eastAsia" w:asciiTheme="minorEastAsia" w:hAnsiTheme="minorEastAsia" w:eastAsiaTheme="minorEastAsia" w:cstheme="minorEastAsia"/>
          <w:b w:val="0"/>
          <w:bCs/>
          <w:color w:val="auto"/>
          <w:spacing w:val="0"/>
          <w:position w:val="0"/>
          <w:sz w:val="24"/>
          <w:szCs w:val="24"/>
          <w:highlight w:val="none"/>
        </w:rPr>
        <w:t>投标报价明细表</w:t>
      </w:r>
      <w:bookmarkEnd w:id="90"/>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1" w:name="_Toc20580"/>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7</w:t>
      </w:r>
      <w:r>
        <w:rPr>
          <w:rFonts w:hint="eastAsia" w:asciiTheme="minorEastAsia" w:hAnsiTheme="minorEastAsia" w:eastAsiaTheme="minorEastAsia" w:cstheme="minorEastAsia"/>
          <w:b w:val="0"/>
          <w:bCs/>
          <w:color w:val="auto"/>
          <w:spacing w:val="0"/>
          <w:position w:val="0"/>
          <w:sz w:val="24"/>
          <w:szCs w:val="24"/>
          <w:highlight w:val="none"/>
        </w:rPr>
        <w:t>商务条款偏离说明表</w:t>
      </w:r>
      <w:bookmarkEnd w:id="91"/>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2" w:name="_Toc24960"/>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8</w:t>
      </w:r>
      <w:r>
        <w:rPr>
          <w:rFonts w:hint="eastAsia" w:asciiTheme="minorEastAsia" w:hAnsiTheme="minorEastAsia" w:eastAsiaTheme="minorEastAsia" w:cstheme="minorEastAsia"/>
          <w:b w:val="0"/>
          <w:bCs/>
          <w:color w:val="auto"/>
          <w:spacing w:val="0"/>
          <w:position w:val="0"/>
          <w:sz w:val="24"/>
          <w:szCs w:val="24"/>
          <w:highlight w:val="none"/>
        </w:rPr>
        <w:t>供应商认为有必要提供的声明及文件资料</w:t>
      </w:r>
      <w:bookmarkEnd w:id="92"/>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3" w:name="_Toc24182"/>
      <w:r>
        <w:rPr>
          <w:rFonts w:hint="eastAsia" w:asciiTheme="minorEastAsia" w:hAnsiTheme="minorEastAsia" w:eastAsiaTheme="minorEastAsia" w:cstheme="minorEastAsia"/>
          <w:b w:val="0"/>
          <w:bCs/>
          <w:color w:val="auto"/>
          <w:spacing w:val="0"/>
          <w:position w:val="0"/>
          <w:sz w:val="24"/>
          <w:szCs w:val="24"/>
          <w:highlight w:val="none"/>
          <w:lang w:eastAsia="zh-CN"/>
        </w:rPr>
        <w:t>三、技术文件</w:t>
      </w:r>
      <w:bookmarkEnd w:id="93"/>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4" w:name="_Toc4384"/>
      <w:r>
        <w:rPr>
          <w:rFonts w:hint="eastAsia" w:asciiTheme="minorEastAsia" w:hAnsiTheme="minorEastAsia" w:eastAsiaTheme="minorEastAsia" w:cstheme="minorEastAsia"/>
          <w:b w:val="0"/>
          <w:bCs/>
          <w:color w:val="auto"/>
          <w:spacing w:val="0"/>
          <w:position w:val="0"/>
          <w:sz w:val="24"/>
          <w:szCs w:val="24"/>
          <w:highlight w:val="none"/>
          <w:lang w:eastAsia="zh-CN"/>
        </w:rPr>
        <w:t>3.1物主要技术指标和运行性能：</w:t>
      </w:r>
      <w:bookmarkEnd w:id="94"/>
    </w:p>
    <w:p>
      <w:pPr>
        <w:pStyle w:val="38"/>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四、服务文件</w:t>
      </w: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39"/>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3"/>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95" w:name="_Toc10702"/>
      <w:bookmarkStart w:id="96" w:name="_Toc13840"/>
      <w:bookmarkStart w:id="97" w:name="_Toc22311"/>
      <w:r>
        <w:rPr>
          <w:rStyle w:val="23"/>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3"/>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95"/>
      <w:bookmarkEnd w:id="96"/>
    </w:p>
    <w:p>
      <w:pPr>
        <w:pStyle w:val="40"/>
        <w:pageBreakBefore w:val="0"/>
        <w:widowControl/>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pPr>
        <w:pStyle w:val="41"/>
        <w:pageBreakBefore w:val="0"/>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pPr>
        <w:pStyle w:val="44"/>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pPr>
        <w:pStyle w:val="44"/>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pPr>
        <w:pStyle w:val="44"/>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45"/>
        <w:pageBreakBefore w:val="0"/>
        <w:widowControl/>
        <w:kinsoku/>
        <w:wordWrap/>
        <w:overflowPunct/>
        <w:topLinePunct w:val="0"/>
        <w:bidi w:val="0"/>
        <w:snapToGrid w:val="0"/>
        <w:spacing w:before="0" w:beforeAutospacing="0" w:after="0" w:afterAutospacing="0" w:line="240" w:lineRule="auto"/>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5"/>
        <w:pageBreakBefore w:val="0"/>
        <w:widowControl/>
        <w:kinsoku/>
        <w:wordWrap/>
        <w:overflowPunct/>
        <w:topLinePunct w:val="0"/>
        <w:bidi w:val="0"/>
        <w:snapToGrid w:val="0"/>
        <w:spacing w:before="0" w:beforeAutospacing="0" w:after="0" w:afterAutospacing="0" w:line="240" w:lineRule="auto"/>
        <w:jc w:val="left"/>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pPr>
        <w:pStyle w:val="46"/>
        <w:pageBreakBefore w:val="0"/>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pPr>
        <w:pStyle w:val="43"/>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pPr>
        <w:pStyle w:val="44"/>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4"/>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5"/>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pPr>
        <w:pStyle w:val="45"/>
        <w:pageBreakBefore w:val="0"/>
        <w:widowControl/>
        <w:kinsoku/>
        <w:wordWrap/>
        <w:overflowPunct/>
        <w:topLinePunct w:val="0"/>
        <w:bidi w:val="0"/>
        <w:snapToGrid w:val="0"/>
        <w:spacing w:before="0" w:beforeAutospacing="0" w:after="0" w:afterAutospacing="0" w:line="440" w:lineRule="exact"/>
        <w:jc w:val="left"/>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w:t>
      </w:r>
      <w:r>
        <w:rPr>
          <w:rStyle w:val="23"/>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pPr>
        <w:pStyle w:val="43"/>
        <w:pageBreakBefore w:val="0"/>
        <w:widowControl/>
        <w:kinsoku/>
        <w:wordWrap/>
        <w:overflowPunct/>
        <w:topLinePunct w:val="0"/>
        <w:bidi w:val="0"/>
        <w:snapToGrid/>
        <w:spacing w:before="0" w:beforeAutospacing="0" w:after="0" w:afterAutospacing="0" w:line="240" w:lineRule="auto"/>
        <w:jc w:val="left"/>
        <w:textAlignment w:val="baseline"/>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pPr>
        <w:pStyle w:val="44"/>
        <w:pageBreakBefore w:val="0"/>
        <w:widowControl/>
        <w:kinsoku/>
        <w:wordWrap/>
        <w:overflowPunct/>
        <w:topLinePunct w:val="0"/>
        <w:bidi w:val="0"/>
        <w:snapToGrid/>
        <w:spacing w:before="0" w:beforeAutospacing="0" w:after="0" w:afterAutospacing="0" w:line="36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pPr>
        <w:pStyle w:val="44"/>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44"/>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pPr>
        <w:pStyle w:val="45"/>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4"/>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4"/>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5"/>
        <w:pageBreakBefore w:val="0"/>
        <w:widowControl/>
        <w:kinsoku/>
        <w:wordWrap/>
        <w:overflowPunct/>
        <w:topLinePunct w:val="0"/>
        <w:bidi w:val="0"/>
        <w:snapToGrid w:val="0"/>
        <w:spacing w:before="0" w:beforeAutospacing="0" w:after="0" w:afterAutospacing="0" w:line="44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pPr>
        <w:pStyle w:val="47"/>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pPr>
        <w:pStyle w:val="47"/>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6、法律、行政法规规定的其他条件：</w:t>
      </w:r>
    </w:p>
    <w:p>
      <w:pPr>
        <w:pStyle w:val="47"/>
        <w:pageBreakBefore w:val="0"/>
        <w:widowControl/>
        <w:kinsoku/>
        <w:wordWrap/>
        <w:overflowPunct/>
        <w:topLinePunct w:val="0"/>
        <w:bidi w:val="0"/>
        <w:snapToGrid/>
        <w:spacing w:before="0" w:beforeAutospacing="0" w:after="0" w:afterAutospacing="0" w:line="440" w:lineRule="exact"/>
        <w:jc w:val="both"/>
        <w:textAlignment w:val="baseline"/>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资质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0"/>
        <w:pageBreakBefore w:val="0"/>
        <w:widowControl/>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3"/>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3"/>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p>
      <w:pPr>
        <w:pStyle w:val="5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rPr>
        <w:t>说明：此处</w:t>
      </w:r>
      <w:r>
        <w:rPr>
          <w:rFonts w:hint="eastAsia" w:asciiTheme="minorEastAsia" w:hAnsiTheme="minorEastAsia" w:eastAsiaTheme="minorEastAsia" w:cstheme="minorEastAsia"/>
          <w:color w:val="auto"/>
          <w:spacing w:val="0"/>
          <w:position w:val="0"/>
          <w:sz w:val="24"/>
          <w:highlight w:val="none"/>
          <w:lang w:eastAsia="zh-CN"/>
        </w:rPr>
        <w:t>附</w:t>
      </w:r>
      <w:r>
        <w:rPr>
          <w:rFonts w:hint="eastAsia" w:asciiTheme="minorEastAsia" w:hAnsiTheme="minorEastAsia" w:eastAsiaTheme="minorEastAsia" w:cstheme="minorEastAsia"/>
          <w:color w:val="auto"/>
          <w:spacing w:val="0"/>
          <w:position w:val="0"/>
          <w:sz w:val="24"/>
          <w:highlight w:val="none"/>
        </w:rPr>
        <w:t>投标保证金缴纳证明文件；</w:t>
      </w:r>
      <w:r>
        <w:rPr>
          <w:rStyle w:val="23"/>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bookmarkEnd w:id="97"/>
    <w:p>
      <w:pPr>
        <w:pStyle w:val="39"/>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3"/>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98" w:name="_Toc14314"/>
      <w:r>
        <w:rPr>
          <w:rStyle w:val="23"/>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98"/>
    </w:p>
    <w:p>
      <w:pPr>
        <w:pStyle w:val="55"/>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pacing w:val="0"/>
          <w:position w:val="0"/>
          <w:sz w:val="24"/>
          <w:szCs w:val="21"/>
          <w:highlight w:val="none"/>
          <w:lang w:val="en-US" w:eastAsia="zh-CN" w:bidi="ar-SA"/>
        </w:rPr>
      </w:pPr>
      <w:bookmarkStart w:id="99" w:name="_Toc1343"/>
      <w:r>
        <w:rPr>
          <w:rFonts w:hint="eastAsia" w:asciiTheme="minorEastAsia" w:hAnsiTheme="minorEastAsia" w:eastAsiaTheme="minorEastAsia" w:cstheme="minorEastAsia"/>
          <w:b/>
          <w:color w:val="auto"/>
          <w:spacing w:val="0"/>
          <w:position w:val="0"/>
          <w:sz w:val="24"/>
          <w:szCs w:val="21"/>
          <w:highlight w:val="none"/>
          <w:lang w:val="en-US" w:eastAsia="zh-CN" w:bidi="ar-SA"/>
        </w:rPr>
        <w:t>2.1投标函</w:t>
      </w:r>
      <w:bookmarkEnd w:id="99"/>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名称)授权</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授权代理人姓名)</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(职务、职称)为我方代表，参加贵方组织的</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(标项名称、项目编号)招标的有关活动，并对此项目进行投标。为此：</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1、我方同意在本项目招标文件中规定的投标有效期内遵守本投标文件中的承诺且在此期限期满之前均具有约束力。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2、我方承诺已经具备《中华人民共和国政府采购法》中规定的参加政府采购活动的供应商应当具备的条件：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1）具有独立承担民事责任的能力；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4）有依法缴纳税收和社会保障资金的良好记录；</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5）参加此项采购活动前三年内，在经营活动中没有重大违法记录；</w:t>
      </w:r>
    </w:p>
    <w:p>
      <w:pPr>
        <w:pStyle w:val="5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3、提供</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须知规定的全部投标文件。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4、按招标文件要求提供和交付的货物及相关服务的投标报价详见开标一览表。</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5、保证忠实地执行双方所签订的合同，并承担合同规定的责任和义务。</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6、我方承诺完全满足和响应招标文件中的各项技术和服务要求，若有偏差，已在投标文件偏离表中予以明确特别说明。</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7、我方承诺：完全理解投标报价若超过项目预算时，投标将被拒绝。</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8、我方承诺：与在本项目中设计编制技术规格的机构及其附属机构无任何直接隶属关系和利益关联。</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9、如果在开标后规定的投标有效期内撤回投标，我方的投标保证金可被贵方没收。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10、我方完全理解贵方不一定接受最低价的投标或收到的任何投标。</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12、我方已详细审核全部投标文件，包括投标文件修改书（如有的话）、参考资料及有关附件，确认无误。</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13、我方承诺：采购人若需追加采购本项目招标文件所列货物及相关服务的，在不改变合同其他实质性条款的前提下，按相同或更优惠的折扣率保证供货。</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14、我方承诺：如所报货物属国家强制认证产品的，均已通过认证且在有效期内，否则，由此产生的一切法律责任由我方承担。</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15、我方承诺：接受招标文件中的全部条款且无任何异议，保证遵守招标文件的规定。</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1）提供虚假材料谋取中标、成交的；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2）采取不正当手段诋毁、排挤其他供应商的；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3）与采购人、其他供应商或者采购代理机构工作人员恶意串通的；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4）向采购人、采购代理机构工作人员行贿或者提供其他不正当利益的；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5）在采购过程中与采购人进行协商谈判的；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6）拒绝有关部门监督检查或提供虚假情况的。</w:t>
      </w:r>
    </w:p>
    <w:p>
      <w:pPr>
        <w:pStyle w:val="57"/>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highlight w:val="none"/>
        </w:rPr>
        <w:t xml:space="preserve">    17、</w:t>
      </w:r>
      <w:r>
        <w:rPr>
          <w:rFonts w:hint="eastAsia" w:asciiTheme="minorEastAsia" w:hAnsiTheme="minorEastAsia" w:eastAsiaTheme="minorEastAsia" w:cstheme="minorEastAsia"/>
          <w:color w:val="auto"/>
          <w:spacing w:val="0"/>
          <w:position w:val="0"/>
          <w:sz w:val="24"/>
          <w:highlight w:val="none"/>
        </w:rPr>
        <w:t>与本投标有关的一切往来通讯请寄：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地址：____________________________________________________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邮编：____________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电话：____________　</w:t>
      </w:r>
      <w:r>
        <w:rPr>
          <w:rFonts w:hint="eastAsia" w:asciiTheme="minorEastAsia" w:hAnsiTheme="minorEastAsia" w:eastAsiaTheme="minorEastAsia" w:cstheme="minorEastAsia"/>
          <w:color w:val="auto"/>
          <w:spacing w:val="0"/>
          <w:position w:val="0"/>
          <w:sz w:val="24"/>
          <w:highlight w:val="none"/>
          <w:lang w:val="en-US" w:eastAsia="zh-CN"/>
        </w:rPr>
        <w:t xml:space="preserve">   </w:t>
      </w:r>
      <w:r>
        <w:rPr>
          <w:rFonts w:hint="eastAsia" w:asciiTheme="minorEastAsia" w:hAnsiTheme="minorEastAsia" w:eastAsiaTheme="minorEastAsia" w:cstheme="minorEastAsia"/>
          <w:color w:val="auto"/>
          <w:spacing w:val="0"/>
          <w:position w:val="0"/>
          <w:sz w:val="24"/>
          <w:highlight w:val="none"/>
        </w:rPr>
        <w:t>传真：____________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法定代表人或授权代理人联系电话，e-mail：</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b/>
      </w:r>
      <w:r>
        <w:rPr>
          <w:rFonts w:hint="eastAsia" w:asciiTheme="minorEastAsia" w:hAnsiTheme="minorEastAsia" w:eastAsiaTheme="minorEastAsia" w:cstheme="minorEastAsia"/>
          <w:color w:val="auto"/>
          <w:spacing w:val="0"/>
          <w:position w:val="0"/>
          <w:sz w:val="24"/>
          <w:highlight w:val="none"/>
        </w:rPr>
        <w:t xml:space="preserve"> 日　期：</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说明：除可填报项目外，对本投标函的任何修改将被视为非实质性响应投标，从而导致该投标被拒绝。</w:t>
      </w:r>
    </w:p>
    <w:p>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00" w:name="_Toc18007"/>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pPr>
        <w:pStyle w:val="58"/>
        <w:pageBreakBefore w:val="0"/>
        <w:widowControl/>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3"/>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pPr>
        <w:pStyle w:val="59"/>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19"/>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9"/>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8"/>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3"/>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pPr>
        <w:pStyle w:val="58"/>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9"/>
        <w:pageBreakBefore w:val="0"/>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pPr>
        <w:pStyle w:val="58"/>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8"/>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3"/>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9"/>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w:t>
      </w:r>
      <w:r>
        <w:rPr>
          <w:rFonts w:hint="eastAsia" w:asciiTheme="minorEastAsia" w:hAnsiTheme="minorEastAsia" w:eastAsiaTheme="minorEastAsia" w:cstheme="minorEastAsia"/>
          <w:color w:val="auto"/>
          <w:spacing w:val="0"/>
          <w:position w:val="0"/>
          <w:sz w:val="24"/>
          <w:highlight w:val="none"/>
        </w:rPr>
        <w:t>标项名称</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）采购活动的投标代表人，全权代表我公司处理在该项目采购活动中的一切事宜。代理期限从</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9"/>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1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9"/>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9"/>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1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pPr>
              <w:pStyle w:val="59"/>
              <w:pageBreakBefore w:val="0"/>
              <w:kinsoku/>
              <w:wordWrap/>
              <w:overflowPunct/>
              <w:topLinePunct w:val="0"/>
              <w:bidi w:val="0"/>
              <w:snapToGrid/>
              <w:spacing w:before="0" w:beforeAutospacing="0" w:after="0" w:afterAutospacing="0" w:line="500" w:lineRule="exact"/>
              <w:jc w:val="center"/>
              <w:textAlignment w:val="baseline"/>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pPr>
        <w:pStyle w:val="62"/>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2"/>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2"/>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5"/>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r>
        <w:rPr>
          <w:rFonts w:hint="eastAsia" w:asciiTheme="minorEastAsia" w:hAnsiTheme="minorEastAsia" w:eastAsiaTheme="minorEastAsia" w:cstheme="minorEastAsia"/>
          <w:b/>
          <w:color w:val="auto"/>
          <w:spacing w:val="0"/>
          <w:position w:val="0"/>
          <w:sz w:val="24"/>
          <w:szCs w:val="21"/>
          <w:highlight w:val="none"/>
          <w:lang w:val="en-US" w:eastAsia="zh-CN"/>
        </w:rPr>
        <w:t>2.3企业基本情况表、项目负责人简历表、拟投入本项目主要成员表</w:t>
      </w:r>
      <w:bookmarkEnd w:id="100"/>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2.3.1</w:t>
      </w:r>
      <w:r>
        <w:rPr>
          <w:rFonts w:hint="eastAsia" w:asciiTheme="minorEastAsia" w:hAnsiTheme="minorEastAsia" w:eastAsiaTheme="minorEastAsia" w:cstheme="minorEastAsia"/>
          <w:b/>
          <w:color w:val="auto"/>
          <w:spacing w:val="0"/>
          <w:position w:val="0"/>
          <w:sz w:val="24"/>
          <w:szCs w:val="24"/>
          <w:highlight w:val="none"/>
        </w:rPr>
        <w:t>、企业基本情况表</w:t>
      </w: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3"/>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专</w:t>
            </w:r>
            <w:r>
              <w:rPr>
                <w:rFonts w:hint="eastAsia" w:asciiTheme="minorEastAsia" w:hAnsiTheme="minorEastAsia" w:eastAsiaTheme="minorEastAsia" w:cstheme="minorEastAsia"/>
                <w:color w:val="auto"/>
                <w:spacing w:val="0"/>
                <w:position w:val="0"/>
                <w:highlight w:val="none"/>
              </w:rPr>
              <w:tab/>
            </w:r>
            <w:r>
              <w:rPr>
                <w:rFonts w:hint="eastAsia" w:asciiTheme="minorEastAsia" w:hAnsiTheme="minorEastAsia" w:eastAsiaTheme="minorEastAsia" w:cstheme="minorEastAsia"/>
                <w:color w:val="auto"/>
                <w:spacing w:val="0"/>
                <w:position w:val="0"/>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3"/>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3"/>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p>
      <w:pPr>
        <w:pStyle w:val="17"/>
        <w:pageBreakBefore w:val="0"/>
        <w:kinsoku/>
        <w:overflowPunct/>
        <w:topLinePunct w:val="0"/>
        <w:bidi w:val="0"/>
        <w:ind w:firstLine="24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此处后附相关证书等材料。</w:t>
      </w:r>
    </w:p>
    <w:p>
      <w:pPr>
        <w:pStyle w:val="17"/>
        <w:pageBreakBefore w:val="0"/>
        <w:kinsoku/>
        <w:overflowPunct/>
        <w:topLinePunct w:val="0"/>
        <w:bidi w:val="0"/>
        <w:ind w:firstLine="0" w:firstLineChars="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w:t>
      </w:r>
      <w:r>
        <w:rPr>
          <w:rFonts w:hint="eastAsia" w:asciiTheme="minorEastAsia" w:hAnsiTheme="minorEastAsia" w:eastAsiaTheme="minorEastAsia" w:cstheme="minorEastAsia"/>
          <w:b/>
          <w:color w:val="auto"/>
          <w:spacing w:val="0"/>
          <w:position w:val="0"/>
          <w:sz w:val="24"/>
          <w:szCs w:val="24"/>
          <w:highlight w:val="none"/>
        </w:rPr>
        <w:t>2、项目负责人简历表</w:t>
      </w:r>
    </w:p>
    <w:tbl>
      <w:tblPr>
        <w:tblStyle w:val="1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主要经历</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autoSpaceDE w:val="0"/>
        <w:autoSpaceDN w:val="0"/>
        <w:bidi w:val="0"/>
        <w:adjustRightInd w:val="0"/>
        <w:spacing w:line="440" w:lineRule="exact"/>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2.3.</w:t>
      </w:r>
      <w:r>
        <w:rPr>
          <w:rFonts w:hint="eastAsia" w:asciiTheme="minorEastAsia" w:hAnsiTheme="minorEastAsia" w:eastAsiaTheme="minorEastAsia" w:cstheme="minorEastAsia"/>
          <w:b/>
          <w:bCs/>
          <w:color w:val="auto"/>
          <w:spacing w:val="0"/>
          <w:position w:val="0"/>
          <w:sz w:val="24"/>
          <w:szCs w:val="24"/>
          <w:highlight w:val="none"/>
        </w:rPr>
        <w:t>3、拟投入本项目的主要成员表</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岗位</w:t>
            </w: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供应商代表签字：</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日期：20年</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日　</w:t>
      </w:r>
    </w:p>
    <w:p>
      <w:pPr>
        <w:pageBreakBefore w:val="0"/>
        <w:kinsoku/>
        <w:overflowPunct/>
        <w:topLinePunct w:val="0"/>
        <w:bidi w:val="0"/>
        <w:adjustRightInd w:val="0"/>
        <w:snapToGrid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注：后附人员相关资格证书复印件。</w:t>
      </w: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5"/>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1" w:name="_Toc31226"/>
      <w:r>
        <w:rPr>
          <w:rFonts w:hint="eastAsia" w:asciiTheme="minorEastAsia" w:hAnsiTheme="minorEastAsia" w:eastAsiaTheme="minorEastAsia" w:cstheme="minorEastAsia"/>
          <w:b/>
          <w:color w:val="auto"/>
          <w:spacing w:val="0"/>
          <w:position w:val="0"/>
          <w:sz w:val="24"/>
          <w:szCs w:val="21"/>
          <w:highlight w:val="none"/>
          <w:lang w:val="en-US" w:eastAsia="zh-CN"/>
        </w:rPr>
        <w:t>2.4近三年经营业绩表</w:t>
      </w:r>
      <w:bookmarkEnd w:id="101"/>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招标编号：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地区</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金额</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r>
    </w:tbl>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附合同或中标（成交）通知书。</w:t>
      </w: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5"/>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2" w:name="_Toc25534"/>
      <w:r>
        <w:rPr>
          <w:rFonts w:hint="eastAsia" w:asciiTheme="minorEastAsia" w:hAnsiTheme="minorEastAsia" w:eastAsiaTheme="minorEastAsia" w:cstheme="minorEastAsia"/>
          <w:b/>
          <w:color w:val="auto"/>
          <w:spacing w:val="0"/>
          <w:position w:val="0"/>
          <w:sz w:val="24"/>
          <w:szCs w:val="21"/>
          <w:highlight w:val="none"/>
          <w:lang w:val="en-US" w:eastAsia="zh-CN"/>
        </w:rPr>
        <w:t>2.5开标一览表</w:t>
      </w:r>
      <w:bookmarkEnd w:id="102"/>
    </w:p>
    <w:tbl>
      <w:tblPr>
        <w:tblStyle w:val="19"/>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标项名称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2</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招标编号</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3</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总报价人民币</w:t>
            </w:r>
          </w:p>
        </w:tc>
        <w:tc>
          <w:tcPr>
            <w:tcW w:w="6700" w:type="dxa"/>
            <w:noWrap w:val="0"/>
            <w:vAlign w:val="center"/>
          </w:tcPr>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大写：人民币 ______元</w:t>
            </w:r>
          </w:p>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4</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交货期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质保期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64"/>
        <w:pageBreakBefore w:val="0"/>
        <w:kinsoku/>
        <w:overflowPunct/>
        <w:topLinePunct w:val="0"/>
        <w:bidi w:val="0"/>
        <w:spacing w:line="440" w:lineRule="exact"/>
        <w:jc w:val="both"/>
        <w:rPr>
          <w:rFonts w:hint="eastAsia" w:asciiTheme="minorEastAsia" w:hAnsiTheme="minorEastAsia" w:eastAsiaTheme="minorEastAsia" w:cstheme="minorEastAsia"/>
          <w:color w:val="auto"/>
          <w:spacing w:val="0"/>
          <w:position w:val="0"/>
          <w:highlight w:val="none"/>
        </w:rPr>
      </w:pPr>
    </w:p>
    <w:p>
      <w:pPr>
        <w:pStyle w:val="64"/>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兹声明：以上投标报价在投标有效期内一直有效。</w:t>
      </w:r>
    </w:p>
    <w:p>
      <w:pPr>
        <w:pStyle w:val="56"/>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5"/>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3" w:name="_Toc7194"/>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（签字或盖章）：</w:t>
      </w:r>
      <w:bookmarkEnd w:id="103"/>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5"/>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4" w:name="_Toc16506"/>
      <w:bookmarkStart w:id="105" w:name="_Toc18171"/>
      <w:r>
        <w:rPr>
          <w:rFonts w:hint="eastAsia" w:asciiTheme="minorEastAsia" w:hAnsiTheme="minorEastAsia" w:eastAsiaTheme="minorEastAsia" w:cstheme="minorEastAsia"/>
          <w:b w:val="0"/>
          <w:color w:val="auto"/>
          <w:spacing w:val="0"/>
          <w:kern w:val="2"/>
          <w:position w:val="0"/>
          <w:sz w:val="24"/>
          <w:szCs w:val="24"/>
          <w:highlight w:val="none"/>
        </w:rPr>
        <w:t>日期：</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年</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月</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日</w:t>
      </w:r>
      <w:bookmarkEnd w:id="104"/>
      <w:bookmarkEnd w:id="105"/>
    </w:p>
    <w:p>
      <w:pPr>
        <w:pStyle w:val="64"/>
        <w:pageBreakBefore w:val="0"/>
        <w:kinsoku/>
        <w:overflowPunct/>
        <w:topLinePunct w:val="0"/>
        <w:bidi w:val="0"/>
        <w:spacing w:line="440" w:lineRule="exact"/>
        <w:rPr>
          <w:rFonts w:hint="eastAsia" w:asciiTheme="minorEastAsia" w:hAnsiTheme="minorEastAsia" w:eastAsiaTheme="minorEastAsia" w:cstheme="minorEastAsia"/>
          <w:bCs/>
          <w:color w:val="auto"/>
          <w:spacing w:val="0"/>
          <w:kern w:val="2"/>
          <w:position w:val="0"/>
          <w:highlight w:val="none"/>
        </w:rPr>
      </w:pPr>
      <w:bookmarkStart w:id="106" w:name="_Toc27557"/>
      <w:bookmarkStart w:id="107" w:name="_Toc9899"/>
      <w:r>
        <w:rPr>
          <w:rFonts w:hint="eastAsia" w:asciiTheme="minorEastAsia" w:hAnsiTheme="minorEastAsia" w:eastAsiaTheme="minorEastAsia" w:cstheme="minorEastAsia"/>
          <w:color w:val="auto"/>
          <w:spacing w:val="0"/>
          <w:position w:val="0"/>
          <w:sz w:val="24"/>
          <w:szCs w:val="24"/>
          <w:highlight w:val="none"/>
        </w:rPr>
        <w:t>注：</w:t>
      </w:r>
      <w:r>
        <w:rPr>
          <w:rFonts w:hint="eastAsia" w:asciiTheme="minorEastAsia" w:hAnsiTheme="minorEastAsia" w:eastAsiaTheme="minorEastAsia" w:cstheme="minorEastAsia"/>
          <w:b w:val="0"/>
          <w:color w:val="auto"/>
          <w:spacing w:val="0"/>
          <w:position w:val="0"/>
          <w:sz w:val="24"/>
          <w:szCs w:val="24"/>
          <w:highlight w:val="none"/>
        </w:rPr>
        <w:t>1、</w:t>
      </w:r>
      <w:bookmarkEnd w:id="106"/>
      <w:bookmarkEnd w:id="107"/>
      <w:r>
        <w:rPr>
          <w:rFonts w:hint="eastAsia" w:asciiTheme="minorEastAsia" w:hAnsiTheme="minorEastAsia" w:eastAsiaTheme="minorEastAsia" w:cstheme="minorEastAsia"/>
          <w:bCs/>
          <w:color w:val="auto"/>
          <w:spacing w:val="0"/>
          <w:kern w:val="2"/>
          <w:position w:val="0"/>
          <w:highlight w:val="none"/>
        </w:rPr>
        <w:t>本表格式不得更改，供应商只能按要求填报，否则将被视为无效投标。</w:t>
      </w:r>
    </w:p>
    <w:p>
      <w:pPr>
        <w:pStyle w:val="6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6"/>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br w:type="page"/>
      </w:r>
      <w:bookmarkStart w:id="108" w:name="_Toc27186"/>
      <w:r>
        <w:rPr>
          <w:rFonts w:hint="eastAsia" w:asciiTheme="minorEastAsia" w:hAnsiTheme="minorEastAsia" w:eastAsiaTheme="minorEastAsia" w:cstheme="minorEastAsia"/>
          <w:color w:val="auto"/>
          <w:spacing w:val="0"/>
          <w:position w:val="0"/>
          <w:sz w:val="24"/>
          <w:szCs w:val="21"/>
          <w:highlight w:val="none"/>
          <w:lang w:val="en-US" w:eastAsia="zh-CN"/>
        </w:rPr>
        <w:t>2.6投标报价明细表</w:t>
      </w:r>
      <w:bookmarkEnd w:id="108"/>
    </w:p>
    <w:p>
      <w:pPr>
        <w:pStyle w:val="68"/>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highlight w:val="none"/>
        </w:rPr>
        <w:t>、包号：</w:t>
      </w:r>
      <w:r>
        <w:rPr>
          <w:rFonts w:hint="eastAsia" w:asciiTheme="minorEastAsia" w:hAnsiTheme="minorEastAsia" w:eastAsiaTheme="minorEastAsia" w:cstheme="minorEastAsia"/>
          <w:color w:val="auto"/>
          <w:spacing w:val="0"/>
          <w:position w:val="0"/>
          <w:highlight w:val="none"/>
          <w:u w:val="single"/>
        </w:rPr>
        <w:t xml:space="preserve">                     </w:t>
      </w:r>
      <w:r>
        <w:rPr>
          <w:rFonts w:hint="eastAsia" w:asciiTheme="minorEastAsia" w:hAnsiTheme="minorEastAsia" w:eastAsiaTheme="minorEastAsia" w:cstheme="minorEastAsia"/>
          <w:color w:val="auto"/>
          <w:spacing w:val="0"/>
          <w:position w:val="0"/>
          <w:highlight w:val="none"/>
        </w:rPr>
        <w:t xml:space="preserve">                    价格单位：元</w:t>
      </w:r>
    </w:p>
    <w:tbl>
      <w:tblPr>
        <w:tblStyle w:val="19"/>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100"/>
        <w:gridCol w:w="1114"/>
        <w:gridCol w:w="1097"/>
        <w:gridCol w:w="874"/>
        <w:gridCol w:w="1183"/>
        <w:gridCol w:w="111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i w:val="0"/>
                <w:color w:val="auto"/>
                <w:spacing w:val="0"/>
                <w:kern w:val="0"/>
                <w:position w:val="0"/>
                <w:sz w:val="24"/>
                <w:szCs w:val="24"/>
                <w:highlight w:val="none"/>
                <w:u w:val="none"/>
                <w:lang w:val="en-US" w:eastAsia="zh-CN" w:bidi="ar"/>
              </w:rPr>
              <w:t>型号</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单位</w:t>
            </w: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数量</w:t>
            </w: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单价</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品牌及</w:t>
            </w:r>
          </w:p>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产地</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生产厂家</w:t>
            </w: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金额（元）（小写）</w:t>
            </w:r>
            <w:r>
              <w:rPr>
                <w:rFonts w:hint="eastAsia" w:asciiTheme="minorEastAsia" w:hAnsiTheme="minorEastAsia" w:eastAsiaTheme="minorEastAsia" w:cstheme="minorEastAsia"/>
                <w:color w:val="auto"/>
                <w:spacing w:val="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金额（元）（大写）：</w:t>
            </w:r>
          </w:p>
        </w:tc>
      </w:tr>
    </w:tbl>
    <w:p>
      <w:pPr>
        <w:pStyle w:val="69"/>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9"/>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说明：</w:t>
      </w:r>
      <w:r>
        <w:rPr>
          <w:rFonts w:hint="eastAsia" w:asciiTheme="minorEastAsia" w:hAnsiTheme="minorEastAsia" w:eastAsiaTheme="minorEastAsia" w:cstheme="minorEastAsia"/>
          <w:bCs/>
          <w:color w:val="auto"/>
          <w:spacing w:val="0"/>
          <w:position w:val="0"/>
          <w:sz w:val="24"/>
          <w:highlight w:val="none"/>
          <w:lang w:eastAsia="zh-CN"/>
        </w:rPr>
        <w:t>供应商</w:t>
      </w:r>
      <w:r>
        <w:rPr>
          <w:rFonts w:hint="eastAsia" w:asciiTheme="minorEastAsia" w:hAnsiTheme="minorEastAsia" w:eastAsiaTheme="minorEastAsia" w:cstheme="minorEastAsia"/>
          <w:bCs/>
          <w:color w:val="auto"/>
          <w:spacing w:val="0"/>
          <w:position w:val="0"/>
          <w:sz w:val="24"/>
          <w:highlight w:val="none"/>
        </w:rPr>
        <w:t>必须填写报价明细表，否则将导致投标被拒绝。</w:t>
      </w:r>
    </w:p>
    <w:p>
      <w:pPr>
        <w:pStyle w:val="56"/>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9"/>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9"/>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p>
    <w:p>
      <w:pPr>
        <w:pStyle w:val="69"/>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年   月   日                                       </w:t>
      </w:r>
    </w:p>
    <w:p>
      <w:pPr>
        <w:pStyle w:val="69"/>
        <w:pageBreakBefore w:val="0"/>
        <w:kinsoku/>
        <w:overflowPunct/>
        <w:topLinePunct w:val="0"/>
        <w:bidi w:val="0"/>
        <w:spacing w:line="360" w:lineRule="auto"/>
        <w:ind w:right="480"/>
        <w:rPr>
          <w:rFonts w:hint="eastAsia" w:asciiTheme="minorEastAsia" w:hAnsiTheme="minorEastAsia" w:eastAsiaTheme="minorEastAsia" w:cstheme="minorEastAsia"/>
          <w:color w:val="auto"/>
          <w:spacing w:val="0"/>
          <w:position w:val="0"/>
          <w:szCs w:val="21"/>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109" w:name="_Toc10277"/>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2.7商务条款偏离说明表</w:t>
      </w:r>
      <w:bookmarkEnd w:id="109"/>
    </w:p>
    <w:p>
      <w:pPr>
        <w:pStyle w:val="51"/>
        <w:pageBreakBefore w:val="0"/>
        <w:kinsoku/>
        <w:overflowPunct/>
        <w:topLinePunct w:val="0"/>
        <w:bidi w:val="0"/>
        <w:rPr>
          <w:rFonts w:hint="eastAsia" w:asciiTheme="minorEastAsia" w:hAnsiTheme="minorEastAsia" w:eastAsiaTheme="minorEastAsia" w:cstheme="minorEastAsia"/>
          <w:color w:val="auto"/>
          <w:spacing w:val="0"/>
          <w:position w:val="0"/>
          <w:sz w:val="24"/>
          <w:szCs w:val="32"/>
          <w:highlight w:val="none"/>
          <w:lang w:eastAsia="zh-CN"/>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32"/>
          <w:highlight w:val="none"/>
          <w:lang w:eastAsia="zh-CN"/>
        </w:rPr>
        <w:t>：</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w:t>
            </w:r>
            <w:r>
              <w:rPr>
                <w:rFonts w:hint="eastAsia" w:asciiTheme="minorEastAsia" w:hAnsiTheme="minorEastAsia" w:eastAsiaTheme="minorEastAsia" w:cstheme="minorEastAsia"/>
                <w:color w:val="auto"/>
                <w:spacing w:val="0"/>
                <w:position w:val="0"/>
                <w:sz w:val="24"/>
                <w:szCs w:val="24"/>
                <w:highlight w:val="none"/>
              </w:rPr>
              <w:t>文件</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条目号</w:t>
            </w: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投标</w:t>
            </w:r>
            <w:r>
              <w:rPr>
                <w:rFonts w:hint="eastAsia" w:asciiTheme="minorEastAsia" w:hAnsiTheme="minorEastAsia" w:eastAsiaTheme="minorEastAsia" w:cstheme="minorEastAsia"/>
                <w:color w:val="auto"/>
                <w:spacing w:val="0"/>
                <w:position w:val="0"/>
                <w:sz w:val="24"/>
                <w:szCs w:val="24"/>
                <w:highlight w:val="none"/>
              </w:rPr>
              <w:t>文件的商务条款</w:t>
            </w: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Style w:val="70"/>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kern w:val="2"/>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8</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9</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56"/>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9"/>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8"/>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8"/>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年   月   日</w:t>
      </w:r>
    </w:p>
    <w:p>
      <w:pPr>
        <w:pStyle w:val="68"/>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bookmarkStart w:id="110" w:name="_Toc30830"/>
      <w:r>
        <w:rPr>
          <w:rFonts w:hint="eastAsia" w:asciiTheme="minorEastAsia" w:hAnsiTheme="minorEastAsia" w:eastAsiaTheme="minorEastAsia" w:cstheme="minorEastAsia"/>
          <w:color w:val="auto"/>
          <w:spacing w:val="0"/>
          <w:position w:val="0"/>
          <w:sz w:val="24"/>
          <w:szCs w:val="21"/>
          <w:highlight w:val="none"/>
          <w:lang w:val="en-US" w:eastAsia="zh-CN"/>
        </w:rPr>
        <w:t>2.8中小企业声明函</w:t>
      </w:r>
    </w:p>
    <w:p>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50"/>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52"/>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pPr>
        <w:pStyle w:val="5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pPr>
        <w:pStyle w:val="5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pPr>
        <w:pStyle w:val="54"/>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pPr>
        <w:pStyle w:val="5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7"/>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w:t>
      </w:r>
      <w:bookmarkEnd w:id="110"/>
      <w:r>
        <w:rPr>
          <w:rFonts w:hint="eastAsia" w:asciiTheme="minorEastAsia" w:hAnsiTheme="minorEastAsia" w:eastAsiaTheme="minorEastAsia" w:cstheme="minorEastAsia"/>
          <w:color w:val="auto"/>
          <w:spacing w:val="0"/>
          <w:position w:val="0"/>
          <w:sz w:val="24"/>
          <w:szCs w:val="21"/>
          <w:highlight w:val="none"/>
          <w:lang w:val="en-US" w:eastAsia="zh-CN"/>
        </w:rPr>
        <w:t>9招标文件中要求提交的和供应商认为需要提供的其它说明和资料</w:t>
      </w:r>
    </w:p>
    <w:p>
      <w:pPr>
        <w:pStyle w:val="51"/>
        <w:pageBreakBefore w:val="0"/>
        <w:kinsoku/>
        <w:overflowPunct/>
        <w:topLinePunct w:val="0"/>
        <w:bidi w:val="0"/>
        <w:rPr>
          <w:rFonts w:hint="eastAsia" w:asciiTheme="minorEastAsia" w:hAnsiTheme="minorEastAsia" w:eastAsiaTheme="minorEastAsia" w:cstheme="minorEastAsia"/>
          <w:b/>
          <w:color w:val="auto"/>
          <w:spacing w:val="0"/>
          <w:position w:val="0"/>
          <w:szCs w:val="21"/>
          <w:highlight w:val="none"/>
          <w:lang w:val="en-US" w:eastAsia="zh-CN" w:bidi="ar-SA"/>
        </w:rPr>
      </w:pPr>
      <w:r>
        <w:rPr>
          <w:rFonts w:hint="eastAsia" w:asciiTheme="minorEastAsia" w:hAnsiTheme="minorEastAsia" w:eastAsiaTheme="minorEastAsia" w:cstheme="minorEastAsia"/>
          <w:color w:val="auto"/>
          <w:spacing w:val="0"/>
          <w:position w:val="0"/>
          <w:highlight w:val="none"/>
          <w:lang w:val="en-US" w:eastAsia="zh-CN"/>
        </w:rPr>
        <w:br w:type="page"/>
      </w:r>
    </w:p>
    <w:p>
      <w:pPr>
        <w:pStyle w:val="71"/>
        <w:pageBreakBefore w:val="0"/>
        <w:kinsoku/>
        <w:overflowPunct/>
        <w:topLinePunct w:val="0"/>
        <w:bidi w:val="0"/>
        <w:outlineLvl w:val="1"/>
        <w:rPr>
          <w:rFonts w:hint="eastAsia" w:asciiTheme="minorEastAsia" w:hAnsiTheme="minorEastAsia" w:eastAsiaTheme="minorEastAsia" w:cstheme="minorEastAsia"/>
          <w:color w:val="auto"/>
          <w:spacing w:val="0"/>
          <w:position w:val="0"/>
          <w:highlight w:val="none"/>
          <w:lang w:val="en-US" w:eastAsia="zh-CN"/>
        </w:rPr>
      </w:pPr>
      <w:bookmarkStart w:id="111" w:name="_Toc23880"/>
      <w:r>
        <w:rPr>
          <w:rFonts w:hint="eastAsia" w:asciiTheme="minorEastAsia" w:hAnsiTheme="minorEastAsia" w:eastAsiaTheme="minorEastAsia" w:cstheme="minorEastAsia"/>
          <w:b/>
          <w:color w:val="auto"/>
          <w:spacing w:val="0"/>
          <w:position w:val="0"/>
          <w:sz w:val="24"/>
          <w:szCs w:val="21"/>
          <w:highlight w:val="none"/>
          <w:lang w:val="en-US" w:eastAsia="zh-CN" w:bidi="ar-SA"/>
        </w:rPr>
        <w:t>三、技术文件</w:t>
      </w:r>
      <w:bookmarkEnd w:id="111"/>
    </w:p>
    <w:p>
      <w:pPr>
        <w:pStyle w:val="72"/>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4"/>
          <w:highlight w:val="none"/>
          <w:lang w:val="en-US" w:eastAsia="zh-CN"/>
        </w:rPr>
      </w:pPr>
      <w:bookmarkStart w:id="112" w:name="_Toc12106"/>
      <w:r>
        <w:rPr>
          <w:rFonts w:hint="eastAsia" w:asciiTheme="minorEastAsia" w:hAnsiTheme="minorEastAsia" w:eastAsiaTheme="minorEastAsia" w:cstheme="minorEastAsia"/>
          <w:b/>
          <w:color w:val="auto"/>
          <w:spacing w:val="0"/>
          <w:position w:val="0"/>
          <w:sz w:val="24"/>
          <w:szCs w:val="24"/>
          <w:highlight w:val="none"/>
          <w:lang w:val="en-US" w:eastAsia="zh-CN"/>
        </w:rPr>
        <w:t>3.1物主要技术指标和运行性能：</w:t>
      </w:r>
      <w:bookmarkEnd w:id="112"/>
    </w:p>
    <w:p>
      <w:pPr>
        <w:pStyle w:val="73"/>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&lt;1&gt;</w:t>
      </w:r>
      <w:r>
        <w:rPr>
          <w:rFonts w:hint="eastAsia" w:asciiTheme="minorEastAsia" w:hAnsiTheme="minorEastAsia" w:eastAsiaTheme="minorEastAsia" w:cstheme="minorEastAsia"/>
          <w:b/>
          <w:color w:val="auto"/>
          <w:spacing w:val="0"/>
          <w:kern w:val="0"/>
          <w:position w:val="0"/>
          <w:sz w:val="24"/>
          <w:szCs w:val="24"/>
          <w:highlight w:val="none"/>
        </w:rPr>
        <w:t>☆</w:t>
      </w:r>
      <w:r>
        <w:rPr>
          <w:rFonts w:hint="eastAsia" w:asciiTheme="minorEastAsia" w:hAnsiTheme="minorEastAsia" w:eastAsiaTheme="minorEastAsia" w:cstheme="minorEastAsia"/>
          <w:color w:val="auto"/>
          <w:spacing w:val="0"/>
          <w:kern w:val="0"/>
          <w:position w:val="0"/>
          <w:sz w:val="24"/>
          <w:szCs w:val="24"/>
          <w:highlight w:val="none"/>
        </w:rPr>
        <w:t>技术明细表（详细描述货物技术指标及性能，包括采用的新工艺、新技术、新材料等）；</w:t>
      </w:r>
    </w:p>
    <w:p>
      <w:pPr>
        <w:pStyle w:val="74"/>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24"/>
          <w:highlight w:val="none"/>
        </w:rPr>
        <w:t>、包号：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w:t>
            </w:r>
          </w:p>
        </w:tc>
        <w:tc>
          <w:tcPr>
            <w:tcW w:w="2441" w:type="dxa"/>
            <w:tcBorders>
              <w:top w:val="single" w:color="auto" w:sz="12" w:space="0"/>
              <w:bottom w:val="single" w:color="auto" w:sz="4" w:space="0"/>
            </w:tcBorders>
            <w:noWrap w:val="0"/>
            <w:vAlign w:val="center"/>
          </w:tcPr>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4725" w:type="dxa"/>
            <w:tcBorders>
              <w:top w:val="single" w:color="auto" w:sz="12" w:space="0"/>
              <w:bottom w:val="single" w:color="auto" w:sz="4" w:space="0"/>
            </w:tcBorders>
            <w:noWrap w:val="0"/>
            <w:vAlign w:val="center"/>
          </w:tcPr>
          <w:p>
            <w:pPr>
              <w:pStyle w:val="73"/>
              <w:pageBreakBefore w:val="0"/>
              <w:tabs>
                <w:tab w:val="left" w:pos="1337"/>
              </w:tabs>
              <w:kinsoku/>
              <w:overflowPunct/>
              <w:topLinePunct w:val="0"/>
              <w:bidi w:val="0"/>
              <w:spacing w:line="360" w:lineRule="auto"/>
              <w:ind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w:t>
            </w:r>
          </w:p>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号</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品牌、型号</w:t>
            </w:r>
          </w:p>
        </w:tc>
        <w:tc>
          <w:tcPr>
            <w:tcW w:w="4725" w:type="dxa"/>
            <w:noWrap w:val="0"/>
            <w:vAlign w:val="center"/>
          </w:tcPr>
          <w:p>
            <w:pPr>
              <w:pStyle w:val="73"/>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技术规格</w:t>
            </w:r>
          </w:p>
        </w:tc>
        <w:tc>
          <w:tcPr>
            <w:tcW w:w="1749" w:type="dxa"/>
            <w:tcBorders>
              <w:right w:val="single" w:color="auto" w:sz="12" w:space="0"/>
            </w:tcBorders>
            <w:noWrap w:val="0"/>
            <w:vAlign w:val="center"/>
          </w:tcPr>
          <w:p>
            <w:pPr>
              <w:pStyle w:val="73"/>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244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2441"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4725" w:type="dxa"/>
            <w:tcBorders>
              <w:bottom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bottom w:val="single" w:color="auto" w:sz="12" w:space="0"/>
              <w:right w:val="single" w:color="auto" w:sz="12" w:space="0"/>
            </w:tcBorders>
            <w:noWrap w:val="0"/>
            <w:vAlign w:val="top"/>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3"/>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说明：1.</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在技术文件中提供的内容不一致，投标有可能被拒绝。</w:t>
      </w:r>
    </w:p>
    <w:p>
      <w:pPr>
        <w:pStyle w:val="73"/>
        <w:pageBreakBefore w:val="0"/>
        <w:kinsoku/>
        <w:overflowPunct/>
        <w:topLinePunct w:val="0"/>
        <w:bidi w:val="0"/>
        <w:spacing w:line="360" w:lineRule="auto"/>
        <w:ind w:firstLine="720" w:firstLineChars="3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2.技术规格不得完全复制招标文件内容，否则按无效投标处理。</w:t>
      </w:r>
    </w:p>
    <w:p>
      <w:pPr>
        <w:pStyle w:val="75"/>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5"/>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3"/>
        <w:pageBreakBefore w:val="0"/>
        <w:kinsoku/>
        <w:overflowPunct/>
        <w:topLinePunct w:val="0"/>
        <w:bidi w:val="0"/>
        <w:spacing w:line="360" w:lineRule="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highlight w:val="none"/>
        </w:rPr>
        <w:br w:type="page"/>
      </w:r>
      <w:r>
        <w:rPr>
          <w:rFonts w:hint="eastAsia" w:asciiTheme="minorEastAsia" w:hAnsiTheme="minorEastAsia" w:eastAsiaTheme="minorEastAsia" w:cstheme="minorEastAsia"/>
          <w:color w:val="auto"/>
          <w:spacing w:val="0"/>
          <w:kern w:val="0"/>
          <w:positio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pacing w:val="0"/>
          <w:position w:val="0"/>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spacing w:val="0"/>
          <w:kern w:val="0"/>
          <w:position w:val="0"/>
          <w:sz w:val="24"/>
          <w:szCs w:val="24"/>
          <w:highlight w:val="none"/>
        </w:rPr>
        <w:t>；</w:t>
      </w:r>
    </w:p>
    <w:p>
      <w:pPr>
        <w:pStyle w:val="73"/>
        <w:pageBreakBefore w:val="0"/>
        <w:tabs>
          <w:tab w:val="left" w:pos="5580"/>
        </w:tabs>
        <w:kinsoku/>
        <w:overflowPunct/>
        <w:topLinePunct w:val="0"/>
        <w:bidi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&lt;3&gt;</w:t>
      </w:r>
      <w:r>
        <w:rPr>
          <w:rFonts w:hint="eastAsia" w:asciiTheme="minorEastAsia" w:hAnsiTheme="minorEastAsia" w:eastAsiaTheme="minorEastAsia" w:cstheme="minorEastAsia"/>
          <w:b/>
          <w:color w:val="auto"/>
          <w:spacing w:val="0"/>
          <w:position w:val="0"/>
          <w:sz w:val="24"/>
          <w:szCs w:val="24"/>
          <w:highlight w:val="none"/>
        </w:rPr>
        <w:t>货物技术规范偏离表</w:t>
      </w:r>
    </w:p>
    <w:p>
      <w:pPr>
        <w:pStyle w:val="74"/>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标项名称、包号：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序号</w:t>
            </w:r>
          </w:p>
        </w:tc>
        <w:tc>
          <w:tcPr>
            <w:tcW w:w="2101" w:type="dxa"/>
            <w:tcBorders>
              <w:top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货物名称及编号</w:t>
            </w:r>
          </w:p>
        </w:tc>
        <w:tc>
          <w:tcPr>
            <w:tcW w:w="1021" w:type="dxa"/>
            <w:tcBorders>
              <w:top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数量</w:t>
            </w:r>
          </w:p>
        </w:tc>
        <w:tc>
          <w:tcPr>
            <w:tcW w:w="1707" w:type="dxa"/>
            <w:tcBorders>
              <w:top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招标文件技术规范、要求</w:t>
            </w:r>
          </w:p>
        </w:tc>
        <w:tc>
          <w:tcPr>
            <w:tcW w:w="1337" w:type="dxa"/>
            <w:tcBorders>
              <w:top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投标文件对应规范</w:t>
            </w:r>
          </w:p>
        </w:tc>
        <w:tc>
          <w:tcPr>
            <w:tcW w:w="1337" w:type="dxa"/>
            <w:tcBorders>
              <w:top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偏差</w:t>
            </w:r>
          </w:p>
        </w:tc>
        <w:tc>
          <w:tcPr>
            <w:tcW w:w="977" w:type="dxa"/>
            <w:tcBorders>
              <w:top w:val="single" w:color="auto" w:sz="12" w:space="0"/>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bottom w:val="single" w:color="auto" w:sz="12" w:space="0"/>
              <w:right w:val="single" w:color="auto" w:sz="12" w:space="0"/>
            </w:tcBorders>
            <w:noWrap w:val="0"/>
            <w:vAlign w:val="center"/>
          </w:tcPr>
          <w:p>
            <w:pPr>
              <w:pStyle w:val="73"/>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3"/>
        <w:pageBreakBefore w:val="0"/>
        <w:kinsoku/>
        <w:overflowPunct/>
        <w:topLinePunct w:val="0"/>
        <w:bidi w:val="0"/>
        <w:spacing w:line="360" w:lineRule="auto"/>
        <w:ind w:left="2"/>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说明：如</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提交的货物技术规范与招标文件的要求存在偏离，需逐项填写《货物技术规范偏离表》。</w:t>
      </w:r>
    </w:p>
    <w:p>
      <w:pPr>
        <w:pStyle w:val="75"/>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5"/>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Style w:val="76"/>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13" w:name="_Toc19312"/>
      <w:bookmarkStart w:id="114" w:name="_Toc24378"/>
      <w:bookmarkStart w:id="115" w:name="_Toc7585"/>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13"/>
      <w:bookmarkEnd w:id="114"/>
      <w:bookmarkEnd w:id="115"/>
    </w:p>
    <w:p>
      <w:pPr>
        <w:pStyle w:val="77"/>
        <w:pageBreakBefore w:val="0"/>
        <w:widowControl/>
        <w:kinsoku/>
        <w:wordWrap/>
        <w:overflowPunct/>
        <w:topLinePunct w:val="0"/>
        <w:bidi w:val="0"/>
        <w:snapToGrid/>
        <w:spacing w:before="0" w:beforeAutospacing="0" w:after="0" w:afterAutospacing="0" w:line="240" w:lineRule="auto"/>
        <w:jc w:val="both"/>
        <w:textAlignment w:val="baseline"/>
        <w:rPr>
          <w:rStyle w:val="23"/>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3"/>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3"/>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jc w:val="cente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招标文件补充材料</w:t>
      </w:r>
    </w:p>
    <w:p>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bidi="ar"/>
        </w:rPr>
        <w:t>1、关于印发中小企业划型标准规定的通知（不属于投标文件格式，仅作为判断中小企业的依据）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2"/>
          <w:rFonts w:hint="eastAsia" w:asciiTheme="minorEastAsia" w:hAnsiTheme="minorEastAsia" w:eastAsiaTheme="minorEastAsia" w:cstheme="minorEastAsia"/>
          <w:i w:val="0"/>
          <w:iCs w:val="0"/>
          <w:caps w:val="0"/>
          <w:color w:val="auto"/>
          <w:spacing w:val="0"/>
          <w:position w:val="0"/>
          <w:sz w:val="36"/>
          <w:szCs w:val="36"/>
          <w:highlight w:val="none"/>
        </w:rPr>
        <w:t>关于印发中小企业划型标准规定的通知</w:t>
      </w:r>
      <w:r>
        <w:rPr>
          <w:rFonts w:hint="eastAsia" w:asciiTheme="minorEastAsia" w:hAnsiTheme="minorEastAsia" w:eastAsiaTheme="minorEastAsia" w:cstheme="minorEastAsia"/>
          <w:i w:val="0"/>
          <w:iCs w:val="0"/>
          <w:caps w:val="0"/>
          <w:color w:val="auto"/>
          <w:spacing w:val="0"/>
          <w:position w:val="0"/>
          <w:sz w:val="21"/>
          <w:szCs w:val="21"/>
          <w:highlight w:val="none"/>
        </w:rPr>
        <w:br w:type="textWrapping"/>
      </w:r>
      <w:r>
        <w:rPr>
          <w:rFonts w:hint="eastAsia" w:asciiTheme="minorEastAsia" w:hAnsiTheme="minorEastAsia" w:eastAsiaTheme="minorEastAsia" w:cstheme="minorEastAsia"/>
          <w:i w:val="0"/>
          <w:iCs w:val="0"/>
          <w:caps w:val="0"/>
          <w:color w:val="auto"/>
          <w:spacing w:val="0"/>
          <w:position w:val="0"/>
          <w:sz w:val="21"/>
          <w:szCs w:val="21"/>
          <w:highlight w:val="none"/>
        </w:rPr>
        <w:t>工信部联企业〔2011〕300号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各省、自治区、直辖市人民政府，国务院各部委、各直属机构及有关单位：</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工业和信息化部　国家统计局</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国家发展和改革委员会　财政部</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二○一一年六月十八日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2"/>
          <w:rFonts w:hint="eastAsia" w:asciiTheme="minorEastAsia" w:hAnsiTheme="minorEastAsia" w:eastAsiaTheme="minorEastAsia" w:cstheme="minorEastAsia"/>
          <w:i w:val="0"/>
          <w:iCs w:val="0"/>
          <w:caps w:val="0"/>
          <w:color w:val="auto"/>
          <w:spacing w:val="0"/>
          <w:position w:val="0"/>
          <w:sz w:val="36"/>
          <w:szCs w:val="36"/>
          <w:highlight w:val="none"/>
        </w:rPr>
        <w:t>中小企业划型标准规定</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i w:val="0"/>
          <w:iCs w:val="0"/>
          <w:caps w:val="0"/>
          <w:color w:val="auto"/>
          <w:spacing w:val="0"/>
          <w:position w:val="0"/>
          <w:sz w:val="21"/>
          <w:szCs w:val="21"/>
          <w:highlight w:val="none"/>
        </w:rPr>
        <w:t>　　</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四、各行业划型标准为：</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五、企业类型的划分以统计部门的统计数据为依据。</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九、本规定由工业和信息化部、国家统计局会同有关部门负责解释。</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十、本规定自发布之日起执行，原国家经贸委、原国家计委、财政部和国家统计局2003年颁布的《中小企业标准暂行规定》同时废止。</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质疑及处理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 质疑的提出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 质疑人必须是直接参与本次采购活动的投标人。质疑不接受邮寄。</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 对成交公告有异议的，在成交公告发布之日起七个工作日内，以书面形式并加盖公章和法定代表人签字向招标方提出质疑。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1.4 提出质疑时，必须按照“实事求是”、“谁主张，谁举证”的原则，提供相关证明材料，不能主观臆测。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1.7 佐证材料要具备客观性、关联性、合法性，无法查实的（如宣传册、媒体报道、猜测、推理等）不能作为佐证材料。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1.8 对不能提供相关佐证材料的、涉及商业秘密的、非书面形式送达的、匿名的质疑将不予受理。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 受理和处理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 《质疑函》必须由质疑方的法定代表人或投标代表送达招标方或采购单位。</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 对符合要求的质疑，采购单位或招标方须签收。同一质疑人的质疑只接受一次。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 对于不符合上述27项所有条款要求的质疑，招标方将不予受理。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2.7.质疑须知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投标人如需提出质疑的，应在法定质疑期内一次性提出针对同一采购程序环节的质疑。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 质疑无效的处理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3.2 对于质疑人在质疑期间不配合进行质疑调查处理的，视为自动放弃质疑。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3.3 质疑人提出的质疑，经评标专家审定后驳回的，列为无效质疑。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3.4 对于质疑中使用虚假材料或恶意方式质疑的，按无效质疑处理，并列入不良记录供应商名单。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3.5质疑人进行质疑后，招标方在法定时间内对质疑进行回复，质疑人认为回复不满意的，可向政府采购管理部门进行投诉。</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outlineLvl w:val="0"/>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ageBreakBefore w:val="0"/>
        <w:kinsoku/>
        <w:overflowPunct/>
        <w:topLinePunct w:val="0"/>
        <w:bidi w:val="0"/>
        <w:jc w:val="cente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3"/>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质疑函</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240" w:firstLineChars="1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依据政府采购相关法规，我公司对</w:t>
      </w:r>
      <w:r>
        <w:rPr>
          <w:rFonts w:hint="eastAsia" w:asciiTheme="minorEastAsia" w:hAnsiTheme="minorEastAsia" w:eastAsiaTheme="minorEastAsia" w:cstheme="minorEastAsia"/>
          <w:color w:val="auto"/>
          <w:spacing w:val="0"/>
          <w:position w:val="0"/>
          <w:sz w:val="24"/>
          <w:szCs w:val="24"/>
          <w:highlight w:val="none"/>
          <w:u w:val="single"/>
        </w:rPr>
        <w:t xml:space="preserve">           项目的（项目编号：         </w:t>
      </w:r>
      <w:r>
        <w:rPr>
          <w:rFonts w:hint="eastAsia" w:asciiTheme="minorEastAsia" w:hAnsiTheme="minorEastAsia" w:eastAsiaTheme="minorEastAsia" w:cstheme="minorEastAsia"/>
          <w:color w:val="auto"/>
          <w:spacing w:val="0"/>
          <w:position w:val="0"/>
          <w:sz w:val="24"/>
          <w:szCs w:val="24"/>
          <w:highlight w:val="none"/>
        </w:rPr>
        <w:t>）招标活动存在疑问，特提出质疑（详见下表）。</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我公司和本人对此质疑函内容的真实性负责，并愿意承担由此引起的相应处理和法律责任。</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法定代表人（签字并盖名章）：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本项目授权委托人（签字并盖名章）：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公司地址：              邮编：</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（如法人为质疑人则不需要填此项）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3000" w:firstLineChars="125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质疑人（公章）：            </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年   月   日 </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rPr>
          <w:rFonts w:hint="eastAsia" w:asciiTheme="minorEastAsia" w:hAnsiTheme="minorEastAsia" w:eastAsiaTheme="minorEastAsia" w:cstheme="minorEastAsia"/>
          <w:bCs/>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质   疑  内  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bl>
      <w:tblPr>
        <w:tblStyle w:val="1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48"/>
        <w:gridCol w:w="7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项目编号</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具体的质疑事项及事实依据</w:t>
            </w:r>
          </w:p>
        </w:tc>
        <w:tc>
          <w:tcPr>
            <w:tcW w:w="8940" w:type="dxa"/>
            <w:gridSpan w:val="2"/>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一、质疑事项1：</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二、质疑事项2：</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三、同上</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465"/>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right="0"/>
              <w:jc w:val="left"/>
              <w:textAlignment w:val="auto"/>
              <w:rPr>
                <w:rFonts w:hint="eastAsia" w:asciiTheme="minorEastAsia" w:hAnsiTheme="minorEastAsia" w:eastAsiaTheme="minorEastAsia" w:cstheme="minorEastAsia"/>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1058" w:leftChars="0" w:right="0" w:hanging="1058" w:hangingChars="441"/>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3、“具体的质疑事项及事实依据”一栏填写不下时，质疑人可另附页（A4），但附纸要求加盖质疑人公章。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4、与质疑事项有关的材料应与质疑函合并装订。</w:t>
      </w:r>
    </w:p>
    <w:p/>
    <w:sectPr>
      <w:footerReference r:id="rId18" w:type="first"/>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i/>
        <w:iCs/>
        <w:lang w:val="en-US" w:eastAsia="zh-CN"/>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5294"/>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sz w:val="14"/>
        <w:szCs w:val="14"/>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5408" behindDoc="0" locked="0" layoutInCell="1" allowOverlap="1">
              <wp:simplePos x="0" y="0"/>
              <wp:positionH relativeFrom="margin">
                <wp:posOffset>2605405</wp:posOffset>
              </wp:positionH>
              <wp:positionV relativeFrom="paragraph">
                <wp:posOffset>-487045</wp:posOffset>
              </wp:positionV>
              <wp:extent cx="382905" cy="6248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82905" cy="624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5pt;margin-top:-38.35pt;height:49.2pt;width:30.15pt;mso-position-horizontal-relative:margin;z-index:251665408;mso-width-relative:page;mso-height-relative:page;" filled="f" stroked="f" coordsize="21600,21600" o:gfxdata="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dbsqvZAAAACgEAAA8AAAAAAAAAAQAgAAAAIgAAAGRycy9kb3du&#10;cmV2LnhtbFBLAQIUABQAAAAIAIdO4kD8bAygNwIAAGMEAAAOAAAAAAAAAAEAIAAAACgBAABkcnMv&#10;ZTJvRG9jLnhtbFBLBQYAAAAABgAGAFkBAADRBQAAAAA=&#10;">
              <v:fill on="f" focussize="0,0"/>
              <v:stroke on="f" weight="0.5pt"/>
              <v:imagedata o:title=""/>
              <o:lock v:ext="edit" aspectratio="f"/>
              <v:textbox inset="0mm,0mm,0mm,0mm">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79"/>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z w:val="14"/>
        <w:szCs w:val="14"/>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5"/>
      <w:rPr>
        <w:rFonts w:ascii="宋体" w:hAnsi="宋体" w:eastAsia="宋体" w:cs="宋体"/>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2"/>
        <w:szCs w:val="12"/>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1" name="图片 1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13"/>
      <w:pBdr>
        <w:bottom w:val="none" w:color="auto" w:sz="0" w:space="1"/>
      </w:pBdr>
      <w:jc w:val="left"/>
      <w:rPr>
        <w:b w:val="0"/>
        <w:bCs/>
        <w:sz w:val="8"/>
        <w:szCs w:val="8"/>
      </w:rPr>
    </w:pPr>
  </w:p>
  <w:p>
    <w:pPr>
      <w:pStyle w:val="13"/>
      <w:pBdr>
        <w:bottom w:val="none" w:color="auto" w:sz="0" w:space="1"/>
      </w:pBdr>
      <w:jc w:val="left"/>
    </w:pPr>
    <w:r>
      <w:rPr>
        <w:rFonts w:hint="eastAsia" w:ascii="宋体" w:hAnsi="宋体" w:eastAsia="宋体" w:cs="宋体"/>
        <w:b/>
        <w:spacing w:val="6"/>
        <w:position w:val="4"/>
        <w:sz w:val="96"/>
        <w:szCs w:val="9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 name="图片 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23" name="图片 2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3D29213B"/>
    <w:multiLevelType w:val="multilevel"/>
    <w:tmpl w:val="3D29213B"/>
    <w:lvl w:ilvl="0" w:tentative="0">
      <w:start w:val="1"/>
      <w:numFmt w:val="decimal"/>
      <w:lvlText w:val="%1."/>
      <w:lvlJc w:val="left"/>
      <w:pPr>
        <w:ind w:left="425" w:hanging="425"/>
      </w:pPr>
      <w:rPr>
        <w:rFonts w:hint="default" w:ascii="宋体" w:hAnsi="宋体" w:eastAsia="宋体" w:cs="宋体"/>
        <w:b w:val="0"/>
        <w:bCs w:val="0"/>
        <w:caps w:val="0"/>
        <w:smallCaps w:val="0"/>
        <w:strike w:val="0"/>
        <w:dstrike w:val="0"/>
        <w:spacing w:val="0"/>
        <w:w w:val="100"/>
        <w:kern w:val="0"/>
        <w:position w:val="0"/>
        <w:sz w:val="24"/>
        <w:szCs w:val="24"/>
        <w:highlight w:val="none"/>
        <w:vertAlign w:val="baseline"/>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2">
    <w:nsid w:val="597D525A"/>
    <w:multiLevelType w:val="multilevel"/>
    <w:tmpl w:val="597D525A"/>
    <w:lvl w:ilvl="0" w:tentative="0">
      <w:start w:val="1"/>
      <w:numFmt w:val="decimal"/>
      <w:lvlText w:val="%1、"/>
      <w:lvlJc w:val="left"/>
      <w:pPr>
        <w:ind w:left="425" w:hanging="425"/>
      </w:pPr>
      <w:rPr>
        <w:rFonts w:cs="Times New Roman" w:asciiTheme="minorEastAsia" w:hAnsiTheme="minorEastAsia" w:eastAsiaTheme="minorEastAsia"/>
      </w:rPr>
    </w:lvl>
    <w:lvl w:ilvl="1" w:tentative="0">
      <w:start w:val="1"/>
      <w:numFmt w:val="lowerLetter"/>
      <w:lvlText w:val="%2)"/>
      <w:lvlJc w:val="left"/>
      <w:pPr>
        <w:ind w:left="992" w:hanging="567"/>
      </w:pPr>
      <w:rPr>
        <w:rFonts w:hint="default"/>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2"/>
  </w:num>
  <w:num w:numId="4">
    <w:abstractNumId w:val="1"/>
  </w:num>
  <w:num w:numId="5">
    <w:abstractNumId w:val="1"/>
    <w:lvlOverride w:ilvl="0">
      <w:lvl w:ilvl="0" w:tentative="1">
        <w:start w:val="1"/>
        <w:numFmt w:val="decimal"/>
        <w:lvlText w:val="%1."/>
        <w:lvlJc w:val="left"/>
        <w:pPr>
          <w:ind w:left="425" w:hanging="425"/>
        </w:pPr>
        <w:rPr>
          <w:rFonts w:hAnsi="Arial Unicode MS"/>
          <w:b/>
          <w:bCs/>
          <w:caps w:val="0"/>
          <w:smallCaps w:val="0"/>
          <w:strike w:val="0"/>
          <w:dstrike w:val="0"/>
          <w:spacing w:val="0"/>
          <w:w w:val="100"/>
          <w:kern w:val="0"/>
          <w:position w:val="0"/>
          <w:highlight w:val="none"/>
          <w:vertAlign w:val="baseline"/>
        </w:rPr>
      </w:lvl>
    </w:lvlOverride>
    <w:lvlOverride w:ilvl="1">
      <w:lvl w:ilvl="1" w:tentative="1">
        <w:start w:val="1"/>
        <w:numFmt w:val="decimal"/>
        <w:lvlText w:val="%1.%2."/>
        <w:lvlJc w:val="left"/>
        <w:pPr>
          <w:ind w:left="646" w:hanging="496"/>
        </w:pPr>
        <w:rPr>
          <w:rFonts w:hint="default" w:ascii="宋体" w:hAnsi="宋体" w:eastAsia="宋体" w:cstheme="minorEastAsia"/>
          <w:caps w:val="0"/>
          <w:smallCaps w:val="0"/>
          <w:strike w:val="0"/>
          <w:dstrike w:val="0"/>
          <w:color w:val="auto"/>
          <w:spacing w:val="0"/>
          <w:w w:val="100"/>
          <w:kern w:val="0"/>
          <w:position w:val="0"/>
          <w:sz w:val="24"/>
          <w:szCs w:val="24"/>
          <w:highlight w:val="none"/>
          <w:vertAlign w:val="baseline"/>
        </w:rPr>
      </w:lvl>
    </w:lvlOverride>
    <w:lvlOverride w:ilvl="2">
      <w:lvl w:ilvl="2" w:tentative="1">
        <w:start w:val="1"/>
        <w:numFmt w:val="decimal"/>
        <w:lvlText w:val="%1.%2.%3."/>
        <w:lvlJc w:val="left"/>
        <w:pPr>
          <w:ind w:left="620" w:hanging="620"/>
        </w:pPr>
        <w:rPr>
          <w:rFonts w:hAnsi="Arial Unicode MS"/>
          <w:caps w:val="0"/>
          <w:smallCaps w:val="0"/>
          <w:strike w:val="0"/>
          <w:dstrike w:val="0"/>
          <w:spacing w:val="0"/>
          <w:w w:val="100"/>
          <w:kern w:val="0"/>
          <w:position w:val="0"/>
          <w:sz w:val="21"/>
          <w:szCs w:val="21"/>
          <w:highlight w:val="none"/>
          <w:vertAlign w:val="baseline"/>
        </w:rPr>
      </w:lvl>
    </w:lvlOverride>
    <w:lvlOverride w:ilvl="3">
      <w:lvl w:ilvl="3" w:tentative="1">
        <w:start w:val="1"/>
        <w:numFmt w:val="decimal"/>
        <w:lvlText w:val="%1.%2.%3.%4."/>
        <w:lvlJc w:val="left"/>
        <w:pPr>
          <w:ind w:left="745" w:hanging="745"/>
        </w:pPr>
        <w:rPr>
          <w:rFonts w:hAnsi="Arial Unicode MS"/>
          <w:caps w:val="0"/>
          <w:smallCaps w:val="0"/>
          <w:strike w:val="0"/>
          <w:dstrike w:val="0"/>
          <w:spacing w:val="0"/>
          <w:w w:val="100"/>
          <w:kern w:val="0"/>
          <w:position w:val="0"/>
          <w:sz w:val="21"/>
          <w:szCs w:val="21"/>
          <w:highlight w:val="none"/>
          <w:vertAlign w:val="baseline"/>
        </w:rPr>
      </w:lvl>
    </w:lvlOverride>
    <w:lvlOverride w:ilvl="4">
      <w:lvl w:ilvl="4" w:tentative="1">
        <w:start w:val="1"/>
        <w:numFmt w:val="decimal"/>
        <w:suff w:val="nothing"/>
        <w:lvlText w:val="%1.%2.%3.%4.%5."/>
        <w:lvlJc w:val="left"/>
        <w:pPr>
          <w:ind w:left="868" w:hanging="868"/>
        </w:pPr>
        <w:rPr>
          <w:rFonts w:hAnsi="Arial Unicode MS"/>
          <w:caps w:val="0"/>
          <w:smallCaps w:val="0"/>
          <w:strike w:val="0"/>
          <w:dstrike w:val="0"/>
          <w:spacing w:val="0"/>
          <w:w w:val="100"/>
          <w:kern w:val="0"/>
          <w:position w:val="0"/>
          <w:sz w:val="21"/>
          <w:szCs w:val="21"/>
          <w:highlight w:val="none"/>
          <w:vertAlign w:val="baseline"/>
        </w:rPr>
      </w:lvl>
    </w:lvlOverride>
    <w:lvlOverride w:ilvl="5">
      <w:lvl w:ilvl="5" w:tentative="1">
        <w:start w:val="1"/>
        <w:numFmt w:val="decimal"/>
        <w:suff w:val="nothing"/>
        <w:lvlText w:val="%1.%2.%3.%4.%5.%6."/>
        <w:lvlJc w:val="left"/>
        <w:pPr>
          <w:ind w:left="992" w:hanging="992"/>
        </w:pPr>
        <w:rPr>
          <w:rFonts w:hAnsi="Arial Unicode MS"/>
          <w:caps w:val="0"/>
          <w:smallCaps w:val="0"/>
          <w:strike w:val="0"/>
          <w:dstrike w:val="0"/>
          <w:spacing w:val="0"/>
          <w:w w:val="100"/>
          <w:kern w:val="0"/>
          <w:position w:val="0"/>
          <w:sz w:val="21"/>
          <w:szCs w:val="21"/>
          <w:highlight w:val="none"/>
          <w:vertAlign w:val="baseline"/>
        </w:rPr>
      </w:lvl>
    </w:lvlOverride>
    <w:lvlOverride w:ilvl="6">
      <w:lvl w:ilvl="6" w:tentative="1">
        <w:start w:val="1"/>
        <w:numFmt w:val="decimal"/>
        <w:suff w:val="nothing"/>
        <w:lvlText w:val="%1.%2.%3.%4.%5.%6.%7."/>
        <w:lvlJc w:val="left"/>
        <w:pPr>
          <w:ind w:left="1117" w:hanging="1117"/>
        </w:pPr>
        <w:rPr>
          <w:rFonts w:hAnsi="Arial Unicode MS"/>
          <w:caps w:val="0"/>
          <w:smallCaps w:val="0"/>
          <w:strike w:val="0"/>
          <w:dstrike w:val="0"/>
          <w:spacing w:val="0"/>
          <w:w w:val="100"/>
          <w:kern w:val="0"/>
          <w:position w:val="0"/>
          <w:sz w:val="21"/>
          <w:szCs w:val="21"/>
          <w:highlight w:val="none"/>
          <w:vertAlign w:val="baseline"/>
        </w:rPr>
      </w:lvl>
    </w:lvlOverride>
    <w:lvlOverride w:ilvl="7">
      <w:lvl w:ilvl="7" w:tentative="1">
        <w:start w:val="1"/>
        <w:numFmt w:val="decimal"/>
        <w:suff w:val="nothing"/>
        <w:lvlText w:val="%1.%2.%3.%4.%5.%6.%7.%8."/>
        <w:lvlJc w:val="left"/>
        <w:pPr>
          <w:ind w:left="1241" w:hanging="1241"/>
        </w:pPr>
        <w:rPr>
          <w:rFonts w:hAnsi="Arial Unicode MS"/>
          <w:caps w:val="0"/>
          <w:smallCaps w:val="0"/>
          <w:strike w:val="0"/>
          <w:dstrike w:val="0"/>
          <w:spacing w:val="0"/>
          <w:w w:val="100"/>
          <w:kern w:val="0"/>
          <w:position w:val="0"/>
          <w:sz w:val="21"/>
          <w:szCs w:val="21"/>
          <w:highlight w:val="none"/>
          <w:vertAlign w:val="baseline"/>
        </w:rPr>
      </w:lvl>
    </w:lvlOverride>
    <w:lvlOverride w:ilvl="8">
      <w:lvl w:ilvl="8" w:tentative="1">
        <w:start w:val="1"/>
        <w:numFmt w:val="decimal"/>
        <w:suff w:val="nothing"/>
        <w:lvlText w:val="%1.%2.%3.%4.%5.%6.%7.%8.%9."/>
        <w:lvlJc w:val="left"/>
        <w:pPr>
          <w:ind w:left="1364" w:hanging="1364"/>
        </w:pPr>
        <w:rPr>
          <w:rFonts w:hAnsi="Arial Unicode MS"/>
          <w:caps w:val="0"/>
          <w:smallCaps w:val="0"/>
          <w:strike w:val="0"/>
          <w:dstrike w:val="0"/>
          <w:spacing w:val="0"/>
          <w:w w:val="100"/>
          <w:kern w:val="0"/>
          <w:position w:val="0"/>
          <w:sz w:val="21"/>
          <w:szCs w:val="21"/>
          <w:highlight w:val="none"/>
          <w:vertAlign w:val="baseline"/>
        </w:rPr>
      </w:lvl>
    </w:lvlOverride>
  </w:num>
  <w:num w:numId="6">
    <w:abstractNumId w:val="1"/>
    <w:lvlOverride w:ilvl="0">
      <w:lvl w:ilvl="0" w:tentative="1">
        <w:start w:val="1"/>
        <w:numFmt w:val="decimal"/>
        <w:lvlText w:val="%1."/>
        <w:lvlJc w:val="left"/>
        <w:pPr>
          <w:ind w:left="425" w:hanging="425"/>
        </w:pPr>
        <w:rPr>
          <w:rFonts w:hAnsi="Arial Unicode MS"/>
          <w:b/>
          <w:bCs/>
          <w:caps w:val="0"/>
          <w:smallCaps w:val="0"/>
          <w:strike w:val="0"/>
          <w:dstrike w:val="0"/>
          <w:spacing w:val="0"/>
          <w:w w:val="100"/>
          <w:kern w:val="0"/>
          <w:position w:val="0"/>
          <w:highlight w:val="none"/>
          <w:vertAlign w:val="baseline"/>
        </w:rPr>
      </w:lvl>
    </w:lvlOverride>
    <w:lvlOverride w:ilvl="1">
      <w:lvl w:ilvl="1" w:tentative="1">
        <w:start w:val="1"/>
        <w:numFmt w:val="decimal"/>
        <w:lvlText w:val="%1.%2."/>
        <w:lvlJc w:val="left"/>
        <w:pPr>
          <w:ind w:left="567" w:hanging="567"/>
        </w:pPr>
        <w:rPr>
          <w:rFonts w:hint="default" w:ascii="方正仿宋_GBK" w:hAnsi="方正仿宋_GBK" w:eastAsia="方正仿宋_GBK" w:cs="方正仿宋_GBK"/>
          <w:caps w:val="0"/>
          <w:smallCaps w:val="0"/>
          <w:strike w:val="0"/>
          <w:dstrike w:val="0"/>
          <w:color w:val="auto"/>
          <w:spacing w:val="0"/>
          <w:w w:val="100"/>
          <w:kern w:val="0"/>
          <w:position w:val="0"/>
          <w:highlight w:val="none"/>
          <w:vertAlign w:val="baseline"/>
        </w:rPr>
      </w:lvl>
    </w:lvlOverride>
    <w:lvlOverride w:ilvl="2">
      <w:lvl w:ilvl="2" w:tentative="1">
        <w:start w:val="1"/>
        <w:numFmt w:val="decimal"/>
        <w:lvlText w:val="%1.%2.%3."/>
        <w:lvlJc w:val="left"/>
        <w:pPr>
          <w:ind w:left="709" w:hanging="709"/>
        </w:pPr>
        <w:rPr>
          <w:rFonts w:hAnsi="Arial Unicode MS"/>
          <w:caps w:val="0"/>
          <w:smallCaps w:val="0"/>
          <w:strike w:val="0"/>
          <w:dstrike w:val="0"/>
          <w:spacing w:val="0"/>
          <w:w w:val="100"/>
          <w:kern w:val="0"/>
          <w:position w:val="0"/>
          <w:highlight w:val="none"/>
          <w:vertAlign w:val="baseline"/>
        </w:rPr>
      </w:lvl>
    </w:lvlOverride>
    <w:lvlOverride w:ilvl="3">
      <w:lvl w:ilvl="3" w:tentative="1">
        <w:start w:val="1"/>
        <w:numFmt w:val="decimal"/>
        <w:lvlText w:val="%1.%2.%3.%4."/>
        <w:lvlJc w:val="left"/>
        <w:pPr>
          <w:ind w:left="851" w:hanging="851"/>
        </w:pPr>
        <w:rPr>
          <w:rFonts w:hAnsi="Arial Unicode MS"/>
          <w:caps w:val="0"/>
          <w:smallCaps w:val="0"/>
          <w:strike w:val="0"/>
          <w:dstrike w:val="0"/>
          <w:spacing w:val="0"/>
          <w:w w:val="100"/>
          <w:kern w:val="0"/>
          <w:position w:val="0"/>
          <w:highlight w:val="none"/>
          <w:vertAlign w:val="baseline"/>
        </w:rPr>
      </w:lvl>
    </w:lvlOverride>
    <w:lvlOverride w:ilvl="4">
      <w:lvl w:ilvl="4" w:tentative="1">
        <w:start w:val="1"/>
        <w:numFmt w:val="decimal"/>
        <w:suff w:val="nothing"/>
        <w:lvlText w:val="%1.%2.%3.%4.%5."/>
        <w:lvlJc w:val="left"/>
        <w:pPr>
          <w:ind w:left="992" w:hanging="992"/>
        </w:pPr>
        <w:rPr>
          <w:rFonts w:hAnsi="Arial Unicode MS"/>
          <w:caps w:val="0"/>
          <w:smallCaps w:val="0"/>
          <w:strike w:val="0"/>
          <w:dstrike w:val="0"/>
          <w:spacing w:val="0"/>
          <w:w w:val="100"/>
          <w:kern w:val="0"/>
          <w:position w:val="0"/>
          <w:highlight w:val="none"/>
          <w:vertAlign w:val="baseline"/>
        </w:rPr>
      </w:lvl>
    </w:lvlOverride>
    <w:lvlOverride w:ilvl="5">
      <w:lvl w:ilvl="5" w:tentative="1">
        <w:start w:val="1"/>
        <w:numFmt w:val="decimal"/>
        <w:suff w:val="nothing"/>
        <w:lvlText w:val="%1.%2.%3.%4.%5.%6."/>
        <w:lvlJc w:val="left"/>
        <w:pPr>
          <w:ind w:left="1134" w:hanging="1134"/>
        </w:pPr>
        <w:rPr>
          <w:rFonts w:hAnsi="Arial Unicode MS"/>
          <w:caps w:val="0"/>
          <w:smallCaps w:val="0"/>
          <w:strike w:val="0"/>
          <w:dstrike w:val="0"/>
          <w:spacing w:val="0"/>
          <w:w w:val="100"/>
          <w:kern w:val="0"/>
          <w:position w:val="0"/>
          <w:highlight w:val="none"/>
          <w:vertAlign w:val="baseline"/>
        </w:rPr>
      </w:lvl>
    </w:lvlOverride>
    <w:lvlOverride w:ilvl="6">
      <w:lvl w:ilvl="6" w:tentative="1">
        <w:start w:val="1"/>
        <w:numFmt w:val="decimal"/>
        <w:suff w:val="nothing"/>
        <w:lvlText w:val="%1.%2.%3.%4.%5.%6.%7."/>
        <w:lvlJc w:val="left"/>
        <w:pPr>
          <w:ind w:left="1276" w:hanging="1276"/>
        </w:pPr>
        <w:rPr>
          <w:rFonts w:hAnsi="Arial Unicode MS"/>
          <w:caps w:val="0"/>
          <w:smallCaps w:val="0"/>
          <w:strike w:val="0"/>
          <w:dstrike w:val="0"/>
          <w:spacing w:val="0"/>
          <w:w w:val="100"/>
          <w:kern w:val="0"/>
          <w:position w:val="0"/>
          <w:highlight w:val="none"/>
          <w:vertAlign w:val="baseline"/>
        </w:rPr>
      </w:lvl>
    </w:lvlOverride>
    <w:lvlOverride w:ilvl="7">
      <w:lvl w:ilvl="7" w:tentative="1">
        <w:start w:val="1"/>
        <w:numFmt w:val="decimal"/>
        <w:suff w:val="nothing"/>
        <w:lvlText w:val="%1.%2.%3.%4.%5.%6.%7.%8."/>
        <w:lvlJc w:val="left"/>
        <w:pPr>
          <w:ind w:left="1418" w:hanging="1418"/>
        </w:pPr>
        <w:rPr>
          <w:rFonts w:hAnsi="Arial Unicode MS"/>
          <w:caps w:val="0"/>
          <w:smallCaps w:val="0"/>
          <w:strike w:val="0"/>
          <w:dstrike w:val="0"/>
          <w:spacing w:val="0"/>
          <w:w w:val="100"/>
          <w:kern w:val="0"/>
          <w:position w:val="0"/>
          <w:highlight w:val="none"/>
          <w:vertAlign w:val="baseline"/>
        </w:rPr>
      </w:lvl>
    </w:lvlOverride>
    <w:lvlOverride w:ilvl="8">
      <w:lvl w:ilvl="8" w:tentative="1">
        <w:start w:val="1"/>
        <w:numFmt w:val="decimal"/>
        <w:suff w:val="nothing"/>
        <w:lvlText w:val="%1.%2.%3.%4.%5.%6.%7.%8.%9."/>
        <w:lvlJc w:val="left"/>
        <w:pPr>
          <w:ind w:left="1559" w:hanging="1559"/>
        </w:pPr>
        <w:rPr>
          <w:rFonts w:hAnsi="Arial Unicode MS"/>
          <w:caps w:val="0"/>
          <w:smallCaps w:val="0"/>
          <w:strike w:val="0"/>
          <w:dstrike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c1ZmVjM2VkZWY3NzQ5MDk5Zjg4MWUyMWFmOWIifQ=="/>
  </w:docVars>
  <w:rsids>
    <w:rsidRoot w:val="5BE332FE"/>
    <w:rsid w:val="0E27534A"/>
    <w:rsid w:val="1AEB0C7B"/>
    <w:rsid w:val="44D06589"/>
    <w:rsid w:val="45050ABD"/>
    <w:rsid w:val="4B210BE7"/>
    <w:rsid w:val="5BE3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1">
    <w:name w:val="Default Paragraph Font"/>
    <w:autoRedefine/>
    <w:semiHidden/>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Calibri" w:hAnsi="Calibri"/>
      <w:szCs w:val="22"/>
    </w:rPr>
  </w:style>
  <w:style w:type="paragraph" w:styleId="5">
    <w:name w:val="toa heading"/>
    <w:basedOn w:val="1"/>
    <w:next w:val="1"/>
    <w:qFormat/>
    <w:uiPriority w:val="0"/>
    <w:pPr>
      <w:spacing w:before="120"/>
    </w:pPr>
    <w:rPr>
      <w:rFonts w:ascii="Cambria" w:hAnsi="Cambria"/>
      <w:sz w:val="24"/>
      <w:szCs w:val="24"/>
    </w:rPr>
  </w:style>
  <w:style w:type="paragraph" w:styleId="6">
    <w:name w:val="Body Text"/>
    <w:basedOn w:val="1"/>
    <w:qFormat/>
    <w:uiPriority w:val="0"/>
    <w:pPr>
      <w:spacing w:after="120"/>
    </w:pPr>
    <w:rPr>
      <w:rFonts w:ascii="Times New Roman" w:hAnsi="Times New Roman"/>
      <w:szCs w:val="24"/>
    </w:rPr>
  </w:style>
  <w:style w:type="paragraph" w:styleId="7">
    <w:name w:val="Body Text Indent"/>
    <w:basedOn w:val="1"/>
    <w:next w:val="8"/>
    <w:autoRedefine/>
    <w:qFormat/>
    <w:uiPriority w:val="0"/>
    <w:pPr>
      <w:spacing w:line="500" w:lineRule="exact"/>
      <w:ind w:left="1588" w:leftChars="832" w:firstLine="433" w:firstLineChars="196"/>
    </w:pPr>
    <w:rPr>
      <w:rFonts w:ascii="Times New Roman" w:hAnsi="Times New Roman"/>
      <w:sz w:val="24"/>
      <w:szCs w:val="24"/>
    </w:rPr>
  </w:style>
  <w:style w:type="paragraph" w:customStyle="1" w:styleId="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9">
    <w:name w:val="List 2"/>
    <w:basedOn w:val="1"/>
    <w:autoRedefine/>
    <w:qFormat/>
    <w:uiPriority w:val="0"/>
    <w:pPr>
      <w:ind w:left="100" w:leftChars="200" w:hanging="200" w:hangingChars="200"/>
    </w:p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02"/>
      </w:tabs>
    </w:pPr>
  </w:style>
  <w:style w:type="paragraph" w:styleId="15">
    <w:name w:val="Normal (Web)"/>
    <w:basedOn w:val="1"/>
    <w:next w:val="16"/>
    <w:autoRedefine/>
    <w:qFormat/>
    <w:uiPriority w:val="0"/>
    <w:rPr>
      <w:sz w:val="24"/>
    </w:rPr>
  </w:style>
  <w:style w:type="paragraph" w:customStyle="1" w:styleId="1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w:basedOn w:val="6"/>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18">
    <w:name w:val="Body Text First Indent 2"/>
    <w:basedOn w:val="7"/>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autoRedefine/>
    <w:qFormat/>
    <w:uiPriority w:val="0"/>
    <w:rPr>
      <w:bCs/>
    </w:rPr>
  </w:style>
  <w:style w:type="character" w:customStyle="1" w:styleId="23">
    <w:name w:val="NormalCharacter"/>
    <w:link w:val="24"/>
    <w:autoRedefine/>
    <w:qFormat/>
    <w:uiPriority w:val="0"/>
  </w:style>
  <w:style w:type="paragraph" w:customStyle="1" w:styleId="24">
    <w:name w:val="UserStyle_5"/>
    <w:basedOn w:val="1"/>
    <w:link w:val="23"/>
    <w:autoRedefine/>
    <w:qFormat/>
    <w:uiPriority w:val="0"/>
    <w:pPr>
      <w:widowControl/>
      <w:spacing w:after="160" w:line="240" w:lineRule="exact"/>
      <w:jc w:val="left"/>
      <w:textAlignment w:val="baseline"/>
    </w:pPr>
  </w:style>
  <w:style w:type="paragraph" w:customStyle="1" w:styleId="25">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6">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27">
    <w:name w:val="样式 标题 4 + 段前: 5 磅 段后: 5 磅 行距: 单倍行距"/>
    <w:basedOn w:val="3"/>
    <w:autoRedefine/>
    <w:qFormat/>
    <w:uiPriority w:val="0"/>
    <w:pPr>
      <w:spacing w:before="100" w:after="100" w:line="240" w:lineRule="auto"/>
    </w:pPr>
    <w:rPr>
      <w:rFonts w:cs="宋体"/>
      <w:szCs w:val="20"/>
    </w:rPr>
  </w:style>
  <w:style w:type="paragraph" w:customStyle="1" w:styleId="28">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9">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30">
    <w:name w:val="Normal_0"/>
    <w:autoRedefine/>
    <w:qFormat/>
    <w:uiPriority w:val="0"/>
    <w:rPr>
      <w:rFonts w:ascii="黑体" w:hAnsi="黑体" w:eastAsia="黑体" w:cs="Times New Roman"/>
      <w:b/>
      <w:sz w:val="32"/>
      <w:szCs w:val="24"/>
      <w:lang w:bidi="ar-SA"/>
    </w:rPr>
  </w:style>
  <w:style w:type="paragraph" w:customStyle="1" w:styleId="31">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1"/>
      <w:szCs w:val="21"/>
      <w:lang w:val="en-US" w:eastAsia="en-US" w:bidi="ar-SA"/>
    </w:rPr>
  </w:style>
  <w:style w:type="paragraph" w:customStyle="1" w:styleId="35">
    <w:name w:val="Normal_1"/>
    <w:autoRedefine/>
    <w:qFormat/>
    <w:uiPriority w:val="0"/>
    <w:rPr>
      <w:rFonts w:ascii="黑体" w:hAnsi="黑体" w:eastAsia="黑体" w:cs="Times New Roman"/>
      <w:b/>
      <w:sz w:val="32"/>
      <w:szCs w:val="24"/>
      <w:lang w:bidi="ar-SA"/>
    </w:rPr>
  </w:style>
  <w:style w:type="paragraph" w:customStyle="1" w:styleId="36">
    <w:name w:val="正文_2"/>
    <w:basedOn w:val="3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_2"/>
    <w:autoRedefine/>
    <w:qFormat/>
    <w:uiPriority w:val="0"/>
    <w:rPr>
      <w:rFonts w:ascii="黑体" w:hAnsi="黑体" w:eastAsia="黑体" w:cs="Times New Roman"/>
      <w:b/>
      <w:sz w:val="32"/>
      <w:szCs w:val="24"/>
      <w:lang w:bidi="ar-SA"/>
    </w:rPr>
  </w:style>
  <w:style w:type="paragraph" w:customStyle="1" w:styleId="39">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40">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41">
    <w:name w:val="UserStyle_66"/>
    <w:basedOn w:val="42"/>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42">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3">
    <w:name w:val="UserStyle_122"/>
    <w:basedOn w:val="42"/>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44">
    <w:name w:val="UserStyle_123"/>
    <w:basedOn w:val="42"/>
    <w:next w:val="45"/>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5">
    <w:name w:val="UserStyle_124"/>
    <w:basedOn w:val="44"/>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46">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7">
    <w:name w:val="UserStyle_125"/>
    <w:basedOn w:val="42"/>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8">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49">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50">
    <w:name w:val="正"/>
    <w:basedOn w:val="51"/>
    <w:autoRedefine/>
    <w:qFormat/>
    <w:uiPriority w:val="0"/>
    <w:pPr>
      <w:ind w:firstLine="525"/>
    </w:pPr>
    <w:rPr>
      <w:spacing w:val="20"/>
      <w:szCs w:val="20"/>
    </w:rPr>
  </w:style>
  <w:style w:type="paragraph" w:customStyle="1" w:styleId="51">
    <w:name w:val="正文_1"/>
    <w:basedOn w:val="36"/>
    <w:next w:val="5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3_0"/>
    <w:next w:val="5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文本_2_0"/>
    <w:basedOn w:val="52"/>
    <w:autoRedefine/>
    <w:qFormat/>
    <w:uiPriority w:val="0"/>
    <w:pPr>
      <w:spacing w:after="120"/>
    </w:pPr>
  </w:style>
  <w:style w:type="paragraph" w:customStyle="1" w:styleId="5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0"/>
    <w:autoRedefine/>
    <w:qFormat/>
    <w:uiPriority w:val="0"/>
    <w:rPr>
      <w:rFonts w:ascii="黑体" w:hAnsi="黑体" w:eastAsia="黑体" w:cs="Times New Roman"/>
      <w:b/>
      <w:sz w:val="32"/>
      <w:szCs w:val="24"/>
      <w:lang w:bidi="ar-SA"/>
    </w:rPr>
  </w:style>
  <w:style w:type="paragraph" w:customStyle="1" w:styleId="56">
    <w:name w:val="日期_0"/>
    <w:basedOn w:val="57"/>
    <w:next w:val="57"/>
    <w:autoRedefine/>
    <w:qFormat/>
    <w:uiPriority w:val="0"/>
    <w:pPr>
      <w:ind w:left="100" w:leftChars="2500"/>
    </w:pPr>
    <w:rPr>
      <w:kern w:val="0"/>
      <w:sz w:val="20"/>
    </w:rPr>
  </w:style>
  <w:style w:type="paragraph" w:customStyle="1" w:styleId="5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UserStyle_42"/>
    <w:basedOn w:val="59"/>
    <w:next w:val="59"/>
    <w:autoRedefine/>
    <w:qFormat/>
    <w:uiPriority w:val="0"/>
    <w:pPr>
      <w:spacing w:line="500" w:lineRule="exact"/>
      <w:jc w:val="center"/>
      <w:textAlignment w:val="baseline"/>
    </w:pPr>
    <w:rPr>
      <w:rFonts w:ascii="宋体" w:hAnsi="宋体"/>
      <w:b/>
      <w:kern w:val="0"/>
      <w:sz w:val="28"/>
      <w:szCs w:val="28"/>
      <w:lang w:bidi="ar-SA"/>
    </w:rPr>
  </w:style>
  <w:style w:type="paragraph" w:customStyle="1" w:styleId="59">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0">
    <w:name w:val="UserStyle_45"/>
    <w:basedOn w:val="61"/>
    <w:autoRedefine/>
    <w:qFormat/>
    <w:uiPriority w:val="0"/>
    <w:pPr>
      <w:spacing w:after="120"/>
      <w:jc w:val="both"/>
      <w:textAlignment w:val="baseline"/>
    </w:pPr>
    <w:rPr>
      <w:kern w:val="0"/>
      <w:sz w:val="20"/>
      <w:szCs w:val="24"/>
      <w:lang w:val="en-US" w:eastAsia="zh-CN" w:bidi="ar-SA"/>
    </w:rPr>
  </w:style>
  <w:style w:type="paragraph" w:customStyle="1" w:styleId="61">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2">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Table Paragraph"/>
    <w:basedOn w:val="1"/>
    <w:autoRedefine/>
    <w:qFormat/>
    <w:uiPriority w:val="1"/>
    <w:pPr>
      <w:autoSpaceDE w:val="0"/>
      <w:autoSpaceDN w:val="0"/>
      <w:adjustRightInd w:val="0"/>
      <w:jc w:val="left"/>
    </w:pPr>
    <w:rPr>
      <w:kern w:val="0"/>
      <w:sz w:val="24"/>
      <w:szCs w:val="24"/>
    </w:rPr>
  </w:style>
  <w:style w:type="paragraph" w:customStyle="1" w:styleId="64">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6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Normal_12"/>
    <w:autoRedefine/>
    <w:qFormat/>
    <w:uiPriority w:val="0"/>
    <w:rPr>
      <w:rFonts w:ascii="黑体" w:hAnsi="黑体" w:eastAsia="黑体" w:cs="Times New Roman"/>
      <w:b/>
      <w:sz w:val="32"/>
      <w:szCs w:val="24"/>
      <w:lang w:bidi="ar-SA"/>
    </w:rPr>
  </w:style>
  <w:style w:type="paragraph" w:customStyle="1" w:styleId="68">
    <w:name w:val="正文文本缩进_2"/>
    <w:basedOn w:val="69"/>
    <w:autoRedefine/>
    <w:qFormat/>
    <w:uiPriority w:val="0"/>
    <w:pPr>
      <w:spacing w:line="500" w:lineRule="exact"/>
      <w:ind w:left="1588" w:leftChars="832" w:firstLine="433" w:firstLineChars="196"/>
    </w:pPr>
    <w:rPr>
      <w:kern w:val="0"/>
      <w:sz w:val="24"/>
    </w:rPr>
  </w:style>
  <w:style w:type="paragraph" w:customStyle="1" w:styleId="69">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Normal_9"/>
    <w:autoRedefine/>
    <w:qFormat/>
    <w:uiPriority w:val="0"/>
    <w:rPr>
      <w:rFonts w:ascii="黑体" w:hAnsi="黑体" w:eastAsia="黑体" w:cs="Times New Roman"/>
      <w:b/>
      <w:sz w:val="32"/>
      <w:szCs w:val="24"/>
      <w:lang w:bidi="ar-SA"/>
    </w:rPr>
  </w:style>
  <w:style w:type="paragraph" w:customStyle="1" w:styleId="72">
    <w:name w:val="Normal_17"/>
    <w:autoRedefine/>
    <w:qFormat/>
    <w:uiPriority w:val="0"/>
    <w:rPr>
      <w:rFonts w:ascii="黑体" w:hAnsi="黑体" w:eastAsia="黑体" w:cs="Times New Roman"/>
      <w:b/>
      <w:sz w:val="32"/>
      <w:szCs w:val="24"/>
      <w:lang w:bidi="ar-SA"/>
    </w:rPr>
  </w:style>
  <w:style w:type="paragraph" w:customStyle="1" w:styleId="73">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文本缩进_4"/>
    <w:basedOn w:val="73"/>
    <w:autoRedefine/>
    <w:qFormat/>
    <w:uiPriority w:val="0"/>
    <w:pPr>
      <w:spacing w:line="500" w:lineRule="exact"/>
      <w:ind w:left="1588" w:leftChars="832" w:firstLine="433" w:firstLineChars="196"/>
    </w:pPr>
    <w:rPr>
      <w:kern w:val="0"/>
      <w:sz w:val="24"/>
    </w:rPr>
  </w:style>
  <w:style w:type="paragraph" w:customStyle="1" w:styleId="75">
    <w:name w:val="题注_0"/>
    <w:basedOn w:val="73"/>
    <w:next w:val="73"/>
    <w:autoRedefine/>
    <w:qFormat/>
    <w:uiPriority w:val="0"/>
    <w:pPr>
      <w:spacing w:before="152" w:after="160"/>
    </w:pPr>
    <w:rPr>
      <w:rFonts w:ascii="Arial" w:hAnsi="Arial" w:eastAsia="黑体" w:cs="Arial"/>
      <w:sz w:val="20"/>
      <w:szCs w:val="20"/>
    </w:rPr>
  </w:style>
  <w:style w:type="paragraph" w:customStyle="1" w:styleId="76">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77">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78">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79">
    <w:name w:val="List Paragraph"/>
    <w:basedOn w:val="1"/>
    <w:autoRedefine/>
    <w:unhideWhenUsed/>
    <w:qFormat/>
    <w:uiPriority w:val="99"/>
    <w:pPr>
      <w:ind w:firstLine="420" w:firstLineChars="200"/>
    </w:pPr>
  </w:style>
  <w:style w:type="paragraph" w:customStyle="1" w:styleId="80">
    <w:name w:val="默认"/>
    <w:autoRedefine/>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Neue"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2024-03-19T06:55:00Z</dcterms:created>
  <dc:creator>马琴琴琴琴琴</dc:creator>
  <cp:lastModifiedBy>马琴</cp:lastModifiedBy>
  <dcterms:modified xsi:type="dcterms:W3CDTF">2024-03-20T05:27:45Z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243A7041C4F74A55AAA67E91077D4823_11</vt:lpwstr>
  </property>
</Properties>
</file>