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278" w:type="dxa"/>
        <w:jc w:val="center"/>
        <w:tblLayout w:type="fixed"/>
        <w:tblCellMar>
          <w:top w:w="15" w:type="dxa"/>
          <w:left w:w="15" w:type="dxa"/>
          <w:bottom w:w="15" w:type="dxa"/>
          <w:right w:w="15" w:type="dxa"/>
        </w:tblCellMar>
      </w:tblPr>
      <w:tblGrid>
        <w:gridCol w:w="10278"/>
      </w:tblGrid>
      <w:tr>
        <w:tblPrEx>
          <w:tblCellMar>
            <w:top w:w="15" w:type="dxa"/>
            <w:left w:w="15" w:type="dxa"/>
            <w:bottom w:w="15" w:type="dxa"/>
            <w:right w:w="15" w:type="dxa"/>
          </w:tblCellMar>
        </w:tblPrEx>
        <w:trPr>
          <w:trHeight w:val="689" w:hRule="atLeast"/>
          <w:jc w:val="center"/>
        </w:trPr>
        <w:tc>
          <w:tcPr>
            <w:tcW w:w="10278" w:type="dxa"/>
            <w:noWrap w:val="0"/>
            <w:vAlign w:val="center"/>
          </w:tcPr>
          <w:p>
            <w:pPr>
              <w:widowControl/>
              <w:jc w:val="center"/>
              <w:textAlignment w:val="center"/>
              <w:rPr>
                <w:rFonts w:hint="eastAsia" w:ascii="宋体" w:hAnsi="宋体" w:cs="宋体"/>
                <w:b/>
                <w:color w:val="000000"/>
                <w:sz w:val="44"/>
                <w:szCs w:val="44"/>
              </w:rPr>
            </w:pPr>
            <w:r>
              <w:rPr>
                <w:rFonts w:hint="eastAsia" w:ascii="宋体" w:hAnsi="宋体" w:cs="宋体"/>
                <w:b/>
                <w:color w:val="000000"/>
                <w:kern w:val="0"/>
                <w:sz w:val="44"/>
                <w:szCs w:val="44"/>
                <w:lang w:bidi="ar"/>
              </w:rPr>
              <w:t>总</w:t>
            </w:r>
            <w:r>
              <w:rPr>
                <w:rStyle w:val="4"/>
                <w:lang w:bidi="ar"/>
              </w:rPr>
              <w:t xml:space="preserve">  </w:t>
            </w:r>
            <w:r>
              <w:rPr>
                <w:rStyle w:val="5"/>
                <w:rFonts w:hint="default"/>
                <w:lang w:bidi="ar"/>
              </w:rPr>
              <w:t>　说　</w:t>
            </w:r>
            <w:r>
              <w:rPr>
                <w:rStyle w:val="4"/>
                <w:lang w:bidi="ar"/>
              </w:rPr>
              <w:t xml:space="preserve"> </w:t>
            </w:r>
            <w:r>
              <w:rPr>
                <w:rStyle w:val="5"/>
                <w:rFonts w:hint="default"/>
                <w:lang w:bidi="ar"/>
              </w:rPr>
              <w:t>明</w:t>
            </w:r>
          </w:p>
        </w:tc>
      </w:tr>
      <w:tr>
        <w:tblPrEx>
          <w:tblCellMar>
            <w:top w:w="15" w:type="dxa"/>
            <w:left w:w="15" w:type="dxa"/>
            <w:bottom w:w="15" w:type="dxa"/>
            <w:right w:w="15" w:type="dxa"/>
          </w:tblCellMar>
        </w:tblPrEx>
        <w:trPr>
          <w:trHeight w:val="460" w:hRule="atLeast"/>
          <w:jc w:val="center"/>
        </w:trPr>
        <w:tc>
          <w:tcPr>
            <w:tcW w:w="10278" w:type="dxa"/>
            <w:noWrap w:val="0"/>
            <w:vAlign w:val="center"/>
          </w:tcPr>
          <w:p>
            <w:pPr>
              <w:jc w:val="both"/>
              <w:rPr>
                <w:rFonts w:hint="eastAsia" w:cs="Tahoma"/>
                <w:bCs/>
                <w:szCs w:val="21"/>
              </w:rPr>
            </w:pPr>
            <w:r>
              <w:rPr>
                <w:rFonts w:hint="eastAsia" w:cs="Tahoma"/>
                <w:bCs/>
                <w:szCs w:val="21"/>
              </w:rPr>
              <w:t>项目名称：尉犁县2024年中央财政林业草原生态保护恢复资金建设（森林保护修复-国家级公益林区）胡杨林生态补水项目</w:t>
            </w:r>
          </w:p>
          <w:p>
            <w:pPr>
              <w:rPr>
                <w:sz w:val="24"/>
              </w:rPr>
            </w:pPr>
          </w:p>
        </w:tc>
      </w:tr>
      <w:tr>
        <w:tblPrEx>
          <w:tblCellMar>
            <w:top w:w="15" w:type="dxa"/>
            <w:left w:w="15" w:type="dxa"/>
            <w:bottom w:w="15" w:type="dxa"/>
            <w:right w:w="15" w:type="dxa"/>
          </w:tblCellMar>
        </w:tblPrEx>
        <w:trPr>
          <w:trHeight w:val="695" w:hRule="atLeast"/>
          <w:jc w:val="center"/>
        </w:trPr>
        <w:tc>
          <w:tcPr>
            <w:tcW w:w="10278" w:type="dxa"/>
            <w:tcBorders>
              <w:top w:val="single" w:color="000000" w:sz="12" w:space="0"/>
              <w:left w:val="single" w:color="000000" w:sz="12" w:space="0"/>
              <w:right w:val="single" w:color="000000" w:sz="12" w:space="0"/>
            </w:tcBorders>
            <w:shd w:val="clear" w:color="auto" w:fill="FFFFFF"/>
            <w:noWrap w:val="0"/>
            <w:vAlign w:val="center"/>
          </w:tcPr>
          <w:p>
            <w:pPr>
              <w:spacing w:line="560" w:lineRule="exact"/>
              <w:ind w:firstLine="420" w:firstLineChars="200"/>
              <w:rPr>
                <w:rFonts w:hint="eastAsia" w:cs="Tahoma"/>
                <w:bCs/>
                <w:szCs w:val="21"/>
              </w:rPr>
            </w:pPr>
            <w:r>
              <w:rPr>
                <w:rFonts w:hint="eastAsia" w:cs="Tahoma"/>
                <w:bCs/>
                <w:szCs w:val="21"/>
              </w:rPr>
              <w:t>一、工程概况：尉犁县2024年中央财政林业草原生态保护恢复资金建设（森林保护修复-国家级公益林区）胡杨林生态补水项目</w:t>
            </w:r>
            <w:r>
              <w:rPr>
                <w:rFonts w:hint="eastAsia" w:cs="Tahoma"/>
                <w:bCs/>
                <w:szCs w:val="21"/>
                <w:lang w:eastAsia="zh-CN"/>
              </w:rPr>
              <w:t>。</w:t>
            </w:r>
            <w:r>
              <w:rPr>
                <w:rFonts w:hint="eastAsia" w:cs="Tahoma"/>
                <w:bCs/>
                <w:szCs w:val="21"/>
              </w:rPr>
              <w:t xml:space="preserve"> 项目位于尉犁县</w:t>
            </w:r>
          </w:p>
        </w:tc>
      </w:tr>
      <w:tr>
        <w:tblPrEx>
          <w:tblCellMar>
            <w:top w:w="15" w:type="dxa"/>
            <w:left w:w="15" w:type="dxa"/>
            <w:bottom w:w="15" w:type="dxa"/>
            <w:right w:w="15" w:type="dxa"/>
          </w:tblCellMar>
        </w:tblPrEx>
        <w:trPr>
          <w:trHeight w:val="701" w:hRule="atLeast"/>
          <w:jc w:val="center"/>
        </w:trPr>
        <w:tc>
          <w:tcPr>
            <w:tcW w:w="10278" w:type="dxa"/>
            <w:tcBorders>
              <w:left w:val="single" w:color="000000" w:sz="12" w:space="0"/>
              <w:right w:val="single" w:color="000000" w:sz="12" w:space="0"/>
            </w:tcBorders>
            <w:noWrap w:val="0"/>
            <w:vAlign w:val="center"/>
          </w:tcPr>
          <w:p>
            <w:pPr>
              <w:spacing w:line="560" w:lineRule="exact"/>
              <w:ind w:firstLine="420" w:firstLineChars="200"/>
              <w:rPr>
                <w:rFonts w:hint="eastAsia" w:cs="Tahoma"/>
                <w:bCs/>
                <w:szCs w:val="21"/>
              </w:rPr>
            </w:pPr>
            <w:r>
              <w:rPr>
                <w:rFonts w:hint="eastAsia" w:cs="Tahoma"/>
                <w:bCs/>
                <w:szCs w:val="21"/>
              </w:rPr>
              <w:t>二、工程量清单编制范围：</w:t>
            </w:r>
            <w:r>
              <w:rPr>
                <w:rFonts w:hint="eastAsia" w:cs="Tahoma"/>
                <w:bCs/>
                <w:szCs w:val="21"/>
                <w:lang w:val="en-US" w:eastAsia="zh-CN"/>
              </w:rPr>
              <w:t>尉犁县2024年中央财政林业草原生态保护恢复资金建设（森林保护修复-国家级公益林区）胡杨林生态补水项目</w:t>
            </w:r>
            <w:r>
              <w:rPr>
                <w:rFonts w:hint="eastAsia" w:cs="Tahoma"/>
                <w:bCs/>
                <w:szCs w:val="21"/>
              </w:rPr>
              <w:t>,由建设单位提供设计图，本标段主要内容为为：</w:t>
            </w:r>
            <w:r>
              <w:rPr>
                <w:rFonts w:hint="eastAsia" w:cs="Tahoma"/>
                <w:bCs/>
                <w:szCs w:val="21"/>
                <w:lang w:val="en-US" w:eastAsia="zh-CN"/>
              </w:rPr>
              <w:t>塔里木河5个区清淤疏浚河道36.99KM 及配套项目</w:t>
            </w:r>
            <w:r>
              <w:rPr>
                <w:rFonts w:hint="eastAsia" w:cs="Tahoma"/>
                <w:bCs/>
                <w:szCs w:val="21"/>
              </w:rPr>
              <w:t>，建设单位为</w:t>
            </w:r>
            <w:r>
              <w:rPr>
                <w:rFonts w:hint="eastAsia" w:cs="Tahoma"/>
                <w:bCs/>
                <w:szCs w:val="21"/>
                <w:lang w:val="en-US" w:eastAsia="zh-CN"/>
              </w:rPr>
              <w:t>尉犁县林业和草原局</w:t>
            </w:r>
            <w:r>
              <w:rPr>
                <w:rFonts w:hint="eastAsia" w:cs="Tahoma"/>
                <w:bCs/>
                <w:szCs w:val="21"/>
                <w:lang w:eastAsia="zh-CN"/>
              </w:rPr>
              <w:t>。</w:t>
            </w:r>
            <w:r>
              <w:rPr>
                <w:rFonts w:hint="eastAsia" w:cs="Tahoma"/>
                <w:bCs/>
                <w:szCs w:val="21"/>
              </w:rPr>
              <w:t>工期按实际合同签订日期为准。投标人应与投标人须知、合同通用和专用条款、招标图纸及图纸疑问回复等一并仔细阅读与理解。具体内容以工程量清单为准。</w:t>
            </w:r>
          </w:p>
        </w:tc>
      </w:tr>
      <w:tr>
        <w:tblPrEx>
          <w:tblCellMar>
            <w:top w:w="15" w:type="dxa"/>
            <w:left w:w="15" w:type="dxa"/>
            <w:bottom w:w="15" w:type="dxa"/>
            <w:right w:w="15" w:type="dxa"/>
          </w:tblCellMar>
        </w:tblPrEx>
        <w:trPr>
          <w:trHeight w:val="1763" w:hRule="atLeast"/>
          <w:jc w:val="center"/>
        </w:trPr>
        <w:tc>
          <w:tcPr>
            <w:tcW w:w="10278" w:type="dxa"/>
            <w:tcBorders>
              <w:left w:val="single" w:color="000000" w:sz="12" w:space="0"/>
              <w:right w:val="single" w:color="000000" w:sz="12" w:space="0"/>
            </w:tcBorders>
            <w:noWrap w:val="0"/>
            <w:vAlign w:val="center"/>
          </w:tcPr>
          <w:p>
            <w:pPr>
              <w:spacing w:line="560" w:lineRule="exact"/>
              <w:ind w:firstLine="420" w:firstLineChars="200"/>
              <w:rPr>
                <w:rFonts w:hint="eastAsia" w:cs="Tahoma"/>
                <w:bCs/>
                <w:szCs w:val="21"/>
              </w:rPr>
            </w:pPr>
            <w:r>
              <w:rPr>
                <w:rFonts w:hint="eastAsia" w:cs="Tahoma"/>
                <w:bCs/>
                <w:szCs w:val="21"/>
              </w:rPr>
              <w:t>三、清单编制依据：本工程量清单；按照《水利工程工程量计算规范》GB 50501-2007及相关解释和勘误。、办水总[2016]132号“水利部办公厅关于印发《水利工程营业税改征增值税计价依据调整办法》的通知”“巴建发【2018】28号转发《关于实施建筑业增值税新税率调整建设工程计价依据的通知》的通知”“巴建设【2019】4号关于调整我州建设工程计价依据增值税税率的通知”</w:t>
            </w:r>
          </w:p>
        </w:tc>
      </w:tr>
      <w:tr>
        <w:tblPrEx>
          <w:tblCellMar>
            <w:top w:w="15" w:type="dxa"/>
            <w:left w:w="15" w:type="dxa"/>
            <w:bottom w:w="15" w:type="dxa"/>
            <w:right w:w="15" w:type="dxa"/>
          </w:tblCellMar>
        </w:tblPrEx>
        <w:trPr>
          <w:trHeight w:val="360" w:hRule="atLeast"/>
          <w:jc w:val="center"/>
        </w:trPr>
        <w:tc>
          <w:tcPr>
            <w:tcW w:w="10278" w:type="dxa"/>
            <w:tcBorders>
              <w:left w:val="single" w:color="000000" w:sz="12" w:space="0"/>
              <w:right w:val="single" w:color="000000" w:sz="12" w:space="0"/>
            </w:tcBorders>
            <w:noWrap w:val="0"/>
            <w:vAlign w:val="center"/>
          </w:tcPr>
          <w:p>
            <w:pPr>
              <w:spacing w:line="560" w:lineRule="exact"/>
              <w:ind w:firstLine="420" w:firstLineChars="200"/>
              <w:rPr>
                <w:rFonts w:hint="eastAsia" w:cs="Tahoma"/>
                <w:bCs/>
                <w:szCs w:val="21"/>
              </w:rPr>
            </w:pPr>
            <w:r>
              <w:rPr>
                <w:rFonts w:hint="eastAsia" w:cs="Tahoma"/>
                <w:bCs/>
                <w:szCs w:val="21"/>
              </w:rPr>
              <w:t>四、工程质量要求为合格。</w:t>
            </w:r>
          </w:p>
        </w:tc>
      </w:tr>
      <w:tr>
        <w:tblPrEx>
          <w:tblCellMar>
            <w:top w:w="15" w:type="dxa"/>
            <w:left w:w="15" w:type="dxa"/>
            <w:bottom w:w="15" w:type="dxa"/>
            <w:right w:w="15" w:type="dxa"/>
          </w:tblCellMar>
        </w:tblPrEx>
        <w:trPr>
          <w:trHeight w:val="360" w:hRule="atLeast"/>
          <w:jc w:val="center"/>
        </w:trPr>
        <w:tc>
          <w:tcPr>
            <w:tcW w:w="10278" w:type="dxa"/>
            <w:tcBorders>
              <w:left w:val="single" w:color="000000" w:sz="12" w:space="0"/>
              <w:right w:val="single" w:color="000000" w:sz="12" w:space="0"/>
            </w:tcBorders>
            <w:noWrap w:val="0"/>
            <w:vAlign w:val="center"/>
          </w:tcPr>
          <w:p>
            <w:pPr>
              <w:spacing w:line="560" w:lineRule="exact"/>
              <w:ind w:firstLine="420" w:firstLineChars="200"/>
              <w:rPr>
                <w:rFonts w:hint="eastAsia" w:cs="Tahoma"/>
                <w:bCs/>
                <w:szCs w:val="21"/>
              </w:rPr>
            </w:pPr>
          </w:p>
        </w:tc>
      </w:tr>
      <w:tr>
        <w:tblPrEx>
          <w:tblCellMar>
            <w:top w:w="15" w:type="dxa"/>
            <w:left w:w="15" w:type="dxa"/>
            <w:bottom w:w="15" w:type="dxa"/>
            <w:right w:w="15" w:type="dxa"/>
          </w:tblCellMar>
        </w:tblPrEx>
        <w:trPr>
          <w:trHeight w:val="689" w:hRule="atLeast"/>
          <w:jc w:val="center"/>
        </w:trPr>
        <w:tc>
          <w:tcPr>
            <w:tcW w:w="10278" w:type="dxa"/>
            <w:tcBorders>
              <w:left w:val="single" w:color="000000" w:sz="12" w:space="0"/>
              <w:right w:val="single" w:color="000000" w:sz="12" w:space="0"/>
            </w:tcBorders>
            <w:noWrap w:val="0"/>
            <w:vAlign w:val="center"/>
          </w:tcPr>
          <w:p>
            <w:pPr>
              <w:spacing w:line="560" w:lineRule="exact"/>
              <w:ind w:firstLine="420" w:firstLineChars="200"/>
              <w:rPr>
                <w:rFonts w:hint="eastAsia" w:cs="Tahoma"/>
                <w:bCs/>
                <w:szCs w:val="21"/>
              </w:rPr>
            </w:pPr>
            <w:r>
              <w:rPr>
                <w:rFonts w:hint="eastAsia" w:cs="Tahoma"/>
                <w:bCs/>
                <w:szCs w:val="21"/>
              </w:rPr>
              <w:t>五、招标人提供的分部分项工程量清单，是投标人投标报价的基础；投标人投标报价时应综合考虑为完成投标人填写的分部分项工程量清单综合单价、措施性费用，作为签订合同、拨付工程进度款和竣工结算的依据。</w:t>
            </w:r>
          </w:p>
          <w:p>
            <w:pPr>
              <w:spacing w:line="560" w:lineRule="exact"/>
              <w:ind w:firstLine="420" w:firstLineChars="200"/>
              <w:rPr>
                <w:rFonts w:hint="eastAsia" w:cs="Tahoma"/>
                <w:bCs/>
                <w:szCs w:val="21"/>
              </w:rPr>
            </w:pPr>
          </w:p>
          <w:p>
            <w:pPr>
              <w:spacing w:line="560" w:lineRule="exact"/>
              <w:ind w:firstLine="420" w:firstLineChars="200"/>
              <w:rPr>
                <w:rFonts w:hint="eastAsia" w:cs="Tahoma"/>
                <w:bCs/>
                <w:szCs w:val="21"/>
              </w:rPr>
            </w:pPr>
            <w:r>
              <w:rPr>
                <w:rFonts w:hint="eastAsia" w:cs="Tahoma"/>
                <w:bCs/>
                <w:szCs w:val="21"/>
              </w:rPr>
              <w:t>六、措施项目清单及通用项目措施费，各投标单位可根据自身实际情况结合工地现场条件、企业管理水平等因素补充列入其他措施项。 投标人在措施项目中未列入的项目，均认为已被投标人计入了分部分项工程量清单报价中。结算时不予调整。安全文明施工费包含在各项单价中。</w:t>
            </w:r>
          </w:p>
        </w:tc>
      </w:tr>
      <w:tr>
        <w:tblPrEx>
          <w:tblCellMar>
            <w:top w:w="15" w:type="dxa"/>
            <w:left w:w="15" w:type="dxa"/>
            <w:bottom w:w="15" w:type="dxa"/>
            <w:right w:w="15" w:type="dxa"/>
          </w:tblCellMar>
        </w:tblPrEx>
        <w:trPr>
          <w:trHeight w:val="1347" w:hRule="atLeast"/>
          <w:jc w:val="center"/>
        </w:trPr>
        <w:tc>
          <w:tcPr>
            <w:tcW w:w="10278" w:type="dxa"/>
            <w:tcBorders>
              <w:left w:val="single" w:color="000000" w:sz="12" w:space="0"/>
              <w:right w:val="single" w:color="000000" w:sz="12" w:space="0"/>
            </w:tcBorders>
            <w:noWrap w:val="0"/>
            <w:vAlign w:val="center"/>
          </w:tcPr>
          <w:p>
            <w:pPr>
              <w:ind w:left="1155" w:hanging="1155" w:hangingChars="550"/>
              <w:rPr>
                <w:rFonts w:hint="eastAsia" w:cs="Tahoma"/>
                <w:bCs/>
                <w:szCs w:val="21"/>
              </w:rPr>
            </w:pPr>
            <w:r>
              <w:rPr>
                <w:rFonts w:hint="eastAsia" w:cs="Tahoma"/>
                <w:bCs/>
                <w:szCs w:val="21"/>
              </w:rPr>
              <w:t>七、本项目备用金</w:t>
            </w:r>
            <w:r>
              <w:rPr>
                <w:rFonts w:hint="eastAsia" w:cs="Tahoma"/>
                <w:bCs/>
                <w:szCs w:val="21"/>
                <w:lang w:val="en-US" w:eastAsia="zh-CN"/>
              </w:rPr>
              <w:t>2万元</w:t>
            </w:r>
            <w:r>
              <w:rPr>
                <w:rFonts w:hint="eastAsia" w:cs="Tahoma"/>
                <w:bCs/>
                <w:szCs w:val="21"/>
              </w:rPr>
              <w:t>，备</w:t>
            </w:r>
            <w:bookmarkStart w:id="0" w:name="_GoBack"/>
            <w:bookmarkEnd w:id="0"/>
            <w:r>
              <w:rPr>
                <w:rFonts w:hint="eastAsia" w:cs="Tahoma"/>
                <w:bCs/>
                <w:szCs w:val="21"/>
              </w:rPr>
              <w:t>用金不得调整和取消；备用金是招标人在工程量清单中暂定并包括在合同价款中的一笔款项。用于施工合同签订时尚未确定或者不可预见的费用。</w:t>
            </w:r>
          </w:p>
        </w:tc>
      </w:tr>
      <w:tr>
        <w:tblPrEx>
          <w:tblCellMar>
            <w:top w:w="15" w:type="dxa"/>
            <w:left w:w="15" w:type="dxa"/>
            <w:bottom w:w="15" w:type="dxa"/>
            <w:right w:w="15" w:type="dxa"/>
          </w:tblCellMar>
        </w:tblPrEx>
        <w:trPr>
          <w:trHeight w:val="689" w:hRule="atLeast"/>
          <w:jc w:val="center"/>
        </w:trPr>
        <w:tc>
          <w:tcPr>
            <w:tcW w:w="10278" w:type="dxa"/>
            <w:tcBorders>
              <w:left w:val="single" w:color="000000" w:sz="12" w:space="0"/>
              <w:right w:val="single" w:color="000000" w:sz="12" w:space="0"/>
            </w:tcBorders>
            <w:noWrap w:val="0"/>
            <w:vAlign w:val="center"/>
          </w:tcPr>
          <w:p>
            <w:pPr>
              <w:ind w:left="1155" w:hanging="1155" w:hangingChars="550"/>
              <w:rPr>
                <w:rFonts w:hint="eastAsia" w:cs="Tahoma"/>
                <w:bCs/>
                <w:szCs w:val="21"/>
              </w:rPr>
            </w:pPr>
            <w:r>
              <w:rPr>
                <w:rFonts w:hint="eastAsia" w:cs="Tahoma"/>
                <w:bCs/>
                <w:szCs w:val="21"/>
              </w:rPr>
              <w:t>八、分部分项工程量清单项目中，分项清单必须分析。投标人结合企业成本管理水平，按附表格式做出详细的综合单价分析。</w:t>
            </w:r>
          </w:p>
        </w:tc>
      </w:tr>
      <w:tr>
        <w:tblPrEx>
          <w:tblCellMar>
            <w:top w:w="15" w:type="dxa"/>
            <w:left w:w="15" w:type="dxa"/>
            <w:bottom w:w="15" w:type="dxa"/>
            <w:right w:w="15" w:type="dxa"/>
          </w:tblCellMar>
        </w:tblPrEx>
        <w:trPr>
          <w:trHeight w:val="1018" w:hRule="atLeast"/>
          <w:jc w:val="center"/>
        </w:trPr>
        <w:tc>
          <w:tcPr>
            <w:tcW w:w="10278" w:type="dxa"/>
            <w:tcBorders>
              <w:left w:val="single" w:color="000000" w:sz="12" w:space="0"/>
              <w:right w:val="single" w:color="000000" w:sz="12" w:space="0"/>
            </w:tcBorders>
            <w:noWrap w:val="0"/>
            <w:vAlign w:val="center"/>
          </w:tcPr>
          <w:p>
            <w:pPr>
              <w:ind w:left="1155" w:hanging="1155" w:hangingChars="550"/>
              <w:rPr>
                <w:rFonts w:hint="eastAsia" w:cs="Tahoma"/>
                <w:bCs/>
                <w:szCs w:val="21"/>
              </w:rPr>
            </w:pPr>
            <w:r>
              <w:rPr>
                <w:rFonts w:hint="eastAsia" w:cs="Tahoma"/>
                <w:bCs/>
                <w:szCs w:val="21"/>
              </w:rPr>
              <w:t>九、单价及总额价（价格）应全部以人民币表示。</w:t>
            </w:r>
          </w:p>
          <w:p>
            <w:pPr>
              <w:ind w:left="1155" w:hanging="1155" w:hangingChars="550"/>
              <w:rPr>
                <w:rFonts w:hint="eastAsia" w:cs="Tahoma"/>
                <w:bCs/>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wZTIxMWI3NmU3OWM5NTk0Yjk4NTc5ZTdkYzMzNTcifQ=="/>
  </w:docVars>
  <w:rsids>
    <w:rsidRoot w:val="00000000"/>
    <w:rsid w:val="022A4924"/>
    <w:rsid w:val="0BE12940"/>
    <w:rsid w:val="179B150A"/>
    <w:rsid w:val="2C575BF4"/>
    <w:rsid w:val="31A94E1B"/>
    <w:rsid w:val="34422A8F"/>
    <w:rsid w:val="3CF95E7B"/>
    <w:rsid w:val="40E10560"/>
    <w:rsid w:val="455E50F9"/>
    <w:rsid w:val="4C2D60AD"/>
    <w:rsid w:val="572A0D69"/>
    <w:rsid w:val="57724EEE"/>
    <w:rsid w:val="5E4D172A"/>
    <w:rsid w:val="643656BB"/>
    <w:rsid w:val="656B4880"/>
    <w:rsid w:val="6784756C"/>
    <w:rsid w:val="76E210A8"/>
    <w:rsid w:val="77834BD5"/>
    <w:rsid w:val="796463B9"/>
    <w:rsid w:val="7D632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customStyle="1" w:styleId="4">
    <w:name w:val="font31"/>
    <w:autoRedefine/>
    <w:qFormat/>
    <w:uiPriority w:val="0"/>
    <w:rPr>
      <w:rFonts w:hint="default" w:ascii="Times New Roman" w:hAnsi="Times New Roman" w:cs="Times New Roman"/>
      <w:b/>
      <w:color w:val="000000"/>
      <w:sz w:val="44"/>
      <w:szCs w:val="44"/>
      <w:u w:val="none"/>
    </w:rPr>
  </w:style>
  <w:style w:type="character" w:customStyle="1" w:styleId="5">
    <w:name w:val="font51"/>
    <w:autoRedefine/>
    <w:qFormat/>
    <w:uiPriority w:val="0"/>
    <w:rPr>
      <w:rFonts w:hint="eastAsia" w:ascii="宋体" w:hAnsi="宋体" w:eastAsia="宋体" w:cs="宋体"/>
      <w:b/>
      <w:color w:val="000000"/>
      <w:sz w:val="44"/>
      <w:szCs w:val="4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848</Characters>
  <Lines>0</Lines>
  <Paragraphs>0</Paragraphs>
  <TotalTime>2</TotalTime>
  <ScaleCrop>false</ScaleCrop>
  <LinksUpToDate>false</LinksUpToDate>
  <CharactersWithSpaces>856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2023-07-24T14:18:00Z</dcterms:created>
  <dc:creator>DELL</dc:creator>
  <cp:lastModifiedBy>秦巧连</cp:lastModifiedBy>
  <dcterms:modified xsi:type="dcterms:W3CDTF">2024-04-23T08:06:57Z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2EBDA26C015E4F1FA7571EC3596CE115_12</vt:lpwstr>
  </property>
</Properties>
</file>