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43A70">
      <w:pPr>
        <w:pStyle w:val="8"/>
        <w:rPr>
          <w:rFonts w:hint="eastAsia" w:ascii="宋体" w:hAnsi="宋体" w:eastAsia="宋体" w:cs="宋体"/>
          <w:b/>
          <w:bCs/>
          <w:color w:val="auto"/>
          <w:sz w:val="52"/>
          <w:szCs w:val="52"/>
          <w:highlight w:val="none"/>
          <w:lang w:val="en-US" w:eastAsia="zh-CN"/>
        </w:rPr>
      </w:pPr>
    </w:p>
    <w:p w14:paraId="7D4C010C">
      <w:pPr>
        <w:rPr>
          <w:rFonts w:hint="eastAsia" w:ascii="宋体" w:hAnsi="宋体" w:eastAsia="宋体" w:cs="宋体"/>
          <w:color w:val="auto"/>
          <w:highlight w:val="none"/>
          <w:lang w:val="en-US" w:eastAsia="zh-CN"/>
        </w:rPr>
      </w:pPr>
    </w:p>
    <w:p w14:paraId="2422CD7C">
      <w:pPr>
        <w:keepLines w:val="0"/>
        <w:pageBreakBefore w:val="0"/>
        <w:kinsoku/>
        <w:wordWrap/>
        <w:overflowPunct/>
        <w:topLinePunct w:val="0"/>
        <w:bidi w:val="0"/>
        <w:spacing w:beforeAutospacing="0" w:afterAutospacing="0" w:line="240" w:lineRule="auto"/>
        <w:ind w:left="0" w:leftChars="0" w:right="0" w:rightChars="0" w:firstLine="0" w:firstLineChars="0"/>
        <w:jc w:val="center"/>
        <w:outlineLvl w:val="9"/>
        <w:rPr>
          <w:rFonts w:hint="eastAsia" w:ascii="宋体" w:hAnsi="宋体" w:eastAsia="宋体" w:cs="宋体"/>
          <w:b/>
          <w:caps w:val="0"/>
          <w:color w:val="auto"/>
          <w:spacing w:val="0"/>
          <w:w w:val="100"/>
          <w:position w:val="0"/>
          <w:sz w:val="84"/>
          <w:szCs w:val="84"/>
          <w:highlight w:val="none"/>
        </w:rPr>
      </w:pPr>
      <w:r>
        <w:rPr>
          <w:rFonts w:hint="eastAsia" w:ascii="宋体" w:hAnsi="宋体" w:eastAsia="宋体" w:cs="宋体"/>
          <w:b/>
          <w:caps w:val="0"/>
          <w:color w:val="auto"/>
          <w:spacing w:val="0"/>
          <w:w w:val="100"/>
          <w:position w:val="0"/>
          <w:sz w:val="84"/>
          <w:szCs w:val="84"/>
          <w:highlight w:val="none"/>
        </w:rPr>
        <w:t>竞争性</w:t>
      </w:r>
      <w:r>
        <w:rPr>
          <w:rFonts w:hint="eastAsia" w:ascii="宋体" w:hAnsi="宋体" w:eastAsia="宋体" w:cs="宋体"/>
          <w:b/>
          <w:caps w:val="0"/>
          <w:color w:val="auto"/>
          <w:spacing w:val="0"/>
          <w:w w:val="100"/>
          <w:position w:val="0"/>
          <w:sz w:val="84"/>
          <w:szCs w:val="84"/>
          <w:highlight w:val="none"/>
          <w:lang w:eastAsia="zh-CN"/>
        </w:rPr>
        <w:t>磋商</w:t>
      </w:r>
      <w:r>
        <w:rPr>
          <w:rFonts w:hint="eastAsia" w:ascii="宋体" w:hAnsi="宋体" w:eastAsia="宋体" w:cs="宋体"/>
          <w:b/>
          <w:caps w:val="0"/>
          <w:color w:val="auto"/>
          <w:spacing w:val="0"/>
          <w:w w:val="100"/>
          <w:position w:val="0"/>
          <w:sz w:val="84"/>
          <w:szCs w:val="84"/>
          <w:highlight w:val="none"/>
        </w:rPr>
        <w:t>文件</w:t>
      </w:r>
    </w:p>
    <w:p w14:paraId="75383B44">
      <w:pPr>
        <w:pStyle w:val="7"/>
        <w:rPr>
          <w:rFonts w:hint="eastAsia" w:ascii="宋体" w:hAnsi="宋体" w:eastAsia="宋体" w:cs="宋体"/>
          <w:b/>
          <w:bCs/>
          <w:color w:val="auto"/>
          <w:sz w:val="60"/>
          <w:szCs w:val="60"/>
          <w:highlight w:val="none"/>
        </w:rPr>
      </w:pPr>
    </w:p>
    <w:p w14:paraId="0552BEE7">
      <w:pPr>
        <w:rPr>
          <w:rFonts w:hint="eastAsia" w:ascii="宋体" w:hAnsi="宋体" w:eastAsia="宋体" w:cs="宋体"/>
          <w:b/>
          <w:bCs/>
          <w:color w:val="auto"/>
          <w:sz w:val="60"/>
          <w:szCs w:val="60"/>
          <w:highlight w:val="none"/>
        </w:rPr>
      </w:pPr>
    </w:p>
    <w:p w14:paraId="774FC04F">
      <w:pPr>
        <w:pStyle w:val="7"/>
        <w:rPr>
          <w:rFonts w:hint="eastAsia" w:ascii="宋体" w:hAnsi="宋体" w:eastAsia="宋体" w:cs="宋体"/>
          <w:b/>
          <w:bCs/>
          <w:color w:val="auto"/>
          <w:sz w:val="60"/>
          <w:szCs w:val="60"/>
          <w:highlight w:val="none"/>
        </w:rPr>
      </w:pPr>
    </w:p>
    <w:p w14:paraId="63BC72A4">
      <w:pPr>
        <w:rPr>
          <w:rFonts w:hint="eastAsia" w:ascii="宋体" w:hAnsi="宋体" w:eastAsia="宋体" w:cs="宋体"/>
          <w:b/>
          <w:bCs/>
          <w:color w:val="auto"/>
          <w:sz w:val="60"/>
          <w:szCs w:val="60"/>
          <w:highlight w:val="none"/>
        </w:rPr>
      </w:pPr>
    </w:p>
    <w:p w14:paraId="2774AE5F">
      <w:pPr>
        <w:pStyle w:val="7"/>
        <w:rPr>
          <w:rFonts w:hint="eastAsia" w:ascii="宋体" w:hAnsi="宋体" w:eastAsia="宋体" w:cs="宋体"/>
          <w:b/>
          <w:bCs/>
          <w:color w:val="auto"/>
          <w:sz w:val="60"/>
          <w:szCs w:val="60"/>
          <w:highlight w:val="none"/>
        </w:rPr>
      </w:pPr>
    </w:p>
    <w:p w14:paraId="0FF6B3CE">
      <w:pPr>
        <w:rPr>
          <w:rFonts w:hint="eastAsia" w:ascii="宋体" w:hAnsi="宋体" w:eastAsia="宋体" w:cs="宋体"/>
          <w:color w:val="auto"/>
          <w:highlight w:val="none"/>
        </w:rPr>
      </w:pPr>
    </w:p>
    <w:p w14:paraId="6C356813">
      <w:pPr>
        <w:pStyle w:val="29"/>
        <w:rPr>
          <w:rFonts w:hint="eastAsia" w:ascii="宋体" w:hAnsi="宋体" w:eastAsia="宋体" w:cs="宋体"/>
          <w:color w:val="auto"/>
          <w:sz w:val="28"/>
          <w:szCs w:val="28"/>
          <w:highlight w:val="none"/>
        </w:rPr>
      </w:pPr>
    </w:p>
    <w:p w14:paraId="0F09AEEE">
      <w:pPr>
        <w:tabs>
          <w:tab w:val="left" w:pos="3240"/>
          <w:tab w:val="left" w:pos="3420"/>
        </w:tabs>
        <w:spacing w:line="360" w:lineRule="auto"/>
        <w:ind w:left="2832" w:leftChars="444" w:hanging="1900" w:hangingChars="528"/>
        <w:jc w:val="left"/>
        <w:rPr>
          <w:rFonts w:hint="eastAsia" w:ascii="宋体" w:hAnsi="宋体" w:cs="宋体"/>
          <w:bCs/>
          <w:color w:val="auto"/>
          <w:sz w:val="36"/>
          <w:szCs w:val="36"/>
          <w:highlight w:val="none"/>
          <w:u w:val="single"/>
          <w:lang w:eastAsia="zh-CN"/>
        </w:rPr>
      </w:pPr>
      <w:r>
        <w:rPr>
          <w:rFonts w:hint="eastAsia" w:ascii="宋体" w:hAnsi="宋体" w:eastAsia="宋体" w:cs="宋体"/>
          <w:bCs/>
          <w:color w:val="auto"/>
          <w:sz w:val="36"/>
          <w:szCs w:val="36"/>
          <w:highlight w:val="none"/>
        </w:rPr>
        <w:t>项目名称：</w:t>
      </w:r>
      <w:r>
        <w:rPr>
          <w:rFonts w:hint="eastAsia" w:ascii="宋体" w:hAnsi="宋体" w:cs="宋体"/>
          <w:bCs/>
          <w:color w:val="auto"/>
          <w:sz w:val="36"/>
          <w:szCs w:val="36"/>
          <w:highlight w:val="none"/>
          <w:u w:val="single"/>
          <w:lang w:eastAsia="zh-CN"/>
        </w:rPr>
        <w:t xml:space="preserve"> 洛浦县恰尔巴格镇加依托格拉克村、阿依丁库勒村公益事业财政奖补项目(美丽乡村建设一公共照明)</w:t>
      </w:r>
    </w:p>
    <w:p w14:paraId="2976EAA5">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rPr>
        <w:t>项目编号：</w:t>
      </w:r>
      <w:r>
        <w:rPr>
          <w:rFonts w:hint="eastAsia" w:ascii="宋体" w:hAnsi="宋体" w:cs="宋体"/>
          <w:bCs/>
          <w:color w:val="auto"/>
          <w:sz w:val="36"/>
          <w:szCs w:val="36"/>
          <w:highlight w:val="none"/>
          <w:u w:val="single"/>
          <w:lang w:eastAsia="zh-CN"/>
        </w:rPr>
        <w:t>XJCY-2025-</w:t>
      </w:r>
      <w:bookmarkStart w:id="344" w:name="_GoBack"/>
      <w:bookmarkEnd w:id="344"/>
      <w:r>
        <w:rPr>
          <w:rFonts w:hint="eastAsia" w:ascii="宋体" w:hAnsi="宋体" w:cs="宋体"/>
          <w:bCs/>
          <w:color w:val="auto"/>
          <w:sz w:val="36"/>
          <w:szCs w:val="36"/>
          <w:highlight w:val="none"/>
          <w:u w:val="single"/>
          <w:lang w:eastAsia="zh-CN"/>
        </w:rPr>
        <w:t>CS-003</w:t>
      </w:r>
    </w:p>
    <w:p w14:paraId="785DD2CB">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rPr>
        <w:t>采购人：</w:t>
      </w:r>
      <w:r>
        <w:rPr>
          <w:rFonts w:hint="eastAsia" w:ascii="宋体" w:hAnsi="宋体" w:cs="宋体"/>
          <w:bCs/>
          <w:color w:val="auto"/>
          <w:sz w:val="36"/>
          <w:szCs w:val="36"/>
          <w:highlight w:val="none"/>
          <w:u w:val="single"/>
          <w:lang w:val="en-US" w:eastAsia="zh-CN"/>
        </w:rPr>
        <w:t>洛浦县恰尔巴格镇人民政府</w:t>
      </w:r>
    </w:p>
    <w:p w14:paraId="3BC6C969">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rPr>
        <w:t>采购代理机构：</w:t>
      </w:r>
      <w:r>
        <w:rPr>
          <w:rFonts w:hint="eastAsia" w:ascii="宋体" w:hAnsi="宋体" w:eastAsia="宋体" w:cs="宋体"/>
          <w:bCs/>
          <w:color w:val="auto"/>
          <w:sz w:val="36"/>
          <w:szCs w:val="36"/>
          <w:highlight w:val="none"/>
          <w:u w:val="single"/>
        </w:rPr>
        <w:t>新疆策源项目管理咨询有限公司</w:t>
      </w:r>
    </w:p>
    <w:p w14:paraId="27A0285A">
      <w:pPr>
        <w:autoSpaceDE w:val="0"/>
        <w:autoSpaceDN w:val="0"/>
        <w:jc w:val="center"/>
        <w:rPr>
          <w:rFonts w:hint="eastAsia" w:ascii="宋体" w:hAnsi="宋体" w:eastAsia="宋体" w:cs="宋体"/>
          <w:bCs/>
          <w:color w:val="auto"/>
          <w:sz w:val="44"/>
          <w:szCs w:val="44"/>
          <w:highlight w:val="none"/>
          <w:lang w:val="zh-CN"/>
        </w:rPr>
      </w:pPr>
    </w:p>
    <w:p w14:paraId="225742B8">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202</w:t>
      </w:r>
      <w:r>
        <w:rPr>
          <w:rFonts w:hint="eastAsia" w:ascii="宋体" w:hAnsi="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4</w:t>
      </w:r>
      <w:r>
        <w:rPr>
          <w:rFonts w:hint="eastAsia" w:ascii="宋体" w:hAnsi="宋体" w:eastAsia="宋体" w:cs="宋体"/>
          <w:b/>
          <w:bCs/>
          <w:color w:val="auto"/>
          <w:sz w:val="30"/>
          <w:szCs w:val="30"/>
          <w:highlight w:val="none"/>
        </w:rPr>
        <w:t>月</w:t>
      </w:r>
    </w:p>
    <w:p w14:paraId="49F5159D">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17F6063A">
      <w:pPr>
        <w:pStyle w:val="7"/>
        <w:rPr>
          <w:rFonts w:hint="eastAsia" w:ascii="宋体" w:hAnsi="宋体" w:eastAsia="宋体" w:cs="宋体"/>
          <w:color w:val="auto"/>
          <w:highlight w:val="none"/>
        </w:rPr>
        <w:sectPr>
          <w:headerReference r:id="rId5" w:type="default"/>
          <w:footerReference r:id="rId6" w:type="default"/>
          <w:pgSz w:w="11905" w:h="16838"/>
          <w:pgMar w:top="1440" w:right="1080" w:bottom="1440" w:left="1080" w:header="567" w:footer="454" w:gutter="0"/>
          <w:pgNumType w:fmt="decimal"/>
          <w:cols w:space="720" w:num="1"/>
          <w:rtlGutter w:val="0"/>
          <w:docGrid w:type="lines" w:linePitch="317" w:charSpace="0"/>
        </w:sectPr>
      </w:pPr>
    </w:p>
    <w:p w14:paraId="3BB68EA0">
      <w:pPr>
        <w:snapToGrid w:val="0"/>
        <w:spacing w:line="700" w:lineRule="exact"/>
        <w:ind w:left="-13" w:leftChars="-95" w:hanging="186" w:hangingChars="62"/>
        <w:rPr>
          <w:rFonts w:hint="eastAsia" w:ascii="宋体" w:hAnsi="宋体" w:cs="宋体"/>
          <w:bCs/>
          <w:color w:val="auto"/>
          <w:sz w:val="30"/>
          <w:szCs w:val="30"/>
          <w:highlight w:val="none"/>
          <w:lang w:val="en-US" w:eastAsia="zh-CN"/>
        </w:rPr>
      </w:pPr>
      <w:r>
        <w:rPr>
          <w:rFonts w:hint="eastAsia" w:ascii="宋体" w:hAnsi="宋体" w:eastAsia="宋体" w:cs="宋体"/>
          <w:bCs/>
          <w:color w:val="auto"/>
          <w:sz w:val="30"/>
          <w:szCs w:val="30"/>
          <w:highlight w:val="none"/>
          <w:lang w:eastAsia="zh-CN"/>
        </w:rPr>
        <w:t>项目</w:t>
      </w:r>
      <w:r>
        <w:rPr>
          <w:rFonts w:hint="eastAsia" w:ascii="宋体" w:hAnsi="宋体" w:eastAsia="宋体" w:cs="宋体"/>
          <w:bCs/>
          <w:color w:val="auto"/>
          <w:sz w:val="30"/>
          <w:szCs w:val="30"/>
          <w:highlight w:val="none"/>
        </w:rPr>
        <w:t>名称：</w:t>
      </w:r>
      <w:r>
        <w:rPr>
          <w:rFonts w:hint="eastAsia" w:ascii="宋体" w:hAnsi="宋体" w:cs="宋体"/>
          <w:bCs/>
          <w:color w:val="auto"/>
          <w:sz w:val="30"/>
          <w:szCs w:val="30"/>
          <w:highlight w:val="none"/>
          <w:lang w:val="en-US" w:eastAsia="zh-CN"/>
        </w:rPr>
        <w:t xml:space="preserve"> 洛浦县恰尔巴格镇加依托格拉克村、阿依丁库勒村公益事业财政奖补项目(美丽乡村建设一公共照明)</w:t>
      </w:r>
    </w:p>
    <w:p w14:paraId="0491C32F">
      <w:pPr>
        <w:snapToGrid w:val="0"/>
        <w:spacing w:line="700" w:lineRule="exact"/>
        <w:ind w:left="-13" w:leftChars="-95" w:hanging="186" w:hangingChars="62"/>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eastAsia="zh-CN"/>
        </w:rPr>
        <w:t>采购</w:t>
      </w:r>
      <w:r>
        <w:rPr>
          <w:rFonts w:hint="eastAsia" w:ascii="宋体" w:hAnsi="宋体" w:eastAsia="宋体" w:cs="宋体"/>
          <w:bCs/>
          <w:color w:val="auto"/>
          <w:sz w:val="30"/>
          <w:szCs w:val="30"/>
          <w:highlight w:val="none"/>
        </w:rPr>
        <w:t>人</w:t>
      </w:r>
      <w:r>
        <w:rPr>
          <w:rFonts w:hint="eastAsia" w:ascii="宋体" w:hAnsi="宋体" w:eastAsia="宋体" w:cs="宋体"/>
          <w:bCs/>
          <w:color w:val="auto"/>
          <w:sz w:val="30"/>
          <w:szCs w:val="30"/>
          <w:highlight w:val="none"/>
          <w:lang w:eastAsia="zh-CN"/>
        </w:rPr>
        <w:t>：（</w:t>
      </w:r>
      <w:r>
        <w:rPr>
          <w:rFonts w:hint="eastAsia" w:ascii="宋体" w:hAnsi="宋体" w:eastAsia="宋体" w:cs="宋体"/>
          <w:bCs/>
          <w:color w:val="auto"/>
          <w:sz w:val="30"/>
          <w:szCs w:val="30"/>
          <w:highlight w:val="none"/>
          <w:lang w:val="en-US" w:eastAsia="zh-CN"/>
        </w:rPr>
        <w:t>盖章</w:t>
      </w:r>
      <w:r>
        <w:rPr>
          <w:rFonts w:hint="eastAsia" w:ascii="宋体" w:hAnsi="宋体" w:eastAsia="宋体" w:cs="宋体"/>
          <w:bCs/>
          <w:color w:val="auto"/>
          <w:sz w:val="30"/>
          <w:szCs w:val="30"/>
          <w:highlight w:val="none"/>
          <w:lang w:eastAsia="zh-CN"/>
        </w:rPr>
        <w:t>）</w:t>
      </w:r>
      <w:r>
        <w:rPr>
          <w:rFonts w:hint="eastAsia" w:ascii="宋体" w:hAnsi="宋体" w:cs="宋体"/>
          <w:bCs/>
          <w:color w:val="auto"/>
          <w:sz w:val="30"/>
          <w:szCs w:val="30"/>
          <w:highlight w:val="none"/>
          <w:u w:val="single"/>
          <w:lang w:val="en-US" w:eastAsia="zh-CN"/>
        </w:rPr>
        <w:t>洛浦县恰尔巴格镇人民政府</w:t>
      </w:r>
    </w:p>
    <w:p w14:paraId="31E12622">
      <w:pPr>
        <w:snapToGrid w:val="0"/>
        <w:spacing w:line="700" w:lineRule="exact"/>
        <w:ind w:left="-13" w:leftChars="-95" w:hanging="186" w:hangingChars="62"/>
        <w:rPr>
          <w:rFonts w:hint="default"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rPr>
        <w:t>联系人：</w:t>
      </w:r>
      <w:r>
        <w:rPr>
          <w:rFonts w:hint="eastAsia" w:ascii="宋体" w:hAnsi="宋体" w:cs="宋体"/>
          <w:bCs/>
          <w:color w:val="auto"/>
          <w:sz w:val="30"/>
          <w:szCs w:val="30"/>
          <w:highlight w:val="none"/>
          <w:lang w:val="en-US" w:eastAsia="zh-CN"/>
        </w:rPr>
        <w:t>李先生</w:t>
      </w:r>
    </w:p>
    <w:p w14:paraId="6CB97E9C">
      <w:pPr>
        <w:snapToGrid w:val="0"/>
        <w:spacing w:line="700" w:lineRule="exact"/>
        <w:ind w:left="-13" w:leftChars="-95" w:hanging="186" w:hangingChars="62"/>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rPr>
        <w:t>联系电话</w:t>
      </w:r>
      <w:r>
        <w:rPr>
          <w:rFonts w:hint="eastAsia" w:ascii="宋体" w:hAnsi="宋体" w:eastAsia="宋体" w:cs="宋体"/>
          <w:bCs/>
          <w:color w:val="auto"/>
          <w:sz w:val="30"/>
          <w:szCs w:val="30"/>
          <w:highlight w:val="none"/>
          <w:lang w:eastAsia="zh-CN"/>
        </w:rPr>
        <w:t>：</w:t>
      </w:r>
      <w:r>
        <w:rPr>
          <w:rFonts w:hint="eastAsia" w:ascii="宋体" w:hAnsi="宋体" w:cs="宋体"/>
          <w:bCs/>
          <w:color w:val="auto"/>
          <w:sz w:val="30"/>
          <w:szCs w:val="30"/>
          <w:highlight w:val="none"/>
          <w:lang w:eastAsia="zh-CN"/>
        </w:rPr>
        <w:t>16690028865</w:t>
      </w:r>
    </w:p>
    <w:p w14:paraId="6348044F">
      <w:pPr>
        <w:snapToGrid w:val="0"/>
        <w:spacing w:line="700" w:lineRule="exact"/>
        <w:ind w:left="-13" w:leftChars="-95" w:hanging="186" w:hangingChars="62"/>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rPr>
        <w:t>招标代理机构</w:t>
      </w:r>
      <w:r>
        <w:rPr>
          <w:rFonts w:hint="eastAsia" w:ascii="宋体" w:hAnsi="宋体" w:eastAsia="宋体" w:cs="宋体"/>
          <w:bCs/>
          <w:color w:val="auto"/>
          <w:sz w:val="30"/>
          <w:szCs w:val="30"/>
          <w:highlight w:val="none"/>
          <w:lang w:eastAsia="zh-CN"/>
        </w:rPr>
        <w:t>：（</w:t>
      </w:r>
      <w:r>
        <w:rPr>
          <w:rFonts w:hint="eastAsia" w:ascii="宋体" w:hAnsi="宋体" w:eastAsia="宋体" w:cs="宋体"/>
          <w:bCs/>
          <w:color w:val="auto"/>
          <w:sz w:val="30"/>
          <w:szCs w:val="30"/>
          <w:highlight w:val="none"/>
          <w:lang w:val="en-US" w:eastAsia="zh-CN"/>
        </w:rPr>
        <w:t>盖章</w:t>
      </w:r>
      <w:r>
        <w:rPr>
          <w:rFonts w:hint="eastAsia" w:ascii="宋体" w:hAnsi="宋体" w:eastAsia="宋体" w:cs="宋体"/>
          <w:bCs/>
          <w:color w:val="auto"/>
          <w:sz w:val="30"/>
          <w:szCs w:val="30"/>
          <w:highlight w:val="none"/>
          <w:lang w:eastAsia="zh-CN"/>
        </w:rPr>
        <w:t>）</w:t>
      </w:r>
    </w:p>
    <w:p w14:paraId="459C8A15">
      <w:pPr>
        <w:snapToGrid w:val="0"/>
        <w:spacing w:line="700" w:lineRule="exact"/>
        <w:ind w:left="-13" w:leftChars="-95" w:hanging="186" w:hangingChars="62"/>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rPr>
        <w:t>联系人：</w:t>
      </w:r>
      <w:r>
        <w:rPr>
          <w:rFonts w:hint="eastAsia" w:ascii="宋体" w:hAnsi="宋体" w:cs="宋体"/>
          <w:bCs/>
          <w:color w:val="auto"/>
          <w:sz w:val="30"/>
          <w:szCs w:val="30"/>
          <w:highlight w:val="none"/>
          <w:u w:val="single"/>
          <w:lang w:val="en-US" w:eastAsia="zh-CN"/>
        </w:rPr>
        <w:t>王先生</w:t>
      </w:r>
    </w:p>
    <w:p w14:paraId="5BEE822A">
      <w:pPr>
        <w:snapToGrid w:val="0"/>
        <w:spacing w:line="700" w:lineRule="exact"/>
        <w:ind w:left="-13" w:leftChars="-95" w:hanging="186" w:hangingChars="62"/>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rPr>
        <w:t>联系电话：</w:t>
      </w:r>
      <w:r>
        <w:rPr>
          <w:rFonts w:hint="eastAsia" w:ascii="宋体" w:hAnsi="宋体" w:cs="宋体"/>
          <w:bCs/>
          <w:color w:val="auto"/>
          <w:sz w:val="30"/>
          <w:szCs w:val="30"/>
          <w:highlight w:val="none"/>
          <w:u w:val="single"/>
          <w:lang w:eastAsia="zh-CN"/>
        </w:rPr>
        <w:t>18095921107</w:t>
      </w:r>
    </w:p>
    <w:p w14:paraId="58681575">
      <w:pPr>
        <w:rPr>
          <w:rFonts w:hint="eastAsia" w:ascii="宋体" w:hAnsi="宋体" w:eastAsia="宋体" w:cs="宋体"/>
          <w:b/>
          <w:bCs/>
          <w:color w:val="auto"/>
          <w:sz w:val="30"/>
          <w:szCs w:val="30"/>
          <w:highlight w:val="none"/>
        </w:rPr>
      </w:pPr>
    </w:p>
    <w:p w14:paraId="0656535D">
      <w:pPr>
        <w:rPr>
          <w:rFonts w:hint="eastAsia" w:ascii="宋体" w:hAnsi="宋体" w:eastAsia="宋体" w:cs="宋体"/>
          <w:b/>
          <w:bCs/>
          <w:color w:val="auto"/>
          <w:sz w:val="28"/>
          <w:szCs w:val="28"/>
          <w:highlight w:val="none"/>
        </w:rPr>
      </w:pPr>
    </w:p>
    <w:p w14:paraId="184A975D">
      <w:pPr>
        <w:pStyle w:val="8"/>
        <w:ind w:firstLine="480"/>
        <w:rPr>
          <w:rFonts w:hint="eastAsia" w:ascii="宋体" w:hAnsi="宋体" w:eastAsia="宋体" w:cs="宋体"/>
          <w:color w:val="auto"/>
          <w:highlight w:val="none"/>
        </w:rPr>
      </w:pPr>
    </w:p>
    <w:p w14:paraId="22079302">
      <w:pPr>
        <w:pStyle w:val="8"/>
        <w:ind w:firstLine="480"/>
        <w:rPr>
          <w:rFonts w:hint="eastAsia" w:ascii="宋体" w:hAnsi="宋体" w:eastAsia="宋体" w:cs="宋体"/>
          <w:color w:val="auto"/>
          <w:highlight w:val="none"/>
        </w:rPr>
      </w:pPr>
    </w:p>
    <w:p w14:paraId="7BC0C60A">
      <w:pPr>
        <w:ind w:left="141" w:hanging="141"/>
        <w:rPr>
          <w:rFonts w:hint="eastAsia" w:ascii="宋体" w:hAnsi="宋体" w:eastAsia="宋体" w:cs="宋体"/>
          <w:b/>
          <w:bCs/>
          <w:color w:val="auto"/>
          <w:sz w:val="28"/>
          <w:szCs w:val="28"/>
          <w:highlight w:val="none"/>
        </w:rPr>
        <w:sectPr>
          <w:headerReference r:id="rId8" w:type="first"/>
          <w:footerReference r:id="rId10" w:type="first"/>
          <w:headerReference r:id="rId7" w:type="default"/>
          <w:footerReference r:id="rId9" w:type="default"/>
          <w:footnotePr>
            <w:numFmt w:val="decimalHalfWidth"/>
          </w:footnotePr>
          <w:endnotePr>
            <w:numFmt w:val="chineseCounting"/>
          </w:endnotePr>
          <w:type w:val="continuous"/>
          <w:pgSz w:w="11905" w:h="16838"/>
          <w:pgMar w:top="1440" w:right="1080" w:bottom="1440" w:left="1080" w:header="567" w:footer="454" w:gutter="0"/>
          <w:pgNumType w:fmt="decimal" w:start="1"/>
          <w:cols w:space="720" w:num="1"/>
          <w:rtlGutter w:val="0"/>
          <w:docGrid w:type="lines" w:linePitch="317" w:charSpace="0"/>
        </w:sectPr>
      </w:pPr>
    </w:p>
    <w:p w14:paraId="7D924FEB">
      <w:pPr>
        <w:pStyle w:val="30"/>
        <w:jc w:val="both"/>
        <w:rPr>
          <w:rFonts w:hint="eastAsia" w:ascii="宋体" w:hAnsi="宋体" w:eastAsia="宋体" w:cs="宋体"/>
          <w:b/>
          <w:bCs/>
          <w:color w:val="auto"/>
          <w:sz w:val="28"/>
          <w:szCs w:val="28"/>
          <w:highlight w:val="none"/>
          <w:lang w:eastAsia="zh-CN"/>
        </w:rPr>
      </w:pPr>
    </w:p>
    <w:p w14:paraId="6C71DA52">
      <w:pPr>
        <w:pStyle w:val="30"/>
        <w:jc w:val="both"/>
        <w:rPr>
          <w:rFonts w:hint="eastAsia" w:ascii="宋体" w:hAnsi="宋体" w:eastAsia="宋体" w:cs="宋体"/>
          <w:b/>
          <w:bCs/>
          <w:color w:val="auto"/>
          <w:sz w:val="28"/>
          <w:szCs w:val="28"/>
          <w:highlight w:val="none"/>
          <w:lang w:eastAsia="zh-CN"/>
        </w:rPr>
      </w:pPr>
      <w:bookmarkStart w:id="0" w:name="_Toc17774"/>
    </w:p>
    <w:p w14:paraId="776EEB39">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A8B3FEE">
      <w:pPr>
        <w:ind w:left="0" w:firstLine="0" w:firstLineChars="0"/>
        <w:jc w:val="center"/>
        <w:outlineLvl w:val="0"/>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color w:val="auto"/>
          <w:sz w:val="28"/>
          <w:szCs w:val="28"/>
          <w:highlight w:val="none"/>
        </w:rPr>
        <w:t>第一章招标公告</w:t>
      </w:r>
      <w:bookmarkEnd w:id="0"/>
    </w:p>
    <w:p w14:paraId="4EC0198C">
      <w:pPr>
        <w:keepNext w:val="0"/>
        <w:keepLines w:val="0"/>
        <w:pageBreakBefore w:val="0"/>
        <w:widowControl w:val="0"/>
        <w:pBdr>
          <w:top w:val="single" w:color="auto" w:sz="4" w:space="0"/>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left="0" w:right="0"/>
        <w:textAlignment w:val="auto"/>
        <w:rPr>
          <w:rFonts w:hint="eastAsia" w:ascii="宋体" w:hAnsi="宋体" w:eastAsia="宋体" w:cs="宋体"/>
          <w:i w:val="0"/>
          <w:iCs w:val="0"/>
          <w:caps w:val="0"/>
          <w:color w:val="auto"/>
          <w:spacing w:val="0"/>
          <w:kern w:val="0"/>
          <w:sz w:val="24"/>
          <w:szCs w:val="24"/>
          <w:highlight w:val="none"/>
          <w:lang w:val="en-US" w:eastAsia="zh-CN" w:bidi="ar-SA"/>
        </w:rPr>
      </w:pPr>
      <w:bookmarkStart w:id="1" w:name="_Toc35393790"/>
      <w:bookmarkStart w:id="2" w:name="_Toc35393621"/>
      <w:bookmarkStart w:id="3" w:name="_Toc28359079"/>
      <w:bookmarkStart w:id="4" w:name="_Hlk24379207"/>
      <w:bookmarkStart w:id="5" w:name="_Toc28359002"/>
      <w:r>
        <w:rPr>
          <w:rFonts w:hint="eastAsia" w:ascii="宋体" w:hAnsi="宋体" w:eastAsia="宋体" w:cs="宋体"/>
          <w:i w:val="0"/>
          <w:iCs w:val="0"/>
          <w:caps w:val="0"/>
          <w:color w:val="auto"/>
          <w:spacing w:val="0"/>
          <w:kern w:val="0"/>
          <w:sz w:val="24"/>
          <w:szCs w:val="24"/>
          <w:highlight w:val="none"/>
          <w:lang w:val="en-US" w:eastAsia="zh-CN" w:bidi="ar-SA"/>
        </w:rPr>
        <w:t>项目概况</w:t>
      </w:r>
    </w:p>
    <w:p w14:paraId="502653BE">
      <w:pPr>
        <w:keepNext w:val="0"/>
        <w:keepLines w:val="0"/>
        <w:pageBreakBefore w:val="0"/>
        <w:widowControl w:val="0"/>
        <w:pBdr>
          <w:top w:val="single" w:color="auto" w:sz="4" w:space="0"/>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left="0" w:right="0" w:firstLine="120" w:firstLineChars="50"/>
        <w:jc w:val="left"/>
        <w:textAlignment w:val="auto"/>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cs="宋体"/>
          <w:i w:val="0"/>
          <w:iCs w:val="0"/>
          <w:caps w:val="0"/>
          <w:color w:val="auto"/>
          <w:spacing w:val="0"/>
          <w:kern w:val="0"/>
          <w:sz w:val="24"/>
          <w:szCs w:val="24"/>
          <w:highlight w:val="none"/>
          <w:lang w:val="en-US" w:eastAsia="zh-CN" w:bidi="ar-SA"/>
        </w:rPr>
        <w:t xml:space="preserve"> 洛浦县恰尔巴格镇加依托格拉克村、阿依丁库勒村公益事业财政奖补项目(美丽乡村建设一公共照明)</w:t>
      </w:r>
      <w:r>
        <w:rPr>
          <w:rFonts w:hint="eastAsia" w:ascii="宋体" w:hAnsi="宋体" w:eastAsia="宋体" w:cs="宋体"/>
          <w:i w:val="0"/>
          <w:iCs w:val="0"/>
          <w:caps w:val="0"/>
          <w:color w:val="auto"/>
          <w:spacing w:val="0"/>
          <w:kern w:val="0"/>
          <w:sz w:val="24"/>
          <w:szCs w:val="24"/>
          <w:highlight w:val="none"/>
          <w:lang w:val="en-US" w:eastAsia="zh-CN" w:bidi="ar-SA"/>
        </w:rPr>
        <w:t>的潜在投标人应</w:t>
      </w:r>
      <w:r>
        <w:rPr>
          <w:rFonts w:hint="eastAsia" w:ascii="宋体" w:hAnsi="宋体" w:cs="宋体"/>
          <w:i w:val="0"/>
          <w:iCs w:val="0"/>
          <w:caps w:val="0"/>
          <w:color w:val="auto"/>
          <w:spacing w:val="0"/>
          <w:kern w:val="0"/>
          <w:sz w:val="24"/>
          <w:szCs w:val="24"/>
          <w:highlight w:val="none"/>
          <w:lang w:val="en-US" w:eastAsia="zh-CN" w:bidi="ar-SA"/>
        </w:rPr>
        <w:t>登录</w:t>
      </w:r>
      <w:r>
        <w:rPr>
          <w:rFonts w:hint="eastAsia" w:ascii="宋体" w:hAnsi="宋体" w:eastAsia="宋体" w:cs="宋体"/>
          <w:i w:val="0"/>
          <w:iCs w:val="0"/>
          <w:caps w:val="0"/>
          <w:color w:val="auto"/>
          <w:spacing w:val="0"/>
          <w:kern w:val="0"/>
          <w:sz w:val="24"/>
          <w:szCs w:val="24"/>
          <w:highlight w:val="none"/>
          <w:lang w:val="en-US" w:eastAsia="zh-CN" w:bidi="ar-SA"/>
        </w:rPr>
        <w:t>政采云平台https://www.zcygov.cn/在线申请获取采购文件（进入“项目采购”应用，在获取采购文件菜单中选择项目，申请获取采购文件），并于</w:t>
      </w:r>
      <w:r>
        <w:rPr>
          <w:rFonts w:hint="eastAsia" w:ascii="宋体" w:hAnsi="宋体" w:cs="宋体"/>
          <w:i w:val="0"/>
          <w:iCs w:val="0"/>
          <w:caps w:val="0"/>
          <w:color w:val="auto"/>
          <w:spacing w:val="0"/>
          <w:kern w:val="0"/>
          <w:sz w:val="24"/>
          <w:szCs w:val="24"/>
          <w:highlight w:val="none"/>
          <w:lang w:val="en-US" w:eastAsia="zh-CN" w:bidi="ar-SA"/>
        </w:rPr>
        <w:t>2025年4月23日11点30分</w:t>
      </w:r>
      <w:r>
        <w:rPr>
          <w:rFonts w:hint="eastAsia" w:ascii="宋体" w:hAnsi="宋体" w:eastAsia="宋体" w:cs="宋体"/>
          <w:i w:val="0"/>
          <w:iCs w:val="0"/>
          <w:caps w:val="0"/>
          <w:color w:val="auto"/>
          <w:spacing w:val="0"/>
          <w:kern w:val="0"/>
          <w:sz w:val="24"/>
          <w:szCs w:val="24"/>
          <w:highlight w:val="none"/>
          <w:lang w:val="en-US" w:eastAsia="zh-CN" w:bidi="ar-SA"/>
        </w:rPr>
        <w:t>（北京时间）前递交投标文件。</w:t>
      </w:r>
    </w:p>
    <w:bookmarkEnd w:id="1"/>
    <w:bookmarkEnd w:id="2"/>
    <w:bookmarkEnd w:id="3"/>
    <w:bookmarkEnd w:id="4"/>
    <w:bookmarkEnd w:id="5"/>
    <w:p w14:paraId="57CCBE52">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宋体" w:hAnsi="宋体" w:eastAsia="宋体" w:cs="宋体"/>
          <w:b w:val="0"/>
          <w:bCs w:val="0"/>
          <w:i w:val="0"/>
          <w:iCs w:val="0"/>
          <w:color w:val="auto"/>
          <w:kern w:val="2"/>
          <w:sz w:val="24"/>
          <w:szCs w:val="24"/>
          <w:highlight w:val="none"/>
          <w:lang w:val="en-US" w:eastAsia="zh-CN" w:bidi="ar-SA"/>
        </w:rPr>
      </w:pPr>
    </w:p>
    <w:p w14:paraId="0173D13D">
      <w:pPr>
        <w:pStyle w:val="4"/>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Style w:val="25"/>
          <w:rFonts w:hint="eastAsia" w:ascii="宋体" w:hAnsi="宋体" w:eastAsia="宋体" w:cs="宋体"/>
          <w:b/>
          <w:i w:val="0"/>
          <w:iCs w:val="0"/>
          <w:caps w:val="0"/>
          <w:color w:val="auto"/>
          <w:spacing w:val="0"/>
          <w:sz w:val="27"/>
          <w:szCs w:val="27"/>
          <w:highlight w:val="none"/>
        </w:rPr>
      </w:pPr>
      <w:bookmarkStart w:id="6" w:name="_Toc30392"/>
      <w:bookmarkStart w:id="7" w:name="_Toc24430"/>
      <w:bookmarkStart w:id="8" w:name="_Toc27595"/>
      <w:r>
        <w:rPr>
          <w:rFonts w:hint="eastAsia" w:ascii="宋体" w:hAnsi="宋体" w:eastAsia="宋体" w:cs="宋体"/>
          <w:b/>
          <w:bCs/>
          <w:i w:val="0"/>
          <w:iCs w:val="0"/>
          <w:caps w:val="0"/>
          <w:color w:val="auto"/>
          <w:spacing w:val="0"/>
          <w:kern w:val="0"/>
          <w:sz w:val="24"/>
          <w:szCs w:val="24"/>
          <w:highlight w:val="none"/>
          <w:lang w:val="en-US" w:eastAsia="zh-CN" w:bidi="ar"/>
        </w:rPr>
        <w:t>一、项目基本情况</w:t>
      </w:r>
      <w:bookmarkEnd w:id="6"/>
      <w:bookmarkEnd w:id="7"/>
      <w:bookmarkEnd w:id="8"/>
    </w:p>
    <w:p w14:paraId="4CB3F986">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sz w:val="24"/>
          <w:szCs w:val="24"/>
          <w:highlight w:val="none"/>
        </w:rPr>
        <w:t>项目编号：</w:t>
      </w:r>
      <w:r>
        <w:rPr>
          <w:rFonts w:hint="eastAsia" w:cs="宋体"/>
          <w:i w:val="0"/>
          <w:iCs w:val="0"/>
          <w:caps w:val="0"/>
          <w:color w:val="auto"/>
          <w:spacing w:val="0"/>
          <w:sz w:val="24"/>
          <w:szCs w:val="24"/>
          <w:highlight w:val="none"/>
          <w:lang w:val="en-US" w:eastAsia="zh-CN"/>
        </w:rPr>
        <w:t>XJCY-2025-CS-003</w:t>
      </w:r>
    </w:p>
    <w:p w14:paraId="49C1BF6C">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rPr>
          <w:rFonts w:hint="eastAsia"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rPr>
        <w:t>项目名称：</w:t>
      </w:r>
      <w:r>
        <w:rPr>
          <w:rFonts w:hint="eastAsia" w:cs="宋体"/>
          <w:i w:val="0"/>
          <w:iCs w:val="0"/>
          <w:caps w:val="0"/>
          <w:color w:val="auto"/>
          <w:spacing w:val="0"/>
          <w:kern w:val="0"/>
          <w:sz w:val="24"/>
          <w:szCs w:val="24"/>
          <w:highlight w:val="none"/>
          <w:lang w:val="en-US" w:eastAsia="zh-CN" w:bidi="ar-SA"/>
        </w:rPr>
        <w:t xml:space="preserve"> 洛浦县恰尔巴格镇加依托格拉克村、阿依丁库勒村公益事业财政奖补项目(美丽乡村建设一公共照明)</w:t>
      </w:r>
    </w:p>
    <w:p w14:paraId="6D3E5760">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采购方式：</w:t>
      </w:r>
      <w:r>
        <w:rPr>
          <w:rFonts w:hint="eastAsia" w:cs="宋体"/>
          <w:i w:val="0"/>
          <w:iCs w:val="0"/>
          <w:caps w:val="0"/>
          <w:color w:val="auto"/>
          <w:spacing w:val="0"/>
          <w:sz w:val="24"/>
          <w:szCs w:val="24"/>
          <w:highlight w:val="none"/>
          <w:lang w:val="en-US" w:eastAsia="zh-CN"/>
        </w:rPr>
        <w:t>竞争性磋商</w:t>
      </w:r>
    </w:p>
    <w:p w14:paraId="256CFC15">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预算金额：</w:t>
      </w:r>
      <w:r>
        <w:rPr>
          <w:rFonts w:hint="eastAsia" w:cs="宋体"/>
          <w:i w:val="0"/>
          <w:iCs w:val="0"/>
          <w:caps w:val="0"/>
          <w:color w:val="auto"/>
          <w:spacing w:val="0"/>
          <w:sz w:val="24"/>
          <w:szCs w:val="24"/>
          <w:highlight w:val="none"/>
          <w:lang w:eastAsia="zh-CN"/>
        </w:rPr>
        <w:t>795200.00元</w:t>
      </w:r>
    </w:p>
    <w:p w14:paraId="27E1A33F">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最高限价：</w:t>
      </w:r>
      <w:r>
        <w:rPr>
          <w:rFonts w:hint="eastAsia" w:cs="宋体"/>
          <w:i w:val="0"/>
          <w:iCs w:val="0"/>
          <w:caps w:val="0"/>
          <w:color w:val="auto"/>
          <w:spacing w:val="0"/>
          <w:sz w:val="24"/>
          <w:szCs w:val="24"/>
          <w:highlight w:val="none"/>
          <w:lang w:eastAsia="zh-CN"/>
        </w:rPr>
        <w:t>795200.00元</w:t>
      </w:r>
    </w:p>
    <w:p w14:paraId="6DADB96B">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采购需求：</w:t>
      </w:r>
    </w:p>
    <w:p w14:paraId="3E19378C">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rPr>
          <w:rFonts w:hint="eastAsia"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en-US" w:eastAsia="zh-CN"/>
        </w:rPr>
        <w:t>标项一</w:t>
      </w:r>
      <w:r>
        <w:rPr>
          <w:rFonts w:hint="eastAsia" w:ascii="宋体" w:hAnsi="宋体" w:eastAsia="宋体" w:cs="宋体"/>
          <w:i w:val="0"/>
          <w:iCs w:val="0"/>
          <w:caps w:val="0"/>
          <w:color w:val="auto"/>
          <w:spacing w:val="0"/>
          <w:sz w:val="24"/>
          <w:szCs w:val="24"/>
          <w:highlight w:val="none"/>
          <w:lang w:val="en-US" w:eastAsia="zh-CN"/>
        </w:rPr>
        <w:br w:type="textWrapping"/>
      </w:r>
      <w:r>
        <w:rPr>
          <w:rFonts w:hint="eastAsia" w:ascii="宋体" w:hAnsi="宋体" w:eastAsia="宋体" w:cs="宋体"/>
          <w:i w:val="0"/>
          <w:iCs w:val="0"/>
          <w:caps w:val="0"/>
          <w:color w:val="auto"/>
          <w:spacing w:val="0"/>
          <w:sz w:val="24"/>
          <w:szCs w:val="24"/>
          <w:highlight w:val="none"/>
          <w:lang w:val="en-US" w:eastAsia="zh-CN"/>
        </w:rPr>
        <w:t>   标项名称：</w:t>
      </w:r>
      <w:r>
        <w:rPr>
          <w:rFonts w:hint="eastAsia" w:cs="宋体"/>
          <w:i w:val="0"/>
          <w:iCs w:val="0"/>
          <w:caps w:val="0"/>
          <w:color w:val="auto"/>
          <w:spacing w:val="0"/>
          <w:kern w:val="0"/>
          <w:sz w:val="24"/>
          <w:szCs w:val="24"/>
          <w:highlight w:val="none"/>
          <w:lang w:val="en-US" w:eastAsia="zh-CN" w:bidi="ar-SA"/>
        </w:rPr>
        <w:t xml:space="preserve"> 洛浦县恰尔巴格镇加依托格拉克村、阿依丁库勒村公益事业财政奖补项目(美丽乡村建设一公共照明)</w:t>
      </w:r>
    </w:p>
    <w:p w14:paraId="47D49FCB">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w:t>
      </w:r>
      <w:r>
        <w:rPr>
          <w:rFonts w:hint="eastAsia"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lang w:val="en-US" w:eastAsia="zh-CN"/>
        </w:rPr>
        <w:t>数量：</w:t>
      </w:r>
      <w:r>
        <w:rPr>
          <w:rFonts w:hint="eastAsia" w:cs="宋体"/>
          <w:i w:val="0"/>
          <w:iCs w:val="0"/>
          <w:caps w:val="0"/>
          <w:color w:val="auto"/>
          <w:spacing w:val="0"/>
          <w:sz w:val="24"/>
          <w:szCs w:val="24"/>
          <w:highlight w:val="none"/>
          <w:lang w:val="en-US" w:eastAsia="zh-CN"/>
        </w:rPr>
        <w:t>1批</w:t>
      </w:r>
      <w:r>
        <w:rPr>
          <w:rFonts w:hint="eastAsia" w:ascii="宋体" w:hAnsi="宋体" w:eastAsia="宋体" w:cs="宋体"/>
          <w:i w:val="0"/>
          <w:iCs w:val="0"/>
          <w:caps w:val="0"/>
          <w:color w:val="auto"/>
          <w:spacing w:val="0"/>
          <w:sz w:val="24"/>
          <w:szCs w:val="24"/>
          <w:highlight w:val="none"/>
          <w:lang w:val="en-US" w:eastAsia="zh-CN"/>
        </w:rPr>
        <w:br w:type="textWrapping"/>
      </w:r>
      <w:r>
        <w:rPr>
          <w:rFonts w:hint="eastAsia" w:ascii="宋体" w:hAnsi="宋体" w:eastAsia="宋体" w:cs="宋体"/>
          <w:i w:val="0"/>
          <w:iCs w:val="0"/>
          <w:caps w:val="0"/>
          <w:color w:val="auto"/>
          <w:spacing w:val="0"/>
          <w:sz w:val="24"/>
          <w:szCs w:val="24"/>
          <w:highlight w:val="none"/>
          <w:lang w:val="en-US" w:eastAsia="zh-CN"/>
        </w:rPr>
        <w:t>   预算金额（元）</w:t>
      </w:r>
      <w:r>
        <w:rPr>
          <w:rFonts w:hint="eastAsia" w:cs="宋体"/>
          <w:i w:val="0"/>
          <w:iCs w:val="0"/>
          <w:caps w:val="0"/>
          <w:color w:val="auto"/>
          <w:spacing w:val="0"/>
          <w:sz w:val="24"/>
          <w:szCs w:val="24"/>
          <w:highlight w:val="none"/>
          <w:lang w:val="en-US" w:eastAsia="zh-CN"/>
        </w:rPr>
        <w:t>：</w:t>
      </w:r>
      <w:r>
        <w:rPr>
          <w:rFonts w:hint="eastAsia" w:cs="宋体"/>
          <w:i w:val="0"/>
          <w:iCs w:val="0"/>
          <w:caps w:val="0"/>
          <w:color w:val="auto"/>
          <w:spacing w:val="0"/>
          <w:sz w:val="24"/>
          <w:szCs w:val="24"/>
          <w:highlight w:val="none"/>
          <w:lang w:eastAsia="zh-CN"/>
        </w:rPr>
        <w:t>795200.00元</w:t>
      </w:r>
      <w:r>
        <w:rPr>
          <w:rFonts w:hint="eastAsia" w:ascii="宋体" w:hAnsi="宋体" w:eastAsia="宋体" w:cs="宋体"/>
          <w:i w:val="0"/>
          <w:iCs w:val="0"/>
          <w:caps w:val="0"/>
          <w:color w:val="auto"/>
          <w:spacing w:val="0"/>
          <w:sz w:val="24"/>
          <w:szCs w:val="24"/>
          <w:highlight w:val="none"/>
          <w:lang w:val="en-US" w:eastAsia="zh-CN"/>
        </w:rPr>
        <w:br w:type="textWrapping"/>
      </w:r>
      <w:r>
        <w:rPr>
          <w:rFonts w:hint="eastAsia" w:ascii="宋体" w:hAnsi="宋体" w:eastAsia="宋体" w:cs="宋体"/>
          <w:i w:val="0"/>
          <w:iCs w:val="0"/>
          <w:caps w:val="0"/>
          <w:color w:val="auto"/>
          <w:spacing w:val="0"/>
          <w:sz w:val="24"/>
          <w:szCs w:val="24"/>
          <w:highlight w:val="none"/>
          <w:lang w:val="en-US" w:eastAsia="zh-CN"/>
        </w:rPr>
        <w:t>   简要规格描述或项目基本概况介绍、用途：新建LED太阳能路灯284盏，包含电气设备安装工程和建筑工程，灯杆高度8米，灯头功率120W，混凝土独立基础。</w:t>
      </w:r>
    </w:p>
    <w:p w14:paraId="65AE197C">
      <w:pPr>
        <w:pStyle w:val="19"/>
        <w:pageBreakBefore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合同履约期限：</w:t>
      </w:r>
      <w:r>
        <w:rPr>
          <w:rFonts w:hint="eastAsia" w:cs="宋体"/>
          <w:i w:val="0"/>
          <w:iCs w:val="0"/>
          <w:caps w:val="0"/>
          <w:color w:val="auto"/>
          <w:spacing w:val="0"/>
          <w:sz w:val="24"/>
          <w:szCs w:val="24"/>
          <w:highlight w:val="none"/>
          <w:lang w:val="en-US" w:eastAsia="zh-CN"/>
        </w:rPr>
        <w:t>自合同签订之日30日</w:t>
      </w:r>
      <w:r>
        <w:rPr>
          <w:rFonts w:hint="eastAsia" w:ascii="宋体" w:hAnsi="宋体" w:eastAsia="宋体" w:cs="宋体"/>
          <w:i w:val="0"/>
          <w:iCs w:val="0"/>
          <w:caps w:val="0"/>
          <w:color w:val="auto"/>
          <w:spacing w:val="0"/>
          <w:sz w:val="24"/>
          <w:szCs w:val="24"/>
          <w:highlight w:val="none"/>
          <w:lang w:val="en-US" w:eastAsia="zh-CN"/>
        </w:rPr>
        <w:t>；</w:t>
      </w:r>
      <w:bookmarkStart w:id="9" w:name="_Toc22510"/>
      <w:bookmarkStart w:id="10" w:name="_Toc11569"/>
      <w:bookmarkStart w:id="11" w:name="_Toc22990"/>
    </w:p>
    <w:p w14:paraId="38732E2E">
      <w:pPr>
        <w:pStyle w:val="19"/>
        <w:pageBreakBefore w:val="0"/>
        <w:kinsoku/>
        <w:wordWrap/>
        <w:overflowPunct/>
        <w:autoSpaceDE/>
        <w:autoSpaceDN/>
        <w:bidi w:val="0"/>
        <w:spacing w:before="0" w:beforeAutospacing="0" w:after="0" w:afterAutospacing="0" w:line="360" w:lineRule="auto"/>
        <w:ind w:left="0" w:right="0" w:firstLine="482" w:firstLineChars="200"/>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本项目（是/否）接受联合体投标：否</w:t>
      </w:r>
    </w:p>
    <w:p w14:paraId="77073C03">
      <w:pPr>
        <w:pStyle w:val="4"/>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二、申请人的资格要求：</w:t>
      </w:r>
      <w:bookmarkEnd w:id="9"/>
      <w:bookmarkEnd w:id="10"/>
      <w:bookmarkEnd w:id="11"/>
    </w:p>
    <w:p w14:paraId="24E53875">
      <w:pPr>
        <w:pStyle w:val="19"/>
        <w:pageBreakBefore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color w:val="auto"/>
          <w:highlight w:val="none"/>
          <w:lang w:val="en-US" w:eastAsia="zh-CN" w:bidi="ar"/>
        </w:rPr>
      </w:pPr>
      <w:bookmarkStart w:id="12" w:name="_Toc23893"/>
      <w:r>
        <w:rPr>
          <w:rFonts w:hint="eastAsia" w:ascii="宋体" w:hAnsi="宋体" w:eastAsia="宋体" w:cs="宋体"/>
          <w:color w:val="auto"/>
          <w:highlight w:val="none"/>
          <w:lang w:val="en-US" w:eastAsia="zh-CN" w:bidi="ar"/>
        </w:rPr>
        <w:t>1.满足《中华人民共和国政府采购法》第二十二条规定；</w:t>
      </w:r>
      <w:bookmarkEnd w:id="12"/>
    </w:p>
    <w:p w14:paraId="5A7DEE70">
      <w:pPr>
        <w:pStyle w:val="19"/>
        <w:pageBreakBefore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2.落实政府采购政策需满足的资格要求：</w:t>
      </w:r>
    </w:p>
    <w:p w14:paraId="589407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2.1 中小企业政策</w:t>
      </w:r>
    </w:p>
    <w:p w14:paraId="171A9B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lang w:eastAsia="zh-CN"/>
        </w:rPr>
        <w:t>□</w:t>
      </w:r>
      <w:r>
        <w:rPr>
          <w:rFonts w:hint="eastAsia" w:ascii="宋体" w:hAnsi="宋体" w:eastAsia="宋体" w:cs="宋体"/>
          <w:caps w:val="0"/>
          <w:color w:val="auto"/>
          <w:spacing w:val="0"/>
          <w:w w:val="100"/>
          <w:position w:val="0"/>
          <w:sz w:val="24"/>
          <w:szCs w:val="24"/>
          <w:highlight w:val="none"/>
        </w:rPr>
        <w:t>本项目不专门面向中小企业预留采购份额。</w:t>
      </w:r>
    </w:p>
    <w:p w14:paraId="596106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lang w:eastAsia="zh-CN"/>
        </w:rPr>
        <w:t>☑</w:t>
      </w:r>
      <w:r>
        <w:rPr>
          <w:rFonts w:hint="eastAsia" w:ascii="宋体" w:hAnsi="宋体" w:eastAsia="宋体" w:cs="宋体"/>
          <w:caps w:val="0"/>
          <w:color w:val="auto"/>
          <w:spacing w:val="0"/>
          <w:w w:val="100"/>
          <w:position w:val="0"/>
          <w:sz w:val="24"/>
          <w:szCs w:val="24"/>
          <w:highlight w:val="none"/>
        </w:rPr>
        <w:t xml:space="preserve">本项目专门面向 </w:t>
      </w:r>
      <w:r>
        <w:rPr>
          <w:rFonts w:hint="eastAsia" w:ascii="宋体" w:hAnsi="宋体" w:eastAsia="宋体" w:cs="宋体"/>
          <w:caps w:val="0"/>
          <w:color w:val="auto"/>
          <w:spacing w:val="0"/>
          <w:w w:val="100"/>
          <w:position w:val="0"/>
          <w:sz w:val="24"/>
          <w:szCs w:val="24"/>
          <w:highlight w:val="none"/>
          <w:lang w:eastAsia="zh-CN"/>
        </w:rPr>
        <w:t>☑</w:t>
      </w:r>
      <w:r>
        <w:rPr>
          <w:rFonts w:hint="eastAsia" w:ascii="宋体" w:hAnsi="宋体" w:eastAsia="宋体" w:cs="宋体"/>
          <w:caps w:val="0"/>
          <w:color w:val="auto"/>
          <w:spacing w:val="0"/>
          <w:w w:val="100"/>
          <w:position w:val="0"/>
          <w:sz w:val="24"/>
          <w:szCs w:val="24"/>
          <w:highlight w:val="none"/>
        </w:rPr>
        <w:t>中小</w:t>
      </w:r>
      <w:r>
        <w:rPr>
          <w:rFonts w:hint="eastAsia" w:ascii="宋体" w:hAnsi="宋体" w:cs="宋体"/>
          <w:caps w:val="0"/>
          <w:color w:val="auto"/>
          <w:spacing w:val="0"/>
          <w:w w:val="100"/>
          <w:position w:val="0"/>
          <w:sz w:val="24"/>
          <w:szCs w:val="24"/>
          <w:highlight w:val="none"/>
          <w:lang w:eastAsia="zh-CN"/>
        </w:rPr>
        <w:t>☑</w:t>
      </w:r>
      <w:r>
        <w:rPr>
          <w:rFonts w:hint="eastAsia" w:ascii="宋体" w:hAnsi="宋体" w:eastAsia="宋体" w:cs="宋体"/>
          <w:caps w:val="0"/>
          <w:color w:val="auto"/>
          <w:spacing w:val="0"/>
          <w:w w:val="100"/>
          <w:position w:val="0"/>
          <w:sz w:val="24"/>
          <w:szCs w:val="24"/>
          <w:highlight w:val="none"/>
        </w:rPr>
        <w:t>小微企业采购。即：提供的货物或服务全部由符合政策要求的中小/小微企业制造、服务全部由符合政策要求的中小/小微企业承接。</w:t>
      </w:r>
    </w:p>
    <w:p w14:paraId="32C4FE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供应商为中小企业，或供应商以联合体形式参加采购活动且联合体中中小企业承担的 部分达到一定比例，或获得采购合同的供应商将采购项目中的一定比例分包给一家或者多家中小企业”。</w:t>
      </w:r>
    </w:p>
    <w:p w14:paraId="53CCB93C">
      <w:pPr>
        <w:pStyle w:val="19"/>
        <w:pageBreakBefore w:val="0"/>
        <w:kinsoku/>
        <w:wordWrap/>
        <w:overflowPunct/>
        <w:autoSpaceDE/>
        <w:autoSpaceDN/>
        <w:bidi w:val="0"/>
        <w:spacing w:before="0" w:beforeAutospacing="0" w:after="0" w:afterAutospacing="0" w:line="360" w:lineRule="auto"/>
        <w:ind w:left="0" w:right="0" w:firstLine="480" w:firstLineChars="200"/>
        <w:rPr>
          <w:rFonts w:hint="eastAsia" w:ascii="宋体" w:hAnsi="宋体" w:eastAsia="宋体" w:cs="宋体"/>
          <w:color w:val="auto"/>
          <w:highlight w:val="none"/>
          <w:lang w:val="en-US" w:eastAsia="zh-CN" w:bidi="ar"/>
        </w:rPr>
      </w:pPr>
      <w:r>
        <w:rPr>
          <w:rFonts w:hint="eastAsia" w:ascii="宋体" w:hAnsi="宋体" w:eastAsia="宋体" w:cs="宋体"/>
          <w:color w:val="auto"/>
          <w:highlight w:val="none"/>
          <w:lang w:val="en-US" w:eastAsia="zh-CN" w:bidi="ar"/>
        </w:rPr>
        <w:t>2.2其他落实政府采购政策</w:t>
      </w:r>
    </w:p>
    <w:p w14:paraId="74ABF6A5">
      <w:pPr>
        <w:pStyle w:val="14"/>
        <w:pageBreakBefore w:val="0"/>
        <w:kinsoku/>
        <w:wordWrap/>
        <w:overflowPunct/>
        <w:autoSpaceDE/>
        <w:autoSpaceDN/>
        <w:bidi w:val="0"/>
        <w:snapToGrid w:val="0"/>
        <w:spacing w:beforeAutospacing="0" w:afterAutospacing="0" w:line="360" w:lineRule="auto"/>
        <w:ind w:left="0" w:leftChars="0" w:right="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（1）财政部、国家发展改革委、生态环境部、市场监管总局《关于调整优化节能产品、环境标志产品政府采购执行机制的通知》（财库[2019]9号文）；</w:t>
      </w:r>
    </w:p>
    <w:p w14:paraId="5E9817C3">
      <w:pPr>
        <w:pStyle w:val="14"/>
        <w:pageBreakBefore w:val="0"/>
        <w:kinsoku/>
        <w:wordWrap/>
        <w:overflowPunct/>
        <w:autoSpaceDE/>
        <w:autoSpaceDN/>
        <w:bidi w:val="0"/>
        <w:snapToGrid w:val="0"/>
        <w:spacing w:beforeAutospacing="0" w:afterAutospacing="0" w:line="360" w:lineRule="auto"/>
        <w:ind w:left="0" w:leftChars="0" w:right="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（2）财政部、生态环境部《关于印发环境标志产品政府采购品目清单的通知》（财库[2019]18号文）；</w:t>
      </w:r>
    </w:p>
    <w:p w14:paraId="25502C81">
      <w:pPr>
        <w:pStyle w:val="14"/>
        <w:pageBreakBefore w:val="0"/>
        <w:kinsoku/>
        <w:wordWrap/>
        <w:overflowPunct/>
        <w:autoSpaceDE/>
        <w:autoSpaceDN/>
        <w:bidi w:val="0"/>
        <w:snapToGrid w:val="0"/>
        <w:spacing w:beforeAutospacing="0" w:afterAutospacing="0" w:line="360" w:lineRule="auto"/>
        <w:ind w:left="0" w:leftChars="0" w:right="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（3）财政部、发展改革委《关于印发节能产品政府采购品目清单的通知》（财库[2019]19号文）；</w:t>
      </w:r>
    </w:p>
    <w:p w14:paraId="399F5F6D">
      <w:pPr>
        <w:pStyle w:val="14"/>
        <w:pageBreakBefore w:val="0"/>
        <w:kinsoku/>
        <w:wordWrap/>
        <w:overflowPunct/>
        <w:autoSpaceDE/>
        <w:autoSpaceDN/>
        <w:bidi w:val="0"/>
        <w:snapToGrid w:val="0"/>
        <w:spacing w:beforeAutospacing="0" w:afterAutospacing="0" w:line="360" w:lineRule="auto"/>
        <w:ind w:left="0" w:leftChars="0" w:right="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（4）市场监管总局《市场监管总局关于发布参与实施政府采购节能产品、环境标志产品认证机构名录的公告》（2019年第16号）；</w:t>
      </w:r>
    </w:p>
    <w:p w14:paraId="5ADC2191">
      <w:pPr>
        <w:pStyle w:val="14"/>
        <w:pageBreakBefore w:val="0"/>
        <w:kinsoku/>
        <w:wordWrap/>
        <w:overflowPunct/>
        <w:autoSpaceDE/>
        <w:autoSpaceDN/>
        <w:bidi w:val="0"/>
        <w:snapToGrid w:val="0"/>
        <w:spacing w:beforeAutospacing="0" w:afterAutospacing="0" w:line="360" w:lineRule="auto"/>
        <w:ind w:left="0" w:leftChars="0" w:right="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（5）财政部、工业和信息化部《关于印发《政府采购促进中小企业发展管理办法》的通知》（财库[2020]46号文）《关于进一步加大政府采购支持中小企业力度的通知》（财库[2022]19号文）执行；</w:t>
      </w:r>
    </w:p>
    <w:p w14:paraId="2042C3A5">
      <w:pPr>
        <w:pStyle w:val="14"/>
        <w:pageBreakBefore w:val="0"/>
        <w:kinsoku/>
        <w:wordWrap/>
        <w:overflowPunct/>
        <w:autoSpaceDE/>
        <w:autoSpaceDN/>
        <w:bidi w:val="0"/>
        <w:snapToGrid w:val="0"/>
        <w:spacing w:beforeAutospacing="0" w:afterAutospacing="0" w:line="360" w:lineRule="auto"/>
        <w:ind w:left="0" w:leftChars="0" w:right="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（6）财政部、民政部、中国残疾人联合会《关于促进残疾人就业政府采购政策的通知》（财库[2017]141号）；</w:t>
      </w:r>
    </w:p>
    <w:p w14:paraId="15471C64">
      <w:pPr>
        <w:pStyle w:val="14"/>
        <w:pageBreakBefore w:val="0"/>
        <w:kinsoku/>
        <w:wordWrap/>
        <w:overflowPunct/>
        <w:autoSpaceDE/>
        <w:autoSpaceDN/>
        <w:bidi w:val="0"/>
        <w:snapToGrid w:val="0"/>
        <w:spacing w:beforeAutospacing="0" w:afterAutospacing="0" w:line="360" w:lineRule="auto"/>
        <w:ind w:left="0" w:leftChars="0" w:right="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（7）财政部、司法部《关于政府采购支持监狱企业发展有关问题的通知》（财库[2014]68号文）；</w:t>
      </w:r>
    </w:p>
    <w:p w14:paraId="46930AB7">
      <w:pPr>
        <w:pStyle w:val="14"/>
        <w:pageBreakBefore w:val="0"/>
        <w:kinsoku/>
        <w:wordWrap/>
        <w:overflowPunct/>
        <w:autoSpaceDE/>
        <w:autoSpaceDN/>
        <w:bidi w:val="0"/>
        <w:snapToGrid w:val="0"/>
        <w:spacing w:beforeAutospacing="0" w:afterAutospacing="0" w:line="360" w:lineRule="auto"/>
        <w:ind w:left="0" w:leftChars="0" w:right="0" w:firstLine="480" w:firstLineChars="200"/>
        <w:outlineLvl w:val="2"/>
        <w:rPr>
          <w:rFonts w:hint="eastAsia" w:ascii="宋体" w:hAnsi="宋体" w:eastAsia="宋体"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kern w:val="0"/>
          <w:sz w:val="24"/>
          <w:szCs w:val="24"/>
          <w:highlight w:val="none"/>
          <w:lang w:val="en-US" w:eastAsia="zh-CN" w:bidi="ar-SA"/>
        </w:rPr>
        <w:t>（8）财政部、生态环境部、国家邮政局《关于印发《商品包装政府采购需求标准（试行）》《快递包装政府采购需求标准（试行）》的通知》（财办库〔2020〕123号）。</w:t>
      </w:r>
    </w:p>
    <w:p w14:paraId="6FF8817B">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outlineLvl w:val="2"/>
        <w:rPr>
          <w:rFonts w:hint="eastAsia" w:ascii="宋体" w:hAnsi="宋体" w:eastAsia="宋体" w:cs="宋体"/>
          <w:i w:val="0"/>
          <w:iCs w:val="0"/>
          <w:caps w:val="0"/>
          <w:color w:val="auto"/>
          <w:spacing w:val="0"/>
          <w:sz w:val="24"/>
          <w:szCs w:val="24"/>
          <w:highlight w:val="none"/>
          <w:lang w:val="en-US" w:eastAsia="zh-CN"/>
        </w:rPr>
      </w:pPr>
      <w:bookmarkStart w:id="13" w:name="_Toc5294"/>
      <w:r>
        <w:rPr>
          <w:rFonts w:hint="eastAsia" w:ascii="宋体" w:hAnsi="宋体" w:eastAsia="宋体" w:cs="宋体"/>
          <w:i w:val="0"/>
          <w:iCs w:val="0"/>
          <w:caps w:val="0"/>
          <w:color w:val="auto"/>
          <w:spacing w:val="0"/>
          <w:sz w:val="24"/>
          <w:szCs w:val="24"/>
          <w:highlight w:val="none"/>
          <w:lang w:val="en-US" w:eastAsia="zh-CN"/>
        </w:rPr>
        <w:t>3.本项目的特定资格要求：</w:t>
      </w:r>
      <w:bookmarkEnd w:id="13"/>
    </w:p>
    <w:p w14:paraId="615659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bookmarkStart w:id="14" w:name="_Toc14519"/>
      <w:bookmarkStart w:id="15" w:name="_Toc4096"/>
      <w:bookmarkStart w:id="16" w:name="_Toc29122"/>
      <w:r>
        <w:rPr>
          <w:rFonts w:hint="eastAsia" w:ascii="宋体" w:hAnsi="宋体" w:eastAsia="宋体" w:cs="宋体"/>
          <w:caps w:val="0"/>
          <w:color w:val="auto"/>
          <w:spacing w:val="0"/>
          <w:w w:val="100"/>
          <w:position w:val="0"/>
          <w:sz w:val="24"/>
          <w:szCs w:val="24"/>
          <w:highlight w:val="none"/>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p w14:paraId="020331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（2）有依法缴纳税收和社会保障资金的良好记录：提供近段时间内（</w:t>
      </w:r>
      <w:r>
        <w:rPr>
          <w:rFonts w:hint="eastAsia" w:ascii="宋体" w:hAnsi="宋体" w:cs="宋体"/>
          <w:caps w:val="0"/>
          <w:color w:val="auto"/>
          <w:spacing w:val="0"/>
          <w:w w:val="100"/>
          <w:position w:val="0"/>
          <w:sz w:val="24"/>
          <w:szCs w:val="24"/>
          <w:highlight w:val="none"/>
          <w:lang w:eastAsia="zh-CN"/>
        </w:rPr>
        <w:t>2025年1月-2025年3月</w:t>
      </w:r>
      <w:r>
        <w:rPr>
          <w:rFonts w:hint="eastAsia" w:ascii="宋体" w:hAnsi="宋体" w:eastAsia="宋体" w:cs="宋体"/>
          <w:caps w:val="0"/>
          <w:color w:val="auto"/>
          <w:spacing w:val="0"/>
          <w:w w:val="100"/>
          <w:position w:val="0"/>
          <w:sz w:val="24"/>
          <w:szCs w:val="24"/>
          <w:highlight w:val="none"/>
        </w:rPr>
        <w:t>、新成立的公司按实际发生提供）的</w:t>
      </w:r>
      <w:r>
        <w:rPr>
          <w:rFonts w:hint="eastAsia" w:ascii="宋体" w:hAnsi="宋体" w:cs="宋体"/>
          <w:caps w:val="0"/>
          <w:color w:val="auto"/>
          <w:spacing w:val="0"/>
          <w:w w:val="100"/>
          <w:position w:val="0"/>
          <w:sz w:val="24"/>
          <w:szCs w:val="24"/>
          <w:highlight w:val="none"/>
          <w:lang w:eastAsia="zh-CN"/>
        </w:rPr>
        <w:t>（含印花税、增值税等税种）或税务部门出具的无欠税证明</w:t>
      </w:r>
      <w:r>
        <w:rPr>
          <w:rFonts w:hint="eastAsia" w:ascii="宋体" w:hAnsi="宋体" w:eastAsia="宋体" w:cs="宋体"/>
          <w:caps w:val="0"/>
          <w:color w:val="auto"/>
          <w:spacing w:val="0"/>
          <w:w w:val="100"/>
          <w:position w:val="0"/>
          <w:sz w:val="24"/>
          <w:szCs w:val="24"/>
          <w:highlight w:val="none"/>
        </w:rPr>
        <w:t>（开具日期须在招标公告发布日期之后）；如依法免税的，应提供相应文件证明；提供近段时间内（</w:t>
      </w:r>
      <w:r>
        <w:rPr>
          <w:rFonts w:hint="eastAsia" w:ascii="宋体" w:hAnsi="宋体" w:cs="宋体"/>
          <w:caps w:val="0"/>
          <w:color w:val="auto"/>
          <w:spacing w:val="0"/>
          <w:w w:val="100"/>
          <w:position w:val="0"/>
          <w:sz w:val="24"/>
          <w:szCs w:val="24"/>
          <w:highlight w:val="none"/>
          <w:lang w:eastAsia="zh-CN"/>
        </w:rPr>
        <w:t>2025年1月-2025年3月</w:t>
      </w:r>
      <w:r>
        <w:rPr>
          <w:rFonts w:hint="eastAsia" w:ascii="宋体" w:hAnsi="宋体" w:eastAsia="宋体" w:cs="宋体"/>
          <w:caps w:val="0"/>
          <w:color w:val="auto"/>
          <w:spacing w:val="0"/>
          <w:w w:val="100"/>
          <w:position w:val="0"/>
          <w:sz w:val="24"/>
          <w:szCs w:val="24"/>
          <w:highlight w:val="none"/>
        </w:rPr>
        <w:t>、新成立的公司按实际发生提供）的缴纳社保证明材料加盖公章。</w:t>
      </w:r>
      <w:r>
        <w:rPr>
          <w:rFonts w:hint="eastAsia" w:ascii="宋体" w:hAnsi="宋体" w:cs="宋体"/>
          <w:caps w:val="0"/>
          <w:color w:val="auto"/>
          <w:spacing w:val="0"/>
          <w:w w:val="100"/>
          <w:position w:val="0"/>
          <w:sz w:val="24"/>
          <w:szCs w:val="24"/>
          <w:highlight w:val="none"/>
          <w:lang w:eastAsia="zh-CN"/>
        </w:rPr>
        <w:t>（社保证明材料须是社保局出具的缴纳证明或社保系统导出的缴纳汇总凭证，新成立的公司按实际发生提供，如依法不需要缴纳社会保障资金的，应提供相应文件证明）</w:t>
      </w:r>
      <w:r>
        <w:rPr>
          <w:rFonts w:hint="eastAsia" w:ascii="宋体" w:hAnsi="宋体" w:eastAsia="宋体" w:cs="宋体"/>
          <w:caps w:val="0"/>
          <w:color w:val="auto"/>
          <w:spacing w:val="0"/>
          <w:w w:val="100"/>
          <w:position w:val="0"/>
          <w:sz w:val="24"/>
          <w:szCs w:val="24"/>
          <w:highlight w:val="none"/>
        </w:rPr>
        <w:t>；</w:t>
      </w:r>
    </w:p>
    <w:p w14:paraId="22B266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（3）具有良好的商业信誉和健全的财务会计制度：提供2023年度或2024年度由第三方财务审计机构出具的财务审计报告或新成立的企业提供银行出具的近三个月的资信证明；</w:t>
      </w:r>
    </w:p>
    <w:p w14:paraId="0D41CE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（4）履行合同所必需的设备和专业技术能力：提供《投标人资格声明函》；</w:t>
      </w:r>
    </w:p>
    <w:p w14:paraId="39F8FB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 万元以上的罚款，法律、行政法规以及国务院有关部门明确规定相关领域“较大数额罚款”标准高于200 万元的，从其规定）</w:t>
      </w:r>
    </w:p>
    <w:p w14:paraId="69F2BA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6）近三年内（本项目投标截止期前）未被“信用中国”（www.creditchina.gov.cn）、中国政府采购网（www.ccgp.gov.cn）列入失信被执行人、重大税收违法案件当事人名单、政府采购严重违法失信行为记录名单（开标现场查询）。</w:t>
      </w:r>
    </w:p>
    <w:p w14:paraId="2FF3AC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（7）企业负责人为同一人或者存在直接控股、管理关系的不同投标人，不得参加同一合同项下的政府采购活动。否则，皆取消投标资格。</w:t>
      </w:r>
    </w:p>
    <w:p w14:paraId="49F4FE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（8）投标保证金或电子保函。</w:t>
      </w:r>
    </w:p>
    <w:p w14:paraId="21AB19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（9）供应商提供有效的中小企业声明函</w:t>
      </w:r>
    </w:p>
    <w:p w14:paraId="2457CD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（10）本项目不接受联合体投标。</w:t>
      </w:r>
    </w:p>
    <w:p w14:paraId="3FF3E9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三、获取招标文件</w:t>
      </w:r>
      <w:bookmarkEnd w:id="14"/>
      <w:bookmarkEnd w:id="15"/>
      <w:bookmarkEnd w:id="16"/>
    </w:p>
    <w:p w14:paraId="293C0CC5">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时间：</w:t>
      </w:r>
      <w:r>
        <w:rPr>
          <w:rFonts w:hint="eastAsia" w:ascii="宋体" w:hAnsi="宋体" w:eastAsia="宋体" w:cs="宋体"/>
          <w:i w:val="0"/>
          <w:iCs w:val="0"/>
          <w:caps w:val="0"/>
          <w:color w:val="auto"/>
          <w:spacing w:val="0"/>
          <w:sz w:val="24"/>
          <w:szCs w:val="24"/>
          <w:highlight w:val="none"/>
          <w:lang w:val="en-US" w:eastAsia="zh-CN"/>
        </w:rPr>
        <w:t>202</w:t>
      </w:r>
      <w:r>
        <w:rPr>
          <w:rFonts w:hint="eastAsia"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val="en-US" w:eastAsia="zh-CN"/>
        </w:rPr>
        <w:t>年</w:t>
      </w:r>
      <w:r>
        <w:rPr>
          <w:rFonts w:hint="eastAsia"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lang w:val="en-US" w:eastAsia="zh-CN"/>
        </w:rPr>
        <w:t>月</w:t>
      </w:r>
      <w:r>
        <w:rPr>
          <w:rFonts w:hint="eastAsia"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lang w:val="en-US" w:eastAsia="zh-CN"/>
        </w:rPr>
        <w:t>日至</w:t>
      </w:r>
      <w:r>
        <w:rPr>
          <w:rFonts w:hint="eastAsia" w:cs="宋体"/>
          <w:i w:val="0"/>
          <w:iCs w:val="0"/>
          <w:caps w:val="0"/>
          <w:color w:val="auto"/>
          <w:spacing w:val="0"/>
          <w:sz w:val="24"/>
          <w:szCs w:val="24"/>
          <w:highlight w:val="none"/>
          <w:lang w:val="en-US" w:eastAsia="zh-CN"/>
        </w:rPr>
        <w:t>2025年4月18日</w:t>
      </w:r>
      <w:r>
        <w:rPr>
          <w:rFonts w:hint="eastAsia" w:ascii="宋体" w:hAnsi="宋体" w:eastAsia="宋体" w:cs="宋体"/>
          <w:i w:val="0"/>
          <w:iCs w:val="0"/>
          <w:caps w:val="0"/>
          <w:color w:val="auto"/>
          <w:spacing w:val="0"/>
          <w:sz w:val="24"/>
          <w:szCs w:val="24"/>
          <w:highlight w:val="none"/>
          <w:lang w:val="en-US" w:eastAsia="zh-CN"/>
        </w:rPr>
        <w:t>，每天上午00:00至12:00，下午12:00至23:59</w:t>
      </w:r>
    </w:p>
    <w:p w14:paraId="67A02457">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地点：政采云平台https://www.zcygov.cn/线上获取</w:t>
      </w:r>
    </w:p>
    <w:p w14:paraId="4018929E">
      <w:pPr>
        <w:keepNext w:val="0"/>
        <w:keepLines w:val="0"/>
        <w:pageBreakBefore w:val="0"/>
        <w:widowControl w:val="0"/>
        <w:kinsoku/>
        <w:wordWrap/>
        <w:overflowPunct/>
        <w:topLinePunct/>
        <w:autoSpaceDE/>
        <w:autoSpaceDN/>
        <w:bidi w:val="0"/>
        <w:adjustRightInd w:val="0"/>
        <w:snapToGrid w:val="0"/>
        <w:spacing w:beforeAutospacing="0" w:afterAutospacing="0"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方式：供应商登录政采云平台https://www.zcygov.cn/在线申请获取采购文件（进入“项目采购”应用，在获取采购文件菜单中选择项目，申请获取采购文件）</w:t>
      </w:r>
      <w:r>
        <w:rPr>
          <w:rFonts w:hint="eastAsia" w:ascii="宋体" w:hAnsi="宋体" w:eastAsia="宋体" w:cs="宋体"/>
          <w:color w:val="auto"/>
          <w:kern w:val="0"/>
          <w:sz w:val="24"/>
          <w:szCs w:val="24"/>
          <w:highlight w:val="none"/>
        </w:rPr>
        <w:t>。 </w:t>
      </w:r>
    </w:p>
    <w:p w14:paraId="02397DEF">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售价（元）：0</w:t>
      </w:r>
    </w:p>
    <w:p w14:paraId="1537FA8F">
      <w:pPr>
        <w:pStyle w:val="4"/>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bookmarkStart w:id="17" w:name="_Toc4398"/>
      <w:bookmarkStart w:id="18" w:name="_Toc20322"/>
      <w:bookmarkStart w:id="19" w:name="_Toc4068"/>
      <w:r>
        <w:rPr>
          <w:rFonts w:hint="eastAsia" w:ascii="宋体" w:hAnsi="宋体" w:eastAsia="宋体" w:cs="宋体"/>
          <w:b/>
          <w:bCs/>
          <w:i w:val="0"/>
          <w:iCs w:val="0"/>
          <w:caps w:val="0"/>
          <w:color w:val="auto"/>
          <w:spacing w:val="0"/>
          <w:kern w:val="0"/>
          <w:sz w:val="24"/>
          <w:szCs w:val="24"/>
          <w:highlight w:val="none"/>
          <w:lang w:val="en-US" w:eastAsia="zh-CN" w:bidi="ar"/>
        </w:rPr>
        <w:t>四、提交投标文件截止时间、开标时间和地点</w:t>
      </w:r>
      <w:bookmarkEnd w:id="17"/>
      <w:bookmarkEnd w:id="18"/>
      <w:bookmarkEnd w:id="19"/>
    </w:p>
    <w:p w14:paraId="017AC963">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提交投标文件截止时间：</w:t>
      </w:r>
      <w:r>
        <w:rPr>
          <w:rFonts w:hint="eastAsia" w:cs="宋体"/>
          <w:i w:val="0"/>
          <w:iCs w:val="0"/>
          <w:caps w:val="0"/>
          <w:color w:val="auto"/>
          <w:spacing w:val="0"/>
          <w:sz w:val="24"/>
          <w:szCs w:val="24"/>
          <w:highlight w:val="none"/>
          <w:lang w:val="en-US" w:eastAsia="zh-CN"/>
        </w:rPr>
        <w:t>2025年4月23日11：30</w:t>
      </w:r>
      <w:r>
        <w:rPr>
          <w:rFonts w:hint="eastAsia" w:ascii="宋体" w:hAnsi="宋体" w:eastAsia="宋体" w:cs="宋体"/>
          <w:i w:val="0"/>
          <w:iCs w:val="0"/>
          <w:caps w:val="0"/>
          <w:color w:val="auto"/>
          <w:spacing w:val="0"/>
          <w:sz w:val="24"/>
          <w:szCs w:val="24"/>
          <w:highlight w:val="none"/>
          <w:lang w:val="en-US" w:eastAsia="zh-CN"/>
        </w:rPr>
        <w:t>（北京时间）</w:t>
      </w:r>
    </w:p>
    <w:p w14:paraId="0D46960C">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投标地点：投标人应于</w:t>
      </w:r>
      <w:r>
        <w:rPr>
          <w:rFonts w:hint="eastAsia" w:cs="宋体"/>
          <w:i w:val="0"/>
          <w:iCs w:val="0"/>
          <w:caps w:val="0"/>
          <w:color w:val="auto"/>
          <w:spacing w:val="0"/>
          <w:sz w:val="24"/>
          <w:szCs w:val="24"/>
          <w:highlight w:val="none"/>
          <w:lang w:val="en-US" w:eastAsia="zh-CN"/>
        </w:rPr>
        <w:t>2025年4月23日11：30</w:t>
      </w:r>
      <w:r>
        <w:rPr>
          <w:rFonts w:hint="eastAsia" w:ascii="宋体" w:hAnsi="宋体" w:eastAsia="宋体" w:cs="宋体"/>
          <w:i w:val="0"/>
          <w:iCs w:val="0"/>
          <w:caps w:val="0"/>
          <w:color w:val="auto"/>
          <w:spacing w:val="0"/>
          <w:sz w:val="24"/>
          <w:szCs w:val="24"/>
          <w:highlight w:val="none"/>
          <w:lang w:val="en-US" w:eastAsia="zh-CN"/>
        </w:rPr>
        <w:t>（北京时间）之前将电子投标文件上传到新疆政府采购平台。应按照本项目招标文件和新疆政府采购平台的要求编制、加密传输投标文件。</w:t>
      </w:r>
    </w:p>
    <w:p w14:paraId="02084C14">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开标时间：</w:t>
      </w:r>
      <w:r>
        <w:rPr>
          <w:rFonts w:hint="eastAsia" w:cs="宋体"/>
          <w:i w:val="0"/>
          <w:iCs w:val="0"/>
          <w:caps w:val="0"/>
          <w:color w:val="auto"/>
          <w:spacing w:val="0"/>
          <w:sz w:val="24"/>
          <w:szCs w:val="24"/>
          <w:highlight w:val="none"/>
          <w:lang w:val="en-US" w:eastAsia="zh-CN"/>
        </w:rPr>
        <w:t>2025年4月23日11：30</w:t>
      </w:r>
      <w:r>
        <w:rPr>
          <w:rFonts w:hint="eastAsia" w:ascii="宋体" w:hAnsi="宋体" w:eastAsia="宋体" w:cs="宋体"/>
          <w:i w:val="0"/>
          <w:iCs w:val="0"/>
          <w:caps w:val="0"/>
          <w:color w:val="auto"/>
          <w:spacing w:val="0"/>
          <w:sz w:val="24"/>
          <w:szCs w:val="24"/>
          <w:highlight w:val="none"/>
          <w:lang w:val="en-US" w:eastAsia="zh-CN"/>
        </w:rPr>
        <w:t>（北京时间）</w:t>
      </w:r>
    </w:p>
    <w:p w14:paraId="584F0F67">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开标地点：政采云平台不见面开标</w:t>
      </w:r>
    </w:p>
    <w:p w14:paraId="469ECEFA">
      <w:pPr>
        <w:pStyle w:val="4"/>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bookmarkStart w:id="20" w:name="_Toc19015"/>
      <w:bookmarkStart w:id="21" w:name="_Toc9151"/>
      <w:bookmarkStart w:id="22" w:name="_Toc30941"/>
      <w:r>
        <w:rPr>
          <w:rFonts w:hint="eastAsia" w:ascii="宋体" w:hAnsi="宋体" w:eastAsia="宋体" w:cs="宋体"/>
          <w:b/>
          <w:bCs/>
          <w:i w:val="0"/>
          <w:iCs w:val="0"/>
          <w:caps w:val="0"/>
          <w:color w:val="auto"/>
          <w:spacing w:val="0"/>
          <w:kern w:val="0"/>
          <w:sz w:val="24"/>
          <w:szCs w:val="24"/>
          <w:highlight w:val="none"/>
          <w:lang w:val="en-US" w:eastAsia="zh-CN" w:bidi="ar"/>
        </w:rPr>
        <w:t>五、公告期限</w:t>
      </w:r>
      <w:bookmarkEnd w:id="20"/>
      <w:bookmarkEnd w:id="21"/>
      <w:bookmarkEnd w:id="22"/>
    </w:p>
    <w:p w14:paraId="59664E7F">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自本公告发布之日起5个工作日。</w:t>
      </w:r>
    </w:p>
    <w:p w14:paraId="351750CE">
      <w:pPr>
        <w:pStyle w:val="4"/>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bookmarkStart w:id="23" w:name="_Toc1504"/>
      <w:bookmarkStart w:id="24" w:name="_Toc32428"/>
      <w:bookmarkStart w:id="25" w:name="_Toc2426"/>
      <w:r>
        <w:rPr>
          <w:rFonts w:hint="eastAsia" w:ascii="宋体" w:hAnsi="宋体" w:eastAsia="宋体" w:cs="宋体"/>
          <w:b/>
          <w:bCs/>
          <w:i w:val="0"/>
          <w:iCs w:val="0"/>
          <w:caps w:val="0"/>
          <w:color w:val="auto"/>
          <w:spacing w:val="0"/>
          <w:kern w:val="0"/>
          <w:sz w:val="24"/>
          <w:szCs w:val="24"/>
          <w:highlight w:val="none"/>
          <w:lang w:val="en-US" w:eastAsia="zh-CN" w:bidi="ar"/>
        </w:rPr>
        <w:t>六、其他补充事宜</w:t>
      </w:r>
      <w:bookmarkEnd w:id="23"/>
      <w:bookmarkEnd w:id="24"/>
      <w:bookmarkEnd w:id="25"/>
    </w:p>
    <w:p w14:paraId="594F7C5C">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1、本项目实行网上投标，采用电子投标文件。若供应商参与投标，自行承担投标一切费用。</w:t>
      </w:r>
    </w:p>
    <w:p w14:paraId="2A19B22D">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7306F334">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0427B663">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p>
    <w:p w14:paraId="06B66C98">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22"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b/>
          <w:bCs/>
          <w:i w:val="0"/>
          <w:caps w:val="0"/>
          <w:color w:val="auto"/>
          <w:spacing w:val="0"/>
          <w:kern w:val="0"/>
          <w:sz w:val="21"/>
          <w:szCs w:val="21"/>
          <w:highlight w:val="none"/>
          <w:vertAlign w:val="baseline"/>
          <w:lang w:val="en-US" w:eastAsia="zh-CN" w:bidi="ar"/>
        </w:rPr>
        <w:t>特别强调：</w:t>
      </w:r>
    </w:p>
    <w:p w14:paraId="560C42FD">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14:paraId="6C03F09D">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628D3849">
      <w:pPr>
        <w:pStyle w:val="4"/>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eastAsia" w:ascii="宋体" w:hAnsi="宋体" w:eastAsia="宋体" w:cs="宋体"/>
          <w:b/>
          <w:bCs/>
          <w:i w:val="0"/>
          <w:iCs w:val="0"/>
          <w:caps w:val="0"/>
          <w:color w:val="auto"/>
          <w:spacing w:val="0"/>
          <w:kern w:val="0"/>
          <w:sz w:val="24"/>
          <w:szCs w:val="24"/>
          <w:highlight w:val="none"/>
          <w:lang w:val="en-US" w:eastAsia="zh-CN" w:bidi="ar"/>
        </w:rPr>
      </w:pPr>
      <w:bookmarkStart w:id="26" w:name="_Toc3294"/>
      <w:bookmarkStart w:id="27" w:name="_Toc9402"/>
      <w:bookmarkStart w:id="28" w:name="_Toc3331"/>
      <w:r>
        <w:rPr>
          <w:rFonts w:hint="eastAsia" w:ascii="宋体" w:hAnsi="宋体" w:eastAsia="宋体" w:cs="宋体"/>
          <w:b/>
          <w:bCs/>
          <w:i w:val="0"/>
          <w:iCs w:val="0"/>
          <w:caps w:val="0"/>
          <w:color w:val="auto"/>
          <w:spacing w:val="0"/>
          <w:kern w:val="0"/>
          <w:sz w:val="24"/>
          <w:szCs w:val="24"/>
          <w:highlight w:val="none"/>
          <w:lang w:val="en-US" w:eastAsia="zh-CN" w:bidi="ar"/>
        </w:rPr>
        <w:t>七、对本次采购提出询问，请按以下方式联系</w:t>
      </w:r>
      <w:bookmarkEnd w:id="26"/>
      <w:bookmarkEnd w:id="27"/>
      <w:bookmarkEnd w:id="28"/>
    </w:p>
    <w:p w14:paraId="77B21413">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1.采购人信息</w:t>
      </w:r>
    </w:p>
    <w:p w14:paraId="7DFF7E17">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名称：</w:t>
      </w:r>
      <w:r>
        <w:rPr>
          <w:rFonts w:hint="eastAsia" w:cs="宋体"/>
          <w:i w:val="0"/>
          <w:iCs w:val="0"/>
          <w:caps w:val="0"/>
          <w:color w:val="auto"/>
          <w:spacing w:val="0"/>
          <w:sz w:val="24"/>
          <w:szCs w:val="24"/>
          <w:highlight w:val="none"/>
          <w:lang w:val="en-US" w:eastAsia="zh-CN"/>
        </w:rPr>
        <w:t>洛浦县恰尔巴格镇人民政府</w:t>
      </w:r>
    </w:p>
    <w:p w14:paraId="490014B9">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地址：</w:t>
      </w:r>
      <w:r>
        <w:rPr>
          <w:rFonts w:hint="eastAsia" w:cs="宋体"/>
          <w:i w:val="0"/>
          <w:iCs w:val="0"/>
          <w:caps w:val="0"/>
          <w:color w:val="auto"/>
          <w:spacing w:val="0"/>
          <w:sz w:val="24"/>
          <w:szCs w:val="24"/>
          <w:highlight w:val="none"/>
          <w:lang w:val="en-US" w:eastAsia="zh-CN"/>
        </w:rPr>
        <w:t>洛浦县恰尔巴格镇人民政府</w:t>
      </w:r>
    </w:p>
    <w:p w14:paraId="392B32BB">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联系方式：</w:t>
      </w:r>
      <w:r>
        <w:rPr>
          <w:rFonts w:hint="eastAsia" w:cs="宋体"/>
          <w:i w:val="0"/>
          <w:iCs w:val="0"/>
          <w:caps w:val="0"/>
          <w:color w:val="auto"/>
          <w:spacing w:val="0"/>
          <w:sz w:val="24"/>
          <w:szCs w:val="24"/>
          <w:highlight w:val="none"/>
          <w:lang w:val="en-US" w:eastAsia="zh-CN"/>
        </w:rPr>
        <w:t>16690028865</w:t>
      </w:r>
    </w:p>
    <w:p w14:paraId="3E5FE182">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2.采购代理机构信息</w:t>
      </w:r>
    </w:p>
    <w:p w14:paraId="5701C85B">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名称：</w:t>
      </w:r>
      <w:r>
        <w:rPr>
          <w:rFonts w:hint="eastAsia" w:cs="宋体"/>
          <w:i w:val="0"/>
          <w:iCs w:val="0"/>
          <w:caps w:val="0"/>
          <w:color w:val="auto"/>
          <w:spacing w:val="0"/>
          <w:sz w:val="24"/>
          <w:szCs w:val="24"/>
          <w:highlight w:val="none"/>
          <w:lang w:val="en-US" w:eastAsia="zh-CN"/>
        </w:rPr>
        <w:t>新疆策源项目管理咨询有限公司</w:t>
      </w:r>
    </w:p>
    <w:p w14:paraId="243C3396">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地址：</w:t>
      </w:r>
      <w:r>
        <w:rPr>
          <w:rFonts w:hint="eastAsia" w:cs="宋体"/>
          <w:i w:val="0"/>
          <w:iCs w:val="0"/>
          <w:caps w:val="0"/>
          <w:color w:val="auto"/>
          <w:spacing w:val="0"/>
          <w:sz w:val="24"/>
          <w:szCs w:val="24"/>
          <w:highlight w:val="none"/>
          <w:lang w:val="en-US" w:eastAsia="zh-CN"/>
        </w:rPr>
        <w:t>新疆和田地区和田市平安南路990号</w:t>
      </w:r>
    </w:p>
    <w:p w14:paraId="3F9E5677">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联系人：</w:t>
      </w:r>
      <w:r>
        <w:rPr>
          <w:rFonts w:hint="eastAsia" w:cs="宋体"/>
          <w:i w:val="0"/>
          <w:iCs w:val="0"/>
          <w:caps w:val="0"/>
          <w:color w:val="auto"/>
          <w:spacing w:val="0"/>
          <w:sz w:val="24"/>
          <w:szCs w:val="24"/>
          <w:highlight w:val="none"/>
          <w:lang w:val="en-US" w:eastAsia="zh-CN"/>
        </w:rPr>
        <w:t>王先生</w:t>
      </w:r>
    </w:p>
    <w:p w14:paraId="0C74E3A1">
      <w:pPr>
        <w:pStyle w:val="19"/>
        <w:keepNext w:val="0"/>
        <w:keepLines w:val="0"/>
        <w:pageBreakBefore w:val="0"/>
        <w:widowControl/>
        <w:suppressLineNumbers w:val="0"/>
        <w:kinsoku/>
        <w:wordWrap/>
        <w:overflowPunct/>
        <w:autoSpaceDE/>
        <w:autoSpaceDN/>
        <w:bidi w:val="0"/>
        <w:spacing w:before="0" w:beforeAutospacing="0" w:after="0" w:afterAutospacing="0" w:line="360" w:lineRule="auto"/>
        <w:ind w:left="0" w:right="0" w:firstLine="480" w:firstLineChars="20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联系方式：</w:t>
      </w:r>
      <w:r>
        <w:rPr>
          <w:rFonts w:hint="eastAsia" w:cs="宋体"/>
          <w:i w:val="0"/>
          <w:iCs w:val="0"/>
          <w:caps w:val="0"/>
          <w:color w:val="auto"/>
          <w:spacing w:val="0"/>
          <w:sz w:val="24"/>
          <w:szCs w:val="24"/>
          <w:highlight w:val="none"/>
          <w:lang w:val="en-US" w:eastAsia="zh-CN"/>
        </w:rPr>
        <w:t>18095921107</w:t>
      </w:r>
    </w:p>
    <w:p w14:paraId="396026F2">
      <w:pPr>
        <w:keepNext w:val="0"/>
        <w:keepLines w:val="0"/>
        <w:pageBreakBefore w:val="0"/>
        <w:widowControl w:val="0"/>
        <w:kinsoku/>
        <w:wordWrap/>
        <w:overflowPunct/>
        <w:topLinePunct/>
        <w:autoSpaceDE/>
        <w:autoSpaceDN/>
        <w:bidi w:val="0"/>
        <w:adjustRightInd w:val="0"/>
        <w:snapToGrid w:val="0"/>
        <w:spacing w:beforeAutospacing="0" w:afterAutospacing="0"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3.政府采购监督管理部门</w:t>
      </w:r>
    </w:p>
    <w:p w14:paraId="6C7831A5">
      <w:pPr>
        <w:keepNext w:val="0"/>
        <w:keepLines w:val="0"/>
        <w:pageBreakBefore w:val="0"/>
        <w:widowControl w:val="0"/>
        <w:kinsoku/>
        <w:wordWrap/>
        <w:overflowPunct/>
        <w:topLinePunct/>
        <w:autoSpaceDE/>
        <w:autoSpaceDN/>
        <w:bidi w:val="0"/>
        <w:adjustRightInd w:val="0"/>
        <w:snapToGrid w:val="0"/>
        <w:spacing w:beforeAutospacing="0" w:afterAutospacing="0"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r>
        <w:rPr>
          <w:rFonts w:hint="eastAsia" w:ascii="宋体" w:hAnsi="宋体" w:cs="宋体"/>
          <w:color w:val="auto"/>
          <w:kern w:val="0"/>
          <w:sz w:val="24"/>
          <w:szCs w:val="24"/>
          <w:highlight w:val="none"/>
          <w:lang w:val="en-US" w:eastAsia="zh-CN"/>
        </w:rPr>
        <w:t>洛浦县政府采购办公室</w:t>
      </w:r>
    </w:p>
    <w:p w14:paraId="00E7728F">
      <w:pPr>
        <w:keepNext w:val="0"/>
        <w:keepLines w:val="0"/>
        <w:pageBreakBefore w:val="0"/>
        <w:widowControl w:val="0"/>
        <w:kinsoku/>
        <w:wordWrap/>
        <w:overflowPunct/>
        <w:topLinePunct/>
        <w:autoSpaceDE/>
        <w:autoSpaceDN/>
        <w:bidi w:val="0"/>
        <w:adjustRightInd w:val="0"/>
        <w:snapToGrid w:val="0"/>
        <w:spacing w:beforeAutospacing="0" w:afterAutospacing="0" w:line="360" w:lineRule="auto"/>
        <w:ind w:left="0" w:right="0"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孙主任</w:t>
      </w:r>
    </w:p>
    <w:p w14:paraId="52D801EF">
      <w:pPr>
        <w:pageBreakBefore w:val="0"/>
        <w:widowControl/>
        <w:kinsoku/>
        <w:wordWrap/>
        <w:overflowPunct/>
        <w:autoSpaceDE/>
        <w:autoSpaceDN/>
        <w:bidi w:val="0"/>
        <w:spacing w:beforeAutospacing="0" w:afterAutospacing="0" w:line="360" w:lineRule="auto"/>
        <w:ind w:left="0" w:right="0" w:firstLine="480" w:firstLineChars="200"/>
        <w:jc w:val="both"/>
        <w:outlineLvl w:val="9"/>
        <w:rPr>
          <w:rFonts w:hint="eastAsia" w:ascii="宋体" w:hAnsi="宋体" w:eastAsia="宋体" w:cs="宋体"/>
          <w:b/>
          <w:color w:val="auto"/>
          <w:sz w:val="28"/>
          <w:szCs w:val="28"/>
          <w:highlight w:val="none"/>
        </w:rPr>
      </w:pP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eastAsia="zh-CN"/>
        </w:rPr>
        <w:t>181 9776 0184</w:t>
      </w:r>
      <w:r>
        <w:rPr>
          <w:rFonts w:hint="eastAsia" w:ascii="宋体" w:hAnsi="宋体" w:eastAsia="宋体" w:cs="宋体"/>
          <w:b/>
          <w:color w:val="auto"/>
          <w:sz w:val="28"/>
          <w:szCs w:val="28"/>
          <w:highlight w:val="none"/>
        </w:rPr>
        <w:br w:type="page"/>
      </w:r>
    </w:p>
    <w:p w14:paraId="6141C6F4">
      <w:pPr>
        <w:pStyle w:val="27"/>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特别提醒：</w:t>
      </w:r>
    </w:p>
    <w:p w14:paraId="70859EE5">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1、投标企业采用银行转账或电汇的方式的，投标保证金由投标人基本账户汇出（投标保证金需一笔汇出，分笔汇出银行系统将不予统计），且不得以分公司的名义转账，投标保证金需在</w:t>
      </w:r>
      <w:r>
        <w:rPr>
          <w:rFonts w:hint="eastAsia" w:ascii="宋体" w:hAnsi="宋体" w:cs="宋体"/>
          <w:b/>
          <w:bCs/>
          <w:i w:val="0"/>
          <w:iCs w:val="0"/>
          <w:caps w:val="0"/>
          <w:color w:val="auto"/>
          <w:spacing w:val="0"/>
          <w:kern w:val="0"/>
          <w:sz w:val="24"/>
          <w:szCs w:val="24"/>
          <w:highlight w:val="none"/>
          <w:lang w:val="en-US" w:eastAsia="zh-CN" w:bidi="ar"/>
        </w:rPr>
        <w:t>2025年4月23日11：30</w:t>
      </w:r>
      <w:r>
        <w:rPr>
          <w:rFonts w:hint="eastAsia" w:ascii="宋体" w:hAnsi="宋体" w:eastAsia="宋体" w:cs="宋体"/>
          <w:b/>
          <w:bCs/>
          <w:i w:val="0"/>
          <w:iCs w:val="0"/>
          <w:caps w:val="0"/>
          <w:color w:val="auto"/>
          <w:spacing w:val="0"/>
          <w:kern w:val="0"/>
          <w:sz w:val="24"/>
          <w:szCs w:val="24"/>
          <w:highlight w:val="none"/>
          <w:lang w:val="en-US" w:eastAsia="zh-CN" w:bidi="ar"/>
        </w:rPr>
        <w:t>（北京时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14:paraId="0660602A">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2、投标企业下载招标文件后请仔细阅读，如对招标文件内容有质疑，投标人应在有效质疑期内按招标文件中载明的方式，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14:paraId="049F400F">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cs="宋体"/>
          <w:b/>
          <w:bCs/>
          <w:i w:val="0"/>
          <w:iCs w:val="0"/>
          <w:caps w:val="0"/>
          <w:color w:val="auto"/>
          <w:spacing w:val="0"/>
          <w:kern w:val="0"/>
          <w:sz w:val="24"/>
          <w:szCs w:val="24"/>
          <w:highlight w:val="none"/>
          <w:lang w:val="en-US" w:eastAsia="zh-CN" w:bidi="ar"/>
        </w:rPr>
        <w:t>3</w:t>
      </w:r>
      <w:r>
        <w:rPr>
          <w:rFonts w:hint="eastAsia" w:ascii="宋体" w:hAnsi="宋体" w:eastAsia="宋体" w:cs="宋体"/>
          <w:b/>
          <w:bCs/>
          <w:i w:val="0"/>
          <w:iCs w:val="0"/>
          <w:caps w:val="0"/>
          <w:color w:val="auto"/>
          <w:spacing w:val="0"/>
          <w:kern w:val="0"/>
          <w:sz w:val="24"/>
          <w:szCs w:val="24"/>
          <w:highlight w:val="none"/>
          <w:lang w:val="en-US" w:eastAsia="zh-CN" w:bidi="ar"/>
        </w:rPr>
        <w:t>.电子保函使用方法：1、登录新疆维吾尔自治区政府采购网，首页点击“电子保函”直接进入新疆政府采购电子保函申请页，点击【立即申请】2、依次完善页面显示的投保人信息（供应商信息），确认您要投保的项目信息，在</w:t>
      </w:r>
      <w:r>
        <w:rPr>
          <w:rFonts w:hint="eastAsia" w:ascii="宋体" w:hAnsi="宋体" w:cs="宋体"/>
          <w:b/>
          <w:bCs/>
          <w:i w:val="0"/>
          <w:iCs w:val="0"/>
          <w:caps w:val="0"/>
          <w:color w:val="auto"/>
          <w:spacing w:val="0"/>
          <w:kern w:val="0"/>
          <w:sz w:val="24"/>
          <w:szCs w:val="24"/>
          <w:highlight w:val="none"/>
          <w:lang w:val="en-US" w:eastAsia="zh-CN" w:bidi="ar"/>
        </w:rPr>
        <w:t>投保的</w:t>
      </w:r>
      <w:r>
        <w:rPr>
          <w:rFonts w:hint="eastAsia" w:ascii="宋体" w:hAnsi="宋体" w:eastAsia="宋体" w:cs="宋体"/>
          <w:b/>
          <w:bCs/>
          <w:i w:val="0"/>
          <w:iCs w:val="0"/>
          <w:caps w:val="0"/>
          <w:color w:val="auto"/>
          <w:spacing w:val="0"/>
          <w:kern w:val="0"/>
          <w:sz w:val="24"/>
          <w:szCs w:val="24"/>
          <w:highlight w:val="none"/>
          <w:lang w:val="en-US" w:eastAsia="zh-CN" w:bidi="ar"/>
        </w:rPr>
        <w:t>项目选择页面选择您需要投保的项目（可根据项目名称或项目保函进行搜索），选择投保项目后填写被保险人信息及投保内容。服务热线：400-9039583</w:t>
      </w:r>
    </w:p>
    <w:p w14:paraId="656146C1">
      <w:pPr>
        <w:widowControl/>
        <w:spacing w:line="320" w:lineRule="exact"/>
        <w:ind w:left="141" w:hanging="141"/>
        <w:jc w:val="center"/>
        <w:outlineLvl w:val="9"/>
        <w:rPr>
          <w:rFonts w:hint="eastAsia" w:ascii="宋体" w:hAnsi="宋体" w:eastAsia="宋体" w:cs="宋体"/>
          <w:b/>
          <w:color w:val="auto"/>
          <w:sz w:val="28"/>
          <w:szCs w:val="28"/>
          <w:highlight w:val="none"/>
        </w:rPr>
      </w:pPr>
    </w:p>
    <w:p w14:paraId="71425F03">
      <w:pPr>
        <w:pStyle w:val="7"/>
        <w:rPr>
          <w:rFonts w:hint="eastAsia" w:ascii="宋体" w:hAnsi="宋体" w:eastAsia="宋体" w:cs="宋体"/>
          <w:b/>
          <w:color w:val="auto"/>
          <w:sz w:val="28"/>
          <w:szCs w:val="28"/>
          <w:highlight w:val="none"/>
        </w:rPr>
      </w:pPr>
    </w:p>
    <w:p w14:paraId="6265584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C8703C4">
      <w:pPr>
        <w:widowControl/>
        <w:spacing w:line="320" w:lineRule="exact"/>
        <w:ind w:left="141" w:hanging="141"/>
        <w:jc w:val="center"/>
        <w:outlineLvl w:val="0"/>
        <w:rPr>
          <w:rFonts w:hint="eastAsia" w:ascii="宋体" w:hAnsi="宋体" w:eastAsia="宋体" w:cs="宋体"/>
          <w:b/>
          <w:color w:val="auto"/>
          <w:sz w:val="28"/>
          <w:szCs w:val="28"/>
          <w:highlight w:val="none"/>
        </w:rPr>
      </w:pPr>
      <w:bookmarkStart w:id="29" w:name="_Toc16152"/>
      <w:r>
        <w:rPr>
          <w:rFonts w:hint="eastAsia" w:ascii="宋体" w:hAnsi="宋体" w:eastAsia="宋体" w:cs="宋体"/>
          <w:b/>
          <w:color w:val="auto"/>
          <w:sz w:val="28"/>
          <w:szCs w:val="28"/>
          <w:highlight w:val="none"/>
        </w:rPr>
        <w:t>第二章投标人须知</w:t>
      </w:r>
      <w:bookmarkEnd w:id="29"/>
    </w:p>
    <w:p w14:paraId="13C827DB">
      <w:pPr>
        <w:widowControl/>
        <w:spacing w:line="320" w:lineRule="exact"/>
        <w:ind w:left="141" w:hanging="141"/>
        <w:rPr>
          <w:rFonts w:hint="eastAsia" w:ascii="宋体" w:hAnsi="宋体" w:eastAsia="宋体" w:cs="宋体"/>
          <w:b/>
          <w:color w:val="auto"/>
          <w:sz w:val="28"/>
          <w:szCs w:val="28"/>
          <w:highlight w:val="none"/>
        </w:rPr>
      </w:pPr>
    </w:p>
    <w:p w14:paraId="73E72C4A">
      <w:pPr>
        <w:widowControl/>
        <w:spacing w:line="320" w:lineRule="exact"/>
        <w:ind w:left="141" w:hanging="141"/>
        <w:jc w:val="center"/>
        <w:outlineLvl w:val="1"/>
        <w:rPr>
          <w:rFonts w:hint="eastAsia" w:ascii="宋体" w:hAnsi="宋体" w:eastAsia="宋体" w:cs="宋体"/>
          <w:b/>
          <w:color w:val="auto"/>
          <w:sz w:val="32"/>
          <w:szCs w:val="32"/>
          <w:highlight w:val="none"/>
        </w:rPr>
      </w:pPr>
      <w:bookmarkStart w:id="30" w:name="_Toc10036"/>
      <w:r>
        <w:rPr>
          <w:rFonts w:hint="eastAsia" w:ascii="宋体" w:hAnsi="宋体" w:eastAsia="宋体" w:cs="宋体"/>
          <w:b/>
          <w:color w:val="auto"/>
          <w:sz w:val="32"/>
          <w:szCs w:val="32"/>
          <w:highlight w:val="none"/>
        </w:rPr>
        <w:t>投标人须知前附表</w:t>
      </w:r>
      <w:bookmarkEnd w:id="30"/>
    </w:p>
    <w:p w14:paraId="4B1587D4">
      <w:pPr>
        <w:widowControl/>
        <w:spacing w:line="320" w:lineRule="exact"/>
        <w:ind w:left="141" w:hanging="141"/>
        <w:jc w:val="center"/>
        <w:rPr>
          <w:rFonts w:hint="eastAsia" w:ascii="宋体" w:hAnsi="宋体" w:eastAsia="宋体" w:cs="宋体"/>
          <w:b/>
          <w:color w:val="auto"/>
          <w:sz w:val="28"/>
          <w:szCs w:val="28"/>
          <w:highlight w:val="none"/>
        </w:rPr>
      </w:pPr>
    </w:p>
    <w:tbl>
      <w:tblPr>
        <w:tblStyle w:val="22"/>
        <w:tblW w:w="9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50"/>
        <w:gridCol w:w="7512"/>
      </w:tblGrid>
      <w:tr w14:paraId="19CCE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tcBorders>
              <w:top w:val="single" w:color="auto" w:sz="12" w:space="0"/>
            </w:tcBorders>
            <w:noWrap w:val="0"/>
            <w:vAlign w:val="center"/>
          </w:tcPr>
          <w:p w14:paraId="3238D92D">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550" w:type="dxa"/>
            <w:tcBorders>
              <w:top w:val="single" w:color="auto" w:sz="12" w:space="0"/>
              <w:right w:val="single" w:color="auto" w:sz="4" w:space="0"/>
            </w:tcBorders>
            <w:noWrap w:val="0"/>
            <w:vAlign w:val="center"/>
          </w:tcPr>
          <w:p w14:paraId="12B7D2D1">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条款名称</w:t>
            </w:r>
          </w:p>
        </w:tc>
        <w:tc>
          <w:tcPr>
            <w:tcW w:w="7512" w:type="dxa"/>
            <w:tcBorders>
              <w:top w:val="single" w:color="auto" w:sz="12" w:space="0"/>
              <w:left w:val="single" w:color="auto" w:sz="4" w:space="0"/>
            </w:tcBorders>
            <w:noWrap w:val="0"/>
            <w:vAlign w:val="center"/>
          </w:tcPr>
          <w:p w14:paraId="0284C9FD">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说明和要求</w:t>
            </w:r>
          </w:p>
        </w:tc>
      </w:tr>
      <w:tr w14:paraId="26C2F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493" w:type="dxa"/>
            <w:noWrap w:val="0"/>
            <w:vAlign w:val="center"/>
          </w:tcPr>
          <w:p w14:paraId="374A26BE">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4F876FCC">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512" w:type="dxa"/>
            <w:tcBorders>
              <w:left w:val="single" w:color="auto" w:sz="4" w:space="0"/>
            </w:tcBorders>
            <w:noWrap w:val="0"/>
            <w:vAlign w:val="center"/>
          </w:tcPr>
          <w:p w14:paraId="16EA5868">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名称：</w:t>
            </w:r>
            <w:r>
              <w:rPr>
                <w:rFonts w:hint="eastAsia" w:cs="宋体"/>
                <w:i w:val="0"/>
                <w:iCs w:val="0"/>
                <w:caps w:val="0"/>
                <w:color w:val="auto"/>
                <w:spacing w:val="0"/>
                <w:sz w:val="24"/>
                <w:szCs w:val="24"/>
                <w:highlight w:val="none"/>
                <w:lang w:val="en-US" w:eastAsia="zh-CN"/>
              </w:rPr>
              <w:t>洛浦县恰尔巴格镇人民政府</w:t>
            </w:r>
          </w:p>
          <w:p w14:paraId="0A333480">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地址：</w:t>
            </w:r>
            <w:r>
              <w:rPr>
                <w:rFonts w:hint="eastAsia" w:cs="宋体"/>
                <w:i w:val="0"/>
                <w:iCs w:val="0"/>
                <w:caps w:val="0"/>
                <w:color w:val="auto"/>
                <w:spacing w:val="0"/>
                <w:sz w:val="24"/>
                <w:szCs w:val="24"/>
                <w:highlight w:val="none"/>
                <w:lang w:val="en-US" w:eastAsia="zh-CN"/>
              </w:rPr>
              <w:t>洛浦县恰尔巴格镇人民政府</w:t>
            </w:r>
          </w:p>
          <w:p w14:paraId="3A437DFE">
            <w:pPr>
              <w:pStyle w:val="19"/>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联系人：</w:t>
            </w:r>
            <w:r>
              <w:rPr>
                <w:rFonts w:hint="eastAsia" w:cs="宋体"/>
                <w:i w:val="0"/>
                <w:iCs w:val="0"/>
                <w:caps w:val="0"/>
                <w:color w:val="auto"/>
                <w:spacing w:val="0"/>
                <w:sz w:val="24"/>
                <w:szCs w:val="24"/>
                <w:highlight w:val="none"/>
                <w:lang w:val="en-US" w:eastAsia="zh-CN"/>
              </w:rPr>
              <w:t>李先生</w:t>
            </w:r>
          </w:p>
          <w:p w14:paraId="63F17AA7">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联系方式：</w:t>
            </w:r>
            <w:r>
              <w:rPr>
                <w:rFonts w:hint="eastAsia" w:cs="宋体"/>
                <w:i w:val="0"/>
                <w:iCs w:val="0"/>
                <w:caps w:val="0"/>
                <w:color w:val="auto"/>
                <w:spacing w:val="0"/>
                <w:sz w:val="24"/>
                <w:szCs w:val="24"/>
                <w:highlight w:val="none"/>
                <w:lang w:val="en-US" w:eastAsia="zh-CN"/>
              </w:rPr>
              <w:t>16690028865</w:t>
            </w:r>
          </w:p>
        </w:tc>
      </w:tr>
      <w:tr w14:paraId="1E1E3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noWrap w:val="0"/>
            <w:vAlign w:val="center"/>
          </w:tcPr>
          <w:p w14:paraId="43714CB8">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54E6EFB9">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7512" w:type="dxa"/>
            <w:tcBorders>
              <w:left w:val="single" w:color="auto" w:sz="4" w:space="0"/>
            </w:tcBorders>
            <w:noWrap w:val="0"/>
            <w:vAlign w:val="center"/>
          </w:tcPr>
          <w:p w14:paraId="459D0D3B">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2.采购代理机构信息</w:t>
            </w:r>
          </w:p>
          <w:p w14:paraId="29B37279">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名称：</w:t>
            </w:r>
            <w:r>
              <w:rPr>
                <w:rFonts w:hint="eastAsia" w:cs="宋体"/>
                <w:i w:val="0"/>
                <w:iCs w:val="0"/>
                <w:caps w:val="0"/>
                <w:color w:val="auto"/>
                <w:spacing w:val="0"/>
                <w:sz w:val="24"/>
                <w:szCs w:val="24"/>
                <w:highlight w:val="none"/>
                <w:lang w:val="en-US" w:eastAsia="zh-CN"/>
              </w:rPr>
              <w:t>新疆策源项目管理咨询有限公司</w:t>
            </w:r>
          </w:p>
          <w:p w14:paraId="0406BB2C">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地址：</w:t>
            </w:r>
            <w:r>
              <w:rPr>
                <w:rFonts w:hint="eastAsia" w:cs="宋体"/>
                <w:i w:val="0"/>
                <w:iCs w:val="0"/>
                <w:caps w:val="0"/>
                <w:color w:val="auto"/>
                <w:spacing w:val="0"/>
                <w:sz w:val="24"/>
                <w:szCs w:val="24"/>
                <w:highlight w:val="none"/>
                <w:lang w:val="en-US" w:eastAsia="zh-CN"/>
              </w:rPr>
              <w:t>新疆和田地区和田市平安南路990号</w:t>
            </w:r>
          </w:p>
          <w:p w14:paraId="51B786C9">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联系人：</w:t>
            </w:r>
            <w:r>
              <w:rPr>
                <w:rFonts w:hint="eastAsia" w:cs="宋体"/>
                <w:i w:val="0"/>
                <w:iCs w:val="0"/>
                <w:caps w:val="0"/>
                <w:color w:val="auto"/>
                <w:spacing w:val="0"/>
                <w:sz w:val="24"/>
                <w:szCs w:val="24"/>
                <w:highlight w:val="none"/>
                <w:lang w:val="en-US" w:eastAsia="zh-CN"/>
              </w:rPr>
              <w:t>王先生</w:t>
            </w:r>
          </w:p>
          <w:p w14:paraId="3265D299">
            <w:pPr>
              <w:pStyle w:val="1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联系方式：</w:t>
            </w:r>
            <w:r>
              <w:rPr>
                <w:rFonts w:hint="eastAsia" w:cs="宋体"/>
                <w:i w:val="0"/>
                <w:iCs w:val="0"/>
                <w:caps w:val="0"/>
                <w:color w:val="auto"/>
                <w:spacing w:val="0"/>
                <w:sz w:val="24"/>
                <w:szCs w:val="24"/>
                <w:highlight w:val="none"/>
                <w:lang w:val="en-US" w:eastAsia="zh-CN"/>
              </w:rPr>
              <w:t>18095921107</w:t>
            </w:r>
          </w:p>
        </w:tc>
      </w:tr>
      <w:tr w14:paraId="3EEA8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7B7AD72D">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0B0D8157">
            <w:pPr>
              <w:pStyle w:val="19"/>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采购项目名称</w:t>
            </w:r>
            <w:r>
              <w:rPr>
                <w:rFonts w:hint="eastAsia" w:cs="宋体"/>
                <w:i w:val="0"/>
                <w:iCs w:val="0"/>
                <w:caps w:val="0"/>
                <w:color w:val="auto"/>
                <w:spacing w:val="0"/>
                <w:sz w:val="24"/>
                <w:szCs w:val="24"/>
                <w:highlight w:val="none"/>
                <w:lang w:val="en-US" w:eastAsia="zh-CN"/>
              </w:rPr>
              <w:t>、项目编号</w:t>
            </w:r>
          </w:p>
        </w:tc>
        <w:tc>
          <w:tcPr>
            <w:tcW w:w="7512" w:type="dxa"/>
            <w:tcBorders>
              <w:left w:val="single" w:color="auto" w:sz="4" w:space="0"/>
            </w:tcBorders>
            <w:noWrap w:val="0"/>
            <w:vAlign w:val="center"/>
          </w:tcPr>
          <w:p w14:paraId="4BA2E7E8">
            <w:pPr>
              <w:pStyle w:val="19"/>
              <w:keepNext w:val="0"/>
              <w:keepLines w:val="0"/>
              <w:widowControl/>
              <w:suppressLineNumbers w:val="0"/>
              <w:spacing w:before="75" w:beforeAutospacing="0" w:after="75" w:afterAutospacing="0" w:line="240" w:lineRule="auto"/>
              <w:ind w:left="0" w:right="0" w:firstLine="0"/>
              <w:jc w:val="left"/>
              <w:rPr>
                <w:rFonts w:hint="eastAsia"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项目名称：</w:t>
            </w:r>
            <w:r>
              <w:rPr>
                <w:rFonts w:hint="eastAsia" w:cs="宋体"/>
                <w:i w:val="0"/>
                <w:iCs w:val="0"/>
                <w:caps w:val="0"/>
                <w:color w:val="auto"/>
                <w:spacing w:val="0"/>
                <w:sz w:val="24"/>
                <w:szCs w:val="24"/>
                <w:highlight w:val="none"/>
                <w:lang w:val="en-US" w:eastAsia="zh-CN"/>
              </w:rPr>
              <w:t xml:space="preserve"> 洛浦县恰尔巴格镇加依托格拉克村、阿依丁库勒村公益事业财政奖补项目(美丽乡村建设一公共照明)</w:t>
            </w:r>
          </w:p>
          <w:p w14:paraId="3550EBAE">
            <w:pPr>
              <w:pStyle w:val="19"/>
              <w:keepNext w:val="0"/>
              <w:keepLines w:val="0"/>
              <w:widowControl/>
              <w:suppressLineNumbers w:val="0"/>
              <w:spacing w:before="75" w:beforeAutospacing="0" w:after="75" w:afterAutospacing="0" w:line="240" w:lineRule="auto"/>
              <w:ind w:left="0" w:right="0" w:firstLine="0"/>
              <w:jc w:val="left"/>
              <w:rPr>
                <w:rFonts w:hint="eastAsia"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项目编号：XJCY-2025-CS-003</w:t>
            </w:r>
          </w:p>
        </w:tc>
      </w:tr>
      <w:tr w14:paraId="1C475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493" w:type="dxa"/>
            <w:noWrap w:val="0"/>
            <w:vAlign w:val="center"/>
          </w:tcPr>
          <w:p w14:paraId="70B666EF">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2B7A4209">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7512" w:type="dxa"/>
            <w:tcBorders>
              <w:left w:val="single" w:color="auto" w:sz="4" w:space="0"/>
            </w:tcBorders>
            <w:noWrap w:val="0"/>
            <w:vAlign w:val="center"/>
          </w:tcPr>
          <w:p w14:paraId="4F5C84DB">
            <w:pPr>
              <w:pStyle w:val="19"/>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lang w:val="en-US" w:eastAsia="zh-CN"/>
              </w:rPr>
              <w:t>新建LED太阳能路灯284盏，包含电气设备安装工程和建筑工程，灯杆高度8米，灯头功率120W，混凝土独立基础。</w:t>
            </w:r>
          </w:p>
          <w:p w14:paraId="252E7936">
            <w:pPr>
              <w:pStyle w:val="19"/>
              <w:keepNext w:val="0"/>
              <w:keepLines w:val="0"/>
              <w:widowControl/>
              <w:suppressLineNumbers w:val="0"/>
              <w:spacing w:before="75" w:beforeAutospacing="0" w:after="75" w:afterAutospacing="0" w:line="240" w:lineRule="auto"/>
              <w:ind w:left="0" w:right="0" w:firstLine="0"/>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合同履约期限：</w:t>
            </w:r>
            <w:r>
              <w:rPr>
                <w:rFonts w:hint="eastAsia" w:cs="宋体"/>
                <w:i w:val="0"/>
                <w:iCs w:val="0"/>
                <w:caps w:val="0"/>
                <w:color w:val="auto"/>
                <w:spacing w:val="0"/>
                <w:sz w:val="24"/>
                <w:szCs w:val="24"/>
                <w:highlight w:val="none"/>
                <w:lang w:val="en-US" w:eastAsia="zh-CN"/>
              </w:rPr>
              <w:t>自合同签订之日30天</w:t>
            </w:r>
          </w:p>
        </w:tc>
      </w:tr>
      <w:tr w14:paraId="167D3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 w:hRule="atLeast"/>
          <w:jc w:val="center"/>
        </w:trPr>
        <w:tc>
          <w:tcPr>
            <w:tcW w:w="493" w:type="dxa"/>
            <w:noWrap w:val="0"/>
            <w:vAlign w:val="center"/>
          </w:tcPr>
          <w:p w14:paraId="40E9CEED">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6EE3F5FE">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7512" w:type="dxa"/>
            <w:tcBorders>
              <w:left w:val="single" w:color="auto" w:sz="4" w:space="0"/>
            </w:tcBorders>
            <w:noWrap w:val="0"/>
            <w:vAlign w:val="center"/>
          </w:tcPr>
          <w:p w14:paraId="7E81F189">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农村综合改革转移支付资金</w:t>
            </w:r>
          </w:p>
        </w:tc>
      </w:tr>
      <w:tr w14:paraId="316C5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29053CA0">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445FC6A2">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采购概算价</w:t>
            </w:r>
          </w:p>
        </w:tc>
        <w:tc>
          <w:tcPr>
            <w:tcW w:w="7512" w:type="dxa"/>
            <w:tcBorders>
              <w:left w:val="single" w:color="auto" w:sz="4" w:space="0"/>
            </w:tcBorders>
            <w:noWrap w:val="0"/>
            <w:vAlign w:val="center"/>
          </w:tcPr>
          <w:p w14:paraId="6CF43595">
            <w:pPr>
              <w:keepNext w:val="0"/>
              <w:keepLines w:val="0"/>
              <w:pageBreakBefore w:val="0"/>
              <w:widowControl/>
              <w:kinsoku w:val="0"/>
              <w:wordWrap/>
              <w:overflowPunct/>
              <w:topLinePunct w:val="0"/>
              <w:autoSpaceDE w:val="0"/>
              <w:autoSpaceDN w:val="0"/>
              <w:bidi w:val="0"/>
              <w:adjustRightInd w:val="0"/>
              <w:snapToGrid w:val="0"/>
              <w:spacing w:line="240" w:lineRule="auto"/>
              <w:ind w:left="120" w:leftChars="0"/>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最</w:t>
            </w:r>
            <w:r>
              <w:rPr>
                <w:rFonts w:hint="eastAsia" w:ascii="宋体" w:hAnsi="宋体" w:eastAsia="宋体" w:cs="宋体"/>
                <w:color w:val="auto"/>
                <w:kern w:val="2"/>
                <w:sz w:val="24"/>
                <w:szCs w:val="24"/>
                <w:highlight w:val="none"/>
                <w:lang w:val="en-US" w:eastAsia="zh-CN" w:bidi="ar-SA"/>
              </w:rPr>
              <w:t>高限价：</w:t>
            </w:r>
            <w:r>
              <w:rPr>
                <w:rFonts w:hint="eastAsia" w:ascii="宋体" w:hAnsi="宋体" w:cs="宋体"/>
                <w:color w:val="auto"/>
                <w:kern w:val="2"/>
                <w:sz w:val="24"/>
                <w:szCs w:val="24"/>
                <w:highlight w:val="none"/>
                <w:lang w:val="en-US" w:eastAsia="zh-CN" w:bidi="ar-SA"/>
              </w:rPr>
              <w:t>795200.00元</w:t>
            </w:r>
          </w:p>
          <w:p w14:paraId="704BADF2">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（此采购预算为最高限价、如超过预算价的报价为无效报价）</w:t>
            </w:r>
          </w:p>
          <w:p w14:paraId="4C7C223C">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投标报价高于预算限价按废标处理，敬请投标人注意</w:t>
            </w:r>
            <w:r>
              <w:rPr>
                <w:rFonts w:hint="eastAsia" w:ascii="宋体" w:hAnsi="宋体" w:eastAsia="宋体" w:cs="宋体"/>
                <w:b/>
                <w:bCs/>
                <w:color w:val="auto"/>
                <w:kern w:val="0"/>
                <w:sz w:val="24"/>
                <w:szCs w:val="24"/>
                <w:highlight w:val="none"/>
                <w:lang w:eastAsia="zh-CN"/>
              </w:rPr>
              <w:t>！</w:t>
            </w:r>
          </w:p>
        </w:tc>
      </w:tr>
      <w:tr w14:paraId="3BF86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72B5C05F">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207ADD28">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采购方式</w:t>
            </w:r>
          </w:p>
        </w:tc>
        <w:tc>
          <w:tcPr>
            <w:tcW w:w="7512" w:type="dxa"/>
            <w:tcBorders>
              <w:left w:val="single" w:color="auto" w:sz="4" w:space="0"/>
            </w:tcBorders>
            <w:noWrap w:val="0"/>
            <w:vAlign w:val="center"/>
          </w:tcPr>
          <w:p w14:paraId="28EE4388">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lang w:eastAsia="zh-CN"/>
              </w:rPr>
              <w:t>竞争性磋商</w:t>
            </w:r>
          </w:p>
        </w:tc>
      </w:tr>
      <w:tr w14:paraId="60700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1D99BAB6">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7CFBEE35">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评标方法</w:t>
            </w:r>
          </w:p>
        </w:tc>
        <w:tc>
          <w:tcPr>
            <w:tcW w:w="7512" w:type="dxa"/>
            <w:tcBorders>
              <w:left w:val="single" w:color="auto" w:sz="4" w:space="0"/>
            </w:tcBorders>
            <w:noWrap w:val="0"/>
            <w:vAlign w:val="center"/>
          </w:tcPr>
          <w:p w14:paraId="6A853894">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根据《政府采购竞争性磋商采购方式管理暂行办法》，采用综合评分法。</w:t>
            </w:r>
          </w:p>
        </w:tc>
      </w:tr>
      <w:tr w14:paraId="333A9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3BC03245">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1CC160AB">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信息公告媒体</w:t>
            </w:r>
          </w:p>
        </w:tc>
        <w:tc>
          <w:tcPr>
            <w:tcW w:w="7512" w:type="dxa"/>
            <w:tcBorders>
              <w:left w:val="single" w:color="auto" w:sz="4" w:space="0"/>
            </w:tcBorders>
            <w:noWrap w:val="0"/>
            <w:vAlign w:val="center"/>
          </w:tcPr>
          <w:p w14:paraId="69982CD2">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新疆政府采购网（http://www.ccgp-xinjiang.gov.cn/）</w:t>
            </w:r>
          </w:p>
        </w:tc>
      </w:tr>
      <w:tr w14:paraId="4CF98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0D436498">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438C0B3C">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资格要求</w:t>
            </w:r>
          </w:p>
        </w:tc>
        <w:tc>
          <w:tcPr>
            <w:tcW w:w="7512" w:type="dxa"/>
            <w:tcBorders>
              <w:left w:val="single" w:color="auto" w:sz="4" w:space="0"/>
            </w:tcBorders>
            <w:noWrap w:val="0"/>
            <w:vAlign w:val="center"/>
          </w:tcPr>
          <w:p w14:paraId="26EA0ED5">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投标供应商资格要求：</w:t>
            </w:r>
          </w:p>
          <w:p w14:paraId="2DA9DF7B">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满足《中华人民共和国政府采购法》第二十二条规定</w:t>
            </w:r>
          </w:p>
          <w:p w14:paraId="28DC3F29">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p w14:paraId="4B528826">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（2）有依法缴纳税收和社会保障资金的良好记录：提供近段时间内（</w:t>
            </w:r>
            <w:r>
              <w:rPr>
                <w:rFonts w:hint="eastAsia" w:ascii="宋体" w:hAnsi="宋体" w:cs="宋体"/>
                <w:color w:val="auto"/>
                <w:sz w:val="24"/>
                <w:szCs w:val="24"/>
                <w:highlight w:val="none"/>
                <w:lang w:val="en-US" w:eastAsia="zh-CN"/>
              </w:rPr>
              <w:t>2025年1月-2025年3月</w:t>
            </w:r>
            <w:r>
              <w:rPr>
                <w:rFonts w:hint="eastAsia" w:ascii="宋体" w:hAnsi="宋体" w:eastAsia="宋体" w:cs="宋体"/>
                <w:color w:val="auto"/>
                <w:sz w:val="24"/>
                <w:szCs w:val="24"/>
                <w:highlight w:val="none"/>
                <w:lang w:val="en-US" w:eastAsia="zh-CN"/>
              </w:rPr>
              <w:t>、新成立的公司按实际发生提供）的</w:t>
            </w:r>
            <w:r>
              <w:rPr>
                <w:rFonts w:hint="eastAsia" w:ascii="宋体" w:hAnsi="宋体" w:cs="宋体"/>
                <w:color w:val="auto"/>
                <w:sz w:val="24"/>
                <w:szCs w:val="24"/>
                <w:highlight w:val="none"/>
                <w:lang w:val="en-US" w:eastAsia="zh-CN"/>
              </w:rPr>
              <w:t>（含印花税、增值税等税种）或税务部门出具的无欠税证明</w:t>
            </w:r>
            <w:r>
              <w:rPr>
                <w:rFonts w:hint="eastAsia" w:ascii="宋体" w:hAnsi="宋体" w:eastAsia="宋体" w:cs="宋体"/>
                <w:color w:val="auto"/>
                <w:sz w:val="24"/>
                <w:szCs w:val="24"/>
                <w:highlight w:val="none"/>
                <w:lang w:val="en-US" w:eastAsia="zh-CN"/>
              </w:rPr>
              <w:t>（开具日期须在招标公告发布日期之后）或税务部门出具的纳税证明；如依法免税的，应提供相应文件证明；提供近段时间内（</w:t>
            </w:r>
            <w:r>
              <w:rPr>
                <w:rFonts w:hint="eastAsia" w:ascii="宋体" w:hAnsi="宋体" w:cs="宋体"/>
                <w:color w:val="auto"/>
                <w:sz w:val="24"/>
                <w:szCs w:val="24"/>
                <w:highlight w:val="none"/>
                <w:lang w:val="en-US" w:eastAsia="zh-CN"/>
              </w:rPr>
              <w:t>2025年1月-2025年3月</w:t>
            </w:r>
            <w:r>
              <w:rPr>
                <w:rFonts w:hint="eastAsia" w:ascii="宋体" w:hAnsi="宋体" w:eastAsia="宋体" w:cs="宋体"/>
                <w:color w:val="auto"/>
                <w:sz w:val="24"/>
                <w:szCs w:val="24"/>
                <w:highlight w:val="none"/>
                <w:lang w:val="en-US" w:eastAsia="zh-CN"/>
              </w:rPr>
              <w:t>、新成立的公司按实际发生提供）的缴纳社保证明材料加盖公章。</w:t>
            </w:r>
            <w:r>
              <w:rPr>
                <w:rFonts w:hint="eastAsia" w:ascii="宋体" w:hAnsi="宋体" w:cs="宋体"/>
                <w:color w:val="auto"/>
                <w:sz w:val="24"/>
                <w:szCs w:val="24"/>
                <w:highlight w:val="none"/>
                <w:lang w:val="en-US" w:eastAsia="zh-CN"/>
              </w:rPr>
              <w:t>（社保证明材料须是社保局出具的缴纳证明或社保系统导出的缴纳汇总凭证，新成立的公司按实际发生提供，如依 法不需要缴纳社会保障资金的，应提供相应文件证明）</w:t>
            </w:r>
            <w:r>
              <w:rPr>
                <w:rFonts w:hint="eastAsia" w:ascii="宋体" w:hAnsi="宋体" w:eastAsia="宋体" w:cs="宋体"/>
                <w:color w:val="auto"/>
                <w:sz w:val="24"/>
                <w:szCs w:val="24"/>
                <w:highlight w:val="none"/>
                <w:lang w:val="en-US" w:eastAsia="zh-CN"/>
              </w:rPr>
              <w:t>；</w:t>
            </w:r>
          </w:p>
          <w:p w14:paraId="05D9BF46">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（3）具有良好的商业信誉和健全的财务会计制度：提供2023年度或2024年度由第三方财务审计机构出具的财务审计报告或新成立的企业提供银行出具的近三个月的资信证明；</w:t>
            </w:r>
          </w:p>
          <w:p w14:paraId="37A4A955">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（4）履行合同所必需的设备和专业技术能力：提供《投标人资格声明函》；</w:t>
            </w:r>
          </w:p>
          <w:p w14:paraId="38AAA8B3">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 万元以上的罚款，法律、行政法规以及国务院有关部门明确规定相关领域“较大数额罚款”标准高于200 万元的，从其规定）</w:t>
            </w:r>
          </w:p>
          <w:p w14:paraId="777AFDE6">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近三年内（本项目投标截止期前）未被“信用中国”（www.creditchina.gov.cn）、中国政府采购网（www.ccgp.gov.cn）列入失信被执行人、重大税收违法案件当事人名单、政府采购严重违法失信行为记录名单（开标现场查询）。</w:t>
            </w:r>
          </w:p>
          <w:p w14:paraId="4131A44F">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（7）企业负责人为同一人或者存在直接控股、管理关系的不同投标人，不得参加同一合同项下的政府采购活动。否则，皆取消投标资格。</w:t>
            </w:r>
          </w:p>
          <w:p w14:paraId="1081E40D">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（8）投标保证金或电子保函。</w:t>
            </w:r>
          </w:p>
          <w:p w14:paraId="032ABD15">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（9）供应商提供有效的中小企业声明函</w:t>
            </w:r>
          </w:p>
          <w:p w14:paraId="4CD5D120">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（10）本项目不接受联合体投标。</w:t>
            </w:r>
          </w:p>
        </w:tc>
      </w:tr>
      <w:tr w14:paraId="29B35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jc w:val="center"/>
        </w:trPr>
        <w:tc>
          <w:tcPr>
            <w:tcW w:w="493" w:type="dxa"/>
            <w:noWrap w:val="0"/>
            <w:vAlign w:val="center"/>
          </w:tcPr>
          <w:p w14:paraId="750B22A4">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793083D1">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工期</w:t>
            </w:r>
          </w:p>
        </w:tc>
        <w:tc>
          <w:tcPr>
            <w:tcW w:w="7512" w:type="dxa"/>
            <w:tcBorders>
              <w:left w:val="single" w:color="auto" w:sz="4" w:space="0"/>
            </w:tcBorders>
            <w:noWrap w:val="0"/>
            <w:vAlign w:val="center"/>
          </w:tcPr>
          <w:p w14:paraId="16D2BE7E">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bCs/>
                <w:color w:val="auto"/>
                <w:sz w:val="24"/>
                <w:szCs w:val="24"/>
                <w:highlight w:val="none"/>
                <w:lang w:val="en-US"/>
              </w:rPr>
            </w:pPr>
            <w:r>
              <w:rPr>
                <w:rFonts w:hint="eastAsia" w:ascii="宋体" w:hAnsi="宋体" w:cs="宋体"/>
                <w:color w:val="auto"/>
                <w:sz w:val="24"/>
                <w:szCs w:val="24"/>
                <w:highlight w:val="none"/>
                <w:lang w:val="en-US" w:eastAsia="zh-CN"/>
              </w:rPr>
              <w:t>自合同签订之日30天，</w:t>
            </w:r>
          </w:p>
        </w:tc>
      </w:tr>
      <w:tr w14:paraId="6EDAA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14AC99A9">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eastAsia="zh-CN"/>
              </w:rPr>
            </w:pPr>
          </w:p>
        </w:tc>
        <w:tc>
          <w:tcPr>
            <w:tcW w:w="1550" w:type="dxa"/>
            <w:tcBorders>
              <w:right w:val="single" w:color="auto" w:sz="4" w:space="0"/>
            </w:tcBorders>
            <w:noWrap w:val="0"/>
            <w:vAlign w:val="center"/>
          </w:tcPr>
          <w:p w14:paraId="32635B93">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7512" w:type="dxa"/>
            <w:tcBorders>
              <w:left w:val="single" w:color="auto" w:sz="4" w:space="0"/>
            </w:tcBorders>
            <w:noWrap w:val="0"/>
            <w:vAlign w:val="center"/>
          </w:tcPr>
          <w:p w14:paraId="6C96624D">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满足招标文件及国家、自治区相关规范的要求.</w:t>
            </w:r>
          </w:p>
        </w:tc>
      </w:tr>
      <w:tr w14:paraId="5EAF1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01736E31">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47241423">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合同付款方式</w:t>
            </w:r>
          </w:p>
        </w:tc>
        <w:tc>
          <w:tcPr>
            <w:tcW w:w="7512" w:type="dxa"/>
            <w:tcBorders>
              <w:left w:val="single" w:color="auto" w:sz="4" w:space="0"/>
            </w:tcBorders>
            <w:noWrap w:val="0"/>
            <w:vAlign w:val="center"/>
          </w:tcPr>
          <w:p w14:paraId="4C2CE85A">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具体以合同签订为准。</w:t>
            </w:r>
          </w:p>
        </w:tc>
      </w:tr>
      <w:tr w14:paraId="6DF27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2E2DA588">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375CF914">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验收要求</w:t>
            </w:r>
          </w:p>
        </w:tc>
        <w:tc>
          <w:tcPr>
            <w:tcW w:w="7512" w:type="dxa"/>
            <w:tcBorders>
              <w:left w:val="single" w:color="auto" w:sz="4" w:space="0"/>
            </w:tcBorders>
            <w:noWrap w:val="0"/>
            <w:vAlign w:val="center"/>
          </w:tcPr>
          <w:p w14:paraId="2F11BB18">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政府采购合同履行完毕后，收到中标人验收申请10日内组织履约验收</w:t>
            </w:r>
          </w:p>
        </w:tc>
      </w:tr>
      <w:tr w14:paraId="5028A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noWrap w:val="0"/>
            <w:vAlign w:val="center"/>
          </w:tcPr>
          <w:p w14:paraId="34A92759">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19F26BA5">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7512" w:type="dxa"/>
            <w:tcBorders>
              <w:left w:val="single" w:color="auto" w:sz="4" w:space="0"/>
            </w:tcBorders>
            <w:noWrap w:val="0"/>
            <w:vAlign w:val="center"/>
          </w:tcPr>
          <w:p w14:paraId="31E8E937">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不接受</w:t>
            </w:r>
          </w:p>
        </w:tc>
      </w:tr>
      <w:tr w14:paraId="2F8BF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14:paraId="02D702A8">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7C186BE9">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踏勘</w:t>
            </w:r>
            <w:r>
              <w:rPr>
                <w:rFonts w:hint="eastAsia" w:ascii="宋体" w:hAnsi="宋体" w:eastAsia="宋体" w:cs="宋体"/>
                <w:color w:val="auto"/>
                <w:sz w:val="24"/>
                <w:szCs w:val="24"/>
                <w:highlight w:val="none"/>
              </w:rPr>
              <w:t>现场</w:t>
            </w:r>
          </w:p>
        </w:tc>
        <w:tc>
          <w:tcPr>
            <w:tcW w:w="7512" w:type="dxa"/>
            <w:tcBorders>
              <w:left w:val="single" w:color="auto" w:sz="4" w:space="0"/>
            </w:tcBorders>
            <w:noWrap w:val="0"/>
            <w:vAlign w:val="center"/>
          </w:tcPr>
          <w:p w14:paraId="48B15855">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11458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14:paraId="1695B5A7">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0C969322">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分包</w:t>
            </w:r>
          </w:p>
        </w:tc>
        <w:tc>
          <w:tcPr>
            <w:tcW w:w="7512" w:type="dxa"/>
            <w:tcBorders>
              <w:left w:val="single" w:color="auto" w:sz="4" w:space="0"/>
            </w:tcBorders>
            <w:noWrap w:val="0"/>
            <w:vAlign w:val="center"/>
          </w:tcPr>
          <w:p w14:paraId="3E5409C1">
            <w:pPr>
              <w:shd w:val="clear" w:color="auto" w:fill="auto"/>
              <w:spacing w:line="440" w:lineRule="exact"/>
              <w:ind w:left="120" w:leftChars="0" w:right="62" w:rightChars="0"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不接受</w:t>
            </w:r>
          </w:p>
        </w:tc>
      </w:tr>
      <w:tr w14:paraId="73516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14:paraId="441AAA5B">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5447B618">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转包</w:t>
            </w:r>
          </w:p>
        </w:tc>
        <w:tc>
          <w:tcPr>
            <w:tcW w:w="7512" w:type="dxa"/>
            <w:tcBorders>
              <w:left w:val="single" w:color="auto" w:sz="4" w:space="0"/>
            </w:tcBorders>
            <w:noWrap w:val="0"/>
            <w:vAlign w:val="center"/>
          </w:tcPr>
          <w:p w14:paraId="5A96CDCE">
            <w:pPr>
              <w:shd w:val="clear" w:color="auto" w:fill="auto"/>
              <w:spacing w:line="440" w:lineRule="exact"/>
              <w:ind w:left="120" w:leftChars="0" w:right="62" w:rightChars="0"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不接受</w:t>
            </w:r>
          </w:p>
        </w:tc>
      </w:tr>
      <w:tr w14:paraId="35505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noWrap w:val="0"/>
            <w:vAlign w:val="center"/>
          </w:tcPr>
          <w:p w14:paraId="2F11E5EB">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2009831C">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投标人对招标文件提出质疑的时间</w:t>
            </w:r>
          </w:p>
        </w:tc>
        <w:tc>
          <w:tcPr>
            <w:tcW w:w="7512" w:type="dxa"/>
            <w:tcBorders>
              <w:left w:val="single" w:color="auto" w:sz="4" w:space="0"/>
            </w:tcBorders>
            <w:noWrap w:val="0"/>
            <w:vAlign w:val="center"/>
          </w:tcPr>
          <w:p w14:paraId="4CFD8FF6">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投标人认为招标文件、招标过程或中标结果使自己的合法权益受到损害的，应当在知道或者应知其权益受到损害之日起七个工作日内，以书面形式向招标人、招标代理机构提出质疑；</w:t>
            </w:r>
          </w:p>
          <w:p w14:paraId="7D87F760">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质疑函提交的方式：</w:t>
            </w:r>
          </w:p>
          <w:p w14:paraId="12622EC5">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1、现场提交：由质疑人携带公司营业执照原件、授权委托书原件、纸质版质疑文件原件送至采购代理机构或采购人。</w:t>
            </w:r>
          </w:p>
          <w:p w14:paraId="52F1138C">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2、线上提交：通过政采云系统按系统提示流程提交质疑内容。</w:t>
            </w:r>
          </w:p>
          <w:p w14:paraId="6B87146D">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接受质疑的单位：</w:t>
            </w:r>
            <w:r>
              <w:rPr>
                <w:rFonts w:hint="eastAsia" w:ascii="宋体" w:hAnsi="宋体" w:eastAsia="宋体" w:cs="宋体"/>
                <w:i w:val="0"/>
                <w:iCs w:val="0"/>
                <w:caps w:val="0"/>
                <w:color w:val="auto"/>
                <w:spacing w:val="0"/>
                <w:sz w:val="24"/>
                <w:szCs w:val="24"/>
                <w:highlight w:val="none"/>
                <w:lang w:val="en-US" w:eastAsia="zh-CN"/>
              </w:rPr>
              <w:t>新疆策源项目管理咨询有限公司</w:t>
            </w:r>
          </w:p>
          <w:p w14:paraId="3CDAC1E6">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ascii="宋体" w:hAnsi="宋体" w:cs="宋体"/>
                <w:color w:val="auto"/>
                <w:sz w:val="24"/>
                <w:szCs w:val="24"/>
                <w:highlight w:val="none"/>
                <w:lang w:val="en-US" w:eastAsia="zh-CN"/>
              </w:rPr>
              <w:t>新疆和田地区和田市平安南路990号</w:t>
            </w:r>
          </w:p>
          <w:p w14:paraId="71C06A6B">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联系电话：</w:t>
            </w:r>
            <w:r>
              <w:rPr>
                <w:rFonts w:hint="eastAsia" w:ascii="宋体" w:hAnsi="宋体" w:cs="宋体"/>
                <w:color w:val="auto"/>
                <w:sz w:val="24"/>
                <w:szCs w:val="24"/>
                <w:highlight w:val="none"/>
                <w:lang w:val="en-US" w:eastAsia="zh-CN"/>
              </w:rPr>
              <w:t>18095921107</w:t>
            </w:r>
          </w:p>
        </w:tc>
      </w:tr>
      <w:tr w14:paraId="30D23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493" w:type="dxa"/>
            <w:noWrap w:val="0"/>
            <w:vAlign w:val="center"/>
          </w:tcPr>
          <w:p w14:paraId="229B8109">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rPr>
            </w:pPr>
          </w:p>
        </w:tc>
        <w:tc>
          <w:tcPr>
            <w:tcW w:w="1550" w:type="dxa"/>
            <w:tcBorders>
              <w:right w:val="single" w:color="auto" w:sz="4" w:space="0"/>
            </w:tcBorders>
            <w:noWrap w:val="0"/>
            <w:vAlign w:val="center"/>
          </w:tcPr>
          <w:p w14:paraId="1AF1CCFB">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投标报价</w:t>
            </w:r>
          </w:p>
        </w:tc>
        <w:tc>
          <w:tcPr>
            <w:tcW w:w="7512" w:type="dxa"/>
            <w:tcBorders>
              <w:left w:val="single" w:color="auto" w:sz="4" w:space="0"/>
            </w:tcBorders>
            <w:noWrap w:val="0"/>
            <w:vAlign w:val="center"/>
          </w:tcPr>
          <w:p w14:paraId="2752A9B9">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针对响应文件的商务、技术和价格等内容进行磋商并提交二次报价，最终报价以二次报价为准（二次报价不得高于一次报价，否则以否决投标处理）。 </w:t>
            </w:r>
          </w:p>
        </w:tc>
      </w:tr>
      <w:tr w14:paraId="17F58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noWrap w:val="0"/>
            <w:vAlign w:val="center"/>
          </w:tcPr>
          <w:p w14:paraId="0C293EBF">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716588CC">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构成招标文件的其他文件</w:t>
            </w:r>
          </w:p>
        </w:tc>
        <w:tc>
          <w:tcPr>
            <w:tcW w:w="7512" w:type="dxa"/>
            <w:tcBorders>
              <w:left w:val="single" w:color="auto" w:sz="4" w:space="0"/>
            </w:tcBorders>
            <w:noWrap w:val="0"/>
            <w:vAlign w:val="center"/>
          </w:tcPr>
          <w:p w14:paraId="7194AA2A">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招标文件的澄清、</w:t>
            </w:r>
            <w:r>
              <w:rPr>
                <w:rFonts w:hint="eastAsia" w:ascii="宋体" w:hAnsi="宋体" w:cs="宋体"/>
                <w:color w:val="auto"/>
                <w:sz w:val="24"/>
                <w:szCs w:val="24"/>
                <w:highlight w:val="none"/>
                <w:lang w:eastAsia="zh-CN"/>
              </w:rPr>
              <w:t>修改</w:t>
            </w:r>
            <w:r>
              <w:rPr>
                <w:rFonts w:hint="eastAsia" w:ascii="宋体" w:hAnsi="宋体" w:eastAsia="宋体" w:cs="宋体"/>
                <w:color w:val="auto"/>
                <w:sz w:val="24"/>
                <w:szCs w:val="24"/>
                <w:highlight w:val="none"/>
              </w:rPr>
              <w:t>及有关补充通知为招标文件的有效组成部分</w:t>
            </w:r>
            <w:r>
              <w:rPr>
                <w:rFonts w:hint="eastAsia" w:ascii="宋体" w:hAnsi="宋体" w:eastAsia="宋体" w:cs="宋体"/>
                <w:color w:val="auto"/>
                <w:sz w:val="24"/>
                <w:szCs w:val="24"/>
                <w:highlight w:val="none"/>
                <w:lang w:eastAsia="zh-CN"/>
              </w:rPr>
              <w:t>。</w:t>
            </w:r>
          </w:p>
        </w:tc>
      </w:tr>
      <w:tr w14:paraId="35D0B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493" w:type="dxa"/>
            <w:noWrap w:val="0"/>
            <w:vAlign w:val="center"/>
          </w:tcPr>
          <w:p w14:paraId="5BD04EEE">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75ADBDC5">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7512" w:type="dxa"/>
            <w:tcBorders>
              <w:left w:val="single" w:color="auto" w:sz="4" w:space="0"/>
            </w:tcBorders>
            <w:noWrap w:val="0"/>
            <w:vAlign w:val="center"/>
          </w:tcPr>
          <w:p w14:paraId="4D71BDC2">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2025年4月23日11：30</w:t>
            </w:r>
            <w:r>
              <w:rPr>
                <w:rFonts w:hint="eastAsia" w:ascii="宋体" w:hAnsi="宋体" w:eastAsia="宋体" w:cs="宋体"/>
                <w:color w:val="auto"/>
                <w:sz w:val="24"/>
                <w:szCs w:val="24"/>
                <w:highlight w:val="none"/>
              </w:rPr>
              <w:t>（北京时间）</w:t>
            </w:r>
          </w:p>
        </w:tc>
      </w:tr>
      <w:tr w14:paraId="11F56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493" w:type="dxa"/>
            <w:noWrap w:val="0"/>
            <w:vAlign w:val="center"/>
          </w:tcPr>
          <w:p w14:paraId="77AAFFEB">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098BAC38">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bCs/>
                <w:color w:val="auto"/>
                <w:sz w:val="24"/>
                <w:szCs w:val="24"/>
                <w:highlight w:val="none"/>
              </w:rPr>
              <w:t>有效期</w:t>
            </w:r>
          </w:p>
        </w:tc>
        <w:tc>
          <w:tcPr>
            <w:tcW w:w="7512" w:type="dxa"/>
            <w:tcBorders>
              <w:left w:val="single" w:color="auto" w:sz="4" w:space="0"/>
            </w:tcBorders>
            <w:noWrap w:val="0"/>
            <w:vAlign w:val="center"/>
          </w:tcPr>
          <w:p w14:paraId="1EA27ACB">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日历天（从投标截止之日算起）</w:t>
            </w:r>
          </w:p>
        </w:tc>
      </w:tr>
      <w:tr w14:paraId="16769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4" w:hRule="atLeast"/>
          <w:jc w:val="center"/>
        </w:trPr>
        <w:tc>
          <w:tcPr>
            <w:tcW w:w="493" w:type="dxa"/>
            <w:noWrap w:val="0"/>
            <w:vAlign w:val="center"/>
          </w:tcPr>
          <w:p w14:paraId="371797C6">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7017E40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7512" w:type="dxa"/>
            <w:tcBorders>
              <w:left w:val="single" w:color="auto" w:sz="4" w:space="0"/>
            </w:tcBorders>
            <w:noWrap w:val="0"/>
            <w:vAlign w:val="center"/>
          </w:tcPr>
          <w:p w14:paraId="1FA38B9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投标保证金的形式：转账、</w:t>
            </w:r>
            <w:r>
              <w:rPr>
                <w:rFonts w:hint="eastAsia" w:ascii="宋体" w:hAnsi="宋体" w:eastAsia="宋体" w:cs="宋体"/>
                <w:b/>
                <w:bCs/>
                <w:color w:val="auto"/>
                <w:sz w:val="24"/>
                <w:szCs w:val="24"/>
                <w:highlight w:val="none"/>
                <w:lang w:val="en-US" w:eastAsia="zh-CN"/>
              </w:rPr>
              <w:t>电汇、电子保函</w:t>
            </w:r>
          </w:p>
          <w:p w14:paraId="008007F9">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i w:val="0"/>
                <w:iCs w:val="0"/>
                <w:caps w:val="0"/>
                <w:color w:val="auto"/>
                <w:spacing w:val="0"/>
                <w:sz w:val="24"/>
                <w:szCs w:val="24"/>
                <w:highlight w:val="none"/>
                <w:lang w:val="en-US" w:eastAsia="zh-CN"/>
              </w:rPr>
            </w:pPr>
            <w:r>
              <w:rPr>
                <w:rFonts w:hint="eastAsia" w:ascii="宋体" w:hAnsi="宋体" w:eastAsia="宋体" w:cs="宋体"/>
                <w:b/>
                <w:bCs/>
                <w:color w:val="auto"/>
                <w:sz w:val="24"/>
                <w:szCs w:val="24"/>
                <w:highlight w:val="none"/>
              </w:rPr>
              <w:t>投标保证金的金额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cs="宋体"/>
                <w:i w:val="0"/>
                <w:iCs w:val="0"/>
                <w:caps w:val="0"/>
                <w:color w:val="auto"/>
                <w:spacing w:val="0"/>
                <w:sz w:val="24"/>
                <w:szCs w:val="24"/>
                <w:highlight w:val="none"/>
                <w:lang w:val="en-US" w:eastAsia="zh-CN"/>
              </w:rPr>
              <w:t>7900.00元</w:t>
            </w:r>
          </w:p>
          <w:p w14:paraId="4CE4662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收款单位全称：</w:t>
            </w:r>
            <w:r>
              <w:rPr>
                <w:rFonts w:hint="eastAsia" w:ascii="宋体" w:hAnsi="宋体" w:cs="宋体"/>
                <w:color w:val="auto"/>
                <w:sz w:val="24"/>
                <w:szCs w:val="24"/>
                <w:highlight w:val="none"/>
                <w:lang w:val="en-US" w:eastAsia="zh-CN"/>
              </w:rPr>
              <w:t>洛浦县公共资源交易中心</w:t>
            </w:r>
          </w:p>
          <w:p w14:paraId="20BFB2C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cs="宋体"/>
                <w:color w:val="auto"/>
                <w:sz w:val="24"/>
                <w:szCs w:val="24"/>
                <w:highlight w:val="none"/>
                <w:lang w:val="en-US" w:eastAsia="zh-CN"/>
              </w:rPr>
              <w:t>30581601040888887</w:t>
            </w:r>
          </w:p>
          <w:p w14:paraId="5D3CE84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开户行： </w:t>
            </w:r>
            <w:r>
              <w:rPr>
                <w:rFonts w:hint="eastAsia" w:ascii="宋体" w:hAnsi="宋体" w:cs="宋体"/>
                <w:color w:val="auto"/>
                <w:sz w:val="24"/>
                <w:szCs w:val="24"/>
                <w:highlight w:val="none"/>
                <w:lang w:val="en-US" w:eastAsia="zh-CN"/>
              </w:rPr>
              <w:t>中国农业银行股份有限公司洛浦县支行</w:t>
            </w:r>
          </w:p>
          <w:p w14:paraId="2331EAA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注：1.采用银行转账或电汇的方式的，由报名单位基本账户于</w:t>
            </w:r>
            <w:r>
              <w:rPr>
                <w:rFonts w:hint="eastAsia" w:ascii="宋体" w:hAnsi="宋体" w:cs="宋体"/>
                <w:color w:val="auto"/>
                <w:sz w:val="24"/>
                <w:szCs w:val="24"/>
                <w:highlight w:val="none"/>
                <w:lang w:val="en-US" w:eastAsia="zh-CN"/>
              </w:rPr>
              <w:t>2025年4月23日11：30</w:t>
            </w:r>
            <w:r>
              <w:rPr>
                <w:rFonts w:hint="eastAsia" w:ascii="宋体" w:hAnsi="宋体" w:eastAsia="宋体" w:cs="宋体"/>
                <w:color w:val="auto"/>
                <w:sz w:val="24"/>
                <w:szCs w:val="24"/>
                <w:highlight w:val="none"/>
                <w:lang w:val="en-US" w:eastAsia="zh-CN"/>
              </w:rPr>
              <w:t>（北京时间）前汇至</w:t>
            </w:r>
            <w:r>
              <w:rPr>
                <w:rFonts w:hint="eastAsia" w:ascii="宋体" w:hAnsi="宋体" w:cs="宋体"/>
                <w:color w:val="auto"/>
                <w:sz w:val="24"/>
                <w:szCs w:val="24"/>
                <w:highlight w:val="none"/>
                <w:lang w:val="en-US" w:eastAsia="zh-CN"/>
              </w:rPr>
              <w:t>洛浦县公共资源交易中心</w:t>
            </w:r>
            <w:r>
              <w:rPr>
                <w:rFonts w:hint="eastAsia" w:ascii="宋体" w:hAnsi="宋体" w:eastAsia="宋体" w:cs="宋体"/>
                <w:color w:val="auto"/>
                <w:sz w:val="24"/>
                <w:szCs w:val="24"/>
                <w:highlight w:val="none"/>
                <w:lang w:val="en-US" w:eastAsia="zh-CN"/>
              </w:rPr>
              <w:t>专用账户，不得以现金和其他形式缴纳，不得以分公司、办事处或其他机构的名义缴纳，报名单位在缴纳保证金时，需在进账凭证上明确资金用途、项目名称，以便查对核实。投标保证金缴纳截止时间为递交投标文件截止时间。</w:t>
            </w:r>
          </w:p>
          <w:p w14:paraId="12B8343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子保函使用方法：1、登录新疆维吾尔自治区政府采购网，首页点击“电子保函”直接进入新疆政府采购电子保函申请页，点击【立即申请】2、依次完善页面显示的投保人信息（供应商信息），确认您要投保的项目信息，在</w:t>
            </w:r>
            <w:r>
              <w:rPr>
                <w:rFonts w:hint="eastAsia" w:ascii="宋体" w:hAnsi="宋体" w:cs="宋体"/>
                <w:color w:val="auto"/>
                <w:sz w:val="24"/>
                <w:szCs w:val="24"/>
                <w:highlight w:val="none"/>
                <w:lang w:val="en-US" w:eastAsia="zh-CN"/>
              </w:rPr>
              <w:t>投保</w:t>
            </w:r>
            <w:r>
              <w:rPr>
                <w:rFonts w:hint="eastAsia" w:ascii="宋体" w:hAnsi="宋体" w:eastAsia="宋体" w:cs="宋体"/>
                <w:color w:val="auto"/>
                <w:sz w:val="24"/>
                <w:szCs w:val="24"/>
                <w:highlight w:val="none"/>
                <w:lang w:val="en-US" w:eastAsia="zh-CN"/>
              </w:rPr>
              <w:t>项目选择页面选择您需要投保的项目（可根据项目名称或项目保函进行搜索），选择投保项目后填写被保险人信息及投保内容。</w:t>
            </w:r>
          </w:p>
          <w:p w14:paraId="4CA28538">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保函投保金额（元）：</w:t>
            </w:r>
            <w:r>
              <w:rPr>
                <w:rFonts w:hint="eastAsia" w:ascii="宋体" w:hAnsi="宋体" w:cs="宋体"/>
                <w:i w:val="0"/>
                <w:iCs w:val="0"/>
                <w:caps w:val="0"/>
                <w:color w:val="auto"/>
                <w:spacing w:val="0"/>
                <w:sz w:val="24"/>
                <w:szCs w:val="24"/>
                <w:highlight w:val="none"/>
                <w:lang w:val="en-US" w:eastAsia="zh-CN"/>
              </w:rPr>
              <w:t>7900.00元</w:t>
            </w:r>
          </w:p>
          <w:p w14:paraId="60242E3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保函承保期限：</w:t>
            </w:r>
            <w:r>
              <w:rPr>
                <w:rFonts w:hint="eastAsia" w:ascii="宋体" w:hAnsi="宋体" w:cs="宋体"/>
                <w:b/>
                <w:bCs/>
                <w:color w:val="auto"/>
                <w:sz w:val="24"/>
                <w:szCs w:val="24"/>
                <w:highlight w:val="none"/>
                <w:lang w:val="en-US" w:eastAsia="zh-CN"/>
              </w:rPr>
              <w:t>2025年4月23日</w:t>
            </w:r>
            <w:r>
              <w:rPr>
                <w:rFonts w:hint="eastAsia" w:ascii="宋体" w:hAnsi="宋体" w:eastAsia="宋体" w:cs="宋体"/>
                <w:b/>
                <w:bCs/>
                <w:color w:val="auto"/>
                <w:sz w:val="24"/>
                <w:szCs w:val="24"/>
                <w:highlight w:val="none"/>
                <w:lang w:val="en-US" w:eastAsia="zh-CN"/>
              </w:rPr>
              <w:t>－---202</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年</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月</w:t>
            </w:r>
            <w:r>
              <w:rPr>
                <w:rFonts w:hint="eastAsia" w:ascii="宋体" w:hAnsi="宋体" w:cs="宋体"/>
                <w:b/>
                <w:bCs/>
                <w:color w:val="auto"/>
                <w:sz w:val="24"/>
                <w:szCs w:val="24"/>
                <w:highlight w:val="none"/>
                <w:lang w:val="en-US" w:eastAsia="zh-CN"/>
              </w:rPr>
              <w:t>17</w:t>
            </w:r>
            <w:r>
              <w:rPr>
                <w:rFonts w:hint="eastAsia" w:ascii="宋体" w:hAnsi="宋体" w:eastAsia="宋体" w:cs="宋体"/>
                <w:b/>
                <w:bCs/>
                <w:color w:val="auto"/>
                <w:sz w:val="24"/>
                <w:szCs w:val="24"/>
                <w:highlight w:val="none"/>
                <w:lang w:val="en-US" w:eastAsia="zh-CN"/>
              </w:rPr>
              <w:t>日（90日历天）</w:t>
            </w:r>
          </w:p>
        </w:tc>
      </w:tr>
      <w:tr w14:paraId="3A996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noWrap w:val="0"/>
            <w:vAlign w:val="center"/>
          </w:tcPr>
          <w:p w14:paraId="34E5C569">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20AD6580">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签字盖章</w:t>
            </w:r>
          </w:p>
        </w:tc>
        <w:tc>
          <w:tcPr>
            <w:tcW w:w="7512" w:type="dxa"/>
            <w:tcBorders>
              <w:left w:val="single" w:color="auto" w:sz="4" w:space="0"/>
            </w:tcBorders>
            <w:noWrap w:val="0"/>
            <w:vAlign w:val="center"/>
          </w:tcPr>
          <w:p w14:paraId="28B1E2CE">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投标人必须按照招标文件的规定和要求签字、盖章</w:t>
            </w:r>
          </w:p>
        </w:tc>
      </w:tr>
      <w:tr w14:paraId="4CC77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61130B07">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7977E5C5">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递交投标文件的地点及方式</w:t>
            </w:r>
          </w:p>
        </w:tc>
        <w:tc>
          <w:tcPr>
            <w:tcW w:w="7512" w:type="dxa"/>
            <w:tcBorders>
              <w:left w:val="single" w:color="auto" w:sz="4" w:space="0"/>
            </w:tcBorders>
            <w:noWrap w:val="0"/>
            <w:vAlign w:val="center"/>
          </w:tcPr>
          <w:p w14:paraId="684F9D87">
            <w:pPr>
              <w:shd w:val="clear" w:color="auto" w:fill="auto"/>
              <w:spacing w:line="340" w:lineRule="exact"/>
              <w:ind w:left="714" w:leftChars="1" w:hanging="712" w:hangingChars="297"/>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lang w:eastAsia="zh-CN"/>
              </w:rPr>
              <w:t>政采云平台不见面开标</w:t>
            </w:r>
          </w:p>
          <w:p w14:paraId="438D9B72">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递交投标文件的地点及方式：</w:t>
            </w:r>
            <w:r>
              <w:rPr>
                <w:rFonts w:hint="eastAsia" w:ascii="宋体" w:hAnsi="宋体" w:eastAsia="宋体" w:cs="宋体"/>
                <w:bCs/>
                <w:color w:val="auto"/>
                <w:sz w:val="24"/>
                <w:szCs w:val="24"/>
                <w:highlight w:val="none"/>
              </w:rPr>
              <w:t>投标人应</w:t>
            </w:r>
            <w:r>
              <w:rPr>
                <w:rFonts w:hint="eastAsia" w:ascii="宋体" w:hAnsi="宋体" w:cs="宋体"/>
                <w:bCs/>
                <w:color w:val="auto"/>
                <w:sz w:val="24"/>
                <w:szCs w:val="24"/>
                <w:highlight w:val="none"/>
                <w:lang w:eastAsia="zh-CN"/>
              </w:rPr>
              <w:t>2025年4月23日</w:t>
            </w:r>
            <w:r>
              <w:rPr>
                <w:rFonts w:hint="eastAsia" w:ascii="宋体" w:hAnsi="宋体" w:cs="宋体"/>
                <w:bCs/>
                <w:color w:val="auto"/>
                <w:sz w:val="24"/>
                <w:szCs w:val="24"/>
                <w:highlight w:val="none"/>
                <w:lang w:val="en-US" w:eastAsia="zh-CN"/>
              </w:rPr>
              <w:t>11点30分</w:t>
            </w:r>
            <w:r>
              <w:rPr>
                <w:rFonts w:hint="eastAsia" w:ascii="宋体" w:hAnsi="宋体" w:eastAsia="宋体" w:cs="宋体"/>
                <w:bCs/>
                <w:color w:val="auto"/>
                <w:sz w:val="24"/>
                <w:szCs w:val="24"/>
                <w:highlight w:val="none"/>
              </w:rPr>
              <w:t>之前将电子投标文件上传到“政采云”平台。应按照本项目招标文件和政采云平台的要求编制、加密传输投标文件。供应商在使用</w:t>
            </w:r>
            <w:r>
              <w:rPr>
                <w:rFonts w:hint="eastAsia" w:ascii="宋体" w:hAnsi="宋体" w:eastAsia="宋体" w:cs="宋体"/>
                <w:color w:val="auto"/>
                <w:sz w:val="24"/>
                <w:szCs w:val="24"/>
                <w:highlight w:val="none"/>
                <w:lang w:val="en-US" w:eastAsia="zh-CN"/>
              </w:rPr>
              <w:t>系统</w:t>
            </w:r>
            <w:r>
              <w:rPr>
                <w:rFonts w:hint="eastAsia" w:ascii="宋体" w:hAnsi="宋体" w:eastAsia="宋体" w:cs="宋体"/>
                <w:bCs/>
                <w:color w:val="auto"/>
                <w:sz w:val="24"/>
                <w:szCs w:val="24"/>
                <w:highlight w:val="none"/>
              </w:rPr>
              <w:t>进行投标的过程中遇到涉及平台使用的任何问题，可致电政采云平台技术支持热线咨询，联系方式：400-881-7190</w:t>
            </w:r>
            <w:r>
              <w:rPr>
                <w:rFonts w:hint="eastAsia" w:ascii="宋体" w:hAnsi="宋体" w:eastAsia="宋体" w:cs="宋体"/>
                <w:bCs/>
                <w:color w:val="auto"/>
                <w:sz w:val="24"/>
                <w:szCs w:val="24"/>
                <w:highlight w:val="none"/>
                <w:lang w:val="en-US" w:eastAsia="zh-CN"/>
              </w:rPr>
              <w:t>或95763</w:t>
            </w:r>
            <w:r>
              <w:rPr>
                <w:rFonts w:hint="eastAsia" w:ascii="宋体" w:hAnsi="宋体" w:eastAsia="宋体" w:cs="宋体"/>
                <w:bCs/>
                <w:color w:val="auto"/>
                <w:sz w:val="24"/>
                <w:szCs w:val="24"/>
                <w:highlight w:val="none"/>
              </w:rPr>
              <w:t>。</w:t>
            </w:r>
          </w:p>
        </w:tc>
      </w:tr>
      <w:tr w14:paraId="1AA25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14:paraId="3F32A884">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4CFC4229">
            <w:pPr>
              <w:keepNext w:val="0"/>
              <w:keepLines w:val="0"/>
              <w:pageBreakBefore w:val="0"/>
              <w:kinsoku/>
              <w:wordWrap/>
              <w:overflowPunct/>
              <w:topLinePunct w:val="0"/>
              <w:autoSpaceDE/>
              <w:autoSpaceDN/>
              <w:bidi w:val="0"/>
              <w:adjustRightInd/>
              <w:snapToGrid/>
              <w:spacing w:line="300" w:lineRule="exact"/>
              <w:ind w:left="120" w:leftChars="0" w:right="62" w:rightChars="0" w:hanging="120" w:hanging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标前准备</w:t>
            </w:r>
          </w:p>
        </w:tc>
        <w:tc>
          <w:tcPr>
            <w:tcW w:w="7512" w:type="dxa"/>
            <w:tcBorders>
              <w:left w:val="single" w:color="auto" w:sz="4" w:space="0"/>
            </w:tcBorders>
            <w:noWrap w:val="0"/>
            <w:vAlign w:val="center"/>
          </w:tcPr>
          <w:p w14:paraId="4FEBC764">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1、本项目实行网上投标，采用电子投标文件。供应商应按照相关格式要求上传投标文件即可，无需到现场开标。若供应商参与投标，自行承担投标一切费用。</w:t>
            </w:r>
          </w:p>
          <w:p w14:paraId="1E4FC8DD">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7E6206DF">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31FBA825">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14:paraId="599F6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14:paraId="180CA37E">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11E96B47">
            <w:pPr>
              <w:spacing w:line="360" w:lineRule="exact"/>
              <w:ind w:left="120" w:leftChars="0" w:right="62" w:rightChars="0" w:hanging="120" w:hangingChars="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shd w:val="clear" w:color="auto" w:fill="auto"/>
                <w:lang w:eastAsia="zh-CN"/>
              </w:rPr>
              <w:t>招标文件解密时间</w:t>
            </w:r>
          </w:p>
        </w:tc>
        <w:tc>
          <w:tcPr>
            <w:tcW w:w="7512" w:type="dxa"/>
            <w:tcBorders>
              <w:left w:val="single" w:color="auto" w:sz="4" w:space="0"/>
            </w:tcBorders>
            <w:noWrap w:val="0"/>
            <w:vAlign w:val="center"/>
          </w:tcPr>
          <w:p w14:paraId="20012E6B">
            <w:pPr>
              <w:keepNext w:val="0"/>
              <w:keepLines w:val="0"/>
              <w:pageBreakBefore w:val="0"/>
              <w:kinsoku/>
              <w:wordWrap/>
              <w:overflowPunct/>
              <w:topLinePunct w:val="0"/>
              <w:autoSpaceDE/>
              <w:autoSpaceDN/>
              <w:bidi w:val="0"/>
              <w:adjustRightInd/>
              <w:snapToGrid/>
              <w:spacing w:line="300" w:lineRule="exact"/>
              <w:ind w:left="120" w:leftChars="0" w:right="62" w:rightChars="0" w:hanging="120" w:hangingChars="5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2025年4月23日11：30</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1</w:t>
            </w: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0</w:t>
            </w:r>
            <w:r>
              <w:rPr>
                <w:rFonts w:hint="eastAsia" w:ascii="宋体" w:hAnsi="宋体" w:cs="宋体"/>
                <w:b w:val="0"/>
                <w:bCs w:val="0"/>
                <w:color w:val="auto"/>
                <w:sz w:val="24"/>
                <w:szCs w:val="24"/>
                <w:highlight w:val="none"/>
                <w:lang w:eastAsia="zh-CN"/>
              </w:rPr>
              <w:t>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北京时间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前供应商可以登录“</w:t>
            </w:r>
            <w:r>
              <w:rPr>
                <w:rFonts w:hint="eastAsia" w:ascii="宋体" w:hAnsi="宋体" w:eastAsia="宋体" w:cs="宋体"/>
                <w:b w:val="0"/>
                <w:bCs w:val="0"/>
                <w:color w:val="auto"/>
                <w:sz w:val="24"/>
                <w:szCs w:val="24"/>
                <w:highlight w:val="none"/>
                <w:lang w:val="en-US" w:eastAsia="zh-CN"/>
              </w:rPr>
              <w:t>政采云</w:t>
            </w:r>
            <w:r>
              <w:rPr>
                <w:rFonts w:hint="eastAsia" w:ascii="宋体" w:hAnsi="宋体" w:eastAsia="宋体" w:cs="宋体"/>
                <w:b w:val="0"/>
                <w:bCs w:val="0"/>
                <w:color w:val="auto"/>
                <w:sz w:val="24"/>
                <w:szCs w:val="24"/>
                <w:highlight w:val="none"/>
              </w:rPr>
              <w:t>”平台，用“项目采购</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开标评标”功能进行解密投标文件。若供应商在规定时间内（</w:t>
            </w:r>
            <w:r>
              <w:rPr>
                <w:rFonts w:hint="eastAsia" w:ascii="宋体" w:hAnsi="宋体" w:cs="宋体"/>
                <w:b w:val="0"/>
                <w:bCs w:val="0"/>
                <w:color w:val="auto"/>
                <w:sz w:val="24"/>
                <w:szCs w:val="24"/>
                <w:highlight w:val="none"/>
                <w:lang w:val="en-US" w:eastAsia="zh-CN"/>
              </w:rPr>
              <w:t>2025年4月23日上</w:t>
            </w:r>
            <w:r>
              <w:rPr>
                <w:rFonts w:hint="eastAsia" w:ascii="宋体" w:hAnsi="宋体" w:eastAsia="宋体" w:cs="宋体"/>
                <w:b w:val="0"/>
                <w:bCs w:val="0"/>
                <w:color w:val="auto"/>
                <w:sz w:val="24"/>
                <w:szCs w:val="24"/>
                <w:highlight w:val="none"/>
                <w:lang w:val="en-US" w:eastAsia="zh-CN"/>
              </w:rPr>
              <w:t>午</w:t>
            </w:r>
            <w:r>
              <w:rPr>
                <w:rFonts w:hint="eastAsia" w:ascii="宋体" w:hAnsi="宋体" w:cs="宋体"/>
                <w:b w:val="0"/>
                <w:bCs w:val="0"/>
                <w:color w:val="auto"/>
                <w:sz w:val="24"/>
                <w:szCs w:val="24"/>
                <w:highlight w:val="none"/>
                <w:lang w:val="en-US" w:eastAsia="zh-CN"/>
              </w:rPr>
              <w:t>12：00</w:t>
            </w:r>
            <w:r>
              <w:rPr>
                <w:rFonts w:hint="eastAsia" w:ascii="宋体" w:hAnsi="宋体" w:eastAsia="宋体" w:cs="宋体"/>
                <w:b w:val="0"/>
                <w:bCs w:val="0"/>
                <w:color w:val="auto"/>
                <w:sz w:val="24"/>
                <w:szCs w:val="24"/>
                <w:highlight w:val="none"/>
              </w:rPr>
              <w:t>前）未按时解密的，视为投标文件撤回。</w:t>
            </w:r>
          </w:p>
        </w:tc>
      </w:tr>
      <w:tr w14:paraId="22C82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93" w:type="dxa"/>
            <w:noWrap w:val="0"/>
            <w:vAlign w:val="center"/>
          </w:tcPr>
          <w:p w14:paraId="30D8E8DC">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4E1974FB">
            <w:pPr>
              <w:spacing w:line="360" w:lineRule="exact"/>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auto"/>
              </w:rPr>
              <w:t>招标代理服务费</w:t>
            </w:r>
          </w:p>
        </w:tc>
        <w:tc>
          <w:tcPr>
            <w:tcW w:w="7512" w:type="dxa"/>
            <w:tcBorders>
              <w:left w:val="single" w:color="auto" w:sz="4" w:space="0"/>
            </w:tcBorders>
            <w:noWrap w:val="0"/>
            <w:vAlign w:val="center"/>
          </w:tcPr>
          <w:p w14:paraId="1AF5E6A6">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代理费用收取方式及标准，采用以下方式：</w:t>
            </w:r>
          </w:p>
          <w:p w14:paraId="7D68C513">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标准：参照国家发改委[2011]534号文、[2015]299号文作为协商价格的基础收取，</w:t>
            </w:r>
          </w:p>
          <w:p w14:paraId="46DE6BD3">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lang w:val="en-US" w:eastAsia="zh-CN"/>
              </w:rPr>
              <w:t>本项目招标代理服务费：由</w:t>
            </w:r>
            <w:r>
              <w:rPr>
                <w:rFonts w:hint="eastAsia" w:ascii="宋体" w:hAnsi="宋体" w:cs="宋体"/>
                <w:b w:val="0"/>
                <w:bCs/>
                <w:color w:val="auto"/>
                <w:sz w:val="24"/>
                <w:szCs w:val="24"/>
                <w:highlight w:val="none"/>
                <w:lang w:val="en-US" w:eastAsia="zh-CN"/>
              </w:rPr>
              <w:t>中标供应商</w:t>
            </w:r>
            <w:r>
              <w:rPr>
                <w:rFonts w:hint="eastAsia" w:ascii="宋体" w:hAnsi="宋体" w:eastAsia="宋体" w:cs="宋体"/>
                <w:b w:val="0"/>
                <w:bCs/>
                <w:color w:val="auto"/>
                <w:sz w:val="24"/>
                <w:szCs w:val="24"/>
                <w:highlight w:val="none"/>
                <w:lang w:val="en-US" w:eastAsia="zh-CN"/>
              </w:rPr>
              <w:t>支付。</w:t>
            </w:r>
          </w:p>
        </w:tc>
      </w:tr>
      <w:tr w14:paraId="475E0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noWrap w:val="0"/>
            <w:vAlign w:val="center"/>
          </w:tcPr>
          <w:p w14:paraId="2E9A5FFC">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0A9525E3">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代理服务费付款方式</w:t>
            </w:r>
          </w:p>
        </w:tc>
        <w:tc>
          <w:tcPr>
            <w:tcW w:w="7512" w:type="dxa"/>
            <w:tcBorders>
              <w:left w:val="single" w:color="auto" w:sz="4" w:space="0"/>
            </w:tcBorders>
            <w:noWrap w:val="0"/>
            <w:vAlign w:val="center"/>
          </w:tcPr>
          <w:p w14:paraId="40A91021">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公对公转账或电汇</w:t>
            </w:r>
          </w:p>
        </w:tc>
      </w:tr>
      <w:tr w14:paraId="77C5F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493" w:type="dxa"/>
            <w:noWrap w:val="0"/>
            <w:vAlign w:val="center"/>
          </w:tcPr>
          <w:p w14:paraId="160EB913">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19CA0FD5">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评标委员的组建</w:t>
            </w:r>
          </w:p>
        </w:tc>
        <w:tc>
          <w:tcPr>
            <w:tcW w:w="7512" w:type="dxa"/>
            <w:tcBorders>
              <w:left w:val="single" w:color="auto" w:sz="4" w:space="0"/>
            </w:tcBorders>
            <w:noWrap w:val="0"/>
            <w:vAlign w:val="center"/>
          </w:tcPr>
          <w:p w14:paraId="7D871716">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人；</w:t>
            </w:r>
          </w:p>
          <w:p w14:paraId="2C5DCEF8">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评标专家确定方式：项目采购人代表1人，专家</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人从专家库中随机抽取，其中评审专家成员人数不少于成员总数的三分之二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由招标代理在开标前</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rPr>
              <w:t>小时在新疆政府采购专家库中随机抽取此次评标专家</w:t>
            </w:r>
            <w:r>
              <w:rPr>
                <w:rFonts w:hint="eastAsia" w:ascii="宋体" w:hAnsi="宋体" w:eastAsia="宋体" w:cs="宋体"/>
                <w:color w:val="auto"/>
                <w:sz w:val="24"/>
                <w:szCs w:val="24"/>
                <w:highlight w:val="none"/>
                <w:lang w:eastAsia="zh-CN"/>
              </w:rPr>
              <w:t>。</w:t>
            </w:r>
          </w:p>
        </w:tc>
      </w:tr>
      <w:tr w14:paraId="78E31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493" w:type="dxa"/>
            <w:tcBorders>
              <w:top w:val="single" w:color="auto" w:sz="4" w:space="0"/>
            </w:tcBorders>
            <w:noWrap w:val="0"/>
            <w:vAlign w:val="center"/>
          </w:tcPr>
          <w:p w14:paraId="01C2FBCC">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top w:val="single" w:color="auto" w:sz="4" w:space="0"/>
              <w:right w:val="single" w:color="auto" w:sz="4" w:space="0"/>
            </w:tcBorders>
            <w:noWrap w:val="0"/>
            <w:vAlign w:val="center"/>
          </w:tcPr>
          <w:p w14:paraId="3366C4EA">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512" w:type="dxa"/>
            <w:tcBorders>
              <w:top w:val="single" w:color="auto" w:sz="4" w:space="0"/>
              <w:left w:val="single" w:color="auto" w:sz="4" w:space="0"/>
            </w:tcBorders>
            <w:noWrap w:val="0"/>
            <w:vAlign w:val="center"/>
          </w:tcPr>
          <w:p w14:paraId="37952B57">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合同总价的　10%　，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14:paraId="4C83F567">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color w:val="auto"/>
                <w:sz w:val="24"/>
                <w:szCs w:val="24"/>
                <w:highlight w:val="none"/>
                <w:lang w:val="en-US" w:eastAsia="zh-CN"/>
              </w:rPr>
              <w:t>履约保证金形式：支票、汇票、本票，或者金融机构、担保机构出具的保函等非现金形式提交（履约赔付地点为项目所在地）</w:t>
            </w:r>
          </w:p>
        </w:tc>
      </w:tr>
      <w:tr w14:paraId="75E45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5" w:hRule="atLeast"/>
          <w:jc w:val="center"/>
        </w:trPr>
        <w:tc>
          <w:tcPr>
            <w:tcW w:w="493" w:type="dxa"/>
            <w:tcBorders>
              <w:top w:val="single" w:color="auto" w:sz="4" w:space="0"/>
            </w:tcBorders>
            <w:noWrap w:val="0"/>
            <w:vAlign w:val="center"/>
          </w:tcPr>
          <w:p w14:paraId="647B2866">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top w:val="single" w:color="auto" w:sz="4" w:space="0"/>
              <w:right w:val="single" w:color="auto" w:sz="4" w:space="0"/>
            </w:tcBorders>
            <w:noWrap w:val="0"/>
            <w:vAlign w:val="center"/>
          </w:tcPr>
          <w:p w14:paraId="273BBBA0">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政府采购政策支持</w:t>
            </w:r>
          </w:p>
        </w:tc>
        <w:tc>
          <w:tcPr>
            <w:tcW w:w="7512" w:type="dxa"/>
            <w:tcBorders>
              <w:top w:val="single" w:color="auto" w:sz="4" w:space="0"/>
              <w:left w:val="single" w:color="auto" w:sz="4" w:space="0"/>
            </w:tcBorders>
            <w:noWrap w:val="0"/>
            <w:vAlign w:val="top"/>
          </w:tcPr>
          <w:p w14:paraId="54E7B80D">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根据《中华人民共和国政府采购法》、财政部、工信部《政府采购促进中小企业发展管理办法》（财库〔2020〕46号）、《关于进一步加大政府采购支持中小企业力度的通知财库〔2022〕19号》等有关法律法规执行；</w:t>
            </w:r>
          </w:p>
          <w:p w14:paraId="0CB0AF9E">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扣除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14:paraId="4B870ED8">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tc>
      </w:tr>
      <w:tr w14:paraId="3FA06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 w:hRule="atLeast"/>
          <w:jc w:val="center"/>
        </w:trPr>
        <w:tc>
          <w:tcPr>
            <w:tcW w:w="493" w:type="dxa"/>
            <w:tcBorders>
              <w:top w:val="single" w:color="auto" w:sz="4" w:space="0"/>
            </w:tcBorders>
            <w:noWrap w:val="0"/>
            <w:vAlign w:val="center"/>
          </w:tcPr>
          <w:p w14:paraId="72A797A7">
            <w:pPr>
              <w:numPr>
                <w:ilvl w:val="0"/>
                <w:numId w:val="3"/>
              </w:numPr>
              <w:bidi w:val="0"/>
              <w:ind w:left="425" w:leftChars="0" w:hanging="425" w:firstLineChars="0"/>
              <w:jc w:val="center"/>
              <w:rPr>
                <w:rFonts w:hint="eastAsia" w:ascii="宋体" w:hAnsi="宋体" w:eastAsia="宋体" w:cs="宋体"/>
                <w:color w:val="auto"/>
                <w:sz w:val="24"/>
                <w:szCs w:val="24"/>
                <w:highlight w:val="none"/>
                <w:lang w:val="en-US" w:eastAsia="zh-CN"/>
              </w:rPr>
            </w:pPr>
          </w:p>
        </w:tc>
        <w:tc>
          <w:tcPr>
            <w:tcW w:w="1550" w:type="dxa"/>
            <w:tcBorders>
              <w:top w:val="single" w:color="auto" w:sz="4" w:space="0"/>
              <w:right w:val="single" w:color="auto" w:sz="4" w:space="0"/>
            </w:tcBorders>
            <w:noWrap w:val="0"/>
            <w:vAlign w:val="center"/>
          </w:tcPr>
          <w:p w14:paraId="30D07EF5">
            <w:pPr>
              <w:keepNext w:val="0"/>
              <w:keepLines w:val="0"/>
              <w:pageBreakBefore w:val="0"/>
              <w:kinsoku/>
              <w:wordWrap/>
              <w:overflowPunct/>
              <w:topLinePunct w:val="0"/>
              <w:autoSpaceDE/>
              <w:autoSpaceDN/>
              <w:bidi w:val="0"/>
              <w:adjustRightInd/>
              <w:snapToGrid/>
              <w:spacing w:line="300" w:lineRule="exact"/>
              <w:ind w:left="0" w:leftChars="0" w:right="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关于小微企业报价扣除比例说明</w:t>
            </w:r>
          </w:p>
        </w:tc>
        <w:tc>
          <w:tcPr>
            <w:tcW w:w="7512" w:type="dxa"/>
            <w:tcBorders>
              <w:top w:val="single" w:color="auto" w:sz="4" w:space="0"/>
              <w:left w:val="single" w:color="auto" w:sz="4" w:space="0"/>
            </w:tcBorders>
            <w:noWrap w:val="0"/>
            <w:vAlign w:val="top"/>
          </w:tcPr>
          <w:p w14:paraId="3D692264">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1.投标人为非联合体投标的，对其投标货物的制造商为小微型企业的给予10%的扣除，以扣除后的报价参与评审。</w:t>
            </w:r>
          </w:p>
          <w:p w14:paraId="3849A3C6">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6%由采购人在幅度范围内确定）的扣除，用扣除后的价格参加评审。</w:t>
            </w:r>
          </w:p>
          <w:p w14:paraId="6D96184C">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3.监狱企业、残疾人福利性单位视同小型、微型企业。</w:t>
            </w:r>
          </w:p>
          <w:p w14:paraId="31488FD9">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4.如专门面向中小企业的采购项目，不再享受价格扣除。</w:t>
            </w:r>
          </w:p>
          <w:p w14:paraId="49FBF1CC">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5.本项目所属行业为：</w:t>
            </w:r>
            <w:r>
              <w:rPr>
                <w:rFonts w:hint="eastAsia" w:ascii="宋体" w:hAnsi="宋体" w:cs="宋体"/>
                <w:color w:val="auto"/>
                <w:sz w:val="24"/>
                <w:szCs w:val="24"/>
                <w:highlight w:val="none"/>
                <w:lang w:val="en-US" w:eastAsia="zh-CN"/>
              </w:rPr>
              <w:t>建筑业</w:t>
            </w:r>
          </w:p>
        </w:tc>
      </w:tr>
      <w:tr w14:paraId="59D96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14:paraId="72BD7B42">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7FF738BB">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lang w:val="en-US" w:eastAsia="zh-CN"/>
              </w:rPr>
              <w:t>1</w:t>
            </w:r>
          </w:p>
        </w:tc>
        <w:tc>
          <w:tcPr>
            <w:tcW w:w="7512" w:type="dxa"/>
            <w:tcBorders>
              <w:left w:val="single" w:color="auto" w:sz="4" w:space="0"/>
            </w:tcBorders>
            <w:noWrap w:val="0"/>
            <w:vAlign w:val="center"/>
          </w:tcPr>
          <w:p w14:paraId="5825EB3E">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特别提醒：</w:t>
            </w:r>
          </w:p>
          <w:p w14:paraId="7C84BB48">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1、所有投标人的报价高于本项目（标项）最高限价额度的视为无效报价（即作否决投标处理）。</w:t>
            </w:r>
          </w:p>
          <w:p w14:paraId="6D0BF3A0">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14:paraId="392C42AF">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w:t>
            </w:r>
            <w:r>
              <w:rPr>
                <w:rFonts w:hint="eastAsia" w:ascii="宋体" w:hAnsi="宋体" w:cs="宋体"/>
                <w:b w:val="0"/>
                <w:bCs w:val="0"/>
                <w:color w:val="auto"/>
                <w:sz w:val="24"/>
                <w:szCs w:val="24"/>
                <w:highlight w:val="none"/>
                <w:lang w:val="en-US" w:eastAsia="zh-CN"/>
              </w:rPr>
              <w:t>效投</w:t>
            </w:r>
            <w:r>
              <w:rPr>
                <w:rFonts w:hint="eastAsia" w:ascii="宋体" w:hAnsi="宋体" w:eastAsia="宋体" w:cs="宋体"/>
                <w:b w:val="0"/>
                <w:bCs w:val="0"/>
                <w:color w:val="auto"/>
                <w:sz w:val="24"/>
                <w:szCs w:val="24"/>
                <w:highlight w:val="none"/>
                <w:lang w:val="en-US" w:eastAsia="zh-CN"/>
              </w:rPr>
              <w:t>标处理。</w:t>
            </w:r>
          </w:p>
          <w:p w14:paraId="3FDB915F">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4、更正补充公告请自行登录新疆政府采购网查看下载。</w:t>
            </w:r>
          </w:p>
          <w:p w14:paraId="5462A86B">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5、采购代理机构将拒绝接受未在政采云平台获取招标文件的投标人的投标文件。</w:t>
            </w:r>
          </w:p>
          <w:p w14:paraId="0B4A2FB1">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6、所有投标单位对招标文件中所有条款如有疑问或异议请在开标以书面形式提出，否则不予受理。</w:t>
            </w:r>
          </w:p>
          <w:p w14:paraId="6C816C06">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7、为确保投标保证金的及时退还，结果公示后投标企业需提供保证金汇款凭证、开户许可证复印件、收据并注明开户行行号、联系方式（加盖公司公章）交至</w:t>
            </w:r>
            <w:r>
              <w:rPr>
                <w:rFonts w:hint="eastAsia" w:ascii="宋体" w:hAnsi="宋体" w:cs="宋体"/>
                <w:b w:val="0"/>
                <w:bCs w:val="0"/>
                <w:color w:val="auto"/>
                <w:sz w:val="24"/>
                <w:szCs w:val="24"/>
                <w:highlight w:val="none"/>
                <w:lang w:val="en-US" w:eastAsia="zh-CN"/>
              </w:rPr>
              <w:t>洛浦县公共资源交易中心</w:t>
            </w:r>
            <w:r>
              <w:rPr>
                <w:rFonts w:hint="eastAsia" w:ascii="宋体" w:hAnsi="宋体" w:eastAsia="宋体" w:cs="宋体"/>
                <w:b w:val="0"/>
                <w:bCs w:val="0"/>
                <w:color w:val="auto"/>
                <w:sz w:val="24"/>
                <w:szCs w:val="24"/>
                <w:highlight w:val="none"/>
                <w:lang w:val="en-US" w:eastAsia="zh-CN"/>
              </w:rPr>
              <w:t>财务室办理。（注：废标项目投标保证金在后续项目再次招标时银行系统不做统计，投标企业及时办理退款）。</w:t>
            </w:r>
          </w:p>
          <w:p w14:paraId="0AAEEB2E">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8、本项目资格审查模块由招标代理组织进行。</w:t>
            </w:r>
          </w:p>
        </w:tc>
      </w:tr>
      <w:tr w14:paraId="32520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14:paraId="3F2DBEE7">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149906A1">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lang w:val="en-US" w:eastAsia="zh-CN"/>
              </w:rPr>
              <w:t>2</w:t>
            </w:r>
          </w:p>
        </w:tc>
        <w:tc>
          <w:tcPr>
            <w:tcW w:w="7512" w:type="dxa"/>
            <w:tcBorders>
              <w:left w:val="single" w:color="auto" w:sz="4" w:space="0"/>
            </w:tcBorders>
            <w:noWrap w:val="0"/>
            <w:vAlign w:val="center"/>
          </w:tcPr>
          <w:p w14:paraId="0932C515">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14:paraId="4945899C">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14:paraId="6D4B2689">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zh-CN" w:eastAsia="zh-CN"/>
              </w:rPr>
              <w:t>本项目的招标投标活动以及相关当事人须接受财政监督部门依法实施的监督。</w:t>
            </w:r>
          </w:p>
          <w:p w14:paraId="3DBDDB32">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14:paraId="750015C5">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594A875F">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14:paraId="2044E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14:paraId="297576AA">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6D1FBD23">
            <w:pPr>
              <w:shd w:val="clear" w:color="auto" w:fill="auto"/>
              <w:spacing w:line="360" w:lineRule="exact"/>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重要提示</w:t>
            </w:r>
          </w:p>
        </w:tc>
        <w:tc>
          <w:tcPr>
            <w:tcW w:w="7512" w:type="dxa"/>
            <w:tcBorders>
              <w:left w:val="single" w:color="auto" w:sz="4" w:space="0"/>
            </w:tcBorders>
            <w:noWrap w:val="0"/>
            <w:vAlign w:val="center"/>
          </w:tcPr>
          <w:p w14:paraId="747CE6E1">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（1）中标供应商应在规定期限内领取《中标通知书》，若中标供应商未在规定期限内领取《中标通知书》，采购人有权取消中标供应商中标资格，并将相关违约行为报送监管部门，实施信用惩戒；</w:t>
            </w:r>
          </w:p>
          <w:p w14:paraId="17D3A2AB">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中标供应商应在规定期限内提交履约担保并与采购人签订合同，若中标供应商未能在规定期限内提交履约担保或签订合同，采购人有权取消中标供应商中标资格，并将相关违约行为报送监管部门，实施信用惩戒；</w:t>
            </w:r>
          </w:p>
          <w:p w14:paraId="36D8F844">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合同签订后，中标供应商存在规定时间内不组织人员进场开工，不履行供货、安装或服务义务等情况，采购人有权解除合同，并追究违约责任，同时将相关违约行为报送监管部门，记不良行为记录，实施信用惩戒；</w:t>
            </w:r>
          </w:p>
          <w:p w14:paraId="17216E91">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（4）中标供应商中标后被监管部门查实存在违法行为，不满足中标条件的，由采购人取消中标资格，并做好项目后续工作；</w:t>
            </w:r>
          </w:p>
          <w:p w14:paraId="495CBAD1">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14:paraId="0D72A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14:paraId="0FD9508E">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203F142F">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其他方式采购</w:t>
            </w:r>
          </w:p>
        </w:tc>
        <w:tc>
          <w:tcPr>
            <w:tcW w:w="7512" w:type="dxa"/>
            <w:tcBorders>
              <w:left w:val="single" w:color="auto" w:sz="4" w:space="0"/>
            </w:tcBorders>
            <w:noWrap w:val="0"/>
            <w:vAlign w:val="center"/>
          </w:tcPr>
          <w:p w14:paraId="13EEAB8A">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14:paraId="70026A7F">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（1）招标文件存在不合理条款或者采购程序不符合规定的，采购人、采购代理机构改正后依法重新采购；</w:t>
            </w:r>
          </w:p>
          <w:p w14:paraId="049EE4A5">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（2）招标文件没有不合理条款、采购程序符合规定，需要采用其他采购方式采购的，采购人应当依法报财政部门批准。</w:t>
            </w:r>
          </w:p>
        </w:tc>
      </w:tr>
      <w:tr w14:paraId="1A06D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14:paraId="1F12BE4C">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75B87E38">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tc>
        <w:tc>
          <w:tcPr>
            <w:tcW w:w="7512" w:type="dxa"/>
            <w:tcBorders>
              <w:left w:val="single" w:color="auto" w:sz="4" w:space="0"/>
            </w:tcBorders>
            <w:noWrap w:val="0"/>
            <w:vAlign w:val="center"/>
          </w:tcPr>
          <w:p w14:paraId="22D26D95">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作出答复的，可以在答复期满后五个工作日内向有关监管部门投诉。</w:t>
            </w:r>
          </w:p>
          <w:p w14:paraId="0012DCD7">
            <w:pPr>
              <w:keepNext w:val="0"/>
              <w:keepLines w:val="0"/>
              <w:pageBreakBefore w:val="0"/>
              <w:kinsoku/>
              <w:wordWrap/>
              <w:overflowPunct/>
              <w:topLinePunct w:val="0"/>
              <w:autoSpaceDE/>
              <w:autoSpaceDN/>
              <w:bidi w:val="0"/>
              <w:adjustRightInd/>
              <w:snapToGrid/>
              <w:spacing w:line="300" w:lineRule="exact"/>
              <w:ind w:left="0"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注：根据《中华人民共和国政府采购法》的规定，供应商质疑不得超出招标文件、招标过程及招标结果的范围及时效限制。</w:t>
            </w:r>
          </w:p>
        </w:tc>
      </w:tr>
      <w:tr w14:paraId="1C135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14:paraId="7999FF1B">
            <w:pPr>
              <w:keepNext w:val="0"/>
              <w:keepLines w:val="0"/>
              <w:pageBreakBefore w:val="0"/>
              <w:numPr>
                <w:ilvl w:val="0"/>
                <w:numId w:val="3"/>
              </w:numPr>
              <w:kinsoku/>
              <w:wordWrap/>
              <w:overflowPunct/>
              <w:topLinePunct w:val="0"/>
              <w:autoSpaceDE/>
              <w:autoSpaceDN/>
              <w:bidi w:val="0"/>
              <w:adjustRightInd/>
              <w:snapToGrid/>
              <w:spacing w:line="300" w:lineRule="exact"/>
              <w:ind w:left="425" w:leftChars="0" w:right="0" w:hanging="425" w:firstLineChars="0"/>
              <w:jc w:val="center"/>
              <w:textAlignment w:val="auto"/>
              <w:rPr>
                <w:rFonts w:hint="eastAsia" w:ascii="宋体" w:hAnsi="宋体" w:eastAsia="宋体" w:cs="宋体"/>
                <w:color w:val="auto"/>
                <w:sz w:val="24"/>
                <w:szCs w:val="24"/>
                <w:highlight w:val="none"/>
                <w:lang w:val="en-US" w:eastAsia="zh-CN"/>
              </w:rPr>
            </w:pPr>
          </w:p>
        </w:tc>
        <w:tc>
          <w:tcPr>
            <w:tcW w:w="1550" w:type="dxa"/>
            <w:tcBorders>
              <w:right w:val="single" w:color="auto" w:sz="4" w:space="0"/>
            </w:tcBorders>
            <w:noWrap w:val="0"/>
            <w:vAlign w:val="center"/>
          </w:tcPr>
          <w:p w14:paraId="2E6FA181">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tc>
        <w:tc>
          <w:tcPr>
            <w:tcW w:w="7512" w:type="dxa"/>
            <w:tcBorders>
              <w:left w:val="single" w:color="auto" w:sz="4" w:space="0"/>
            </w:tcBorders>
            <w:noWrap w:val="0"/>
            <w:vAlign w:val="center"/>
          </w:tcPr>
          <w:p w14:paraId="255A8153">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14:paraId="6DC8F472">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投诉应当采用书面或邮件形式，质疑书、投诉书均应明确阐述招标文件、采购过程或中标结果中使自己合法权益受到损害的实质性内容，提供相关事实、依据和证据及其来源或线索，便于有关单位调查、答复和处理。</w:t>
            </w:r>
          </w:p>
          <w:p w14:paraId="52A0F51A">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注：根据《中华人民共和国政府采购法实施条例》的规定，供应商投诉事项不得超出已质疑事项的范围。</w:t>
            </w:r>
          </w:p>
          <w:p w14:paraId="045E570F">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政府采购监督管理部门：</w:t>
            </w:r>
          </w:p>
          <w:p w14:paraId="76A1ED29">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cs="宋体"/>
                <w:color w:val="auto"/>
                <w:sz w:val="24"/>
                <w:szCs w:val="24"/>
                <w:highlight w:val="none"/>
                <w:lang w:val="en-US" w:eastAsia="zh-CN"/>
              </w:rPr>
              <w:t>洛浦县政府采购办公室</w:t>
            </w:r>
          </w:p>
          <w:p w14:paraId="34AB5253">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孙</w:t>
            </w:r>
            <w:r>
              <w:rPr>
                <w:rFonts w:hint="eastAsia" w:ascii="宋体" w:hAnsi="宋体" w:eastAsia="宋体" w:cs="宋体"/>
                <w:color w:val="auto"/>
                <w:sz w:val="24"/>
                <w:szCs w:val="24"/>
                <w:highlight w:val="none"/>
                <w:lang w:val="en-US" w:eastAsia="zh-CN"/>
              </w:rPr>
              <w:t>先生</w:t>
            </w:r>
          </w:p>
          <w:p w14:paraId="1202EFEE">
            <w:pPr>
              <w:pStyle w:val="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cs="宋体"/>
                <w:color w:val="auto"/>
                <w:sz w:val="24"/>
                <w:szCs w:val="24"/>
                <w:highlight w:val="none"/>
                <w:lang w:val="en-US" w:eastAsia="zh-CN"/>
              </w:rPr>
              <w:t>181 9776 0184</w:t>
            </w:r>
          </w:p>
        </w:tc>
      </w:tr>
      <w:tr w14:paraId="0282B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noWrap w:val="0"/>
            <w:vAlign w:val="center"/>
          </w:tcPr>
          <w:p w14:paraId="0B83F140">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投标人必须认真阅读招标文件中所有的事项、格式、条款和采购需求等。投标人没有按照招标文件要求提交全部资料，或者投标文件没有对招标文件在各方面都作出实质性响应的可能导致其投标无效或被拒绝。</w:t>
            </w:r>
          </w:p>
          <w:p w14:paraId="3722370E">
            <w:pPr>
              <w:spacing w:line="240" w:lineRule="auto"/>
              <w:ind w:left="0" w:right="0" w:firstLine="48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请注意：供应商须在投标文件截止时间前，将加密投标文件上传至云平台项目采购系统，逾期上传或错误方式投递送达将导致投标无效。</w:t>
            </w:r>
          </w:p>
          <w:p w14:paraId="5087567D">
            <w:pPr>
              <w:pStyle w:val="29"/>
              <w:ind w:firstLine="422"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3B27BA43">
      <w:pPr>
        <w:shd w:val="clear" w:color="auto" w:fill="auto"/>
        <w:spacing w:line="360" w:lineRule="exact"/>
        <w:rPr>
          <w:rFonts w:hint="eastAsia" w:ascii="宋体" w:hAnsi="宋体" w:eastAsia="宋体" w:cs="宋体"/>
          <w:color w:val="auto"/>
          <w:highlight w:val="none"/>
        </w:rPr>
      </w:pPr>
      <w:r>
        <w:rPr>
          <w:rFonts w:hint="eastAsia" w:ascii="宋体" w:hAnsi="宋体" w:eastAsia="宋体" w:cs="宋体"/>
          <w:b/>
          <w:bCs/>
          <w:color w:val="auto"/>
          <w:sz w:val="24"/>
          <w:highlight w:val="none"/>
        </w:rPr>
        <w:t>备注：</w:t>
      </w:r>
      <w:r>
        <w:rPr>
          <w:rFonts w:hint="eastAsia" w:ascii="宋体" w:hAnsi="宋体" w:eastAsia="宋体" w:cs="宋体"/>
          <w:color w:val="auto"/>
          <w:sz w:val="24"/>
          <w:highlight w:val="none"/>
        </w:rPr>
        <w:t>本须知前附表内容与招标文件的内容相对应，如有矛盾，应以投标须知前附表为准。</w:t>
      </w:r>
    </w:p>
    <w:p w14:paraId="231AF59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288E334">
      <w:pPr>
        <w:spacing w:line="500" w:lineRule="exact"/>
        <w:ind w:left="120" w:hanging="120"/>
        <w:jc w:val="center"/>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投标人须知正文部分</w:t>
      </w:r>
    </w:p>
    <w:p w14:paraId="0C5D311B">
      <w:pPr>
        <w:spacing w:line="500" w:lineRule="exact"/>
        <w:ind w:left="120" w:hanging="120"/>
        <w:jc w:val="center"/>
        <w:rPr>
          <w:rFonts w:hint="eastAsia" w:ascii="宋体" w:hAnsi="宋体" w:eastAsia="宋体" w:cs="宋体"/>
          <w:b/>
          <w:color w:val="auto"/>
          <w:sz w:val="28"/>
          <w:szCs w:val="28"/>
          <w:highlight w:val="none"/>
          <w:lang w:val="en-US" w:eastAsia="zh-CN"/>
        </w:rPr>
      </w:pPr>
      <w:bookmarkStart w:id="31" w:name="_Toc17382"/>
      <w:r>
        <w:rPr>
          <w:rFonts w:hint="eastAsia" w:ascii="宋体" w:hAnsi="宋体" w:eastAsia="宋体" w:cs="宋体"/>
          <w:b/>
          <w:color w:val="auto"/>
          <w:sz w:val="28"/>
          <w:szCs w:val="28"/>
          <w:highlight w:val="none"/>
          <w:lang w:val="en-US" w:eastAsia="zh-CN"/>
        </w:rPr>
        <w:t>（一）总则</w:t>
      </w:r>
      <w:bookmarkEnd w:id="31"/>
    </w:p>
    <w:p w14:paraId="353F0592">
      <w:pPr>
        <w:spacing w:line="3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（一）适用范围</w:t>
      </w:r>
    </w:p>
    <w:p w14:paraId="25F1C26C">
      <w:pPr>
        <w:spacing w:line="360" w:lineRule="auto"/>
        <w:ind w:left="0" w:right="0" w:firstLine="48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本招标文件适用于</w:t>
      </w:r>
      <w:r>
        <w:rPr>
          <w:rFonts w:hint="eastAsia" w:ascii="宋体" w:hAnsi="宋体" w:cs="宋体"/>
          <w:color w:val="auto"/>
          <w:sz w:val="24"/>
          <w:szCs w:val="24"/>
          <w:highlight w:val="none"/>
          <w:lang w:val="en-US" w:eastAsia="zh-CN"/>
        </w:rPr>
        <w:t xml:space="preserve"> 洛浦县恰尔巴格镇加依托格拉克村、阿依丁库勒村公益事业财政奖补项目(美丽乡村建设一公共照明)</w:t>
      </w:r>
      <w:r>
        <w:rPr>
          <w:rFonts w:hint="eastAsia" w:ascii="宋体" w:hAnsi="宋体" w:eastAsia="宋体" w:cs="宋体"/>
          <w:color w:val="auto"/>
          <w:sz w:val="24"/>
          <w:szCs w:val="24"/>
          <w:highlight w:val="none"/>
          <w:lang w:val="en-US" w:eastAsia="zh-CN"/>
        </w:rPr>
        <w:t>的招标、投标、评标、定标、验收、合同履约、付款等行为（</w:t>
      </w:r>
      <w:r>
        <w:rPr>
          <w:rFonts w:hint="eastAsia" w:ascii="宋体" w:hAnsi="宋体" w:cs="宋体"/>
          <w:color w:val="auto"/>
          <w:sz w:val="24"/>
          <w:szCs w:val="24"/>
          <w:highlight w:val="none"/>
          <w:lang w:val="en-US" w:eastAsia="zh-CN"/>
        </w:rPr>
        <w:t>法律法规</w:t>
      </w:r>
      <w:r>
        <w:rPr>
          <w:rFonts w:hint="eastAsia" w:ascii="宋体" w:hAnsi="宋体" w:eastAsia="宋体" w:cs="宋体"/>
          <w:color w:val="auto"/>
          <w:sz w:val="24"/>
          <w:szCs w:val="24"/>
          <w:highlight w:val="none"/>
          <w:lang w:val="en-US" w:eastAsia="zh-CN"/>
        </w:rPr>
        <w:t>另有规定的，从其规定）。</w:t>
      </w:r>
    </w:p>
    <w:p w14:paraId="06C79A93">
      <w:pPr>
        <w:spacing w:line="300" w:lineRule="auto"/>
        <w:outlineLvl w:val="1"/>
        <w:rPr>
          <w:rFonts w:hint="eastAsia" w:ascii="宋体" w:hAnsi="宋体" w:eastAsia="宋体" w:cs="宋体"/>
          <w:b/>
          <w:bCs/>
          <w:color w:val="auto"/>
          <w:sz w:val="24"/>
          <w:szCs w:val="24"/>
          <w:highlight w:val="none"/>
          <w:lang w:val="en-US" w:eastAsia="zh-CN"/>
        </w:rPr>
      </w:pPr>
      <w:bookmarkStart w:id="32" w:name="_Toc13192"/>
      <w:bookmarkStart w:id="33" w:name="_Toc21374"/>
      <w:r>
        <w:rPr>
          <w:rFonts w:hint="eastAsia" w:ascii="宋体" w:hAnsi="宋体" w:eastAsia="宋体" w:cs="宋体"/>
          <w:b/>
          <w:bCs/>
          <w:color w:val="auto"/>
          <w:sz w:val="24"/>
          <w:szCs w:val="24"/>
          <w:highlight w:val="none"/>
          <w:lang w:val="en-US" w:eastAsia="zh-CN"/>
        </w:rPr>
        <w:t>（二）定义</w:t>
      </w:r>
      <w:bookmarkEnd w:id="32"/>
      <w:bookmarkEnd w:id="33"/>
    </w:p>
    <w:p w14:paraId="50E12F07">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1.招标采购单位系指组织本次招标的代理机构（“招标人”）和采购单位。</w:t>
      </w:r>
    </w:p>
    <w:p w14:paraId="4825C47B">
      <w:pPr>
        <w:spacing w:line="300" w:lineRule="auto"/>
        <w:ind w:left="210" w:leftChars="100" w:firstLine="120" w:firstLineChars="50"/>
        <w:outlineLvl w:val="2"/>
        <w:rPr>
          <w:rFonts w:hint="eastAsia" w:ascii="宋体" w:hAnsi="宋体" w:eastAsia="宋体" w:cs="宋体"/>
          <w:color w:val="auto"/>
          <w:sz w:val="24"/>
          <w:szCs w:val="24"/>
          <w:highlight w:val="none"/>
          <w:lang w:val="en-US" w:eastAsia="zh-CN"/>
        </w:rPr>
      </w:pPr>
      <w:bookmarkStart w:id="34" w:name="_Toc16199"/>
      <w:r>
        <w:rPr>
          <w:rFonts w:hint="eastAsia" w:ascii="宋体" w:hAnsi="宋体" w:eastAsia="宋体" w:cs="宋体"/>
          <w:color w:val="auto"/>
          <w:sz w:val="24"/>
          <w:szCs w:val="24"/>
          <w:highlight w:val="none"/>
          <w:lang w:val="en-US" w:eastAsia="zh-CN"/>
        </w:rPr>
        <w:t>2.“投标人”系指向招标方提交投标文件的单位或个人。</w:t>
      </w:r>
      <w:bookmarkEnd w:id="34"/>
    </w:p>
    <w:p w14:paraId="05AB7CC3">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3.“产品”系指供方按招标文件规定，须向招标人提供的一切服务及其他有关技术资料和材料。</w:t>
      </w:r>
    </w:p>
    <w:p w14:paraId="27B3D5A9">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4.“服务”系指招标文件规定投标人须承担的技术协助、校准、培训、技术指导以及其他类似的义务。</w:t>
      </w:r>
    </w:p>
    <w:p w14:paraId="231198D3">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5.“项目”系指投标人按招标文件规定向招标人提供的产品和服务。</w:t>
      </w:r>
    </w:p>
    <w:p w14:paraId="7787E796">
      <w:pPr>
        <w:spacing w:line="300" w:lineRule="auto"/>
        <w:ind w:left="210" w:leftChars="100" w:firstLine="120" w:firstLineChars="50"/>
        <w:rPr>
          <w:rFonts w:hint="eastAsia" w:ascii="宋体" w:hAnsi="宋体" w:eastAsia="宋体" w:cs="宋体"/>
          <w:color w:val="auto"/>
          <w:sz w:val="24"/>
          <w:szCs w:val="24"/>
          <w:highlight w:val="none"/>
          <w:lang w:val="en-US" w:eastAsia="zh-CN"/>
        </w:rPr>
      </w:pPr>
      <w:bookmarkStart w:id="35" w:name="_Toc20586"/>
      <w:r>
        <w:rPr>
          <w:rFonts w:hint="eastAsia" w:ascii="宋体" w:hAnsi="宋体" w:eastAsia="宋体" w:cs="宋体"/>
          <w:color w:val="auto"/>
          <w:sz w:val="24"/>
          <w:szCs w:val="24"/>
          <w:highlight w:val="none"/>
          <w:lang w:val="en-US" w:eastAsia="zh-CN"/>
        </w:rPr>
        <w:t>6.“书面形式”包括信函、传真、电报等。</w:t>
      </w:r>
      <w:bookmarkEnd w:id="35"/>
    </w:p>
    <w:p w14:paraId="4B6A53BF">
      <w:pPr>
        <w:spacing w:line="300" w:lineRule="auto"/>
        <w:outlineLvl w:val="1"/>
        <w:rPr>
          <w:rFonts w:hint="eastAsia" w:ascii="宋体" w:hAnsi="宋体" w:eastAsia="宋体" w:cs="宋体"/>
          <w:b/>
          <w:bCs/>
          <w:color w:val="auto"/>
          <w:sz w:val="24"/>
          <w:szCs w:val="24"/>
          <w:highlight w:val="none"/>
          <w:lang w:val="en-US" w:eastAsia="zh-CN"/>
        </w:rPr>
      </w:pPr>
      <w:bookmarkStart w:id="36" w:name="_Toc14030"/>
      <w:bookmarkStart w:id="37" w:name="_Toc15840"/>
      <w:r>
        <w:rPr>
          <w:rFonts w:hint="eastAsia" w:ascii="宋体" w:hAnsi="宋体" w:eastAsia="宋体" w:cs="宋体"/>
          <w:b/>
          <w:bCs/>
          <w:color w:val="auto"/>
          <w:sz w:val="24"/>
          <w:szCs w:val="24"/>
          <w:highlight w:val="none"/>
          <w:lang w:val="en-US" w:eastAsia="zh-CN"/>
        </w:rPr>
        <w:t>（三）招标方式</w:t>
      </w:r>
      <w:bookmarkEnd w:id="36"/>
      <w:bookmarkEnd w:id="37"/>
    </w:p>
    <w:p w14:paraId="55B92F38">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本次招标采用公开招标方式进行。</w:t>
      </w:r>
    </w:p>
    <w:p w14:paraId="574CB5B5">
      <w:pPr>
        <w:spacing w:line="300" w:lineRule="auto"/>
        <w:outlineLvl w:val="1"/>
        <w:rPr>
          <w:rFonts w:hint="eastAsia" w:ascii="宋体" w:hAnsi="宋体" w:eastAsia="宋体" w:cs="宋体"/>
          <w:b/>
          <w:bCs/>
          <w:color w:val="auto"/>
          <w:sz w:val="24"/>
          <w:szCs w:val="24"/>
          <w:highlight w:val="none"/>
          <w:lang w:val="en-US" w:eastAsia="zh-CN"/>
        </w:rPr>
      </w:pPr>
      <w:bookmarkStart w:id="38" w:name="_Toc20843"/>
      <w:bookmarkStart w:id="39" w:name="_Toc18596"/>
      <w:r>
        <w:rPr>
          <w:rFonts w:hint="eastAsia" w:ascii="宋体" w:hAnsi="宋体" w:eastAsia="宋体" w:cs="宋体"/>
          <w:b/>
          <w:bCs/>
          <w:color w:val="auto"/>
          <w:sz w:val="24"/>
          <w:szCs w:val="24"/>
          <w:highlight w:val="none"/>
          <w:lang w:val="en-US" w:eastAsia="zh-CN"/>
        </w:rPr>
        <w:t>（四）采购文件获取</w:t>
      </w:r>
      <w:bookmarkEnd w:id="38"/>
      <w:bookmarkEnd w:id="39"/>
    </w:p>
    <w:p w14:paraId="378A5540">
      <w:pPr>
        <w:pStyle w:val="19"/>
        <w:keepNext w:val="0"/>
        <w:keepLines w:val="0"/>
        <w:widowControl/>
        <w:suppressLineNumbers w:val="0"/>
        <w:spacing w:before="75" w:beforeAutospacing="0" w:after="75" w:afterAutospacing="0" w:line="240" w:lineRule="auto"/>
        <w:ind w:left="0" w:leftChars="0" w:right="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供应商登录政采云平台https://www.zcygov.cn/在线申请获取采购文件（进入“项目采购”应用，在获取采购文件菜单中选择项目，申请获取采购文件）</w:t>
      </w:r>
    </w:p>
    <w:p w14:paraId="1BE4D7F6">
      <w:pPr>
        <w:spacing w:line="300" w:lineRule="auto"/>
        <w:outlineLvl w:val="1"/>
        <w:rPr>
          <w:rFonts w:hint="eastAsia" w:ascii="宋体" w:hAnsi="宋体" w:eastAsia="宋体" w:cs="宋体"/>
          <w:b/>
          <w:bCs/>
          <w:color w:val="auto"/>
          <w:sz w:val="24"/>
          <w:szCs w:val="24"/>
          <w:highlight w:val="none"/>
          <w:lang w:val="en-US" w:eastAsia="zh-CN"/>
        </w:rPr>
      </w:pPr>
      <w:bookmarkStart w:id="40" w:name="_Toc17293"/>
      <w:bookmarkStart w:id="41" w:name="_Toc1704"/>
      <w:r>
        <w:rPr>
          <w:rFonts w:hint="eastAsia" w:ascii="宋体" w:hAnsi="宋体" w:eastAsia="宋体" w:cs="宋体"/>
          <w:b/>
          <w:bCs/>
          <w:color w:val="auto"/>
          <w:sz w:val="24"/>
          <w:szCs w:val="24"/>
          <w:highlight w:val="none"/>
          <w:lang w:val="en-US" w:eastAsia="zh-CN"/>
        </w:rPr>
        <w:t>（五）投标费用</w:t>
      </w:r>
      <w:bookmarkEnd w:id="40"/>
      <w:bookmarkEnd w:id="41"/>
    </w:p>
    <w:p w14:paraId="7890D2F0">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不论投标结果如何，投标人均应自行承担所有与投标有关的全部费用。</w:t>
      </w:r>
    </w:p>
    <w:p w14:paraId="262FB216">
      <w:pPr>
        <w:spacing w:line="300" w:lineRule="auto"/>
        <w:outlineLvl w:val="1"/>
        <w:rPr>
          <w:rFonts w:hint="eastAsia" w:ascii="宋体" w:hAnsi="宋体" w:eastAsia="宋体" w:cs="宋体"/>
          <w:b/>
          <w:bCs/>
          <w:color w:val="auto"/>
          <w:sz w:val="24"/>
          <w:szCs w:val="24"/>
          <w:highlight w:val="none"/>
          <w:lang w:val="en-US" w:eastAsia="zh-CN"/>
        </w:rPr>
      </w:pPr>
      <w:bookmarkStart w:id="42" w:name="_Toc22117"/>
      <w:bookmarkStart w:id="43" w:name="_Toc19554"/>
      <w:r>
        <w:rPr>
          <w:rFonts w:hint="eastAsia" w:ascii="宋体" w:hAnsi="宋体" w:eastAsia="宋体" w:cs="宋体"/>
          <w:b/>
          <w:bCs/>
          <w:color w:val="auto"/>
          <w:sz w:val="24"/>
          <w:szCs w:val="24"/>
          <w:highlight w:val="none"/>
          <w:lang w:val="en-US" w:eastAsia="zh-CN"/>
        </w:rPr>
        <w:t>（六）联合体投标</w:t>
      </w:r>
      <w:bookmarkEnd w:id="42"/>
      <w:bookmarkEnd w:id="43"/>
    </w:p>
    <w:p w14:paraId="6920487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1联合体各方均应当满足《中华人民共和国政府采购法》第二十二条规定的条件，并在投标文件中提供联合体各方的相关证明材料。</w:t>
      </w:r>
    </w:p>
    <w:p w14:paraId="04A6A7F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5257488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52662C2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4联合体成员存在不良信用记录的，视同联合体存在不良信用记录。</w:t>
      </w:r>
    </w:p>
    <w:p w14:paraId="5A0658D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79262DE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6联合体各方应当共同与采购人签订采购合同，就合同约定的事项对采购人承担连带责任。</w:t>
      </w:r>
    </w:p>
    <w:p w14:paraId="15C46199">
      <w:pPr>
        <w:spacing w:line="300" w:lineRule="auto"/>
        <w:outlineLvl w:val="1"/>
        <w:rPr>
          <w:rFonts w:hint="eastAsia" w:ascii="宋体" w:hAnsi="宋体" w:eastAsia="宋体" w:cs="宋体"/>
          <w:b/>
          <w:bCs/>
          <w:color w:val="auto"/>
          <w:sz w:val="24"/>
          <w:szCs w:val="24"/>
          <w:highlight w:val="none"/>
          <w:lang w:val="en-US" w:eastAsia="zh-CN"/>
        </w:rPr>
      </w:pPr>
      <w:bookmarkStart w:id="44" w:name="_Toc11478"/>
      <w:bookmarkStart w:id="45" w:name="_Toc21389"/>
      <w:r>
        <w:rPr>
          <w:rFonts w:hint="eastAsia" w:ascii="宋体" w:hAnsi="宋体" w:eastAsia="宋体" w:cs="宋体"/>
          <w:b/>
          <w:bCs/>
          <w:color w:val="auto"/>
          <w:sz w:val="24"/>
          <w:szCs w:val="24"/>
          <w:highlight w:val="none"/>
          <w:lang w:val="en-US" w:eastAsia="zh-CN"/>
        </w:rPr>
        <w:t>（七）转包与分包</w:t>
      </w:r>
      <w:bookmarkEnd w:id="44"/>
      <w:bookmarkEnd w:id="45"/>
    </w:p>
    <w:p w14:paraId="51370E54">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1.本项目不允许转包。</w:t>
      </w:r>
    </w:p>
    <w:p w14:paraId="668F5D3F">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2.本项目允许分包。</w:t>
      </w:r>
    </w:p>
    <w:p w14:paraId="0713E273">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3.投标人应仔细阅读招标文件的所有内容，按照招标文件的要求提交投标文件，并对所提供的全部资料的真实性承担法律责任。</w:t>
      </w:r>
    </w:p>
    <w:p w14:paraId="04DCED81">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14:paraId="18AE1EEB">
      <w:pPr>
        <w:spacing w:line="300" w:lineRule="auto"/>
        <w:outlineLvl w:val="1"/>
        <w:rPr>
          <w:rFonts w:hint="eastAsia" w:ascii="宋体" w:hAnsi="宋体" w:eastAsia="宋体" w:cs="宋体"/>
          <w:b/>
          <w:bCs/>
          <w:color w:val="auto"/>
          <w:sz w:val="24"/>
          <w:szCs w:val="24"/>
          <w:highlight w:val="none"/>
          <w:lang w:val="en-US" w:eastAsia="zh-CN"/>
        </w:rPr>
      </w:pPr>
      <w:bookmarkStart w:id="46" w:name="_Toc4294"/>
      <w:bookmarkStart w:id="47" w:name="_Toc14774"/>
      <w:r>
        <w:rPr>
          <w:rFonts w:hint="eastAsia" w:ascii="宋体" w:hAnsi="宋体" w:eastAsia="宋体" w:cs="宋体"/>
          <w:b/>
          <w:bCs/>
          <w:color w:val="auto"/>
          <w:sz w:val="24"/>
          <w:szCs w:val="24"/>
          <w:highlight w:val="none"/>
          <w:lang w:val="en-US" w:eastAsia="zh-CN"/>
        </w:rPr>
        <w:t>（八）质疑和投诉</w:t>
      </w:r>
      <w:bookmarkEnd w:id="46"/>
      <w:bookmarkEnd w:id="47"/>
    </w:p>
    <w:p w14:paraId="4A2779FB">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14:paraId="767864F5">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6820F80C">
      <w:pPr>
        <w:spacing w:line="300" w:lineRule="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（九）纪律与保密事项</w:t>
      </w:r>
    </w:p>
    <w:p w14:paraId="11BC171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1投标人不得相互串通投标报价，不得妨碍其他投标人的公平竞争，不得损害采购人或其他投标人的合法权益，投标人不得以向采购人、评标委员会成员行贿或者采取其他不正当手段谋取中标。</w:t>
      </w:r>
    </w:p>
    <w:p w14:paraId="7E95BC0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2在确定中标供应商之前，投标人不得与采购人就投标价格、投标方案等实质性内容进行谈判，也不得私下接触评标委员会成员。</w:t>
      </w:r>
    </w:p>
    <w:p w14:paraId="407249C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3在确定中标供应商之前，投标人试图在投标文件审查、澄清、比较和评价时对评标委员会、采购人和采购代理机构施加任何影响都可能导致其投标无效。</w:t>
      </w:r>
    </w:p>
    <w:p w14:paraId="4694E1F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4获得本招标文件者，须履行本项目</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保密义务，不得将因本次项目获得的信息向第三人外传，不得将招标文件用作本次投标以外的任何用途。</w:t>
      </w:r>
    </w:p>
    <w:p w14:paraId="3409A8B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5由采购人向投标人提供的图纸、详细资料、样品、模型、模件和所有</w:t>
      </w:r>
      <w:r>
        <w:rPr>
          <w:rFonts w:hint="eastAsia" w:ascii="宋体" w:hAnsi="宋体" w:cs="宋体"/>
          <w:color w:val="auto"/>
          <w:sz w:val="24"/>
          <w:szCs w:val="24"/>
          <w:highlight w:val="none"/>
          <w:lang w:eastAsia="zh-CN"/>
        </w:rPr>
        <w:t>其他</w:t>
      </w:r>
      <w:r>
        <w:rPr>
          <w:rFonts w:hint="eastAsia" w:ascii="宋体" w:hAnsi="宋体" w:eastAsia="宋体" w:cs="宋体"/>
          <w:color w:val="auto"/>
          <w:sz w:val="24"/>
          <w:szCs w:val="24"/>
          <w:highlight w:val="none"/>
        </w:rPr>
        <w:t>资料，均为保密资料，</w:t>
      </w:r>
      <w:r>
        <w:rPr>
          <w:rFonts w:hint="eastAsia" w:ascii="宋体" w:hAnsi="宋体" w:cs="宋体"/>
          <w:color w:val="auto"/>
          <w:sz w:val="24"/>
          <w:szCs w:val="24"/>
          <w:highlight w:val="none"/>
          <w:lang w:eastAsia="zh-CN"/>
        </w:rPr>
        <w:t>仅</w:t>
      </w:r>
      <w:r>
        <w:rPr>
          <w:rFonts w:hint="eastAsia" w:ascii="宋体" w:hAnsi="宋体" w:eastAsia="宋体" w:cs="宋体"/>
          <w:color w:val="auto"/>
          <w:sz w:val="24"/>
          <w:szCs w:val="24"/>
          <w:highlight w:val="none"/>
        </w:rPr>
        <w:t>用于它所规定的用途。除非得到采购人的同意，不能向任何第三方透露。开标结束后，应采购人要求，投标人应归还所有从采购人处获得的保密资料。</w:t>
      </w:r>
    </w:p>
    <w:p w14:paraId="2A0C7A3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6采购人或采购代理机构有权将供应商提供的所有资料向有关政府部门或评审小组披露。</w:t>
      </w:r>
    </w:p>
    <w:p w14:paraId="553D096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277C779">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auto"/>
          <w:sz w:val="28"/>
          <w:szCs w:val="28"/>
          <w:highlight w:val="none"/>
          <w:lang w:val="en-US" w:eastAsia="zh-CN"/>
        </w:rPr>
      </w:pPr>
      <w:bookmarkStart w:id="48" w:name="_Toc32144"/>
      <w:bookmarkStart w:id="49" w:name="_Toc28270"/>
      <w:bookmarkStart w:id="50" w:name="_Toc30350"/>
      <w:bookmarkStart w:id="51" w:name="_Toc521014777"/>
      <w:bookmarkStart w:id="52" w:name="_Toc503212209"/>
    </w:p>
    <w:p w14:paraId="7C2CCB5E">
      <w:pPr>
        <w:keepNext w:val="0"/>
        <w:keepLines w:val="0"/>
        <w:pageBreakBefore w:val="0"/>
        <w:numPr>
          <w:ilvl w:val="0"/>
          <w:numId w:val="4"/>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招标文件</w:t>
      </w:r>
      <w:bookmarkEnd w:id="48"/>
      <w:bookmarkEnd w:id="49"/>
      <w:bookmarkEnd w:id="50"/>
      <w:bookmarkEnd w:id="51"/>
      <w:bookmarkEnd w:id="52"/>
    </w:p>
    <w:p w14:paraId="69A60C7D">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（一）招标文件的构成。本招标文件由以下部分组成：</w:t>
      </w:r>
    </w:p>
    <w:p w14:paraId="17AF6D62">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第一章招标公告</w:t>
      </w:r>
    </w:p>
    <w:p w14:paraId="66464238">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第二章投标人须知</w:t>
      </w:r>
    </w:p>
    <w:p w14:paraId="58232A60">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第三章评标办法及标准</w:t>
      </w:r>
    </w:p>
    <w:p w14:paraId="09EF1777">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第四章招标需求</w:t>
      </w:r>
    </w:p>
    <w:p w14:paraId="70FAFFB4">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第五章合同主要条款</w:t>
      </w:r>
    </w:p>
    <w:p w14:paraId="29066D8C">
      <w:pPr>
        <w:spacing w:line="300" w:lineRule="auto"/>
        <w:ind w:left="210" w:leftChars="100"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第六章投标文件格式</w:t>
      </w:r>
    </w:p>
    <w:p w14:paraId="7EE0DEA6">
      <w:pPr>
        <w:spacing w:line="300" w:lineRule="auto"/>
        <w:outlineLvl w:val="1"/>
        <w:rPr>
          <w:rFonts w:hint="eastAsia" w:ascii="宋体" w:hAnsi="宋体" w:eastAsia="宋体" w:cs="宋体"/>
          <w:b/>
          <w:bCs/>
          <w:color w:val="auto"/>
          <w:sz w:val="24"/>
          <w:szCs w:val="24"/>
          <w:highlight w:val="none"/>
          <w:lang w:val="en-US" w:eastAsia="zh-CN"/>
        </w:rPr>
      </w:pPr>
      <w:bookmarkStart w:id="53" w:name="_Toc12877"/>
      <w:bookmarkStart w:id="54" w:name="_Toc18044"/>
      <w:r>
        <w:rPr>
          <w:rFonts w:hint="eastAsia" w:ascii="宋体" w:hAnsi="宋体" w:eastAsia="宋体" w:cs="宋体"/>
          <w:b/>
          <w:bCs/>
          <w:color w:val="auto"/>
          <w:sz w:val="24"/>
          <w:szCs w:val="24"/>
          <w:highlight w:val="none"/>
          <w:lang w:val="en-US" w:eastAsia="zh-CN"/>
        </w:rPr>
        <w:t>（二）投标人的风险</w:t>
      </w:r>
      <w:bookmarkEnd w:id="53"/>
      <w:bookmarkEnd w:id="54"/>
    </w:p>
    <w:p w14:paraId="03DBCF06">
      <w:pPr>
        <w:spacing w:line="300" w:lineRule="auto"/>
        <w:ind w:left="210" w:leftChars="100"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投标人没有按照招标文件要求提供全部资料，或者投标人没有对招标文件在各方面作出实质性响应是投标人的风险，并可能导致其投标为无效标。</w:t>
      </w:r>
    </w:p>
    <w:p w14:paraId="39863463">
      <w:pPr>
        <w:spacing w:line="300" w:lineRule="auto"/>
        <w:outlineLvl w:val="1"/>
        <w:rPr>
          <w:rFonts w:hint="eastAsia" w:ascii="宋体" w:hAnsi="宋体" w:eastAsia="宋体" w:cs="宋体"/>
          <w:b/>
          <w:bCs/>
          <w:color w:val="auto"/>
          <w:sz w:val="24"/>
          <w:szCs w:val="24"/>
          <w:highlight w:val="none"/>
          <w:lang w:val="en-US" w:eastAsia="zh-CN"/>
        </w:rPr>
      </w:pPr>
      <w:bookmarkStart w:id="55" w:name="_Toc27766"/>
      <w:bookmarkStart w:id="56" w:name="_Toc15241"/>
      <w:r>
        <w:rPr>
          <w:rFonts w:hint="eastAsia" w:ascii="宋体" w:hAnsi="宋体" w:eastAsia="宋体" w:cs="宋体"/>
          <w:b/>
          <w:bCs/>
          <w:color w:val="auto"/>
          <w:sz w:val="24"/>
          <w:szCs w:val="24"/>
          <w:highlight w:val="none"/>
          <w:lang w:val="en-US" w:eastAsia="zh-CN"/>
        </w:rPr>
        <w:t>（三）招标文件的澄清与修改</w:t>
      </w:r>
      <w:bookmarkEnd w:id="55"/>
      <w:bookmarkEnd w:id="56"/>
    </w:p>
    <w:p w14:paraId="195E52CF">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14:paraId="142328B9">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14:paraId="7A2E5012">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3.招标文件的澄清、答复、修改或补充都应该通过本代理机构以法定形式发布，招标人非通过本机构，不得擅自澄清、答复、修改或补充招标文件。</w:t>
      </w:r>
    </w:p>
    <w:p w14:paraId="76720FD1">
      <w:pPr>
        <w:pStyle w:val="4"/>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bookmarkStart w:id="57" w:name="_Toc10814"/>
      <w:bookmarkStart w:id="58" w:name="_Toc12173"/>
      <w:bookmarkStart w:id="59" w:name="_Toc503212210"/>
      <w:bookmarkStart w:id="60" w:name="_Toc27918"/>
      <w:bookmarkStart w:id="61" w:name="_Toc521014778"/>
      <w:bookmarkStart w:id="62" w:name="_Toc765"/>
      <w:bookmarkStart w:id="63" w:name="_Toc8746"/>
      <w:r>
        <w:rPr>
          <w:rFonts w:hint="eastAsia" w:ascii="宋体" w:hAnsi="宋体" w:eastAsia="宋体" w:cs="宋体"/>
          <w:b/>
          <w:bCs/>
          <w:color w:val="auto"/>
          <w:kern w:val="2"/>
          <w:sz w:val="28"/>
          <w:szCs w:val="28"/>
          <w:highlight w:val="none"/>
          <w:lang w:val="en-US" w:eastAsia="zh-CN" w:bidi="ar-SA"/>
        </w:rPr>
        <w:t>（三）投标文件的编制</w:t>
      </w:r>
      <w:bookmarkEnd w:id="57"/>
      <w:bookmarkEnd w:id="58"/>
      <w:bookmarkEnd w:id="59"/>
      <w:bookmarkEnd w:id="60"/>
      <w:bookmarkEnd w:id="61"/>
      <w:bookmarkEnd w:id="62"/>
      <w:bookmarkEnd w:id="63"/>
    </w:p>
    <w:p w14:paraId="78A703AA">
      <w:pPr>
        <w:spacing w:line="300" w:lineRule="auto"/>
        <w:rPr>
          <w:rFonts w:hint="eastAsia" w:ascii="宋体" w:hAnsi="宋体" w:eastAsia="宋体" w:cs="宋体"/>
          <w:b/>
          <w:bCs/>
          <w:color w:val="auto"/>
          <w:sz w:val="24"/>
          <w:szCs w:val="24"/>
          <w:highlight w:val="none"/>
        </w:rPr>
      </w:pPr>
      <w:bookmarkStart w:id="64" w:name="_Toc521014779"/>
      <w:bookmarkStart w:id="65" w:name="_Toc29977"/>
      <w:bookmarkStart w:id="66" w:name="_Toc23068"/>
      <w:bookmarkStart w:id="67" w:name="_Toc503212211"/>
      <w:r>
        <w:rPr>
          <w:rFonts w:hint="eastAsia" w:ascii="宋体" w:hAnsi="宋体" w:eastAsia="宋体" w:cs="宋体"/>
          <w:b/>
          <w:bCs/>
          <w:color w:val="auto"/>
          <w:sz w:val="24"/>
          <w:szCs w:val="24"/>
          <w:highlight w:val="none"/>
        </w:rPr>
        <w:t>投标文件的组成</w:t>
      </w:r>
      <w:bookmarkEnd w:id="64"/>
      <w:bookmarkEnd w:id="65"/>
      <w:bookmarkEnd w:id="66"/>
      <w:bookmarkEnd w:id="67"/>
    </w:p>
    <w:p w14:paraId="600C614C">
      <w:pPr>
        <w:spacing w:line="300" w:lineRule="auto"/>
        <w:outlineLvl w:val="2"/>
        <w:rPr>
          <w:rFonts w:hint="eastAsia" w:ascii="宋体" w:hAnsi="宋体" w:eastAsia="宋体" w:cs="宋体"/>
          <w:color w:val="auto"/>
          <w:sz w:val="24"/>
          <w:szCs w:val="24"/>
          <w:highlight w:val="none"/>
        </w:rPr>
      </w:pPr>
      <w:bookmarkStart w:id="68" w:name="_Toc21340"/>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投标文件由报价部分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技术部分组成。</w:t>
      </w:r>
      <w:bookmarkEnd w:id="68"/>
    </w:p>
    <w:p w14:paraId="4D4FF84F">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、投标单位应按招标文件的要求提供招标文件，并保证所有材料的真实性，以确保其投标对招标文件做出实质性的响应。</w:t>
      </w:r>
    </w:p>
    <w:p w14:paraId="21630DF1">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、招标文件使用的计量单位，应采用国家法定的计量单位。</w:t>
      </w:r>
    </w:p>
    <w:p w14:paraId="66CFC396">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、投标人所递交的投标文件应包含以下文件：</w:t>
      </w:r>
    </w:p>
    <w:p w14:paraId="3E8518F6">
      <w:pPr>
        <w:spacing w:line="300" w:lineRule="auto"/>
        <w:rPr>
          <w:rFonts w:hint="eastAsia" w:ascii="宋体" w:hAnsi="宋体" w:eastAsia="宋体" w:cs="宋体"/>
          <w:b/>
          <w:bCs/>
          <w:color w:val="auto"/>
          <w:sz w:val="24"/>
          <w:szCs w:val="24"/>
          <w:highlight w:val="none"/>
        </w:rPr>
      </w:pPr>
      <w:bookmarkStart w:id="69" w:name="_Toc24112"/>
      <w:bookmarkStart w:id="70" w:name="_Toc18015"/>
      <w:bookmarkStart w:id="71" w:name="_Toc28971"/>
      <w:bookmarkStart w:id="72" w:name="_Toc14838"/>
      <w:bookmarkStart w:id="73" w:name="_Toc521014780"/>
      <w:bookmarkStart w:id="74" w:name="_Toc503212212"/>
      <w:r>
        <w:rPr>
          <w:rFonts w:hint="eastAsia" w:ascii="宋体" w:hAnsi="宋体" w:eastAsia="宋体" w:cs="宋体"/>
          <w:b/>
          <w:bCs/>
          <w:color w:val="auto"/>
          <w:sz w:val="24"/>
          <w:szCs w:val="24"/>
          <w:highlight w:val="none"/>
        </w:rPr>
        <w:t>报价部分：</w:t>
      </w:r>
    </w:p>
    <w:p w14:paraId="4C963F2B">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w:t>
      </w:r>
    </w:p>
    <w:p w14:paraId="12271058">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2、开标一览表；</w:t>
      </w:r>
    </w:p>
    <w:p w14:paraId="524DE15C">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3、投标报价明细表</w:t>
      </w:r>
    </w:p>
    <w:p w14:paraId="701A81AA">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商务部分：</w:t>
      </w:r>
    </w:p>
    <w:p w14:paraId="01FB8941">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投标单位简介，并附投标人资质证件等；</w:t>
      </w:r>
    </w:p>
    <w:p w14:paraId="3803CAA3">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出具法人营业执照函（格式见附件）；</w:t>
      </w:r>
    </w:p>
    <w:p w14:paraId="57D44BAC">
      <w:pPr>
        <w:spacing w:line="300" w:lineRule="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6、联合体协议书（如是）</w:t>
      </w:r>
    </w:p>
    <w:p w14:paraId="7700FAF3">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法定代表人证明书及身份证</w:t>
      </w:r>
      <w:r>
        <w:rPr>
          <w:rFonts w:hint="eastAsia" w:ascii="宋体" w:hAnsi="宋体" w:eastAsia="宋体" w:cs="宋体"/>
          <w:color w:val="auto"/>
          <w:sz w:val="24"/>
          <w:szCs w:val="24"/>
          <w:highlight w:val="none"/>
          <w:lang w:val="en-US" w:eastAsia="zh-CN"/>
        </w:rPr>
        <w:t>复印</w:t>
      </w:r>
      <w:r>
        <w:rPr>
          <w:rFonts w:hint="eastAsia" w:ascii="宋体" w:hAnsi="宋体" w:eastAsia="宋体" w:cs="宋体"/>
          <w:color w:val="auto"/>
          <w:sz w:val="24"/>
          <w:szCs w:val="24"/>
          <w:highlight w:val="none"/>
        </w:rPr>
        <w:t>件；</w:t>
      </w:r>
    </w:p>
    <w:p w14:paraId="2CA46AA4">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法人代表授权委托书及身份证</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p>
    <w:p w14:paraId="6E1B7EE6">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投标人资格声明函（格式自拟）</w:t>
      </w:r>
    </w:p>
    <w:p w14:paraId="764F8C10">
      <w:pPr>
        <w:spacing w:line="30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10、项目经理及管理技术人员一览表； </w:t>
      </w:r>
    </w:p>
    <w:p w14:paraId="5074B188">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11、投标单位的依法缴纳税收和社会保障资金的良好记录；具有良好的商业信誉和健全的财务会计制度（需提供</w:t>
      </w:r>
      <w:r>
        <w:rPr>
          <w:rFonts w:hint="eastAsia" w:ascii="宋体" w:hAnsi="宋体" w:cs="宋体"/>
          <w:color w:val="auto"/>
          <w:sz w:val="24"/>
          <w:szCs w:val="24"/>
          <w:highlight w:val="none"/>
          <w:lang w:val="en-US" w:eastAsia="zh-CN"/>
        </w:rPr>
        <w:t>2023年度或</w:t>
      </w:r>
      <w:r>
        <w:rPr>
          <w:rFonts w:hint="eastAsia" w:ascii="宋体" w:hAnsi="宋体" w:eastAsia="宋体" w:cs="宋体"/>
          <w:color w:val="auto"/>
          <w:sz w:val="24"/>
          <w:szCs w:val="24"/>
          <w:highlight w:val="none"/>
          <w:lang w:val="en-US" w:eastAsia="zh-CN"/>
        </w:rPr>
        <w:t>2024年度财务审计报告；2025年成立的公司不提供；）；</w:t>
      </w:r>
    </w:p>
    <w:p w14:paraId="615B274D">
      <w:pPr>
        <w:spacing w:line="300" w:lineRule="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12、投标保证金打款凭证；</w:t>
      </w:r>
    </w:p>
    <w:p w14:paraId="63A3F7E4">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 xml:space="preserve">偏离表（格式见附件）；  </w:t>
      </w:r>
    </w:p>
    <w:p w14:paraId="103A58BE">
      <w:pPr>
        <w:spacing w:line="30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反商业贿赂承诺书（格式见附件）；</w:t>
      </w:r>
    </w:p>
    <w:p w14:paraId="4890D417">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15、无围标、串标等违法违规行为承诺书</w:t>
      </w:r>
      <w:r>
        <w:rPr>
          <w:rFonts w:hint="eastAsia" w:ascii="宋体" w:hAnsi="宋体" w:eastAsia="宋体" w:cs="宋体"/>
          <w:color w:val="auto"/>
          <w:sz w:val="24"/>
          <w:szCs w:val="24"/>
          <w:highlight w:val="none"/>
        </w:rPr>
        <w:t>（格式见附件）；</w:t>
      </w:r>
    </w:p>
    <w:p w14:paraId="04CE710D">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16、中小企业声明函</w:t>
      </w:r>
      <w:r>
        <w:rPr>
          <w:rFonts w:hint="eastAsia" w:ascii="宋体" w:hAnsi="宋体" w:eastAsia="宋体" w:cs="宋体"/>
          <w:color w:val="auto"/>
          <w:sz w:val="24"/>
          <w:szCs w:val="24"/>
          <w:highlight w:val="none"/>
        </w:rPr>
        <w:t>；</w:t>
      </w:r>
    </w:p>
    <w:p w14:paraId="285B1236">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17、虚假应标承担责任声明</w:t>
      </w:r>
      <w:r>
        <w:rPr>
          <w:rFonts w:hint="eastAsia" w:ascii="宋体" w:hAnsi="宋体" w:eastAsia="宋体" w:cs="宋体"/>
          <w:color w:val="auto"/>
          <w:sz w:val="24"/>
          <w:szCs w:val="24"/>
          <w:highlight w:val="none"/>
        </w:rPr>
        <w:t>。</w:t>
      </w:r>
    </w:p>
    <w:p w14:paraId="29A1CF22">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关于对本投标文件中资料真实性的承诺</w:t>
      </w:r>
    </w:p>
    <w:p w14:paraId="636EDB39">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投标人认为有必要提供的声明及文件资料</w:t>
      </w:r>
    </w:p>
    <w:p w14:paraId="39B33881">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技术部分：</w:t>
      </w:r>
    </w:p>
    <w:p w14:paraId="6EB40C98">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对本次</w:t>
      </w:r>
      <w:r>
        <w:rPr>
          <w:rFonts w:hint="eastAsia" w:ascii="宋体" w:hAnsi="宋体" w:eastAsia="宋体" w:cs="宋体"/>
          <w:color w:val="auto"/>
          <w:sz w:val="24"/>
          <w:szCs w:val="24"/>
          <w:highlight w:val="none"/>
          <w:lang w:val="en-US" w:eastAsia="zh-CN"/>
        </w:rPr>
        <w:t>投标项目的技术方案（</w:t>
      </w:r>
      <w:r>
        <w:rPr>
          <w:rFonts w:hint="eastAsia" w:ascii="宋体" w:hAnsi="宋体" w:eastAsia="宋体" w:cs="宋体"/>
          <w:color w:val="auto"/>
          <w:sz w:val="24"/>
          <w:szCs w:val="24"/>
          <w:highlight w:val="none"/>
        </w:rPr>
        <w:t>投标人视需要自行编写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28A642F">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21、服务承诺书</w:t>
      </w:r>
    </w:p>
    <w:p w14:paraId="0D66A975">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注：1、投标文件必须制作有目录和页码（否则投标无效）   </w:t>
      </w:r>
    </w:p>
    <w:p w14:paraId="34C822F0">
      <w:pPr>
        <w:spacing w:line="300" w:lineRule="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投标文件严格按要求制作</w:t>
      </w:r>
    </w:p>
    <w:p w14:paraId="059DC870">
      <w:pPr>
        <w:spacing w:line="30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投标文件的语言及计量</w:t>
      </w:r>
      <w:bookmarkEnd w:id="69"/>
      <w:bookmarkEnd w:id="70"/>
      <w:bookmarkEnd w:id="71"/>
      <w:bookmarkEnd w:id="72"/>
      <w:bookmarkEnd w:id="73"/>
      <w:bookmarkEnd w:id="74"/>
    </w:p>
    <w:p w14:paraId="6EEF2DD4">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1.投标文件以及投标方与招标方就有关投标事宜的所有来往函电，均应以中文汉语书写。除签名、盖章、专用名称等特殊情形外，以中文汉语以外的文字表述的投标文件视同未提供。</w:t>
      </w:r>
    </w:p>
    <w:p w14:paraId="4672B402">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2.投标计量单位，招标文件已有明确规定的，使用招标文件规定的计量单位；招标文件没有规定的，应采用中华人民共和国法定计量单位（货币单位：人民币元），否则视同未响应。</w:t>
      </w:r>
    </w:p>
    <w:p w14:paraId="6E4FC0CD">
      <w:pPr>
        <w:spacing w:line="300" w:lineRule="auto"/>
        <w:rPr>
          <w:rFonts w:hint="eastAsia" w:ascii="宋体" w:hAnsi="宋体" w:eastAsia="宋体" w:cs="宋体"/>
          <w:b/>
          <w:bCs/>
          <w:color w:val="auto"/>
          <w:sz w:val="24"/>
          <w:szCs w:val="24"/>
          <w:highlight w:val="none"/>
        </w:rPr>
      </w:pPr>
      <w:bookmarkStart w:id="75" w:name="_Toc503212213"/>
      <w:bookmarkStart w:id="76" w:name="_Toc3970"/>
      <w:bookmarkStart w:id="77" w:name="_Toc6985"/>
      <w:bookmarkStart w:id="78" w:name="_Toc521014781"/>
      <w:r>
        <w:rPr>
          <w:rFonts w:hint="eastAsia" w:ascii="宋体" w:hAnsi="宋体" w:eastAsia="宋体" w:cs="宋体"/>
          <w:b/>
          <w:bCs/>
          <w:color w:val="auto"/>
          <w:sz w:val="24"/>
          <w:szCs w:val="24"/>
          <w:highlight w:val="none"/>
        </w:rPr>
        <w:t>投标报价</w:t>
      </w:r>
      <w:bookmarkEnd w:id="75"/>
      <w:bookmarkEnd w:id="76"/>
      <w:bookmarkEnd w:id="77"/>
      <w:bookmarkEnd w:id="78"/>
    </w:p>
    <w:p w14:paraId="17436E1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1报价应在招标报价表上标明单价和总价。单价和总价要相符。价格不一致时，根据《中华人民共和国财政部令第87号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政府采购货物和服务招标投标管理办法》第五十九条投标文件报价出现前后不一致的，除招标文件另有规定外，按照下列规定修正：</w:t>
      </w:r>
    </w:p>
    <w:p w14:paraId="6BBE8A8C">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（一）投标文件中开标一览表（报价表）内容与投标文件中相应内容不一致的，以开标一览表（报价表）为准；</w:t>
      </w:r>
    </w:p>
    <w:p w14:paraId="2645C5F5">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（二）大写金额和小写金额不一致的，以大写金额为准；</w:t>
      </w:r>
    </w:p>
    <w:p w14:paraId="3CD2CDFA">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（三）单价金额小数点或者百分比有明显错位的，以开标一览表的总价为准，并修改单价；</w:t>
      </w:r>
    </w:p>
    <w:p w14:paraId="39571E86">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（四）总价金额与单价汇总金额不一致的，以单价金额计算结果为准。</w:t>
      </w:r>
    </w:p>
    <w:p w14:paraId="09FFBC1B">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2供应商应在投标报价表中标明其提供的所有货物及其相关工作范围内</w:t>
      </w:r>
      <w:r>
        <w:rPr>
          <w:rFonts w:hint="eastAsia" w:ascii="宋体" w:hAnsi="宋体" w:cs="宋体"/>
          <w:color w:val="auto"/>
          <w:sz w:val="24"/>
          <w:szCs w:val="24"/>
          <w:highlight w:val="none"/>
          <w:lang w:eastAsia="zh-CN"/>
        </w:rPr>
        <w:t>所有</w:t>
      </w:r>
      <w:r>
        <w:rPr>
          <w:rFonts w:hint="eastAsia" w:ascii="宋体" w:hAnsi="宋体" w:eastAsia="宋体" w:cs="宋体"/>
          <w:color w:val="auto"/>
          <w:sz w:val="24"/>
          <w:szCs w:val="24"/>
          <w:highlight w:val="none"/>
        </w:rPr>
        <w:t>费用的总价，不接受任何选择性报价。</w:t>
      </w:r>
    </w:p>
    <w:p w14:paraId="001C95C3">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3报价时应对下列几点特别注明：</w:t>
      </w:r>
    </w:p>
    <w:p w14:paraId="35B0FE52">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3.1招标文件中特别要求的备品备件、易损件和专用工具的费用；</w:t>
      </w:r>
    </w:p>
    <w:p w14:paraId="5D85E9EA">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3.2招标文件中特别要求的货物、运输、装卸、验收、税费和相关售后服务等费用</w:t>
      </w:r>
      <w:r>
        <w:rPr>
          <w:rFonts w:hint="eastAsia" w:ascii="宋体" w:hAnsi="宋体" w:eastAsia="宋体" w:cs="宋体"/>
          <w:color w:val="auto"/>
          <w:sz w:val="24"/>
          <w:szCs w:val="24"/>
          <w:highlight w:val="none"/>
          <w:lang w:eastAsia="zh-CN"/>
        </w:rPr>
        <w:t>及其他</w:t>
      </w:r>
      <w:r>
        <w:rPr>
          <w:rFonts w:hint="eastAsia" w:ascii="宋体" w:hAnsi="宋体" w:eastAsia="宋体" w:cs="宋体"/>
          <w:color w:val="auto"/>
          <w:sz w:val="24"/>
          <w:szCs w:val="24"/>
          <w:highlight w:val="none"/>
        </w:rPr>
        <w:t>附带服务的全部费用；</w:t>
      </w:r>
    </w:p>
    <w:p w14:paraId="5A1AA7EC">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14:paraId="579A01AC">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4算术性修正。算术性修正是指对招标响应文件的报价明细进行校核，并对其算术上和运算上的差错给予修正。修正的原则如下：</w:t>
      </w:r>
    </w:p>
    <w:p w14:paraId="27885AF2">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4.1当以数字表示的金额与文字表示的金额有差异时，以文字表示的金额为准；</w:t>
      </w:r>
    </w:p>
    <w:p w14:paraId="349F2D4A">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4.2当单价与数量相乘不等于合价时，以单价计算为准。如果单价有明显的小数点位置差错，应以标出的合价为准，同时对单价予以修正；</w:t>
      </w:r>
    </w:p>
    <w:p w14:paraId="3167C2ED">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4.3当各明细部分的价格累计不等于合价时，应以各</w:t>
      </w:r>
      <w:r>
        <w:rPr>
          <w:rFonts w:hint="eastAsia" w:ascii="宋体" w:hAnsi="宋体" w:cs="宋体"/>
          <w:color w:val="auto"/>
          <w:sz w:val="24"/>
          <w:szCs w:val="24"/>
          <w:highlight w:val="none"/>
          <w:lang w:eastAsia="zh-CN"/>
        </w:rPr>
        <w:t>明细</w:t>
      </w:r>
      <w:r>
        <w:rPr>
          <w:rFonts w:hint="eastAsia" w:ascii="宋体" w:hAnsi="宋体" w:eastAsia="宋体" w:cs="宋体"/>
          <w:color w:val="auto"/>
          <w:sz w:val="24"/>
          <w:szCs w:val="24"/>
          <w:highlight w:val="none"/>
          <w:lang w:eastAsia="zh-CN"/>
        </w:rPr>
        <w:t>累计</w:t>
      </w:r>
      <w:r>
        <w:rPr>
          <w:rFonts w:hint="eastAsia" w:ascii="宋体" w:hAnsi="宋体" w:eastAsia="宋体" w:cs="宋体"/>
          <w:color w:val="auto"/>
          <w:sz w:val="24"/>
          <w:szCs w:val="24"/>
          <w:highlight w:val="none"/>
        </w:rPr>
        <w:t>计数为准，修正合价。</w:t>
      </w:r>
    </w:p>
    <w:p w14:paraId="2A5B6F30">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4.4按以上原则对算术性差错修正，应取得供应商的同意，并确认修正后最终招标报价。如果供应商拒绝确认，则其招标响应文件将不予以评审并按废标处理，没收其投标担保。</w:t>
      </w:r>
    </w:p>
    <w:p w14:paraId="62BA22F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投标文件只允许有一个报价，有选择的或有条件的报价将不予接受。</w:t>
      </w:r>
    </w:p>
    <w:p w14:paraId="1EDCA4F0">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招标代理服务费由中标单位支付，投标单位在报价时请考虑。</w:t>
      </w:r>
    </w:p>
    <w:p w14:paraId="3CA6678F">
      <w:pPr>
        <w:spacing w:line="300" w:lineRule="auto"/>
        <w:rPr>
          <w:rFonts w:hint="eastAsia" w:ascii="宋体" w:hAnsi="宋体" w:eastAsia="宋体" w:cs="宋体"/>
          <w:b/>
          <w:bCs/>
          <w:color w:val="auto"/>
          <w:sz w:val="24"/>
          <w:szCs w:val="24"/>
          <w:highlight w:val="none"/>
        </w:rPr>
      </w:pPr>
      <w:bookmarkStart w:id="79" w:name="_Toc21211"/>
      <w:bookmarkStart w:id="80" w:name="_Toc521014782"/>
      <w:bookmarkStart w:id="81" w:name="_Toc21800"/>
      <w:bookmarkStart w:id="82" w:name="_Toc503212214"/>
      <w:r>
        <w:rPr>
          <w:rFonts w:hint="eastAsia" w:ascii="宋体" w:hAnsi="宋体" w:eastAsia="宋体" w:cs="宋体"/>
          <w:b/>
          <w:bCs/>
          <w:color w:val="auto"/>
          <w:sz w:val="24"/>
          <w:szCs w:val="24"/>
          <w:highlight w:val="none"/>
        </w:rPr>
        <w:t>投标文件的有效期</w:t>
      </w:r>
      <w:bookmarkEnd w:id="79"/>
      <w:bookmarkEnd w:id="80"/>
      <w:bookmarkEnd w:id="81"/>
      <w:bookmarkEnd w:id="82"/>
    </w:p>
    <w:p w14:paraId="049F8DF6">
      <w:pPr>
        <w:spacing w:line="30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1.自投标截止日起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天投标文件应保持有效。有效期不足的投标文件将被拒绝。</w:t>
      </w:r>
    </w:p>
    <w:p w14:paraId="700A1AB9">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2.在特殊情况下，招标人可与投标人协商延长投标书的有效期，这种要求和答复均以书面形式进行。</w:t>
      </w:r>
    </w:p>
    <w:p w14:paraId="407D6C68">
      <w:pPr>
        <w:spacing w:line="30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3.投标人可拒绝接受延期要求而不会导致投标保证金被没收。同意延长有效期的投标人需要相应延长投标保证金的有效期，但不能修改投标文件。</w:t>
      </w:r>
    </w:p>
    <w:p w14:paraId="6F460852">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4.中标人的投标文件自开标之日起至合同履行完毕止均应保持有效。</w:t>
      </w:r>
    </w:p>
    <w:p w14:paraId="7246D5D0">
      <w:pPr>
        <w:spacing w:line="300" w:lineRule="auto"/>
        <w:rPr>
          <w:rFonts w:hint="eastAsia" w:ascii="宋体" w:hAnsi="宋体" w:eastAsia="宋体" w:cs="宋体"/>
          <w:b/>
          <w:bCs/>
          <w:color w:val="auto"/>
          <w:sz w:val="24"/>
          <w:szCs w:val="24"/>
          <w:highlight w:val="none"/>
        </w:rPr>
      </w:pPr>
      <w:bookmarkStart w:id="83" w:name="_Toc16117"/>
      <w:bookmarkStart w:id="84" w:name="_Toc22838"/>
      <w:bookmarkStart w:id="85" w:name="_Toc503212215"/>
      <w:bookmarkStart w:id="86" w:name="_Toc521014783"/>
      <w:r>
        <w:rPr>
          <w:rFonts w:hint="eastAsia" w:ascii="宋体" w:hAnsi="宋体" w:eastAsia="宋体" w:cs="宋体"/>
          <w:b/>
          <w:bCs/>
          <w:color w:val="auto"/>
          <w:sz w:val="24"/>
          <w:szCs w:val="24"/>
          <w:highlight w:val="none"/>
        </w:rPr>
        <w:t>投标保证金</w:t>
      </w:r>
      <w:bookmarkEnd w:id="83"/>
      <w:bookmarkEnd w:id="84"/>
      <w:bookmarkEnd w:id="85"/>
      <w:bookmarkEnd w:id="86"/>
    </w:p>
    <w:p w14:paraId="2CF41843">
      <w:pPr>
        <w:spacing w:line="30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1.投标人须按规定提交投标保证金</w:t>
      </w:r>
      <w:r>
        <w:rPr>
          <w:rFonts w:hint="eastAsia" w:ascii="宋体" w:hAnsi="宋体" w:eastAsia="宋体" w:cs="宋体"/>
          <w:color w:val="auto"/>
          <w:sz w:val="24"/>
          <w:szCs w:val="24"/>
          <w:highlight w:val="none"/>
          <w:lang w:val="en-US" w:eastAsia="zh-CN"/>
        </w:rPr>
        <w:t>或电子保函</w:t>
      </w:r>
      <w:r>
        <w:rPr>
          <w:rFonts w:hint="eastAsia" w:ascii="宋体" w:hAnsi="宋体" w:eastAsia="宋体" w:cs="宋体"/>
          <w:color w:val="auto"/>
          <w:sz w:val="24"/>
          <w:szCs w:val="24"/>
          <w:highlight w:val="none"/>
        </w:rPr>
        <w:t>。否则，其投标将被拒绝。</w:t>
      </w:r>
    </w:p>
    <w:p w14:paraId="585604E0">
      <w:pPr>
        <w:spacing w:line="300" w:lineRule="auto"/>
        <w:ind w:left="210" w:leftChars="100" w:firstLine="120" w:firstLineChars="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2.保证金形式：</w:t>
      </w:r>
      <w:r>
        <w:rPr>
          <w:rFonts w:hint="eastAsia" w:ascii="宋体" w:hAnsi="宋体" w:eastAsia="宋体" w:cs="宋体"/>
          <w:color w:val="auto"/>
          <w:sz w:val="24"/>
          <w:szCs w:val="24"/>
          <w:highlight w:val="none"/>
          <w:lang w:val="en-US" w:eastAsia="zh-CN"/>
        </w:rPr>
        <w:t>转账、汇款</w:t>
      </w:r>
      <w:r>
        <w:rPr>
          <w:rFonts w:hint="eastAsia" w:ascii="宋体" w:hAnsi="宋体" w:eastAsia="宋体" w:cs="宋体"/>
          <w:color w:val="auto"/>
          <w:sz w:val="24"/>
          <w:szCs w:val="24"/>
          <w:highlight w:val="none"/>
        </w:rPr>
        <w:t>（必须从基本账户转出）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电子保函</w:t>
      </w:r>
      <w:r>
        <w:rPr>
          <w:rFonts w:hint="eastAsia" w:ascii="宋体" w:hAnsi="宋体" w:eastAsia="宋体" w:cs="宋体"/>
          <w:color w:val="auto"/>
          <w:sz w:val="24"/>
          <w:szCs w:val="24"/>
          <w:highlight w:val="none"/>
        </w:rPr>
        <w:t>。</w:t>
      </w:r>
    </w:p>
    <w:p w14:paraId="09319FDF">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3.未中标人的投标保证金在公示期截止后退还。</w:t>
      </w:r>
    </w:p>
    <w:p w14:paraId="7C6DAAD9">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4.中标人的投标保证金在中标通知书发出签订正式采购合同，</w:t>
      </w:r>
      <w:r>
        <w:rPr>
          <w:rFonts w:hint="eastAsia" w:ascii="宋体" w:hAnsi="宋体" w:eastAsia="宋体" w:cs="宋体"/>
          <w:color w:val="auto"/>
          <w:sz w:val="24"/>
          <w:szCs w:val="24"/>
          <w:highlight w:val="none"/>
          <w:lang w:val="en-US" w:eastAsia="zh-CN"/>
        </w:rPr>
        <w:t>需提供一份合同原件及相关材料办理退还投标保证金事宜</w:t>
      </w:r>
      <w:r>
        <w:rPr>
          <w:rFonts w:hint="eastAsia" w:ascii="宋体" w:hAnsi="宋体" w:eastAsia="宋体" w:cs="宋体"/>
          <w:color w:val="auto"/>
          <w:sz w:val="24"/>
          <w:szCs w:val="24"/>
          <w:highlight w:val="none"/>
        </w:rPr>
        <w:t>。</w:t>
      </w:r>
    </w:p>
    <w:p w14:paraId="6F80E761">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5.保证金不计息。</w:t>
      </w:r>
    </w:p>
    <w:p w14:paraId="5132512E">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6.投标人有下列情形之一的，投标保证金将不予退还：</w:t>
      </w:r>
    </w:p>
    <w:p w14:paraId="503607CC">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（1）投标人在投标有效期内撤回投标文件的；</w:t>
      </w:r>
    </w:p>
    <w:p w14:paraId="679802BB">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（2）投标人在投标过程中弄虚作假，提供虚假材料的；</w:t>
      </w:r>
    </w:p>
    <w:p w14:paraId="0D6408CE">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（3）中标人无正当理由不与招标人签订合同的；</w:t>
      </w:r>
    </w:p>
    <w:p w14:paraId="42FCC582">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（4）其他严重扰乱招投标程序的。</w:t>
      </w:r>
    </w:p>
    <w:p w14:paraId="6E9D5231">
      <w:pPr>
        <w:spacing w:line="300" w:lineRule="auto"/>
        <w:rPr>
          <w:rFonts w:hint="eastAsia" w:ascii="宋体" w:hAnsi="宋体" w:eastAsia="宋体" w:cs="宋体"/>
          <w:b/>
          <w:bCs/>
          <w:color w:val="auto"/>
          <w:sz w:val="24"/>
          <w:szCs w:val="24"/>
          <w:highlight w:val="none"/>
        </w:rPr>
      </w:pPr>
      <w:bookmarkStart w:id="87" w:name="_Toc25982"/>
      <w:bookmarkStart w:id="88" w:name="_Toc4584"/>
      <w:bookmarkStart w:id="89" w:name="_Toc521014784"/>
      <w:bookmarkStart w:id="90" w:name="_Toc503212216"/>
      <w:r>
        <w:rPr>
          <w:rFonts w:hint="eastAsia" w:ascii="宋体" w:hAnsi="宋体" w:eastAsia="宋体" w:cs="宋体"/>
          <w:b/>
          <w:bCs/>
          <w:color w:val="auto"/>
          <w:sz w:val="24"/>
          <w:szCs w:val="24"/>
          <w:highlight w:val="none"/>
        </w:rPr>
        <w:t>投标文件的签署和</w:t>
      </w:r>
      <w:bookmarkEnd w:id="87"/>
      <w:bookmarkEnd w:id="88"/>
      <w:bookmarkEnd w:id="89"/>
      <w:bookmarkEnd w:id="90"/>
      <w:r>
        <w:rPr>
          <w:rFonts w:hint="eastAsia" w:ascii="宋体" w:hAnsi="宋体" w:eastAsia="宋体" w:cs="宋体"/>
          <w:b/>
          <w:bCs/>
          <w:color w:val="auto"/>
          <w:sz w:val="24"/>
          <w:szCs w:val="24"/>
          <w:highlight w:val="none"/>
          <w:lang w:eastAsia="zh-CN"/>
        </w:rPr>
        <w:t>递交</w:t>
      </w:r>
    </w:p>
    <w:p w14:paraId="4BC7CC48">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投标人应按本招标文件规定的格式和顺序编制、装订投标文件并标注页码，投标文件内容不完整、编排混乱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上传不完整</w:t>
      </w:r>
      <w:r>
        <w:rPr>
          <w:rFonts w:hint="eastAsia" w:ascii="宋体" w:hAnsi="宋体" w:eastAsia="宋体" w:cs="宋体"/>
          <w:color w:val="auto"/>
          <w:sz w:val="24"/>
          <w:szCs w:val="24"/>
          <w:highlight w:val="none"/>
        </w:rPr>
        <w:t>导致投标文件被误读、漏读或者查找不到相关内容的，是投标人的责任。</w:t>
      </w:r>
    </w:p>
    <w:p w14:paraId="678746BF">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投标人应于</w:t>
      </w:r>
      <w:r>
        <w:rPr>
          <w:rFonts w:hint="eastAsia" w:ascii="宋体" w:hAnsi="宋体" w:cs="宋体"/>
          <w:color w:val="auto"/>
          <w:sz w:val="24"/>
          <w:szCs w:val="24"/>
          <w:highlight w:val="none"/>
          <w:lang w:val="en-US" w:eastAsia="zh-CN"/>
        </w:rPr>
        <w:t>2025年4月23日11：30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北京时间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前将电子投标文件上传到“</w:t>
      </w:r>
      <w:r>
        <w:rPr>
          <w:rFonts w:hint="eastAsia" w:ascii="宋体" w:hAnsi="宋体" w:eastAsia="宋体" w:cs="宋体"/>
          <w:color w:val="auto"/>
          <w:sz w:val="24"/>
          <w:szCs w:val="24"/>
          <w:highlight w:val="none"/>
          <w:lang w:eastAsia="zh-CN"/>
        </w:rPr>
        <w:t>新疆政府采购</w:t>
      </w:r>
      <w:r>
        <w:rPr>
          <w:rFonts w:hint="eastAsia" w:ascii="宋体" w:hAnsi="宋体" w:eastAsia="宋体" w:cs="宋体"/>
          <w:color w:val="auto"/>
          <w:sz w:val="24"/>
          <w:szCs w:val="24"/>
          <w:highlight w:val="none"/>
        </w:rPr>
        <w:t>”平台。应按照本项目招标文件和</w:t>
      </w:r>
      <w:r>
        <w:rPr>
          <w:rFonts w:hint="eastAsia" w:ascii="宋体" w:hAnsi="宋体" w:eastAsia="宋体" w:cs="宋体"/>
          <w:color w:val="auto"/>
          <w:sz w:val="24"/>
          <w:szCs w:val="24"/>
          <w:highlight w:val="none"/>
          <w:lang w:eastAsia="zh-CN"/>
        </w:rPr>
        <w:t>新疆政府采购</w:t>
      </w:r>
      <w:r>
        <w:rPr>
          <w:rFonts w:hint="eastAsia" w:ascii="宋体" w:hAnsi="宋体" w:eastAsia="宋体" w:cs="宋体"/>
          <w:color w:val="auto"/>
          <w:sz w:val="24"/>
          <w:szCs w:val="24"/>
          <w:highlight w:val="none"/>
        </w:rPr>
        <w:t>平台的要求编制、加密传输投标文件。供应商在使用系统进行投标的过程中遇到涉及平台使用的任何问题，可致电</w:t>
      </w:r>
      <w:r>
        <w:rPr>
          <w:rFonts w:hint="eastAsia" w:ascii="宋体" w:hAnsi="宋体" w:eastAsia="宋体" w:cs="宋体"/>
          <w:color w:val="auto"/>
          <w:sz w:val="24"/>
          <w:szCs w:val="24"/>
          <w:highlight w:val="none"/>
          <w:lang w:eastAsia="zh-CN"/>
        </w:rPr>
        <w:t>新疆政府采购</w:t>
      </w:r>
      <w:r>
        <w:rPr>
          <w:rFonts w:hint="eastAsia" w:ascii="宋体" w:hAnsi="宋体" w:eastAsia="宋体" w:cs="宋体"/>
          <w:color w:val="auto"/>
          <w:sz w:val="24"/>
          <w:szCs w:val="24"/>
          <w:highlight w:val="none"/>
        </w:rPr>
        <w:t>平台技术支持热线咨询，联系方式：</w:t>
      </w:r>
      <w:r>
        <w:rPr>
          <w:rFonts w:hint="eastAsia" w:ascii="宋体" w:hAnsi="宋体" w:eastAsia="宋体" w:cs="宋体"/>
          <w:color w:val="auto"/>
          <w:sz w:val="24"/>
          <w:szCs w:val="24"/>
          <w:highlight w:val="none"/>
          <w:lang w:val="en-US" w:eastAsia="zh-CN"/>
        </w:rPr>
        <w:t>95763</w:t>
      </w:r>
      <w:r>
        <w:rPr>
          <w:rFonts w:hint="eastAsia" w:ascii="宋体" w:hAnsi="宋体" w:eastAsia="宋体" w:cs="宋体"/>
          <w:color w:val="auto"/>
          <w:sz w:val="24"/>
          <w:szCs w:val="24"/>
          <w:highlight w:val="none"/>
        </w:rPr>
        <w:t>。</w:t>
      </w:r>
    </w:p>
    <w:p w14:paraId="7D66670B">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.投标文件须由投标人在规定位置盖章并由法定代表人或法定代表人的授权委托人签署，投标人应写全称。</w:t>
      </w:r>
    </w:p>
    <w:p w14:paraId="16E7C182">
      <w:pPr>
        <w:spacing w:line="300" w:lineRule="auto"/>
        <w:ind w:left="210" w:leftChars="1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应严格响应招标文件要求，有表述</w:t>
      </w:r>
      <w:r>
        <w:rPr>
          <w:rFonts w:hint="eastAsia" w:ascii="宋体" w:hAnsi="宋体" w:eastAsia="宋体" w:cs="宋体"/>
          <w:color w:val="auto"/>
          <w:sz w:val="24"/>
          <w:szCs w:val="24"/>
          <w:highlight w:val="none"/>
        </w:rPr>
        <w:t>不清所引起的后果由投标人负责。</w:t>
      </w:r>
      <w:bookmarkStart w:id="91" w:name="_Toc28926"/>
      <w:bookmarkStart w:id="92" w:name="_Toc9280"/>
    </w:p>
    <w:p w14:paraId="618A08CD">
      <w:pPr>
        <w:spacing w:line="300" w:lineRule="auto"/>
        <w:ind w:left="210" w:leftChars="100" w:firstLine="120" w:firstLineChars="5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、本项目实行网上投标，采用电子投标文件。若供应商参与投标，自行承担投标一切费用。</w:t>
      </w:r>
    </w:p>
    <w:p w14:paraId="7D71AEB6">
      <w:pPr>
        <w:spacing w:line="300" w:lineRule="auto"/>
        <w:ind w:left="210" w:leftChars="100" w:firstLine="120" w:firstLineChars="5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、各供应商应在开标前应确保成为正式注册入库供应商，并完成CA数字证书申领。因未注册入库、未办理CA数字证书等原因造成无法投标或投标失败等后果由供应商自行承担。</w:t>
      </w:r>
    </w:p>
    <w:p w14:paraId="6B63DB69">
      <w:pPr>
        <w:spacing w:line="300" w:lineRule="auto"/>
        <w:ind w:left="210" w:leftChars="100" w:firstLine="120" w:firstLineChars="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、本项目为电子招投标，投标人需要使用CA加密设备，有意向参与新疆区域电子开评标的供应商，请访问新疆数字证书认证中心官方网站（https://www.xjca.com.cn/）或下载</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“新疆政务通”APP自行进行申领。如需咨询，请联系新疆CA服务热线0991-2819290</w:t>
      </w:r>
    </w:p>
    <w:p w14:paraId="1DFE3F46">
      <w:pPr>
        <w:spacing w:line="300" w:lineRule="auto"/>
        <w:ind w:left="210" w:leftChars="100" w:firstLine="120" w:firstLineChars="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color w:val="auto"/>
          <w:sz w:val="24"/>
          <w:szCs w:val="24"/>
          <w:highlight w:val="none"/>
          <w:lang w:eastAsia="zh-CN"/>
        </w:rPr>
        <w:t>http://www.ccgp-xinjiang.gov.cn/</w:t>
      </w:r>
      <w:r>
        <w:rPr>
          <w:rFonts w:hint="eastAsia" w:ascii="宋体" w:hAnsi="宋体" w:eastAsia="宋体" w:cs="宋体"/>
          <w:b/>
          <w:bCs/>
          <w:color w:val="auto"/>
          <w:sz w:val="24"/>
          <w:szCs w:val="24"/>
          <w:highlight w:val="none"/>
        </w:rPr>
        <w:t>/）下载专区查看，如有问题可拨打政采云客户服务热线400-881-7190进行咨询。</w:t>
      </w:r>
    </w:p>
    <w:p w14:paraId="3647F955">
      <w:pPr>
        <w:spacing w:line="300" w:lineRule="auto"/>
        <w:ind w:left="210" w:leftChars="100" w:firstLine="120" w:firstLineChars="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开标时间后</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eastAsia="zh-CN"/>
        </w:rPr>
        <w:t>分钟内</w:t>
      </w:r>
      <w:r>
        <w:rPr>
          <w:rFonts w:hint="eastAsia" w:ascii="宋体" w:hAnsi="宋体" w:eastAsia="宋体" w:cs="宋体"/>
          <w:b/>
          <w:bCs/>
          <w:color w:val="auto"/>
          <w:sz w:val="24"/>
          <w:szCs w:val="24"/>
          <w:highlight w:val="none"/>
        </w:rPr>
        <w:t>供应商可以登录“政采云”平台，用“项目采购</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开标评标”功能进行解密投标文件。若供应商在规定时间内未按时解密的，视为投标文件撤回。</w:t>
      </w:r>
    </w:p>
    <w:p w14:paraId="7F675710">
      <w:pPr>
        <w:spacing w:line="300" w:lineRule="auto"/>
        <w:ind w:left="210" w:leftChars="100" w:firstLine="120" w:firstLineChars="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因系统（非投标供应商行为）的原因，造成投标供应商未能在规定的解密时限内解密的，请及时与招标代理机构或与新疆政府采购网投标客户端进行联系。</w:t>
      </w:r>
    </w:p>
    <w:p w14:paraId="2CF3215D">
      <w:pPr>
        <w:spacing w:line="300" w:lineRule="auto"/>
        <w:ind w:left="210" w:leftChars="100" w:firstLine="120" w:firstLineChars="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投标文件未按规定上传的，视为其自动放弃投标。</w:t>
      </w:r>
    </w:p>
    <w:bookmarkEnd w:id="91"/>
    <w:bookmarkEnd w:id="92"/>
    <w:p w14:paraId="52530545">
      <w:pPr>
        <w:spacing w:line="300" w:lineRule="auto"/>
        <w:rPr>
          <w:rFonts w:hint="eastAsia" w:ascii="宋体" w:hAnsi="宋体" w:eastAsia="宋体" w:cs="宋体"/>
          <w:b/>
          <w:bCs/>
          <w:color w:val="auto"/>
          <w:sz w:val="24"/>
          <w:szCs w:val="24"/>
          <w:highlight w:val="none"/>
        </w:rPr>
      </w:pPr>
      <w:bookmarkStart w:id="93" w:name="_Toc521014786"/>
      <w:bookmarkStart w:id="94" w:name="_Toc4197"/>
      <w:bookmarkStart w:id="95" w:name="_Toc503212218"/>
      <w:bookmarkStart w:id="96" w:name="_Toc6355"/>
      <w:r>
        <w:rPr>
          <w:rFonts w:hint="eastAsia" w:ascii="宋体" w:hAnsi="宋体" w:eastAsia="宋体" w:cs="宋体"/>
          <w:b/>
          <w:bCs/>
          <w:color w:val="auto"/>
          <w:sz w:val="24"/>
          <w:szCs w:val="24"/>
          <w:highlight w:val="none"/>
        </w:rPr>
        <w:t>投标文件的修改、撤回与撤销</w:t>
      </w:r>
    </w:p>
    <w:p w14:paraId="2A2AF8C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4692D7E9">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2投标人在投标截止期后不得修改、撤回投标文件。投标人在投标截止期后修改投标文件的，其投标无效。</w:t>
      </w:r>
    </w:p>
    <w:p w14:paraId="4AC78010">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3若供应商在规定的时间内（“投标人须知前附表”</w:t>
      </w:r>
      <w:r>
        <w:rPr>
          <w:rFonts w:hint="eastAsia" w:ascii="宋体" w:hAnsi="宋体" w:eastAsia="宋体" w:cs="宋体"/>
          <w:b/>
          <w:bCs/>
          <w:color w:val="auto"/>
          <w:sz w:val="24"/>
          <w:szCs w:val="24"/>
          <w:highlight w:val="none"/>
          <w:lang w:eastAsia="zh-CN"/>
        </w:rPr>
        <w:t>的规定</w:t>
      </w:r>
      <w:r>
        <w:rPr>
          <w:rFonts w:hint="eastAsia" w:ascii="宋体" w:hAnsi="宋体" w:eastAsia="宋体" w:cs="宋体"/>
          <w:b/>
          <w:bCs/>
          <w:color w:val="auto"/>
          <w:sz w:val="24"/>
          <w:szCs w:val="24"/>
          <w:highlight w:val="none"/>
        </w:rPr>
        <w:t>）未能解密的，也将被视为供应商对其投标文件的撤回。</w:t>
      </w:r>
    </w:p>
    <w:p w14:paraId="0058387F">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投标文件的解密</w:t>
      </w:r>
    </w:p>
    <w:p w14:paraId="183994A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w:t>
      </w:r>
      <w:r>
        <w:rPr>
          <w:rFonts w:hint="eastAsia" w:ascii="宋体" w:hAnsi="宋体" w:cs="宋体"/>
          <w:color w:val="auto"/>
          <w:sz w:val="24"/>
          <w:szCs w:val="24"/>
          <w:highlight w:val="none"/>
          <w:lang w:eastAsia="zh-CN"/>
        </w:rPr>
        <w:t>密的</w:t>
      </w:r>
      <w:r>
        <w:rPr>
          <w:rFonts w:hint="eastAsia" w:ascii="宋体" w:hAnsi="宋体" w:eastAsia="宋体" w:cs="宋体"/>
          <w:color w:val="auto"/>
          <w:sz w:val="24"/>
          <w:szCs w:val="24"/>
          <w:highlight w:val="none"/>
        </w:rPr>
        <w:t>投标文件，将作无效投标处理。</w:t>
      </w:r>
    </w:p>
    <w:p w14:paraId="403C8607">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p>
    <w:p w14:paraId="331E04B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1投标有效期内投标人撤销投标文件的，采购人或者采购代理机构可以不退还投标保证金（如有）。采用投标保函方式替代保证金的，采购人或者采购代理机构可以向担保机构索赔保证金。</w:t>
      </w:r>
    </w:p>
    <w:p w14:paraId="604464E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098217D3">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样品（演示）</w:t>
      </w:r>
    </w:p>
    <w:p w14:paraId="3909F21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1招标文件规定投标人提交样品的，样品属于投标文件的组成部分。样品的生产、运输、安装、保全等一切费用由投标人自理。</w:t>
      </w:r>
    </w:p>
    <w:p w14:paraId="04314BA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2投标截止时间前，投标人应将样品</w:t>
      </w:r>
      <w:r>
        <w:rPr>
          <w:rFonts w:hint="eastAsia" w:ascii="宋体" w:hAnsi="宋体" w:eastAsia="宋体" w:cs="宋体"/>
          <w:color w:val="auto"/>
          <w:sz w:val="24"/>
          <w:szCs w:val="24"/>
          <w:highlight w:val="none"/>
          <w:lang w:eastAsia="zh-CN"/>
        </w:rPr>
        <w:t>送达</w:t>
      </w:r>
      <w:r>
        <w:rPr>
          <w:rFonts w:hint="eastAsia" w:ascii="宋体" w:hAnsi="宋体" w:eastAsia="宋体" w:cs="宋体"/>
          <w:color w:val="auto"/>
          <w:sz w:val="24"/>
          <w:szCs w:val="24"/>
          <w:highlight w:val="none"/>
        </w:rPr>
        <w:t>指定地点。若需要现场演示的，投标人应提前做好演示准备（包括演示设备）。</w:t>
      </w:r>
    </w:p>
    <w:p w14:paraId="6BA05A0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63E56571">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投标无效的情形</w:t>
      </w:r>
      <w:bookmarkEnd w:id="93"/>
      <w:bookmarkEnd w:id="94"/>
      <w:bookmarkEnd w:id="95"/>
      <w:bookmarkEnd w:id="96"/>
    </w:p>
    <w:p w14:paraId="3527EC2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实质上没有响应招标文件要求的投标将被视为无效投标。投标人不得通过修正或</w:t>
      </w:r>
      <w:r>
        <w:rPr>
          <w:rFonts w:hint="eastAsia" w:ascii="宋体" w:hAnsi="宋体" w:eastAsia="宋体" w:cs="宋体"/>
          <w:color w:val="auto"/>
          <w:sz w:val="24"/>
          <w:szCs w:val="24"/>
          <w:highlight w:val="none"/>
          <w:lang w:eastAsia="zh-CN"/>
        </w:rPr>
        <w:t>撤销</w:t>
      </w:r>
      <w:r>
        <w:rPr>
          <w:rFonts w:hint="eastAsia" w:ascii="宋体" w:hAnsi="宋体" w:eastAsia="宋体" w:cs="宋体"/>
          <w:color w:val="auto"/>
          <w:sz w:val="24"/>
          <w:szCs w:val="24"/>
          <w:highlight w:val="none"/>
        </w:rPr>
        <w:t>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97" w:name="_Toc4280"/>
      <w:bookmarkStart w:id="98" w:name="_Toc13224"/>
    </w:p>
    <w:p w14:paraId="57C6607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1投标文件未按照招标文件要求签署、盖章；</w:t>
      </w:r>
    </w:p>
    <w:p w14:paraId="6E128C1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2不符合招标文件中规定的资格要求；</w:t>
      </w:r>
    </w:p>
    <w:p w14:paraId="3C5369F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3投标报价超过招标文件中规定的预算金额或最高限价；</w:t>
      </w:r>
    </w:p>
    <w:p w14:paraId="7FD6633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4投标文件含有采购人不能接受的附加条件；</w:t>
      </w:r>
    </w:p>
    <w:p w14:paraId="5738327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5有关</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和规章及招标文件规定的其他无效情形。</w:t>
      </w:r>
    </w:p>
    <w:p w14:paraId="05AD2DE7">
      <w:pPr>
        <w:pStyle w:val="4"/>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bookmarkStart w:id="99" w:name="_Toc31877"/>
      <w:bookmarkStart w:id="100" w:name="_Toc11270"/>
      <w:bookmarkStart w:id="101" w:name="_Toc521014787"/>
      <w:bookmarkStart w:id="102" w:name="_Toc503212219"/>
      <w:bookmarkStart w:id="103" w:name="_Toc3022"/>
      <w:r>
        <w:rPr>
          <w:rFonts w:hint="eastAsia" w:ascii="宋体" w:hAnsi="宋体" w:eastAsia="宋体" w:cs="宋体"/>
          <w:b/>
          <w:bCs/>
          <w:color w:val="auto"/>
          <w:kern w:val="2"/>
          <w:sz w:val="28"/>
          <w:szCs w:val="28"/>
          <w:highlight w:val="none"/>
          <w:lang w:val="en-US" w:eastAsia="zh-CN" w:bidi="ar-SA"/>
        </w:rPr>
        <w:t>（四）开标</w:t>
      </w:r>
      <w:bookmarkEnd w:id="97"/>
      <w:bookmarkEnd w:id="98"/>
      <w:bookmarkEnd w:id="99"/>
      <w:bookmarkEnd w:id="100"/>
      <w:bookmarkEnd w:id="101"/>
      <w:bookmarkEnd w:id="102"/>
      <w:bookmarkEnd w:id="103"/>
    </w:p>
    <w:p w14:paraId="7E37B642">
      <w:pPr>
        <w:pStyle w:val="14"/>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（一）开标准备</w:t>
      </w:r>
    </w:p>
    <w:p w14:paraId="3A2FA984">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"http://www.ccgp-xinjiang.gov.cn/"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http://www.ccgp-xinjiang.gov.cn/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）下载专区查看，如有问题可拨打新疆政府采购客户服务热线95763进行咨询。）</w:t>
      </w:r>
    </w:p>
    <w:p w14:paraId="3E96D3A6">
      <w:pPr>
        <w:pStyle w:val="14"/>
        <w:snapToGrid w:val="0"/>
        <w:spacing w:line="360" w:lineRule="auto"/>
        <w:outlineLvl w:val="1"/>
        <w:rPr>
          <w:rFonts w:hint="eastAsia" w:ascii="宋体" w:hAnsi="宋体" w:eastAsia="宋体" w:cs="宋体"/>
          <w:b/>
          <w:bCs/>
          <w:color w:val="auto"/>
          <w:kern w:val="2"/>
          <w:sz w:val="24"/>
          <w:szCs w:val="24"/>
          <w:highlight w:val="none"/>
          <w:lang w:val="en-US" w:eastAsia="zh-CN" w:bidi="ar-SA"/>
        </w:rPr>
      </w:pPr>
      <w:bookmarkStart w:id="104" w:name="_Toc24853"/>
      <w:bookmarkStart w:id="105" w:name="_Toc1875"/>
      <w:r>
        <w:rPr>
          <w:rFonts w:hint="eastAsia" w:ascii="宋体" w:hAnsi="宋体" w:eastAsia="宋体" w:cs="宋体"/>
          <w:b/>
          <w:bCs/>
          <w:color w:val="auto"/>
          <w:kern w:val="2"/>
          <w:sz w:val="24"/>
          <w:szCs w:val="24"/>
          <w:highlight w:val="none"/>
          <w:lang w:val="en-US" w:eastAsia="zh-CN" w:bidi="ar-SA"/>
        </w:rPr>
        <w:t>（二）开标程序：</w:t>
      </w:r>
      <w:bookmarkEnd w:id="104"/>
      <w:bookmarkEnd w:id="105"/>
    </w:p>
    <w:p w14:paraId="1F76F1D7">
      <w:pPr>
        <w:spacing w:line="360" w:lineRule="auto"/>
        <w:ind w:firstLine="480"/>
        <w:rPr>
          <w:rFonts w:hint="eastAsia" w:ascii="宋体" w:hAnsi="宋体" w:eastAsia="宋体" w:cs="宋体"/>
          <w:color w:val="auto"/>
          <w:sz w:val="24"/>
          <w:szCs w:val="24"/>
          <w:highlight w:val="none"/>
        </w:rPr>
      </w:pPr>
      <w:bookmarkStart w:id="106" w:name="_Toc12263"/>
      <w:bookmarkStart w:id="107" w:name="_Toc521014788"/>
      <w:bookmarkStart w:id="108" w:name="_Toc503212220"/>
      <w:bookmarkStart w:id="109" w:name="_Toc24288"/>
      <w:bookmarkStart w:id="110" w:name="_Toc20065"/>
      <w:bookmarkStart w:id="111" w:name="_Toc20288"/>
      <w:bookmarkStart w:id="112" w:name="_Toc3024"/>
      <w:r>
        <w:rPr>
          <w:rFonts w:hint="eastAsia" w:ascii="宋体" w:hAnsi="宋体" w:eastAsia="宋体" w:cs="宋体"/>
          <w:color w:val="auto"/>
          <w:sz w:val="24"/>
          <w:szCs w:val="24"/>
          <w:highlight w:val="none"/>
        </w:rPr>
        <w:t>1.1开标程序</w:t>
      </w:r>
    </w:p>
    <w:p w14:paraId="61E7570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465F2E7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1D0EB8B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3EE9451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w:t>
      </w:r>
      <w:r>
        <w:rPr>
          <w:rFonts w:hint="eastAsia" w:ascii="宋体" w:hAnsi="宋体" w:eastAsia="宋体" w:cs="宋体"/>
          <w:color w:val="auto"/>
          <w:sz w:val="24"/>
          <w:szCs w:val="24"/>
          <w:highlight w:val="none"/>
          <w:lang w:eastAsia="zh-CN"/>
        </w:rPr>
        <w:t>需</w:t>
      </w:r>
      <w:r>
        <w:rPr>
          <w:rFonts w:hint="eastAsia" w:ascii="宋体" w:hAnsi="宋体" w:eastAsia="宋体" w:cs="宋体"/>
          <w:color w:val="auto"/>
          <w:sz w:val="24"/>
          <w:szCs w:val="24"/>
          <w:highlight w:val="none"/>
        </w:rPr>
        <w:t>自行对使用电脑的网络环境、驱动安装、客户端安装以及数字证书的有效性等进行检测，确保可以正常使用）。</w:t>
      </w:r>
    </w:p>
    <w:p w14:paraId="3CAD366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1.2开标异议</w:t>
      </w:r>
    </w:p>
    <w:p w14:paraId="3D741BB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投标人代表对开标过程和开标记录有疑义，以及认为采购人、采购代理机构相关工作人员有需要回避的情形的，应当场提出询问或者回避申请。投标人未参加开标的，视同认可开标结果。</w:t>
      </w:r>
    </w:p>
    <w:p w14:paraId="56E3452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1.3投标截止时间后，投标人不足须知前附表中约定的有效供应商家数的，不得开标。同时，本次采购活动结束。</w:t>
      </w:r>
    </w:p>
    <w:p w14:paraId="5DAC407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1.4开标时出现下列情况的，视为投标无效处理：</w:t>
      </w:r>
    </w:p>
    <w:p w14:paraId="75B9D53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（1）经检查数字证书无效的；</w:t>
      </w:r>
    </w:p>
    <w:p w14:paraId="35E721A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（2）因投标人自身原因，未在规定时间内完成电子投标文件解密的；</w:t>
      </w:r>
    </w:p>
    <w:p w14:paraId="5BA07E4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14:paraId="40C6A8EA">
      <w:pPr>
        <w:pStyle w:val="4"/>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（五）评标</w:t>
      </w:r>
      <w:bookmarkEnd w:id="106"/>
      <w:bookmarkEnd w:id="107"/>
      <w:bookmarkEnd w:id="108"/>
      <w:bookmarkEnd w:id="109"/>
      <w:bookmarkEnd w:id="110"/>
      <w:bookmarkEnd w:id="111"/>
      <w:bookmarkEnd w:id="112"/>
    </w:p>
    <w:p w14:paraId="298D3108">
      <w:pPr>
        <w:pStyle w:val="14"/>
        <w:snapToGrid w:val="0"/>
        <w:spacing w:line="360" w:lineRule="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（一）组建评标委员会</w:t>
      </w:r>
    </w:p>
    <w:p w14:paraId="21AE899A">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评标委员会或评标小组（以下简称评标委员会）的评标工作由招标单位负责组织，具体评标事务由评标委员会负责，并独立履行其法规规定的职责。</w:t>
      </w:r>
    </w:p>
    <w:p w14:paraId="0412FD06">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评标委员会由评审专家5人组成；专家由招标代理机构在开标前48小时在新疆政府采购专家中随机抽取。其中熟悉相关技术方面的专家不得少于成员总数的三分之二。并对投标文件进行审查、评估和比较，并做出授予合同的建议。</w:t>
      </w:r>
    </w:p>
    <w:p w14:paraId="1814B553">
      <w:pPr>
        <w:pStyle w:val="14"/>
        <w:snapToGrid w:val="0"/>
        <w:spacing w:line="360" w:lineRule="auto"/>
        <w:outlineLvl w:val="1"/>
        <w:rPr>
          <w:rFonts w:hint="eastAsia" w:ascii="宋体" w:hAnsi="宋体" w:eastAsia="宋体" w:cs="宋体"/>
          <w:b/>
          <w:bCs/>
          <w:color w:val="auto"/>
          <w:kern w:val="2"/>
          <w:sz w:val="24"/>
          <w:szCs w:val="24"/>
          <w:highlight w:val="none"/>
          <w:lang w:val="en-US" w:eastAsia="zh-CN" w:bidi="ar-SA"/>
        </w:rPr>
      </w:pPr>
      <w:bookmarkStart w:id="113" w:name="_Toc27271"/>
      <w:bookmarkStart w:id="114" w:name="_Toc26886"/>
      <w:r>
        <w:rPr>
          <w:rFonts w:hint="eastAsia" w:ascii="宋体" w:hAnsi="宋体" w:eastAsia="宋体" w:cs="宋体"/>
          <w:b/>
          <w:bCs/>
          <w:color w:val="auto"/>
          <w:kern w:val="2"/>
          <w:sz w:val="24"/>
          <w:szCs w:val="24"/>
          <w:highlight w:val="none"/>
          <w:lang w:val="en-US" w:eastAsia="zh-CN" w:bidi="ar-SA"/>
        </w:rPr>
        <w:t>（二）评标的方式</w:t>
      </w:r>
      <w:bookmarkEnd w:id="113"/>
      <w:bookmarkEnd w:id="114"/>
    </w:p>
    <w:p w14:paraId="45545287">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本项目采用不公开方式评标，评标的依据为</w:t>
      </w:r>
      <w:r>
        <w:rPr>
          <w:rFonts w:hint="eastAsia" w:hAnsi="宋体" w:cs="宋体"/>
          <w:color w:val="auto"/>
          <w:kern w:val="2"/>
          <w:sz w:val="24"/>
          <w:szCs w:val="24"/>
          <w:highlight w:val="none"/>
          <w:lang w:val="en-US" w:eastAsia="zh-CN" w:bidi="ar-SA"/>
        </w:rPr>
        <w:t>《中华人民共和国政府采购法》</w:t>
      </w:r>
      <w:r>
        <w:rPr>
          <w:rFonts w:hint="eastAsia" w:ascii="宋体" w:hAnsi="宋体" w:eastAsia="宋体" w:cs="宋体"/>
          <w:color w:val="auto"/>
          <w:kern w:val="2"/>
          <w:sz w:val="24"/>
          <w:szCs w:val="24"/>
          <w:highlight w:val="none"/>
          <w:lang w:val="en-US" w:eastAsia="zh-CN" w:bidi="ar-SA"/>
        </w:rPr>
        <w:t>《中华人民共和国政府采购法》《中华人民共和国财政部令第87号－－政府采购货物和服务招标投标管理办法》及招标文件。</w:t>
      </w:r>
    </w:p>
    <w:p w14:paraId="48A43AFD">
      <w:pPr>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（三）评标原则</w:t>
      </w:r>
    </w:p>
    <w:p w14:paraId="7CA66D28">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2.1评标活动遵循公平、公正、科学和择优的原则，以招标文件和投标文件为评标的基本依据，并按照招标文件规定的评标方法和评标标准进行评标。</w:t>
      </w:r>
    </w:p>
    <w:p w14:paraId="3C5D87A1">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14:paraId="7BA7AF00">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2.2具体评标事项由评标委员会负责，并按招标文件的规定办法进行评审。</w:t>
      </w:r>
    </w:p>
    <w:p w14:paraId="17D7FA01">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2.3合格投标人不足须知前附表中约定的有效供应商家数的，不得评标。</w:t>
      </w:r>
    </w:p>
    <w:p w14:paraId="67FF1CAB">
      <w:pPr>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（四）评标应遵守下列评标纪律：</w:t>
      </w:r>
    </w:p>
    <w:p w14:paraId="1EAC6946">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（1）评标情况不得私自外泄，有关信息由</w:t>
      </w:r>
      <w:r>
        <w:rPr>
          <w:rFonts w:hint="eastAsia" w:cs="宋体"/>
          <w:i w:val="0"/>
          <w:iCs w:val="0"/>
          <w:caps w:val="0"/>
          <w:color w:val="auto"/>
          <w:spacing w:val="0"/>
          <w:sz w:val="24"/>
          <w:szCs w:val="24"/>
          <w:highlight w:val="none"/>
          <w:lang w:val="en-US" w:eastAsia="zh-CN"/>
        </w:rPr>
        <w:t>新疆策源项目管理咨询有限公司</w:t>
      </w:r>
      <w:r>
        <w:rPr>
          <w:rFonts w:hint="eastAsia" w:ascii="宋体" w:hAnsi="宋体" w:eastAsia="宋体" w:cs="宋体"/>
          <w:color w:val="auto"/>
          <w:kern w:val="2"/>
          <w:sz w:val="24"/>
          <w:szCs w:val="24"/>
          <w:highlight w:val="none"/>
          <w:lang w:val="en-US" w:eastAsia="zh-CN" w:bidi="ar-SA"/>
        </w:rPr>
        <w:t>统一对外发布。</w:t>
      </w:r>
    </w:p>
    <w:p w14:paraId="4CC94FE9">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（2）对</w:t>
      </w:r>
      <w:r>
        <w:rPr>
          <w:rFonts w:hint="eastAsia" w:cs="宋体"/>
          <w:i w:val="0"/>
          <w:iCs w:val="0"/>
          <w:caps w:val="0"/>
          <w:color w:val="auto"/>
          <w:spacing w:val="0"/>
          <w:sz w:val="24"/>
          <w:szCs w:val="24"/>
          <w:highlight w:val="none"/>
          <w:lang w:val="en-US" w:eastAsia="zh-CN"/>
        </w:rPr>
        <w:t>新疆策源项目管理咨询有限公司</w:t>
      </w:r>
      <w:r>
        <w:rPr>
          <w:rFonts w:hint="eastAsia" w:ascii="宋体" w:hAnsi="宋体" w:eastAsia="宋体" w:cs="宋体"/>
          <w:color w:val="auto"/>
          <w:kern w:val="2"/>
          <w:sz w:val="24"/>
          <w:szCs w:val="24"/>
          <w:highlight w:val="none"/>
          <w:lang w:val="en-US" w:eastAsia="zh-CN" w:bidi="ar-SA"/>
        </w:rPr>
        <w:t>投标人提供的要求保密的资料，不得摘记翻印和外传。</w:t>
      </w:r>
    </w:p>
    <w:p w14:paraId="1AA3D2E0">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（3）不得收受投标供应商或有关人员的任何礼物，不得串联鼓动其他人袒护某投标人。若与投标人存在利害关系，则应主动声明并回避。</w:t>
      </w:r>
    </w:p>
    <w:p w14:paraId="64ABCE6A">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（4）全体评委应按照招标文件规定进行评标，一切认定事项应查有实据且不得弄虚作假。</w:t>
      </w:r>
    </w:p>
    <w:p w14:paraId="6C04FCD6">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（5）评标委员会各成员应当独立对每个投标人的投标文件进行评价，并对评价意见承担个人责任。评审过程中，不得发表倾向性言论。</w:t>
      </w:r>
    </w:p>
    <w:p w14:paraId="4AAB419F">
      <w:pPr>
        <w:pStyle w:val="14"/>
        <w:snapToGrid w:val="0"/>
        <w:spacing w:line="360" w:lineRule="auto"/>
        <w:ind w:left="0" w:leftChars="0" w:firstLine="480" w:firstLineChars="20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※对违反评标纪律的评委，将取消其评委资格，对评标工作造成严重损失者将予以通报批评乃至追究法律责任。</w:t>
      </w:r>
    </w:p>
    <w:p w14:paraId="16BA2E00">
      <w:pPr>
        <w:pStyle w:val="14"/>
        <w:snapToGrid w:val="0"/>
        <w:spacing w:line="360" w:lineRule="auto"/>
        <w:outlineLvl w:val="1"/>
        <w:rPr>
          <w:rFonts w:hint="eastAsia" w:ascii="宋体" w:hAnsi="宋体" w:eastAsia="宋体" w:cs="宋体"/>
          <w:b/>
          <w:bCs/>
          <w:color w:val="auto"/>
          <w:kern w:val="2"/>
          <w:sz w:val="24"/>
          <w:szCs w:val="24"/>
          <w:highlight w:val="none"/>
          <w:lang w:val="en-US" w:eastAsia="zh-CN" w:bidi="ar-SA"/>
        </w:rPr>
      </w:pPr>
      <w:bookmarkStart w:id="115" w:name="_Toc4747"/>
      <w:bookmarkStart w:id="116" w:name="_Toc13223"/>
      <w:r>
        <w:rPr>
          <w:rFonts w:hint="eastAsia" w:ascii="宋体" w:hAnsi="宋体" w:eastAsia="宋体" w:cs="宋体"/>
          <w:b/>
          <w:bCs/>
          <w:color w:val="auto"/>
          <w:kern w:val="2"/>
          <w:sz w:val="24"/>
          <w:szCs w:val="24"/>
          <w:highlight w:val="none"/>
          <w:lang w:val="en-US" w:eastAsia="zh-CN" w:bidi="ar-SA"/>
        </w:rPr>
        <w:t>（五）评标程序</w:t>
      </w:r>
      <w:bookmarkEnd w:id="115"/>
      <w:bookmarkEnd w:id="116"/>
    </w:p>
    <w:p w14:paraId="5C11BDAD">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是指投标文件满足招标文件全部实质性要求，且按照评审因素的量化指标评审得分最高的投标人为中标候选人的评标方法。（最低报价不是中标的唯一依据。）</w:t>
      </w:r>
    </w:p>
    <w:p w14:paraId="2A543DB6">
      <w:pPr>
        <w:pStyle w:val="14"/>
        <w:snapToGrid w:val="0"/>
        <w:spacing w:line="360" w:lineRule="auto"/>
        <w:ind w:firstLine="480" w:firstLineChars="200"/>
        <w:outlineLvl w:val="2"/>
        <w:rPr>
          <w:rFonts w:hint="eastAsia" w:ascii="宋体" w:hAnsi="宋体" w:eastAsia="宋体" w:cs="宋体"/>
          <w:color w:val="auto"/>
          <w:kern w:val="2"/>
          <w:sz w:val="24"/>
          <w:szCs w:val="24"/>
          <w:highlight w:val="none"/>
          <w:lang w:val="en-US" w:eastAsia="zh-CN" w:bidi="ar-SA"/>
        </w:rPr>
      </w:pPr>
      <w:bookmarkStart w:id="117" w:name="_Toc17462"/>
      <w:r>
        <w:rPr>
          <w:rFonts w:hint="eastAsia" w:ascii="宋体" w:hAnsi="宋体" w:eastAsia="宋体" w:cs="宋体"/>
          <w:color w:val="auto"/>
          <w:kern w:val="2"/>
          <w:sz w:val="24"/>
          <w:szCs w:val="24"/>
          <w:highlight w:val="none"/>
          <w:lang w:val="en-US" w:eastAsia="zh-CN" w:bidi="ar-SA"/>
        </w:rPr>
        <w:t>2.评标的依据为招标文件和投标文件。</w:t>
      </w:r>
      <w:bookmarkEnd w:id="117"/>
    </w:p>
    <w:p w14:paraId="0BBB6F39">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3.评标过程的保密性。开标后，直到授予投标人合同为止，凡是属于审查、澄清、评价和比较的有关资料以及授标建议等均不得向投标人或其他无关的人员透露。</w:t>
      </w:r>
    </w:p>
    <w:p w14:paraId="5C82E652">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4.投标人在评标过程中所进行的试图影响评标结果、有悖于招标规则的活动，可能导致取消其中标资格。</w:t>
      </w:r>
    </w:p>
    <w:p w14:paraId="536814E3">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5.与招标文件有重大偏离的投标文件将被拒绝。且此重大偏离在开标后不许修改。</w:t>
      </w:r>
    </w:p>
    <w:p w14:paraId="0797FAF5">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6.根据国家计委等七部委颁发的《评标委员会和评标方法暂行规定》以下为重大偏离：</w:t>
      </w:r>
    </w:p>
    <w:p w14:paraId="6E5CC989">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（一）投标保证金的缴纳主体与投标人不一致的，没有按照招标文件要求提供投标担保，或者所提供的投标担保有瑕疵的；</w:t>
      </w:r>
    </w:p>
    <w:p w14:paraId="00244864">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（二）投标文件没有投标人法定代表人或其授权代表签字（章）和加盖投标单位公章的；</w:t>
      </w:r>
    </w:p>
    <w:p w14:paraId="55E024E4">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（三）投标文件记载的招标项目完成期限超过招标文件规定的完成期限；</w:t>
      </w:r>
    </w:p>
    <w:p w14:paraId="60C309A6">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（四）明显不符合技术规格和技术标准（技术规格、合同条款有偏离情况的）；</w:t>
      </w:r>
    </w:p>
    <w:p w14:paraId="7C044A11">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（五）商务条款有偏离情况的；</w:t>
      </w:r>
    </w:p>
    <w:p w14:paraId="732A848C">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（六）投标附有招标人不能接受的条件；</w:t>
      </w:r>
    </w:p>
    <w:p w14:paraId="0DBD84FF">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（七）不符合招标文件中规定的其他实质性要求。</w:t>
      </w:r>
    </w:p>
    <w:p w14:paraId="2770E453">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（八）投标报价不符合招标文件规定的要求。</w:t>
      </w:r>
    </w:p>
    <w:p w14:paraId="6519AC37">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投标文件有上述情形之一的，视为非实质性响应招标，并按规定作废标处理。招标文件对重大偏差另有规定的，从其规定。</w:t>
      </w:r>
    </w:p>
    <w:p w14:paraId="4CFB9559">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评标委员会应当审查每一投标文件是否对招标文件提出的所有实质性要求和条件作出响应。未能在实质上响应招标的投标，将作废标处理。</w:t>
      </w:r>
    </w:p>
    <w:p w14:paraId="6C7C3BFF">
      <w:pPr>
        <w:pStyle w:val="14"/>
        <w:snapToGrid w:val="0"/>
        <w:spacing w:line="360" w:lineRule="auto"/>
        <w:ind w:firstLine="480" w:firstLineChars="200"/>
        <w:outlineLvl w:val="2"/>
        <w:rPr>
          <w:rFonts w:hint="eastAsia" w:ascii="宋体" w:hAnsi="宋体" w:eastAsia="宋体" w:cs="宋体"/>
          <w:color w:val="auto"/>
          <w:kern w:val="2"/>
          <w:sz w:val="24"/>
          <w:szCs w:val="24"/>
          <w:highlight w:val="none"/>
          <w:lang w:val="en-US" w:eastAsia="zh-CN" w:bidi="ar-SA"/>
        </w:rPr>
      </w:pPr>
      <w:bookmarkStart w:id="118" w:name="_Toc3963"/>
      <w:r>
        <w:rPr>
          <w:rFonts w:hint="eastAsia" w:ascii="宋体" w:hAnsi="宋体" w:eastAsia="宋体" w:cs="宋体"/>
          <w:color w:val="auto"/>
          <w:kern w:val="2"/>
          <w:sz w:val="24"/>
          <w:szCs w:val="24"/>
          <w:highlight w:val="none"/>
          <w:lang w:val="en-US" w:eastAsia="zh-CN" w:bidi="ar-SA"/>
        </w:rPr>
        <w:t>7.对投标文件的初步审查和响应性确定</w:t>
      </w:r>
      <w:bookmarkEnd w:id="118"/>
    </w:p>
    <w:p w14:paraId="7A18ED03">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14:paraId="72AA2734">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9.在对投标文件进行详细评估之前，评标委员会将审查每一份投标文件是否对招标文件的要求</w:t>
      </w:r>
      <w:r>
        <w:rPr>
          <w:rFonts w:hint="eastAsia" w:hAnsi="宋体" w:cs="宋体"/>
          <w:color w:val="auto"/>
          <w:kern w:val="2"/>
          <w:sz w:val="24"/>
          <w:szCs w:val="24"/>
          <w:highlight w:val="none"/>
          <w:lang w:val="en-US" w:eastAsia="zh-CN" w:bidi="ar-SA"/>
        </w:rPr>
        <w:t>做出</w:t>
      </w:r>
      <w:r>
        <w:rPr>
          <w:rFonts w:hint="eastAsia" w:ascii="宋体" w:hAnsi="宋体" w:eastAsia="宋体" w:cs="宋体"/>
          <w:color w:val="auto"/>
          <w:kern w:val="2"/>
          <w:sz w:val="24"/>
          <w:szCs w:val="24"/>
          <w:highlight w:val="none"/>
          <w:lang w:val="en-US" w:eastAsia="zh-CN" w:bidi="ar-SA"/>
        </w:rPr>
        <w:t>了实质性的响应。实质性响应的投标文件应该是与招标文件的全部条款、条件和技术规格相符，而没有重大偏离。</w:t>
      </w:r>
    </w:p>
    <w:p w14:paraId="3EE108B6">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10.招标人判断投标文件的响应性是基于投标文件本身而不靠外部证据。</w:t>
      </w:r>
    </w:p>
    <w:p w14:paraId="187215D8">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11.招标人将拒绝被定为非响应性的投标，投标人不能通过修正或撤销不符之处而使其投标成为响应性投标。</w:t>
      </w:r>
    </w:p>
    <w:p w14:paraId="55542BA9">
      <w:pPr>
        <w:pStyle w:val="14"/>
        <w:snapToGrid w:val="0"/>
        <w:spacing w:line="360" w:lineRule="auto"/>
        <w:outlineLvl w:val="1"/>
        <w:rPr>
          <w:rFonts w:hint="eastAsia" w:ascii="宋体" w:hAnsi="宋体" w:eastAsia="宋体" w:cs="宋体"/>
          <w:b/>
          <w:bCs/>
          <w:color w:val="auto"/>
          <w:kern w:val="2"/>
          <w:sz w:val="24"/>
          <w:szCs w:val="24"/>
          <w:highlight w:val="none"/>
          <w:lang w:val="en-US" w:eastAsia="zh-CN" w:bidi="ar-SA"/>
        </w:rPr>
      </w:pPr>
      <w:bookmarkStart w:id="119" w:name="_Toc13450"/>
      <w:bookmarkStart w:id="120" w:name="_Toc32133"/>
      <w:r>
        <w:rPr>
          <w:rFonts w:hint="eastAsia" w:ascii="宋体" w:hAnsi="宋体" w:eastAsia="宋体" w:cs="宋体"/>
          <w:b/>
          <w:bCs/>
          <w:color w:val="auto"/>
          <w:kern w:val="2"/>
          <w:sz w:val="24"/>
          <w:szCs w:val="24"/>
          <w:highlight w:val="none"/>
          <w:lang w:val="en-US" w:eastAsia="zh-CN" w:bidi="ar-SA"/>
        </w:rPr>
        <w:t>（六）澄清问题的形式</w:t>
      </w:r>
      <w:bookmarkEnd w:id="119"/>
      <w:bookmarkEnd w:id="120"/>
    </w:p>
    <w:p w14:paraId="41E5BB3F">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1CDB78F0">
      <w:pPr>
        <w:pStyle w:val="14"/>
        <w:snapToGrid w:val="0"/>
        <w:spacing w:line="360" w:lineRule="auto"/>
        <w:outlineLvl w:val="1"/>
        <w:rPr>
          <w:rFonts w:hint="eastAsia" w:ascii="宋体" w:hAnsi="宋体" w:eastAsia="宋体" w:cs="宋体"/>
          <w:b/>
          <w:bCs/>
          <w:color w:val="auto"/>
          <w:kern w:val="2"/>
          <w:sz w:val="24"/>
          <w:szCs w:val="24"/>
          <w:highlight w:val="none"/>
          <w:lang w:val="en-US" w:eastAsia="zh-CN" w:bidi="ar-SA"/>
        </w:rPr>
      </w:pPr>
      <w:bookmarkStart w:id="121" w:name="_Toc30297"/>
      <w:bookmarkStart w:id="122" w:name="_Toc31156"/>
      <w:r>
        <w:rPr>
          <w:rFonts w:hint="eastAsia" w:ascii="宋体" w:hAnsi="宋体" w:eastAsia="宋体" w:cs="宋体"/>
          <w:b/>
          <w:bCs/>
          <w:color w:val="auto"/>
          <w:kern w:val="2"/>
          <w:sz w:val="24"/>
          <w:szCs w:val="24"/>
          <w:highlight w:val="none"/>
          <w:lang w:val="en-US" w:eastAsia="zh-CN" w:bidi="ar-SA"/>
        </w:rPr>
        <w:t>（七）错误修正</w:t>
      </w:r>
      <w:bookmarkEnd w:id="121"/>
      <w:bookmarkEnd w:id="122"/>
    </w:p>
    <w:p w14:paraId="2255EC55">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投标文件如果出现计算或表达上的错误，修正错误的原则如下：</w:t>
      </w:r>
    </w:p>
    <w:p w14:paraId="0CDB370B">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1.投标报价一览表总价与投标报价明细表汇总数不一致的，以投标报价一览表为准；</w:t>
      </w:r>
    </w:p>
    <w:p w14:paraId="42F2EBA6">
      <w:pPr>
        <w:pStyle w:val="14"/>
        <w:snapToGrid w:val="0"/>
        <w:spacing w:line="360" w:lineRule="auto"/>
        <w:ind w:firstLine="480" w:firstLineChars="200"/>
        <w:outlineLvl w:val="2"/>
        <w:rPr>
          <w:rFonts w:hint="eastAsia" w:ascii="宋体" w:hAnsi="宋体" w:eastAsia="宋体" w:cs="宋体"/>
          <w:color w:val="auto"/>
          <w:kern w:val="2"/>
          <w:sz w:val="24"/>
          <w:szCs w:val="24"/>
          <w:highlight w:val="none"/>
          <w:lang w:val="en-US" w:eastAsia="zh-CN" w:bidi="ar-SA"/>
        </w:rPr>
      </w:pPr>
      <w:bookmarkStart w:id="123" w:name="_Toc29280"/>
      <w:r>
        <w:rPr>
          <w:rFonts w:hint="eastAsia" w:ascii="宋体" w:hAnsi="宋体" w:eastAsia="宋体" w:cs="宋体"/>
          <w:color w:val="auto"/>
          <w:kern w:val="2"/>
          <w:sz w:val="24"/>
          <w:szCs w:val="24"/>
          <w:highlight w:val="none"/>
          <w:lang w:val="en-US" w:eastAsia="zh-CN" w:bidi="ar-SA"/>
        </w:rPr>
        <w:t>2.投标文件的大写金额和小写金额不一致的，以大写金额为准；</w:t>
      </w:r>
      <w:bookmarkEnd w:id="123"/>
    </w:p>
    <w:p w14:paraId="308DAE89">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3.总价金额与按单价汇总金额不一致的，以单价金额计算结果为准；</w:t>
      </w:r>
    </w:p>
    <w:p w14:paraId="3D28EE4E">
      <w:pPr>
        <w:pStyle w:val="14"/>
        <w:snapToGrid w:val="0"/>
        <w:spacing w:line="360" w:lineRule="auto"/>
        <w:ind w:firstLine="480" w:firstLineChars="200"/>
        <w:outlineLvl w:val="2"/>
        <w:rPr>
          <w:rFonts w:hint="eastAsia" w:ascii="宋体" w:hAnsi="宋体" w:eastAsia="宋体" w:cs="宋体"/>
          <w:color w:val="auto"/>
          <w:kern w:val="2"/>
          <w:sz w:val="24"/>
          <w:szCs w:val="24"/>
          <w:highlight w:val="none"/>
          <w:lang w:val="en-US" w:eastAsia="zh-CN" w:bidi="ar-SA"/>
        </w:rPr>
      </w:pPr>
      <w:bookmarkStart w:id="124" w:name="_Toc16465"/>
      <w:r>
        <w:rPr>
          <w:rFonts w:hint="eastAsia" w:ascii="宋体" w:hAnsi="宋体" w:eastAsia="宋体" w:cs="宋体"/>
          <w:color w:val="auto"/>
          <w:kern w:val="2"/>
          <w:sz w:val="24"/>
          <w:szCs w:val="24"/>
          <w:highlight w:val="none"/>
          <w:lang w:val="en-US" w:eastAsia="zh-CN" w:bidi="ar-SA"/>
        </w:rPr>
        <w:t>4.对不同文字文本投标文件的解释发生异议的，以中文文本为准。</w:t>
      </w:r>
      <w:bookmarkEnd w:id="124"/>
    </w:p>
    <w:p w14:paraId="6B7D5855">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14:paraId="20B4AAC8">
      <w:pPr>
        <w:pStyle w:val="14"/>
        <w:snapToGrid w:val="0"/>
        <w:spacing w:line="360" w:lineRule="auto"/>
        <w:ind w:left="0" w:leftChars="0" w:firstLine="0" w:firstLineChars="0"/>
        <w:outlineLvl w:val="1"/>
        <w:rPr>
          <w:rFonts w:hint="eastAsia" w:ascii="宋体" w:hAnsi="宋体" w:eastAsia="宋体" w:cs="宋体"/>
          <w:b/>
          <w:bCs/>
          <w:color w:val="auto"/>
          <w:kern w:val="2"/>
          <w:sz w:val="24"/>
          <w:szCs w:val="24"/>
          <w:highlight w:val="none"/>
          <w:lang w:val="en-US" w:eastAsia="zh-CN" w:bidi="ar-SA"/>
        </w:rPr>
      </w:pPr>
      <w:bookmarkStart w:id="125" w:name="_Toc19846"/>
      <w:bookmarkStart w:id="126" w:name="_Toc15699"/>
      <w:r>
        <w:rPr>
          <w:rFonts w:hint="eastAsia" w:ascii="宋体" w:hAnsi="宋体" w:eastAsia="宋体" w:cs="宋体"/>
          <w:b/>
          <w:bCs/>
          <w:color w:val="auto"/>
          <w:kern w:val="2"/>
          <w:sz w:val="24"/>
          <w:szCs w:val="24"/>
          <w:highlight w:val="none"/>
          <w:lang w:val="en-US" w:eastAsia="zh-CN" w:bidi="ar-SA"/>
        </w:rPr>
        <w:t>（八）</w:t>
      </w:r>
      <w:bookmarkEnd w:id="125"/>
      <w:bookmarkEnd w:id="126"/>
      <w:r>
        <w:rPr>
          <w:rFonts w:hint="eastAsia" w:ascii="宋体" w:hAnsi="宋体" w:eastAsia="宋体" w:cs="宋体"/>
          <w:b/>
          <w:bCs/>
          <w:color w:val="auto"/>
          <w:kern w:val="2"/>
          <w:sz w:val="24"/>
          <w:szCs w:val="24"/>
          <w:highlight w:val="none"/>
          <w:lang w:val="en-US" w:eastAsia="zh-CN" w:bidi="ar-SA"/>
        </w:rPr>
        <w:t>有下列情形之一的，视为投标人串通投标，其投标无效</w:t>
      </w:r>
    </w:p>
    <w:p w14:paraId="32AC9026">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bookmarkStart w:id="127" w:name="_Toc29743"/>
      <w:bookmarkStart w:id="128" w:name="_Toc9664"/>
      <w:r>
        <w:rPr>
          <w:rFonts w:hint="eastAsia" w:ascii="宋体" w:hAnsi="宋体" w:eastAsia="宋体" w:cs="宋体"/>
          <w:color w:val="auto"/>
          <w:kern w:val="2"/>
          <w:sz w:val="24"/>
          <w:szCs w:val="24"/>
          <w:highlight w:val="none"/>
          <w:lang w:val="en-US" w:eastAsia="zh-CN" w:bidi="ar-SA"/>
        </w:rPr>
        <w:t>1不同投标人的投标文件由同一单位或者个人编制；</w:t>
      </w:r>
    </w:p>
    <w:p w14:paraId="1912ED94">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2不同投标人委托同一单位或者个人办理投标事宜；</w:t>
      </w:r>
    </w:p>
    <w:p w14:paraId="004CDE02">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3不同投标人的投标文件载明的项目管理成员或者联系人员为同一人；</w:t>
      </w:r>
    </w:p>
    <w:p w14:paraId="1B1F20FE">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4不同投标人的投标文件异常一致或者投标报价呈规律性差异；</w:t>
      </w:r>
    </w:p>
    <w:p w14:paraId="28B80B1A">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5不同投标人的投标文件相互混装；</w:t>
      </w:r>
    </w:p>
    <w:p w14:paraId="498AADD8">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6不同投标人的投标保证金或购买电子保函支付款为从同一单位或个人的账户转出；</w:t>
      </w:r>
    </w:p>
    <w:p w14:paraId="0B89DD0A">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7投标人上传的电子投标文件使用该项目其他投标人的数字证书加密的或加盖该项目的其他投标人的电子印章的。</w:t>
      </w:r>
    </w:p>
    <w:p w14:paraId="022202F6">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说明：在评标过程中发现投标人有上述情形的，评标委员会应当认定其投标无效。同时，项目评审时被认定为串通投标的投标人不得参加该合同项下的采购活动。</w:t>
      </w:r>
    </w:p>
    <w:p w14:paraId="3A321C9D">
      <w:pPr>
        <w:pStyle w:val="14"/>
        <w:snapToGrid w:val="0"/>
        <w:spacing w:line="360" w:lineRule="auto"/>
        <w:ind w:left="0" w:leftChars="0" w:firstLine="0" w:firstLineChars="0"/>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（九）评标过程的监控</w:t>
      </w:r>
      <w:bookmarkEnd w:id="127"/>
      <w:bookmarkEnd w:id="128"/>
    </w:p>
    <w:p w14:paraId="4FE37789">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本项目评标过程实行录像监控、照片记录，且由监标人员进行现场监督。</w:t>
      </w:r>
    </w:p>
    <w:p w14:paraId="12F26E28">
      <w:pPr>
        <w:pStyle w:val="4"/>
        <w:numPr>
          <w:ilvl w:val="0"/>
          <w:numId w:val="0"/>
        </w:numPr>
        <w:ind w:leftChars="-50" w:right="62" w:rightChars="0"/>
        <w:jc w:val="center"/>
        <w:rPr>
          <w:rFonts w:hint="eastAsia" w:ascii="宋体" w:hAnsi="宋体" w:eastAsia="宋体" w:cs="宋体"/>
          <w:b/>
          <w:bCs/>
          <w:color w:val="auto"/>
          <w:kern w:val="2"/>
          <w:sz w:val="28"/>
          <w:szCs w:val="28"/>
          <w:highlight w:val="none"/>
          <w:lang w:val="en-US" w:eastAsia="zh-CN" w:bidi="ar-SA"/>
        </w:rPr>
      </w:pPr>
      <w:bookmarkStart w:id="129" w:name="_Toc10823"/>
      <w:bookmarkStart w:id="130" w:name="_Toc26644"/>
      <w:bookmarkStart w:id="131" w:name="_Toc28372"/>
      <w:bookmarkStart w:id="132" w:name="_Toc21069"/>
      <w:bookmarkStart w:id="133" w:name="_Toc521014789"/>
      <w:bookmarkStart w:id="134" w:name="_Toc2497"/>
      <w:bookmarkStart w:id="135" w:name="_Toc503212221"/>
      <w:r>
        <w:rPr>
          <w:rFonts w:hint="eastAsia" w:ascii="宋体" w:hAnsi="宋体" w:eastAsia="宋体" w:cs="宋体"/>
          <w:b/>
          <w:bCs/>
          <w:color w:val="auto"/>
          <w:kern w:val="2"/>
          <w:sz w:val="28"/>
          <w:szCs w:val="28"/>
          <w:highlight w:val="none"/>
          <w:lang w:val="en-US" w:eastAsia="zh-CN" w:bidi="ar-SA"/>
        </w:rPr>
        <w:t>（六）定标</w:t>
      </w:r>
      <w:bookmarkEnd w:id="129"/>
      <w:bookmarkEnd w:id="130"/>
      <w:bookmarkEnd w:id="131"/>
      <w:bookmarkEnd w:id="132"/>
      <w:bookmarkEnd w:id="133"/>
      <w:bookmarkEnd w:id="134"/>
      <w:bookmarkEnd w:id="135"/>
    </w:p>
    <w:p w14:paraId="14998A0D">
      <w:pPr>
        <w:snapToGrid w:val="0"/>
        <w:spacing w:line="360" w:lineRule="auto"/>
        <w:ind w:left="10" w:leftChars="0" w:hanging="1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确定中标人：</w:t>
      </w:r>
      <w:r>
        <w:rPr>
          <w:rFonts w:hint="eastAsia" w:ascii="宋体" w:hAnsi="宋体" w:eastAsia="宋体" w:cs="宋体"/>
          <w:color w:val="auto"/>
          <w:kern w:val="2"/>
          <w:sz w:val="24"/>
          <w:szCs w:val="24"/>
          <w:highlight w:val="none"/>
          <w:lang w:val="en-US" w:eastAsia="zh-CN" w:bidi="ar-SA"/>
        </w:rPr>
        <w:t>本项目由招标人根据评标结果排名第一位的候选人为中标人。</w:t>
      </w:r>
    </w:p>
    <w:p w14:paraId="67A98BB3">
      <w:pPr>
        <w:spacing w:line="360" w:lineRule="auto"/>
        <w:ind w:left="10" w:leftChars="0" w:hanging="10" w:firstLineChars="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中标公告：</w:t>
      </w:r>
      <w:r>
        <w:rPr>
          <w:rFonts w:hint="eastAsia" w:ascii="宋体" w:hAnsi="宋体" w:eastAsia="宋体" w:cs="宋体"/>
          <w:color w:val="auto"/>
          <w:sz w:val="24"/>
          <w:szCs w:val="24"/>
          <w:highlight w:val="none"/>
        </w:rPr>
        <w:t>中标供应商确定之日起2个工作日内，采购人或采购代理机构将在中国政府采购网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、新疆政府采购网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http://www.ccgp-xinjiang.gov.cn/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上以公告的形式发布中标结果，中标公告的公告期限为1个工作日。中标公告同时作为采购代理机构通知除中标供应商外的其他投标人没有中标的书面形式，采购代理机构不再</w:t>
      </w:r>
      <w:r>
        <w:rPr>
          <w:rFonts w:hint="eastAsia" w:ascii="宋体" w:hAnsi="宋体" w:eastAsia="宋体" w:cs="宋体"/>
          <w:color w:val="auto"/>
          <w:sz w:val="24"/>
          <w:szCs w:val="24"/>
          <w:highlight w:val="none"/>
          <w:lang w:eastAsia="zh-CN"/>
        </w:rPr>
        <w:t>以其他方式</w:t>
      </w:r>
      <w:r>
        <w:rPr>
          <w:rFonts w:hint="eastAsia" w:ascii="宋体" w:hAnsi="宋体" w:eastAsia="宋体" w:cs="宋体"/>
          <w:color w:val="auto"/>
          <w:sz w:val="24"/>
          <w:szCs w:val="24"/>
          <w:highlight w:val="none"/>
        </w:rPr>
        <w:t>另行通知。</w:t>
      </w:r>
    </w:p>
    <w:p w14:paraId="44422AAE">
      <w:pPr>
        <w:spacing w:line="360" w:lineRule="auto"/>
        <w:ind w:left="10" w:leftChars="0" w:hanging="10" w:firstLineChars="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中标通知书：</w:t>
      </w:r>
      <w:r>
        <w:rPr>
          <w:rFonts w:hint="eastAsia" w:ascii="宋体" w:hAnsi="宋体" w:eastAsia="宋体" w:cs="宋体"/>
          <w:color w:val="auto"/>
          <w:sz w:val="24"/>
          <w:szCs w:val="24"/>
          <w:highlight w:val="none"/>
        </w:rPr>
        <w:t>中标通知书在发布中标公告时，同步</w:t>
      </w:r>
      <w:r>
        <w:rPr>
          <w:rFonts w:hint="eastAsia" w:ascii="宋体" w:hAnsi="宋体" w:eastAsia="宋体" w:cs="宋体"/>
          <w:color w:val="auto"/>
          <w:sz w:val="24"/>
          <w:szCs w:val="24"/>
          <w:highlight w:val="none"/>
          <w:lang w:eastAsia="zh-CN"/>
        </w:rPr>
        <w:t>发出</w:t>
      </w:r>
      <w:r>
        <w:rPr>
          <w:rFonts w:hint="eastAsia" w:ascii="宋体" w:hAnsi="宋体" w:eastAsia="宋体" w:cs="宋体"/>
          <w:color w:val="auto"/>
          <w:sz w:val="24"/>
          <w:szCs w:val="24"/>
          <w:highlight w:val="none"/>
        </w:rPr>
        <w:t>中标通知书至中标供应商。中标通知书发出后，采购人不得违法改变中标结果，中标供应商不得放弃中标。中标供应商放弃中标的，应当依法承担相应的法律责任。</w:t>
      </w:r>
    </w:p>
    <w:p w14:paraId="2E83DBBE">
      <w:pPr>
        <w:spacing w:line="360" w:lineRule="auto"/>
        <w:ind w:left="10" w:leftChars="0" w:hanging="10" w:firstLineChars="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项目废标处理：</w:t>
      </w:r>
      <w:r>
        <w:rPr>
          <w:rFonts w:hint="eastAsia" w:ascii="宋体" w:hAnsi="宋体" w:eastAsia="宋体" w:cs="宋体"/>
          <w:color w:val="auto"/>
          <w:sz w:val="24"/>
          <w:szCs w:val="24"/>
          <w:highlight w:val="none"/>
        </w:rPr>
        <w:t>根据《中华人民共和国政府采购法》第三十六条及招标文件的约定，本项目或分包下列情况出现将作废标处理：</w:t>
      </w:r>
    </w:p>
    <w:p w14:paraId="23490227">
      <w:pPr>
        <w:spacing w:line="360" w:lineRule="auto"/>
        <w:ind w:left="10" w:leftChars="0" w:hanging="1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w:t>
      </w:r>
    </w:p>
    <w:p w14:paraId="4403DDF6">
      <w:pPr>
        <w:spacing w:line="360" w:lineRule="auto"/>
        <w:ind w:left="10" w:leftChars="0" w:hanging="1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2D809025">
      <w:pPr>
        <w:spacing w:line="360" w:lineRule="auto"/>
        <w:ind w:left="10" w:leftChars="0" w:hanging="1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（3）投标人的报价均超过了采购预算，采购人不能支付的。</w:t>
      </w:r>
    </w:p>
    <w:p w14:paraId="4CA9382B">
      <w:pPr>
        <w:spacing w:line="360" w:lineRule="auto"/>
        <w:ind w:left="10" w:leftChars="0" w:hanging="1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B6189C5">
      <w:pPr>
        <w:spacing w:line="360" w:lineRule="auto"/>
        <w:ind w:left="10" w:leftChars="0" w:hanging="1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对废标的采购项目，评标委员会应出具采购文件是否存在不合理条款的论证意见。</w:t>
      </w:r>
    </w:p>
    <w:p w14:paraId="733A5C7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终止公告：</w:t>
      </w:r>
      <w:r>
        <w:rPr>
          <w:rFonts w:hint="eastAsia" w:ascii="宋体" w:hAnsi="宋体" w:eastAsia="宋体" w:cs="宋体"/>
          <w:color w:val="auto"/>
          <w:sz w:val="24"/>
          <w:szCs w:val="24"/>
          <w:highlight w:val="none"/>
        </w:rPr>
        <w:t>项目废标后，采购人或采购代理机构将在中国政府采购网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、新疆政府采购网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http://www.ccgp-xinjiang.gov.cn/</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上发布终止公告，终止公告的公告期限为1个工作日。</w:t>
      </w:r>
    </w:p>
    <w:p w14:paraId="415F4C3D">
      <w:pPr>
        <w:snapToGrid w:val="0"/>
        <w:spacing w:line="360" w:lineRule="auto"/>
        <w:ind w:firstLine="480" w:firstLineChars="200"/>
        <w:rPr>
          <w:rFonts w:hint="eastAsia" w:ascii="宋体" w:hAnsi="宋体" w:eastAsia="宋体" w:cs="宋体"/>
          <w:color w:val="auto"/>
          <w:sz w:val="24"/>
          <w:highlight w:val="none"/>
          <w:lang w:eastAsia="zh-CN"/>
        </w:rPr>
      </w:pPr>
      <w:bookmarkStart w:id="136" w:name="_Toc503212222"/>
      <w:bookmarkStart w:id="137" w:name="_Toc15327"/>
      <w:bookmarkStart w:id="138" w:name="_Toc20063"/>
      <w:bookmarkStart w:id="139" w:name="_Toc11259"/>
      <w:bookmarkStart w:id="140" w:name="_Toc521014790"/>
    </w:p>
    <w:p w14:paraId="019382FE">
      <w:pPr>
        <w:snapToGrid w:val="0"/>
        <w:spacing w:line="360" w:lineRule="auto"/>
        <w:ind w:firstLine="562" w:firstLineChars="200"/>
        <w:jc w:val="center"/>
        <w:outlineLvl w:val="1"/>
        <w:rPr>
          <w:rFonts w:hint="eastAsia" w:ascii="宋体" w:hAnsi="宋体" w:eastAsia="宋体" w:cs="宋体"/>
          <w:color w:val="auto"/>
          <w:highlight w:val="none"/>
        </w:rPr>
      </w:pPr>
      <w:bookmarkStart w:id="141" w:name="_Toc20117"/>
      <w:bookmarkStart w:id="142" w:name="_Toc20345"/>
      <w:r>
        <w:rPr>
          <w:rFonts w:hint="eastAsia" w:ascii="宋体" w:hAnsi="宋体" w:eastAsia="宋体" w:cs="宋体"/>
          <w:b/>
          <w:bCs/>
          <w:color w:val="auto"/>
          <w:kern w:val="2"/>
          <w:sz w:val="28"/>
          <w:szCs w:val="28"/>
          <w:highlight w:val="none"/>
          <w:lang w:val="en-US" w:eastAsia="zh-CN" w:bidi="ar-SA"/>
        </w:rPr>
        <w:t>（七）合同授予</w:t>
      </w:r>
      <w:bookmarkEnd w:id="136"/>
      <w:bookmarkEnd w:id="137"/>
      <w:bookmarkEnd w:id="138"/>
      <w:bookmarkEnd w:id="139"/>
      <w:bookmarkEnd w:id="140"/>
      <w:bookmarkEnd w:id="141"/>
      <w:bookmarkEnd w:id="142"/>
    </w:p>
    <w:p w14:paraId="5B80F5F7">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1.合同签订</w:t>
      </w:r>
    </w:p>
    <w:p w14:paraId="6E884FD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14:paraId="4F6D40D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1.2采购人不得提出试用合格等任何不合理的要求作为签订合同的条件，且不得与中标供应商私下订立背离合同实质性内容的协议。</w:t>
      </w:r>
    </w:p>
    <w:p w14:paraId="66257F2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1.3采购人应当自政府采购合同签订之日起2个工作日内，将政府采购合同在省级以上人民政府财政部门指定的媒体上公告，但政府采购合同中涉及国家秘密、商业秘密的内容除外。</w:t>
      </w:r>
    </w:p>
    <w:p w14:paraId="0DEB2EF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14:paraId="5223099E">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2.合同的履行</w:t>
      </w:r>
    </w:p>
    <w:p w14:paraId="1A315EF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7F229CA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14:paraId="4977024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2.3有融资要求的中标供应商可根据自身情况，在新疆政府采购网上自行选择金融机构及其融资产品，凭政府采购中标通知书或政府采购合同向金融机构提出融资申请。</w:t>
      </w:r>
    </w:p>
    <w:p w14:paraId="1EE9F327">
      <w:pPr>
        <w:snapToGrid w:val="0"/>
        <w:spacing w:line="360" w:lineRule="auto"/>
        <w:ind w:firstLine="562" w:firstLineChars="200"/>
        <w:jc w:val="center"/>
        <w:outlineLvl w:val="1"/>
        <w:rPr>
          <w:rFonts w:hint="eastAsia" w:ascii="宋体" w:hAnsi="宋体" w:eastAsia="宋体" w:cs="宋体"/>
          <w:b/>
          <w:bCs/>
          <w:color w:val="auto"/>
          <w:kern w:val="2"/>
          <w:sz w:val="28"/>
          <w:szCs w:val="28"/>
          <w:highlight w:val="none"/>
          <w:lang w:val="en-US" w:eastAsia="zh-CN" w:bidi="ar-SA"/>
        </w:rPr>
      </w:pPr>
      <w:bookmarkStart w:id="143" w:name="_Toc115436070"/>
      <w:bookmarkStart w:id="144" w:name="_Toc17664"/>
      <w:bookmarkStart w:id="145" w:name="_Toc28496"/>
      <w:bookmarkStart w:id="146" w:name="_Toc18703"/>
      <w:r>
        <w:rPr>
          <w:rFonts w:hint="eastAsia" w:ascii="宋体" w:hAnsi="宋体" w:eastAsia="宋体" w:cs="宋体"/>
          <w:b/>
          <w:bCs/>
          <w:color w:val="auto"/>
          <w:kern w:val="2"/>
          <w:sz w:val="28"/>
          <w:szCs w:val="28"/>
          <w:highlight w:val="none"/>
          <w:lang w:val="en-US" w:eastAsia="zh-CN" w:bidi="ar-SA"/>
        </w:rPr>
        <w:t>（八）法律责任</w:t>
      </w:r>
      <w:bookmarkEnd w:id="143"/>
      <w:bookmarkEnd w:id="144"/>
    </w:p>
    <w:p w14:paraId="654EEA12">
      <w:pPr>
        <w:shd w:val="clear" w:color="auto" w:fill="auto"/>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法律责任</w:t>
      </w:r>
    </w:p>
    <w:p w14:paraId="3A53486A">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14:paraId="2FE42D77">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（一）提供虚假材料谋取中标的；</w:t>
      </w:r>
    </w:p>
    <w:p w14:paraId="0CBFD046">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（二）采取不正当手段诋毁、排挤其他投标人的；</w:t>
      </w:r>
    </w:p>
    <w:p w14:paraId="5A9D5707">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（三）与招标人、采购人、其他投标人恶意串通的；</w:t>
      </w:r>
    </w:p>
    <w:p w14:paraId="1E1E53C9">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（四）向招标人、采购人行贿或者提供其他不正当利益的；</w:t>
      </w:r>
    </w:p>
    <w:p w14:paraId="55C58F76">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（五）在招标过程中与招标人、采购人进行协商谈判、不按照招标文件、投标文件订立合同，或者与采购人另行订立背离合同实质性内容的协议的；</w:t>
      </w:r>
    </w:p>
    <w:p w14:paraId="7FE48425">
      <w:pPr>
        <w:pStyle w:val="14"/>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（六）拒绝有关部门监督检查或者提供虚假情况的。</w:t>
      </w:r>
    </w:p>
    <w:p w14:paraId="6E3FA000">
      <w:pPr>
        <w:pStyle w:val="14"/>
        <w:snapToGrid w:val="0"/>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投标人有前款第（一）至（五）项情形之一的，中标无效。</w:t>
      </w:r>
    </w:p>
    <w:p w14:paraId="7994F4CA">
      <w:pPr>
        <w:pStyle w:val="14"/>
        <w:snapToGrid w:val="0"/>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2.中标人有下列情形之一的，招标人不予退还其缴纳的投标保证金；情节严重的，由财政部门将其列入不良行为记录名单，在一至三年内禁止参加政府采购活动，并予以通报：</w:t>
      </w:r>
    </w:p>
    <w:p w14:paraId="4CC61A1A">
      <w:pPr>
        <w:pStyle w:val="14"/>
        <w:snapToGrid w:val="0"/>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（一）中标后无正当理由不与采购人签订合同的；</w:t>
      </w:r>
    </w:p>
    <w:p w14:paraId="0CC52CAD">
      <w:pPr>
        <w:pStyle w:val="14"/>
        <w:snapToGrid w:val="0"/>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（二）将中标项目转让给他人，或者在投标文件中未说明，且未经招标人同意，将中标项目分包给他人的；</w:t>
      </w:r>
    </w:p>
    <w:p w14:paraId="168E607A">
      <w:pPr>
        <w:pStyle w:val="14"/>
        <w:snapToGrid w:val="0"/>
        <w:spacing w:line="360" w:lineRule="auto"/>
        <w:ind w:left="210" w:leftChars="100" w:firstLine="360" w:firstLine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（三）拒绝履行合同义务的。</w:t>
      </w:r>
    </w:p>
    <w:p w14:paraId="5547E3F6">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47" w:name="_Toc115436071"/>
      <w:bookmarkStart w:id="148" w:name="_Toc5688"/>
      <w:r>
        <w:rPr>
          <w:rFonts w:hint="eastAsia" w:ascii="宋体" w:hAnsi="宋体" w:eastAsia="宋体" w:cs="宋体"/>
          <w:b/>
          <w:bCs/>
          <w:color w:val="auto"/>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bookmarkEnd w:id="145"/>
      <w:bookmarkEnd w:id="146"/>
      <w:bookmarkEnd w:id="147"/>
      <w:bookmarkEnd w:id="148"/>
    </w:p>
    <w:p w14:paraId="5546AAAF">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1、投标人应认真研读招标文件，充分考虑招标文件中的技术要求和合同条款后编制投标文件。</w:t>
      </w:r>
    </w:p>
    <w:p w14:paraId="7B023845">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2、如招标文件中未提供的各类表格样式，投标人可另行设计表格样式，但力求内容完整，表达清晰、准确。</w:t>
      </w:r>
    </w:p>
    <w:p w14:paraId="59208C0B">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3、本项目实行网上投标，采用电子投标文件。若供应商参与投标，自行承担投标一切费用。</w:t>
      </w:r>
    </w:p>
    <w:p w14:paraId="530444A4">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4、各供应商应在开标前应确保成为正式注册入库供应商，并完成CA数字证书申领。因未注册入库、未办理CA数字证书等原因造成无法投标或投标失败等后果由供应商自行承担。</w:t>
      </w:r>
    </w:p>
    <w:p w14:paraId="49EBEA3B">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37164CD1">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548089BF">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7、本招标文件是根据</w:t>
      </w:r>
      <w:r>
        <w:rPr>
          <w:rFonts w:hint="eastAsia" w:ascii="宋体" w:hAnsi="宋体" w:cs="宋体"/>
          <w:color w:val="auto"/>
          <w:kern w:val="2"/>
          <w:sz w:val="24"/>
          <w:szCs w:val="24"/>
          <w:highlight w:val="none"/>
          <w:lang w:val="en-US" w:eastAsia="zh-CN" w:bidi="ar-SA"/>
        </w:rPr>
        <w:t>《中华人民共和国政府采购法》</w:t>
      </w:r>
      <w:r>
        <w:rPr>
          <w:rFonts w:hint="eastAsia" w:ascii="宋体" w:hAnsi="宋体" w:eastAsia="宋体" w:cs="宋体"/>
          <w:color w:val="auto"/>
          <w:kern w:val="2"/>
          <w:sz w:val="24"/>
          <w:szCs w:val="24"/>
          <w:highlight w:val="none"/>
          <w:lang w:val="en-US" w:eastAsia="zh-CN" w:bidi="ar-SA"/>
        </w:rPr>
        <w:t>规定编制的，解释权属</w:t>
      </w:r>
      <w:r>
        <w:rPr>
          <w:rFonts w:hint="eastAsia" w:cs="宋体"/>
          <w:i w:val="0"/>
          <w:iCs w:val="0"/>
          <w:caps w:val="0"/>
          <w:color w:val="auto"/>
          <w:spacing w:val="0"/>
          <w:sz w:val="24"/>
          <w:szCs w:val="24"/>
          <w:highlight w:val="none"/>
          <w:lang w:val="en-US" w:eastAsia="zh-CN"/>
        </w:rPr>
        <w:t>新疆策源项目管理咨询有限公司</w:t>
      </w:r>
      <w:r>
        <w:rPr>
          <w:rFonts w:hint="eastAsia" w:ascii="宋体" w:hAnsi="宋体" w:eastAsia="宋体" w:cs="宋体"/>
          <w:color w:val="auto"/>
          <w:kern w:val="2"/>
          <w:sz w:val="24"/>
          <w:szCs w:val="24"/>
          <w:highlight w:val="none"/>
          <w:lang w:val="en-US" w:eastAsia="zh-CN" w:bidi="ar-SA"/>
        </w:rPr>
        <w:t>。</w:t>
      </w:r>
    </w:p>
    <w:p w14:paraId="10FA7FE4">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49" w:name="_Toc115436072"/>
      <w:bookmarkStart w:id="150" w:name="_Toc4516"/>
      <w:r>
        <w:rPr>
          <w:rFonts w:hint="eastAsia" w:ascii="宋体" w:hAnsi="宋体" w:eastAsia="宋体" w:cs="宋体"/>
          <w:b/>
          <w:bCs/>
          <w:color w:val="auto"/>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bookmarkEnd w:id="149"/>
      <w:bookmarkEnd w:id="150"/>
    </w:p>
    <w:p w14:paraId="081EDCB9">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1.重新招标</w:t>
      </w:r>
    </w:p>
    <w:p w14:paraId="6FA55838">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1.1在招标采购中，出现下列情形之一的，应当在废标后重新招标：</w:t>
      </w:r>
    </w:p>
    <w:p w14:paraId="0854C9F8">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（1）符合专业条件的供应商或者对招标文件</w:t>
      </w:r>
      <w:r>
        <w:rPr>
          <w:rFonts w:hint="eastAsia" w:ascii="宋体" w:hAnsi="宋体" w:cs="宋体"/>
          <w:color w:val="auto"/>
          <w:kern w:val="2"/>
          <w:sz w:val="24"/>
          <w:szCs w:val="24"/>
          <w:highlight w:val="none"/>
          <w:lang w:val="en-US" w:eastAsia="zh-CN" w:bidi="ar-SA"/>
        </w:rPr>
        <w:t>做</w:t>
      </w:r>
      <w:r>
        <w:rPr>
          <w:rFonts w:hint="eastAsia" w:ascii="宋体" w:hAnsi="宋体" w:eastAsia="宋体" w:cs="宋体"/>
          <w:color w:val="auto"/>
          <w:kern w:val="2"/>
          <w:sz w:val="24"/>
          <w:szCs w:val="24"/>
          <w:highlight w:val="none"/>
          <w:lang w:val="en-US" w:eastAsia="zh-CN" w:bidi="ar-SA"/>
        </w:rPr>
        <w:t>实质响应的供应商不足三家的；</w:t>
      </w:r>
    </w:p>
    <w:p w14:paraId="209F5116">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（2）出现影响采购公正的违法、违规行为的；</w:t>
      </w:r>
    </w:p>
    <w:p w14:paraId="6DAE5099">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（3）投标人的报价均超过了采购预算，采购人不能支付的；</w:t>
      </w:r>
    </w:p>
    <w:p w14:paraId="2742AC31">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（4）因重大变故，采购任务取消的。</w:t>
      </w:r>
    </w:p>
    <w:p w14:paraId="306B1D33">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1.2如果排名第一、二的中标候选人，直至排名第三的中标候选人因不可抗力或自身原因放弃中标结果，本次招标宣布失败。招标人应依法按规定重新组织招标。</w:t>
      </w:r>
    </w:p>
    <w:p w14:paraId="02DA3657">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2其他方式采购</w:t>
      </w:r>
    </w:p>
    <w:p w14:paraId="03C1471E">
      <w:pPr>
        <w:shd w:val="clear" w:color="auto" w:fill="auto"/>
        <w:spacing w:line="4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2.1需要采取其他方式采购的，应当在采购活动开始前获得设区的市、自治州以上人民政府采购监督管理部门或者政府有关部门批准。</w:t>
      </w:r>
    </w:p>
    <w:p w14:paraId="7F2E5568">
      <w:pPr>
        <w:shd w:val="clear" w:color="auto" w:fill="auto"/>
        <w:spacing w:line="460" w:lineRule="exact"/>
        <w:jc w:val="center"/>
        <w:outlineLvl w:val="1"/>
        <w:rPr>
          <w:rFonts w:hint="eastAsia" w:ascii="宋体" w:hAnsi="宋体" w:eastAsia="宋体" w:cs="宋体"/>
          <w:color w:val="auto"/>
          <w:sz w:val="24"/>
          <w:highlight w:val="none"/>
          <w:lang w:val="en-US" w:eastAsia="zh-CN"/>
        </w:rPr>
      </w:pPr>
      <w:bookmarkStart w:id="151" w:name="_Toc13351"/>
      <w:bookmarkStart w:id="152" w:name="_Toc115436073"/>
      <w:bookmarkStart w:id="153" w:name="_Toc26775"/>
      <w:bookmarkStart w:id="154" w:name="_Toc2805"/>
      <w:r>
        <w:rPr>
          <w:rFonts w:hint="eastAsia" w:ascii="宋体" w:hAnsi="宋体" w:eastAsia="宋体" w:cs="宋体"/>
          <w:b/>
          <w:bCs/>
          <w:color w:val="auto"/>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color w:val="auto"/>
          <w:sz w:val="28"/>
          <w:highlight w:val="none"/>
        </w:rPr>
        <w:t>质疑及答复</w:t>
      </w:r>
      <w:bookmarkEnd w:id="151"/>
      <w:bookmarkEnd w:id="152"/>
      <w:bookmarkEnd w:id="153"/>
      <w:bookmarkEnd w:id="154"/>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14:paraId="773AB665">
      <w:pPr>
        <w:shd w:val="clear" w:color="auto" w:fill="auto"/>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、质疑的提出</w:t>
      </w:r>
      <w:r>
        <w:rPr>
          <w:rFonts w:hint="eastAsia" w:ascii="宋体" w:hAnsi="宋体" w:eastAsia="宋体" w:cs="宋体"/>
          <w:color w:val="auto"/>
          <w:sz w:val="24"/>
          <w:highlight w:val="none"/>
        </w:rPr>
        <w:tab/>
      </w:r>
    </w:p>
    <w:p w14:paraId="1D8232A8">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1本采购文件中所称质疑及答复，是指参加本次采购活动的供应商对政府采购活动中的采购文件、采购过程和中标结果向采购方</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提出质疑，采购方答复质疑的行为。</w:t>
      </w:r>
    </w:p>
    <w:p w14:paraId="11969836">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.2供应商认为采购文件、采购过程和中标结果使自己的权益受到损害的，可以在知道或者应知其权益受到损害之日起7个工作日内，以书面形式</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向采购方提出质疑。</w:t>
      </w:r>
    </w:p>
    <w:p w14:paraId="3AA79DFF">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供应商应知其权益受到损害之日，是指：</w:t>
      </w:r>
    </w:p>
    <w:p w14:paraId="2FD63FE5">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14:paraId="7E101271">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14:paraId="26ECF31D">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（三）对中标结果提出质疑的，为中标结果公告期限届满之日。</w:t>
      </w:r>
    </w:p>
    <w:p w14:paraId="621B59B7">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对可以质疑的采购文件提出质疑的，质疑人为参与本项目的报价方或潜在报价方。可质疑的文件为采购公告以及采购文件（包括属于其组成部分的澄清、修改、补充文件和评审标准、合同文本等）。</w:t>
      </w:r>
    </w:p>
    <w:p w14:paraId="10C4B505">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对采购过程和中标结果提出质疑的，质疑人为直接参与本项目的报价方。采购过程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即从采购项目信息公告发布起到中标结果公告止，包括采购文件的发出、提交投标文件、投标文件开启、评审等各个采购程序环节。</w:t>
      </w:r>
    </w:p>
    <w:p w14:paraId="7C0CD233">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提出质疑应当符合下列条件：</w:t>
      </w:r>
    </w:p>
    <w:p w14:paraId="455231BA">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（一）质疑主体应当符合有关规定；</w:t>
      </w:r>
    </w:p>
    <w:p w14:paraId="17E45F1C">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（二）在质疑法定期限内提出；</w:t>
      </w:r>
    </w:p>
    <w:p w14:paraId="01E021EE">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（三）属于可以提出质疑的政府采购事项受理范围和本项目采购人的管辖权范围；</w:t>
      </w:r>
    </w:p>
    <w:p w14:paraId="5A95404C">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（四）政府采购</w:t>
      </w:r>
      <w:r>
        <w:rPr>
          <w:rFonts w:hint="eastAsia" w:ascii="宋体" w:hAnsi="宋体" w:cs="宋体"/>
          <w:color w:val="auto"/>
          <w:sz w:val="24"/>
          <w:highlight w:val="none"/>
          <w:lang w:eastAsia="zh-CN"/>
        </w:rPr>
        <w:t>法律法规</w:t>
      </w:r>
      <w:r>
        <w:rPr>
          <w:rFonts w:hint="eastAsia" w:ascii="宋体" w:hAnsi="宋体" w:eastAsia="宋体" w:cs="宋体"/>
          <w:color w:val="auto"/>
          <w:sz w:val="24"/>
          <w:highlight w:val="none"/>
        </w:rPr>
        <w:t>、规章规定的其他条件。</w:t>
      </w:r>
    </w:p>
    <w:p w14:paraId="372E5FEC">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提出质疑应当具有明确的请求和提供必要的证明材料。明确的请求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即质疑人在质疑函中提出的，要求采购方对其予以支持的主张。必要的证明材料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即能够证明质疑人的质疑请求成立的必要材料，包括相关证据、依据和其他有关材料。</w:t>
      </w:r>
    </w:p>
    <w:p w14:paraId="1998DE1E">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质疑人所提供的证明材料应当具有真实性、合法性以及与质疑事项的关联性和证明力，否则不能作为认定该质疑事项成立的依据。</w:t>
      </w:r>
    </w:p>
    <w:p w14:paraId="56403E07">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质疑人提出质疑时应当提交质疑函。质疑函包括下列内容：</w:t>
      </w:r>
    </w:p>
    <w:p w14:paraId="1D5DE268">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（一）提出质疑的质疑人的名称、地址、邮编、联系人及联系电话等；</w:t>
      </w:r>
    </w:p>
    <w:p w14:paraId="468B7429">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（二）质疑项目的名称、编号；</w:t>
      </w:r>
    </w:p>
    <w:p w14:paraId="3C73A21C">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w:t>
      </w:r>
    </w:p>
    <w:p w14:paraId="084EC64B">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（四）事实依据和证明材料；</w:t>
      </w:r>
    </w:p>
    <w:p w14:paraId="187CFB4D">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（五）法律依据；</w:t>
      </w:r>
    </w:p>
    <w:p w14:paraId="70A8724B">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（六）提出质疑的日期。</w:t>
      </w:r>
    </w:p>
    <w:p w14:paraId="4EAA471C">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1.10</w:t>
      </w:r>
      <w:r>
        <w:rPr>
          <w:rFonts w:hint="eastAsia" w:ascii="宋体" w:hAnsi="宋体" w:eastAsia="宋体" w:cs="宋体"/>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2428399B">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1.11</w:t>
      </w:r>
      <w:r>
        <w:rPr>
          <w:rFonts w:hint="eastAsia" w:ascii="宋体" w:hAnsi="宋体" w:eastAsia="宋体" w:cs="宋体"/>
          <w:color w:val="auto"/>
          <w:sz w:val="24"/>
          <w:highlight w:val="none"/>
        </w:rPr>
        <w:t>质疑人可以委托代理人进行质疑。代理人应当提交授权委托书。授权委托书应当载明委托代理的具体权限、期限和相关事项。</w:t>
      </w:r>
    </w:p>
    <w:p w14:paraId="357EC9B9">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、质疑的审查和受理</w:t>
      </w:r>
    </w:p>
    <w:p w14:paraId="390C11E1">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.1采购方在收到质疑函后应当及时审查是否符合质疑受理条件，对符合质疑受理条件的，及时予以受理。</w:t>
      </w:r>
    </w:p>
    <w:p w14:paraId="7A45EB99">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.2对不符合质疑受理条件的，分别按照下列不同情形予以处理：</w:t>
      </w:r>
    </w:p>
    <w:p w14:paraId="4218793C">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14:paraId="067BEB3B">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（二）质疑主体不符合有关规定的，告知质疑人不予受理；</w:t>
      </w:r>
    </w:p>
    <w:p w14:paraId="15E082B2">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（三）超过质疑法定期限提出质疑的，告知质疑人不予受理；</w:t>
      </w:r>
    </w:p>
    <w:p w14:paraId="38E96C61">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（四）对不属于可以提出质疑的政府采购事项提出质疑的，告知质疑人不予受理；</w:t>
      </w:r>
    </w:p>
    <w:p w14:paraId="67A7F0FB">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（五）质疑不属于本项目采购方管辖的，告知质疑人向有管辖权的采购人提出质疑；</w:t>
      </w:r>
    </w:p>
    <w:p w14:paraId="32DD40FB">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（六）质疑不符合其他条件的，告知质疑人不予受理。</w:t>
      </w:r>
    </w:p>
    <w:p w14:paraId="0DA5A166">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、质疑的处理和答复</w:t>
      </w:r>
    </w:p>
    <w:p w14:paraId="5972A404">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.1按照《政府采购质疑和投诉办法（财政部94号令）》处理及答复质疑。</w:t>
      </w:r>
    </w:p>
    <w:p w14:paraId="2C3F4C49">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.2采购方受理质疑后，将及时把质疑函发送给被质疑人，并要求其在一定</w:t>
      </w:r>
      <w:r>
        <w:rPr>
          <w:rFonts w:hint="eastAsia" w:ascii="宋体" w:hAnsi="宋体" w:cs="宋体"/>
          <w:color w:val="auto"/>
          <w:sz w:val="24"/>
          <w:highlight w:val="none"/>
          <w:lang w:eastAsia="zh-CN"/>
        </w:rPr>
        <w:t>期限内</w:t>
      </w:r>
      <w:r>
        <w:rPr>
          <w:rFonts w:hint="eastAsia" w:ascii="宋体" w:hAnsi="宋体" w:eastAsia="宋体" w:cs="宋体"/>
          <w:color w:val="auto"/>
          <w:sz w:val="24"/>
          <w:highlight w:val="none"/>
        </w:rPr>
        <w:t>提交书面答复，同时提供有关证据、依据和相关材料。</w:t>
      </w:r>
    </w:p>
    <w:p w14:paraId="160CBBA4">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.3对于质疑事项中涉及的问题较多、情况比较复杂的，为了全面查清事实、取得充分的证据，采购方认为有必要时，可以进行调查取证或者组织质证。</w:t>
      </w:r>
    </w:p>
    <w:p w14:paraId="66F3EC40">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.4对评审过程、中标结果提出质疑的，采购方可以组织原评审委员会协助答复质疑。</w:t>
      </w:r>
    </w:p>
    <w:p w14:paraId="53FDBA11">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.5质疑处理过程中，质疑人书面申请撤回质疑的，将终止质疑处理程序。</w:t>
      </w:r>
    </w:p>
    <w:p w14:paraId="18A27067">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.6质疑人拒绝配合采购方依法对质疑进行调查处理的，采购方将按质疑人自动撤回质疑处理；被质疑人拒绝配合采购方依法对质疑进行调查处理的，采购方将视同其认可质疑事项。</w:t>
      </w:r>
    </w:p>
    <w:p w14:paraId="72E4FA8F">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.7采购方将在正式受理质疑后7个工作日内作出答复，但处理质疑需要进行调查取证、组织专家评审、质疑人及被质疑人提交或补正材料等所需时间，不计算在质疑处理期限内。</w:t>
      </w:r>
    </w:p>
    <w:p w14:paraId="08360E23">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.8采购方经调查、论证、核实，认定质疑不能成立的，继续开展采购活动；认定质疑成立的，按照以下情况处理：</w:t>
      </w:r>
    </w:p>
    <w:p w14:paraId="44D52F36">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14:paraId="6DE588D0">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中标结果提出的质疑未对中标结果构成影响的，继续开展采购活动；对中标结果构成影响但合格报价方仍不少于3家时，依法从合格的中标候选人中另行确定中标报价方，否则将重新开展采购活动。</w:t>
      </w:r>
    </w:p>
    <w:p w14:paraId="7D698186">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.9采购方将书面答复质疑，质疑答复包括下列内容：</w:t>
      </w:r>
    </w:p>
    <w:p w14:paraId="37C860F7">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（一）质疑人名称；</w:t>
      </w:r>
    </w:p>
    <w:p w14:paraId="2E8DECB0">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（二）收到质疑函的日期、质疑项目名称及编号</w:t>
      </w:r>
      <w:r>
        <w:rPr>
          <w:rFonts w:hint="eastAsia" w:ascii="宋体" w:hAnsi="宋体" w:eastAsia="宋体" w:cs="宋体"/>
          <w:color w:val="auto"/>
          <w:sz w:val="24"/>
          <w:highlight w:val="none"/>
          <w:lang w:eastAsia="zh-CN"/>
        </w:rPr>
        <w:t>；</w:t>
      </w:r>
    </w:p>
    <w:p w14:paraId="0173B847">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（三）质疑事项、质疑答复的具体内容、事实依据和法律依据；</w:t>
      </w:r>
    </w:p>
    <w:p w14:paraId="022651B6">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（四）告知质疑人依法投诉的权利；</w:t>
      </w:r>
    </w:p>
    <w:p w14:paraId="2E2AF38A">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（五）质疑答复日期。</w:t>
      </w:r>
    </w:p>
    <w:p w14:paraId="1C8A15AC">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.10质疑人有下列行为之一的，属于虚假、恶意质疑，将由采购方建议财政部门将其列入不良行为记录名单，禁止其1至3年内参加政府采购活动：</w:t>
      </w:r>
    </w:p>
    <w:p w14:paraId="77A8BA7D">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（一）受理后发现投诉不符合法定受理条件；</w:t>
      </w:r>
    </w:p>
    <w:p w14:paraId="43CD93BA">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（二）投诉事项缺乏事实依据，投诉事项不成立；</w:t>
      </w:r>
    </w:p>
    <w:p w14:paraId="1617A62B">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（三）投诉人捏造事实或者提供虚假材料；</w:t>
      </w:r>
    </w:p>
    <w:p w14:paraId="374713DE">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（四）投诉人以非法手段取得证明材料。证据来源的合法性存在明显疑问，投诉人无法证明其取得方式合法的，视为以非法手段取得证明材料。</w:t>
      </w:r>
    </w:p>
    <w:p w14:paraId="4407340E">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（五）法律法规规定的其他违法情形。</w:t>
      </w:r>
    </w:p>
    <w:p w14:paraId="53A1B9ED">
      <w:pPr>
        <w:pStyle w:val="31"/>
        <w:shd w:val="clear" w:color="auto" w:fill="auto"/>
        <w:spacing w:line="450" w:lineRule="exact"/>
        <w:jc w:val="center"/>
        <w:rPr>
          <w:rFonts w:hint="eastAsia" w:ascii="宋体" w:hAnsi="宋体" w:eastAsia="宋体" w:cs="宋体"/>
          <w:color w:val="auto"/>
          <w:sz w:val="28"/>
          <w:szCs w:val="28"/>
          <w:highlight w:val="none"/>
        </w:rPr>
      </w:pPr>
      <w:bookmarkStart w:id="155" w:name="_Toc25094"/>
      <w:bookmarkStart w:id="156" w:name="_Toc31734"/>
      <w:bookmarkStart w:id="157" w:name="_Toc4251"/>
      <w:bookmarkStart w:id="158" w:name="_Toc19742"/>
      <w:bookmarkStart w:id="159" w:name="_Toc13588"/>
      <w:bookmarkStart w:id="160" w:name="_Toc25665"/>
      <w:bookmarkStart w:id="161" w:name="_Toc16936"/>
    </w:p>
    <w:p w14:paraId="5F156C52">
      <w:pPr>
        <w:shd w:val="clear" w:color="auto" w:fill="auto"/>
        <w:spacing w:before="101" w:line="224" w:lineRule="auto"/>
        <w:outlineLvl w:val="2"/>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br w:type="page"/>
      </w:r>
      <w:bookmarkEnd w:id="155"/>
      <w:bookmarkEnd w:id="156"/>
      <w:bookmarkEnd w:id="157"/>
      <w:bookmarkEnd w:id="158"/>
      <w:bookmarkEnd w:id="159"/>
      <w:bookmarkEnd w:id="160"/>
      <w:bookmarkEnd w:id="161"/>
      <w:bookmarkStart w:id="162" w:name="_Toc21178"/>
      <w:bookmarkStart w:id="163" w:name="_Toc1224"/>
      <w:bookmarkStart w:id="164" w:name="_Toc110010424"/>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件：质疑函范本</w:t>
      </w:r>
      <w:bookmarkEnd w:id="162"/>
      <w:bookmarkEnd w:id="163"/>
      <w:bookmarkEnd w:id="164"/>
    </w:p>
    <w:p w14:paraId="2C92722B">
      <w:pPr>
        <w:shd w:val="clear" w:color="auto" w:fill="auto"/>
        <w:spacing w:line="250" w:lineRule="auto"/>
        <w:rPr>
          <w:rFonts w:hint="eastAsia" w:ascii="宋体" w:hAnsi="宋体" w:eastAsia="宋体" w:cs="宋体"/>
          <w:color w:val="auto"/>
          <w:sz w:val="24"/>
          <w:highlight w:val="none"/>
        </w:rPr>
      </w:pPr>
    </w:p>
    <w:p w14:paraId="6231B7A3">
      <w:pPr>
        <w:shd w:val="clear" w:color="auto" w:fill="auto"/>
        <w:spacing w:before="101" w:line="225" w:lineRule="auto"/>
        <w:ind w:left="3656"/>
        <w:jc w:val="center"/>
        <w:rPr>
          <w:rFonts w:hint="eastAsia" w:ascii="宋体" w:hAnsi="宋体" w:eastAsia="宋体" w:cs="宋体"/>
          <w:color w:val="auto"/>
          <w:sz w:val="24"/>
          <w:highlight w:val="none"/>
        </w:rPr>
      </w:pPr>
      <w:r>
        <w:rPr>
          <w:rFonts w:hint="eastAsia" w:ascii="宋体" w:hAnsi="宋体" w:eastAsia="宋体" w:cs="宋体"/>
          <w:color w:val="auto"/>
          <w:spacing w:val="25"/>
          <w:sz w:val="24"/>
          <w:highlight w:val="none"/>
        </w:rPr>
        <w:t>质</w:t>
      </w:r>
      <w:r>
        <w:rPr>
          <w:rFonts w:hint="eastAsia" w:ascii="宋体" w:hAnsi="宋体" w:eastAsia="宋体" w:cs="宋体"/>
          <w:color w:val="auto"/>
          <w:spacing w:val="24"/>
          <w:sz w:val="24"/>
          <w:highlight w:val="none"/>
        </w:rPr>
        <w:t>疑函</w:t>
      </w:r>
    </w:p>
    <w:p w14:paraId="641DD5D9">
      <w:pPr>
        <w:shd w:val="clear" w:color="auto" w:fill="auto"/>
        <w:spacing w:before="237" w:line="468" w:lineRule="exact"/>
        <w:ind w:left="27"/>
        <w:outlineLvl w:val="2"/>
        <w:rPr>
          <w:rFonts w:hint="eastAsia" w:ascii="宋体" w:hAnsi="宋体" w:eastAsia="宋体" w:cs="宋体"/>
          <w:color w:val="auto"/>
          <w:sz w:val="24"/>
          <w:highlight w:val="none"/>
        </w:rPr>
      </w:pPr>
      <w:bookmarkStart w:id="165" w:name="_Toc25739"/>
      <w:bookmarkStart w:id="166" w:name="_Toc110010425"/>
      <w:bookmarkStart w:id="167" w:name="_Toc5896"/>
      <w:bookmarkStart w:id="168" w:name="_Toc1299"/>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bookmarkEnd w:id="165"/>
      <w:bookmarkEnd w:id="166"/>
      <w:bookmarkEnd w:id="167"/>
      <w:bookmarkEnd w:id="168"/>
    </w:p>
    <w:p w14:paraId="5C55ACCF">
      <w:pPr>
        <w:shd w:val="clear" w:color="auto" w:fill="auto"/>
        <w:spacing w:before="77"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p>
    <w:p w14:paraId="1B41E5AE">
      <w:pPr>
        <w:shd w:val="clear" w:color="auto" w:fill="auto"/>
        <w:spacing w:before="212"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14:paraId="2892146B">
      <w:pPr>
        <w:shd w:val="clear" w:color="auto" w:fill="auto"/>
        <w:spacing w:before="211"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4"/>
          <w:sz w:val="24"/>
          <w:highlight w:val="none"/>
        </w:rPr>
        <w:t>联系电话：</w:t>
      </w:r>
    </w:p>
    <w:p w14:paraId="7CCE2865">
      <w:pPr>
        <w:shd w:val="clear" w:color="auto" w:fill="auto"/>
        <w:spacing w:before="205" w:line="220"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p>
    <w:p w14:paraId="78670904">
      <w:pPr>
        <w:shd w:val="clear" w:color="auto" w:fill="auto"/>
        <w:spacing w:before="214"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p>
    <w:p w14:paraId="76696E5C">
      <w:pPr>
        <w:shd w:val="clear" w:color="auto" w:fill="auto"/>
        <w:spacing w:before="208"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14:paraId="016FB56D">
      <w:pPr>
        <w:shd w:val="clear" w:color="auto" w:fill="auto"/>
        <w:spacing w:before="209" w:line="371" w:lineRule="exact"/>
        <w:ind w:left="27"/>
        <w:outlineLvl w:val="2"/>
        <w:rPr>
          <w:rFonts w:hint="eastAsia" w:ascii="宋体" w:hAnsi="宋体" w:eastAsia="宋体" w:cs="宋体"/>
          <w:color w:val="auto"/>
          <w:sz w:val="24"/>
          <w:highlight w:val="none"/>
        </w:rPr>
      </w:pPr>
      <w:bookmarkStart w:id="169" w:name="_Toc110010426"/>
      <w:bookmarkStart w:id="170" w:name="_Toc15098"/>
      <w:bookmarkStart w:id="171" w:name="_Toc1061"/>
      <w:bookmarkStart w:id="172" w:name="_Toc3585"/>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bookmarkEnd w:id="169"/>
      <w:bookmarkEnd w:id="170"/>
      <w:bookmarkEnd w:id="171"/>
      <w:bookmarkEnd w:id="172"/>
    </w:p>
    <w:p w14:paraId="0FC03735">
      <w:pPr>
        <w:shd w:val="clear" w:color="auto" w:fill="auto"/>
        <w:spacing w:before="173" w:line="221"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p>
    <w:p w14:paraId="6743438B">
      <w:pPr>
        <w:shd w:val="clear" w:color="auto" w:fill="auto"/>
        <w:spacing w:before="210"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的编号：包号：</w:t>
      </w:r>
    </w:p>
    <w:p w14:paraId="78191C7B">
      <w:pPr>
        <w:shd w:val="clear" w:color="auto" w:fill="auto"/>
        <w:spacing w:before="21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p>
    <w:p w14:paraId="02F77517">
      <w:pPr>
        <w:shd w:val="clear" w:color="auto" w:fill="auto"/>
        <w:spacing w:before="21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p>
    <w:p w14:paraId="7FA28A39">
      <w:pPr>
        <w:shd w:val="clear" w:color="auto" w:fill="auto"/>
        <w:spacing w:before="213" w:line="237" w:lineRule="auto"/>
        <w:ind w:left="22"/>
        <w:outlineLvl w:val="2"/>
        <w:rPr>
          <w:rFonts w:hint="eastAsia" w:ascii="宋体" w:hAnsi="宋体" w:eastAsia="宋体" w:cs="宋体"/>
          <w:color w:val="auto"/>
          <w:sz w:val="24"/>
          <w:highlight w:val="none"/>
        </w:rPr>
      </w:pPr>
      <w:bookmarkStart w:id="173" w:name="_Toc110010427"/>
      <w:bookmarkStart w:id="174" w:name="_Toc22496"/>
      <w:bookmarkStart w:id="175" w:name="_Toc14686"/>
      <w:bookmarkStart w:id="176" w:name="_Toc32569"/>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bookmarkEnd w:id="173"/>
      <w:bookmarkEnd w:id="174"/>
      <w:bookmarkEnd w:id="175"/>
      <w:bookmarkEnd w:id="176"/>
    </w:p>
    <w:p w14:paraId="2F1CEACE">
      <w:pPr>
        <w:shd w:val="clear" w:color="auto" w:fill="auto"/>
        <w:spacing w:before="184" w:line="221"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疑事项1：</w:t>
      </w:r>
    </w:p>
    <w:p w14:paraId="13AB11FC">
      <w:pPr>
        <w:shd w:val="clear" w:color="auto" w:fill="auto"/>
        <w:spacing w:before="211" w:line="219"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p>
    <w:p w14:paraId="7149CA41">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14:paraId="3940D56C">
      <w:pPr>
        <w:shd w:val="clear" w:color="auto" w:fill="auto"/>
        <w:spacing w:before="230"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p>
    <w:p w14:paraId="14DD2F19">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14:paraId="2AF1B55E">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疑事项2</w:t>
      </w:r>
    </w:p>
    <w:p w14:paraId="65B74D98">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14:paraId="0DA16DC1">
      <w:pPr>
        <w:shd w:val="clear" w:color="auto" w:fill="auto"/>
        <w:jc w:val="center"/>
        <w:rPr>
          <w:rFonts w:hint="eastAsia" w:ascii="宋体" w:hAnsi="宋体" w:eastAsia="宋体" w:cs="宋体"/>
          <w:color w:val="auto"/>
          <w:sz w:val="24"/>
          <w:highlight w:val="none"/>
        </w:rPr>
      </w:pPr>
    </w:p>
    <w:p w14:paraId="03A5A9F1">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w:t>
      </w:r>
      <w:r>
        <w:rPr>
          <w:rFonts w:hint="eastAsia" w:ascii="宋体" w:hAnsi="宋体" w:eastAsia="宋体" w:cs="宋体"/>
          <w:color w:val="auto"/>
          <w:position w:val="3"/>
          <w:sz w:val="24"/>
          <w:highlight w:val="none"/>
          <w:lang w:eastAsia="zh-CN"/>
        </w:rPr>
        <w:t>（</w:t>
      </w:r>
      <w:r>
        <w:rPr>
          <w:rFonts w:hint="eastAsia" w:ascii="宋体" w:hAnsi="宋体" w:eastAsia="宋体" w:cs="宋体"/>
          <w:color w:val="auto"/>
          <w:position w:val="3"/>
          <w:sz w:val="24"/>
          <w:highlight w:val="none"/>
        </w:rPr>
        <w:t>签章</w:t>
      </w:r>
      <w:r>
        <w:rPr>
          <w:rFonts w:hint="eastAsia" w:ascii="宋体" w:hAnsi="宋体" w:eastAsia="宋体" w:cs="宋体"/>
          <w:color w:val="auto"/>
          <w:position w:val="3"/>
          <w:sz w:val="24"/>
          <w:highlight w:val="none"/>
          <w:lang w:eastAsia="zh-CN"/>
        </w:rPr>
        <w:t>）</w:t>
      </w:r>
      <w:r>
        <w:rPr>
          <w:rFonts w:hint="eastAsia" w:ascii="宋体" w:hAnsi="宋体" w:eastAsia="宋体" w:cs="宋体"/>
          <w:color w:val="auto"/>
          <w:position w:val="3"/>
          <w:sz w:val="24"/>
          <w:highlight w:val="none"/>
        </w:rPr>
        <w:t>：日期：</w:t>
      </w:r>
    </w:p>
    <w:p w14:paraId="4BC7691A">
      <w:pPr>
        <w:shd w:val="clear" w:color="auto" w:fill="auto"/>
        <w:spacing w:before="56" w:line="185" w:lineRule="auto"/>
        <w:rPr>
          <w:rFonts w:hint="eastAsia" w:ascii="宋体" w:hAnsi="宋体" w:eastAsia="宋体" w:cs="宋体"/>
          <w:color w:val="auto"/>
          <w:sz w:val="24"/>
          <w:highlight w:val="none"/>
        </w:rPr>
      </w:pPr>
    </w:p>
    <w:p w14:paraId="5DAFA31E">
      <w:pPr>
        <w:shd w:val="clear" w:color="auto" w:fill="auto"/>
        <w:spacing w:line="14" w:lineRule="auto"/>
        <w:rPr>
          <w:rFonts w:hint="eastAsia" w:ascii="宋体" w:hAnsi="宋体" w:eastAsia="宋体" w:cs="宋体"/>
          <w:color w:val="auto"/>
          <w:sz w:val="24"/>
          <w:highlight w:val="none"/>
        </w:rPr>
        <w:sectPr>
          <w:footerReference r:id="rId11" w:type="default"/>
          <w:type w:val="continuous"/>
          <w:pgSz w:w="11905" w:h="16838"/>
          <w:pgMar w:top="1440" w:right="1080" w:bottom="1440" w:left="1080" w:header="567" w:footer="454" w:gutter="0"/>
          <w:pgNumType w:fmt="decimal"/>
          <w:cols w:space="720" w:num="1"/>
          <w:rtlGutter w:val="0"/>
          <w:docGrid w:type="lines" w:linePitch="317" w:charSpace="0"/>
        </w:sectPr>
      </w:pPr>
    </w:p>
    <w:p w14:paraId="7E664B2A">
      <w:pPr>
        <w:shd w:val="clear" w:color="auto" w:fill="auto"/>
        <w:rPr>
          <w:rFonts w:hint="eastAsia" w:ascii="宋体" w:hAnsi="宋体" w:eastAsia="宋体" w:cs="宋体"/>
          <w:color w:val="auto"/>
          <w:sz w:val="24"/>
          <w:highlight w:val="none"/>
        </w:rPr>
        <w:sectPr>
          <w:footerReference r:id="rId12" w:type="default"/>
          <w:type w:val="continuous"/>
          <w:pgSz w:w="11905" w:h="16838"/>
          <w:pgMar w:top="1440" w:right="1080" w:bottom="1440" w:left="1080" w:header="567" w:footer="454" w:gutter="0"/>
          <w:pgNumType w:fmt="decimal"/>
          <w:cols w:space="720" w:num="1"/>
          <w:rtlGutter w:val="0"/>
          <w:docGrid w:type="lines" w:linePitch="317" w:charSpace="0"/>
        </w:sectPr>
      </w:pPr>
    </w:p>
    <w:p w14:paraId="276768BC">
      <w:pPr>
        <w:shd w:val="clear" w:color="auto" w:fill="auto"/>
        <w:spacing w:line="478" w:lineRule="auto"/>
        <w:rPr>
          <w:rFonts w:hint="eastAsia" w:ascii="宋体" w:hAnsi="宋体" w:eastAsia="宋体" w:cs="宋体"/>
          <w:color w:val="auto"/>
          <w:sz w:val="24"/>
          <w:highlight w:val="none"/>
        </w:rPr>
      </w:pPr>
    </w:p>
    <w:p w14:paraId="2F468AF0">
      <w:pPr>
        <w:keepNext w:val="0"/>
        <w:keepLines w:val="0"/>
        <w:pageBreakBefore w:val="0"/>
        <w:widowControl w:val="0"/>
        <w:shd w:val="clear" w:color="auto" w:fill="auto"/>
        <w:kinsoku/>
        <w:wordWrap/>
        <w:overflowPunct/>
        <w:topLinePunct w:val="0"/>
        <w:autoSpaceDE/>
        <w:autoSpaceDN/>
        <w:bidi w:val="0"/>
        <w:adjustRightInd/>
        <w:snapToGrid/>
        <w:spacing w:before="91" w:line="360" w:lineRule="auto"/>
        <w:ind w:left="0" w:right="62"/>
        <w:textAlignment w:val="auto"/>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质疑函制</w:t>
      </w:r>
      <w:r>
        <w:rPr>
          <w:rFonts w:hint="eastAsia" w:ascii="宋体" w:hAnsi="宋体" w:eastAsia="宋体" w:cs="宋体"/>
          <w:color w:val="auto"/>
          <w:spacing w:val="-1"/>
          <w:sz w:val="24"/>
          <w:highlight w:val="none"/>
        </w:rPr>
        <w:t>作说明：</w:t>
      </w:r>
    </w:p>
    <w:p w14:paraId="3DFCDA45">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0" w:right="62"/>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1.供应商提出质疑时，应提交质疑函和必要的证明材料。</w:t>
      </w:r>
    </w:p>
    <w:p w14:paraId="4EBD4402">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0" w:right="62"/>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41D5083">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0" w:right="62"/>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3.质疑供应商若对项目的某一分包进行质疑，质疑函中应列明具体分包号。</w:t>
      </w:r>
    </w:p>
    <w:p w14:paraId="5548818E">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0" w:right="62"/>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4.质疑函的质疑事项应具体、明确，并有必要的事实依据和法律依据。</w:t>
      </w:r>
    </w:p>
    <w:p w14:paraId="6CE948EE">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0" w:right="62"/>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5.质疑函的质疑请求应与质疑事项相关。</w:t>
      </w:r>
    </w:p>
    <w:p w14:paraId="56675162">
      <w:pPr>
        <w:keepNext w:val="0"/>
        <w:keepLines w:val="0"/>
        <w:pageBreakBefore w:val="0"/>
        <w:widowControl w:val="0"/>
        <w:shd w:val="clear" w:color="auto" w:fill="auto"/>
        <w:kinsoku/>
        <w:wordWrap/>
        <w:overflowPunct/>
        <w:topLinePunct w:val="0"/>
        <w:autoSpaceDE/>
        <w:autoSpaceDN/>
        <w:bidi w:val="0"/>
        <w:adjustRightInd/>
        <w:snapToGrid/>
        <w:spacing w:before="31" w:line="360" w:lineRule="auto"/>
        <w:ind w:left="0" w:right="62"/>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6.质疑供应商为自然人的，质疑函应由本人签字；质疑供应商为法人或者其他组织的，质疑函应由法定代表人、主要负责人，或者其授权代表签字或者盖章，并加盖公章。</w:t>
      </w:r>
    </w:p>
    <w:p w14:paraId="2A8E1CEF">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62"/>
        <w:jc w:val="center"/>
        <w:textAlignment w:val="auto"/>
        <w:rPr>
          <w:rFonts w:hint="eastAsia" w:ascii="宋体" w:hAnsi="宋体" w:eastAsia="宋体" w:cs="宋体"/>
          <w:color w:val="auto"/>
          <w:kern w:val="0"/>
          <w:sz w:val="24"/>
          <w:highlight w:val="none"/>
        </w:rPr>
      </w:pPr>
    </w:p>
    <w:p w14:paraId="1FE6D0DF">
      <w:pPr>
        <w:shd w:val="clear" w:color="auto" w:fill="auto"/>
        <w:spacing w:before="101" w:line="224" w:lineRule="auto"/>
        <w:ind w:left="49"/>
        <w:outlineLvl w:val="2"/>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br w:type="page"/>
      </w:r>
      <w:bookmarkStart w:id="177" w:name="_Toc22150"/>
      <w:bookmarkStart w:id="178" w:name="_Toc31259"/>
      <w:bookmarkStart w:id="179" w:name="_Toc110010428"/>
      <w:bookmarkStart w:id="180" w:name="_Toc23110"/>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件：投诉书范本</w:t>
      </w:r>
      <w:bookmarkEnd w:id="177"/>
      <w:bookmarkEnd w:id="178"/>
      <w:bookmarkEnd w:id="179"/>
      <w:bookmarkEnd w:id="180"/>
    </w:p>
    <w:p w14:paraId="652318B4">
      <w:pPr>
        <w:shd w:val="clear" w:color="auto" w:fill="auto"/>
        <w:spacing w:line="393" w:lineRule="auto"/>
        <w:rPr>
          <w:rFonts w:hint="eastAsia" w:ascii="宋体" w:hAnsi="宋体" w:eastAsia="宋体" w:cs="宋体"/>
          <w:color w:val="auto"/>
          <w:sz w:val="24"/>
          <w:highlight w:val="none"/>
        </w:rPr>
      </w:pPr>
    </w:p>
    <w:p w14:paraId="2EEF1436">
      <w:pPr>
        <w:shd w:val="clear" w:color="auto" w:fill="auto"/>
        <w:spacing w:before="115" w:line="224" w:lineRule="auto"/>
        <w:jc w:val="center"/>
        <w:rPr>
          <w:rFonts w:hint="eastAsia" w:ascii="宋体" w:hAnsi="宋体" w:eastAsia="宋体" w:cs="宋体"/>
          <w:color w:val="auto"/>
          <w:sz w:val="24"/>
          <w:highlight w:val="none"/>
        </w:rPr>
      </w:pPr>
      <w:r>
        <w:rPr>
          <w:rFonts w:hint="eastAsia" w:ascii="宋体" w:hAnsi="宋体" w:eastAsia="宋体" w:cs="宋体"/>
          <w:color w:val="auto"/>
          <w:spacing w:val="24"/>
          <w:sz w:val="24"/>
          <w:highlight w:val="none"/>
        </w:rPr>
        <w:t>投诉</w:t>
      </w:r>
      <w:r>
        <w:rPr>
          <w:rFonts w:hint="eastAsia" w:ascii="宋体" w:hAnsi="宋体" w:eastAsia="宋体" w:cs="宋体"/>
          <w:color w:val="auto"/>
          <w:spacing w:val="23"/>
          <w:sz w:val="24"/>
          <w:highlight w:val="none"/>
        </w:rPr>
        <w:t>书</w:t>
      </w:r>
    </w:p>
    <w:p w14:paraId="7907E06D">
      <w:pPr>
        <w:shd w:val="clear" w:color="auto" w:fill="auto"/>
        <w:spacing w:before="265" w:line="434" w:lineRule="exact"/>
        <w:ind w:left="27"/>
        <w:outlineLvl w:val="2"/>
        <w:rPr>
          <w:rFonts w:hint="eastAsia" w:ascii="宋体" w:hAnsi="宋体" w:eastAsia="宋体" w:cs="宋体"/>
          <w:color w:val="auto"/>
          <w:sz w:val="24"/>
          <w:highlight w:val="none"/>
        </w:rPr>
      </w:pPr>
      <w:bookmarkStart w:id="181" w:name="_Toc21592"/>
      <w:bookmarkStart w:id="182" w:name="_Toc26371"/>
      <w:bookmarkStart w:id="183" w:name="_Toc110010429"/>
      <w:bookmarkStart w:id="184" w:name="_Toc5746"/>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bookmarkEnd w:id="181"/>
      <w:bookmarkEnd w:id="182"/>
      <w:bookmarkEnd w:id="183"/>
      <w:bookmarkEnd w:id="184"/>
    </w:p>
    <w:p w14:paraId="7D524E68">
      <w:pPr>
        <w:shd w:val="clear" w:color="auto" w:fill="auto"/>
        <w:spacing w:before="1" w:line="220" w:lineRule="auto"/>
        <w:ind w:left="508"/>
        <w:rPr>
          <w:rFonts w:hint="eastAsia" w:ascii="宋体" w:hAnsi="宋体" w:eastAsia="宋体" w:cs="宋体"/>
          <w:color w:val="auto"/>
          <w:sz w:val="24"/>
          <w:highlight w:val="none"/>
          <w:lang w:eastAsia="zh-CN"/>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p>
    <w:p w14:paraId="007CE08C">
      <w:pPr>
        <w:shd w:val="clear" w:color="auto" w:fill="auto"/>
        <w:spacing w:before="102"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14:paraId="50CBE3F0">
      <w:pPr>
        <w:shd w:val="clear" w:color="auto" w:fill="auto"/>
        <w:spacing w:before="101"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p>
    <w:p w14:paraId="5ECE3677">
      <w:pPr>
        <w:shd w:val="clear" w:color="auto" w:fill="auto"/>
        <w:spacing w:before="104"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p>
    <w:p w14:paraId="2274E723">
      <w:pPr>
        <w:shd w:val="clear" w:color="auto" w:fill="auto"/>
        <w:spacing w:before="99" w:line="220"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4"/>
          <w:sz w:val="24"/>
          <w:highlight w:val="none"/>
        </w:rPr>
        <w:t>联系电话：</w:t>
      </w:r>
    </w:p>
    <w:p w14:paraId="293377D2">
      <w:pPr>
        <w:shd w:val="clear" w:color="auto" w:fill="auto"/>
        <w:spacing w:before="101"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14:paraId="6A6DA943">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投诉人1：</w:t>
      </w:r>
    </w:p>
    <w:p w14:paraId="5C2DE867">
      <w:pPr>
        <w:shd w:val="clear" w:color="auto" w:fill="auto"/>
        <w:spacing w:before="101" w:line="185"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14:paraId="401E1382">
      <w:pPr>
        <w:shd w:val="clear" w:color="auto" w:fill="auto"/>
        <w:rPr>
          <w:rFonts w:hint="eastAsia" w:ascii="宋体" w:hAnsi="宋体" w:eastAsia="宋体" w:cs="宋体"/>
          <w:color w:val="auto"/>
          <w:sz w:val="24"/>
          <w:highlight w:val="none"/>
        </w:rPr>
      </w:pPr>
    </w:p>
    <w:p w14:paraId="719DA028">
      <w:pPr>
        <w:shd w:val="clear" w:color="auto" w:fill="auto"/>
        <w:spacing w:before="103" w:line="220" w:lineRule="auto"/>
        <w:ind w:left="505"/>
        <w:rPr>
          <w:rFonts w:hint="eastAsia" w:ascii="宋体" w:hAnsi="宋体" w:eastAsia="宋体" w:cs="宋体"/>
          <w:color w:val="auto"/>
          <w:spacing w:val="-17"/>
          <w:sz w:val="24"/>
          <w:highlight w:val="none"/>
          <w:lang w:eastAsia="zh-CN"/>
        </w:rPr>
      </w:pPr>
      <w:r>
        <w:rPr>
          <w:rFonts w:hint="eastAsia" w:ascii="宋体" w:hAnsi="宋体" w:eastAsia="宋体" w:cs="宋体"/>
          <w:color w:val="auto"/>
          <w:spacing w:val="-17"/>
          <w:sz w:val="24"/>
          <w:highlight w:val="none"/>
        </w:rPr>
        <w:t>联系人：联系电话：</w:t>
      </w:r>
    </w:p>
    <w:p w14:paraId="7A84AAA9">
      <w:pPr>
        <w:shd w:val="clear" w:color="auto" w:fill="auto"/>
        <w:spacing w:before="103"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17"/>
          <w:sz w:val="24"/>
          <w:highlight w:val="none"/>
        </w:rPr>
        <w:t>联系人：联系电话：</w:t>
      </w:r>
    </w:p>
    <w:p w14:paraId="647DAADA">
      <w:pPr>
        <w:shd w:val="clear" w:color="auto" w:fill="auto"/>
        <w:spacing w:before="100" w:line="371" w:lineRule="exact"/>
        <w:ind w:left="27"/>
        <w:outlineLvl w:val="2"/>
        <w:rPr>
          <w:rFonts w:hint="eastAsia" w:ascii="宋体" w:hAnsi="宋体" w:eastAsia="宋体" w:cs="宋体"/>
          <w:color w:val="auto"/>
          <w:sz w:val="24"/>
          <w:highlight w:val="none"/>
        </w:rPr>
      </w:pPr>
      <w:bookmarkStart w:id="185" w:name="_Toc27620"/>
      <w:bookmarkStart w:id="186" w:name="_Toc25199"/>
      <w:bookmarkStart w:id="187" w:name="_Toc377"/>
      <w:bookmarkStart w:id="188" w:name="_Toc110010430"/>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bookmarkEnd w:id="185"/>
      <w:bookmarkEnd w:id="186"/>
      <w:bookmarkEnd w:id="187"/>
      <w:bookmarkEnd w:id="188"/>
    </w:p>
    <w:p w14:paraId="545EBA9B">
      <w:pPr>
        <w:shd w:val="clear" w:color="auto" w:fill="auto"/>
        <w:spacing w:before="6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p>
    <w:p w14:paraId="3643074E">
      <w:pPr>
        <w:shd w:val="clear" w:color="auto" w:fill="auto"/>
        <w:spacing w:before="10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编号：包号：</w:t>
      </w:r>
    </w:p>
    <w:p w14:paraId="3B7956E6">
      <w:pPr>
        <w:shd w:val="clear" w:color="auto" w:fill="auto"/>
        <w:spacing w:before="10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p>
    <w:p w14:paraId="0084B0AF">
      <w:pPr>
        <w:shd w:val="clear" w:color="auto" w:fill="auto"/>
        <w:spacing w:before="105"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p>
    <w:p w14:paraId="03FA4270">
      <w:pPr>
        <w:shd w:val="clear" w:color="auto" w:fill="auto"/>
        <w:spacing w:before="10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7"/>
          <w:sz w:val="24"/>
          <w:highlight w:val="none"/>
        </w:rPr>
        <w:t>采购文件公告</w:t>
      </w:r>
      <w:r>
        <w:rPr>
          <w:rFonts w:hint="eastAsia" w:ascii="宋体" w:hAnsi="宋体" w:eastAsia="宋体" w:cs="宋体"/>
          <w:color w:val="auto"/>
          <w:spacing w:val="7"/>
          <w:sz w:val="24"/>
          <w:highlight w:val="none"/>
          <w:lang w:eastAsia="zh-CN"/>
        </w:rPr>
        <w:t>：</w:t>
      </w:r>
      <w:r>
        <w:rPr>
          <w:rFonts w:hint="eastAsia" w:ascii="宋体" w:hAnsi="宋体" w:eastAsia="宋体" w:cs="宋体"/>
          <w:color w:val="auto"/>
          <w:spacing w:val="7"/>
          <w:sz w:val="24"/>
          <w:highlight w:val="none"/>
          <w:u w:val="single"/>
        </w:rPr>
        <w:t>是/否</w:t>
      </w:r>
      <w:r>
        <w:rPr>
          <w:rFonts w:hint="eastAsia" w:ascii="宋体" w:hAnsi="宋体" w:eastAsia="宋体" w:cs="宋体"/>
          <w:color w:val="auto"/>
          <w:spacing w:val="7"/>
          <w:sz w:val="24"/>
          <w:highlight w:val="none"/>
        </w:rPr>
        <w:t>公告期限</w:t>
      </w:r>
      <w:r>
        <w:rPr>
          <w:rFonts w:hint="eastAsia" w:ascii="宋体" w:hAnsi="宋体" w:eastAsia="宋体" w:cs="宋体"/>
          <w:color w:val="auto"/>
          <w:spacing w:val="3"/>
          <w:sz w:val="24"/>
          <w:highlight w:val="none"/>
        </w:rPr>
        <w:t>：</w:t>
      </w:r>
    </w:p>
    <w:p w14:paraId="67F33DE4">
      <w:pPr>
        <w:shd w:val="clear" w:color="auto" w:fill="auto"/>
        <w:spacing w:before="103" w:line="287" w:lineRule="auto"/>
        <w:ind w:left="22" w:right="12" w:firstLine="481"/>
        <w:rPr>
          <w:rFonts w:hint="eastAsia" w:ascii="宋体" w:hAnsi="宋体" w:eastAsia="宋体" w:cs="宋体"/>
          <w:color w:val="auto"/>
          <w:sz w:val="24"/>
          <w:highlight w:val="none"/>
          <w:lang w:eastAsia="zh-CN"/>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是/否</w:t>
      </w:r>
      <w:r>
        <w:rPr>
          <w:rFonts w:hint="eastAsia" w:ascii="宋体" w:hAnsi="宋体" w:eastAsia="宋体" w:cs="宋体"/>
          <w:color w:val="auto"/>
          <w:spacing w:val="-1"/>
          <w:sz w:val="24"/>
          <w:highlight w:val="none"/>
        </w:rPr>
        <w:t>公告期限：</w:t>
      </w:r>
    </w:p>
    <w:p w14:paraId="1A82A3DA">
      <w:pPr>
        <w:shd w:val="clear" w:color="auto" w:fill="auto"/>
        <w:spacing w:before="100" w:line="371" w:lineRule="exact"/>
        <w:ind w:left="27" w:right="0" w:firstLine="0"/>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14:paraId="4FCE7A8B">
      <w:pPr>
        <w:shd w:val="clear" w:color="auto" w:fill="auto"/>
        <w:spacing w:before="1" w:line="287" w:lineRule="auto"/>
        <w:ind w:left="23" w:right="11" w:firstLine="484"/>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诉人于年月日</w:t>
      </w:r>
      <w:r>
        <w:rPr>
          <w:rFonts w:hint="eastAsia" w:ascii="宋体" w:hAnsi="宋体" w:cs="宋体"/>
          <w:color w:val="auto"/>
          <w:spacing w:val="-6"/>
          <w:sz w:val="24"/>
          <w:highlight w:val="none"/>
          <w:lang w:eastAsia="zh-CN"/>
        </w:rPr>
        <w:t>，</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14:paraId="4C45F46C">
      <w:pPr>
        <w:shd w:val="clear" w:color="auto" w:fill="auto"/>
        <w:spacing w:before="1"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p>
    <w:p w14:paraId="12C2D60B">
      <w:pPr>
        <w:shd w:val="clear" w:color="auto" w:fill="auto"/>
        <w:spacing w:before="103" w:line="287" w:lineRule="auto"/>
        <w:ind w:left="459" w:right="11" w:firstLine="109"/>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采购代理机构于年月日，就质疑</w:t>
      </w:r>
      <w:r>
        <w:rPr>
          <w:rFonts w:hint="eastAsia" w:ascii="宋体" w:hAnsi="宋体" w:eastAsia="宋体" w:cs="宋体"/>
          <w:color w:val="auto"/>
          <w:spacing w:val="-1"/>
          <w:sz w:val="24"/>
          <w:highlight w:val="none"/>
        </w:rPr>
        <w:t>事项</w:t>
      </w:r>
      <w:r>
        <w:rPr>
          <w:rFonts w:hint="eastAsia" w:ascii="宋体" w:hAnsi="宋体" w:eastAsia="宋体" w:cs="宋体"/>
          <w:color w:val="auto"/>
          <w:spacing w:val="-1"/>
          <w:sz w:val="24"/>
          <w:highlight w:val="none"/>
          <w:lang w:eastAsia="zh-CN"/>
        </w:rPr>
        <w:t>作出</w:t>
      </w:r>
      <w:r>
        <w:rPr>
          <w:rFonts w:hint="eastAsia" w:ascii="宋体" w:hAnsi="宋体" w:eastAsia="宋体" w:cs="宋体"/>
          <w:color w:val="auto"/>
          <w:spacing w:val="-1"/>
          <w:sz w:val="24"/>
          <w:highlight w:val="none"/>
        </w:rPr>
        <w:t>了答复/没有在</w:t>
      </w:r>
      <w:r>
        <w:rPr>
          <w:rFonts w:hint="eastAsia" w:ascii="宋体" w:hAnsi="宋体" w:eastAsia="宋体" w:cs="宋体"/>
          <w:color w:val="auto"/>
          <w:sz w:val="24"/>
          <w:highlight w:val="none"/>
        </w:rPr>
        <w:t>法定期限内</w:t>
      </w:r>
      <w:r>
        <w:rPr>
          <w:rFonts w:hint="eastAsia" w:ascii="宋体" w:hAnsi="宋体" w:eastAsia="宋体" w:cs="宋体"/>
          <w:color w:val="auto"/>
          <w:sz w:val="24"/>
          <w:highlight w:val="none"/>
          <w:lang w:eastAsia="zh-CN"/>
        </w:rPr>
        <w:t>作出</w:t>
      </w:r>
      <w:r>
        <w:rPr>
          <w:rFonts w:hint="eastAsia" w:ascii="宋体" w:hAnsi="宋体" w:eastAsia="宋体" w:cs="宋体"/>
          <w:color w:val="auto"/>
          <w:sz w:val="24"/>
          <w:highlight w:val="none"/>
        </w:rPr>
        <w:t>答复。</w:t>
      </w:r>
    </w:p>
    <w:p w14:paraId="46F641A8">
      <w:pPr>
        <w:shd w:val="clear" w:color="auto" w:fill="auto"/>
        <w:spacing w:before="100" w:line="371" w:lineRule="exact"/>
        <w:ind w:left="27"/>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14:paraId="35D8D3EB">
      <w:pPr>
        <w:shd w:val="clear" w:color="auto" w:fill="auto"/>
        <w:spacing w:before="98" w:line="221" w:lineRule="auto"/>
        <w:ind w:left="508"/>
        <w:rPr>
          <w:rFonts w:hint="eastAsia" w:ascii="宋体" w:hAnsi="宋体" w:eastAsia="宋体" w:cs="宋体"/>
          <w:color w:val="auto"/>
          <w:sz w:val="24"/>
          <w:highlight w:val="none"/>
          <w:lang w:eastAsia="zh-CN"/>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诉事项1：</w:t>
      </w:r>
    </w:p>
    <w:p w14:paraId="4F1CA5BD">
      <w:pPr>
        <w:shd w:val="clear" w:color="auto" w:fill="auto"/>
        <w:spacing w:before="100" w:line="219"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p>
    <w:p w14:paraId="343CEF9A">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14:paraId="00994B2A">
      <w:pPr>
        <w:shd w:val="clear" w:color="auto" w:fill="auto"/>
        <w:spacing w:before="118"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p>
    <w:p w14:paraId="289E6CAF">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14:paraId="6B4A0F9D">
      <w:pPr>
        <w:shd w:val="clear" w:color="auto" w:fill="auto"/>
        <w:spacing w:before="118" w:line="437" w:lineRule="exact"/>
        <w:ind w:left="508"/>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诉事项2</w:t>
      </w:r>
    </w:p>
    <w:p w14:paraId="5030BC80">
      <w:pPr>
        <w:shd w:val="clear" w:color="auto" w:fill="auto"/>
        <w:spacing w:line="437"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14:paraId="1BCC5A92">
      <w:pPr>
        <w:shd w:val="clear" w:color="auto" w:fill="auto"/>
        <w:spacing w:line="239" w:lineRule="exact"/>
        <w:rPr>
          <w:rFonts w:hint="eastAsia" w:ascii="宋体" w:hAnsi="宋体" w:eastAsia="宋体" w:cs="宋体"/>
          <w:color w:val="auto"/>
          <w:sz w:val="24"/>
          <w:highlight w:val="none"/>
        </w:rPr>
      </w:pPr>
    </w:p>
    <w:p w14:paraId="38591F40">
      <w:pPr>
        <w:shd w:val="clear" w:color="auto" w:fill="auto"/>
        <w:spacing w:before="56" w:line="437" w:lineRule="exact"/>
        <w:ind w:left="505"/>
        <w:rPr>
          <w:rFonts w:hint="eastAsia" w:ascii="宋体" w:hAnsi="宋体" w:eastAsia="宋体" w:cs="宋体"/>
          <w:color w:val="auto"/>
          <w:spacing w:val="-1"/>
          <w:position w:val="11"/>
          <w:sz w:val="24"/>
          <w:highlight w:val="none"/>
          <w:lang w:eastAsia="zh-CN"/>
        </w:rPr>
      </w:pPr>
      <w:r>
        <w:rPr>
          <w:rFonts w:hint="eastAsia" w:ascii="宋体" w:hAnsi="宋体" w:eastAsia="宋体" w:cs="宋体"/>
          <w:color w:val="auto"/>
          <w:spacing w:val="-2"/>
          <w:position w:val="11"/>
          <w:sz w:val="24"/>
          <w:highlight w:val="none"/>
        </w:rPr>
        <w:t>签字</w:t>
      </w:r>
      <w:r>
        <w:rPr>
          <w:rFonts w:hint="eastAsia" w:ascii="宋体" w:hAnsi="宋体" w:eastAsia="宋体" w:cs="宋体"/>
          <w:color w:val="auto"/>
          <w:spacing w:val="-2"/>
          <w:position w:val="11"/>
          <w:sz w:val="24"/>
          <w:highlight w:val="none"/>
          <w:lang w:eastAsia="zh-CN"/>
        </w:rPr>
        <w:t>（</w:t>
      </w:r>
      <w:r>
        <w:rPr>
          <w:rFonts w:hint="eastAsia" w:ascii="宋体" w:hAnsi="宋体" w:eastAsia="宋体" w:cs="宋体"/>
          <w:color w:val="auto"/>
          <w:spacing w:val="-2"/>
          <w:position w:val="11"/>
          <w:sz w:val="24"/>
          <w:highlight w:val="none"/>
        </w:rPr>
        <w:t>签</w:t>
      </w:r>
      <w:r>
        <w:rPr>
          <w:rFonts w:hint="eastAsia" w:ascii="宋体" w:hAnsi="宋体" w:eastAsia="宋体" w:cs="宋体"/>
          <w:color w:val="auto"/>
          <w:spacing w:val="-1"/>
          <w:position w:val="11"/>
          <w:sz w:val="24"/>
          <w:highlight w:val="none"/>
        </w:rPr>
        <w:t>章</w:t>
      </w:r>
      <w:r>
        <w:rPr>
          <w:rFonts w:hint="eastAsia" w:ascii="宋体" w:hAnsi="宋体" w:eastAsia="宋体" w:cs="宋体"/>
          <w:color w:val="auto"/>
          <w:spacing w:val="-1"/>
          <w:position w:val="11"/>
          <w:sz w:val="24"/>
          <w:highlight w:val="none"/>
          <w:lang w:eastAsia="zh-CN"/>
        </w:rPr>
        <w:t>）</w:t>
      </w:r>
      <w:r>
        <w:rPr>
          <w:rFonts w:hint="eastAsia" w:ascii="宋体" w:hAnsi="宋体" w:eastAsia="宋体" w:cs="宋体"/>
          <w:color w:val="auto"/>
          <w:spacing w:val="-1"/>
          <w:position w:val="11"/>
          <w:sz w:val="24"/>
          <w:highlight w:val="none"/>
        </w:rPr>
        <w:t>：</w:t>
      </w:r>
    </w:p>
    <w:p w14:paraId="25A0D845">
      <w:pPr>
        <w:shd w:val="clear" w:color="auto" w:fill="auto"/>
        <w:spacing w:before="56" w:line="437" w:lineRule="exact"/>
        <w:ind w:left="505"/>
        <w:rPr>
          <w:rFonts w:hint="eastAsia" w:ascii="宋体" w:hAnsi="宋体" w:eastAsia="宋体" w:cs="宋体"/>
          <w:color w:val="auto"/>
          <w:spacing w:val="-1"/>
          <w:position w:val="11"/>
          <w:sz w:val="24"/>
          <w:highlight w:val="none"/>
          <w:lang w:eastAsia="zh-CN"/>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p>
    <w:p w14:paraId="24C09ED7">
      <w:pPr>
        <w:shd w:val="clear" w:color="auto" w:fill="auto"/>
        <w:spacing w:line="392" w:lineRule="auto"/>
        <w:rPr>
          <w:rFonts w:hint="eastAsia" w:ascii="宋体" w:hAnsi="宋体" w:eastAsia="宋体" w:cs="宋体"/>
          <w:color w:val="auto"/>
          <w:sz w:val="24"/>
          <w:highlight w:val="none"/>
        </w:rPr>
      </w:pPr>
    </w:p>
    <w:p w14:paraId="6CE2F400">
      <w:pPr>
        <w:shd w:val="clear" w:color="auto" w:fill="auto"/>
        <w:spacing w:before="91" w:line="219" w:lineRule="auto"/>
        <w:ind w:left="508"/>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14:paraId="4D7A6FCD">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1.投诉人提起投诉时，应当提交投诉书和必要的证明材料，并按照被投诉人和与投诉事项有关的供应商数量提供投诉书副本。</w:t>
      </w:r>
    </w:p>
    <w:p w14:paraId="690E1546">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代表”的有关内容，并在附件中提交由投诉人签署的授权委托书。授权委托书应载明代理人的姓名或者名称、代理事项、具体权限、期限和相关事项。</w:t>
      </w:r>
    </w:p>
    <w:p w14:paraId="20532971">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3.投诉人若对项目的某一分包进行投诉，投诉书中应列明具体分包号。</w:t>
      </w:r>
    </w:p>
    <w:p w14:paraId="4770FE91">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4.投诉书应简要列明质疑事项，质疑函、质疑答复等作为附件材料提供。</w:t>
      </w:r>
    </w:p>
    <w:p w14:paraId="35193D64">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5.投诉书的投诉事项应具体、明确，并有必要的事实依据和法律依据。</w:t>
      </w:r>
    </w:p>
    <w:p w14:paraId="2242872A">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14:paraId="33DB0ABF">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7.投诉人为自然人的，投诉书应由本人签字；投诉人为法人或者其他组织的，投诉书应当由法定代表人、主要负责人，或者其授权代表签字或者盖章，并加盖公章。</w:t>
      </w:r>
    </w:p>
    <w:p w14:paraId="4E93D9BD">
      <w:pPr>
        <w:shd w:val="clear" w:color="auto" w:fill="auto"/>
        <w:spacing w:line="460" w:lineRule="exact"/>
        <w:ind w:firstLine="420" w:firstLineChars="200"/>
        <w:rPr>
          <w:rFonts w:hint="eastAsia" w:ascii="宋体" w:hAnsi="宋体" w:eastAsia="宋体" w:cs="宋体"/>
          <w:color w:val="auto"/>
          <w:kern w:val="0"/>
          <w:sz w:val="22"/>
          <w:szCs w:val="22"/>
          <w:highlight w:val="none"/>
          <w:shd w:val="clear" w:color="auto" w:fill="FFFFFF"/>
        </w:rPr>
      </w:pPr>
      <w:r>
        <w:rPr>
          <w:rFonts w:hint="eastAsia" w:ascii="宋体" w:hAnsi="宋体" w:eastAsia="宋体" w:cs="宋体"/>
          <w:color w:val="auto"/>
          <w:kern w:val="2"/>
          <w:sz w:val="21"/>
          <w:szCs w:val="24"/>
          <w:highlight w:val="none"/>
          <w:lang w:val="en-US" w:eastAsia="zh-CN" w:bidi="ar-SA"/>
        </w:rPr>
        <w:br w:type="page"/>
      </w:r>
    </w:p>
    <w:p w14:paraId="1B665E14">
      <w:pPr>
        <w:spacing w:line="360" w:lineRule="auto"/>
        <w:jc w:val="center"/>
        <w:outlineLvl w:val="0"/>
        <w:rPr>
          <w:rFonts w:hint="eastAsia" w:ascii="宋体" w:hAnsi="宋体" w:eastAsia="宋体" w:cs="宋体"/>
          <w:b/>
          <w:color w:val="auto"/>
          <w:sz w:val="36"/>
          <w:szCs w:val="36"/>
          <w:highlight w:val="none"/>
        </w:rPr>
      </w:pPr>
      <w:bookmarkStart w:id="189" w:name="_Toc99301421"/>
      <w:bookmarkStart w:id="190" w:name="_Toc29710"/>
      <w:bookmarkStart w:id="191" w:name="_Toc4147"/>
      <w:bookmarkStart w:id="192" w:name="_Toc23028"/>
      <w:bookmarkStart w:id="193" w:name="_Toc23291"/>
      <w:bookmarkStart w:id="194" w:name="_Toc24395"/>
      <w:bookmarkStart w:id="195" w:name="_Toc521014791"/>
      <w:bookmarkStart w:id="196" w:name="_Toc503212223"/>
      <w:bookmarkStart w:id="197" w:name="_Toc6417"/>
      <w:bookmarkStart w:id="198" w:name="_Toc2362"/>
      <w:bookmarkStart w:id="199" w:name="_Toc115436075"/>
      <w:bookmarkStart w:id="200" w:name="_Toc1354"/>
      <w:bookmarkStart w:id="201" w:name="_Toc20110"/>
      <w:bookmarkStart w:id="202" w:name="_Toc17238"/>
      <w:bookmarkStart w:id="203" w:name="_Toc115435536"/>
      <w:r>
        <w:rPr>
          <w:rFonts w:hint="eastAsia" w:ascii="宋体" w:hAnsi="宋体" w:eastAsia="宋体" w:cs="宋体"/>
          <w:b/>
          <w:color w:val="auto"/>
          <w:sz w:val="36"/>
          <w:szCs w:val="36"/>
          <w:highlight w:val="none"/>
        </w:rPr>
        <w:t>第三章资格审查</w:t>
      </w:r>
      <w:bookmarkEnd w:id="189"/>
      <w:bookmarkStart w:id="204" w:name="_Toc487900382"/>
    </w:p>
    <w:p w14:paraId="52D6D076">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bookmarkStart w:id="205" w:name="_Toc99301422"/>
      <w:r>
        <w:rPr>
          <w:rFonts w:hint="eastAsia" w:ascii="宋体" w:hAnsi="宋体" w:eastAsia="宋体" w:cs="宋体"/>
          <w:b/>
          <w:color w:val="auto"/>
          <w:sz w:val="24"/>
          <w:highlight w:val="none"/>
        </w:rPr>
        <w:t>一、资格审查程序</w:t>
      </w:r>
      <w:bookmarkEnd w:id="205"/>
    </w:p>
    <w:p w14:paraId="4FC0ADEF">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开标结束后，采购人或采购代理机构将根据《资格审查要求》中的规定，对投标人进行资格审查，并形成资格审查结果。</w:t>
      </w:r>
    </w:p>
    <w:p w14:paraId="79834C6C">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《资格审查要求》中对格式有要求的，除招标文件另有规定外，均为“实质性格式”文件。</w:t>
      </w:r>
    </w:p>
    <w:p w14:paraId="1E25F992">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投标人《资格证明文件》有任何一项不符合《资格审查要求》的，资格审查不合格，其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B832BC2">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资格审查合格的投标人不足3家的，不进行评标。</w:t>
      </w:r>
    </w:p>
    <w:p w14:paraId="2A35542C">
      <w:pPr>
        <w:widowControl/>
        <w:jc w:val="left"/>
        <w:rPr>
          <w:rFonts w:hint="eastAsia" w:ascii="宋体" w:hAnsi="宋体" w:eastAsia="宋体" w:cs="宋体"/>
          <w:color w:val="auto"/>
          <w:sz w:val="24"/>
          <w:highlight w:val="none"/>
        </w:rPr>
      </w:pPr>
    </w:p>
    <w:p w14:paraId="4A115B48">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二、资格审查要求</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26"/>
        <w:gridCol w:w="5171"/>
        <w:gridCol w:w="1758"/>
      </w:tblGrid>
      <w:tr w14:paraId="58145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noWrap w:val="0"/>
            <w:vAlign w:val="center"/>
          </w:tcPr>
          <w:p w14:paraId="15741AED">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b/>
                <w:color w:val="auto"/>
                <w:sz w:val="24"/>
                <w:highlight w:val="none"/>
              </w:rPr>
            </w:pPr>
            <w:bookmarkStart w:id="206" w:name="_Hlt487972895"/>
            <w:bookmarkEnd w:id="206"/>
            <w:r>
              <w:rPr>
                <w:rFonts w:hint="eastAsia" w:ascii="宋体" w:hAnsi="宋体" w:eastAsia="宋体" w:cs="宋体"/>
                <w:b/>
                <w:color w:val="auto"/>
                <w:sz w:val="24"/>
                <w:highlight w:val="none"/>
              </w:rPr>
              <w:t>序号</w:t>
            </w:r>
          </w:p>
        </w:tc>
        <w:tc>
          <w:tcPr>
            <w:tcW w:w="1067" w:type="pct"/>
            <w:noWrap w:val="0"/>
            <w:vAlign w:val="center"/>
          </w:tcPr>
          <w:p w14:paraId="3A42157C">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2595" w:type="pct"/>
            <w:noWrap w:val="0"/>
            <w:vAlign w:val="center"/>
          </w:tcPr>
          <w:p w14:paraId="3E09A651">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882" w:type="pct"/>
            <w:noWrap w:val="0"/>
            <w:vAlign w:val="center"/>
          </w:tcPr>
          <w:p w14:paraId="6DB5C5FF">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14:paraId="295E0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14" w:hRule="atLeast"/>
        </w:trPr>
        <w:tc>
          <w:tcPr>
            <w:tcW w:w="454" w:type="pct"/>
            <w:noWrap w:val="0"/>
            <w:vAlign w:val="center"/>
          </w:tcPr>
          <w:p w14:paraId="785AB176">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7" w:type="pct"/>
            <w:noWrap w:val="0"/>
            <w:vAlign w:val="center"/>
          </w:tcPr>
          <w:p w14:paraId="1D785393">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2595" w:type="pct"/>
            <w:noWrap w:val="0"/>
            <w:vAlign w:val="center"/>
          </w:tcPr>
          <w:p w14:paraId="2CBED28B">
            <w:pPr>
              <w:pStyle w:val="19"/>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w:t>
            </w:r>
          </w:p>
        </w:tc>
        <w:tc>
          <w:tcPr>
            <w:tcW w:w="882" w:type="pct"/>
            <w:noWrap w:val="0"/>
            <w:vAlign w:val="center"/>
          </w:tcPr>
          <w:p w14:paraId="66EFB716">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提供证明文件的电子件或电子证照</w:t>
            </w:r>
          </w:p>
        </w:tc>
      </w:tr>
      <w:tr w14:paraId="14C97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1EC63802">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1067" w:type="pct"/>
            <w:noWrap w:val="0"/>
            <w:vAlign w:val="center"/>
          </w:tcPr>
          <w:p w14:paraId="2C706E2E">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2595" w:type="pct"/>
            <w:noWrap w:val="0"/>
            <w:vAlign w:val="center"/>
          </w:tcPr>
          <w:p w14:paraId="29008C10">
            <w:pPr>
              <w:pStyle w:val="19"/>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有依法缴纳税收和社会保障资金的良好记录：提供近段时间内（</w:t>
            </w:r>
            <w:r>
              <w:rPr>
                <w:rFonts w:hint="eastAsia" w:cs="宋体"/>
                <w:i w:val="0"/>
                <w:iCs w:val="0"/>
                <w:caps w:val="0"/>
                <w:color w:val="auto"/>
                <w:spacing w:val="0"/>
                <w:sz w:val="24"/>
                <w:szCs w:val="24"/>
                <w:highlight w:val="none"/>
                <w:lang w:val="en-US" w:eastAsia="zh-CN"/>
              </w:rPr>
              <w:t>2025年1月-2025年3月</w:t>
            </w:r>
            <w:r>
              <w:rPr>
                <w:rFonts w:hint="eastAsia" w:ascii="宋体" w:hAnsi="宋体" w:eastAsia="宋体" w:cs="宋体"/>
                <w:i w:val="0"/>
                <w:iCs w:val="0"/>
                <w:caps w:val="0"/>
                <w:color w:val="auto"/>
                <w:spacing w:val="0"/>
                <w:sz w:val="24"/>
                <w:szCs w:val="24"/>
                <w:highlight w:val="none"/>
                <w:lang w:val="en-US" w:eastAsia="zh-CN"/>
              </w:rPr>
              <w:t>、新成立的公司按实际发生提供）的</w:t>
            </w:r>
            <w:r>
              <w:rPr>
                <w:rFonts w:hint="eastAsia" w:cs="宋体"/>
                <w:i w:val="0"/>
                <w:iCs w:val="0"/>
                <w:caps w:val="0"/>
                <w:color w:val="auto"/>
                <w:spacing w:val="0"/>
                <w:sz w:val="24"/>
                <w:szCs w:val="24"/>
                <w:highlight w:val="none"/>
                <w:lang w:val="en-US" w:eastAsia="zh-CN"/>
              </w:rPr>
              <w:t>（含印花税、增值税等税种）或税务部门出具的无欠税证明</w:t>
            </w:r>
            <w:r>
              <w:rPr>
                <w:rFonts w:hint="eastAsia" w:ascii="宋体" w:hAnsi="宋体" w:eastAsia="宋体" w:cs="宋体"/>
                <w:i w:val="0"/>
                <w:iCs w:val="0"/>
                <w:caps w:val="0"/>
                <w:color w:val="auto"/>
                <w:spacing w:val="0"/>
                <w:sz w:val="24"/>
                <w:szCs w:val="24"/>
                <w:highlight w:val="none"/>
                <w:lang w:val="en-US" w:eastAsia="zh-CN"/>
              </w:rPr>
              <w:t>（开具日期须在招标公告发布日期之后）或税务部门出具的纳税证明；如依法免税的，应提供相应文件证明；提供近段时间内（</w:t>
            </w:r>
            <w:r>
              <w:rPr>
                <w:rFonts w:hint="eastAsia" w:cs="宋体"/>
                <w:i w:val="0"/>
                <w:iCs w:val="0"/>
                <w:caps w:val="0"/>
                <w:color w:val="auto"/>
                <w:spacing w:val="0"/>
                <w:sz w:val="24"/>
                <w:szCs w:val="24"/>
                <w:highlight w:val="none"/>
                <w:lang w:val="en-US" w:eastAsia="zh-CN"/>
              </w:rPr>
              <w:t>2025年1月-2025年3月</w:t>
            </w:r>
            <w:r>
              <w:rPr>
                <w:rFonts w:hint="eastAsia" w:ascii="宋体" w:hAnsi="宋体" w:eastAsia="宋体" w:cs="宋体"/>
                <w:i w:val="0"/>
                <w:iCs w:val="0"/>
                <w:caps w:val="0"/>
                <w:color w:val="auto"/>
                <w:spacing w:val="0"/>
                <w:sz w:val="24"/>
                <w:szCs w:val="24"/>
                <w:highlight w:val="none"/>
                <w:lang w:val="en-US" w:eastAsia="zh-CN"/>
              </w:rPr>
              <w:t>、新成立的公司按实际发生提供）的缴纳社保证明材料加盖公章。</w:t>
            </w:r>
            <w:r>
              <w:rPr>
                <w:rFonts w:hint="eastAsia" w:cs="宋体"/>
                <w:i w:val="0"/>
                <w:iCs w:val="0"/>
                <w:caps w:val="0"/>
                <w:color w:val="auto"/>
                <w:spacing w:val="0"/>
                <w:sz w:val="24"/>
                <w:szCs w:val="24"/>
                <w:highlight w:val="none"/>
                <w:lang w:val="en-US" w:eastAsia="zh-CN"/>
              </w:rPr>
              <w:t>（社保证明材料须是社保局出具的缴纳证明或社保系统导出的缴纳汇总凭证，新成立的公司按实际发生提供，如依 法不需要缴纳社会保障资金的，应提供相应文件证明）</w:t>
            </w:r>
            <w:r>
              <w:rPr>
                <w:rFonts w:hint="eastAsia" w:ascii="宋体" w:hAnsi="宋体" w:eastAsia="宋体" w:cs="宋体"/>
                <w:i w:val="0"/>
                <w:iCs w:val="0"/>
                <w:caps w:val="0"/>
                <w:color w:val="auto"/>
                <w:spacing w:val="0"/>
                <w:sz w:val="24"/>
                <w:szCs w:val="24"/>
                <w:highlight w:val="none"/>
                <w:lang w:val="en-US" w:eastAsia="zh-CN"/>
              </w:rPr>
              <w:t>；</w:t>
            </w:r>
          </w:p>
        </w:tc>
        <w:tc>
          <w:tcPr>
            <w:tcW w:w="882" w:type="pct"/>
            <w:noWrap w:val="0"/>
            <w:vAlign w:val="center"/>
          </w:tcPr>
          <w:p w14:paraId="26706C30">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格式见《投标文件格式》</w:t>
            </w:r>
          </w:p>
        </w:tc>
      </w:tr>
      <w:tr w14:paraId="24531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373605DC">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1067" w:type="pct"/>
            <w:noWrap w:val="0"/>
            <w:vAlign w:val="center"/>
          </w:tcPr>
          <w:p w14:paraId="2C0F6813">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2595" w:type="pct"/>
            <w:noWrap w:val="0"/>
            <w:vAlign w:val="center"/>
          </w:tcPr>
          <w:p w14:paraId="40F4EB69">
            <w:pPr>
              <w:pStyle w:val="19"/>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aps w:val="0"/>
                <w:color w:val="auto"/>
                <w:spacing w:val="0"/>
                <w:w w:val="100"/>
                <w:position w:val="0"/>
                <w:sz w:val="24"/>
                <w:szCs w:val="24"/>
                <w:highlight w:val="none"/>
              </w:rPr>
              <w:t>具有良好的商业信誉和健全的财务会计制度：提供2023年度或2024年度由第三方财务审计机构出具的财务审计报告或新成立的企业提供银行出具的近三个月的资信证明</w:t>
            </w:r>
            <w:r>
              <w:rPr>
                <w:rFonts w:hint="eastAsia" w:ascii="宋体" w:hAnsi="宋体" w:eastAsia="宋体" w:cs="宋体"/>
                <w:i w:val="0"/>
                <w:iCs w:val="0"/>
                <w:caps w:val="0"/>
                <w:color w:val="auto"/>
                <w:spacing w:val="0"/>
                <w:sz w:val="24"/>
                <w:szCs w:val="24"/>
                <w:highlight w:val="none"/>
                <w:lang w:val="en-US" w:eastAsia="zh-CN"/>
              </w:rPr>
              <w:t>；</w:t>
            </w:r>
          </w:p>
        </w:tc>
        <w:tc>
          <w:tcPr>
            <w:tcW w:w="882" w:type="pct"/>
            <w:noWrap w:val="0"/>
            <w:vAlign w:val="center"/>
          </w:tcPr>
          <w:p w14:paraId="0627F263">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p>
        </w:tc>
      </w:tr>
      <w:tr w14:paraId="07F99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047DD019">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067" w:type="pct"/>
            <w:noWrap w:val="0"/>
            <w:vAlign w:val="center"/>
          </w:tcPr>
          <w:p w14:paraId="5B357AF2">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履行合同所必需的设备和专业技术能力</w:t>
            </w:r>
          </w:p>
        </w:tc>
        <w:tc>
          <w:tcPr>
            <w:tcW w:w="2595" w:type="pct"/>
            <w:noWrap w:val="0"/>
            <w:vAlign w:val="center"/>
          </w:tcPr>
          <w:p w14:paraId="1BCB51DA">
            <w:pPr>
              <w:pStyle w:val="19"/>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履行合同所必需的设备和专业技术能力：提供《投标人资格声明函》；</w:t>
            </w:r>
          </w:p>
        </w:tc>
        <w:tc>
          <w:tcPr>
            <w:tcW w:w="882" w:type="pct"/>
            <w:noWrap w:val="0"/>
            <w:vAlign w:val="center"/>
          </w:tcPr>
          <w:p w14:paraId="43ED9EE3">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提供《投标人资格声明函》</w:t>
            </w:r>
          </w:p>
        </w:tc>
      </w:tr>
      <w:tr w14:paraId="428F5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3A462231">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1067" w:type="pct"/>
            <w:noWrap w:val="0"/>
            <w:vAlign w:val="center"/>
          </w:tcPr>
          <w:p w14:paraId="0B8211BC">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参加采购活动前3年内，在经营活动中没有重大违法记录</w:t>
            </w:r>
          </w:p>
        </w:tc>
        <w:tc>
          <w:tcPr>
            <w:tcW w:w="2595" w:type="pct"/>
            <w:noWrap w:val="0"/>
            <w:vAlign w:val="center"/>
          </w:tcPr>
          <w:p w14:paraId="2C770972">
            <w:pPr>
              <w:pStyle w:val="19"/>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 万元以上的罚款，法律、行政法规以及国务院有关部门明确规定相关领域“较大数额罚款”标准高于200 万元的，从其规定）</w:t>
            </w:r>
          </w:p>
        </w:tc>
        <w:tc>
          <w:tcPr>
            <w:tcW w:w="882" w:type="pct"/>
            <w:noWrap w:val="0"/>
            <w:vAlign w:val="center"/>
          </w:tcPr>
          <w:p w14:paraId="154FC398">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提供《投标人资格声明函》</w:t>
            </w:r>
          </w:p>
        </w:tc>
      </w:tr>
      <w:tr w14:paraId="0069F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211187CB">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1067" w:type="pct"/>
            <w:noWrap w:val="0"/>
            <w:vAlign w:val="center"/>
          </w:tcPr>
          <w:p w14:paraId="47703B65">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w:t>
            </w:r>
          </w:p>
        </w:tc>
        <w:tc>
          <w:tcPr>
            <w:tcW w:w="2595" w:type="pct"/>
            <w:noWrap w:val="0"/>
            <w:vAlign w:val="center"/>
          </w:tcPr>
          <w:p w14:paraId="736C45A5">
            <w:pPr>
              <w:pStyle w:val="19"/>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tc>
        <w:tc>
          <w:tcPr>
            <w:tcW w:w="882" w:type="pct"/>
            <w:noWrap w:val="0"/>
            <w:vAlign w:val="center"/>
          </w:tcPr>
          <w:p w14:paraId="7A60A067">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无须投标人提供，由采购人或采购代理机构查询。</w:t>
            </w:r>
          </w:p>
        </w:tc>
      </w:tr>
      <w:tr w14:paraId="76155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5C1CFA4D">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1067" w:type="pct"/>
            <w:noWrap w:val="0"/>
            <w:vAlign w:val="center"/>
          </w:tcPr>
          <w:p w14:paraId="56F8AF0C">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供应商必须符合法律、行政法规规定的其他条件</w:t>
            </w:r>
          </w:p>
        </w:tc>
        <w:tc>
          <w:tcPr>
            <w:tcW w:w="2595" w:type="pct"/>
            <w:noWrap w:val="0"/>
            <w:vAlign w:val="center"/>
          </w:tcPr>
          <w:p w14:paraId="59B300D1">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符合法律、行政法规规定的其他条件，提供书面承诺声明函：①为采购项目提供整体设计、规范编制或者项目管理、监理、检测等服务的供应商，不得再参加该采购项目同一合同项下的其他采购活动。②法定代表人或单位负责人为同一人或者存在直接控股、管理关系的不同供应商，不得参加同一合同项下的政府采购活动。</w:t>
            </w:r>
          </w:p>
        </w:tc>
        <w:tc>
          <w:tcPr>
            <w:tcW w:w="882" w:type="pct"/>
            <w:noWrap w:val="0"/>
            <w:vAlign w:val="center"/>
          </w:tcPr>
          <w:p w14:paraId="69B7C786">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提供《</w:t>
            </w:r>
            <w:r>
              <w:rPr>
                <w:rFonts w:hint="eastAsia" w:ascii="宋体" w:hAnsi="宋体" w:eastAsia="宋体" w:cs="宋体"/>
                <w:color w:val="auto"/>
                <w:sz w:val="24"/>
                <w:szCs w:val="24"/>
                <w:highlight w:val="none"/>
              </w:rPr>
              <w:t>书面承诺</w:t>
            </w:r>
            <w:r>
              <w:rPr>
                <w:rFonts w:hint="eastAsia" w:ascii="宋体" w:hAnsi="宋体" w:eastAsia="宋体" w:cs="宋体"/>
                <w:i w:val="0"/>
                <w:iCs w:val="0"/>
                <w:caps w:val="0"/>
                <w:color w:val="auto"/>
                <w:spacing w:val="0"/>
                <w:sz w:val="24"/>
                <w:szCs w:val="24"/>
                <w:highlight w:val="none"/>
                <w:lang w:val="en-US" w:eastAsia="zh-CN"/>
              </w:rPr>
              <w:t>》</w:t>
            </w:r>
          </w:p>
        </w:tc>
      </w:tr>
      <w:tr w14:paraId="20FE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071BFC5A">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1067" w:type="pct"/>
            <w:noWrap w:val="0"/>
            <w:vAlign w:val="center"/>
          </w:tcPr>
          <w:p w14:paraId="46F918BB">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2595" w:type="pct"/>
            <w:noWrap w:val="0"/>
            <w:vAlign w:val="center"/>
          </w:tcPr>
          <w:p w14:paraId="58C880A2">
            <w:pPr>
              <w:pStyle w:val="19"/>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投标保证金或电子保函</w:t>
            </w:r>
          </w:p>
        </w:tc>
        <w:tc>
          <w:tcPr>
            <w:tcW w:w="882" w:type="pct"/>
            <w:noWrap w:val="0"/>
            <w:vAlign w:val="center"/>
          </w:tcPr>
          <w:p w14:paraId="7691C170">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提供投标保证金或保函凭证</w:t>
            </w:r>
          </w:p>
        </w:tc>
      </w:tr>
      <w:tr w14:paraId="0E0BC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noWrap w:val="0"/>
            <w:vAlign w:val="center"/>
          </w:tcPr>
          <w:p w14:paraId="37637980">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067" w:type="pct"/>
            <w:noWrap w:val="0"/>
            <w:vAlign w:val="center"/>
          </w:tcPr>
          <w:p w14:paraId="0CCA82CB">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2595" w:type="pct"/>
            <w:noWrap w:val="0"/>
            <w:vAlign w:val="center"/>
          </w:tcPr>
          <w:p w14:paraId="0C54712A">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本项目不接受联合体</w:t>
            </w:r>
          </w:p>
        </w:tc>
        <w:tc>
          <w:tcPr>
            <w:tcW w:w="882" w:type="pct"/>
            <w:noWrap w:val="0"/>
            <w:vAlign w:val="center"/>
          </w:tcPr>
          <w:p w14:paraId="2DD8E167">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p>
        </w:tc>
      </w:tr>
      <w:tr w14:paraId="4722E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9" w:hRule="atLeast"/>
        </w:trPr>
        <w:tc>
          <w:tcPr>
            <w:tcW w:w="454" w:type="pct"/>
            <w:noWrap w:val="0"/>
            <w:vAlign w:val="center"/>
          </w:tcPr>
          <w:p w14:paraId="3607CFCE">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default" w:ascii="宋体" w:hAnsi="宋体" w:cs="宋体"/>
                <w:color w:val="auto"/>
                <w:sz w:val="24"/>
                <w:szCs w:val="24"/>
                <w:highlight w:val="none"/>
                <w:lang w:val="en-US" w:eastAsia="zh-CN"/>
              </w:rPr>
            </w:pPr>
            <w:bookmarkStart w:id="207" w:name="_Toc99301423"/>
            <w:r>
              <w:rPr>
                <w:rFonts w:hint="eastAsia" w:ascii="宋体" w:hAnsi="宋体" w:cs="宋体"/>
                <w:color w:val="auto"/>
                <w:sz w:val="24"/>
                <w:szCs w:val="24"/>
                <w:highlight w:val="none"/>
                <w:lang w:val="en-US" w:eastAsia="zh-CN"/>
              </w:rPr>
              <w:t>10</w:t>
            </w:r>
          </w:p>
        </w:tc>
        <w:tc>
          <w:tcPr>
            <w:tcW w:w="1067" w:type="pct"/>
            <w:noWrap w:val="0"/>
            <w:vAlign w:val="center"/>
          </w:tcPr>
          <w:p w14:paraId="4DF78BF4">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中小企业政策</w:t>
            </w:r>
          </w:p>
        </w:tc>
        <w:tc>
          <w:tcPr>
            <w:tcW w:w="2595" w:type="pct"/>
            <w:noWrap w:val="0"/>
            <w:vAlign w:val="center"/>
          </w:tcPr>
          <w:p w14:paraId="6F3BE227">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采购包整体专门面向中小企业。供应商须符合本项目采购标的对应行业政策划分标准的中小企业。监狱企业、残疾人福利单位视同小型、微型企业。注：中小企业以供应商填写的《中小企业声明函（工程、服务）》（见投标文件格式）为判定标准，残疾人福利性单位以供应商填写的《残疾人福利性单位声明函》（见投标文件格式）为判定标准，监狱企业须供应商提供由省级以上监狱管理局、戒毒管理局（含新疆生产建设兵团）出具的属于监狱企业的证明文件，否则不予认定。</w:t>
            </w:r>
          </w:p>
        </w:tc>
        <w:tc>
          <w:tcPr>
            <w:tcW w:w="882" w:type="pct"/>
            <w:noWrap w:val="0"/>
            <w:vAlign w:val="center"/>
          </w:tcPr>
          <w:p w14:paraId="6981BBE9">
            <w:pPr>
              <w:keepNext w:val="0"/>
              <w:keepLines w:val="0"/>
              <w:pageBreakBefore w:val="0"/>
              <w:tabs>
                <w:tab w:val="left" w:pos="1080"/>
              </w:tabs>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color w:val="auto"/>
                <w:sz w:val="24"/>
                <w:szCs w:val="24"/>
                <w:highlight w:val="none"/>
              </w:rPr>
            </w:pPr>
          </w:p>
        </w:tc>
      </w:tr>
      <w:bookmarkEnd w:id="204"/>
    </w:tbl>
    <w:p w14:paraId="1D22CD24">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第四章</w:t>
      </w:r>
      <w:bookmarkStart w:id="208" w:name="_Hlt164229061"/>
      <w:bookmarkEnd w:id="208"/>
      <w:r>
        <w:rPr>
          <w:rFonts w:hint="eastAsia" w:ascii="宋体" w:hAnsi="宋体" w:eastAsia="宋体" w:cs="宋体"/>
          <w:b/>
          <w:color w:val="auto"/>
          <w:sz w:val="36"/>
          <w:szCs w:val="36"/>
          <w:highlight w:val="none"/>
        </w:rPr>
        <w:t>评标程序、评标方法和评标标准</w:t>
      </w:r>
      <w:bookmarkEnd w:id="207"/>
    </w:p>
    <w:p w14:paraId="42ED0BA7">
      <w:pPr>
        <w:tabs>
          <w:tab w:val="left" w:pos="360"/>
          <w:tab w:val="left" w:pos="900"/>
        </w:tabs>
        <w:snapToGrid w:val="0"/>
        <w:spacing w:line="360" w:lineRule="auto"/>
        <w:jc w:val="center"/>
        <w:outlineLvl w:val="1"/>
        <w:rPr>
          <w:rFonts w:hint="eastAsia" w:ascii="宋体" w:hAnsi="宋体" w:eastAsia="宋体" w:cs="宋体"/>
          <w:b/>
          <w:color w:val="auto"/>
          <w:highlight w:val="none"/>
        </w:rPr>
      </w:pPr>
      <w:r>
        <w:rPr>
          <w:rFonts w:hint="eastAsia" w:ascii="宋体" w:hAnsi="宋体" w:eastAsia="宋体" w:cs="宋体"/>
          <w:b/>
          <w:color w:val="auto"/>
          <w:sz w:val="24"/>
          <w:highlight w:val="none"/>
        </w:rPr>
        <w:t>一、评标方法</w:t>
      </w:r>
    </w:p>
    <w:p w14:paraId="369FC35E">
      <w:pPr>
        <w:keepNext w:val="0"/>
        <w:keepLines w:val="0"/>
        <w:pageBreakBefore w:val="0"/>
        <w:widowControl w:val="0"/>
        <w:numPr>
          <w:ilvl w:val="0"/>
          <w:numId w:val="6"/>
        </w:numPr>
        <w:tabs>
          <w:tab w:val="left" w:pos="360"/>
        </w:tabs>
        <w:kinsoku/>
        <w:wordWrap/>
        <w:overflowPunct/>
        <w:topLinePunct w:val="0"/>
        <w:autoSpaceDE/>
        <w:autoSpaceDN/>
        <w:bidi w:val="0"/>
        <w:adjustRightInd/>
        <w:snapToGrid w:val="0"/>
        <w:spacing w:line="360" w:lineRule="auto"/>
        <w:ind w:left="0" w:leftChars="0" w:right="0" w:firstLine="1134" w:firstLineChars="0"/>
        <w:textAlignment w:val="auto"/>
        <w:outlineLvl w:val="1"/>
        <w:rPr>
          <w:rFonts w:hint="eastAsia" w:ascii="宋体" w:hAnsi="宋体" w:eastAsia="宋体" w:cs="宋体"/>
          <w:color w:val="auto"/>
          <w:sz w:val="24"/>
          <w:highlight w:val="none"/>
        </w:rPr>
      </w:pPr>
      <w:bookmarkStart w:id="209" w:name="_Toc164229236"/>
      <w:bookmarkStart w:id="210" w:name="_Toc164608810"/>
      <w:bookmarkStart w:id="211" w:name="_Toc150774746"/>
      <w:bookmarkStart w:id="212" w:name="_Toc127151541"/>
      <w:bookmarkStart w:id="213" w:name="_Toc195842906"/>
      <w:bookmarkStart w:id="214" w:name="_Toc265228379"/>
      <w:bookmarkStart w:id="215" w:name="_Toc150509292"/>
      <w:bookmarkStart w:id="216" w:name="_Toc164608655"/>
      <w:bookmarkStart w:id="217" w:name="_Toc164229382"/>
      <w:bookmarkStart w:id="218" w:name="_Toc151193639"/>
      <w:bookmarkStart w:id="219" w:name="_Toc151193855"/>
      <w:bookmarkStart w:id="220" w:name="_Toc142311043"/>
      <w:bookmarkStart w:id="221" w:name="_Toc151193929"/>
      <w:bookmarkStart w:id="222" w:name="_Toc164351635"/>
      <w:bookmarkStart w:id="223" w:name="_Toc305158809"/>
      <w:bookmarkStart w:id="224" w:name="_Toc264969231"/>
      <w:bookmarkStart w:id="225" w:name="_Toc151190168"/>
      <w:bookmarkStart w:id="226" w:name="_Toc127161455"/>
      <w:bookmarkStart w:id="227" w:name="_Toc305158883"/>
      <w:bookmarkStart w:id="228" w:name="_Toc150480779"/>
      <w:bookmarkStart w:id="229" w:name="_Toc226309785"/>
      <w:bookmarkStart w:id="230" w:name="_Toc151193711"/>
      <w:bookmarkStart w:id="231" w:name="_Toc127151742"/>
      <w:bookmarkStart w:id="232" w:name="_Toc226965814"/>
      <w:bookmarkStart w:id="233" w:name="_Toc150774641"/>
      <w:bookmarkStart w:id="234" w:name="_Toc149720834"/>
      <w:bookmarkStart w:id="235" w:name="_Toc226337237"/>
      <w:bookmarkStart w:id="236" w:name="_Toc151193783"/>
      <w:bookmarkStart w:id="237" w:name="_Toc226965731"/>
      <w:bookmarkStart w:id="238" w:name="_Toc353825551"/>
      <w:bookmarkStart w:id="239" w:name="_Toc353873941"/>
      <w:r>
        <w:rPr>
          <w:rFonts w:hint="eastAsia" w:ascii="宋体" w:hAnsi="宋体" w:eastAsia="宋体" w:cs="宋体"/>
          <w:color w:val="auto"/>
          <w:sz w:val="24"/>
          <w:highlight w:val="none"/>
        </w:rPr>
        <w:t>投标文件的符合性审查</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8A1AF37">
      <w:pPr>
        <w:keepNext w:val="0"/>
        <w:keepLines w:val="0"/>
        <w:pageBreakBefore w:val="0"/>
        <w:widowControl w:val="0"/>
        <w:numPr>
          <w:ilvl w:val="1"/>
          <w:numId w:val="6"/>
        </w:numPr>
        <w:tabs>
          <w:tab w:val="left" w:pos="1080"/>
        </w:tabs>
        <w:kinsoku/>
        <w:wordWrap/>
        <w:overflowPunct/>
        <w:topLinePunct w:val="0"/>
        <w:autoSpaceDE/>
        <w:autoSpaceDN/>
        <w:bidi w:val="0"/>
        <w:adjustRightInd/>
        <w:snapToGrid w:val="0"/>
        <w:spacing w:line="360" w:lineRule="auto"/>
        <w:ind w:left="0" w:leftChars="0" w:right="0" w:firstLine="1134"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评标委员会对资格审查合格的投标人的投标文件进行符合性审查，以确定其是否满足招标文件的实质性要求。</w:t>
      </w:r>
      <w:bookmarkStart w:id="240" w:name="_Toc520356167"/>
    </w:p>
    <w:p w14:paraId="7694A07E">
      <w:pPr>
        <w:keepNext w:val="0"/>
        <w:keepLines w:val="0"/>
        <w:pageBreakBefore w:val="0"/>
        <w:widowControl w:val="0"/>
        <w:numPr>
          <w:ilvl w:val="1"/>
          <w:numId w:val="6"/>
        </w:numPr>
        <w:tabs>
          <w:tab w:val="left" w:pos="1080"/>
        </w:tabs>
        <w:kinsoku/>
        <w:wordWrap/>
        <w:overflowPunct/>
        <w:topLinePunct w:val="0"/>
        <w:autoSpaceDE/>
        <w:autoSpaceDN/>
        <w:bidi w:val="0"/>
        <w:adjustRightInd/>
        <w:snapToGrid w:val="0"/>
        <w:spacing w:line="360" w:lineRule="auto"/>
        <w:ind w:left="0" w:leftChars="0" w:right="0" w:firstLine="1134"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0"/>
      <w:r>
        <w:rPr>
          <w:rFonts w:hint="eastAsia" w:ascii="宋体" w:hAnsi="宋体" w:eastAsia="宋体" w:cs="宋体"/>
          <w:color w:val="auto"/>
          <w:sz w:val="24"/>
          <w:highlight w:val="none"/>
        </w:rPr>
        <w:t>要求的，</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10F0499">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符合性审查要求</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943"/>
        <w:gridCol w:w="7215"/>
      </w:tblGrid>
      <w:tr w14:paraId="2EF0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14:paraId="2C5DD1F2">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975" w:type="pct"/>
            <w:noWrap w:val="0"/>
            <w:vAlign w:val="center"/>
          </w:tcPr>
          <w:p w14:paraId="50EB865B">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审查因素</w:t>
            </w:r>
          </w:p>
        </w:tc>
        <w:tc>
          <w:tcPr>
            <w:tcW w:w="3620" w:type="pct"/>
            <w:noWrap w:val="0"/>
            <w:vAlign w:val="center"/>
          </w:tcPr>
          <w:p w14:paraId="68F96EC0">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审查内容</w:t>
            </w:r>
          </w:p>
        </w:tc>
      </w:tr>
      <w:tr w14:paraId="4EFC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00129E50">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75" w:type="pct"/>
            <w:noWrap w:val="0"/>
            <w:vAlign w:val="center"/>
          </w:tcPr>
          <w:p w14:paraId="7BFC3009">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授权委托书</w:t>
            </w:r>
          </w:p>
        </w:tc>
        <w:tc>
          <w:tcPr>
            <w:tcW w:w="3620" w:type="pct"/>
            <w:noWrap w:val="0"/>
            <w:vAlign w:val="center"/>
          </w:tcPr>
          <w:p w14:paraId="2CA095F2">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按招标文件要求提供授权委托书；</w:t>
            </w:r>
          </w:p>
        </w:tc>
      </w:tr>
      <w:tr w14:paraId="79AF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385C27B">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75" w:type="pct"/>
            <w:noWrap w:val="0"/>
            <w:vAlign w:val="center"/>
          </w:tcPr>
          <w:p w14:paraId="48AEBEAB">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投标完整性</w:t>
            </w:r>
          </w:p>
        </w:tc>
        <w:tc>
          <w:tcPr>
            <w:tcW w:w="3620" w:type="pct"/>
            <w:noWrap w:val="0"/>
            <w:vAlign w:val="center"/>
          </w:tcPr>
          <w:p w14:paraId="43E11979">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未将一个采购包中的内容拆开投标；</w:t>
            </w:r>
          </w:p>
        </w:tc>
      </w:tr>
      <w:tr w14:paraId="4873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CFE54E6">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75" w:type="pct"/>
            <w:noWrap w:val="0"/>
            <w:vAlign w:val="center"/>
          </w:tcPr>
          <w:p w14:paraId="22188173">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3620" w:type="pct"/>
            <w:noWrap w:val="0"/>
            <w:vAlign w:val="center"/>
          </w:tcPr>
          <w:p w14:paraId="6B2A396F">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投标报价未超过招标文件中规定的项目/采购包预算金额或者项目/采购包最高限价；</w:t>
            </w:r>
          </w:p>
        </w:tc>
      </w:tr>
      <w:tr w14:paraId="2E13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5412C3B">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75" w:type="pct"/>
            <w:noWrap w:val="0"/>
            <w:vAlign w:val="center"/>
          </w:tcPr>
          <w:p w14:paraId="2A8C6FE8">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报价唯一性</w:t>
            </w:r>
          </w:p>
        </w:tc>
        <w:tc>
          <w:tcPr>
            <w:tcW w:w="3620" w:type="pct"/>
            <w:noWrap w:val="0"/>
            <w:vAlign w:val="center"/>
          </w:tcPr>
          <w:p w14:paraId="68EADE25">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投标文件未出现可选择性或可调整的报价（招标文件另有规定的除外）；</w:t>
            </w:r>
          </w:p>
        </w:tc>
      </w:tr>
      <w:tr w14:paraId="2545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F9B7971">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75" w:type="pct"/>
            <w:noWrap w:val="0"/>
            <w:vAlign w:val="center"/>
          </w:tcPr>
          <w:p w14:paraId="7CA58054">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3620" w:type="pct"/>
            <w:noWrap w:val="0"/>
            <w:vAlign w:val="center"/>
          </w:tcPr>
          <w:p w14:paraId="70DCA1CE">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投标文件中承诺的投标有效期满足招标文件中载明的投标有效期的；</w:t>
            </w:r>
          </w:p>
        </w:tc>
      </w:tr>
      <w:tr w14:paraId="10C8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4077991">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75" w:type="pct"/>
            <w:noWrap w:val="0"/>
            <w:vAlign w:val="center"/>
          </w:tcPr>
          <w:p w14:paraId="55434E78">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签署、盖章</w:t>
            </w:r>
          </w:p>
        </w:tc>
        <w:tc>
          <w:tcPr>
            <w:tcW w:w="3620" w:type="pct"/>
            <w:noWrap w:val="0"/>
            <w:vAlign w:val="center"/>
          </w:tcPr>
          <w:p w14:paraId="264E0024">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按照招标文件要求签署、盖章的；</w:t>
            </w:r>
          </w:p>
        </w:tc>
      </w:tr>
      <w:tr w14:paraId="4EB3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36A0DD0">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975" w:type="pct"/>
            <w:noWrap w:val="0"/>
            <w:vAlign w:val="center"/>
          </w:tcPr>
          <w:p w14:paraId="22F4CA46">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实质性格式</w:t>
            </w:r>
          </w:p>
        </w:tc>
        <w:tc>
          <w:tcPr>
            <w:tcW w:w="3620" w:type="pct"/>
            <w:noWrap w:val="0"/>
            <w:vAlign w:val="center"/>
          </w:tcPr>
          <w:p w14:paraId="2751704B">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标记为“实质性格式”的文件均按招标文件要求提供；</w:t>
            </w:r>
          </w:p>
        </w:tc>
      </w:tr>
      <w:tr w14:paraId="7B28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DE58AC1">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975" w:type="pct"/>
            <w:noWrap w:val="0"/>
            <w:vAlign w:val="center"/>
          </w:tcPr>
          <w:p w14:paraId="698F201F">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★号条款响应</w:t>
            </w:r>
          </w:p>
        </w:tc>
        <w:tc>
          <w:tcPr>
            <w:tcW w:w="3620" w:type="pct"/>
            <w:noWrap w:val="0"/>
            <w:vAlign w:val="center"/>
          </w:tcPr>
          <w:p w14:paraId="4AFA74FD">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投标文件满足招标文件第五章《采购需求》中★号条款要求的；</w:t>
            </w:r>
          </w:p>
        </w:tc>
      </w:tr>
      <w:tr w14:paraId="0BC2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6917604">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975" w:type="pct"/>
            <w:noWrap w:val="0"/>
            <w:vAlign w:val="center"/>
          </w:tcPr>
          <w:p w14:paraId="038DEC5F">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分包承担主体资质（如有）</w:t>
            </w:r>
          </w:p>
        </w:tc>
        <w:tc>
          <w:tcPr>
            <w:tcW w:w="3620" w:type="pct"/>
            <w:noWrap w:val="0"/>
            <w:vAlign w:val="center"/>
          </w:tcPr>
          <w:p w14:paraId="0121C5A6">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分包承担主体具备《投标人须知资料表》载明的资质条件且提供了资质证书电子件（如有）；</w:t>
            </w:r>
          </w:p>
        </w:tc>
      </w:tr>
      <w:tr w14:paraId="17F8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4CAEE67F">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75" w:type="pct"/>
            <w:noWrap w:val="0"/>
            <w:vAlign w:val="center"/>
          </w:tcPr>
          <w:p w14:paraId="55EEBCA5">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分包意向协议</w:t>
            </w:r>
          </w:p>
          <w:p w14:paraId="20D3E0A1">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w:t>
            </w:r>
          </w:p>
        </w:tc>
        <w:tc>
          <w:tcPr>
            <w:tcW w:w="3620" w:type="pct"/>
            <w:noWrap w:val="0"/>
            <w:vAlign w:val="center"/>
          </w:tcPr>
          <w:p w14:paraId="31807D50">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按招标文件规定签订并提供分包意向协议原件的电子件的；（如有）</w:t>
            </w:r>
          </w:p>
        </w:tc>
      </w:tr>
      <w:tr w14:paraId="2CDD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7671294">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975" w:type="pct"/>
            <w:noWrap w:val="0"/>
            <w:vAlign w:val="center"/>
          </w:tcPr>
          <w:p w14:paraId="23ACB822">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报价的修正（如有）</w:t>
            </w:r>
          </w:p>
        </w:tc>
        <w:tc>
          <w:tcPr>
            <w:tcW w:w="3620" w:type="pct"/>
            <w:noWrap w:val="0"/>
            <w:vAlign w:val="center"/>
          </w:tcPr>
          <w:p w14:paraId="56EC5956">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不涉及报价修正，或投标文件报价出现前后不一致时，投标人对修正后的报价予以确认；（如有）</w:t>
            </w:r>
          </w:p>
        </w:tc>
      </w:tr>
      <w:tr w14:paraId="3C9E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0C8CFBD">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975" w:type="pct"/>
            <w:noWrap w:val="0"/>
            <w:vAlign w:val="center"/>
          </w:tcPr>
          <w:p w14:paraId="5AE09423">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报价合理性</w:t>
            </w:r>
          </w:p>
        </w:tc>
        <w:tc>
          <w:tcPr>
            <w:tcW w:w="3620" w:type="pct"/>
            <w:noWrap w:val="0"/>
            <w:vAlign w:val="center"/>
          </w:tcPr>
          <w:p w14:paraId="45A7E6FF">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报价合理，或投标人的报价明显低于其他通过符合性审查投标人的报价，有可能影响产品质量或者不能诚信履约的，能够应评标委员会要求在规定时间内证明其报价合理性的；</w:t>
            </w:r>
          </w:p>
        </w:tc>
      </w:tr>
      <w:tr w14:paraId="2528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A04A2C6">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975" w:type="pct"/>
            <w:noWrap w:val="0"/>
            <w:vAlign w:val="center"/>
          </w:tcPr>
          <w:p w14:paraId="73DA8C11">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进口产品（如有）</w:t>
            </w:r>
          </w:p>
        </w:tc>
        <w:tc>
          <w:tcPr>
            <w:tcW w:w="3620" w:type="pct"/>
            <w:noWrap w:val="0"/>
            <w:vAlign w:val="center"/>
          </w:tcPr>
          <w:p w14:paraId="7A6381B3">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招标文件不接受进口产品投标的内容时，投标人所投产品非进口产品的；</w:t>
            </w:r>
          </w:p>
        </w:tc>
      </w:tr>
      <w:tr w14:paraId="7A7B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20100EC8">
            <w:pPr>
              <w:tabs>
                <w:tab w:val="left" w:pos="1080"/>
              </w:tabs>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975" w:type="pct"/>
            <w:noWrap w:val="0"/>
            <w:vAlign w:val="center"/>
          </w:tcPr>
          <w:p w14:paraId="227CF816">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公平竞争</w:t>
            </w:r>
          </w:p>
        </w:tc>
        <w:tc>
          <w:tcPr>
            <w:tcW w:w="3620" w:type="pct"/>
            <w:noWrap w:val="0"/>
            <w:vAlign w:val="center"/>
          </w:tcPr>
          <w:p w14:paraId="2D60B392">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投标人遵循公平竞争的原则，不存在恶意串通，妨碍其他投标人的竞争行为，不存在损害采购人或者其他投标人的合法权益情形的；</w:t>
            </w:r>
          </w:p>
        </w:tc>
      </w:tr>
      <w:tr w14:paraId="0C67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178D92E">
            <w:pPr>
              <w:tabs>
                <w:tab w:val="left" w:pos="1080"/>
              </w:tabs>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975" w:type="pct"/>
            <w:noWrap w:val="0"/>
            <w:vAlign w:val="center"/>
          </w:tcPr>
          <w:p w14:paraId="0696B2F3">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串通投标</w:t>
            </w:r>
          </w:p>
        </w:tc>
        <w:tc>
          <w:tcPr>
            <w:tcW w:w="3620" w:type="pct"/>
            <w:noWrap w:val="0"/>
            <w:vAlign w:val="center"/>
          </w:tcPr>
          <w:p w14:paraId="50138C34">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EFF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744A14D">
            <w:pPr>
              <w:tabs>
                <w:tab w:val="left" w:pos="1080"/>
              </w:tabs>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975" w:type="pct"/>
            <w:noWrap w:val="0"/>
            <w:vAlign w:val="center"/>
          </w:tcPr>
          <w:p w14:paraId="6D3657BF">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附加条件</w:t>
            </w:r>
          </w:p>
        </w:tc>
        <w:tc>
          <w:tcPr>
            <w:tcW w:w="3620" w:type="pct"/>
            <w:noWrap w:val="0"/>
            <w:vAlign w:val="center"/>
          </w:tcPr>
          <w:p w14:paraId="415BC64B">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投标文件未含有采购人不能接受的附加条件的；</w:t>
            </w:r>
          </w:p>
        </w:tc>
      </w:tr>
      <w:tr w14:paraId="58B3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301BA88">
            <w:pPr>
              <w:tabs>
                <w:tab w:val="left" w:pos="1080"/>
              </w:tabs>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p>
        </w:tc>
        <w:tc>
          <w:tcPr>
            <w:tcW w:w="975" w:type="pct"/>
            <w:noWrap w:val="0"/>
            <w:vAlign w:val="center"/>
          </w:tcPr>
          <w:p w14:paraId="00F13A37">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其他无效情形</w:t>
            </w:r>
          </w:p>
        </w:tc>
        <w:tc>
          <w:tcPr>
            <w:tcW w:w="3620" w:type="pct"/>
            <w:noWrap w:val="0"/>
            <w:vAlign w:val="center"/>
          </w:tcPr>
          <w:p w14:paraId="1F1984D2">
            <w:pPr>
              <w:tabs>
                <w:tab w:val="left" w:pos="108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投标人、投标文件不存在不符合</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和招标文件规定的其他无效情形。</w:t>
            </w:r>
          </w:p>
        </w:tc>
      </w:tr>
    </w:tbl>
    <w:p w14:paraId="56357B7D">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480" w:firstLineChars="200"/>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投标文件有关事项的澄清或者说明</w:t>
      </w:r>
    </w:p>
    <w:p w14:paraId="3F02D848">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AE897A0">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评标委员会认为投标人的报价明显低于其他通过符合性审</w:t>
      </w:r>
      <w:r>
        <w:rPr>
          <w:rFonts w:hint="eastAsia" w:ascii="宋体" w:hAnsi="宋体" w:cs="宋体"/>
          <w:color w:val="auto"/>
          <w:sz w:val="24"/>
          <w:highlight w:val="none"/>
          <w:lang w:eastAsia="zh-CN"/>
        </w:rPr>
        <w:t>查的</w:t>
      </w:r>
      <w:r>
        <w:rPr>
          <w:rFonts w:hint="eastAsia" w:ascii="宋体" w:hAnsi="宋体" w:eastAsia="宋体" w:cs="宋体"/>
          <w:color w:val="auto"/>
          <w:sz w:val="24"/>
          <w:highlight w:val="none"/>
        </w:rPr>
        <w:t>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color w:val="auto"/>
          <w:sz w:val="24"/>
          <w:highlight w:val="none"/>
        </w:rPr>
        <w:t>无效投标处理</w:t>
      </w:r>
      <w:r>
        <w:rPr>
          <w:rFonts w:hint="eastAsia" w:ascii="宋体" w:hAnsi="宋体" w:eastAsia="宋体" w:cs="宋体"/>
          <w:color w:val="auto"/>
          <w:sz w:val="24"/>
          <w:highlight w:val="none"/>
        </w:rPr>
        <w:t>。</w:t>
      </w:r>
    </w:p>
    <w:p w14:paraId="1E304BF8">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6626F07">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投标文件报价出现前后不一致的，按照下列规定修正：</w:t>
      </w:r>
    </w:p>
    <w:p w14:paraId="787CB2AC">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招标文件对于报价修正是否另有规定：</w:t>
      </w:r>
    </w:p>
    <w:p w14:paraId="2948FC41">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□有，具体规定为：______________</w:t>
      </w:r>
    </w:p>
    <w:p w14:paraId="68BB90D4">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无，按下述2.4.2-2.4.7项规定修正。</w:t>
      </w:r>
    </w:p>
    <w:p w14:paraId="68A60162">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单独递交的开标一览表（报价表）与投标文件中开标一览表（报价表）内容不一致的，以单独递交的开标一览表（报价表）为准；</w:t>
      </w:r>
    </w:p>
    <w:p w14:paraId="11801826">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投标文件中开标一览表（报价表）内容与投标文件中相应内容不一致的，以开标一览表（报价表）为准；</w:t>
      </w:r>
    </w:p>
    <w:p w14:paraId="244C060B">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14:paraId="65659CC4">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单价金额小数点或者百分比有明显错位的，以开标一览表的总价为准，并修改单价；</w:t>
      </w:r>
    </w:p>
    <w:p w14:paraId="598836FB">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14:paraId="057BF654">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DDBA4E2">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落实政府采购政策的价格调整：只有符合第二章《投标人须知》规定情形的，可以享受中小企业扶持政策，用扣除后的价格参加评审；否则，评标时价格不予扣除。</w:t>
      </w:r>
    </w:p>
    <w:p w14:paraId="74946E98">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对于未预留份额专门面向中小企业采购的采购项目，以及预留份额项目中的非预留部分采购包，对小微企业报价给予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%的扣除，用扣除后的价格参加评审。</w:t>
      </w:r>
    </w:p>
    <w:p w14:paraId="14DB4F38">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0%以上的联合体或者大中型企业的报价给予</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%的扣除，用扣除后的价格参加评审。</w:t>
      </w:r>
    </w:p>
    <w:p w14:paraId="3EA3D46D">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组成联合体或者接受分包的小微企业与联合体内其他企业、分包企业之间存在直接控股、管理关系的，不享受价格扣除优惠政策。</w:t>
      </w:r>
    </w:p>
    <w:p w14:paraId="08B47E9B">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价格扣除比例对小型企业和微型企业同等对待，不作区分。</w:t>
      </w:r>
    </w:p>
    <w:p w14:paraId="28119070">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中小企业参加政府采购活动，应当按照招标文件给定的格式出具《中小企业声明函》，否则不得享受相关中小企业扶持政策。</w:t>
      </w:r>
    </w:p>
    <w:p w14:paraId="76AD2F76">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监狱企业提供了由省级以上监狱管理局（北京市含教育矫治局）、戒毒管理局（含新疆生产建设兵团）出具的属于监狱企业的证明文件的，视同小微企业。</w:t>
      </w:r>
    </w:p>
    <w:p w14:paraId="5E98ACEE">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残疾人福利性单位按招标文件要求提供了《残疾人福利性单位声明函》（见附件）的，视同小微企业。</w:t>
      </w:r>
    </w:p>
    <w:p w14:paraId="3EE062F2">
      <w:pPr>
        <w:keepNext w:val="0"/>
        <w:keepLines w:val="0"/>
        <w:pageBreakBefore w:val="0"/>
        <w:widowControl w:val="0"/>
        <w:numPr>
          <w:ilvl w:val="2"/>
          <w:numId w:val="6"/>
        </w:numPr>
        <w:tabs>
          <w:tab w:val="left" w:pos="1080"/>
          <w:tab w:val="left" w:pos="1589"/>
          <w:tab w:val="left" w:pos="2014"/>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若投标人同时属于小型或微型企业、监狱企业、残疾人福利性单位中的两种及以上，将不重复享受小微企业价格扣减的优惠政策。</w:t>
      </w:r>
    </w:p>
    <w:p w14:paraId="2E8DA83B">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480" w:firstLineChars="200"/>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投标文件的比较和评价</w:t>
      </w:r>
      <w:bookmarkEnd w:id="238"/>
      <w:bookmarkEnd w:id="239"/>
    </w:p>
    <w:p w14:paraId="1545523C">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4629E34A">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评标方法和评标标准</w:t>
      </w:r>
    </w:p>
    <w:p w14:paraId="33FCF078">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本项目采用的评标方法为：</w:t>
      </w:r>
    </w:p>
    <w:p w14:paraId="656C0335">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358BA51">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□最低评标价法，指投标文件满足招标文件全部实质性要求，且投标报价最低的投标人为中标候选人的评标方法。</w:t>
      </w:r>
    </w:p>
    <w:p w14:paraId="1F853491">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678416D">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随机抽取</w:t>
      </w:r>
    </w:p>
    <w:p w14:paraId="0E7D798B">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□其他方式，具体要求：_____</w:t>
      </w:r>
    </w:p>
    <w:p w14:paraId="503F07E8">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非政府强制采购的节能产品或环境标志产品，依据品目清单和认证证书实施政府优先采购。优先采购的具体规定（如涉及）_____。</w:t>
      </w:r>
    </w:p>
    <w:p w14:paraId="1A1DDD4C">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关于无线局域网认证产品政府采购清单中的产品，优先采购的具体规定（如涉及）。</w:t>
      </w:r>
    </w:p>
    <w:p w14:paraId="16C2936D">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480" w:firstLineChars="200"/>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确定</w:t>
      </w:r>
      <w:bookmarkStart w:id="241" w:name="_Toc264969236"/>
      <w:bookmarkStart w:id="242" w:name="_Toc150509297"/>
      <w:bookmarkStart w:id="243" w:name="_Toc142311048"/>
      <w:bookmarkStart w:id="244" w:name="_Toc164351640"/>
      <w:bookmarkStart w:id="245" w:name="_Toc164229241"/>
      <w:bookmarkStart w:id="246" w:name="_Toc226965736"/>
      <w:bookmarkStart w:id="247" w:name="_Toc150774751"/>
      <w:bookmarkStart w:id="248" w:name="_Toc127151546"/>
      <w:bookmarkStart w:id="249" w:name="_Toc226337242"/>
      <w:bookmarkStart w:id="250" w:name="_Toc127161460"/>
      <w:bookmarkStart w:id="251" w:name="_Toc164229387"/>
      <w:bookmarkStart w:id="252" w:name="_Toc151193644"/>
      <w:bookmarkStart w:id="253" w:name="_Toc151193860"/>
      <w:bookmarkStart w:id="254" w:name="_Toc164608660"/>
      <w:bookmarkStart w:id="255" w:name="_Toc265228384"/>
      <w:bookmarkStart w:id="256" w:name="_Toc151193716"/>
      <w:bookmarkStart w:id="257" w:name="_Toc151193788"/>
      <w:bookmarkStart w:id="258" w:name="_Toc305158814"/>
      <w:bookmarkStart w:id="259" w:name="_Ref467307010"/>
      <w:bookmarkStart w:id="260" w:name="_Toc151190173"/>
      <w:bookmarkStart w:id="261" w:name="_Toc305158888"/>
      <w:bookmarkStart w:id="262" w:name="_Toc226965819"/>
      <w:bookmarkStart w:id="263" w:name="_Toc520356170"/>
      <w:bookmarkStart w:id="264" w:name="_Toc164608815"/>
      <w:bookmarkStart w:id="265" w:name="_Toc149720839"/>
      <w:bookmarkStart w:id="266" w:name="_Toc151193934"/>
      <w:bookmarkStart w:id="267" w:name="_Toc226309790"/>
      <w:bookmarkStart w:id="268" w:name="_Toc150480784"/>
      <w:bookmarkStart w:id="269" w:name="_Toc150774646"/>
      <w:bookmarkStart w:id="270" w:name="_Toc127151747"/>
      <w:bookmarkStart w:id="271" w:name="_Toc195842911"/>
      <w:r>
        <w:rPr>
          <w:rFonts w:hint="eastAsia" w:ascii="宋体" w:hAnsi="宋体" w:eastAsia="宋体" w:cs="宋体"/>
          <w:color w:val="auto"/>
          <w:sz w:val="24"/>
          <w:highlight w:val="none"/>
        </w:rPr>
        <w:t>中标候选人名单</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5D40301">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671193D">
      <w:pPr>
        <w:pStyle w:val="14"/>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□随机抽取</w:t>
      </w:r>
    </w:p>
    <w:p w14:paraId="0FFBBD86">
      <w:pPr>
        <w:pStyle w:val="14"/>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□其他方式，具体要求：_____</w:t>
      </w:r>
    </w:p>
    <w:p w14:paraId="3AD66D03">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1C36C62">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44FA4CED">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评标委员会要对评分汇总情况进行复核，特别是对排名第一的、报价最低的、投标或响应文件被认定为无效的情形进行重点复核。</w:t>
      </w:r>
    </w:p>
    <w:p w14:paraId="2D5E0A8F">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评标委员会将根据各投标人的评标排序，依次推荐本项目（各采购包）的中标候选人，起草并签署评标报告。本项目（各采购包）评标委员会共（各）推荐___名中标候选人。</w:t>
      </w:r>
    </w:p>
    <w:p w14:paraId="3B803091">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480" w:firstLineChars="200"/>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14:paraId="31537D9A">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评标委员会在评标过程中发现投标人有行贿、提供虚假材料或者串通等违法行为时，有向采购人、采购代理机构或者有关部门报告的职责。</w:t>
      </w:r>
      <w:bookmarkStart w:id="272" w:name="_Toc99301424"/>
    </w:p>
    <w:p w14:paraId="1AD8F374">
      <w:pPr>
        <w:keepNext w:val="0"/>
        <w:keepLines w:val="0"/>
        <w:pageBreakBefore w:val="0"/>
        <w:widowControl w:val="0"/>
        <w:numPr>
          <w:ilvl w:val="0"/>
          <w:numId w:val="0"/>
        </w:numPr>
        <w:tabs>
          <w:tab w:val="left" w:pos="1080"/>
        </w:tabs>
        <w:kinsoku/>
        <w:wordWrap/>
        <w:overflowPunct/>
        <w:topLinePunct w:val="0"/>
        <w:autoSpaceDE/>
        <w:autoSpaceDN/>
        <w:bidi w:val="0"/>
        <w:snapToGrid w:val="0"/>
        <w:spacing w:line="360" w:lineRule="auto"/>
        <w:ind w:right="0" w:rightChars="0"/>
        <w:jc w:val="center"/>
        <w:textAlignment w:val="auto"/>
        <w:rPr>
          <w:rFonts w:hint="eastAsia" w:ascii="宋体" w:hAnsi="宋体" w:eastAsia="宋体" w:cs="宋体"/>
          <w:color w:val="auto"/>
          <w:highlight w:val="none"/>
        </w:rPr>
      </w:pPr>
      <w:r>
        <w:rPr>
          <w:rFonts w:hint="eastAsia" w:ascii="宋体" w:hAnsi="宋体" w:eastAsia="宋体" w:cs="宋体"/>
          <w:b/>
          <w:bCs/>
          <w:color w:val="auto"/>
          <w:sz w:val="30"/>
          <w:szCs w:val="30"/>
          <w:highlight w:val="none"/>
          <w:lang w:val="en-US" w:eastAsia="zh-CN"/>
        </w:rPr>
        <w:t>评分标准</w:t>
      </w:r>
    </w:p>
    <w:tbl>
      <w:tblPr>
        <w:tblStyle w:val="22"/>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899"/>
        <w:gridCol w:w="772"/>
        <w:gridCol w:w="6354"/>
      </w:tblGrid>
      <w:tr w14:paraId="491B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35" w:type="dxa"/>
            <w:vMerge w:val="restart"/>
            <w:noWrap w:val="0"/>
            <w:vAlign w:val="center"/>
          </w:tcPr>
          <w:p w14:paraId="3AD68262">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2"/>
                <w:szCs w:val="22"/>
                <w:highlight w:val="none"/>
              </w:rPr>
            </w:pPr>
          </w:p>
        </w:tc>
        <w:tc>
          <w:tcPr>
            <w:tcW w:w="1899" w:type="dxa"/>
            <w:noWrap w:val="0"/>
            <w:vAlign w:val="center"/>
          </w:tcPr>
          <w:p w14:paraId="4FAF2879">
            <w:pPr>
              <w:pStyle w:val="52"/>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评分内容</w:t>
            </w:r>
          </w:p>
        </w:tc>
        <w:tc>
          <w:tcPr>
            <w:tcW w:w="772" w:type="dxa"/>
            <w:noWrap w:val="0"/>
            <w:vAlign w:val="center"/>
          </w:tcPr>
          <w:p w14:paraId="0AAF1849">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分值</w:t>
            </w:r>
          </w:p>
        </w:tc>
        <w:tc>
          <w:tcPr>
            <w:tcW w:w="6354" w:type="dxa"/>
            <w:noWrap w:val="0"/>
            <w:vAlign w:val="center"/>
          </w:tcPr>
          <w:p w14:paraId="304C79F2">
            <w:pPr>
              <w:pStyle w:val="52"/>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评分内容</w:t>
            </w:r>
          </w:p>
        </w:tc>
      </w:tr>
      <w:tr w14:paraId="4AEC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35" w:type="dxa"/>
            <w:vMerge w:val="continue"/>
            <w:noWrap w:val="0"/>
            <w:vAlign w:val="center"/>
          </w:tcPr>
          <w:p w14:paraId="60F46F73">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4"/>
                <w:szCs w:val="24"/>
                <w:highlight w:val="none"/>
              </w:rPr>
            </w:pPr>
          </w:p>
        </w:tc>
        <w:tc>
          <w:tcPr>
            <w:tcW w:w="1899" w:type="dxa"/>
            <w:noWrap w:val="0"/>
            <w:vAlign w:val="center"/>
          </w:tcPr>
          <w:p w14:paraId="7B01AC2D">
            <w:pPr>
              <w:pStyle w:val="52"/>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报价得分</w:t>
            </w:r>
          </w:p>
          <w:p w14:paraId="40963DEF">
            <w:pPr>
              <w:pStyle w:val="52"/>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分）</w:t>
            </w:r>
          </w:p>
        </w:tc>
        <w:tc>
          <w:tcPr>
            <w:tcW w:w="772" w:type="dxa"/>
            <w:noWrap w:val="0"/>
            <w:vAlign w:val="center"/>
          </w:tcPr>
          <w:p w14:paraId="0BD754A0">
            <w:pPr>
              <w:pStyle w:val="52"/>
              <w:keepNext w:val="0"/>
              <w:keepLines w:val="0"/>
              <w:pageBreakBefore w:val="0"/>
              <w:kinsoku/>
              <w:wordWrap/>
              <w:overflowPunct/>
              <w:topLinePunct w:val="0"/>
              <w:autoSpaceDE/>
              <w:autoSpaceDN/>
              <w:bidi w:val="0"/>
              <w:adjustRightInd/>
              <w:snapToGrid/>
              <w:spacing w:line="240" w:lineRule="auto"/>
              <w:ind w:left="0" w:right="0" w:firstLine="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0-</w:t>
            </w:r>
            <w:r>
              <w:rPr>
                <w:rFonts w:hint="eastAsia" w:ascii="宋体" w:hAnsi="宋体" w:eastAsia="宋体" w:cs="宋体"/>
                <w:color w:val="auto"/>
                <w:kern w:val="2"/>
                <w:sz w:val="24"/>
                <w:szCs w:val="24"/>
                <w:highlight w:val="none"/>
                <w:lang w:val="en-US" w:eastAsia="zh-CN"/>
              </w:rPr>
              <w:t>30</w:t>
            </w:r>
          </w:p>
        </w:tc>
        <w:tc>
          <w:tcPr>
            <w:tcW w:w="6354" w:type="dxa"/>
            <w:noWrap w:val="0"/>
            <w:vAlign w:val="center"/>
          </w:tcPr>
          <w:p w14:paraId="4D3A804D">
            <w:pPr>
              <w:pStyle w:val="52"/>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color w:val="auto"/>
                <w:kern w:val="2"/>
                <w:sz w:val="24"/>
                <w:szCs w:val="24"/>
                <w:highlight w:val="none"/>
              </w:rPr>
            </w:pPr>
            <w:r>
              <w:rPr>
                <w:rFonts w:ascii="宋体" w:hAnsi="宋体" w:eastAsia="宋体" w:cs="宋体"/>
                <w:color w:val="auto"/>
                <w:sz w:val="24"/>
                <w:szCs w:val="24"/>
                <w:highlight w:val="none"/>
              </w:rPr>
              <w:t>投标报价得分＝（评标基准价/投标报价）×价格分值【注：满足招标文件要求且投标价格最低的投标报价为 评标基准价。】最低报价不是中标的唯一依据。因落实政府采购政策进行价格调整的，以调整后的价格计算评标基准价和投标报价。</w:t>
            </w:r>
          </w:p>
        </w:tc>
      </w:tr>
      <w:tr w14:paraId="62F3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noWrap w:val="0"/>
            <w:vAlign w:val="center"/>
          </w:tcPr>
          <w:p w14:paraId="0A8D6AD0">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default" w:ascii="宋体" w:hAnsi="宋体" w:cs="宋体"/>
                <w:color w:val="auto"/>
                <w:sz w:val="24"/>
                <w:szCs w:val="24"/>
                <w:highlight w:val="none"/>
                <w:lang w:val="en-US" w:eastAsia="zh-CN"/>
              </w:rPr>
            </w:pPr>
          </w:p>
        </w:tc>
        <w:tc>
          <w:tcPr>
            <w:tcW w:w="1899" w:type="dxa"/>
            <w:noWrap w:val="0"/>
            <w:vAlign w:val="center"/>
          </w:tcPr>
          <w:p w14:paraId="436BC93B">
            <w:pPr>
              <w:pStyle w:val="51"/>
              <w:keepNext w:val="0"/>
              <w:keepLines w:val="0"/>
              <w:pageBreakBefore w:val="0"/>
              <w:kinsoku/>
              <w:wordWrap/>
              <w:overflowPunct/>
              <w:topLinePunct w:val="0"/>
              <w:autoSpaceDE/>
              <w:autoSpaceDN/>
              <w:bidi w:val="0"/>
              <w:adjustRightInd/>
              <w:snapToGrid/>
              <w:spacing w:line="240" w:lineRule="auto"/>
              <w:ind w:left="0" w:right="0" w:firstLine="0"/>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具体技术（参数）要求响应情况</w:t>
            </w:r>
          </w:p>
        </w:tc>
        <w:tc>
          <w:tcPr>
            <w:tcW w:w="772" w:type="dxa"/>
            <w:noWrap w:val="0"/>
            <w:vAlign w:val="center"/>
          </w:tcPr>
          <w:p w14:paraId="76B9C928">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default"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10</w:t>
            </w:r>
          </w:p>
        </w:tc>
        <w:tc>
          <w:tcPr>
            <w:tcW w:w="6354" w:type="dxa"/>
            <w:noWrap w:val="0"/>
            <w:vAlign w:val="center"/>
          </w:tcPr>
          <w:p w14:paraId="083F6AAE">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hint="default" w:ascii="宋体" w:hAnsi="宋体" w:eastAsia="宋体" w:cs="宋体"/>
                <w:b/>
                <w:bCs/>
                <w:color w:val="auto"/>
                <w:kern w:val="0"/>
                <w:sz w:val="24"/>
                <w:szCs w:val="24"/>
                <w:highlight w:val="none"/>
                <w:lang w:val="en-US" w:eastAsia="zh-CN" w:bidi="ar-SA"/>
              </w:rPr>
            </w:pPr>
            <w:r>
              <w:rPr>
                <w:rFonts w:hint="eastAsia" w:ascii="宋体" w:hAnsi="宋体" w:cs="宋体"/>
                <w:color w:val="auto"/>
                <w:kern w:val="0"/>
                <w:sz w:val="24"/>
                <w:highlight w:val="none"/>
              </w:rPr>
              <w:t>根据</w:t>
            </w:r>
            <w:r>
              <w:rPr>
                <w:rFonts w:hint="eastAsia" w:cs="宋体"/>
                <w:color w:val="auto"/>
                <w:kern w:val="0"/>
                <w:sz w:val="24"/>
                <w:highlight w:val="none"/>
                <w:lang w:val="en-US" w:eastAsia="zh-CN"/>
              </w:rPr>
              <w:t>招标文件工程量清单中项目特征描述，对</w:t>
            </w:r>
            <w:r>
              <w:rPr>
                <w:rFonts w:hint="eastAsia" w:ascii="宋体" w:hAnsi="宋体" w:cs="宋体"/>
                <w:color w:val="auto"/>
                <w:kern w:val="0"/>
                <w:sz w:val="24"/>
                <w:highlight w:val="none"/>
              </w:rPr>
              <w:t>各投标人的响应情况打分，全部响应得</w:t>
            </w:r>
            <w:r>
              <w:rPr>
                <w:rFonts w:hint="eastAsia" w:cs="宋体"/>
                <w:color w:val="auto"/>
                <w:kern w:val="0"/>
                <w:sz w:val="24"/>
                <w:highlight w:val="none"/>
                <w:lang w:val="en-US" w:eastAsia="zh-CN"/>
              </w:rPr>
              <w:t>10</w:t>
            </w:r>
            <w:r>
              <w:rPr>
                <w:rFonts w:hint="eastAsia" w:ascii="宋体" w:hAnsi="宋体" w:cs="宋体"/>
                <w:color w:val="auto"/>
                <w:kern w:val="0"/>
                <w:sz w:val="24"/>
                <w:highlight w:val="none"/>
              </w:rPr>
              <w:t>分。投标人不能响应或负偏离标注“▲”的技术条款扣</w:t>
            </w:r>
            <w:r>
              <w:rPr>
                <w:rFonts w:ascii="宋体" w:hAnsi="宋体" w:cs="宋体"/>
                <w:color w:val="auto"/>
                <w:kern w:val="0"/>
                <w:sz w:val="24"/>
                <w:highlight w:val="none"/>
              </w:rPr>
              <w:t>2</w:t>
            </w:r>
            <w:r>
              <w:rPr>
                <w:rFonts w:hint="eastAsia" w:ascii="宋体" w:hAnsi="宋体" w:cs="宋体"/>
                <w:color w:val="auto"/>
                <w:kern w:val="0"/>
                <w:sz w:val="24"/>
                <w:highlight w:val="none"/>
              </w:rPr>
              <w:t>分</w:t>
            </w:r>
            <w:r>
              <w:rPr>
                <w:rFonts w:ascii="宋体" w:hAnsi="宋体" w:cs="宋体"/>
                <w:color w:val="auto"/>
                <w:kern w:val="0"/>
                <w:sz w:val="24"/>
                <w:highlight w:val="none"/>
              </w:rPr>
              <w:t>/</w:t>
            </w:r>
            <w:r>
              <w:rPr>
                <w:rFonts w:hint="eastAsia" w:ascii="宋体" w:hAnsi="宋体" w:cs="宋体"/>
                <w:color w:val="auto"/>
                <w:kern w:val="0"/>
                <w:sz w:val="24"/>
                <w:highlight w:val="none"/>
              </w:rPr>
              <w:t>项。（</w:t>
            </w:r>
            <w:r>
              <w:rPr>
                <w:rFonts w:hint="eastAsia" w:ascii="宋体" w:hAnsi="宋体" w:eastAsia="宋体" w:cs="宋体"/>
                <w:color w:val="auto"/>
                <w:sz w:val="24"/>
                <w:szCs w:val="24"/>
                <w:highlight w:val="none"/>
              </w:rPr>
              <w:t>注：投标人需</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检测报告等</w:t>
            </w:r>
            <w:r>
              <w:rPr>
                <w:rFonts w:hint="eastAsia" w:cs="宋体"/>
                <w:color w:val="auto"/>
                <w:sz w:val="24"/>
                <w:szCs w:val="24"/>
                <w:highlight w:val="none"/>
                <w:lang w:val="en-US" w:eastAsia="zh-CN"/>
              </w:rPr>
              <w:t>能体现详细参数的</w:t>
            </w:r>
            <w:r>
              <w:rPr>
                <w:rFonts w:hint="eastAsia" w:ascii="宋体" w:hAnsi="宋体" w:eastAsia="宋体" w:cs="宋体"/>
                <w:color w:val="auto"/>
                <w:sz w:val="24"/>
                <w:szCs w:val="24"/>
                <w:highlight w:val="none"/>
              </w:rPr>
              <w:t>证明文件，无证明文件依据的视为负偏离。</w:t>
            </w:r>
            <w:r>
              <w:rPr>
                <w:rFonts w:hint="eastAsia" w:ascii="宋体" w:hAnsi="宋体" w:eastAsia="宋体" w:cs="宋体"/>
                <w:b/>
                <w:bCs/>
                <w:color w:val="auto"/>
                <w:sz w:val="24"/>
                <w:szCs w:val="24"/>
                <w:highlight w:val="none"/>
              </w:rPr>
              <w:t>如虚假提供</w:t>
            </w:r>
            <w:r>
              <w:rPr>
                <w:rFonts w:hint="eastAsia" w:ascii="宋体" w:hAnsi="宋体" w:eastAsia="宋体" w:cs="宋体"/>
                <w:b/>
                <w:bCs/>
                <w:color w:val="auto"/>
                <w:sz w:val="24"/>
                <w:szCs w:val="24"/>
                <w:highlight w:val="none"/>
                <w:lang w:val="en-US" w:eastAsia="zh-CN"/>
              </w:rPr>
              <w:t>材料应标</w:t>
            </w:r>
            <w:r>
              <w:rPr>
                <w:rFonts w:hint="eastAsia" w:ascii="宋体" w:hAnsi="宋体" w:eastAsia="宋体" w:cs="宋体"/>
                <w:b/>
                <w:bCs/>
                <w:color w:val="auto"/>
                <w:sz w:val="24"/>
                <w:szCs w:val="24"/>
                <w:highlight w:val="none"/>
              </w:rPr>
              <w:t>后果自负。</w:t>
            </w:r>
            <w:r>
              <w:rPr>
                <w:rFonts w:hint="eastAsia" w:ascii="宋体" w:hAnsi="宋体" w:cs="宋体"/>
                <w:color w:val="auto"/>
                <w:kern w:val="0"/>
                <w:sz w:val="24"/>
                <w:highlight w:val="none"/>
              </w:rPr>
              <w:t>）</w:t>
            </w:r>
          </w:p>
        </w:tc>
      </w:tr>
      <w:tr w14:paraId="1F5D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noWrap w:val="0"/>
            <w:vAlign w:val="center"/>
          </w:tcPr>
          <w:p w14:paraId="127CD306">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default" w:ascii="宋体" w:hAnsi="宋体" w:cs="宋体"/>
                <w:color w:val="auto"/>
                <w:sz w:val="24"/>
                <w:szCs w:val="24"/>
                <w:highlight w:val="none"/>
                <w:lang w:val="en-US" w:eastAsia="zh-CN"/>
              </w:rPr>
            </w:pPr>
          </w:p>
        </w:tc>
        <w:tc>
          <w:tcPr>
            <w:tcW w:w="1899" w:type="dxa"/>
            <w:noWrap w:val="0"/>
            <w:vAlign w:val="center"/>
          </w:tcPr>
          <w:p w14:paraId="59E40AA5">
            <w:pPr>
              <w:keepNext w:val="0"/>
              <w:keepLines w:val="0"/>
              <w:pageBreakBefore w:val="0"/>
              <w:kinsoku/>
              <w:wordWrap/>
              <w:overflowPunct/>
              <w:topLinePunct w:val="0"/>
              <w:autoSpaceDE/>
              <w:autoSpaceDN/>
              <w:bidi w:val="0"/>
              <w:adjustRightInd/>
              <w:snapToGrid/>
              <w:spacing w:line="240" w:lineRule="auto"/>
              <w:ind w:left="0" w:right="0" w:firstLine="0"/>
              <w:jc w:val="center"/>
              <w:rPr>
                <w:rFonts w:ascii="宋体" w:hAnsi="宋体" w:eastAsia="宋体" w:cs="宋体"/>
                <w:color w:val="auto"/>
                <w:kern w:val="0"/>
                <w:sz w:val="24"/>
                <w:szCs w:val="24"/>
                <w:highlight w:val="none"/>
                <w:lang w:val="en-US" w:eastAsia="zh-CN" w:bidi="ar-SA"/>
              </w:rPr>
            </w:pPr>
          </w:p>
          <w:p w14:paraId="50D9685F">
            <w:pPr>
              <w:pStyle w:val="51"/>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项目施工方案</w:t>
            </w:r>
          </w:p>
        </w:tc>
        <w:tc>
          <w:tcPr>
            <w:tcW w:w="772" w:type="dxa"/>
            <w:noWrap w:val="0"/>
            <w:vAlign w:val="center"/>
          </w:tcPr>
          <w:p w14:paraId="46A8C7F4">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eastAsia"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10</w:t>
            </w:r>
          </w:p>
        </w:tc>
        <w:tc>
          <w:tcPr>
            <w:tcW w:w="6354" w:type="dxa"/>
            <w:noWrap w:val="0"/>
            <w:vAlign w:val="center"/>
          </w:tcPr>
          <w:p w14:paraId="7D1B6D8E">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评审小组根据供应商针对本项目提供的项目施工方案进行评审，方案内容至少包含：</w:t>
            </w:r>
          </w:p>
          <w:p w14:paraId="284A47AB">
            <w:pPr>
              <w:pStyle w:val="51"/>
              <w:keepNext w:val="0"/>
              <w:keepLines w:val="0"/>
              <w:pageBreakBefore w:val="0"/>
              <w:numPr>
                <w:ilvl w:val="0"/>
                <w:numId w:val="7"/>
              </w:numPr>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项目部各职能机构设置</w:t>
            </w:r>
            <w:r>
              <w:rPr>
                <w:rFonts w:hint="eastAsia" w:ascii="宋体" w:hAnsi="宋体" w:eastAsia="宋体" w:cs="宋体"/>
                <w:color w:val="auto"/>
                <w:kern w:val="0"/>
                <w:sz w:val="24"/>
                <w:szCs w:val="24"/>
                <w:highlight w:val="none"/>
                <w:lang w:val="en-US" w:eastAsia="zh-CN" w:bidi="ar-SA"/>
              </w:rPr>
              <w:t>；</w:t>
            </w:r>
          </w:p>
          <w:p w14:paraId="148AD2A8">
            <w:pPr>
              <w:pStyle w:val="51"/>
              <w:keepNext w:val="0"/>
              <w:keepLines w:val="0"/>
              <w:pageBreakBefore w:val="0"/>
              <w:numPr>
                <w:ilvl w:val="0"/>
                <w:numId w:val="7"/>
              </w:numPr>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本项目施工的具体方法与流程</w:t>
            </w:r>
            <w:r>
              <w:rPr>
                <w:rFonts w:hint="eastAsia" w:ascii="宋体" w:hAnsi="宋体" w:eastAsia="宋体" w:cs="宋体"/>
                <w:color w:val="auto"/>
                <w:kern w:val="0"/>
                <w:sz w:val="24"/>
                <w:szCs w:val="24"/>
                <w:highlight w:val="none"/>
                <w:lang w:val="en-US" w:eastAsia="zh-CN" w:bidi="ar-SA"/>
              </w:rPr>
              <w:t>；</w:t>
            </w:r>
          </w:p>
          <w:p w14:paraId="530765F5">
            <w:pPr>
              <w:pStyle w:val="51"/>
              <w:keepNext w:val="0"/>
              <w:keepLines w:val="0"/>
              <w:pageBreakBefore w:val="0"/>
              <w:numPr>
                <w:ilvl w:val="0"/>
                <w:numId w:val="7"/>
              </w:numPr>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施工环节的注意事项及施工现场管控措施</w:t>
            </w:r>
            <w:r>
              <w:rPr>
                <w:rFonts w:hint="eastAsia" w:ascii="宋体" w:hAnsi="宋体" w:eastAsia="宋体" w:cs="宋体"/>
                <w:color w:val="auto"/>
                <w:kern w:val="0"/>
                <w:sz w:val="24"/>
                <w:szCs w:val="24"/>
                <w:highlight w:val="none"/>
                <w:lang w:val="en-US" w:eastAsia="zh-CN" w:bidi="ar-SA"/>
              </w:rPr>
              <w:t>；</w:t>
            </w:r>
          </w:p>
          <w:p w14:paraId="7F23DA4C">
            <w:pPr>
              <w:pStyle w:val="51"/>
              <w:keepNext w:val="0"/>
              <w:keepLines w:val="0"/>
              <w:pageBreakBefore w:val="0"/>
              <w:numPr>
                <w:ilvl w:val="0"/>
                <w:numId w:val="7"/>
              </w:numPr>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施工组织管理体系</w:t>
            </w:r>
            <w:r>
              <w:rPr>
                <w:rFonts w:hint="eastAsia" w:ascii="宋体" w:hAnsi="宋体" w:eastAsia="宋体" w:cs="宋体"/>
                <w:color w:val="auto"/>
                <w:kern w:val="0"/>
                <w:sz w:val="24"/>
                <w:szCs w:val="24"/>
                <w:highlight w:val="none"/>
                <w:lang w:val="en-US" w:eastAsia="zh-CN" w:bidi="ar-SA"/>
              </w:rPr>
              <w:t>；</w:t>
            </w:r>
          </w:p>
          <w:p w14:paraId="566AA6EC">
            <w:pPr>
              <w:pStyle w:val="51"/>
              <w:keepNext w:val="0"/>
              <w:keepLines w:val="0"/>
              <w:pageBreakBefore w:val="0"/>
              <w:numPr>
                <w:ilvl w:val="0"/>
                <w:numId w:val="7"/>
              </w:numPr>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针对本项目施工过程的重难点分析及应对措施。</w:t>
            </w:r>
          </w:p>
          <w:p w14:paraId="1F1E8253">
            <w:pPr>
              <w:pStyle w:val="51"/>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rPr>
                <w:rFonts w:ascii="宋体" w:hAnsi="宋体" w:eastAsia="宋体" w:cs="宋体"/>
                <w:b/>
                <w:bCs/>
                <w:color w:val="auto"/>
                <w:kern w:val="0"/>
                <w:sz w:val="24"/>
                <w:szCs w:val="24"/>
                <w:highlight w:val="none"/>
                <w:lang w:val="en-US" w:eastAsia="zh-CN" w:bidi="ar-SA"/>
              </w:rPr>
            </w:pPr>
            <w:r>
              <w:rPr>
                <w:rFonts w:ascii="宋体" w:hAnsi="宋体" w:eastAsia="宋体" w:cs="宋体"/>
                <w:b/>
                <w:bCs/>
                <w:color w:val="auto"/>
                <w:kern w:val="0"/>
                <w:sz w:val="24"/>
                <w:szCs w:val="24"/>
                <w:highlight w:val="none"/>
                <w:lang w:val="en-US" w:eastAsia="zh-CN" w:bidi="ar-SA"/>
              </w:rPr>
              <w:t>方案完整包含以上内容且满足本项目要求得10分，每缺一项扣2分，每有一处</w:t>
            </w:r>
            <w:r>
              <w:rPr>
                <w:rFonts w:hint="eastAsia" w:cs="宋体"/>
                <w:b/>
                <w:bCs/>
                <w:color w:val="auto"/>
                <w:kern w:val="0"/>
                <w:sz w:val="24"/>
                <w:szCs w:val="24"/>
                <w:highlight w:val="none"/>
                <w:lang w:val="en-US" w:eastAsia="zh-CN" w:bidi="ar-SA"/>
              </w:rPr>
              <w:t>内容存在缺陷</w:t>
            </w:r>
            <w:r>
              <w:rPr>
                <w:rFonts w:ascii="宋体" w:hAnsi="宋体" w:eastAsia="宋体" w:cs="宋体"/>
                <w:b/>
                <w:bCs/>
                <w:color w:val="auto"/>
                <w:kern w:val="0"/>
                <w:sz w:val="24"/>
                <w:szCs w:val="24"/>
                <w:highlight w:val="none"/>
                <w:lang w:val="en-US" w:eastAsia="zh-CN" w:bidi="ar-SA"/>
              </w:rPr>
              <w:t>扣1分。</w:t>
            </w:r>
          </w:p>
          <w:p w14:paraId="56BB0186">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b/>
                <w:bCs/>
                <w:color w:val="auto"/>
                <w:kern w:val="0"/>
                <w:sz w:val="24"/>
                <w:szCs w:val="24"/>
                <w:highlight w:val="none"/>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逻辑错误、地点区域错误、内容缺失。）</w:t>
            </w:r>
          </w:p>
        </w:tc>
      </w:tr>
      <w:tr w14:paraId="642C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noWrap w:val="0"/>
            <w:vAlign w:val="center"/>
          </w:tcPr>
          <w:p w14:paraId="362E5D1E">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cs="宋体"/>
                <w:color w:val="auto"/>
                <w:sz w:val="24"/>
                <w:szCs w:val="24"/>
                <w:highlight w:val="none"/>
                <w:lang w:val="en-US" w:eastAsia="zh-CN"/>
              </w:rPr>
            </w:pPr>
          </w:p>
        </w:tc>
        <w:tc>
          <w:tcPr>
            <w:tcW w:w="1899" w:type="dxa"/>
            <w:noWrap w:val="0"/>
            <w:vAlign w:val="center"/>
          </w:tcPr>
          <w:p w14:paraId="384F6F35">
            <w:pPr>
              <w:pStyle w:val="51"/>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质量保证措施</w:t>
            </w:r>
          </w:p>
        </w:tc>
        <w:tc>
          <w:tcPr>
            <w:tcW w:w="772" w:type="dxa"/>
            <w:noWrap w:val="0"/>
            <w:vAlign w:val="center"/>
          </w:tcPr>
          <w:p w14:paraId="0DD096E1">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4</w:t>
            </w:r>
          </w:p>
        </w:tc>
        <w:tc>
          <w:tcPr>
            <w:tcW w:w="6354" w:type="dxa"/>
            <w:noWrap w:val="0"/>
            <w:vAlign w:val="center"/>
          </w:tcPr>
          <w:p w14:paraId="5729DEF3">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评审小组根据供应商针对本项目提供的质量保证措施进行评审，措施内容至少包含：</w:t>
            </w:r>
          </w:p>
          <w:p w14:paraId="26C235A8">
            <w:pPr>
              <w:pStyle w:val="51"/>
              <w:keepNext w:val="0"/>
              <w:keepLines w:val="0"/>
              <w:pageBreakBefore w:val="0"/>
              <w:numPr>
                <w:ilvl w:val="0"/>
                <w:numId w:val="8"/>
              </w:numPr>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质量管理目标</w:t>
            </w:r>
            <w:r>
              <w:rPr>
                <w:rFonts w:hint="eastAsia" w:ascii="宋体" w:hAnsi="宋体" w:eastAsia="宋体" w:cs="宋体"/>
                <w:color w:val="auto"/>
                <w:kern w:val="0"/>
                <w:sz w:val="24"/>
                <w:szCs w:val="24"/>
                <w:highlight w:val="none"/>
                <w:lang w:val="en-US" w:eastAsia="zh-CN" w:bidi="ar-SA"/>
              </w:rPr>
              <w:t>；</w:t>
            </w:r>
          </w:p>
          <w:p w14:paraId="475D1C0D">
            <w:pPr>
              <w:pStyle w:val="51"/>
              <w:keepNext w:val="0"/>
              <w:keepLines w:val="0"/>
              <w:pageBreakBefore w:val="0"/>
              <w:numPr>
                <w:ilvl w:val="0"/>
                <w:numId w:val="8"/>
              </w:numPr>
              <w:kinsoku/>
              <w:wordWrap/>
              <w:overflowPunct/>
              <w:topLinePunct w:val="0"/>
              <w:autoSpaceDE/>
              <w:autoSpaceDN/>
              <w:bidi w:val="0"/>
              <w:adjustRightInd/>
              <w:snapToGrid/>
              <w:spacing w:line="240" w:lineRule="auto"/>
              <w:ind w:left="0" w:right="0" w:firstLine="0"/>
              <w:jc w:val="both"/>
              <w:rPr>
                <w:rFonts w:hint="default"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质量管理体系</w:t>
            </w:r>
            <w:r>
              <w:rPr>
                <w:rFonts w:hint="eastAsia" w:ascii="宋体" w:hAnsi="宋体" w:eastAsia="宋体" w:cs="宋体"/>
                <w:color w:val="auto"/>
                <w:kern w:val="0"/>
                <w:sz w:val="24"/>
                <w:szCs w:val="24"/>
                <w:highlight w:val="none"/>
                <w:lang w:val="en-US" w:eastAsia="zh-CN" w:bidi="ar-SA"/>
              </w:rPr>
              <w:t>；</w:t>
            </w:r>
          </w:p>
          <w:p w14:paraId="43AFBB27">
            <w:pPr>
              <w:pStyle w:val="51"/>
              <w:keepNext w:val="0"/>
              <w:keepLines w:val="0"/>
              <w:pageBreakBefore w:val="0"/>
              <w:numPr>
                <w:ilvl w:val="0"/>
                <w:numId w:val="8"/>
              </w:numPr>
              <w:kinsoku/>
              <w:wordWrap/>
              <w:overflowPunct/>
              <w:topLinePunct w:val="0"/>
              <w:autoSpaceDE/>
              <w:autoSpaceDN/>
              <w:bidi w:val="0"/>
              <w:adjustRightInd/>
              <w:snapToGrid/>
              <w:spacing w:line="240" w:lineRule="auto"/>
              <w:ind w:left="0" w:right="0" w:firstLine="0"/>
              <w:jc w:val="both"/>
              <w:rPr>
                <w:rFonts w:hint="default"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施工原材料质量保证措施</w:t>
            </w:r>
            <w:r>
              <w:rPr>
                <w:rFonts w:hint="eastAsia" w:ascii="宋体" w:hAnsi="宋体" w:eastAsia="宋体" w:cs="宋体"/>
                <w:color w:val="auto"/>
                <w:kern w:val="0"/>
                <w:sz w:val="24"/>
                <w:szCs w:val="24"/>
                <w:highlight w:val="none"/>
                <w:lang w:val="en-US" w:eastAsia="zh-CN" w:bidi="ar-SA"/>
              </w:rPr>
              <w:t>；</w:t>
            </w:r>
          </w:p>
          <w:p w14:paraId="6D9960FA">
            <w:pPr>
              <w:pStyle w:val="51"/>
              <w:keepNext w:val="0"/>
              <w:keepLines w:val="0"/>
              <w:pageBreakBefore w:val="0"/>
              <w:numPr>
                <w:ilvl w:val="0"/>
                <w:numId w:val="8"/>
              </w:numPr>
              <w:kinsoku/>
              <w:wordWrap/>
              <w:overflowPunct/>
              <w:topLinePunct w:val="0"/>
              <w:autoSpaceDE/>
              <w:autoSpaceDN/>
              <w:bidi w:val="0"/>
              <w:adjustRightInd/>
              <w:snapToGrid/>
              <w:spacing w:line="240" w:lineRule="auto"/>
              <w:ind w:left="0" w:right="0" w:firstLine="0"/>
              <w:jc w:val="both"/>
              <w:rPr>
                <w:rFonts w:hint="default"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工程施工的质量保证措施。</w:t>
            </w:r>
          </w:p>
          <w:p w14:paraId="75CF6F02">
            <w:pPr>
              <w:pStyle w:val="51"/>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b/>
                <w:bCs/>
                <w:color w:val="auto"/>
                <w:kern w:val="0"/>
                <w:sz w:val="24"/>
                <w:szCs w:val="24"/>
                <w:highlight w:val="none"/>
                <w:lang w:val="en-US" w:eastAsia="zh-CN" w:bidi="ar-SA"/>
              </w:rPr>
              <w:t>方案完整包含以上内容且满足本项目要求得</w:t>
            </w:r>
            <w:r>
              <w:rPr>
                <w:rFonts w:hint="eastAsia" w:cs="宋体"/>
                <w:b/>
                <w:bCs/>
                <w:color w:val="auto"/>
                <w:kern w:val="0"/>
                <w:sz w:val="24"/>
                <w:szCs w:val="24"/>
                <w:highlight w:val="none"/>
                <w:lang w:val="en-US" w:eastAsia="zh-CN" w:bidi="ar-SA"/>
              </w:rPr>
              <w:t>4</w:t>
            </w:r>
            <w:r>
              <w:rPr>
                <w:rFonts w:hint="default" w:ascii="宋体" w:hAnsi="宋体" w:eastAsia="宋体" w:cs="宋体"/>
                <w:b/>
                <w:bCs/>
                <w:color w:val="auto"/>
                <w:kern w:val="0"/>
                <w:sz w:val="24"/>
                <w:szCs w:val="24"/>
                <w:highlight w:val="none"/>
                <w:lang w:val="en-US" w:eastAsia="zh-CN" w:bidi="ar-SA"/>
              </w:rPr>
              <w:t>分，每缺一项扣</w:t>
            </w:r>
            <w:r>
              <w:rPr>
                <w:rFonts w:hint="eastAsia" w:cs="宋体"/>
                <w:b/>
                <w:bCs/>
                <w:color w:val="auto"/>
                <w:kern w:val="0"/>
                <w:sz w:val="24"/>
                <w:szCs w:val="24"/>
                <w:highlight w:val="none"/>
                <w:lang w:val="en-US" w:eastAsia="zh-CN" w:bidi="ar-SA"/>
              </w:rPr>
              <w:t>1</w:t>
            </w:r>
            <w:r>
              <w:rPr>
                <w:rFonts w:hint="default" w:ascii="宋体" w:hAnsi="宋体" w:eastAsia="宋体" w:cs="宋体"/>
                <w:b/>
                <w:bCs/>
                <w:color w:val="auto"/>
                <w:kern w:val="0"/>
                <w:sz w:val="24"/>
                <w:szCs w:val="24"/>
                <w:highlight w:val="none"/>
                <w:lang w:val="en-US" w:eastAsia="zh-CN" w:bidi="ar-SA"/>
              </w:rPr>
              <w:t>分，每有一处</w:t>
            </w:r>
            <w:r>
              <w:rPr>
                <w:rFonts w:hint="eastAsia" w:ascii="宋体" w:hAnsi="宋体" w:eastAsia="宋体" w:cs="宋体"/>
                <w:b/>
                <w:bCs/>
                <w:color w:val="auto"/>
                <w:kern w:val="0"/>
                <w:sz w:val="24"/>
                <w:szCs w:val="24"/>
                <w:highlight w:val="none"/>
                <w:lang w:val="en-US" w:eastAsia="zh-CN" w:bidi="ar-SA"/>
              </w:rPr>
              <w:t>内容存在缺陷</w:t>
            </w:r>
            <w:r>
              <w:rPr>
                <w:rFonts w:hint="default" w:ascii="宋体" w:hAnsi="宋体" w:eastAsia="宋体" w:cs="宋体"/>
                <w:b/>
                <w:bCs/>
                <w:color w:val="auto"/>
                <w:kern w:val="0"/>
                <w:sz w:val="24"/>
                <w:szCs w:val="24"/>
                <w:highlight w:val="none"/>
                <w:lang w:val="en-US" w:eastAsia="zh-CN" w:bidi="ar-SA"/>
              </w:rPr>
              <w:t>扣</w:t>
            </w:r>
            <w:r>
              <w:rPr>
                <w:rFonts w:hint="eastAsia" w:cs="宋体"/>
                <w:b/>
                <w:bCs/>
                <w:color w:val="auto"/>
                <w:kern w:val="0"/>
                <w:sz w:val="24"/>
                <w:szCs w:val="24"/>
                <w:highlight w:val="none"/>
                <w:lang w:val="en-US" w:eastAsia="zh-CN" w:bidi="ar-SA"/>
              </w:rPr>
              <w:t>0.5</w:t>
            </w:r>
            <w:r>
              <w:rPr>
                <w:rFonts w:hint="default" w:ascii="宋体" w:hAnsi="宋体" w:eastAsia="宋体" w:cs="宋体"/>
                <w:b/>
                <w:bCs/>
                <w:color w:val="auto"/>
                <w:kern w:val="0"/>
                <w:sz w:val="24"/>
                <w:szCs w:val="24"/>
                <w:highlight w:val="none"/>
                <w:lang w:val="en-US" w:eastAsia="zh-CN" w:bidi="ar-SA"/>
              </w:rPr>
              <w:t>分。</w:t>
            </w:r>
            <w:r>
              <w:rPr>
                <w:rFonts w:hint="eastAsia" w:ascii="宋体" w:hAnsi="宋体" w:eastAsia="宋体" w:cs="宋体"/>
                <w:b/>
                <w:bCs/>
                <w:color w:val="auto"/>
                <w:kern w:val="0"/>
                <w:sz w:val="24"/>
                <w:szCs w:val="24"/>
                <w:highlight w:val="none"/>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逻辑错误、地点区域错误、内容缺失。）</w:t>
            </w:r>
          </w:p>
        </w:tc>
      </w:tr>
      <w:tr w14:paraId="3A7E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635" w:type="dxa"/>
            <w:vMerge w:val="continue"/>
            <w:noWrap w:val="0"/>
            <w:vAlign w:val="center"/>
          </w:tcPr>
          <w:p w14:paraId="6DF1E6C2">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cs="宋体"/>
                <w:color w:val="auto"/>
                <w:sz w:val="24"/>
                <w:szCs w:val="24"/>
                <w:highlight w:val="none"/>
                <w:lang w:val="en-US" w:eastAsia="zh-CN"/>
              </w:rPr>
            </w:pPr>
          </w:p>
        </w:tc>
        <w:tc>
          <w:tcPr>
            <w:tcW w:w="1899" w:type="dxa"/>
            <w:noWrap w:val="0"/>
            <w:vAlign w:val="center"/>
          </w:tcPr>
          <w:p w14:paraId="59B9EC18">
            <w:pPr>
              <w:pStyle w:val="51"/>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安全管理体系与措施</w:t>
            </w:r>
          </w:p>
        </w:tc>
        <w:tc>
          <w:tcPr>
            <w:tcW w:w="772" w:type="dxa"/>
            <w:noWrap w:val="0"/>
            <w:vAlign w:val="center"/>
          </w:tcPr>
          <w:p w14:paraId="3F53866B">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default"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4</w:t>
            </w:r>
          </w:p>
        </w:tc>
        <w:tc>
          <w:tcPr>
            <w:tcW w:w="6354" w:type="dxa"/>
            <w:noWrap w:val="0"/>
            <w:vAlign w:val="center"/>
          </w:tcPr>
          <w:p w14:paraId="3B0ED884">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评审小组根据供应商针对本项目提供的安全管理体系与措施进行评审，内容至少包含：</w:t>
            </w:r>
          </w:p>
          <w:p w14:paraId="23C94D1C">
            <w:pPr>
              <w:pStyle w:val="51"/>
              <w:keepNext w:val="0"/>
              <w:keepLines w:val="0"/>
              <w:pageBreakBefore w:val="0"/>
              <w:numPr>
                <w:ilvl w:val="0"/>
                <w:numId w:val="9"/>
              </w:numPr>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安全生产管理目标</w:t>
            </w:r>
            <w:r>
              <w:rPr>
                <w:rFonts w:hint="eastAsia" w:ascii="宋体" w:hAnsi="宋体" w:eastAsia="宋体" w:cs="宋体"/>
                <w:color w:val="auto"/>
                <w:kern w:val="0"/>
                <w:sz w:val="24"/>
                <w:szCs w:val="24"/>
                <w:highlight w:val="none"/>
                <w:lang w:val="en-US" w:eastAsia="zh-CN" w:bidi="ar-SA"/>
              </w:rPr>
              <w:t>；</w:t>
            </w:r>
          </w:p>
          <w:p w14:paraId="58EDB3CE">
            <w:pPr>
              <w:pStyle w:val="51"/>
              <w:keepNext w:val="0"/>
              <w:keepLines w:val="0"/>
              <w:pageBreakBefore w:val="0"/>
              <w:numPr>
                <w:ilvl w:val="0"/>
                <w:numId w:val="9"/>
              </w:numPr>
              <w:kinsoku/>
              <w:wordWrap/>
              <w:overflowPunct/>
              <w:topLinePunct w:val="0"/>
              <w:autoSpaceDE/>
              <w:autoSpaceDN/>
              <w:bidi w:val="0"/>
              <w:adjustRightInd/>
              <w:snapToGrid/>
              <w:spacing w:line="240" w:lineRule="auto"/>
              <w:ind w:left="0" w:right="0" w:firstLine="0"/>
              <w:jc w:val="both"/>
              <w:rPr>
                <w:rFonts w:hint="default"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安全管理体系及职责划分</w:t>
            </w:r>
            <w:r>
              <w:rPr>
                <w:rFonts w:hint="eastAsia" w:ascii="宋体" w:hAnsi="宋体" w:eastAsia="宋体" w:cs="宋体"/>
                <w:color w:val="auto"/>
                <w:kern w:val="0"/>
                <w:sz w:val="24"/>
                <w:szCs w:val="24"/>
                <w:highlight w:val="none"/>
                <w:lang w:val="en-US" w:eastAsia="zh-CN" w:bidi="ar-SA"/>
              </w:rPr>
              <w:t>；</w:t>
            </w:r>
          </w:p>
          <w:p w14:paraId="3420C396">
            <w:pPr>
              <w:pStyle w:val="51"/>
              <w:keepNext w:val="0"/>
              <w:keepLines w:val="0"/>
              <w:pageBreakBefore w:val="0"/>
              <w:numPr>
                <w:ilvl w:val="0"/>
                <w:numId w:val="9"/>
              </w:numPr>
              <w:kinsoku/>
              <w:wordWrap/>
              <w:overflowPunct/>
              <w:topLinePunct w:val="0"/>
              <w:autoSpaceDE/>
              <w:autoSpaceDN/>
              <w:bidi w:val="0"/>
              <w:adjustRightInd/>
              <w:snapToGrid/>
              <w:spacing w:line="240" w:lineRule="auto"/>
              <w:ind w:left="0" w:right="0" w:firstLine="0"/>
              <w:jc w:val="both"/>
              <w:rPr>
                <w:rFonts w:hint="default"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安全技术措施</w:t>
            </w:r>
            <w:r>
              <w:rPr>
                <w:rFonts w:hint="eastAsia" w:ascii="宋体" w:hAnsi="宋体" w:eastAsia="宋体" w:cs="宋体"/>
                <w:color w:val="auto"/>
                <w:kern w:val="0"/>
                <w:sz w:val="24"/>
                <w:szCs w:val="24"/>
                <w:highlight w:val="none"/>
                <w:lang w:val="en-US" w:eastAsia="zh-CN" w:bidi="ar-SA"/>
              </w:rPr>
              <w:t>；</w:t>
            </w:r>
          </w:p>
          <w:p w14:paraId="275D0975">
            <w:pPr>
              <w:pStyle w:val="51"/>
              <w:keepNext w:val="0"/>
              <w:keepLines w:val="0"/>
              <w:pageBreakBefore w:val="0"/>
              <w:numPr>
                <w:ilvl w:val="0"/>
                <w:numId w:val="9"/>
              </w:numPr>
              <w:kinsoku/>
              <w:wordWrap/>
              <w:overflowPunct/>
              <w:topLinePunct w:val="0"/>
              <w:autoSpaceDE/>
              <w:autoSpaceDN/>
              <w:bidi w:val="0"/>
              <w:adjustRightInd/>
              <w:snapToGrid/>
              <w:spacing w:line="240" w:lineRule="auto"/>
              <w:ind w:left="0" w:right="0" w:firstLine="0"/>
              <w:jc w:val="both"/>
              <w:rPr>
                <w:rFonts w:hint="default"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安全应急救援预案。</w:t>
            </w:r>
          </w:p>
          <w:p w14:paraId="31387861">
            <w:pPr>
              <w:pStyle w:val="51"/>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b/>
                <w:bCs/>
                <w:color w:val="auto"/>
                <w:kern w:val="0"/>
                <w:sz w:val="24"/>
                <w:szCs w:val="24"/>
                <w:highlight w:val="none"/>
                <w:lang w:val="en-US" w:eastAsia="zh-CN" w:bidi="ar-SA"/>
              </w:rPr>
              <w:t>方案完整包含以上内容且满足本项目要求得</w:t>
            </w:r>
            <w:r>
              <w:rPr>
                <w:rFonts w:hint="eastAsia" w:cs="宋体"/>
                <w:b/>
                <w:bCs/>
                <w:color w:val="auto"/>
                <w:kern w:val="0"/>
                <w:sz w:val="24"/>
                <w:szCs w:val="24"/>
                <w:highlight w:val="none"/>
                <w:lang w:val="en-US" w:eastAsia="zh-CN" w:bidi="ar-SA"/>
              </w:rPr>
              <w:t>4</w:t>
            </w:r>
            <w:r>
              <w:rPr>
                <w:rFonts w:hint="default" w:ascii="宋体" w:hAnsi="宋体" w:eastAsia="宋体" w:cs="宋体"/>
                <w:b/>
                <w:bCs/>
                <w:color w:val="auto"/>
                <w:kern w:val="0"/>
                <w:sz w:val="24"/>
                <w:szCs w:val="24"/>
                <w:highlight w:val="none"/>
                <w:lang w:val="en-US" w:eastAsia="zh-CN" w:bidi="ar-SA"/>
              </w:rPr>
              <w:t>分，每缺一项扣</w:t>
            </w:r>
            <w:r>
              <w:rPr>
                <w:rFonts w:hint="eastAsia" w:cs="宋体"/>
                <w:b/>
                <w:bCs/>
                <w:color w:val="auto"/>
                <w:kern w:val="0"/>
                <w:sz w:val="24"/>
                <w:szCs w:val="24"/>
                <w:highlight w:val="none"/>
                <w:lang w:val="en-US" w:eastAsia="zh-CN" w:bidi="ar-SA"/>
              </w:rPr>
              <w:t>1</w:t>
            </w:r>
            <w:r>
              <w:rPr>
                <w:rFonts w:hint="default" w:ascii="宋体" w:hAnsi="宋体" w:eastAsia="宋体" w:cs="宋体"/>
                <w:b/>
                <w:bCs/>
                <w:color w:val="auto"/>
                <w:kern w:val="0"/>
                <w:sz w:val="24"/>
                <w:szCs w:val="24"/>
                <w:highlight w:val="none"/>
                <w:lang w:val="en-US" w:eastAsia="zh-CN" w:bidi="ar-SA"/>
              </w:rPr>
              <w:t>分，每有一处</w:t>
            </w:r>
            <w:r>
              <w:rPr>
                <w:rFonts w:hint="eastAsia" w:ascii="宋体" w:hAnsi="宋体" w:eastAsia="宋体" w:cs="宋体"/>
                <w:b/>
                <w:bCs/>
                <w:color w:val="auto"/>
                <w:kern w:val="0"/>
                <w:sz w:val="24"/>
                <w:szCs w:val="24"/>
                <w:highlight w:val="none"/>
                <w:lang w:val="en-US" w:eastAsia="zh-CN" w:bidi="ar-SA"/>
              </w:rPr>
              <w:t>内容存在缺陷</w:t>
            </w:r>
            <w:r>
              <w:rPr>
                <w:rFonts w:hint="default" w:ascii="宋体" w:hAnsi="宋体" w:eastAsia="宋体" w:cs="宋体"/>
                <w:b/>
                <w:bCs/>
                <w:color w:val="auto"/>
                <w:kern w:val="0"/>
                <w:sz w:val="24"/>
                <w:szCs w:val="24"/>
                <w:highlight w:val="none"/>
                <w:lang w:val="en-US" w:eastAsia="zh-CN" w:bidi="ar-SA"/>
              </w:rPr>
              <w:t>扣</w:t>
            </w:r>
            <w:r>
              <w:rPr>
                <w:rFonts w:hint="eastAsia" w:cs="宋体"/>
                <w:b/>
                <w:bCs/>
                <w:color w:val="auto"/>
                <w:kern w:val="0"/>
                <w:sz w:val="24"/>
                <w:szCs w:val="24"/>
                <w:highlight w:val="none"/>
                <w:lang w:val="en-US" w:eastAsia="zh-CN" w:bidi="ar-SA"/>
              </w:rPr>
              <w:t>0.5</w:t>
            </w:r>
            <w:r>
              <w:rPr>
                <w:rFonts w:hint="default" w:ascii="宋体" w:hAnsi="宋体" w:eastAsia="宋体" w:cs="宋体"/>
                <w:b/>
                <w:bCs/>
                <w:color w:val="auto"/>
                <w:kern w:val="0"/>
                <w:sz w:val="24"/>
                <w:szCs w:val="24"/>
                <w:highlight w:val="none"/>
                <w:lang w:val="en-US" w:eastAsia="zh-CN" w:bidi="ar-SA"/>
              </w:rPr>
              <w:t>分。</w:t>
            </w:r>
            <w:r>
              <w:rPr>
                <w:rFonts w:hint="eastAsia" w:ascii="宋体" w:hAnsi="宋体" w:eastAsia="宋体" w:cs="宋体"/>
                <w:b/>
                <w:bCs/>
                <w:color w:val="auto"/>
                <w:kern w:val="0"/>
                <w:sz w:val="24"/>
                <w:szCs w:val="24"/>
                <w:highlight w:val="none"/>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逻辑错误、地点区域错误、内容缺失。）</w:t>
            </w:r>
          </w:p>
        </w:tc>
      </w:tr>
      <w:tr w14:paraId="231F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Merge w:val="continue"/>
            <w:noWrap w:val="0"/>
            <w:vAlign w:val="center"/>
          </w:tcPr>
          <w:p w14:paraId="5616F0F1">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default" w:ascii="宋体" w:hAnsi="宋体" w:cs="宋体"/>
                <w:color w:val="auto"/>
                <w:sz w:val="24"/>
                <w:szCs w:val="24"/>
                <w:highlight w:val="none"/>
                <w:lang w:val="en-US" w:eastAsia="zh-CN"/>
              </w:rPr>
            </w:pPr>
          </w:p>
        </w:tc>
        <w:tc>
          <w:tcPr>
            <w:tcW w:w="1899" w:type="dxa"/>
            <w:noWrap w:val="0"/>
            <w:vAlign w:val="center"/>
          </w:tcPr>
          <w:p w14:paraId="25FD5315">
            <w:pPr>
              <w:pStyle w:val="51"/>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环保和文明施工措施</w:t>
            </w:r>
          </w:p>
        </w:tc>
        <w:tc>
          <w:tcPr>
            <w:tcW w:w="772" w:type="dxa"/>
            <w:noWrap w:val="0"/>
            <w:vAlign w:val="center"/>
          </w:tcPr>
          <w:p w14:paraId="788BE60C">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default"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8</w:t>
            </w:r>
          </w:p>
        </w:tc>
        <w:tc>
          <w:tcPr>
            <w:tcW w:w="6354" w:type="dxa"/>
            <w:noWrap w:val="0"/>
            <w:vAlign w:val="center"/>
          </w:tcPr>
          <w:p w14:paraId="54246FDF">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评审小组根据供应商针对本项目提供的环保和文明施工措施进行评审，方案内容至少包含：</w:t>
            </w:r>
          </w:p>
          <w:p w14:paraId="24C402C5">
            <w:pPr>
              <w:pStyle w:val="51"/>
              <w:keepNext w:val="0"/>
              <w:keepLines w:val="0"/>
              <w:pageBreakBefore w:val="0"/>
              <w:numPr>
                <w:ilvl w:val="0"/>
                <w:numId w:val="10"/>
              </w:numPr>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环境保护管理目标</w:t>
            </w:r>
            <w:r>
              <w:rPr>
                <w:rFonts w:hint="eastAsia" w:ascii="宋体" w:hAnsi="宋体" w:eastAsia="宋体" w:cs="宋体"/>
                <w:color w:val="auto"/>
                <w:kern w:val="0"/>
                <w:sz w:val="24"/>
                <w:szCs w:val="24"/>
                <w:highlight w:val="none"/>
                <w:lang w:val="en-US" w:eastAsia="zh-CN" w:bidi="ar-SA"/>
              </w:rPr>
              <w:t>；</w:t>
            </w:r>
          </w:p>
          <w:p w14:paraId="4DA78CCD">
            <w:pPr>
              <w:pStyle w:val="51"/>
              <w:keepNext w:val="0"/>
              <w:keepLines w:val="0"/>
              <w:pageBreakBefore w:val="0"/>
              <w:numPr>
                <w:ilvl w:val="0"/>
                <w:numId w:val="10"/>
              </w:numPr>
              <w:kinsoku/>
              <w:wordWrap/>
              <w:overflowPunct/>
              <w:topLinePunct w:val="0"/>
              <w:autoSpaceDE/>
              <w:autoSpaceDN/>
              <w:bidi w:val="0"/>
              <w:adjustRightInd/>
              <w:snapToGrid/>
              <w:spacing w:line="240" w:lineRule="auto"/>
              <w:ind w:left="0" w:right="0" w:firstLine="0"/>
              <w:jc w:val="both"/>
              <w:rPr>
                <w:rFonts w:hint="default"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噪音控制管理措施</w:t>
            </w:r>
            <w:r>
              <w:rPr>
                <w:rFonts w:hint="eastAsia" w:ascii="宋体" w:hAnsi="宋体" w:eastAsia="宋体" w:cs="宋体"/>
                <w:color w:val="auto"/>
                <w:kern w:val="0"/>
                <w:sz w:val="24"/>
                <w:szCs w:val="24"/>
                <w:highlight w:val="none"/>
                <w:lang w:val="en-US" w:eastAsia="zh-CN" w:bidi="ar-SA"/>
              </w:rPr>
              <w:t>；</w:t>
            </w:r>
          </w:p>
          <w:p w14:paraId="107F42A7">
            <w:pPr>
              <w:pStyle w:val="51"/>
              <w:keepNext w:val="0"/>
              <w:keepLines w:val="0"/>
              <w:pageBreakBefore w:val="0"/>
              <w:numPr>
                <w:ilvl w:val="0"/>
                <w:numId w:val="10"/>
              </w:numPr>
              <w:kinsoku/>
              <w:wordWrap/>
              <w:overflowPunct/>
              <w:topLinePunct w:val="0"/>
              <w:autoSpaceDE/>
              <w:autoSpaceDN/>
              <w:bidi w:val="0"/>
              <w:adjustRightInd/>
              <w:snapToGrid/>
              <w:spacing w:line="240" w:lineRule="auto"/>
              <w:ind w:left="0" w:right="0" w:firstLine="0"/>
              <w:jc w:val="both"/>
              <w:rPr>
                <w:rFonts w:hint="default"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扬尘管理措施</w:t>
            </w:r>
            <w:r>
              <w:rPr>
                <w:rFonts w:hint="eastAsia" w:ascii="宋体" w:hAnsi="宋体" w:eastAsia="宋体" w:cs="宋体"/>
                <w:color w:val="auto"/>
                <w:kern w:val="0"/>
                <w:sz w:val="24"/>
                <w:szCs w:val="24"/>
                <w:highlight w:val="none"/>
                <w:lang w:val="en-US" w:eastAsia="zh-CN" w:bidi="ar-SA"/>
              </w:rPr>
              <w:t>；</w:t>
            </w:r>
          </w:p>
          <w:p w14:paraId="6ED4B5A8">
            <w:pPr>
              <w:pStyle w:val="51"/>
              <w:keepNext w:val="0"/>
              <w:keepLines w:val="0"/>
              <w:pageBreakBefore w:val="0"/>
              <w:numPr>
                <w:ilvl w:val="0"/>
                <w:numId w:val="10"/>
              </w:numPr>
              <w:kinsoku/>
              <w:wordWrap/>
              <w:overflowPunct/>
              <w:topLinePunct w:val="0"/>
              <w:autoSpaceDE/>
              <w:autoSpaceDN/>
              <w:bidi w:val="0"/>
              <w:adjustRightInd/>
              <w:snapToGrid/>
              <w:spacing w:line="240" w:lineRule="auto"/>
              <w:ind w:left="0" w:right="0" w:firstLine="0"/>
              <w:jc w:val="both"/>
              <w:rPr>
                <w:rFonts w:hint="default"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施工现场环境管理和污染物处理及排放措施。</w:t>
            </w:r>
          </w:p>
          <w:p w14:paraId="20CCA563">
            <w:pPr>
              <w:pStyle w:val="51"/>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b/>
                <w:bCs/>
                <w:color w:val="auto"/>
                <w:kern w:val="0"/>
                <w:sz w:val="24"/>
                <w:szCs w:val="24"/>
                <w:highlight w:val="none"/>
                <w:lang w:val="en-US" w:eastAsia="zh-CN" w:bidi="ar-SA"/>
              </w:rPr>
              <w:t>方案完整包含以上内容且满足本项目要求得</w:t>
            </w:r>
            <w:r>
              <w:rPr>
                <w:rFonts w:hint="eastAsia" w:cs="宋体"/>
                <w:b/>
                <w:bCs/>
                <w:color w:val="auto"/>
                <w:kern w:val="0"/>
                <w:sz w:val="24"/>
                <w:szCs w:val="24"/>
                <w:highlight w:val="none"/>
                <w:lang w:val="en-US" w:eastAsia="zh-CN" w:bidi="ar-SA"/>
              </w:rPr>
              <w:t>8</w:t>
            </w:r>
            <w:r>
              <w:rPr>
                <w:rFonts w:hint="default" w:ascii="宋体" w:hAnsi="宋体" w:eastAsia="宋体" w:cs="宋体"/>
                <w:b/>
                <w:bCs/>
                <w:color w:val="auto"/>
                <w:kern w:val="0"/>
                <w:sz w:val="24"/>
                <w:szCs w:val="24"/>
                <w:highlight w:val="none"/>
                <w:lang w:val="en-US" w:eastAsia="zh-CN" w:bidi="ar-SA"/>
              </w:rPr>
              <w:t>分，每缺一项扣</w:t>
            </w:r>
            <w:r>
              <w:rPr>
                <w:rFonts w:hint="eastAsia" w:cs="宋体"/>
                <w:b/>
                <w:bCs/>
                <w:color w:val="auto"/>
                <w:kern w:val="0"/>
                <w:sz w:val="24"/>
                <w:szCs w:val="24"/>
                <w:highlight w:val="none"/>
                <w:lang w:val="en-US" w:eastAsia="zh-CN" w:bidi="ar-SA"/>
              </w:rPr>
              <w:t>2</w:t>
            </w:r>
            <w:r>
              <w:rPr>
                <w:rFonts w:hint="default" w:ascii="宋体" w:hAnsi="宋体" w:eastAsia="宋体" w:cs="宋体"/>
                <w:b/>
                <w:bCs/>
                <w:color w:val="auto"/>
                <w:kern w:val="0"/>
                <w:sz w:val="24"/>
                <w:szCs w:val="24"/>
                <w:highlight w:val="none"/>
                <w:lang w:val="en-US" w:eastAsia="zh-CN" w:bidi="ar-SA"/>
              </w:rPr>
              <w:t>分，每有一处</w:t>
            </w:r>
            <w:r>
              <w:rPr>
                <w:rFonts w:hint="eastAsia" w:ascii="宋体" w:hAnsi="宋体" w:eastAsia="宋体" w:cs="宋体"/>
                <w:b/>
                <w:bCs/>
                <w:color w:val="auto"/>
                <w:kern w:val="0"/>
                <w:sz w:val="24"/>
                <w:szCs w:val="24"/>
                <w:highlight w:val="none"/>
                <w:lang w:val="en-US" w:eastAsia="zh-CN" w:bidi="ar-SA"/>
              </w:rPr>
              <w:t>内容存在缺陷</w:t>
            </w:r>
            <w:r>
              <w:rPr>
                <w:rFonts w:hint="default" w:ascii="宋体" w:hAnsi="宋体" w:eastAsia="宋体" w:cs="宋体"/>
                <w:b/>
                <w:bCs/>
                <w:color w:val="auto"/>
                <w:kern w:val="0"/>
                <w:sz w:val="24"/>
                <w:szCs w:val="24"/>
                <w:highlight w:val="none"/>
                <w:lang w:val="en-US" w:eastAsia="zh-CN" w:bidi="ar-SA"/>
              </w:rPr>
              <w:t>扣</w:t>
            </w:r>
            <w:r>
              <w:rPr>
                <w:rFonts w:hint="eastAsia" w:cs="宋体"/>
                <w:b/>
                <w:bCs/>
                <w:color w:val="auto"/>
                <w:kern w:val="0"/>
                <w:sz w:val="24"/>
                <w:szCs w:val="24"/>
                <w:highlight w:val="none"/>
                <w:lang w:val="en-US" w:eastAsia="zh-CN" w:bidi="ar-SA"/>
              </w:rPr>
              <w:t>1</w:t>
            </w:r>
            <w:r>
              <w:rPr>
                <w:rFonts w:hint="default" w:ascii="宋体" w:hAnsi="宋体" w:eastAsia="宋体" w:cs="宋体"/>
                <w:b/>
                <w:bCs/>
                <w:color w:val="auto"/>
                <w:kern w:val="0"/>
                <w:sz w:val="24"/>
                <w:szCs w:val="24"/>
                <w:highlight w:val="none"/>
                <w:lang w:val="en-US" w:eastAsia="zh-CN" w:bidi="ar-SA"/>
              </w:rPr>
              <w:t>分。</w:t>
            </w:r>
            <w:r>
              <w:rPr>
                <w:rFonts w:hint="eastAsia" w:ascii="宋体" w:hAnsi="宋体" w:eastAsia="宋体" w:cs="宋体"/>
                <w:b/>
                <w:bCs/>
                <w:color w:val="auto"/>
                <w:kern w:val="0"/>
                <w:sz w:val="24"/>
                <w:szCs w:val="24"/>
                <w:highlight w:val="none"/>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逻辑错误、地点区域错误、内容缺失。）</w:t>
            </w:r>
          </w:p>
        </w:tc>
      </w:tr>
      <w:tr w14:paraId="6848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5" w:type="dxa"/>
            <w:vMerge w:val="continue"/>
            <w:noWrap w:val="0"/>
            <w:vAlign w:val="center"/>
          </w:tcPr>
          <w:p w14:paraId="0B0294FB">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4"/>
                <w:szCs w:val="24"/>
                <w:highlight w:val="none"/>
              </w:rPr>
            </w:pPr>
          </w:p>
        </w:tc>
        <w:tc>
          <w:tcPr>
            <w:tcW w:w="1899" w:type="dxa"/>
            <w:noWrap w:val="0"/>
            <w:vAlign w:val="center"/>
          </w:tcPr>
          <w:p w14:paraId="6EA1FB48">
            <w:pPr>
              <w:pStyle w:val="51"/>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工程进度计划</w:t>
            </w:r>
          </w:p>
        </w:tc>
        <w:tc>
          <w:tcPr>
            <w:tcW w:w="772" w:type="dxa"/>
            <w:noWrap w:val="0"/>
            <w:vAlign w:val="center"/>
          </w:tcPr>
          <w:p w14:paraId="7786391F">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3</w:t>
            </w:r>
          </w:p>
        </w:tc>
        <w:tc>
          <w:tcPr>
            <w:tcW w:w="6354" w:type="dxa"/>
            <w:noWrap w:val="0"/>
            <w:vAlign w:val="center"/>
          </w:tcPr>
          <w:p w14:paraId="3CBA7506">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评审小组根据供应商针对本项目提供的工程进度计划方案进行评审，方案内容至少包含：</w:t>
            </w:r>
          </w:p>
          <w:p w14:paraId="28F76F6E">
            <w:pPr>
              <w:pStyle w:val="51"/>
              <w:keepNext w:val="0"/>
              <w:keepLines w:val="0"/>
              <w:pageBreakBefore w:val="0"/>
              <w:numPr>
                <w:ilvl w:val="0"/>
                <w:numId w:val="11"/>
              </w:numPr>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工程进度计划时间安排及计划</w:t>
            </w:r>
            <w:r>
              <w:rPr>
                <w:rFonts w:hint="eastAsia" w:ascii="宋体" w:hAnsi="宋体" w:eastAsia="宋体" w:cs="宋体"/>
                <w:color w:val="auto"/>
                <w:kern w:val="0"/>
                <w:sz w:val="24"/>
                <w:szCs w:val="24"/>
                <w:highlight w:val="none"/>
                <w:lang w:val="en-US" w:eastAsia="zh-CN" w:bidi="ar-SA"/>
              </w:rPr>
              <w:t>；</w:t>
            </w:r>
          </w:p>
          <w:p w14:paraId="1AE4F45E">
            <w:pPr>
              <w:pStyle w:val="51"/>
              <w:keepNext w:val="0"/>
              <w:keepLines w:val="0"/>
              <w:pageBreakBefore w:val="0"/>
              <w:numPr>
                <w:ilvl w:val="0"/>
                <w:numId w:val="11"/>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影响工程施工的因素分析及解决措施</w:t>
            </w:r>
            <w:r>
              <w:rPr>
                <w:rFonts w:hint="eastAsia" w:ascii="宋体" w:hAnsi="宋体" w:eastAsia="宋体" w:cs="宋体"/>
                <w:color w:val="auto"/>
                <w:kern w:val="0"/>
                <w:sz w:val="24"/>
                <w:szCs w:val="24"/>
                <w:highlight w:val="none"/>
                <w:lang w:val="en-US" w:eastAsia="zh-CN" w:bidi="ar-SA"/>
              </w:rPr>
              <w:t>；</w:t>
            </w:r>
          </w:p>
          <w:p w14:paraId="20B77268">
            <w:pPr>
              <w:pStyle w:val="51"/>
              <w:keepNext w:val="0"/>
              <w:keepLines w:val="0"/>
              <w:pageBreakBefore w:val="0"/>
              <w:numPr>
                <w:ilvl w:val="0"/>
                <w:numId w:val="11"/>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进度保障措施。</w:t>
            </w:r>
          </w:p>
          <w:p w14:paraId="5F050CE6">
            <w:pPr>
              <w:pStyle w:val="51"/>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rPr>
                <w:rFonts w:hint="eastAsia" w:ascii="宋体" w:hAnsi="宋体" w:eastAsia="宋体" w:cs="宋体"/>
                <w:color w:val="auto"/>
                <w:kern w:val="0"/>
                <w:sz w:val="24"/>
                <w:szCs w:val="24"/>
                <w:highlight w:val="none"/>
                <w:lang w:val="en-US" w:eastAsia="zh-CN" w:bidi="ar-SA"/>
              </w:rPr>
            </w:pPr>
            <w:r>
              <w:rPr>
                <w:rFonts w:hint="default" w:ascii="宋体" w:hAnsi="宋体" w:eastAsia="宋体" w:cs="宋体"/>
                <w:b/>
                <w:bCs/>
                <w:color w:val="auto"/>
                <w:kern w:val="0"/>
                <w:sz w:val="24"/>
                <w:szCs w:val="24"/>
                <w:highlight w:val="none"/>
                <w:lang w:val="en-US" w:eastAsia="zh-CN" w:bidi="ar-SA"/>
              </w:rPr>
              <w:t>方案完整包含以上内容且满足本项目要求得</w:t>
            </w:r>
            <w:r>
              <w:rPr>
                <w:rFonts w:hint="eastAsia" w:cs="宋体"/>
                <w:b/>
                <w:bCs/>
                <w:color w:val="auto"/>
                <w:kern w:val="0"/>
                <w:sz w:val="24"/>
                <w:szCs w:val="24"/>
                <w:highlight w:val="none"/>
                <w:lang w:val="en-US" w:eastAsia="zh-CN" w:bidi="ar-SA"/>
              </w:rPr>
              <w:t>3</w:t>
            </w:r>
            <w:r>
              <w:rPr>
                <w:rFonts w:hint="default" w:ascii="宋体" w:hAnsi="宋体" w:eastAsia="宋体" w:cs="宋体"/>
                <w:b/>
                <w:bCs/>
                <w:color w:val="auto"/>
                <w:kern w:val="0"/>
                <w:sz w:val="24"/>
                <w:szCs w:val="24"/>
                <w:highlight w:val="none"/>
                <w:lang w:val="en-US" w:eastAsia="zh-CN" w:bidi="ar-SA"/>
              </w:rPr>
              <w:t>分，每缺一项扣</w:t>
            </w:r>
            <w:r>
              <w:rPr>
                <w:rFonts w:hint="eastAsia" w:cs="宋体"/>
                <w:b/>
                <w:bCs/>
                <w:color w:val="auto"/>
                <w:kern w:val="0"/>
                <w:sz w:val="24"/>
                <w:szCs w:val="24"/>
                <w:highlight w:val="none"/>
                <w:lang w:val="en-US" w:eastAsia="zh-CN" w:bidi="ar-SA"/>
              </w:rPr>
              <w:t>1</w:t>
            </w:r>
            <w:r>
              <w:rPr>
                <w:rFonts w:hint="default" w:ascii="宋体" w:hAnsi="宋体" w:eastAsia="宋体" w:cs="宋体"/>
                <w:b/>
                <w:bCs/>
                <w:color w:val="auto"/>
                <w:kern w:val="0"/>
                <w:sz w:val="24"/>
                <w:szCs w:val="24"/>
                <w:highlight w:val="none"/>
                <w:lang w:val="en-US" w:eastAsia="zh-CN" w:bidi="ar-SA"/>
              </w:rPr>
              <w:t>分，每有一处</w:t>
            </w:r>
            <w:r>
              <w:rPr>
                <w:rFonts w:hint="eastAsia" w:ascii="宋体" w:hAnsi="宋体" w:eastAsia="宋体" w:cs="宋体"/>
                <w:b/>
                <w:bCs/>
                <w:color w:val="auto"/>
                <w:kern w:val="0"/>
                <w:sz w:val="24"/>
                <w:szCs w:val="24"/>
                <w:highlight w:val="none"/>
                <w:lang w:val="en-US" w:eastAsia="zh-CN" w:bidi="ar-SA"/>
              </w:rPr>
              <w:t>内容存在缺陷</w:t>
            </w:r>
            <w:r>
              <w:rPr>
                <w:rFonts w:hint="default" w:ascii="宋体" w:hAnsi="宋体" w:eastAsia="宋体" w:cs="宋体"/>
                <w:b/>
                <w:bCs/>
                <w:color w:val="auto"/>
                <w:kern w:val="0"/>
                <w:sz w:val="24"/>
                <w:szCs w:val="24"/>
                <w:highlight w:val="none"/>
                <w:lang w:val="en-US" w:eastAsia="zh-CN" w:bidi="ar-SA"/>
              </w:rPr>
              <w:t>扣</w:t>
            </w:r>
            <w:r>
              <w:rPr>
                <w:rFonts w:hint="eastAsia" w:cs="宋体"/>
                <w:b/>
                <w:bCs/>
                <w:color w:val="auto"/>
                <w:kern w:val="0"/>
                <w:sz w:val="24"/>
                <w:szCs w:val="24"/>
                <w:highlight w:val="none"/>
                <w:lang w:val="en-US" w:eastAsia="zh-CN" w:bidi="ar-SA"/>
              </w:rPr>
              <w:t>0.5</w:t>
            </w:r>
            <w:r>
              <w:rPr>
                <w:rFonts w:hint="default" w:ascii="宋体" w:hAnsi="宋体" w:eastAsia="宋体" w:cs="宋体"/>
                <w:b/>
                <w:bCs/>
                <w:color w:val="auto"/>
                <w:kern w:val="0"/>
                <w:sz w:val="24"/>
                <w:szCs w:val="24"/>
                <w:highlight w:val="none"/>
                <w:lang w:val="en-US" w:eastAsia="zh-CN" w:bidi="ar-SA"/>
              </w:rPr>
              <w:t>分。</w:t>
            </w:r>
            <w:r>
              <w:rPr>
                <w:rFonts w:hint="eastAsia" w:ascii="宋体" w:hAnsi="宋体" w:eastAsia="宋体" w:cs="宋体"/>
                <w:b/>
                <w:bCs/>
                <w:color w:val="auto"/>
                <w:kern w:val="0"/>
                <w:sz w:val="24"/>
                <w:szCs w:val="24"/>
                <w:highlight w:val="none"/>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逻辑错误、地点区域错误、内容缺失。）</w:t>
            </w:r>
          </w:p>
        </w:tc>
      </w:tr>
      <w:tr w14:paraId="1990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35" w:type="dxa"/>
            <w:vMerge w:val="continue"/>
            <w:noWrap w:val="0"/>
            <w:vAlign w:val="center"/>
          </w:tcPr>
          <w:p w14:paraId="67F19B9D">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4"/>
                <w:szCs w:val="24"/>
                <w:highlight w:val="none"/>
                <w:lang w:val="en-US" w:eastAsia="zh-CN"/>
              </w:rPr>
            </w:pPr>
          </w:p>
        </w:tc>
        <w:tc>
          <w:tcPr>
            <w:tcW w:w="1899" w:type="dxa"/>
            <w:noWrap w:val="0"/>
            <w:vAlign w:val="center"/>
          </w:tcPr>
          <w:p w14:paraId="13AAD0FF">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eastAsia"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应急预案</w:t>
            </w:r>
          </w:p>
        </w:tc>
        <w:tc>
          <w:tcPr>
            <w:tcW w:w="772" w:type="dxa"/>
            <w:noWrap w:val="0"/>
            <w:vAlign w:val="center"/>
          </w:tcPr>
          <w:p w14:paraId="791340D0">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default"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8</w:t>
            </w:r>
          </w:p>
        </w:tc>
        <w:tc>
          <w:tcPr>
            <w:tcW w:w="6354" w:type="dxa"/>
            <w:noWrap w:val="0"/>
            <w:vAlign w:val="center"/>
          </w:tcPr>
          <w:p w14:paraId="2F13E9FD">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评审小组根据供应商针对本项目提供的应急预案进行评审，方案内容至少包含：</w:t>
            </w:r>
          </w:p>
          <w:p w14:paraId="684F1736">
            <w:pPr>
              <w:pStyle w:val="51"/>
              <w:keepNext w:val="0"/>
              <w:keepLines w:val="0"/>
              <w:pageBreakBefore w:val="0"/>
              <w:numPr>
                <w:ilvl w:val="0"/>
                <w:numId w:val="12"/>
              </w:numPr>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应急预案的方针与原则</w:t>
            </w:r>
            <w:r>
              <w:rPr>
                <w:rFonts w:hint="eastAsia" w:ascii="宋体" w:hAnsi="宋体" w:eastAsia="宋体" w:cs="宋体"/>
                <w:color w:val="auto"/>
                <w:kern w:val="0"/>
                <w:sz w:val="24"/>
                <w:szCs w:val="24"/>
                <w:highlight w:val="none"/>
                <w:lang w:val="en-US" w:eastAsia="zh-CN" w:bidi="ar-SA"/>
              </w:rPr>
              <w:t>；</w:t>
            </w:r>
          </w:p>
          <w:p w14:paraId="13CF4CCF">
            <w:pPr>
              <w:pStyle w:val="51"/>
              <w:keepNext w:val="0"/>
              <w:keepLines w:val="0"/>
              <w:pageBreakBefore w:val="0"/>
              <w:numPr>
                <w:ilvl w:val="0"/>
                <w:numId w:val="12"/>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应急保证措施</w:t>
            </w:r>
            <w:r>
              <w:rPr>
                <w:rFonts w:hint="eastAsia" w:ascii="宋体" w:hAnsi="宋体" w:eastAsia="宋体" w:cs="宋体"/>
                <w:color w:val="auto"/>
                <w:kern w:val="0"/>
                <w:sz w:val="24"/>
                <w:szCs w:val="24"/>
                <w:highlight w:val="none"/>
                <w:lang w:val="en-US" w:eastAsia="zh-CN" w:bidi="ar-SA"/>
              </w:rPr>
              <w:t>；</w:t>
            </w:r>
          </w:p>
          <w:p w14:paraId="3A01A922">
            <w:pPr>
              <w:pStyle w:val="51"/>
              <w:keepNext w:val="0"/>
              <w:keepLines w:val="0"/>
              <w:pageBreakBefore w:val="0"/>
              <w:numPr>
                <w:ilvl w:val="0"/>
                <w:numId w:val="12"/>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应急事故发生处理流程</w:t>
            </w:r>
            <w:r>
              <w:rPr>
                <w:rFonts w:hint="eastAsia" w:ascii="宋体" w:hAnsi="宋体" w:eastAsia="宋体" w:cs="宋体"/>
                <w:color w:val="auto"/>
                <w:kern w:val="0"/>
                <w:sz w:val="24"/>
                <w:szCs w:val="24"/>
                <w:highlight w:val="none"/>
                <w:lang w:val="en-US" w:eastAsia="zh-CN" w:bidi="ar-SA"/>
              </w:rPr>
              <w:t>；</w:t>
            </w:r>
          </w:p>
          <w:p w14:paraId="10F8F952">
            <w:pPr>
              <w:pStyle w:val="51"/>
              <w:keepNext w:val="0"/>
              <w:keepLines w:val="0"/>
              <w:pageBreakBefore w:val="0"/>
              <w:numPr>
                <w:ilvl w:val="0"/>
                <w:numId w:val="12"/>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应急设备配置。</w:t>
            </w:r>
          </w:p>
          <w:p w14:paraId="53C807C0">
            <w:pPr>
              <w:pStyle w:val="51"/>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rPr>
                <w:rFonts w:hint="eastAsia" w:ascii="宋体" w:hAnsi="宋体" w:eastAsia="宋体" w:cs="宋体"/>
                <w:color w:val="auto"/>
                <w:kern w:val="0"/>
                <w:sz w:val="24"/>
                <w:szCs w:val="24"/>
                <w:highlight w:val="none"/>
                <w:lang w:val="en-US" w:eastAsia="zh-CN" w:bidi="ar-SA"/>
              </w:rPr>
            </w:pPr>
            <w:r>
              <w:rPr>
                <w:rFonts w:hint="default" w:ascii="宋体" w:hAnsi="宋体" w:eastAsia="宋体" w:cs="宋体"/>
                <w:b/>
                <w:bCs/>
                <w:color w:val="auto"/>
                <w:kern w:val="0"/>
                <w:sz w:val="24"/>
                <w:szCs w:val="24"/>
                <w:highlight w:val="none"/>
                <w:lang w:val="en-US" w:eastAsia="zh-CN" w:bidi="ar-SA"/>
              </w:rPr>
              <w:t>方案完整包含以上内容且满足本项目要求得</w:t>
            </w:r>
            <w:r>
              <w:rPr>
                <w:rFonts w:hint="eastAsia" w:cs="宋体"/>
                <w:b/>
                <w:bCs/>
                <w:color w:val="auto"/>
                <w:kern w:val="0"/>
                <w:sz w:val="24"/>
                <w:szCs w:val="24"/>
                <w:highlight w:val="none"/>
                <w:lang w:val="en-US" w:eastAsia="zh-CN" w:bidi="ar-SA"/>
              </w:rPr>
              <w:t>8</w:t>
            </w:r>
            <w:r>
              <w:rPr>
                <w:rFonts w:hint="default" w:ascii="宋体" w:hAnsi="宋体" w:eastAsia="宋体" w:cs="宋体"/>
                <w:b/>
                <w:bCs/>
                <w:color w:val="auto"/>
                <w:kern w:val="0"/>
                <w:sz w:val="24"/>
                <w:szCs w:val="24"/>
                <w:highlight w:val="none"/>
                <w:lang w:val="en-US" w:eastAsia="zh-CN" w:bidi="ar-SA"/>
              </w:rPr>
              <w:t>分，每缺一项扣</w:t>
            </w:r>
            <w:r>
              <w:rPr>
                <w:rFonts w:hint="eastAsia" w:cs="宋体"/>
                <w:b/>
                <w:bCs/>
                <w:color w:val="auto"/>
                <w:kern w:val="0"/>
                <w:sz w:val="24"/>
                <w:szCs w:val="24"/>
                <w:highlight w:val="none"/>
                <w:lang w:val="en-US" w:eastAsia="zh-CN" w:bidi="ar-SA"/>
              </w:rPr>
              <w:t>2</w:t>
            </w:r>
            <w:r>
              <w:rPr>
                <w:rFonts w:hint="default" w:ascii="宋体" w:hAnsi="宋体" w:eastAsia="宋体" w:cs="宋体"/>
                <w:b/>
                <w:bCs/>
                <w:color w:val="auto"/>
                <w:kern w:val="0"/>
                <w:sz w:val="24"/>
                <w:szCs w:val="24"/>
                <w:highlight w:val="none"/>
                <w:lang w:val="en-US" w:eastAsia="zh-CN" w:bidi="ar-SA"/>
              </w:rPr>
              <w:t>分，每有一处</w:t>
            </w:r>
            <w:r>
              <w:rPr>
                <w:rFonts w:hint="eastAsia" w:ascii="宋体" w:hAnsi="宋体" w:eastAsia="宋体" w:cs="宋体"/>
                <w:b/>
                <w:bCs/>
                <w:color w:val="auto"/>
                <w:kern w:val="0"/>
                <w:sz w:val="24"/>
                <w:szCs w:val="24"/>
                <w:highlight w:val="none"/>
                <w:lang w:val="en-US" w:eastAsia="zh-CN" w:bidi="ar-SA"/>
              </w:rPr>
              <w:t>内容存在缺陷</w:t>
            </w:r>
            <w:r>
              <w:rPr>
                <w:rFonts w:hint="default" w:ascii="宋体" w:hAnsi="宋体" w:eastAsia="宋体" w:cs="宋体"/>
                <w:b/>
                <w:bCs/>
                <w:color w:val="auto"/>
                <w:kern w:val="0"/>
                <w:sz w:val="24"/>
                <w:szCs w:val="24"/>
                <w:highlight w:val="none"/>
                <w:lang w:val="en-US" w:eastAsia="zh-CN" w:bidi="ar-SA"/>
              </w:rPr>
              <w:t>扣</w:t>
            </w:r>
            <w:r>
              <w:rPr>
                <w:rFonts w:hint="eastAsia" w:cs="宋体"/>
                <w:b/>
                <w:bCs/>
                <w:color w:val="auto"/>
                <w:kern w:val="0"/>
                <w:sz w:val="24"/>
                <w:szCs w:val="24"/>
                <w:highlight w:val="none"/>
                <w:lang w:val="en-US" w:eastAsia="zh-CN" w:bidi="ar-SA"/>
              </w:rPr>
              <w:t>1</w:t>
            </w:r>
            <w:r>
              <w:rPr>
                <w:rFonts w:hint="default" w:ascii="宋体" w:hAnsi="宋体" w:eastAsia="宋体" w:cs="宋体"/>
                <w:b/>
                <w:bCs/>
                <w:color w:val="auto"/>
                <w:kern w:val="0"/>
                <w:sz w:val="24"/>
                <w:szCs w:val="24"/>
                <w:highlight w:val="none"/>
                <w:lang w:val="en-US" w:eastAsia="zh-CN" w:bidi="ar-SA"/>
              </w:rPr>
              <w:t>分。</w:t>
            </w:r>
            <w:r>
              <w:rPr>
                <w:rFonts w:hint="eastAsia" w:ascii="宋体" w:hAnsi="宋体" w:eastAsia="宋体" w:cs="宋体"/>
                <w:b/>
                <w:bCs/>
                <w:color w:val="auto"/>
                <w:kern w:val="0"/>
                <w:sz w:val="24"/>
                <w:szCs w:val="24"/>
                <w:highlight w:val="none"/>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逻辑错误、地点区域错误、内容缺失。）</w:t>
            </w:r>
          </w:p>
        </w:tc>
      </w:tr>
      <w:tr w14:paraId="6442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35" w:type="dxa"/>
            <w:vMerge w:val="continue"/>
            <w:noWrap w:val="0"/>
            <w:vAlign w:val="center"/>
          </w:tcPr>
          <w:p w14:paraId="3F93E5CC">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4"/>
                <w:szCs w:val="24"/>
                <w:highlight w:val="none"/>
              </w:rPr>
            </w:pPr>
          </w:p>
        </w:tc>
        <w:tc>
          <w:tcPr>
            <w:tcW w:w="1899" w:type="dxa"/>
            <w:noWrap w:val="0"/>
            <w:vAlign w:val="center"/>
          </w:tcPr>
          <w:p w14:paraId="463021DD">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eastAsia"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后续服务</w:t>
            </w:r>
          </w:p>
        </w:tc>
        <w:tc>
          <w:tcPr>
            <w:tcW w:w="772" w:type="dxa"/>
            <w:noWrap w:val="0"/>
            <w:vAlign w:val="center"/>
          </w:tcPr>
          <w:p w14:paraId="17A820E3">
            <w:pPr>
              <w:pStyle w:val="51"/>
              <w:keepNext w:val="0"/>
              <w:keepLines w:val="0"/>
              <w:pageBreakBefore w:val="0"/>
              <w:kinsoku/>
              <w:wordWrap/>
              <w:overflowPunct/>
              <w:topLinePunct w:val="0"/>
              <w:autoSpaceDE/>
              <w:autoSpaceDN/>
              <w:bidi w:val="0"/>
              <w:adjustRightInd/>
              <w:snapToGrid/>
              <w:spacing w:line="240" w:lineRule="auto"/>
              <w:ind w:left="120" w:leftChars="0" w:right="0" w:firstLine="0"/>
              <w:jc w:val="center"/>
              <w:rPr>
                <w:rFonts w:hint="default"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8</w:t>
            </w:r>
          </w:p>
        </w:tc>
        <w:tc>
          <w:tcPr>
            <w:tcW w:w="6354" w:type="dxa"/>
            <w:noWrap w:val="0"/>
            <w:vAlign w:val="center"/>
          </w:tcPr>
          <w:p w14:paraId="28B1E438">
            <w:pPr>
              <w:pStyle w:val="51"/>
              <w:keepNext w:val="0"/>
              <w:keepLines w:val="0"/>
              <w:pageBreakBefore w:val="0"/>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评审小组根据供应商针对本项目提供的后续服务方案进行评审，方案内容至少包含：</w:t>
            </w:r>
          </w:p>
          <w:p w14:paraId="513EE38A">
            <w:pPr>
              <w:pStyle w:val="51"/>
              <w:keepNext w:val="0"/>
              <w:keepLines w:val="0"/>
              <w:pageBreakBefore w:val="0"/>
              <w:numPr>
                <w:ilvl w:val="0"/>
                <w:numId w:val="13"/>
              </w:numPr>
              <w:kinsoku/>
              <w:wordWrap/>
              <w:overflowPunct/>
              <w:topLinePunct w:val="0"/>
              <w:autoSpaceDE/>
              <w:autoSpaceDN/>
              <w:bidi w:val="0"/>
              <w:adjustRightInd/>
              <w:snapToGrid/>
              <w:spacing w:line="240" w:lineRule="auto"/>
              <w:ind w:left="0" w:right="0" w:firstLine="0"/>
              <w:jc w:val="both"/>
              <w:rPr>
                <w:rFonts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质保期内外服务措施</w:t>
            </w:r>
            <w:r>
              <w:rPr>
                <w:rFonts w:hint="eastAsia" w:ascii="宋体" w:hAnsi="宋体" w:eastAsia="宋体" w:cs="宋体"/>
                <w:color w:val="auto"/>
                <w:kern w:val="0"/>
                <w:sz w:val="24"/>
                <w:szCs w:val="24"/>
                <w:highlight w:val="none"/>
                <w:lang w:val="en-US" w:eastAsia="zh-CN" w:bidi="ar-SA"/>
              </w:rPr>
              <w:t>；</w:t>
            </w:r>
          </w:p>
          <w:p w14:paraId="11C54F9F">
            <w:pPr>
              <w:pStyle w:val="51"/>
              <w:keepNext w:val="0"/>
              <w:keepLines w:val="0"/>
              <w:pageBreakBefore w:val="0"/>
              <w:numPr>
                <w:ilvl w:val="0"/>
                <w:numId w:val="13"/>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响应时间及问题处理措施</w:t>
            </w:r>
            <w:r>
              <w:rPr>
                <w:rFonts w:hint="eastAsia" w:ascii="宋体" w:hAnsi="宋体" w:eastAsia="宋体" w:cs="宋体"/>
                <w:color w:val="auto"/>
                <w:kern w:val="0"/>
                <w:sz w:val="24"/>
                <w:szCs w:val="24"/>
                <w:highlight w:val="none"/>
                <w:lang w:val="en-US" w:eastAsia="zh-CN" w:bidi="ar-SA"/>
              </w:rPr>
              <w:t>；</w:t>
            </w:r>
          </w:p>
          <w:p w14:paraId="346B12DB">
            <w:pPr>
              <w:pStyle w:val="51"/>
              <w:keepNext w:val="0"/>
              <w:keepLines w:val="0"/>
              <w:pageBreakBefore w:val="0"/>
              <w:numPr>
                <w:ilvl w:val="0"/>
                <w:numId w:val="13"/>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后续服务质量保障措施</w:t>
            </w:r>
            <w:r>
              <w:rPr>
                <w:rFonts w:hint="eastAsia" w:ascii="宋体" w:hAnsi="宋体" w:eastAsia="宋体" w:cs="宋体"/>
                <w:color w:val="auto"/>
                <w:kern w:val="0"/>
                <w:sz w:val="24"/>
                <w:szCs w:val="24"/>
                <w:highlight w:val="none"/>
                <w:lang w:val="en-US" w:eastAsia="zh-CN" w:bidi="ar-SA"/>
              </w:rPr>
              <w:t>；</w:t>
            </w:r>
          </w:p>
          <w:p w14:paraId="5730F5CB">
            <w:pPr>
              <w:pStyle w:val="51"/>
              <w:keepNext w:val="0"/>
              <w:keepLines w:val="0"/>
              <w:pageBreakBefore w:val="0"/>
              <w:numPr>
                <w:ilvl w:val="0"/>
                <w:numId w:val="13"/>
              </w:numPr>
              <w:kinsoku/>
              <w:wordWrap/>
              <w:overflowPunct/>
              <w:topLinePunct w:val="0"/>
              <w:autoSpaceDE/>
              <w:autoSpaceDN/>
              <w:bidi w:val="0"/>
              <w:adjustRightInd/>
              <w:snapToGrid/>
              <w:spacing w:line="240" w:lineRule="auto"/>
              <w:ind w:left="0" w:right="0" w:firstLine="0"/>
              <w:jc w:val="both"/>
              <w:rPr>
                <w:rFonts w:hint="eastAsia" w:ascii="宋体" w:hAnsi="宋体" w:eastAsia="宋体" w:cs="宋体"/>
                <w:color w:val="auto"/>
                <w:kern w:val="0"/>
                <w:sz w:val="24"/>
                <w:szCs w:val="24"/>
                <w:highlight w:val="none"/>
                <w:lang w:val="en-US" w:eastAsia="zh-CN" w:bidi="ar-SA"/>
              </w:rPr>
            </w:pPr>
            <w:r>
              <w:rPr>
                <w:rFonts w:ascii="宋体" w:hAnsi="宋体" w:eastAsia="宋体" w:cs="宋体"/>
                <w:color w:val="auto"/>
                <w:kern w:val="0"/>
                <w:sz w:val="24"/>
                <w:szCs w:val="24"/>
                <w:highlight w:val="none"/>
                <w:lang w:val="en-US" w:eastAsia="zh-CN" w:bidi="ar-SA"/>
              </w:rPr>
              <w:t>针对本项目提供的后续服务人员配备方案及服务承诺。</w:t>
            </w:r>
          </w:p>
          <w:p w14:paraId="45F26F69">
            <w:pPr>
              <w:pStyle w:val="51"/>
              <w:keepNext w:val="0"/>
              <w:keepLines w:val="0"/>
              <w:pageBreakBefore w:val="0"/>
              <w:numPr>
                <w:ilvl w:val="0"/>
                <w:numId w:val="0"/>
              </w:numPr>
              <w:kinsoku/>
              <w:wordWrap/>
              <w:overflowPunct/>
              <w:topLinePunct w:val="0"/>
              <w:autoSpaceDE/>
              <w:autoSpaceDN/>
              <w:bidi w:val="0"/>
              <w:adjustRightInd/>
              <w:snapToGrid/>
              <w:spacing w:line="240" w:lineRule="auto"/>
              <w:ind w:leftChars="0" w:right="0" w:rightChars="0"/>
              <w:jc w:val="both"/>
              <w:rPr>
                <w:rFonts w:hint="eastAsia" w:ascii="宋体" w:hAnsi="宋体" w:eastAsia="宋体" w:cs="宋体"/>
                <w:color w:val="auto"/>
                <w:kern w:val="0"/>
                <w:sz w:val="24"/>
                <w:szCs w:val="24"/>
                <w:highlight w:val="none"/>
                <w:lang w:val="en-US" w:eastAsia="zh-CN" w:bidi="ar-SA"/>
              </w:rPr>
            </w:pPr>
            <w:r>
              <w:rPr>
                <w:rFonts w:hint="default" w:ascii="宋体" w:hAnsi="宋体" w:eastAsia="宋体" w:cs="宋体"/>
                <w:b/>
                <w:bCs/>
                <w:color w:val="auto"/>
                <w:kern w:val="0"/>
                <w:sz w:val="24"/>
                <w:szCs w:val="24"/>
                <w:highlight w:val="none"/>
                <w:lang w:val="en-US" w:eastAsia="zh-CN" w:bidi="ar-SA"/>
              </w:rPr>
              <w:t>方案完整包含以上内容且满足本项目要求得</w:t>
            </w:r>
            <w:r>
              <w:rPr>
                <w:rFonts w:hint="eastAsia" w:cs="宋体"/>
                <w:b/>
                <w:bCs/>
                <w:color w:val="auto"/>
                <w:kern w:val="0"/>
                <w:sz w:val="24"/>
                <w:szCs w:val="24"/>
                <w:highlight w:val="none"/>
                <w:lang w:val="en-US" w:eastAsia="zh-CN" w:bidi="ar-SA"/>
              </w:rPr>
              <w:t>8</w:t>
            </w:r>
            <w:r>
              <w:rPr>
                <w:rFonts w:hint="default" w:ascii="宋体" w:hAnsi="宋体" w:eastAsia="宋体" w:cs="宋体"/>
                <w:b/>
                <w:bCs/>
                <w:color w:val="auto"/>
                <w:kern w:val="0"/>
                <w:sz w:val="24"/>
                <w:szCs w:val="24"/>
                <w:highlight w:val="none"/>
                <w:lang w:val="en-US" w:eastAsia="zh-CN" w:bidi="ar-SA"/>
              </w:rPr>
              <w:t>分，每缺一项扣</w:t>
            </w:r>
            <w:r>
              <w:rPr>
                <w:rFonts w:hint="eastAsia" w:cs="宋体"/>
                <w:b/>
                <w:bCs/>
                <w:color w:val="auto"/>
                <w:kern w:val="0"/>
                <w:sz w:val="24"/>
                <w:szCs w:val="24"/>
                <w:highlight w:val="none"/>
                <w:lang w:val="en-US" w:eastAsia="zh-CN" w:bidi="ar-SA"/>
              </w:rPr>
              <w:t>2</w:t>
            </w:r>
            <w:r>
              <w:rPr>
                <w:rFonts w:hint="default" w:ascii="宋体" w:hAnsi="宋体" w:eastAsia="宋体" w:cs="宋体"/>
                <w:b/>
                <w:bCs/>
                <w:color w:val="auto"/>
                <w:kern w:val="0"/>
                <w:sz w:val="24"/>
                <w:szCs w:val="24"/>
                <w:highlight w:val="none"/>
                <w:lang w:val="en-US" w:eastAsia="zh-CN" w:bidi="ar-SA"/>
              </w:rPr>
              <w:t>分，每有一处</w:t>
            </w:r>
            <w:r>
              <w:rPr>
                <w:rFonts w:hint="eastAsia" w:ascii="宋体" w:hAnsi="宋体" w:eastAsia="宋体" w:cs="宋体"/>
                <w:b/>
                <w:bCs/>
                <w:color w:val="auto"/>
                <w:kern w:val="0"/>
                <w:sz w:val="24"/>
                <w:szCs w:val="24"/>
                <w:highlight w:val="none"/>
                <w:lang w:val="en-US" w:eastAsia="zh-CN" w:bidi="ar-SA"/>
              </w:rPr>
              <w:t>内容存在缺陷</w:t>
            </w:r>
            <w:r>
              <w:rPr>
                <w:rFonts w:hint="default" w:ascii="宋体" w:hAnsi="宋体" w:eastAsia="宋体" w:cs="宋体"/>
                <w:b/>
                <w:bCs/>
                <w:color w:val="auto"/>
                <w:kern w:val="0"/>
                <w:sz w:val="24"/>
                <w:szCs w:val="24"/>
                <w:highlight w:val="none"/>
                <w:lang w:val="en-US" w:eastAsia="zh-CN" w:bidi="ar-SA"/>
              </w:rPr>
              <w:t>扣</w:t>
            </w:r>
            <w:r>
              <w:rPr>
                <w:rFonts w:hint="eastAsia" w:cs="宋体"/>
                <w:b/>
                <w:bCs/>
                <w:color w:val="auto"/>
                <w:kern w:val="0"/>
                <w:sz w:val="24"/>
                <w:szCs w:val="24"/>
                <w:highlight w:val="none"/>
                <w:lang w:val="en-US" w:eastAsia="zh-CN" w:bidi="ar-SA"/>
              </w:rPr>
              <w:t>1</w:t>
            </w:r>
            <w:r>
              <w:rPr>
                <w:rFonts w:hint="default" w:ascii="宋体" w:hAnsi="宋体" w:eastAsia="宋体" w:cs="宋体"/>
                <w:b/>
                <w:bCs/>
                <w:color w:val="auto"/>
                <w:kern w:val="0"/>
                <w:sz w:val="24"/>
                <w:szCs w:val="24"/>
                <w:highlight w:val="none"/>
                <w:lang w:val="en-US" w:eastAsia="zh-CN" w:bidi="ar-SA"/>
              </w:rPr>
              <w:t>分。</w:t>
            </w:r>
            <w:r>
              <w:rPr>
                <w:rFonts w:hint="eastAsia" w:ascii="宋体" w:hAnsi="宋体" w:eastAsia="宋体" w:cs="宋体"/>
                <w:b/>
                <w:bCs/>
                <w:color w:val="auto"/>
                <w:kern w:val="0"/>
                <w:sz w:val="24"/>
                <w:szCs w:val="24"/>
                <w:highlight w:val="none"/>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项目方案，存在不适用项目实际情况的情形、凭空编造、内容前后不一致、前后逻辑错误、地点区域错误、内容缺失。）</w:t>
            </w:r>
          </w:p>
        </w:tc>
      </w:tr>
      <w:tr w14:paraId="5741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35" w:type="dxa"/>
            <w:vMerge w:val="continue"/>
            <w:noWrap w:val="0"/>
            <w:vAlign w:val="center"/>
          </w:tcPr>
          <w:p w14:paraId="4B279DDB">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4"/>
                <w:szCs w:val="24"/>
                <w:highlight w:val="none"/>
              </w:rPr>
            </w:pPr>
          </w:p>
        </w:tc>
        <w:tc>
          <w:tcPr>
            <w:tcW w:w="1899" w:type="dxa"/>
            <w:noWrap w:val="0"/>
            <w:vAlign w:val="center"/>
          </w:tcPr>
          <w:p w14:paraId="1E12AC7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业绩得分</w:t>
            </w:r>
          </w:p>
          <w:p w14:paraId="4976381C">
            <w:pPr>
              <w:keepNext w:val="0"/>
              <w:keepLines w:val="0"/>
              <w:pageBreakBefore w:val="0"/>
              <w:kinsoku/>
              <w:wordWrap/>
              <w:overflowPunct/>
              <w:topLinePunct w:val="0"/>
              <w:autoSpaceDE/>
              <w:autoSpaceDN/>
              <w:bidi w:val="0"/>
              <w:adjustRightInd/>
              <w:snapToGrid/>
              <w:spacing w:line="240" w:lineRule="auto"/>
              <w:ind w:left="120" w:leftChars="0" w:right="62" w:rightChars="0" w:hanging="120" w:hangingChars="50"/>
              <w:jc w:val="center"/>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6分）</w:t>
            </w:r>
          </w:p>
        </w:tc>
        <w:tc>
          <w:tcPr>
            <w:tcW w:w="772" w:type="dxa"/>
            <w:noWrap w:val="0"/>
            <w:vAlign w:val="center"/>
          </w:tcPr>
          <w:p w14:paraId="458DCF0B">
            <w:pPr>
              <w:keepLines w:val="0"/>
              <w:pageBreakBefore w:val="0"/>
              <w:kinsoku/>
              <w:wordWrap/>
              <w:overflowPunct/>
              <w:topLinePunct w:val="0"/>
              <w:autoSpaceDE/>
              <w:autoSpaceDN/>
              <w:bidi w:val="0"/>
              <w:adjustRightInd/>
              <w:spacing w:line="240" w:lineRule="auto"/>
              <w:ind w:left="120" w:leftChars="0" w:right="62" w:rightChars="0" w:hanging="120" w:hangingChars="50"/>
              <w:jc w:val="center"/>
              <w:rPr>
                <w:rFonts w:hint="eastAsia"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6354" w:type="dxa"/>
            <w:noWrap w:val="0"/>
            <w:vAlign w:val="top"/>
          </w:tcPr>
          <w:p w14:paraId="44BE7F11">
            <w:pPr>
              <w:keepLines w:val="0"/>
              <w:pageBreakBefore w:val="0"/>
              <w:kinsoku/>
              <w:wordWrap/>
              <w:overflowPunct/>
              <w:topLinePunct w:val="0"/>
              <w:autoSpaceDE/>
              <w:autoSpaceDN/>
              <w:bidi w:val="0"/>
              <w:adjustRightInd/>
              <w:snapToGrid w:val="0"/>
              <w:spacing w:line="24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按以下标准累计计分：</w:t>
            </w:r>
          </w:p>
          <w:p w14:paraId="1D72F69F">
            <w:pPr>
              <w:pStyle w:val="3"/>
              <w:keepLines w:val="0"/>
              <w:pageBreakBefore w:val="0"/>
              <w:numPr>
                <w:ilvl w:val="0"/>
                <w:numId w:val="0"/>
              </w:numPr>
              <w:kinsoku/>
              <w:wordWrap/>
              <w:overflowPunct/>
              <w:topLinePunct w:val="0"/>
              <w:autoSpaceDE/>
              <w:autoSpaceDN/>
              <w:bidi w:val="0"/>
              <w:adjustRightInd/>
              <w:spacing w:line="240" w:lineRule="auto"/>
              <w:ind w:leftChars="0"/>
              <w:rPr>
                <w:rFonts w:hint="eastAsia" w:ascii="宋体" w:hAnsi="宋体" w:eastAsia="宋体" w:cs="宋体"/>
                <w:b w:val="0"/>
                <w:snapToGrid w:val="0"/>
                <w:color w:val="auto"/>
                <w:kern w:val="2"/>
                <w:sz w:val="24"/>
                <w:szCs w:val="24"/>
                <w:highlight w:val="none"/>
                <w:lang w:val="en-US" w:eastAsia="zh-CN" w:bidi="ar-SA"/>
              </w:rPr>
            </w:pPr>
            <w:r>
              <w:rPr>
                <w:rFonts w:hint="eastAsia" w:ascii="宋体" w:hAnsi="宋体" w:eastAsia="宋体" w:cs="宋体"/>
                <w:b w:val="0"/>
                <w:snapToGrid w:val="0"/>
                <w:color w:val="auto"/>
                <w:kern w:val="2"/>
                <w:sz w:val="24"/>
                <w:szCs w:val="24"/>
                <w:highlight w:val="none"/>
                <w:lang w:val="en-US" w:eastAsia="zh-CN" w:bidi="ar-SA"/>
              </w:rPr>
              <w:t>投标人在202</w:t>
            </w:r>
            <w:r>
              <w:rPr>
                <w:rFonts w:hint="eastAsia" w:ascii="宋体" w:hAnsi="宋体" w:cs="宋体"/>
                <w:b w:val="0"/>
                <w:snapToGrid w:val="0"/>
                <w:color w:val="auto"/>
                <w:kern w:val="2"/>
                <w:sz w:val="24"/>
                <w:szCs w:val="24"/>
                <w:highlight w:val="none"/>
                <w:lang w:val="en-US" w:eastAsia="zh-CN" w:bidi="ar-SA"/>
              </w:rPr>
              <w:t>2</w:t>
            </w:r>
            <w:r>
              <w:rPr>
                <w:rFonts w:hint="eastAsia" w:ascii="宋体" w:hAnsi="宋体" w:eastAsia="宋体" w:cs="宋体"/>
                <w:b w:val="0"/>
                <w:snapToGrid w:val="0"/>
                <w:color w:val="auto"/>
                <w:kern w:val="2"/>
                <w:sz w:val="24"/>
                <w:szCs w:val="24"/>
                <w:highlight w:val="none"/>
                <w:lang w:val="en-US" w:eastAsia="zh-CN" w:bidi="ar-SA"/>
              </w:rPr>
              <w:t>年1月1日以来承接过同类项目的，每个得</w:t>
            </w:r>
            <w:r>
              <w:rPr>
                <w:rFonts w:hint="eastAsia" w:ascii="宋体" w:hAnsi="宋体" w:cs="宋体"/>
                <w:b w:val="0"/>
                <w:snapToGrid w:val="0"/>
                <w:color w:val="auto"/>
                <w:kern w:val="2"/>
                <w:sz w:val="24"/>
                <w:szCs w:val="24"/>
                <w:highlight w:val="none"/>
                <w:lang w:val="en-US" w:eastAsia="zh-CN" w:bidi="ar-SA"/>
              </w:rPr>
              <w:t>1.5</w:t>
            </w:r>
            <w:r>
              <w:rPr>
                <w:rFonts w:hint="eastAsia" w:ascii="宋体" w:hAnsi="宋体" w:eastAsia="宋体" w:cs="宋体"/>
                <w:b w:val="0"/>
                <w:snapToGrid w:val="0"/>
                <w:color w:val="auto"/>
                <w:kern w:val="2"/>
                <w:sz w:val="24"/>
                <w:szCs w:val="24"/>
                <w:highlight w:val="none"/>
                <w:lang w:val="en-US" w:eastAsia="zh-CN" w:bidi="ar-SA"/>
              </w:rPr>
              <w:t>分，本项最高得</w:t>
            </w:r>
            <w:r>
              <w:rPr>
                <w:rFonts w:hint="eastAsia" w:ascii="宋体" w:hAnsi="宋体" w:cs="宋体"/>
                <w:b w:val="0"/>
                <w:snapToGrid w:val="0"/>
                <w:color w:val="auto"/>
                <w:kern w:val="2"/>
                <w:sz w:val="24"/>
                <w:szCs w:val="24"/>
                <w:highlight w:val="none"/>
                <w:lang w:val="en-US" w:eastAsia="zh-CN" w:bidi="ar-SA"/>
              </w:rPr>
              <w:t>3</w:t>
            </w:r>
            <w:r>
              <w:rPr>
                <w:rFonts w:hint="eastAsia" w:ascii="宋体" w:hAnsi="宋体" w:eastAsia="宋体" w:cs="宋体"/>
                <w:b w:val="0"/>
                <w:snapToGrid w:val="0"/>
                <w:color w:val="auto"/>
                <w:kern w:val="2"/>
                <w:sz w:val="24"/>
                <w:szCs w:val="24"/>
                <w:highlight w:val="none"/>
                <w:lang w:val="en-US" w:eastAsia="zh-CN" w:bidi="ar-SA"/>
              </w:rPr>
              <w:t>分。 备注：必须提供项目合同关键页（含签订合同双方的单位名称、合同项目名称、合同概况、签订合同双方的落款盖章、签订日期的关键页）复印件作为同类业绩证明资料（以合同签订的时间为准）。</w:t>
            </w:r>
          </w:p>
          <w:p w14:paraId="0654A730">
            <w:pPr>
              <w:pStyle w:val="3"/>
              <w:keepLines w:val="0"/>
              <w:pageBreakBefore w:val="0"/>
              <w:numPr>
                <w:ilvl w:val="0"/>
                <w:numId w:val="0"/>
              </w:numPr>
              <w:kinsoku/>
              <w:wordWrap/>
              <w:overflowPunct/>
              <w:topLinePunct w:val="0"/>
              <w:autoSpaceDE/>
              <w:autoSpaceDN/>
              <w:bidi w:val="0"/>
              <w:adjustRightInd/>
              <w:spacing w:line="240" w:lineRule="auto"/>
              <w:ind w:leftChars="0"/>
              <w:rPr>
                <w:rFonts w:hint="eastAsia" w:ascii="宋体" w:hAnsi="宋体" w:eastAsia="宋体" w:cs="宋体"/>
                <w:b w:val="0"/>
                <w:snapToGrid w:val="0"/>
                <w:color w:val="auto"/>
                <w:kern w:val="2"/>
                <w:sz w:val="24"/>
                <w:szCs w:val="24"/>
                <w:highlight w:val="none"/>
                <w:lang w:val="en-US" w:eastAsia="zh-CN" w:bidi="ar-SA"/>
              </w:rPr>
            </w:pPr>
            <w:r>
              <w:rPr>
                <w:rFonts w:hint="eastAsia" w:ascii="宋体" w:hAnsi="宋体" w:eastAsia="宋体" w:cs="宋体"/>
                <w:b w:val="0"/>
                <w:snapToGrid w:val="0"/>
                <w:color w:val="auto"/>
                <w:kern w:val="2"/>
                <w:sz w:val="24"/>
                <w:szCs w:val="24"/>
                <w:highlight w:val="none"/>
                <w:lang w:val="en-US" w:eastAsia="zh-CN" w:bidi="ar-SA"/>
              </w:rPr>
              <w:t>同类项目满意度评价</w:t>
            </w:r>
            <w:r>
              <w:rPr>
                <w:rFonts w:hint="eastAsia" w:ascii="宋体" w:hAnsi="宋体" w:cs="宋体"/>
                <w:b w:val="0"/>
                <w:snapToGrid w:val="0"/>
                <w:color w:val="auto"/>
                <w:kern w:val="2"/>
                <w:sz w:val="24"/>
                <w:szCs w:val="24"/>
                <w:highlight w:val="none"/>
                <w:lang w:val="en-US" w:eastAsia="zh-CN" w:bidi="ar-SA"/>
              </w:rPr>
              <w:t>及验收单</w:t>
            </w:r>
            <w:r>
              <w:rPr>
                <w:rFonts w:hint="eastAsia" w:ascii="宋体" w:hAnsi="宋体" w:eastAsia="宋体" w:cs="宋体"/>
                <w:b w:val="0"/>
                <w:snapToGrid w:val="0"/>
                <w:color w:val="auto"/>
                <w:kern w:val="2"/>
                <w:sz w:val="24"/>
                <w:szCs w:val="24"/>
                <w:highlight w:val="none"/>
                <w:lang w:val="en-US" w:eastAsia="zh-CN" w:bidi="ar-SA"/>
              </w:rPr>
              <w:t xml:space="preserve"> </w:t>
            </w:r>
          </w:p>
          <w:p w14:paraId="5FA943BE">
            <w:pPr>
              <w:pStyle w:val="3"/>
              <w:keepLines w:val="0"/>
              <w:pageBreakBefore w:val="0"/>
              <w:numPr>
                <w:ilvl w:val="0"/>
                <w:numId w:val="0"/>
              </w:numPr>
              <w:kinsoku/>
              <w:wordWrap/>
              <w:overflowPunct/>
              <w:topLinePunct w:val="0"/>
              <w:autoSpaceDE/>
              <w:autoSpaceDN/>
              <w:bidi w:val="0"/>
              <w:adjustRightInd/>
              <w:spacing w:line="240" w:lineRule="auto"/>
              <w:ind w:left="0" w:leftChars="0" w:firstLine="0" w:firstLineChars="0"/>
              <w:rPr>
                <w:rFonts w:ascii="宋体" w:hAnsi="宋体" w:eastAsia="宋体" w:cs="宋体"/>
                <w:color w:val="auto"/>
                <w:kern w:val="0"/>
                <w:sz w:val="24"/>
                <w:szCs w:val="24"/>
                <w:highlight w:val="none"/>
                <w:lang w:val="en-US" w:eastAsia="zh-CN" w:bidi="ar-SA"/>
              </w:rPr>
            </w:pPr>
            <w:r>
              <w:rPr>
                <w:rFonts w:hint="eastAsia" w:ascii="宋体" w:hAnsi="宋体" w:eastAsia="宋体" w:cs="宋体"/>
                <w:b w:val="0"/>
                <w:snapToGrid w:val="0"/>
                <w:color w:val="auto"/>
                <w:kern w:val="2"/>
                <w:sz w:val="24"/>
                <w:szCs w:val="24"/>
                <w:highlight w:val="none"/>
                <w:lang w:val="en-US" w:eastAsia="zh-CN" w:bidi="ar-SA"/>
              </w:rPr>
              <w:t>投标人在上述同类项目中获得委托方（采购人）好评（或同等级别的评价）</w:t>
            </w:r>
            <w:r>
              <w:rPr>
                <w:rFonts w:hint="eastAsia" w:ascii="宋体" w:hAnsi="宋体" w:cs="宋体"/>
                <w:b w:val="0"/>
                <w:snapToGrid w:val="0"/>
                <w:color w:val="auto"/>
                <w:kern w:val="2"/>
                <w:sz w:val="24"/>
                <w:szCs w:val="24"/>
                <w:highlight w:val="none"/>
                <w:lang w:val="en-US" w:eastAsia="zh-CN" w:bidi="ar-SA"/>
              </w:rPr>
              <w:t>及验收单的</w:t>
            </w:r>
            <w:r>
              <w:rPr>
                <w:rFonts w:hint="eastAsia" w:ascii="宋体" w:hAnsi="宋体" w:eastAsia="宋体" w:cs="宋体"/>
                <w:b w:val="0"/>
                <w:snapToGrid w:val="0"/>
                <w:color w:val="auto"/>
                <w:kern w:val="2"/>
                <w:sz w:val="24"/>
                <w:szCs w:val="24"/>
                <w:highlight w:val="none"/>
                <w:lang w:val="en-US" w:eastAsia="zh-CN" w:bidi="ar-SA"/>
              </w:rPr>
              <w:t>，每有一项得</w:t>
            </w:r>
            <w:r>
              <w:rPr>
                <w:rFonts w:hint="eastAsia" w:ascii="宋体" w:hAnsi="宋体" w:cs="宋体"/>
                <w:b w:val="0"/>
                <w:snapToGrid w:val="0"/>
                <w:color w:val="auto"/>
                <w:kern w:val="2"/>
                <w:sz w:val="24"/>
                <w:szCs w:val="24"/>
                <w:highlight w:val="none"/>
                <w:lang w:val="en-US" w:eastAsia="zh-CN" w:bidi="ar-SA"/>
              </w:rPr>
              <w:t>1.5</w:t>
            </w:r>
            <w:r>
              <w:rPr>
                <w:rFonts w:hint="eastAsia" w:ascii="宋体" w:hAnsi="宋体" w:eastAsia="宋体" w:cs="宋体"/>
                <w:b w:val="0"/>
                <w:snapToGrid w:val="0"/>
                <w:color w:val="auto"/>
                <w:kern w:val="2"/>
                <w:sz w:val="24"/>
                <w:szCs w:val="24"/>
                <w:highlight w:val="none"/>
                <w:lang w:val="en-US" w:eastAsia="zh-CN" w:bidi="ar-SA"/>
              </w:rPr>
              <w:t>分，本项最高得</w:t>
            </w:r>
            <w:r>
              <w:rPr>
                <w:rFonts w:hint="eastAsia" w:ascii="宋体" w:hAnsi="宋体" w:cs="宋体"/>
                <w:b w:val="0"/>
                <w:snapToGrid w:val="0"/>
                <w:color w:val="auto"/>
                <w:kern w:val="2"/>
                <w:sz w:val="24"/>
                <w:szCs w:val="24"/>
                <w:highlight w:val="none"/>
                <w:lang w:val="en-US" w:eastAsia="zh-CN" w:bidi="ar-SA"/>
              </w:rPr>
              <w:t>3</w:t>
            </w:r>
            <w:r>
              <w:rPr>
                <w:rFonts w:hint="eastAsia" w:ascii="宋体" w:hAnsi="宋体" w:eastAsia="宋体" w:cs="宋体"/>
                <w:b w:val="0"/>
                <w:snapToGrid w:val="0"/>
                <w:color w:val="auto"/>
                <w:kern w:val="2"/>
                <w:sz w:val="24"/>
                <w:szCs w:val="24"/>
                <w:highlight w:val="none"/>
                <w:lang w:val="en-US" w:eastAsia="zh-CN" w:bidi="ar-SA"/>
              </w:rPr>
              <w:t>分。 备注：①好评证明须提供用户评价材料复印件，评价材料带有“满意”或“好评”或“优良”或“认可” 等相关正面评价字眼； ②用户评价材料须加盖客户公章； ③无或未按要求提供证明材料的或提供资料不齐全的或无法认定的不得分。</w:t>
            </w:r>
          </w:p>
        </w:tc>
      </w:tr>
      <w:tr w14:paraId="597E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35" w:type="dxa"/>
            <w:vMerge w:val="continue"/>
            <w:noWrap w:val="0"/>
            <w:vAlign w:val="center"/>
          </w:tcPr>
          <w:p w14:paraId="73AC8811">
            <w:pPr>
              <w:pStyle w:val="52"/>
              <w:keepNext w:val="0"/>
              <w:keepLines w:val="0"/>
              <w:pageBreakBefore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color w:val="auto"/>
                <w:sz w:val="24"/>
                <w:szCs w:val="24"/>
                <w:highlight w:val="none"/>
              </w:rPr>
            </w:pPr>
          </w:p>
        </w:tc>
        <w:tc>
          <w:tcPr>
            <w:tcW w:w="1899" w:type="dxa"/>
            <w:noWrap w:val="0"/>
            <w:vAlign w:val="center"/>
          </w:tcPr>
          <w:p w14:paraId="5FD2A3A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现场服务人员</w:t>
            </w:r>
          </w:p>
          <w:p w14:paraId="4FE9FD58">
            <w:pPr>
              <w:pStyle w:val="26"/>
              <w:keepLines w:val="0"/>
              <w:pageBreakBefore w:val="0"/>
              <w:kinsoku/>
              <w:wordWrap/>
              <w:overflowPunct/>
              <w:topLinePunct w:val="0"/>
              <w:autoSpaceDE/>
              <w:autoSpaceDN/>
              <w:bidi w:val="0"/>
              <w:adjustRightInd/>
              <w:spacing w:line="240" w:lineRule="auto"/>
              <w:ind w:left="50" w:leftChars="0" w:right="-58" w:rightChars="0" w:firstLine="480" w:firstLineChars="200"/>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（4分）</w:t>
            </w:r>
          </w:p>
        </w:tc>
        <w:tc>
          <w:tcPr>
            <w:tcW w:w="772" w:type="dxa"/>
            <w:noWrap w:val="0"/>
            <w:vAlign w:val="center"/>
          </w:tcPr>
          <w:p w14:paraId="4409B3E1">
            <w:pPr>
              <w:keepLines w:val="0"/>
              <w:pageBreakBefore w:val="0"/>
              <w:kinsoku/>
              <w:wordWrap/>
              <w:overflowPunct/>
              <w:topLinePunct w:val="0"/>
              <w:autoSpaceDE/>
              <w:autoSpaceDN/>
              <w:bidi w:val="0"/>
              <w:adjustRightInd/>
              <w:spacing w:line="240" w:lineRule="auto"/>
              <w:ind w:left="120" w:leftChars="0" w:right="62" w:rightChars="0" w:hanging="120" w:hangingChars="50"/>
              <w:jc w:val="center"/>
              <w:rPr>
                <w:rFonts w:hint="eastAsia"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9</w:t>
            </w:r>
          </w:p>
        </w:tc>
        <w:tc>
          <w:tcPr>
            <w:tcW w:w="6354" w:type="dxa"/>
            <w:noWrap w:val="0"/>
            <w:vAlign w:val="top"/>
          </w:tcPr>
          <w:p w14:paraId="5CDC15EF">
            <w:pPr>
              <w:keepLines w:val="0"/>
              <w:pageBreakBefore w:val="0"/>
              <w:numPr>
                <w:ilvl w:val="0"/>
                <w:numId w:val="0"/>
              </w:numPr>
              <w:kinsoku/>
              <w:wordWrap/>
              <w:overflowPunct/>
              <w:topLinePunct w:val="0"/>
              <w:autoSpaceDE/>
              <w:autoSpaceDN/>
              <w:bidi w:val="0"/>
              <w:adjustRightInd/>
              <w:snapToGrid w:val="0"/>
              <w:spacing w:line="240" w:lineRule="auto"/>
              <w:ind w:leftChars="-50" w:right="62" w:rightChars="0"/>
              <w:jc w:val="both"/>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投标人具备完善的</w:t>
            </w:r>
            <w:r>
              <w:rPr>
                <w:rFonts w:hint="eastAsia" w:ascii="宋体" w:hAnsi="宋体" w:cs="宋体"/>
                <w:color w:val="auto"/>
                <w:kern w:val="2"/>
                <w:sz w:val="24"/>
                <w:szCs w:val="24"/>
                <w:highlight w:val="none"/>
                <w:lang w:val="en-US" w:eastAsia="zh-CN" w:bidi="ar-SA"/>
              </w:rPr>
              <w:t>管理</w:t>
            </w:r>
            <w:r>
              <w:rPr>
                <w:rFonts w:hint="eastAsia" w:ascii="宋体" w:hAnsi="宋体" w:eastAsia="宋体" w:cs="宋体"/>
                <w:color w:val="auto"/>
                <w:kern w:val="2"/>
                <w:sz w:val="24"/>
                <w:szCs w:val="24"/>
                <w:highlight w:val="none"/>
                <w:lang w:val="en-US" w:eastAsia="zh-CN" w:bidi="ar-SA"/>
              </w:rPr>
              <w:t>人员、</w:t>
            </w:r>
            <w:r>
              <w:rPr>
                <w:rFonts w:hint="eastAsia" w:ascii="宋体" w:hAnsi="宋体" w:cs="宋体"/>
                <w:color w:val="auto"/>
                <w:kern w:val="2"/>
                <w:sz w:val="24"/>
                <w:szCs w:val="24"/>
                <w:highlight w:val="none"/>
                <w:lang w:val="en-US" w:eastAsia="zh-CN" w:bidi="ar-SA"/>
              </w:rPr>
              <w:t>施工人员</w:t>
            </w:r>
            <w:r>
              <w:rPr>
                <w:rFonts w:hint="eastAsia" w:ascii="宋体" w:hAnsi="宋体" w:eastAsia="宋体" w:cs="宋体"/>
                <w:color w:val="auto"/>
                <w:kern w:val="2"/>
                <w:sz w:val="24"/>
                <w:szCs w:val="24"/>
                <w:highlight w:val="none"/>
                <w:lang w:val="en-US" w:eastAsia="zh-CN" w:bidi="ar-SA"/>
              </w:rPr>
              <w:t>、（需提供相关人员身份证扫描件、劳动合同</w:t>
            </w:r>
            <w:r>
              <w:rPr>
                <w:rFonts w:hint="eastAsia" w:ascii="宋体" w:hAnsi="宋体" w:cs="宋体"/>
                <w:color w:val="auto"/>
                <w:kern w:val="2"/>
                <w:sz w:val="24"/>
                <w:szCs w:val="24"/>
                <w:highlight w:val="none"/>
                <w:lang w:val="en-US" w:eastAsia="zh-CN" w:bidi="ar-SA"/>
              </w:rPr>
              <w:t>、社保</w:t>
            </w:r>
            <w:r>
              <w:rPr>
                <w:rFonts w:hint="eastAsia" w:ascii="宋体" w:hAnsi="宋体" w:eastAsia="宋体" w:cs="宋体"/>
                <w:color w:val="auto"/>
                <w:kern w:val="2"/>
                <w:sz w:val="24"/>
                <w:szCs w:val="24"/>
                <w:highlight w:val="none"/>
                <w:lang w:val="en-US" w:eastAsia="zh-CN" w:bidi="ar-SA"/>
              </w:rPr>
              <w:t>），具有</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名人员的得基准分3分，在</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名的基础上，每增加1名得1分，本项最高得6分；（注：应提供人员及设备的相关证明材料（身份证明、劳务合同、社保等）</w:t>
            </w:r>
          </w:p>
          <w:p w14:paraId="12D7EED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（2）承诺项目组成员现场服务24小时内到达，得2分，项目组成员48小时内到达，得1分。其他不得分。</w:t>
            </w:r>
          </w:p>
          <w:p w14:paraId="52B79EF8">
            <w:pPr>
              <w:pStyle w:val="3"/>
              <w:keepLines w:val="0"/>
              <w:pageBreakBefore w:val="0"/>
              <w:numPr>
                <w:ilvl w:val="0"/>
                <w:numId w:val="0"/>
              </w:numPr>
              <w:kinsoku/>
              <w:wordWrap/>
              <w:overflowPunct/>
              <w:topLinePunct w:val="0"/>
              <w:autoSpaceDE/>
              <w:autoSpaceDN/>
              <w:bidi w:val="0"/>
              <w:adjustRightInd/>
              <w:spacing w:line="240" w:lineRule="auto"/>
              <w:ind w:left="0" w:leftChars="0" w:firstLine="0" w:firstLineChars="0"/>
              <w:rPr>
                <w:rFonts w:ascii="宋体" w:hAnsi="宋体" w:eastAsia="宋体" w:cs="宋体"/>
                <w:color w:val="auto"/>
                <w:kern w:val="0"/>
                <w:sz w:val="24"/>
                <w:szCs w:val="24"/>
                <w:highlight w:val="none"/>
                <w:lang w:val="en-US" w:eastAsia="zh-CN" w:bidi="ar-SA"/>
              </w:rPr>
            </w:pPr>
            <w:r>
              <w:rPr>
                <w:rFonts w:hint="eastAsia" w:ascii="宋体" w:hAnsi="宋体" w:eastAsia="宋体" w:cs="宋体"/>
                <w:b w:val="0"/>
                <w:snapToGrid w:val="0"/>
                <w:color w:val="auto"/>
                <w:kern w:val="2"/>
                <w:sz w:val="24"/>
                <w:szCs w:val="24"/>
                <w:highlight w:val="none"/>
                <w:lang w:val="en-US" w:eastAsia="zh-CN" w:bidi="ar-SA"/>
              </w:rPr>
              <w:t>（注：格式自拟，须加盖投标人公章并由法定代表人及项目经理签字，否则不得分。）</w:t>
            </w:r>
          </w:p>
        </w:tc>
      </w:tr>
    </w:tbl>
    <w:p w14:paraId="6D78612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outlineLvl w:val="9"/>
        <w:rPr>
          <w:rFonts w:hint="eastAsia" w:ascii="宋体" w:hAnsi="宋体" w:eastAsia="宋体" w:cs="宋体"/>
          <w:color w:val="auto"/>
          <w:highlight w:val="none"/>
        </w:rPr>
      </w:pPr>
    </w:p>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72"/>
    <w:p w14:paraId="09524F68">
      <w:pPr>
        <w:rPr>
          <w:rFonts w:hint="eastAsia" w:ascii="宋体" w:hAnsi="宋体" w:eastAsia="宋体" w:cs="宋体"/>
          <w:b/>
          <w:color w:val="auto"/>
          <w:sz w:val="36"/>
          <w:szCs w:val="36"/>
          <w:highlight w:val="none"/>
        </w:rPr>
      </w:pPr>
      <w:bookmarkStart w:id="273" w:name="_Toc2874"/>
      <w:r>
        <w:rPr>
          <w:rFonts w:hint="eastAsia" w:ascii="宋体" w:hAnsi="宋体" w:eastAsia="宋体" w:cs="宋体"/>
          <w:b/>
          <w:color w:val="auto"/>
          <w:sz w:val="36"/>
          <w:szCs w:val="36"/>
          <w:highlight w:val="none"/>
        </w:rPr>
        <w:br w:type="page"/>
      </w:r>
    </w:p>
    <w:p w14:paraId="00AED9F4">
      <w:pPr>
        <w:tabs>
          <w:tab w:val="left" w:pos="11156"/>
        </w:tabs>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第五章采购需求</w:t>
      </w:r>
    </w:p>
    <w:p w14:paraId="40181D76">
      <w:pPr>
        <w:pStyle w:val="14"/>
        <w:numPr>
          <w:ilvl w:val="0"/>
          <w:numId w:val="14"/>
        </w:numPr>
        <w:tabs>
          <w:tab w:val="left" w:pos="540"/>
        </w:tabs>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有关说明</w:t>
      </w:r>
    </w:p>
    <w:p w14:paraId="0016CD16">
      <w:pPr>
        <w:numPr>
          <w:ilvl w:val="0"/>
          <w:numId w:val="15"/>
        </w:numPr>
        <w:snapToGrid w:val="0"/>
        <w:spacing w:line="360" w:lineRule="auto"/>
        <w:ind w:left="567" w:hanging="567"/>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投标人须对本项目的采购标的进行整体投标，任何只对本项目采购标的其中一部分内容、数量进行的投标都被视为无效投标。</w:t>
      </w:r>
    </w:p>
    <w:p w14:paraId="64D9F33F">
      <w:pPr>
        <w:numPr>
          <w:ilvl w:val="0"/>
          <w:numId w:val="15"/>
        </w:numPr>
        <w:snapToGrid w:val="0"/>
        <w:spacing w:line="360" w:lineRule="auto"/>
        <w:ind w:left="567" w:hanging="567"/>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产品属于国家强制采购的节能产品，响应供应商必须提供属于国家强制性节能产品品目清单内的产品进行响应，并提供有效的强制性节能产品认证证书复印件。</w:t>
      </w:r>
    </w:p>
    <w:p w14:paraId="675D8596">
      <w:pPr>
        <w:numPr>
          <w:ilvl w:val="0"/>
          <w:numId w:val="15"/>
        </w:numPr>
        <w:snapToGrid w:val="0"/>
        <w:spacing w:line="360" w:lineRule="auto"/>
        <w:ind w:left="567" w:hanging="567"/>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采购需求中标注“</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”号条款为</w:t>
      </w:r>
      <w:r>
        <w:rPr>
          <w:rFonts w:hint="eastAsia" w:ascii="宋体" w:hAnsi="宋体" w:eastAsia="宋体" w:cs="宋体"/>
          <w:bCs/>
          <w:color w:val="auto"/>
          <w:sz w:val="24"/>
          <w:highlight w:val="none"/>
          <w:lang w:val="en-US" w:eastAsia="zh-CN"/>
        </w:rPr>
        <w:t>实质性响应条款。</w:t>
      </w:r>
    </w:p>
    <w:p w14:paraId="002B7FCB">
      <w:pPr>
        <w:numPr>
          <w:ilvl w:val="0"/>
          <w:numId w:val="15"/>
        </w:numPr>
        <w:snapToGrid w:val="0"/>
        <w:spacing w:line="360" w:lineRule="auto"/>
        <w:ind w:left="567" w:hanging="567"/>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采购需求中标注“▲”号条款为重要技术参数，但不作为无效投标条款。</w:t>
      </w:r>
    </w:p>
    <w:p w14:paraId="2A9B181D">
      <w:pPr>
        <w:pStyle w:val="14"/>
        <w:numPr>
          <w:ilvl w:val="0"/>
          <w:numId w:val="14"/>
        </w:numPr>
        <w:tabs>
          <w:tab w:val="left" w:pos="540"/>
        </w:tabs>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项目基本概况</w:t>
      </w:r>
    </w:p>
    <w:p w14:paraId="30821FCE">
      <w:pPr>
        <w:pStyle w:val="14"/>
        <w:tabs>
          <w:tab w:val="left" w:pos="420"/>
          <w:tab w:val="left" w:pos="540"/>
        </w:tabs>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项目需求概述</w:t>
      </w:r>
    </w:p>
    <w:p w14:paraId="0038B060">
      <w:pPr>
        <w:pStyle w:val="19"/>
        <w:spacing w:before="50" w:beforeAutospacing="0" w:after="50" w:afterAutospacing="0" w:line="360" w:lineRule="auto"/>
        <w:ind w:firstLine="420"/>
        <w:rPr>
          <w:rFonts w:hint="eastAsia" w:cs="宋体"/>
          <w:color w:val="auto"/>
          <w:highlight w:val="none"/>
          <w:lang w:val="en-US" w:eastAsia="zh-CN"/>
        </w:rPr>
      </w:pPr>
      <w:r>
        <w:rPr>
          <w:rFonts w:hint="eastAsia" w:cs="宋体"/>
          <w:color w:val="auto"/>
          <w:highlight w:val="none"/>
          <w:lang w:val="en-US" w:eastAsia="zh-CN"/>
        </w:rPr>
        <w:t xml:space="preserve"> 洛浦县恰尔巴格镇加依托格拉克村、阿依丁库勒村公益事业财政奖补项目(美丽乡村建设一公共照明)</w:t>
      </w:r>
    </w:p>
    <w:p w14:paraId="4464CF59">
      <w:pPr>
        <w:pStyle w:val="14"/>
        <w:numPr>
          <w:ilvl w:val="0"/>
          <w:numId w:val="14"/>
        </w:numPr>
        <w:tabs>
          <w:tab w:val="left" w:pos="540"/>
        </w:tabs>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采购项目清单及技术参数</w:t>
      </w:r>
    </w:p>
    <w:p w14:paraId="4DA32EF0">
      <w:pPr>
        <w:pStyle w:val="14"/>
        <w:numPr>
          <w:ilvl w:val="0"/>
          <w:numId w:val="16"/>
        </w:numPr>
        <w:tabs>
          <w:tab w:val="left" w:pos="540"/>
        </w:tabs>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项目一览表</w:t>
      </w:r>
    </w:p>
    <w:tbl>
      <w:tblPr>
        <w:tblStyle w:val="22"/>
        <w:tblW w:w="9984" w:type="dxa"/>
        <w:tblInd w:w="26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720"/>
        <w:gridCol w:w="2424"/>
        <w:gridCol w:w="1968"/>
        <w:gridCol w:w="1968"/>
      </w:tblGrid>
      <w:tr w14:paraId="2CAB5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7" w:hRule="atLeast"/>
        </w:trPr>
        <w:tc>
          <w:tcPr>
            <w:tcW w:w="2904"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14:paraId="4280FD1C">
            <w:pPr>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采购内容</w:t>
            </w:r>
          </w:p>
        </w:tc>
        <w:tc>
          <w:tcPr>
            <w:tcW w:w="720"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14:paraId="7119DA39">
            <w:pPr>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2424" w:type="dxa"/>
            <w:tcBorders>
              <w:top w:val="single" w:color="auto" w:sz="12" w:space="0"/>
              <w:left w:val="single" w:color="auto" w:sz="6" w:space="0"/>
              <w:bottom w:val="single" w:color="auto" w:sz="6" w:space="0"/>
              <w:right w:val="single" w:color="auto" w:sz="12" w:space="0"/>
            </w:tcBorders>
            <w:shd w:val="clear" w:color="auto" w:fill="EEECE1"/>
            <w:noWrap w:val="0"/>
            <w:vAlign w:val="center"/>
          </w:tcPr>
          <w:p w14:paraId="02E56D00">
            <w:pPr>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最高限价</w:t>
            </w:r>
          </w:p>
          <w:p w14:paraId="18178B12">
            <w:pPr>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（人民币元）</w:t>
            </w:r>
          </w:p>
        </w:tc>
        <w:tc>
          <w:tcPr>
            <w:tcW w:w="1968"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14:paraId="3958BFCF">
            <w:pPr>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服务期</w:t>
            </w:r>
          </w:p>
        </w:tc>
        <w:tc>
          <w:tcPr>
            <w:tcW w:w="1968"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14:paraId="10FD24FA">
            <w:pPr>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rPr>
                <w:rFonts w:hint="eastAsia" w:ascii="宋体" w:hAnsi="宋体" w:cs="宋体"/>
                <w:b/>
                <w:color w:val="auto"/>
                <w:sz w:val="24"/>
                <w:highlight w:val="none"/>
                <w:lang w:val="en-US" w:eastAsia="zh-CN"/>
              </w:rPr>
            </w:pPr>
          </w:p>
        </w:tc>
      </w:tr>
      <w:tr w14:paraId="404FC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41" w:hRule="atLeast"/>
        </w:trPr>
        <w:tc>
          <w:tcPr>
            <w:tcW w:w="2904" w:type="dxa"/>
            <w:tcBorders>
              <w:top w:val="single" w:color="auto" w:sz="6" w:space="0"/>
              <w:left w:val="single" w:color="auto" w:sz="6" w:space="0"/>
              <w:bottom w:val="single" w:color="auto" w:sz="12" w:space="0"/>
              <w:right w:val="single" w:color="auto" w:sz="6" w:space="0"/>
            </w:tcBorders>
            <w:noWrap w:val="0"/>
            <w:vAlign w:val="center"/>
          </w:tcPr>
          <w:p w14:paraId="2F1A316C">
            <w:pPr>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eastAsia="zh-CN"/>
              </w:rPr>
              <w:t xml:space="preserve"> 洛浦县恰尔巴格镇加依托格拉克村、阿依丁库勒村公益事业财政奖补项目(美丽乡村建设一公共照明)</w:t>
            </w:r>
          </w:p>
        </w:tc>
        <w:tc>
          <w:tcPr>
            <w:tcW w:w="720" w:type="dxa"/>
            <w:tcBorders>
              <w:top w:val="single" w:color="auto" w:sz="6" w:space="0"/>
              <w:left w:val="single" w:color="auto" w:sz="6" w:space="0"/>
              <w:bottom w:val="single" w:color="auto" w:sz="12" w:space="0"/>
              <w:right w:val="single" w:color="auto" w:sz="6" w:space="0"/>
            </w:tcBorders>
            <w:noWrap w:val="0"/>
            <w:vAlign w:val="center"/>
          </w:tcPr>
          <w:p w14:paraId="602BC8B7">
            <w:pPr>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284盏</w:t>
            </w:r>
          </w:p>
        </w:tc>
        <w:tc>
          <w:tcPr>
            <w:tcW w:w="2424" w:type="dxa"/>
            <w:tcBorders>
              <w:top w:val="single" w:color="auto" w:sz="6" w:space="0"/>
              <w:left w:val="single" w:color="auto" w:sz="6" w:space="0"/>
              <w:bottom w:val="single" w:color="auto" w:sz="12" w:space="0"/>
              <w:right w:val="single" w:color="auto" w:sz="12" w:space="0"/>
            </w:tcBorders>
            <w:noWrap w:val="0"/>
            <w:vAlign w:val="center"/>
          </w:tcPr>
          <w:p w14:paraId="0FADD476">
            <w:pPr>
              <w:keepNext/>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795200.00</w:t>
            </w:r>
          </w:p>
        </w:tc>
        <w:tc>
          <w:tcPr>
            <w:tcW w:w="1968" w:type="dxa"/>
            <w:tcBorders>
              <w:top w:val="single" w:color="auto" w:sz="6" w:space="0"/>
              <w:left w:val="single" w:color="auto" w:sz="6" w:space="0"/>
              <w:bottom w:val="single" w:color="auto" w:sz="12" w:space="0"/>
              <w:right w:val="single" w:color="auto" w:sz="6" w:space="0"/>
            </w:tcBorders>
            <w:noWrap w:val="0"/>
            <w:vAlign w:val="center"/>
          </w:tcPr>
          <w:p w14:paraId="136032AF">
            <w:pPr>
              <w:keepNext/>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center"/>
              <w:rPr>
                <w:rFonts w:hint="eastAsia" w:ascii="宋体" w:hAnsi="宋体" w:eastAsia="宋体" w:cs="宋体"/>
                <w:color w:val="auto"/>
                <w:sz w:val="24"/>
                <w:highlight w:val="none"/>
                <w:lang w:val="en-US" w:eastAsia="zh-CN"/>
              </w:rPr>
            </w:pPr>
            <w:r>
              <w:rPr>
                <w:rFonts w:hint="eastAsia" w:ascii="宋体" w:hAnsi="宋体" w:cs="宋体"/>
                <w:bCs/>
                <w:color w:val="auto"/>
                <w:sz w:val="24"/>
                <w:highlight w:val="none"/>
                <w:lang w:val="en-US" w:eastAsia="zh-CN"/>
              </w:rPr>
              <w:t>自合同签订之日30天</w:t>
            </w:r>
          </w:p>
        </w:tc>
        <w:tc>
          <w:tcPr>
            <w:tcW w:w="1968" w:type="dxa"/>
            <w:tcBorders>
              <w:top w:val="single" w:color="auto" w:sz="6" w:space="0"/>
              <w:left w:val="single" w:color="auto" w:sz="6" w:space="0"/>
              <w:bottom w:val="single" w:color="auto" w:sz="12" w:space="0"/>
              <w:right w:val="single" w:color="auto" w:sz="6" w:space="0"/>
            </w:tcBorders>
            <w:noWrap w:val="0"/>
            <w:vAlign w:val="center"/>
          </w:tcPr>
          <w:p w14:paraId="4BF15E5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宋体" w:hAnsi="宋体" w:cs="宋体"/>
                <w:b/>
                <w:bCs/>
                <w:color w:val="auto"/>
                <w:sz w:val="24"/>
                <w:szCs w:val="24"/>
                <w:highlight w:val="none"/>
                <w:lang w:val="en-US" w:eastAsia="zh-CN"/>
              </w:rPr>
              <w:t>招标清单详见附件</w:t>
            </w:r>
          </w:p>
          <w:p w14:paraId="45A65DF0">
            <w:pPr>
              <w:keepNext/>
              <w:keepLines w:val="0"/>
              <w:pageBreakBefore w:val="0"/>
              <w:widowControl w:val="0"/>
              <w:kinsoku/>
              <w:wordWrap/>
              <w:overflowPunct/>
              <w:topLinePunct w:val="0"/>
              <w:autoSpaceDE/>
              <w:autoSpaceDN/>
              <w:bidi w:val="0"/>
              <w:adjustRightInd/>
              <w:snapToGrid w:val="0"/>
              <w:spacing w:line="240" w:lineRule="auto"/>
              <w:ind w:left="0" w:right="0" w:firstLine="0" w:firstLineChars="0"/>
              <w:jc w:val="center"/>
              <w:textAlignment w:val="center"/>
              <w:rPr>
                <w:rFonts w:hint="eastAsia" w:ascii="宋体" w:hAnsi="宋体" w:cs="宋体"/>
                <w:bCs/>
                <w:color w:val="auto"/>
                <w:sz w:val="24"/>
                <w:highlight w:val="none"/>
                <w:lang w:val="en-US" w:eastAsia="zh-CN"/>
              </w:rPr>
            </w:pPr>
          </w:p>
        </w:tc>
      </w:tr>
    </w:tbl>
    <w:p w14:paraId="4512D4D5">
      <w:pPr>
        <w:pStyle w:val="21"/>
        <w:rPr>
          <w:rFonts w:hint="eastAsia" w:ascii="宋体" w:hAnsi="宋体" w:eastAsia="宋体" w:cs="宋体"/>
          <w:color w:val="auto"/>
          <w:highlight w:val="none"/>
          <w:lang w:val="en-US" w:eastAsia="zh-CN"/>
        </w:rPr>
        <w:sectPr>
          <w:headerReference r:id="rId13" w:type="default"/>
          <w:footerReference r:id="rId14" w:type="default"/>
          <w:pgSz w:w="11905" w:h="16838"/>
          <w:pgMar w:top="1440" w:right="1080" w:bottom="1440" w:left="1080" w:header="567" w:footer="454" w:gutter="0"/>
          <w:pgNumType w:fmt="decimal"/>
          <w:cols w:space="720" w:num="1"/>
          <w:rtlGutter w:val="0"/>
          <w:docGrid w:type="lines" w:linePitch="317" w:charSpace="0"/>
        </w:sectPr>
      </w:pPr>
    </w:p>
    <w:p w14:paraId="6C63EBF1">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安装要求</w:t>
      </w:r>
    </w:p>
    <w:p w14:paraId="6A88F6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1、项目费用包含安装，具体安装点位需中标企业在签订合同的15自然日内向采购人提供，并由采购人正式确定后进行安装，不可随意自行更改安装地点。</w:t>
      </w:r>
    </w:p>
    <w:p w14:paraId="142566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2、电池板的方位角面向正南偏西0-5度，电池板倾角50-55度。如有树木、建筑遮挡可适度调整。</w:t>
      </w:r>
    </w:p>
    <w:p w14:paraId="53EFF4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3、灯臂安装应该与道路的中心线垂直。</w:t>
      </w:r>
    </w:p>
    <w:p w14:paraId="585101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4、灯杆、支架、电池板组件应该固定稳定可靠，整灯杆体不得歪斜。</w:t>
      </w:r>
    </w:p>
    <w:p w14:paraId="3DFE62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6、安装要考虑充分的采光需求，不得有遮挡物，与周围电线和其它障碍物有安全距离。</w:t>
      </w:r>
    </w:p>
    <w:p w14:paraId="0327AC28">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运行维护要求</w:t>
      </w:r>
    </w:p>
    <w:p w14:paraId="56E7BC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1、路灯系统供货和安装单位在疆内要有长期稳定可靠的售后服务点，有较强的技术实力，寿命期内能够提供每年至少1次巡检运维服务，可以及时更换和维修故障部件。</w:t>
      </w:r>
    </w:p>
    <w:p w14:paraId="1AFEA0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2、投标人须提供详细的售后服务方案。卖方应对该项目设有专业维修人员和充足的备件库，负责对买方指定的技术人员、操作人员进行免费培训，定期提供技术资料和技术支持。</w:t>
      </w:r>
    </w:p>
    <w:p w14:paraId="04B633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3、投标人安装完毕后，需对安装路灯进行标识化，应具备项目类型、施工年限、责任（维护）企业等信息。 </w:t>
      </w:r>
    </w:p>
    <w:p w14:paraId="77272B69">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质保期</w:t>
      </w:r>
    </w:p>
    <w:p w14:paraId="682B236C">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产品质保期需至少满足8年要求，8年内由于设备质量问题造成的损坏或超标准老化，需无偿维护修理。</w:t>
      </w:r>
    </w:p>
    <w:p w14:paraId="18FC5107">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抽检</w:t>
      </w:r>
    </w:p>
    <w:p w14:paraId="384594B8">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宋体" w:hAnsi="宋体" w:eastAsia="宋体" w:cs="宋体"/>
          <w:bCs/>
          <w:color w:val="auto"/>
          <w:sz w:val="24"/>
          <w:highlight w:val="none"/>
          <w:lang w:val="en-US" w:eastAsia="zh-CN"/>
        </w:rPr>
        <w:t>★</w:t>
      </w:r>
      <w:r>
        <w:rPr>
          <w:rFonts w:hint="eastAsia" w:asciiTheme="minorEastAsia" w:hAnsiTheme="minorEastAsia" w:eastAsiaTheme="minorEastAsia" w:cstheme="minorEastAsia"/>
          <w:b w:val="0"/>
          <w:bCs w:val="0"/>
          <w:color w:val="auto"/>
          <w:kern w:val="2"/>
          <w:sz w:val="24"/>
          <w:szCs w:val="24"/>
          <w:highlight w:val="none"/>
          <w:lang w:val="en-US" w:eastAsia="zh-CN" w:bidi="ar-SA"/>
        </w:rPr>
        <w:t>所有太阳能路灯安装完毕后，由采购人指定10台（1%）已安装好，并正常运行的的太阳能路灯送至采购人指定的检测机构（送达地点为乌鲁木齐市）按招标文件参数要求及国家规范进行抽检，拆卸费用、运输费用由中标供应商承担，抽检作为验收工作的一部分，如抽检不合格，中标供应商应无条件更换所有已安装的路灯，否则不予支付验收款，并追究供应商的违约责任。</w:t>
      </w:r>
    </w:p>
    <w:p w14:paraId="7D8E6730">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17A64C1">
      <w:pPr>
        <w:ind w:left="0" w:lef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商务要求</w:t>
      </w:r>
    </w:p>
    <w:p w14:paraId="2C91AD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★（一）报价要求 </w:t>
      </w:r>
    </w:p>
    <w:p w14:paraId="1EE2E1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总报价应包括施工设备、劳务、管理、材料、安装、维护、检验、利润、税金及政策性文件规定的各项应有费用，以及施工中的水、电费、合同履行中人工及材料涨价因素和其它风险产生的各项费用等合同实施过程中的所有费用。 </w:t>
      </w:r>
    </w:p>
    <w:p w14:paraId="7A1543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2、报价不能超过该项目的最高限价，须精确到小数点后两位，如未按要求报价则为无效投标文件处理。 </w:t>
      </w:r>
    </w:p>
    <w:p w14:paraId="1505C6E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（二）投标报价风险 </w:t>
      </w:r>
    </w:p>
    <w:p w14:paraId="10BB9D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★投标报价已包含完成本项目所需的人力成本、投入成本、利润、税金、交通、中标服务费及其他相关费用等，采购人将不予支付除招标文件及承包合同约定的由投标人承担的风险因素之外的任何补偿。</w:t>
      </w:r>
    </w:p>
    <w:p w14:paraId="30E15C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周围环境等客观因素对项目实施影响巨大，难以将具体情况描述到位，投标人可通过自行现场踏勘掌握本项目的客观资料，便于制定科学的实施方案和风险分析，也可以准确拟定投标价格标准。投标人因未进行现场踏勘影响投标报价、方案编制的，由投标人自行承担。 </w:t>
      </w:r>
    </w:p>
    <w:p w14:paraId="5DBC4B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（三）管理要求 </w:t>
      </w:r>
    </w:p>
    <w:p w14:paraId="174E22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1．★成交供应商必须切实做好安全工作，加强安全保障，在任何情况下都要注意安全。一切安全事故均由成交供应商自行负责。（响应时须提供承诺函，格式自定） </w:t>
      </w:r>
    </w:p>
    <w:p w14:paraId="7172F50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2．★成交供应商不得将本项目的全部或任何部分分包和转包给他人，如在项目实施过程中，经采购人发现有此情况，采购人有权终止合同，由此造成的责任由成交供应商负责。（响应时须提供承诺函 ，格式自定） </w:t>
      </w:r>
    </w:p>
    <w:p w14:paraId="279ABDB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（四）付款方式 </w:t>
      </w:r>
    </w:p>
    <w:p w14:paraId="771FDF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中标人凭以下有效文件与采购人结算： </w:t>
      </w:r>
    </w:p>
    <w:p w14:paraId="688D77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合同； </w:t>
      </w:r>
    </w:p>
    <w:p w14:paraId="7D55C1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中标人开具的正式发票； </w:t>
      </w:r>
    </w:p>
    <w:p w14:paraId="586202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中标通知书。 </w:t>
      </w:r>
    </w:p>
    <w:p w14:paraId="2D8B60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（五）履约保证金 </w:t>
      </w:r>
    </w:p>
    <w:p w14:paraId="5D3188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1、签订合同前，中标人需缴纳履约保证金合同总价的 10% 到采购人指定账户，在合同期内未出现违约现象，未发生劳资纠纷，合同结束时无息退还。部分违约现象或劳资纠纷，从履约保证金中扣除相应金额的违约金；若发现严重违约现象，则不予退还履约保证金； </w:t>
      </w:r>
    </w:p>
    <w:p w14:paraId="6FAC0CA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2、交纳方式：以支票、汇票、本票、银行转账等非现金形式提交；采用支票、汇票、本票提交履约保证金的，有效期必须在供货期内保持有效； </w:t>
      </w:r>
    </w:p>
    <w:p w14:paraId="5DFB1FD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3、交纳时间：签订合同前中标供应商向采购人交纳。 </w:t>
      </w:r>
    </w:p>
    <w:p w14:paraId="46EF17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（六）其他 </w:t>
      </w:r>
    </w:p>
    <w:p w14:paraId="5A289CD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★中标人负责其派出现场的工作人员需有人身意外保险。（提供承诺函，格式自拟） </w:t>
      </w:r>
    </w:p>
    <w:p w14:paraId="6C5CE4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★为确保本项目顺利完成，供应商必须承诺：承诺在中标后所投入的专业技术人员为本企业人专业技术人员，并与投标文件提供的专业技术人员一致的承诺书。 </w:t>
      </w:r>
    </w:p>
    <w:p w14:paraId="6749C3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★除技术参数要求的质保外，其他货物整体质保</w:t>
      </w:r>
      <w:r>
        <w:rPr>
          <w:rFonts w:hint="eastAsia" w:ascii="宋体" w:hAnsi="宋体" w:cs="宋体"/>
          <w:color w:val="auto"/>
          <w:kern w:val="0"/>
          <w:sz w:val="24"/>
          <w:szCs w:val="24"/>
          <w:highlight w:val="none"/>
          <w:lang w:val="en-US" w:eastAsia="zh-CN" w:bidi="ar"/>
        </w:rPr>
        <w:t>五</w:t>
      </w:r>
      <w:r>
        <w:rPr>
          <w:rFonts w:hint="eastAsia" w:ascii="宋体" w:hAnsi="宋体" w:eastAsia="宋体" w:cs="宋体"/>
          <w:color w:val="auto"/>
          <w:kern w:val="0"/>
          <w:sz w:val="24"/>
          <w:szCs w:val="24"/>
          <w:highlight w:val="none"/>
          <w:lang w:val="en-US" w:eastAsia="zh-CN" w:bidi="ar"/>
        </w:rPr>
        <w:t>年。</w:t>
      </w:r>
    </w:p>
    <w:p w14:paraId="55513B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四、违约责任 </w:t>
      </w:r>
    </w:p>
    <w:p w14:paraId="6C7834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在执行项目过程中如出现下列情形，采购人有权即时终止合同并要求中标人赔偿损失：中标人未能按合同规定的时间提供服务逾期半个月以上的，采购人除有权提前终止合同外，每逾期一天，由此造成的采购人经济损失由中标人承担； </w:t>
      </w:r>
    </w:p>
    <w:p w14:paraId="504E565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中标人在合同履行期间，除法律另行规定外，未经采购人同意，将采购人提供的资料泄外，并在社会上造成不良影响及严重后果的。采购人有权终止合同，由此造成的采购人经济损失由中标人承担； </w:t>
      </w:r>
    </w:p>
    <w:p w14:paraId="7676B6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中标人提供的法务服务不符合招标文件及其投标承诺， 经过整改后仍未能满足相关规定的，采购人有权终止合同， 由此造成的采购人经济损失由中标人承担。 </w:t>
      </w:r>
    </w:p>
    <w:p w14:paraId="42AE1F6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中标人出现上述情形的，采购人有权要求中标人按合同 5%支付违约金。 </w:t>
      </w:r>
    </w:p>
    <w:p w14:paraId="7E512C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其它违约责任按《中华人民共和国合同法》处理。 </w:t>
      </w:r>
    </w:p>
    <w:p w14:paraId="2D9DEA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（七）争端的解决∶ 合同执行过程中发生的任何争议，如双方不能通过友好协商解决，按相关法律法规处理。 </w:t>
      </w:r>
    </w:p>
    <w:p w14:paraId="5A2409A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（八）不可抗力∶任何一方由于不可抗力原因不能履行合同时，应在不可抗力事件结束后1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 </w:t>
      </w:r>
    </w:p>
    <w:p w14:paraId="37D20F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九.其他要求： </w:t>
      </w:r>
    </w:p>
    <w:p w14:paraId="08B7E0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1.成交人须对项目情况进行了解，并保证能协调工作场地及现场工作情况，以保证项目顺利进行。 </w:t>
      </w:r>
    </w:p>
    <w:p w14:paraId="554FBAE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2.成交人须按投标文件提供管理人员名单委派现场管理人员，成交人的名单中负责该项目的项目经理须与响应时提供的项目经理名单一致。 </w:t>
      </w:r>
    </w:p>
    <w:p w14:paraId="137CAA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3.成交人不得在合同期内私下将本项目转包，一经发现，采购人有权追究其相关法律责任。 </w:t>
      </w:r>
    </w:p>
    <w:p w14:paraId="538221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4.成交人须提交进场施工人员名单及身份证复印件给采购人备案，且须在采购人所属有关部门办理出入证。 </w:t>
      </w:r>
    </w:p>
    <w:p w14:paraId="51CF97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5.施工人员须严格遵守一切规章制度，自觉接受检查，无证人员一律不得进入施工现场，施工人员未经批准不得进入其他区域。 </w:t>
      </w:r>
    </w:p>
    <w:p w14:paraId="5017C8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6.成交人须遵守建设单位施工现场和人员管理的规定，安全生产，文明施工。 </w:t>
      </w:r>
    </w:p>
    <w:p w14:paraId="75FA53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成交人在施工过程中，如遇到需与外部相关的单位协调的问题时，应自行解决，采购人只负责协助。 </w:t>
      </w:r>
    </w:p>
    <w:p w14:paraId="5DB68F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7.成交人须注意施工安全，做好安全文明施工工作，如因措施不当造成人身安全或工伤死亡事故，一切责任由中标人负责。 </w:t>
      </w:r>
    </w:p>
    <w:p w14:paraId="6D4A0A7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8.★因采购人使用的是财政资金，采购人在前款规定的付款时间为向政府采购支付部门提出办理财政支付申请手续的时间（不含政府财政支付部门审核的时间），在规定时间内提出支付申请手续后即视为采购人已经按期支付。成交供应商不能因此主张采购人违反合同约定，更不得以此为由拖欠农民工工资，也不能因此主张解除合同，不得因为采购人未支付款项拖欠农民工工资，否则采购人有权直接从货款中扣除，直接支付给农民工，并将供应商拖欠农民工工资的行为报有关部门处理，提供单独承诺书加盖公章并由法定代表人及项目负责人签字。 </w:t>
      </w:r>
    </w:p>
    <w:p w14:paraId="114E3B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★（十）诚信履约 </w:t>
      </w:r>
    </w:p>
    <w:p w14:paraId="1FD970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诚信履约要求：（1）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由法定代表人或者其授权代表签字确认。报价人不能合理说明或者提供相关证明材料将被评标委员会认定为以低于成本报价竞标的，作无效投标处理。（简称“有效报价提示一”） </w:t>
      </w:r>
    </w:p>
    <w:p w14:paraId="5D4DFA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评标委员会认为投标方的报价明显低于其他通过符合性审查投标方的报价，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 </w:t>
      </w:r>
    </w:p>
    <w:p w14:paraId="076B9B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 </w:t>
      </w:r>
    </w:p>
    <w:p w14:paraId="2D71783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四、替补候选人的设定与使用 </w:t>
      </w:r>
    </w:p>
    <w:p w14:paraId="416EDF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b/>
          <w:bCs/>
          <w:color w:val="auto"/>
          <w:kern w:val="0"/>
          <w:sz w:val="24"/>
          <w:szCs w:val="24"/>
          <w:highlight w:val="none"/>
          <w:lang w:val="en-US" w:eastAsia="zh-CN" w:bidi="ar"/>
        </w:rPr>
        <w:t xml:space="preserve">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 </w:t>
      </w:r>
    </w:p>
    <w:p w14:paraId="64FC53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2.★如果所有中标候选人均无法签订合同，采购人将依法重新招标或更改采购形式，对受影响的响应供应商不承担任何责任。</w:t>
      </w:r>
    </w:p>
    <w:p w14:paraId="0E8CAD9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3D8FC1D">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p>
    <w:p w14:paraId="6EBC1FA8">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第六章</w:t>
      </w:r>
      <w:bookmarkEnd w:id="273"/>
      <w:r>
        <w:rPr>
          <w:rFonts w:hint="eastAsia" w:ascii="宋体" w:hAnsi="宋体" w:eastAsia="宋体" w:cs="宋体"/>
          <w:b/>
          <w:color w:val="auto"/>
          <w:kern w:val="2"/>
          <w:sz w:val="28"/>
          <w:szCs w:val="28"/>
          <w:highlight w:val="none"/>
          <w:lang w:val="en-US" w:eastAsia="zh-CN" w:bidi="ar-SA"/>
        </w:rPr>
        <w:t>拟签订的合同文本</w:t>
      </w:r>
    </w:p>
    <w:p w14:paraId="1BF1C9F2">
      <w:pPr>
        <w:snapToGrid w:val="0"/>
        <w:spacing w:line="360" w:lineRule="auto"/>
        <w:ind w:left="0" w:leftChars="0" w:firstLine="0" w:firstLineChars="0"/>
        <w:jc w:val="center"/>
        <w:rPr>
          <w:rFonts w:hint="eastAsia" w:ascii="宋体" w:hAnsi="宋体" w:eastAsia="宋体" w:cs="宋体"/>
          <w:b/>
          <w:color w:val="auto"/>
          <w:sz w:val="24"/>
          <w:szCs w:val="24"/>
          <w:highlight w:val="none"/>
        </w:rPr>
      </w:pPr>
    </w:p>
    <w:p w14:paraId="1BD2C0D1">
      <w:pPr>
        <w:jc w:val="center"/>
        <w:rPr>
          <w:color w:val="auto"/>
          <w:highlight w:val="none"/>
        </w:rPr>
      </w:pPr>
      <w:bookmarkStart w:id="274" w:name="_Toc11035"/>
      <w:bookmarkStart w:id="275" w:name="_Toc6125"/>
      <w:bookmarkStart w:id="276" w:name="_Toc19415"/>
      <w:bookmarkStart w:id="277" w:name="_Toc9510643"/>
      <w:bookmarkStart w:id="278" w:name="_Toc25342"/>
      <w:r>
        <w:rPr>
          <w:b/>
          <w:color w:val="auto"/>
          <w:sz w:val="28"/>
          <w:highlight w:val="none"/>
        </w:rPr>
        <w:t>（若此合同与《采购需求》中有不一致的，则以采购需求的为准）</w:t>
      </w:r>
    </w:p>
    <w:p w14:paraId="701CE4D4">
      <w:pPr>
        <w:spacing w:line="440" w:lineRule="auto"/>
        <w:rPr>
          <w:rFonts w:ascii="Arial"/>
          <w:color w:val="auto"/>
          <w:sz w:val="21"/>
          <w:highlight w:val="none"/>
        </w:rPr>
      </w:pPr>
    </w:p>
    <w:p w14:paraId="641BBF60">
      <w:pPr>
        <w:pStyle w:val="10"/>
        <w:spacing w:before="78" w:line="219" w:lineRule="auto"/>
        <w:rPr>
          <w:color w:val="auto"/>
          <w:highlight w:val="none"/>
        </w:rPr>
      </w:pPr>
      <w:r>
        <w:rPr>
          <w:color w:val="auto"/>
          <w:spacing w:val="1"/>
          <w:highlight w:val="none"/>
          <w14:textOutline w14:w="4358" w14:cap="sq" w14:cmpd="sng">
            <w14:solidFill>
              <w14:srgbClr w14:val="000000"/>
            </w14:solidFill>
            <w14:prstDash w14:val="solid"/>
            <w14:bevel/>
          </w14:textOutline>
        </w:rPr>
        <w:t>注：本合同仅为合同的参考文本，合同签订双</w:t>
      </w:r>
      <w:r>
        <w:rPr>
          <w:color w:val="auto"/>
          <w:highlight w:val="none"/>
          <w14:textOutline w14:w="4358" w14:cap="sq" w14:cmpd="sng">
            <w14:solidFill>
              <w14:srgbClr w14:val="000000"/>
            </w14:solidFill>
            <w14:prstDash w14:val="solid"/>
            <w14:bevel/>
          </w14:textOutline>
        </w:rPr>
        <w:t>方可根据项目的具体要求进行修订。</w:t>
      </w:r>
    </w:p>
    <w:p w14:paraId="48CE9F2D">
      <w:pPr>
        <w:pStyle w:val="10"/>
        <w:spacing w:before="183" w:line="219" w:lineRule="auto"/>
        <w:ind w:left="31"/>
        <w:rPr>
          <w:color w:val="auto"/>
          <w:highlight w:val="none"/>
        </w:rPr>
      </w:pPr>
      <w:r>
        <w:rPr>
          <w:color w:val="auto"/>
          <w:spacing w:val="-9"/>
          <w:highlight w:val="none"/>
        </w:rPr>
        <w:t>甲</w:t>
      </w:r>
      <w:r>
        <w:rPr>
          <w:color w:val="auto"/>
          <w:spacing w:val="2"/>
          <w:highlight w:val="none"/>
        </w:rPr>
        <w:t xml:space="preserve">    </w:t>
      </w:r>
      <w:r>
        <w:rPr>
          <w:color w:val="auto"/>
          <w:spacing w:val="-9"/>
          <w:highlight w:val="none"/>
        </w:rPr>
        <w:t>方（采购人</w:t>
      </w:r>
      <w:r>
        <w:rPr>
          <w:color w:val="auto"/>
          <w:spacing w:val="1"/>
          <w:highlight w:val="none"/>
        </w:rPr>
        <w:t>）：</w:t>
      </w:r>
    </w:p>
    <w:p w14:paraId="68A8319F">
      <w:pPr>
        <w:pStyle w:val="10"/>
        <w:spacing w:before="183" w:line="219" w:lineRule="auto"/>
        <w:ind w:left="29"/>
        <w:rPr>
          <w:color w:val="auto"/>
          <w:highlight w:val="none"/>
        </w:rPr>
      </w:pPr>
      <w:r>
        <w:rPr>
          <w:color w:val="auto"/>
          <w:spacing w:val="-7"/>
          <w:highlight w:val="none"/>
        </w:rPr>
        <w:t>电</w:t>
      </w:r>
      <w:r>
        <w:rPr>
          <w:color w:val="auto"/>
          <w:spacing w:val="2"/>
          <w:highlight w:val="none"/>
        </w:rPr>
        <w:t xml:space="preserve">    </w:t>
      </w:r>
      <w:r>
        <w:rPr>
          <w:color w:val="auto"/>
          <w:spacing w:val="-7"/>
          <w:highlight w:val="none"/>
        </w:rPr>
        <w:t>话：</w:t>
      </w:r>
      <w:r>
        <w:rPr>
          <w:color w:val="auto"/>
          <w:highlight w:val="none"/>
        </w:rPr>
        <w:t xml:space="preserve">                </w:t>
      </w:r>
      <w:r>
        <w:rPr>
          <w:color w:val="auto"/>
          <w:spacing w:val="-7"/>
          <w:highlight w:val="none"/>
        </w:rPr>
        <w:t>传</w:t>
      </w:r>
      <w:r>
        <w:rPr>
          <w:color w:val="auto"/>
          <w:spacing w:val="11"/>
          <w:highlight w:val="none"/>
        </w:rPr>
        <w:t xml:space="preserve">  </w:t>
      </w:r>
      <w:r>
        <w:rPr>
          <w:color w:val="auto"/>
          <w:spacing w:val="-7"/>
          <w:highlight w:val="none"/>
        </w:rPr>
        <w:t>真：</w:t>
      </w:r>
      <w:r>
        <w:rPr>
          <w:color w:val="auto"/>
          <w:highlight w:val="none"/>
        </w:rPr>
        <w:t xml:space="preserve">          </w:t>
      </w:r>
      <w:r>
        <w:rPr>
          <w:color w:val="auto"/>
          <w:spacing w:val="-7"/>
          <w:highlight w:val="none"/>
        </w:rPr>
        <w:t>住  所：</w:t>
      </w:r>
    </w:p>
    <w:p w14:paraId="2A187167">
      <w:pPr>
        <w:pStyle w:val="10"/>
        <w:spacing w:before="184" w:line="220" w:lineRule="auto"/>
        <w:ind w:left="24"/>
        <w:rPr>
          <w:color w:val="auto"/>
          <w:highlight w:val="none"/>
        </w:rPr>
      </w:pPr>
      <w:r>
        <w:rPr>
          <w:color w:val="auto"/>
          <w:spacing w:val="-8"/>
          <w:highlight w:val="none"/>
        </w:rPr>
        <w:t>乙</w:t>
      </w:r>
      <w:r>
        <w:rPr>
          <w:color w:val="auto"/>
          <w:spacing w:val="3"/>
          <w:highlight w:val="none"/>
        </w:rPr>
        <w:t xml:space="preserve">    </w:t>
      </w:r>
      <w:r>
        <w:rPr>
          <w:color w:val="auto"/>
          <w:spacing w:val="-8"/>
          <w:highlight w:val="none"/>
        </w:rPr>
        <w:t>方（中标人</w:t>
      </w:r>
      <w:r>
        <w:rPr>
          <w:color w:val="auto"/>
          <w:spacing w:val="1"/>
          <w:highlight w:val="none"/>
        </w:rPr>
        <w:t>）：</w:t>
      </w:r>
    </w:p>
    <w:p w14:paraId="11739D45">
      <w:pPr>
        <w:pStyle w:val="10"/>
        <w:spacing w:before="181" w:line="219" w:lineRule="auto"/>
        <w:ind w:left="29"/>
        <w:rPr>
          <w:color w:val="auto"/>
          <w:highlight w:val="none"/>
        </w:rPr>
      </w:pPr>
      <w:r>
        <w:rPr>
          <w:color w:val="auto"/>
          <w:spacing w:val="-7"/>
          <w:highlight w:val="none"/>
        </w:rPr>
        <w:t>电</w:t>
      </w:r>
      <w:r>
        <w:rPr>
          <w:color w:val="auto"/>
          <w:spacing w:val="2"/>
          <w:highlight w:val="none"/>
        </w:rPr>
        <w:t xml:space="preserve">    </w:t>
      </w:r>
      <w:r>
        <w:rPr>
          <w:color w:val="auto"/>
          <w:spacing w:val="-7"/>
          <w:highlight w:val="none"/>
        </w:rPr>
        <w:t>话：</w:t>
      </w:r>
      <w:r>
        <w:rPr>
          <w:color w:val="auto"/>
          <w:highlight w:val="none"/>
        </w:rPr>
        <w:t xml:space="preserve">                </w:t>
      </w:r>
      <w:r>
        <w:rPr>
          <w:color w:val="auto"/>
          <w:spacing w:val="-7"/>
          <w:highlight w:val="none"/>
        </w:rPr>
        <w:t>传</w:t>
      </w:r>
      <w:r>
        <w:rPr>
          <w:color w:val="auto"/>
          <w:spacing w:val="11"/>
          <w:highlight w:val="none"/>
        </w:rPr>
        <w:t xml:space="preserve">  </w:t>
      </w:r>
      <w:r>
        <w:rPr>
          <w:color w:val="auto"/>
          <w:spacing w:val="-7"/>
          <w:highlight w:val="none"/>
        </w:rPr>
        <w:t>真：</w:t>
      </w:r>
      <w:r>
        <w:rPr>
          <w:color w:val="auto"/>
          <w:highlight w:val="none"/>
        </w:rPr>
        <w:t xml:space="preserve">          </w:t>
      </w:r>
      <w:r>
        <w:rPr>
          <w:color w:val="auto"/>
          <w:spacing w:val="-7"/>
          <w:highlight w:val="none"/>
        </w:rPr>
        <w:t>住  所：</w:t>
      </w:r>
    </w:p>
    <w:p w14:paraId="4D8A3A40">
      <w:pPr>
        <w:spacing w:line="415" w:lineRule="auto"/>
        <w:rPr>
          <w:rFonts w:ascii="Arial"/>
          <w:color w:val="auto"/>
          <w:sz w:val="21"/>
          <w:highlight w:val="none"/>
        </w:rPr>
      </w:pPr>
    </w:p>
    <w:p w14:paraId="5799CB81">
      <w:pPr>
        <w:keepNext w:val="0"/>
        <w:keepLines w:val="0"/>
        <w:pageBreakBefore w:val="0"/>
        <w:widowControl/>
        <w:tabs>
          <w:tab w:val="left" w:pos="1775"/>
        </w:tabs>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105"/>
          <w:sz w:val="24"/>
          <w:szCs w:val="24"/>
          <w:highlight w:val="none"/>
        </w:rPr>
        <w:t xml:space="preserve"> </w:t>
      </w:r>
      <w:r>
        <w:rPr>
          <w:rFonts w:hint="eastAsia" w:ascii="宋体" w:hAnsi="宋体" w:eastAsia="宋体" w:cs="宋体"/>
          <w:color w:val="auto"/>
          <w:spacing w:val="-6"/>
          <w:sz w:val="24"/>
          <w:szCs w:val="24"/>
          <w:highlight w:val="none"/>
        </w:rPr>
        <w:t>项目进行了采购。经</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6"/>
          <w:sz w:val="24"/>
          <w:szCs w:val="24"/>
          <w:highlight w:val="none"/>
        </w:rPr>
        <w:t>评定，</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107"/>
          <w:sz w:val="24"/>
          <w:szCs w:val="24"/>
          <w:highlight w:val="none"/>
        </w:rPr>
        <w:t xml:space="preserve"> </w:t>
      </w:r>
      <w:r>
        <w:rPr>
          <w:rFonts w:hint="eastAsia" w:ascii="宋体" w:hAnsi="宋体" w:eastAsia="宋体" w:cs="宋体"/>
          <w:color w:val="auto"/>
          <w:spacing w:val="-7"/>
          <w:sz w:val="24"/>
          <w:szCs w:val="24"/>
          <w:highlight w:val="none"/>
        </w:rPr>
        <w:t>为该项目成交供应商。现于成交</w:t>
      </w:r>
      <w:r>
        <w:rPr>
          <w:rFonts w:hint="eastAsia" w:ascii="宋体" w:hAnsi="宋体" w:eastAsia="宋体" w:cs="宋体"/>
          <w:color w:val="auto"/>
          <w:spacing w:val="-3"/>
          <w:sz w:val="24"/>
          <w:szCs w:val="24"/>
          <w:highlight w:val="none"/>
        </w:rPr>
        <w:t>通知书发出之日起三十日内，按照采购文件确</w:t>
      </w:r>
      <w:r>
        <w:rPr>
          <w:rFonts w:hint="eastAsia" w:ascii="宋体" w:hAnsi="宋体" w:eastAsia="宋体" w:cs="宋体"/>
          <w:color w:val="auto"/>
          <w:spacing w:val="-4"/>
          <w:sz w:val="24"/>
          <w:szCs w:val="24"/>
          <w:highlight w:val="none"/>
        </w:rPr>
        <w:t>定的事项签订本合同。</w:t>
      </w:r>
    </w:p>
    <w:p w14:paraId="7C38A4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根据《中华人民共和国民法典》、《中华人民共和国政府采购法》等相关法律法规之规定，按照平等、 自愿、公平和诚实信用的原则，经</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61"/>
          <w:sz w:val="24"/>
          <w:szCs w:val="24"/>
          <w:highlight w:val="none"/>
        </w:rPr>
        <w:t xml:space="preserve"> </w:t>
      </w:r>
      <w:r>
        <w:rPr>
          <w:rFonts w:hint="eastAsia" w:ascii="宋体" w:hAnsi="宋体" w:eastAsia="宋体" w:cs="宋体"/>
          <w:color w:val="auto"/>
          <w:spacing w:val="-15"/>
          <w:sz w:val="24"/>
          <w:szCs w:val="24"/>
          <w:highlight w:val="none"/>
        </w:rPr>
        <w:t>(以下简称：甲方)和</w:t>
      </w:r>
      <w:r>
        <w:rPr>
          <w:rFonts w:hint="eastAsia" w:ascii="宋体" w:hAnsi="宋体" w:eastAsia="宋体" w:cs="宋体"/>
          <w:color w:val="auto"/>
          <w:spacing w:val="-15"/>
          <w:sz w:val="24"/>
          <w:szCs w:val="24"/>
          <w:highlight w:val="none"/>
          <w:u w:val="single" w:color="auto"/>
        </w:rPr>
        <w:t xml:space="preserve">         </w:t>
      </w:r>
      <w:r>
        <w:rPr>
          <w:rFonts w:hint="eastAsia" w:ascii="宋体" w:hAnsi="宋体" w:eastAsia="宋体" w:cs="宋体"/>
          <w:color w:val="auto"/>
          <w:spacing w:val="-68"/>
          <w:sz w:val="24"/>
          <w:szCs w:val="24"/>
          <w:highlight w:val="none"/>
        </w:rPr>
        <w:t xml:space="preserve"> </w:t>
      </w:r>
      <w:r>
        <w:rPr>
          <w:rFonts w:hint="eastAsia" w:ascii="宋体" w:hAnsi="宋体" w:eastAsia="宋体" w:cs="宋体"/>
          <w:color w:val="auto"/>
          <w:spacing w:val="-15"/>
          <w:sz w:val="24"/>
          <w:szCs w:val="24"/>
          <w:highlight w:val="none"/>
        </w:rPr>
        <w:t>(以下简称：乙方)协</w:t>
      </w:r>
      <w:r>
        <w:rPr>
          <w:rFonts w:hint="eastAsia" w:ascii="宋体" w:hAnsi="宋体" w:eastAsia="宋体" w:cs="宋体"/>
          <w:color w:val="auto"/>
          <w:spacing w:val="-5"/>
          <w:sz w:val="24"/>
          <w:szCs w:val="24"/>
          <w:highlight w:val="none"/>
        </w:rPr>
        <w:t>商一致，约定以下合同条款，以兹共同遵守、全面履行。</w:t>
      </w:r>
    </w:p>
    <w:p w14:paraId="191B4603">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0"/>
          <w:position w:val="-1"/>
          <w:sz w:val="24"/>
          <w:szCs w:val="24"/>
          <w:highlight w:val="none"/>
        </w:rPr>
        <w:t xml:space="preserve">1.1  </w:t>
      </w:r>
      <w:r>
        <w:rPr>
          <w:rFonts w:hint="eastAsia" w:ascii="宋体" w:hAnsi="宋体" w:eastAsia="宋体" w:cs="宋体"/>
          <w:color w:val="auto"/>
          <w:spacing w:val="-30"/>
          <w:position w:val="-1"/>
          <w:sz w:val="24"/>
          <w:szCs w:val="24"/>
          <w:highlight w:val="none"/>
        </w:rPr>
        <w:t>合同组成部分</w:t>
      </w:r>
    </w:p>
    <w:p w14:paraId="2FE2E9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下列文件为本合同的组成部分，并构成一个整体，需综合解释、相互补充。如果下列文件内容</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6"/>
          <w:sz w:val="24"/>
          <w:szCs w:val="24"/>
          <w:highlight w:val="none"/>
        </w:rPr>
        <w:t>出现不一致的情形，那么在保证按照采购文件确定的事项的前提下，组成本合同的多个文件的</w:t>
      </w:r>
      <w:r>
        <w:rPr>
          <w:rFonts w:hint="eastAsia" w:ascii="宋体" w:hAnsi="宋体" w:eastAsia="宋体" w:cs="宋体"/>
          <w:color w:val="auto"/>
          <w:spacing w:val="-3"/>
          <w:sz w:val="24"/>
          <w:szCs w:val="24"/>
          <w:highlight w:val="none"/>
        </w:rPr>
        <w:t>优先适用顺序如下：</w:t>
      </w:r>
    </w:p>
    <w:p w14:paraId="7EFACC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1.1.1 本合同及其补充合同、变更协议；</w:t>
      </w:r>
    </w:p>
    <w:p w14:paraId="225B24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1.1.2</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9"/>
          <w:sz w:val="24"/>
          <w:szCs w:val="24"/>
          <w:highlight w:val="none"/>
        </w:rPr>
        <w:t>成交通知书；</w:t>
      </w:r>
    </w:p>
    <w:p w14:paraId="45C4F0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1.1.3 招标文件（含澄清或者说明文件</w:t>
      </w:r>
      <w:r>
        <w:rPr>
          <w:rFonts w:hint="eastAsia" w:ascii="宋体" w:hAnsi="宋体" w:eastAsia="宋体" w:cs="宋体"/>
          <w:color w:val="auto"/>
          <w:spacing w:val="-23"/>
          <w:sz w:val="24"/>
          <w:szCs w:val="24"/>
          <w:highlight w:val="none"/>
        </w:rPr>
        <w:t>）；</w:t>
      </w:r>
    </w:p>
    <w:p w14:paraId="00D8F0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1.1.4 投标文件（含澄清或者修改文件</w:t>
      </w:r>
      <w:r>
        <w:rPr>
          <w:rFonts w:hint="eastAsia" w:ascii="宋体" w:hAnsi="宋体" w:eastAsia="宋体" w:cs="宋体"/>
          <w:color w:val="auto"/>
          <w:spacing w:val="-23"/>
          <w:sz w:val="24"/>
          <w:szCs w:val="24"/>
          <w:highlight w:val="none"/>
        </w:rPr>
        <w:t>）；</w:t>
      </w:r>
    </w:p>
    <w:p w14:paraId="623004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1.1.5 其他相关采购文件。</w:t>
      </w:r>
    </w:p>
    <w:p w14:paraId="700DAE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position w:val="-1"/>
          <w:sz w:val="24"/>
          <w:szCs w:val="24"/>
          <w:highlight w:val="none"/>
        </w:rPr>
        <w:t>1.2标的</w:t>
      </w:r>
    </w:p>
    <w:p w14:paraId="00460A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1.2.1</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0"/>
          <w:sz w:val="24"/>
          <w:szCs w:val="24"/>
          <w:highlight w:val="none"/>
        </w:rPr>
        <w:t>标的名称</w:t>
      </w:r>
      <w:r>
        <w:rPr>
          <w:rFonts w:hint="eastAsia" w:ascii="宋体" w:hAnsi="宋体" w:eastAsia="宋体" w:cs="宋体"/>
          <w:color w:val="auto"/>
          <w:spacing w:val="-32"/>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2"/>
          <w:sz w:val="24"/>
          <w:szCs w:val="24"/>
          <w:highlight w:val="none"/>
        </w:rPr>
        <w:t>；</w:t>
      </w:r>
    </w:p>
    <w:p w14:paraId="1A9B14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1.2.2</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9"/>
          <w:sz w:val="24"/>
          <w:szCs w:val="24"/>
          <w:highlight w:val="none"/>
        </w:rPr>
        <w:t>标的数量：</w:t>
      </w:r>
    </w:p>
    <w:p w14:paraId="29CD1C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1.2.3</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4"/>
          <w:sz w:val="24"/>
          <w:szCs w:val="24"/>
          <w:highlight w:val="none"/>
        </w:rPr>
        <w:t>标的质量：</w:t>
      </w:r>
      <w:r>
        <w:rPr>
          <w:rFonts w:hint="eastAsia" w:ascii="宋体" w:hAnsi="宋体" w:eastAsia="宋体" w:cs="宋体"/>
          <w:color w:val="auto"/>
          <w:spacing w:val="-4"/>
          <w:sz w:val="24"/>
          <w:szCs w:val="24"/>
          <w:highlight w:val="none"/>
          <w:u w:val="single" w:color="auto"/>
        </w:rPr>
        <w:t>必须达到国家和行业规定的标准及招标文</w:t>
      </w:r>
      <w:r>
        <w:rPr>
          <w:rFonts w:hint="eastAsia" w:ascii="宋体" w:hAnsi="宋体" w:eastAsia="宋体" w:cs="宋体"/>
          <w:color w:val="auto"/>
          <w:spacing w:val="-5"/>
          <w:sz w:val="24"/>
          <w:szCs w:val="24"/>
          <w:highlight w:val="none"/>
          <w:u w:val="single" w:color="auto"/>
        </w:rPr>
        <w:t>件规定的标准</w:t>
      </w:r>
      <w:r>
        <w:rPr>
          <w:rFonts w:hint="eastAsia" w:ascii="宋体" w:hAnsi="宋体" w:eastAsia="宋体" w:cs="宋体"/>
          <w:color w:val="auto"/>
          <w:spacing w:val="-5"/>
          <w:sz w:val="24"/>
          <w:szCs w:val="24"/>
          <w:highlight w:val="none"/>
        </w:rPr>
        <w:t>。</w:t>
      </w:r>
    </w:p>
    <w:p w14:paraId="1B0673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position w:val="-1"/>
          <w:sz w:val="24"/>
          <w:szCs w:val="24"/>
          <w:highlight w:val="none"/>
        </w:rPr>
        <w:t>1.3价款</w:t>
      </w:r>
    </w:p>
    <w:p w14:paraId="107549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本合同总价为：￥</w:t>
      </w:r>
      <w:r>
        <w:rPr>
          <w:rFonts w:hint="eastAsia" w:ascii="宋体" w:hAnsi="宋体" w:eastAsia="宋体" w:cs="宋体"/>
          <w:color w:val="auto"/>
          <w:spacing w:val="-102"/>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08"/>
          <w:sz w:val="24"/>
          <w:szCs w:val="24"/>
          <w:highlight w:val="none"/>
        </w:rPr>
        <w:t xml:space="preserve"> </w:t>
      </w:r>
      <w:r>
        <w:rPr>
          <w:rFonts w:hint="eastAsia" w:ascii="宋体" w:hAnsi="宋体" w:eastAsia="宋体" w:cs="宋体"/>
          <w:color w:val="auto"/>
          <w:spacing w:val="-22"/>
          <w:sz w:val="24"/>
          <w:szCs w:val="24"/>
          <w:highlight w:val="none"/>
        </w:rPr>
        <w:t>元（大写：</w:t>
      </w:r>
      <w:r>
        <w:rPr>
          <w:rFonts w:hint="eastAsia" w:ascii="宋体" w:hAnsi="宋体" w:eastAsia="宋体" w:cs="宋体"/>
          <w:color w:val="auto"/>
          <w:spacing w:val="-22"/>
          <w:sz w:val="24"/>
          <w:szCs w:val="24"/>
          <w:highlight w:val="none"/>
          <w:u w:val="single" w:color="auto"/>
        </w:rPr>
        <w:t xml:space="preserve"> </w:t>
      </w:r>
      <w:r>
        <w:rPr>
          <w:rFonts w:hint="eastAsia" w:ascii="宋体" w:hAnsi="宋体" w:eastAsia="宋体" w:cs="宋体"/>
          <w:color w:val="auto"/>
          <w:spacing w:val="-109"/>
          <w:sz w:val="24"/>
          <w:szCs w:val="24"/>
          <w:highlight w:val="none"/>
        </w:rPr>
        <w:t xml:space="preserve"> </w:t>
      </w:r>
      <w:r>
        <w:rPr>
          <w:rFonts w:hint="eastAsia" w:ascii="宋体" w:hAnsi="宋体" w:eastAsia="宋体" w:cs="宋体"/>
          <w:color w:val="auto"/>
          <w:spacing w:val="-22"/>
          <w:sz w:val="24"/>
          <w:szCs w:val="24"/>
          <w:highlight w:val="none"/>
        </w:rPr>
        <w:t>元人民币）。</w:t>
      </w:r>
    </w:p>
    <w:p w14:paraId="7E05AB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分项价格：</w:t>
      </w:r>
    </w:p>
    <w:p w14:paraId="0F7099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w w:val="91"/>
          <w:position w:val="-1"/>
          <w:sz w:val="24"/>
          <w:szCs w:val="24"/>
          <w:highlight w:val="none"/>
        </w:rPr>
        <w:t>1.4付款方式和发票开具方式</w:t>
      </w:r>
    </w:p>
    <w:p w14:paraId="7C5A0D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1.4.1</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付款方式：</w:t>
      </w:r>
      <w:r>
        <w:rPr>
          <w:rFonts w:hint="eastAsia" w:ascii="宋体" w:hAnsi="宋体" w:eastAsia="宋体" w:cs="宋体"/>
          <w:color w:val="auto"/>
          <w:spacing w:val="-4"/>
          <w:sz w:val="24"/>
          <w:szCs w:val="24"/>
          <w:highlight w:val="none"/>
          <w:u w:val="single" w:color="auto"/>
        </w:rPr>
        <w:t xml:space="preserve"> </w:t>
      </w:r>
      <w:r>
        <w:rPr>
          <w:rFonts w:hint="eastAsia" w:ascii="宋体" w:hAnsi="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4"/>
          <w:sz w:val="24"/>
          <w:szCs w:val="24"/>
          <w:highlight w:val="none"/>
        </w:rPr>
        <w:t>；</w:t>
      </w:r>
    </w:p>
    <w:p w14:paraId="30AE19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1.4.2</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发票开具方式：</w:t>
      </w:r>
      <w:r>
        <w:rPr>
          <w:rFonts w:hint="eastAsia" w:ascii="宋体" w:hAnsi="宋体" w:eastAsia="宋体" w:cs="宋体"/>
          <w:color w:val="auto"/>
          <w:spacing w:val="-7"/>
          <w:sz w:val="24"/>
          <w:szCs w:val="24"/>
          <w:highlight w:val="none"/>
          <w:u w:val="single" w:color="auto"/>
        </w:rPr>
        <w:t xml:space="preserve"> 普通电子增值税发票 </w:t>
      </w:r>
      <w:r>
        <w:rPr>
          <w:rFonts w:hint="eastAsia" w:ascii="宋体" w:hAnsi="宋体" w:eastAsia="宋体" w:cs="宋体"/>
          <w:color w:val="auto"/>
          <w:spacing w:val="-7"/>
          <w:sz w:val="24"/>
          <w:szCs w:val="24"/>
          <w:highlight w:val="none"/>
        </w:rPr>
        <w:t>。</w:t>
      </w:r>
    </w:p>
    <w:p w14:paraId="37C785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5"/>
          <w:w w:val="93"/>
          <w:position w:val="-1"/>
          <w:sz w:val="24"/>
          <w:szCs w:val="24"/>
          <w:highlight w:val="none"/>
        </w:rPr>
        <w:t>1.5履行期限、地点和方式</w:t>
      </w:r>
    </w:p>
    <w:p w14:paraId="68F908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1.5.1</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履行期限：</w:t>
      </w:r>
      <w:r>
        <w:rPr>
          <w:rFonts w:hint="eastAsia" w:ascii="宋体" w:hAnsi="宋体" w:eastAsia="宋体" w:cs="宋体"/>
          <w:color w:val="auto"/>
          <w:spacing w:val="-3"/>
          <w:sz w:val="24"/>
          <w:szCs w:val="24"/>
          <w:highlight w:val="none"/>
          <w:u w:val="single" w:color="auto"/>
        </w:rPr>
        <w:t xml:space="preserve"> 签订合同后根据甲方需求进行分批供货，保证不能断货 </w:t>
      </w:r>
      <w:r>
        <w:rPr>
          <w:rFonts w:hint="eastAsia" w:ascii="宋体" w:hAnsi="宋体" w:eastAsia="宋体" w:cs="宋体"/>
          <w:color w:val="auto"/>
          <w:spacing w:val="-3"/>
          <w:sz w:val="24"/>
          <w:szCs w:val="24"/>
          <w:highlight w:val="none"/>
        </w:rPr>
        <w:t>；</w:t>
      </w:r>
    </w:p>
    <w:p w14:paraId="01093A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1.5.2</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履行地点：</w:t>
      </w:r>
      <w:r>
        <w:rPr>
          <w:rFonts w:hint="eastAsia" w:ascii="宋体" w:hAnsi="宋体" w:eastAsia="宋体" w:cs="宋体"/>
          <w:color w:val="auto"/>
          <w:spacing w:val="-4"/>
          <w:sz w:val="24"/>
          <w:szCs w:val="24"/>
          <w:highlight w:val="none"/>
          <w:u w:val="single" w:color="auto"/>
        </w:rPr>
        <w:t xml:space="preserve"> ，招标人指定地点 </w:t>
      </w:r>
      <w:r>
        <w:rPr>
          <w:rFonts w:hint="eastAsia" w:ascii="宋体" w:hAnsi="宋体" w:eastAsia="宋体" w:cs="宋体"/>
          <w:color w:val="auto"/>
          <w:spacing w:val="-4"/>
          <w:sz w:val="24"/>
          <w:szCs w:val="24"/>
          <w:highlight w:val="none"/>
        </w:rPr>
        <w:t>；</w:t>
      </w:r>
    </w:p>
    <w:p w14:paraId="30B6E4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1.5.3</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8"/>
          <w:sz w:val="24"/>
          <w:szCs w:val="24"/>
          <w:highlight w:val="none"/>
        </w:rPr>
        <w:t>履行方式：</w:t>
      </w:r>
      <w:r>
        <w:rPr>
          <w:rFonts w:hint="eastAsia" w:ascii="宋体" w:hAnsi="宋体" w:eastAsia="宋体" w:cs="宋体"/>
          <w:color w:val="auto"/>
          <w:spacing w:val="25"/>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 xml:space="preserve">乙方按照甲方采购计划，分批供应 </w:t>
      </w:r>
      <w:r>
        <w:rPr>
          <w:rFonts w:hint="eastAsia" w:ascii="宋体" w:hAnsi="宋体" w:eastAsia="宋体" w:cs="宋体"/>
          <w:color w:val="auto"/>
          <w:spacing w:val="-8"/>
          <w:sz w:val="24"/>
          <w:szCs w:val="24"/>
          <w:highlight w:val="none"/>
        </w:rPr>
        <w:t>。</w:t>
      </w:r>
    </w:p>
    <w:p w14:paraId="0588C6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7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w w:val="88"/>
          <w:position w:val="-1"/>
          <w:sz w:val="24"/>
          <w:szCs w:val="24"/>
          <w:highlight w:val="none"/>
        </w:rPr>
        <w:t>1.6质量要求、保质责任及验收</w:t>
      </w:r>
    </w:p>
    <w:p w14:paraId="315AF2B1">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1.6.1 按合同交付的产品质量应符合国家承认的相应标准及招标文件规定的标准，并与向和田县英艾日克乡</w:t>
      </w:r>
      <w:r>
        <w:rPr>
          <w:rFonts w:hint="eastAsia" w:ascii="宋体" w:hAnsi="宋体" w:eastAsia="宋体" w:cs="宋体"/>
          <w:color w:val="auto"/>
          <w:spacing w:val="-6"/>
          <w:sz w:val="24"/>
          <w:szCs w:val="24"/>
          <w:highlight w:val="none"/>
        </w:rPr>
        <w:t>承诺的质量相一致，以确保临床使用安全有效。</w:t>
      </w:r>
    </w:p>
    <w:p w14:paraId="125015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1.6.2 如果乙方提供的产品因质量问题在使用过程中造成的一切不良后果或医疗纠纷，责任由</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0"/>
          <w:sz w:val="24"/>
          <w:szCs w:val="24"/>
          <w:highlight w:val="none"/>
        </w:rPr>
        <w:t>乙方承担负责。</w:t>
      </w:r>
    </w:p>
    <w:p w14:paraId="7B4F25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1.6.3 乙方需保证所提供的货物来源合法，并已经依照国家法律缴纳有关税款。如因乙方没有</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履行该保证义务，造成甲方财产及声誉上的损失，乙方须承担违约责任及赔偿甲方由此产生</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的一切损失。</w:t>
      </w:r>
    </w:p>
    <w:p w14:paraId="42F8EB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1.6.4 定货后最迟五天内送达。</w:t>
      </w:r>
    </w:p>
    <w:p w14:paraId="729328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1.6.5 乙方负责办理运输和保险，有关运输和保险的一切费用由乙方承担,货物运抵甲方指定</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rPr>
        <w:t>地点，乙方提供送货到库。</w:t>
      </w:r>
    </w:p>
    <w:p w14:paraId="0E6134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1.6.6 乙方向甲方收货人员提交销售清单，双方签字确认，货物运抵甲方收货地点的日期为交</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货日期。</w:t>
      </w:r>
    </w:p>
    <w:p w14:paraId="6EBBE950">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position w:val="-1"/>
          <w:sz w:val="24"/>
          <w:szCs w:val="24"/>
          <w:highlight w:val="none"/>
        </w:rPr>
        <w:t>1.7</w:t>
      </w:r>
      <w:r>
        <w:rPr>
          <w:rFonts w:hint="eastAsia" w:ascii="宋体" w:hAnsi="宋体" w:eastAsia="宋体" w:cs="宋体"/>
          <w:color w:val="auto"/>
          <w:spacing w:val="26"/>
          <w:position w:val="-1"/>
          <w:sz w:val="24"/>
          <w:szCs w:val="24"/>
          <w:highlight w:val="none"/>
        </w:rPr>
        <w:t xml:space="preserve"> </w:t>
      </w:r>
      <w:r>
        <w:rPr>
          <w:rFonts w:hint="eastAsia" w:ascii="宋体" w:hAnsi="宋体" w:eastAsia="宋体" w:cs="宋体"/>
          <w:color w:val="auto"/>
          <w:spacing w:val="-25"/>
          <w:position w:val="-1"/>
          <w:sz w:val="24"/>
          <w:szCs w:val="24"/>
          <w:highlight w:val="none"/>
        </w:rPr>
        <w:t>违约责任</w:t>
      </w:r>
    </w:p>
    <w:p w14:paraId="4AA732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1.7.1 除不可抗力外，如果乙方没有按照本合同约定的期限、地点和方式履行，那么甲方可要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求乙方支付违约金，违约金按每迟延履行一日的应提供而未提供服务价格的</w:t>
      </w:r>
      <w:r>
        <w:rPr>
          <w:rFonts w:hint="eastAsia" w:ascii="宋体" w:hAnsi="宋体" w:eastAsia="宋体" w:cs="宋体"/>
          <w:color w:val="auto"/>
          <w:spacing w:val="-9"/>
          <w:sz w:val="24"/>
          <w:szCs w:val="24"/>
          <w:highlight w:val="none"/>
          <w:u w:val="single" w:color="auto"/>
        </w:rPr>
        <w:t xml:space="preserve">  1</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117"/>
          <w:sz w:val="24"/>
          <w:szCs w:val="24"/>
          <w:highlight w:val="none"/>
        </w:rPr>
        <w:t xml:space="preserve"> </w:t>
      </w:r>
      <w:r>
        <w:rPr>
          <w:rFonts w:hint="eastAsia" w:ascii="宋体" w:hAnsi="宋体" w:eastAsia="宋体" w:cs="宋体"/>
          <w:color w:val="auto"/>
          <w:spacing w:val="-10"/>
          <w:sz w:val="24"/>
          <w:szCs w:val="24"/>
          <w:highlight w:val="none"/>
        </w:rPr>
        <w:t>%计算，最高</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限额为本合同总价的</w:t>
      </w:r>
      <w:r>
        <w:rPr>
          <w:rFonts w:hint="eastAsia" w:ascii="宋体" w:hAnsi="宋体" w:eastAsia="宋体" w:cs="宋体"/>
          <w:color w:val="auto"/>
          <w:spacing w:val="-1"/>
          <w:sz w:val="24"/>
          <w:szCs w:val="24"/>
          <w:highlight w:val="none"/>
          <w:u w:val="single" w:color="auto"/>
        </w:rPr>
        <w:t xml:space="preserve">  10  </w:t>
      </w:r>
      <w:r>
        <w:rPr>
          <w:rFonts w:hint="eastAsia" w:ascii="宋体" w:hAnsi="宋体" w:eastAsia="宋体" w:cs="宋体"/>
          <w:color w:val="auto"/>
          <w:spacing w:val="-113"/>
          <w:sz w:val="24"/>
          <w:szCs w:val="24"/>
          <w:highlight w:val="none"/>
        </w:rPr>
        <w:t xml:space="preserve"> </w:t>
      </w:r>
      <w:r>
        <w:rPr>
          <w:rFonts w:hint="eastAsia" w:ascii="宋体" w:hAnsi="宋体" w:eastAsia="宋体" w:cs="宋体"/>
          <w:color w:val="auto"/>
          <w:spacing w:val="-1"/>
          <w:sz w:val="24"/>
          <w:szCs w:val="24"/>
          <w:highlight w:val="none"/>
        </w:rPr>
        <w:t>%；迟延履行的违约金计算数额达到前述最高限额之日起，甲方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有权在要求乙方支付违约金的同时，书面通知乙方解除本合同；</w:t>
      </w:r>
    </w:p>
    <w:p w14:paraId="30C477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1.7.2 除不可抗力外，如果甲方没有按照本合同约定的付款方式付款，那么乙方可要求甲方支</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付违约金，违约金按每迟延付款一日的应付而未付款的</w:t>
      </w:r>
      <w:r>
        <w:rPr>
          <w:rFonts w:hint="eastAsia" w:ascii="宋体" w:hAnsi="宋体" w:eastAsia="宋体" w:cs="宋体"/>
          <w:color w:val="auto"/>
          <w:spacing w:val="-4"/>
          <w:sz w:val="24"/>
          <w:szCs w:val="24"/>
          <w:highlight w:val="none"/>
          <w:u w:val="single" w:color="auto"/>
        </w:rPr>
        <w:t xml:space="preserve"> 1  </w:t>
      </w:r>
      <w:r>
        <w:rPr>
          <w:rFonts w:hint="eastAsia" w:ascii="宋体" w:hAnsi="宋体" w:eastAsia="宋体" w:cs="宋体"/>
          <w:color w:val="auto"/>
          <w:spacing w:val="-4"/>
          <w:sz w:val="24"/>
          <w:szCs w:val="24"/>
          <w:highlight w:val="none"/>
        </w:rPr>
        <w:t>% 计算，最高限额为本合同总价</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3"/>
          <w:sz w:val="24"/>
          <w:szCs w:val="24"/>
          <w:highlight w:val="none"/>
        </w:rPr>
        <w:t>的</w:t>
      </w:r>
      <w:r>
        <w:rPr>
          <w:rFonts w:hint="eastAsia" w:ascii="宋体" w:hAnsi="宋体" w:eastAsia="宋体" w:cs="宋体"/>
          <w:color w:val="auto"/>
          <w:spacing w:val="-3"/>
          <w:sz w:val="24"/>
          <w:szCs w:val="24"/>
          <w:highlight w:val="none"/>
          <w:u w:val="single" w:color="auto"/>
        </w:rPr>
        <w:t xml:space="preserve">   10  </w:t>
      </w:r>
      <w:r>
        <w:rPr>
          <w:rFonts w:hint="eastAsia" w:ascii="宋体" w:hAnsi="宋体" w:eastAsia="宋体" w:cs="宋体"/>
          <w:color w:val="auto"/>
          <w:spacing w:val="-117"/>
          <w:sz w:val="24"/>
          <w:szCs w:val="24"/>
          <w:highlight w:val="none"/>
        </w:rPr>
        <w:t xml:space="preserve"> </w:t>
      </w:r>
      <w:r>
        <w:rPr>
          <w:rFonts w:hint="eastAsia" w:ascii="宋体" w:hAnsi="宋体" w:eastAsia="宋体" w:cs="宋体"/>
          <w:color w:val="auto"/>
          <w:spacing w:val="-3"/>
          <w:sz w:val="24"/>
          <w:szCs w:val="24"/>
          <w:highlight w:val="none"/>
        </w:rPr>
        <w:t>%；迟延付款的违约金计算</w:t>
      </w:r>
      <w:r>
        <w:rPr>
          <w:rFonts w:hint="eastAsia" w:ascii="宋体" w:hAnsi="宋体" w:eastAsia="宋体" w:cs="宋体"/>
          <w:color w:val="auto"/>
          <w:spacing w:val="-4"/>
          <w:sz w:val="24"/>
          <w:szCs w:val="24"/>
          <w:highlight w:val="none"/>
        </w:rPr>
        <w:t>数额达到前述最高限额之日起，乙方有权在要求甲方支</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付违约金的同时，书面通知甲方解除本合同；</w:t>
      </w:r>
    </w:p>
    <w:p w14:paraId="2CC1FC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1.7.3 除不可抗力外，任何一方未能履行本合同约定的其他主要义务，经催告后在合理期限内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仍未履行的，或者任何一方有其他违约行为致使不能实现合同目的的，或者任何一方有腐败</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4"/>
          <w:sz w:val="24"/>
          <w:szCs w:val="24"/>
          <w:highlight w:val="none"/>
        </w:rPr>
        <w:t>行为（即：提供或给予或接受或索取任何财物或其他好处或者采取其他不正当手段来影响对</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4"/>
          <w:sz w:val="24"/>
          <w:szCs w:val="24"/>
          <w:highlight w:val="none"/>
        </w:rPr>
        <w:t>方当事人在合同签订、履行过程中的行为）或者欺诈行为（即：以谎报事实或隐瞒真相的方</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4"/>
          <w:sz w:val="24"/>
          <w:szCs w:val="24"/>
          <w:highlight w:val="none"/>
        </w:rPr>
        <w:t>法来影响对方当事人在合同签订、履行过程中的行为）的，对方当事人可以书面通知违约方</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3"/>
          <w:sz w:val="24"/>
          <w:szCs w:val="24"/>
          <w:highlight w:val="none"/>
        </w:rPr>
        <w:t>解除本合同；</w:t>
      </w:r>
    </w:p>
    <w:p w14:paraId="7CA9AF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1.7.4 任何一方按照前述约定要求违约方支付违约金的同时，仍有权要求违约方</w:t>
      </w:r>
      <w:r>
        <w:rPr>
          <w:rFonts w:hint="eastAsia" w:ascii="宋体" w:hAnsi="宋体" w:eastAsia="宋体" w:cs="宋体"/>
          <w:color w:val="auto"/>
          <w:spacing w:val="-11"/>
          <w:sz w:val="24"/>
          <w:szCs w:val="24"/>
          <w:highlight w:val="none"/>
        </w:rPr>
        <w:t>继续履行合同、</w:t>
      </w:r>
      <w:r>
        <w:rPr>
          <w:rFonts w:hint="eastAsia" w:ascii="宋体" w:hAnsi="宋体" w:eastAsia="宋体" w:cs="宋体"/>
          <w:color w:val="auto"/>
          <w:spacing w:val="-4"/>
          <w:sz w:val="24"/>
          <w:szCs w:val="24"/>
          <w:highlight w:val="none"/>
        </w:rPr>
        <w:t>采取补救措施，并有权按照己方实际损失情况要求违约方赔偿损失；任何一方按照前述约定</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4"/>
          <w:sz w:val="24"/>
          <w:szCs w:val="24"/>
          <w:highlight w:val="none"/>
        </w:rPr>
        <w:t>要求解除本合同的同时，仍有权要求违约方支付违约金和按照己方实际损失情况要求违约方</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4"/>
          <w:sz w:val="24"/>
          <w:szCs w:val="24"/>
          <w:highlight w:val="none"/>
        </w:rPr>
        <w:t>赔偿损失；且守约方行使的任何权利救济方式均不视为其放弃了其他法定或者约定的权利救济方式；</w:t>
      </w:r>
    </w:p>
    <w:p w14:paraId="6C696B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1.7.5</w:t>
      </w:r>
      <w:r>
        <w:rPr>
          <w:rFonts w:hint="eastAsia" w:ascii="宋体" w:hAnsi="宋体" w:eastAsia="宋体" w:cs="宋体"/>
          <w:color w:val="auto"/>
          <w:spacing w:val="67"/>
          <w:sz w:val="24"/>
          <w:szCs w:val="24"/>
          <w:highlight w:val="none"/>
        </w:rPr>
        <w:t xml:space="preserve"> </w:t>
      </w:r>
      <w:r>
        <w:rPr>
          <w:rFonts w:hint="eastAsia" w:ascii="宋体" w:hAnsi="宋体" w:eastAsia="宋体" w:cs="宋体"/>
          <w:color w:val="auto"/>
          <w:spacing w:val="-17"/>
          <w:sz w:val="24"/>
          <w:szCs w:val="24"/>
          <w:highlight w:val="none"/>
        </w:rPr>
        <w:t>除前述约定外，除不可抗力外，任何一方未能履行本合同约定的</w:t>
      </w:r>
      <w:r>
        <w:rPr>
          <w:rFonts w:hint="eastAsia" w:ascii="宋体" w:hAnsi="宋体" w:eastAsia="宋体" w:cs="宋体"/>
          <w:color w:val="auto"/>
          <w:spacing w:val="-18"/>
          <w:sz w:val="24"/>
          <w:szCs w:val="24"/>
          <w:highlight w:val="none"/>
        </w:rPr>
        <w:t>义务，对方当事人均有权要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求继续履行、采取补救措施或者赔偿损失等，且对方当事人行使的任何权利救济方式均不视为</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5"/>
          <w:sz w:val="24"/>
          <w:szCs w:val="24"/>
          <w:highlight w:val="none"/>
        </w:rPr>
        <w:t>其放弃了其他法定或者约定的权利救济方式；</w:t>
      </w:r>
    </w:p>
    <w:p w14:paraId="45DC4F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1.7.6 如果乙方提供的货物出现质量问题（质量要求</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7"/>
          <w:sz w:val="24"/>
          <w:szCs w:val="24"/>
          <w:highlight w:val="none"/>
        </w:rPr>
        <w:t>1.2.3</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可见）及验收缺失等情况甲方可以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要求乙方负责处理解决并承担一切费用；</w:t>
      </w:r>
    </w:p>
    <w:p w14:paraId="784AE5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1.7.7 如果出现政府采购监督管理部门在处理投诉事项期间，书面通知甲方暂停采购活动的情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形，或者询问或质疑事项可能影响成交结果的，导致甲方中止履行合同的情形，均不视为甲</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4"/>
          <w:sz w:val="24"/>
          <w:szCs w:val="24"/>
          <w:highlight w:val="none"/>
        </w:rPr>
        <w:t>方违约。因违约方导致守约方诉讼，而增加律师费、诉讼费、差旅费由</w:t>
      </w:r>
      <w:r>
        <w:rPr>
          <w:rFonts w:hint="eastAsia" w:ascii="宋体" w:hAnsi="宋体" w:eastAsia="宋体" w:cs="宋体"/>
          <w:color w:val="auto"/>
          <w:spacing w:val="-5"/>
          <w:sz w:val="24"/>
          <w:szCs w:val="24"/>
          <w:highlight w:val="none"/>
        </w:rPr>
        <w:t>败诉方承担。</w:t>
      </w:r>
    </w:p>
    <w:p w14:paraId="46B02998">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3"/>
          <w:w w:val="95"/>
          <w:position w:val="-1"/>
          <w:sz w:val="24"/>
          <w:szCs w:val="24"/>
          <w:highlight w:val="none"/>
        </w:rPr>
        <w:t>1.8</w:t>
      </w:r>
      <w:r>
        <w:rPr>
          <w:rFonts w:hint="eastAsia" w:ascii="宋体" w:hAnsi="宋体" w:eastAsia="宋体" w:cs="宋体"/>
          <w:color w:val="auto"/>
          <w:spacing w:val="53"/>
          <w:position w:val="-1"/>
          <w:sz w:val="24"/>
          <w:szCs w:val="24"/>
          <w:highlight w:val="none"/>
        </w:rPr>
        <w:t xml:space="preserve"> </w:t>
      </w:r>
      <w:r>
        <w:rPr>
          <w:rFonts w:hint="eastAsia" w:ascii="宋体" w:hAnsi="宋体" w:eastAsia="宋体" w:cs="宋体"/>
          <w:color w:val="auto"/>
          <w:spacing w:val="-23"/>
          <w:w w:val="95"/>
          <w:position w:val="-1"/>
          <w:sz w:val="24"/>
          <w:szCs w:val="24"/>
          <w:highlight w:val="none"/>
        </w:rPr>
        <w:t>合同争议的解决</w:t>
      </w:r>
    </w:p>
    <w:p w14:paraId="3AC1FF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本合同履行过程中发生的任何争议，双方当事人均可通过和解或者调解解决； 不愿和解、调解</w:t>
      </w:r>
      <w:r>
        <w:rPr>
          <w:rFonts w:hint="eastAsia" w:ascii="宋体" w:hAnsi="宋体" w:eastAsia="宋体" w:cs="宋体"/>
          <w:color w:val="auto"/>
          <w:spacing w:val="-3"/>
          <w:sz w:val="24"/>
          <w:szCs w:val="24"/>
          <w:highlight w:val="none"/>
        </w:rPr>
        <w:t>或者和解、调解不成的，可以选择下列第</w:t>
      </w:r>
      <w:r>
        <w:rPr>
          <w:rFonts w:hint="eastAsia" w:ascii="宋体" w:hAnsi="宋体" w:eastAsia="宋体" w:cs="宋体"/>
          <w:color w:val="auto"/>
          <w:spacing w:val="-3"/>
          <w:sz w:val="24"/>
          <w:szCs w:val="24"/>
          <w:highlight w:val="none"/>
          <w:u w:val="single" w:color="auto"/>
        </w:rPr>
        <w:t xml:space="preserve">  2  </w:t>
      </w:r>
      <w:r>
        <w:rPr>
          <w:rFonts w:hint="eastAsia" w:ascii="宋体" w:hAnsi="宋体" w:eastAsia="宋体" w:cs="宋体"/>
          <w:color w:val="auto"/>
          <w:spacing w:val="-107"/>
          <w:sz w:val="24"/>
          <w:szCs w:val="24"/>
          <w:highlight w:val="none"/>
        </w:rPr>
        <w:t xml:space="preserve"> </w:t>
      </w:r>
      <w:r>
        <w:rPr>
          <w:rFonts w:hint="eastAsia" w:ascii="宋体" w:hAnsi="宋体" w:eastAsia="宋体" w:cs="宋体"/>
          <w:color w:val="auto"/>
          <w:spacing w:val="-3"/>
          <w:sz w:val="24"/>
          <w:szCs w:val="24"/>
          <w:highlight w:val="none"/>
        </w:rPr>
        <w:t>种方式解决：</w:t>
      </w:r>
    </w:p>
    <w:p w14:paraId="036919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1.8.1 将争议提交</w:t>
      </w:r>
      <w:r>
        <w:rPr>
          <w:rFonts w:hint="eastAsia" w:ascii="宋体" w:hAnsi="宋体" w:eastAsia="宋体" w:cs="宋体"/>
          <w:color w:val="auto"/>
          <w:spacing w:val="1"/>
          <w:sz w:val="24"/>
          <w:szCs w:val="24"/>
          <w:highlight w:val="none"/>
          <w:u w:val="single" w:color="auto"/>
        </w:rPr>
        <w:t xml:space="preserve"> </w:t>
      </w:r>
      <w:r>
        <w:rPr>
          <w:rFonts w:hint="eastAsia" w:ascii="宋体" w:hAnsi="宋体" w:cs="宋体"/>
          <w:color w:val="auto"/>
          <w:spacing w:val="1"/>
          <w:sz w:val="24"/>
          <w:szCs w:val="24"/>
          <w:highlight w:val="none"/>
          <w:u w:val="single" w:color="auto"/>
          <w:lang w:val="en-US" w:eastAsia="zh-CN"/>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仲裁委员会依申请仲裁时其现行有</w:t>
      </w:r>
      <w:r>
        <w:rPr>
          <w:rFonts w:hint="eastAsia" w:ascii="宋体" w:hAnsi="宋体" w:eastAsia="宋体" w:cs="宋体"/>
          <w:color w:val="auto"/>
          <w:sz w:val="24"/>
          <w:szCs w:val="24"/>
          <w:highlight w:val="none"/>
        </w:rPr>
        <w:t>效的 仲裁规则裁决；</w:t>
      </w:r>
    </w:p>
    <w:p w14:paraId="4E1743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1.8.2</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7"/>
          <w:sz w:val="24"/>
          <w:szCs w:val="24"/>
          <w:highlight w:val="none"/>
        </w:rPr>
        <w:t>向</w:t>
      </w:r>
      <w:r>
        <w:rPr>
          <w:rFonts w:hint="eastAsia" w:ascii="宋体" w:hAnsi="宋体" w:eastAsia="宋体" w:cs="宋体"/>
          <w:color w:val="auto"/>
          <w:spacing w:val="-7"/>
          <w:sz w:val="24"/>
          <w:szCs w:val="24"/>
          <w:highlight w:val="none"/>
          <w:u w:val="single" w:color="auto"/>
        </w:rPr>
        <w:t xml:space="preserve">  </w:t>
      </w:r>
      <w:r>
        <w:rPr>
          <w:rFonts w:hint="eastAsia" w:ascii="宋体" w:hAnsi="宋体" w:cs="宋体"/>
          <w:color w:val="auto"/>
          <w:spacing w:val="-7"/>
          <w:sz w:val="24"/>
          <w:szCs w:val="24"/>
          <w:highlight w:val="none"/>
          <w:u w:val="single" w:color="auto"/>
          <w:lang w:val="en-US" w:eastAsia="zh-CN"/>
        </w:rPr>
        <w:t xml:space="preserve">    </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107"/>
          <w:sz w:val="24"/>
          <w:szCs w:val="24"/>
          <w:highlight w:val="none"/>
        </w:rPr>
        <w:t xml:space="preserve"> </w:t>
      </w:r>
      <w:r>
        <w:rPr>
          <w:rFonts w:hint="eastAsia" w:ascii="宋体" w:hAnsi="宋体" w:eastAsia="宋体" w:cs="宋体"/>
          <w:color w:val="auto"/>
          <w:spacing w:val="-7"/>
          <w:sz w:val="24"/>
          <w:szCs w:val="24"/>
          <w:highlight w:val="none"/>
        </w:rPr>
        <w:t>人民法院起诉。</w:t>
      </w:r>
    </w:p>
    <w:p w14:paraId="10889E89">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position w:val="-1"/>
          <w:sz w:val="24"/>
          <w:szCs w:val="24"/>
          <w:highlight w:val="none"/>
        </w:rPr>
        <w:t>1.9</w:t>
      </w:r>
      <w:r>
        <w:rPr>
          <w:rFonts w:hint="eastAsia" w:ascii="宋体" w:hAnsi="宋体" w:eastAsia="宋体" w:cs="宋体"/>
          <w:color w:val="auto"/>
          <w:spacing w:val="30"/>
          <w:position w:val="-1"/>
          <w:sz w:val="24"/>
          <w:szCs w:val="24"/>
          <w:highlight w:val="none"/>
        </w:rPr>
        <w:t xml:space="preserve"> </w:t>
      </w:r>
      <w:r>
        <w:rPr>
          <w:rFonts w:hint="eastAsia" w:ascii="宋体" w:hAnsi="宋体" w:eastAsia="宋体" w:cs="宋体"/>
          <w:color w:val="auto"/>
          <w:spacing w:val="-18"/>
          <w:position w:val="-1"/>
          <w:sz w:val="24"/>
          <w:szCs w:val="24"/>
          <w:highlight w:val="none"/>
        </w:rPr>
        <w:t>合同生效</w:t>
      </w:r>
    </w:p>
    <w:p w14:paraId="6BFD28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1.9.1 本合同自双方当事人盖章或者签字时生效，本合同一式四份，甲方执三份，乙方执一份，</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4"/>
          <w:sz w:val="24"/>
          <w:szCs w:val="24"/>
          <w:highlight w:val="none"/>
        </w:rPr>
        <w:t>具有同等法律效力。</w:t>
      </w:r>
    </w:p>
    <w:p w14:paraId="7612DE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1.9.2 在本合同文尾签章处注明地址及联系人方式可作为送达催收函，对账单，法院送达诉讼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文书，本协议所述其他来往文书的地址。因载明有误或未及时告知变更的地址，导致相</w:t>
      </w:r>
      <w:r>
        <w:rPr>
          <w:rFonts w:hint="eastAsia" w:ascii="宋体" w:hAnsi="宋体" w:eastAsia="宋体" w:cs="宋体"/>
          <w:color w:val="auto"/>
          <w:spacing w:val="-2"/>
          <w:sz w:val="24"/>
          <w:szCs w:val="24"/>
          <w:highlight w:val="none"/>
        </w:rPr>
        <w:t>关文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书及诉讼文书未能实现接收的，邮寄送达的，相关文书及诉讼退回之</w:t>
      </w:r>
      <w:r>
        <w:rPr>
          <w:rFonts w:hint="eastAsia" w:ascii="宋体" w:hAnsi="宋体" w:eastAsia="宋体" w:cs="宋体"/>
          <w:color w:val="auto"/>
          <w:spacing w:val="-3"/>
          <w:sz w:val="24"/>
          <w:szCs w:val="24"/>
          <w:highlight w:val="none"/>
        </w:rPr>
        <w:t>日即视为送达之日。</w:t>
      </w:r>
    </w:p>
    <w:p w14:paraId="024DC808">
      <w:pPr>
        <w:pStyle w:val="10"/>
        <w:keepNext w:val="0"/>
        <w:keepLines w:val="0"/>
        <w:pageBreakBefore w:val="0"/>
        <w:widowControl w:val="0"/>
        <w:kinsoku/>
        <w:wordWrap/>
        <w:overflowPunct/>
        <w:topLinePunct w:val="0"/>
        <w:autoSpaceDE/>
        <w:autoSpaceDN/>
        <w:bidi w:val="0"/>
        <w:snapToGrid/>
        <w:spacing w:after="0" w:line="240" w:lineRule="auto"/>
        <w:ind w:left="0" w:right="0" w:firstLine="0" w:firstLineChars="0"/>
        <w:textAlignment w:val="auto"/>
        <w:rPr>
          <w:color w:val="auto"/>
          <w:highlight w:val="none"/>
        </w:rPr>
      </w:pPr>
      <w:r>
        <w:rPr>
          <w:color w:val="auto"/>
          <w:spacing w:val="-3"/>
          <w:highlight w:val="none"/>
        </w:rPr>
        <w:t>（以下无正文）</w:t>
      </w:r>
    </w:p>
    <w:p w14:paraId="763B443D">
      <w:pPr>
        <w:spacing w:before="13"/>
        <w:rPr>
          <w:color w:val="auto"/>
          <w:highlight w:val="none"/>
        </w:rPr>
      </w:pPr>
    </w:p>
    <w:p w14:paraId="05F5B882">
      <w:pPr>
        <w:spacing w:before="13"/>
        <w:rPr>
          <w:color w:val="auto"/>
          <w:highlight w:val="none"/>
        </w:rPr>
      </w:pPr>
    </w:p>
    <w:p w14:paraId="33397DF0">
      <w:pPr>
        <w:spacing w:before="12"/>
        <w:rPr>
          <w:color w:val="auto"/>
          <w:highlight w:val="none"/>
        </w:rPr>
      </w:pPr>
    </w:p>
    <w:tbl>
      <w:tblPr>
        <w:tblStyle w:val="35"/>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03"/>
        <w:gridCol w:w="4504"/>
      </w:tblGrid>
      <w:tr w14:paraId="1C130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4503" w:type="dxa"/>
            <w:vAlign w:val="top"/>
          </w:tcPr>
          <w:p w14:paraId="5510E578">
            <w:pPr>
              <w:spacing w:line="265" w:lineRule="auto"/>
              <w:rPr>
                <w:rFonts w:ascii="Arial"/>
                <w:color w:val="auto"/>
                <w:sz w:val="21"/>
                <w:highlight w:val="none"/>
              </w:rPr>
            </w:pPr>
          </w:p>
          <w:p w14:paraId="43867506">
            <w:pPr>
              <w:pStyle w:val="51"/>
              <w:spacing w:before="78" w:line="221" w:lineRule="auto"/>
              <w:ind w:left="148"/>
              <w:rPr>
                <w:color w:val="auto"/>
                <w:highlight w:val="none"/>
              </w:rPr>
            </w:pPr>
            <w:r>
              <w:rPr>
                <w:color w:val="auto"/>
                <w:spacing w:val="-21"/>
                <w:highlight w:val="none"/>
                <w14:textOutline w14:w="4358" w14:cap="sq" w14:cmpd="sng">
                  <w14:solidFill>
                    <w14:srgbClr w14:val="000000"/>
                  </w14:solidFill>
                  <w14:prstDash w14:val="solid"/>
                  <w14:bevel/>
                </w14:textOutline>
              </w:rPr>
              <w:t>甲方</w:t>
            </w:r>
          </w:p>
        </w:tc>
        <w:tc>
          <w:tcPr>
            <w:tcW w:w="4504" w:type="dxa"/>
            <w:vAlign w:val="top"/>
          </w:tcPr>
          <w:p w14:paraId="5F817E93">
            <w:pPr>
              <w:spacing w:line="265" w:lineRule="auto"/>
              <w:rPr>
                <w:rFonts w:ascii="Arial"/>
                <w:color w:val="auto"/>
                <w:sz w:val="21"/>
                <w:highlight w:val="none"/>
              </w:rPr>
            </w:pPr>
          </w:p>
          <w:p w14:paraId="54849AF8">
            <w:pPr>
              <w:pStyle w:val="51"/>
              <w:spacing w:before="78" w:line="221" w:lineRule="auto"/>
              <w:ind w:left="137"/>
              <w:rPr>
                <w:color w:val="auto"/>
                <w:highlight w:val="none"/>
              </w:rPr>
            </w:pPr>
            <w:r>
              <w:rPr>
                <w:color w:val="auto"/>
                <w:spacing w:val="-17"/>
                <w:highlight w:val="none"/>
                <w14:textOutline w14:w="4358" w14:cap="sq" w14:cmpd="sng">
                  <w14:solidFill>
                    <w14:srgbClr w14:val="000000"/>
                  </w14:solidFill>
                  <w14:prstDash w14:val="solid"/>
                  <w14:bevel/>
                </w14:textOutline>
              </w:rPr>
              <w:t>乙方</w:t>
            </w:r>
          </w:p>
        </w:tc>
      </w:tr>
      <w:tr w14:paraId="0A798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1" w:hRule="atLeast"/>
        </w:trPr>
        <w:tc>
          <w:tcPr>
            <w:tcW w:w="4503" w:type="dxa"/>
            <w:vAlign w:val="top"/>
          </w:tcPr>
          <w:p w14:paraId="50957CB2">
            <w:pPr>
              <w:pStyle w:val="51"/>
              <w:spacing w:before="36" w:line="466" w:lineRule="exact"/>
              <w:ind w:left="119"/>
              <w:rPr>
                <w:color w:val="auto"/>
                <w:highlight w:val="none"/>
              </w:rPr>
            </w:pPr>
            <w:r>
              <w:rPr>
                <w:color w:val="auto"/>
                <w:spacing w:val="-3"/>
                <w:position w:val="17"/>
                <w:highlight w:val="none"/>
              </w:rPr>
              <w:t>单位（盖章</w:t>
            </w:r>
            <w:r>
              <w:rPr>
                <w:color w:val="auto"/>
                <w:spacing w:val="1"/>
                <w:position w:val="17"/>
                <w:highlight w:val="none"/>
              </w:rPr>
              <w:t>）：</w:t>
            </w:r>
          </w:p>
          <w:p w14:paraId="51241B11">
            <w:pPr>
              <w:pStyle w:val="51"/>
              <w:spacing w:line="228" w:lineRule="auto"/>
              <w:ind w:left="117"/>
              <w:rPr>
                <w:color w:val="auto"/>
                <w:highlight w:val="none"/>
              </w:rPr>
            </w:pPr>
            <w:r>
              <w:rPr>
                <w:color w:val="auto"/>
                <w:spacing w:val="-4"/>
                <w:highlight w:val="none"/>
              </w:rPr>
              <w:t>地址：</w:t>
            </w:r>
          </w:p>
          <w:p w14:paraId="55072428">
            <w:pPr>
              <w:spacing w:line="277" w:lineRule="auto"/>
              <w:rPr>
                <w:rFonts w:ascii="Arial"/>
                <w:color w:val="auto"/>
                <w:sz w:val="21"/>
                <w:highlight w:val="none"/>
              </w:rPr>
            </w:pPr>
          </w:p>
          <w:p w14:paraId="02778EA0">
            <w:pPr>
              <w:spacing w:line="277" w:lineRule="auto"/>
              <w:rPr>
                <w:rFonts w:ascii="Arial"/>
                <w:color w:val="auto"/>
                <w:sz w:val="21"/>
                <w:highlight w:val="none"/>
              </w:rPr>
            </w:pPr>
          </w:p>
          <w:p w14:paraId="60559D6D">
            <w:pPr>
              <w:pStyle w:val="51"/>
              <w:spacing w:before="78" w:line="468" w:lineRule="exact"/>
              <w:ind w:left="118"/>
              <w:rPr>
                <w:color w:val="auto"/>
                <w:highlight w:val="none"/>
              </w:rPr>
            </w:pPr>
            <w:r>
              <w:rPr>
                <w:color w:val="auto"/>
                <w:spacing w:val="-2"/>
                <w:position w:val="17"/>
                <w:highlight w:val="none"/>
              </w:rPr>
              <w:t>法定代表人：</w:t>
            </w:r>
          </w:p>
          <w:p w14:paraId="0BD57A4E">
            <w:pPr>
              <w:pStyle w:val="51"/>
              <w:spacing w:line="219" w:lineRule="auto"/>
              <w:ind w:left="116"/>
              <w:rPr>
                <w:color w:val="auto"/>
                <w:highlight w:val="none"/>
              </w:rPr>
            </w:pPr>
            <w:r>
              <w:rPr>
                <w:color w:val="auto"/>
                <w:spacing w:val="-2"/>
                <w:highlight w:val="none"/>
              </w:rPr>
              <w:t>委托代理人：</w:t>
            </w:r>
          </w:p>
          <w:p w14:paraId="438629F8">
            <w:pPr>
              <w:pStyle w:val="51"/>
              <w:spacing w:before="183" w:line="465" w:lineRule="exact"/>
              <w:ind w:left="145"/>
              <w:rPr>
                <w:color w:val="auto"/>
                <w:highlight w:val="none"/>
              </w:rPr>
            </w:pPr>
            <w:r>
              <w:rPr>
                <w:color w:val="auto"/>
                <w:spacing w:val="-13"/>
                <w:position w:val="17"/>
                <w:highlight w:val="none"/>
              </w:rPr>
              <w:t>电话：</w:t>
            </w:r>
          </w:p>
          <w:p w14:paraId="153CEAD0">
            <w:pPr>
              <w:pStyle w:val="51"/>
              <w:spacing w:before="1" w:line="218" w:lineRule="auto"/>
              <w:ind w:left="115"/>
              <w:rPr>
                <w:color w:val="auto"/>
                <w:highlight w:val="none"/>
              </w:rPr>
            </w:pPr>
            <w:r>
              <w:rPr>
                <w:color w:val="auto"/>
                <w:spacing w:val="-3"/>
                <w:highlight w:val="none"/>
              </w:rPr>
              <w:t>传真：</w:t>
            </w:r>
          </w:p>
          <w:p w14:paraId="168B46CD">
            <w:pPr>
              <w:pStyle w:val="51"/>
              <w:spacing w:before="184" w:line="466" w:lineRule="exact"/>
              <w:ind w:left="118"/>
              <w:rPr>
                <w:color w:val="auto"/>
                <w:highlight w:val="none"/>
              </w:rPr>
            </w:pPr>
            <w:r>
              <w:rPr>
                <w:color w:val="auto"/>
                <w:spacing w:val="-3"/>
                <w:position w:val="17"/>
                <w:highlight w:val="none"/>
              </w:rPr>
              <w:t>开户银行：</w:t>
            </w:r>
          </w:p>
          <w:p w14:paraId="1E751B43">
            <w:pPr>
              <w:pStyle w:val="51"/>
              <w:spacing w:line="220" w:lineRule="auto"/>
              <w:ind w:left="118"/>
              <w:rPr>
                <w:color w:val="auto"/>
                <w:highlight w:val="none"/>
              </w:rPr>
            </w:pPr>
            <w:r>
              <w:rPr>
                <w:color w:val="auto"/>
                <w:spacing w:val="-3"/>
                <w:highlight w:val="none"/>
              </w:rPr>
              <w:t>银行账号：</w:t>
            </w:r>
          </w:p>
          <w:p w14:paraId="2C5C6453">
            <w:pPr>
              <w:pStyle w:val="51"/>
              <w:spacing w:before="179" w:line="220" w:lineRule="auto"/>
              <w:ind w:left="116"/>
              <w:rPr>
                <w:color w:val="auto"/>
                <w:highlight w:val="none"/>
              </w:rPr>
            </w:pPr>
            <w:r>
              <w:rPr>
                <w:color w:val="auto"/>
                <w:spacing w:val="-3"/>
                <w:highlight w:val="none"/>
              </w:rPr>
              <w:t>税号：</w:t>
            </w:r>
          </w:p>
          <w:p w14:paraId="1105B0F4">
            <w:pPr>
              <w:pStyle w:val="51"/>
              <w:spacing w:before="183" w:line="219" w:lineRule="auto"/>
              <w:ind w:left="134"/>
              <w:rPr>
                <w:color w:val="auto"/>
                <w:highlight w:val="none"/>
              </w:rPr>
            </w:pPr>
            <w:r>
              <w:rPr>
                <w:color w:val="auto"/>
                <w:spacing w:val="-6"/>
                <w:highlight w:val="none"/>
              </w:rPr>
              <w:t>邮政编码：</w:t>
            </w:r>
          </w:p>
        </w:tc>
        <w:tc>
          <w:tcPr>
            <w:tcW w:w="4504" w:type="dxa"/>
            <w:vAlign w:val="top"/>
          </w:tcPr>
          <w:p w14:paraId="0051A782">
            <w:pPr>
              <w:pStyle w:val="51"/>
              <w:spacing w:before="36" w:line="466" w:lineRule="exact"/>
              <w:ind w:left="116"/>
              <w:rPr>
                <w:color w:val="auto"/>
                <w:highlight w:val="none"/>
              </w:rPr>
            </w:pPr>
            <w:r>
              <w:rPr>
                <w:color w:val="auto"/>
                <w:spacing w:val="-3"/>
                <w:position w:val="17"/>
                <w:highlight w:val="none"/>
              </w:rPr>
              <w:t>单位（盖章</w:t>
            </w:r>
            <w:r>
              <w:rPr>
                <w:color w:val="auto"/>
                <w:spacing w:val="1"/>
                <w:position w:val="17"/>
                <w:highlight w:val="none"/>
              </w:rPr>
              <w:t>）：</w:t>
            </w:r>
          </w:p>
          <w:p w14:paraId="4C8880F0">
            <w:pPr>
              <w:pStyle w:val="51"/>
              <w:spacing w:line="228" w:lineRule="auto"/>
              <w:ind w:left="114"/>
              <w:rPr>
                <w:color w:val="auto"/>
                <w:highlight w:val="none"/>
              </w:rPr>
            </w:pPr>
            <w:r>
              <w:rPr>
                <w:color w:val="auto"/>
                <w:spacing w:val="-4"/>
                <w:highlight w:val="none"/>
              </w:rPr>
              <w:t>地址：</w:t>
            </w:r>
          </w:p>
          <w:p w14:paraId="6E18571C">
            <w:pPr>
              <w:spacing w:line="277" w:lineRule="auto"/>
              <w:rPr>
                <w:rFonts w:ascii="Arial"/>
                <w:color w:val="auto"/>
                <w:sz w:val="21"/>
                <w:highlight w:val="none"/>
              </w:rPr>
            </w:pPr>
          </w:p>
          <w:p w14:paraId="05F75644">
            <w:pPr>
              <w:spacing w:line="277" w:lineRule="auto"/>
              <w:rPr>
                <w:rFonts w:ascii="Arial"/>
                <w:color w:val="auto"/>
                <w:sz w:val="21"/>
                <w:highlight w:val="none"/>
              </w:rPr>
            </w:pPr>
          </w:p>
          <w:p w14:paraId="6FE3618E">
            <w:pPr>
              <w:pStyle w:val="51"/>
              <w:spacing w:before="78" w:line="468" w:lineRule="exact"/>
              <w:ind w:left="115"/>
              <w:rPr>
                <w:color w:val="auto"/>
                <w:highlight w:val="none"/>
              </w:rPr>
            </w:pPr>
            <w:r>
              <w:rPr>
                <w:color w:val="auto"/>
                <w:spacing w:val="-2"/>
                <w:position w:val="17"/>
                <w:highlight w:val="none"/>
              </w:rPr>
              <w:t>法定代表人：</w:t>
            </w:r>
          </w:p>
          <w:p w14:paraId="45A02785">
            <w:pPr>
              <w:pStyle w:val="51"/>
              <w:spacing w:line="219" w:lineRule="auto"/>
              <w:ind w:left="113"/>
              <w:rPr>
                <w:color w:val="auto"/>
                <w:highlight w:val="none"/>
              </w:rPr>
            </w:pPr>
            <w:r>
              <w:rPr>
                <w:color w:val="auto"/>
                <w:spacing w:val="-2"/>
                <w:highlight w:val="none"/>
              </w:rPr>
              <w:t>委托代理人：</w:t>
            </w:r>
          </w:p>
          <w:p w14:paraId="3387426E">
            <w:pPr>
              <w:pStyle w:val="51"/>
              <w:spacing w:before="183" w:line="465" w:lineRule="exact"/>
              <w:ind w:left="142"/>
              <w:rPr>
                <w:color w:val="auto"/>
                <w:highlight w:val="none"/>
              </w:rPr>
            </w:pPr>
            <w:r>
              <w:rPr>
                <w:color w:val="auto"/>
                <w:spacing w:val="-13"/>
                <w:position w:val="17"/>
                <w:highlight w:val="none"/>
              </w:rPr>
              <w:t>电话：</w:t>
            </w:r>
          </w:p>
          <w:p w14:paraId="72938122">
            <w:pPr>
              <w:pStyle w:val="51"/>
              <w:spacing w:before="1" w:line="218" w:lineRule="auto"/>
              <w:ind w:left="112"/>
              <w:rPr>
                <w:color w:val="auto"/>
                <w:highlight w:val="none"/>
              </w:rPr>
            </w:pPr>
            <w:r>
              <w:rPr>
                <w:color w:val="auto"/>
                <w:spacing w:val="-3"/>
                <w:highlight w:val="none"/>
              </w:rPr>
              <w:t>传真：</w:t>
            </w:r>
          </w:p>
          <w:p w14:paraId="0C541D5B">
            <w:pPr>
              <w:pStyle w:val="51"/>
              <w:spacing w:before="184" w:line="466" w:lineRule="exact"/>
              <w:ind w:left="115"/>
              <w:rPr>
                <w:color w:val="auto"/>
                <w:highlight w:val="none"/>
              </w:rPr>
            </w:pPr>
            <w:r>
              <w:rPr>
                <w:color w:val="auto"/>
                <w:spacing w:val="-3"/>
                <w:position w:val="17"/>
                <w:highlight w:val="none"/>
              </w:rPr>
              <w:t>开户银行：</w:t>
            </w:r>
          </w:p>
          <w:p w14:paraId="1256ADA1">
            <w:pPr>
              <w:pStyle w:val="51"/>
              <w:spacing w:line="220" w:lineRule="auto"/>
              <w:ind w:left="115"/>
              <w:rPr>
                <w:color w:val="auto"/>
                <w:highlight w:val="none"/>
              </w:rPr>
            </w:pPr>
            <w:r>
              <w:rPr>
                <w:color w:val="auto"/>
                <w:spacing w:val="-3"/>
                <w:highlight w:val="none"/>
              </w:rPr>
              <w:t>银行账号：</w:t>
            </w:r>
          </w:p>
          <w:p w14:paraId="7FF18365">
            <w:pPr>
              <w:pStyle w:val="51"/>
              <w:spacing w:before="179" w:line="220" w:lineRule="auto"/>
              <w:ind w:left="113"/>
              <w:rPr>
                <w:color w:val="auto"/>
                <w:highlight w:val="none"/>
              </w:rPr>
            </w:pPr>
            <w:r>
              <w:rPr>
                <w:color w:val="auto"/>
                <w:spacing w:val="-3"/>
                <w:highlight w:val="none"/>
              </w:rPr>
              <w:t>税号：</w:t>
            </w:r>
          </w:p>
          <w:p w14:paraId="6BAD923B">
            <w:pPr>
              <w:pStyle w:val="51"/>
              <w:spacing w:before="183" w:line="219" w:lineRule="auto"/>
              <w:ind w:left="131"/>
              <w:rPr>
                <w:color w:val="auto"/>
                <w:highlight w:val="none"/>
              </w:rPr>
            </w:pPr>
            <w:r>
              <w:rPr>
                <w:color w:val="auto"/>
                <w:spacing w:val="-6"/>
                <w:highlight w:val="none"/>
              </w:rPr>
              <w:t>邮政编码：</w:t>
            </w:r>
          </w:p>
        </w:tc>
      </w:tr>
    </w:tbl>
    <w:p w14:paraId="285E6B91">
      <w:pPr>
        <w:rPr>
          <w:rFonts w:ascii="Arial"/>
          <w:color w:val="auto"/>
          <w:sz w:val="21"/>
          <w:highlight w:val="none"/>
        </w:rPr>
      </w:pPr>
    </w:p>
    <w:p w14:paraId="6B636A48">
      <w:pPr>
        <w:jc w:val="center"/>
        <w:rPr>
          <w:color w:val="auto"/>
          <w:highlight w:val="none"/>
        </w:rPr>
      </w:pPr>
    </w:p>
    <w:p w14:paraId="400E5137">
      <w:pPr>
        <w:rPr>
          <w:color w:val="auto"/>
          <w:highlight w:val="none"/>
        </w:rPr>
      </w:pPr>
      <w:r>
        <w:rPr>
          <w:color w:val="auto"/>
          <w:highlight w:val="none"/>
        </w:rPr>
        <w:br w:type="page"/>
      </w:r>
    </w:p>
    <w:p w14:paraId="540FA1F1">
      <w:pPr>
        <w:spacing w:line="360" w:lineRule="auto"/>
        <w:ind w:firstLine="562" w:firstLineChars="20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kern w:val="2"/>
          <w:sz w:val="28"/>
          <w:szCs w:val="28"/>
          <w:highlight w:val="none"/>
          <w:lang w:val="en-US" w:eastAsia="zh-CN" w:bidi="ar-SA"/>
        </w:rPr>
        <w:t>第六章　投标文件格式</w:t>
      </w:r>
      <w:bookmarkEnd w:id="274"/>
      <w:bookmarkEnd w:id="275"/>
      <w:bookmarkEnd w:id="276"/>
      <w:bookmarkEnd w:id="277"/>
      <w:bookmarkEnd w:id="278"/>
    </w:p>
    <w:p w14:paraId="6C47EB6C">
      <w:pPr>
        <w:spacing w:line="560" w:lineRule="exact"/>
        <w:ind w:firstLine="480" w:firstLineChars="200"/>
        <w:outlineLvl w:val="1"/>
        <w:rPr>
          <w:rFonts w:hint="eastAsia" w:ascii="宋体" w:hAnsi="宋体" w:eastAsia="宋体" w:cs="宋体"/>
          <w:color w:val="auto"/>
          <w:kern w:val="2"/>
          <w:sz w:val="24"/>
          <w:szCs w:val="24"/>
          <w:highlight w:val="none"/>
          <w:lang w:val="en-US" w:eastAsia="zh-CN" w:bidi="ar-SA"/>
        </w:rPr>
      </w:pPr>
      <w:bookmarkStart w:id="279" w:name="_Toc23594"/>
      <w:r>
        <w:rPr>
          <w:rFonts w:hint="eastAsia" w:ascii="宋体" w:hAnsi="宋体" w:eastAsia="宋体" w:cs="宋体"/>
          <w:color w:val="auto"/>
          <w:kern w:val="2"/>
          <w:sz w:val="24"/>
          <w:szCs w:val="24"/>
          <w:highlight w:val="none"/>
          <w:lang w:val="en-US" w:eastAsia="zh-CN" w:bidi="ar-SA"/>
        </w:rPr>
        <w:t>一、投标人提交投标文件须知：</w:t>
      </w:r>
      <w:bookmarkEnd w:id="279"/>
    </w:p>
    <w:p w14:paraId="423DEBB1">
      <w:pPr>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1、投标人应严格按照以下顺序填写和提交下述规定的全部格式文件以及其他有关资料，混乱的编排导致投标文件被误读或评标小组查找不到有效文件是投标人的风险。</w:t>
      </w:r>
    </w:p>
    <w:p w14:paraId="16105D0C">
      <w:pPr>
        <w:spacing w:line="560" w:lineRule="exact"/>
        <w:ind w:firstLine="480" w:firstLineChars="200"/>
        <w:outlineLvl w:val="2"/>
        <w:rPr>
          <w:rFonts w:hint="eastAsia" w:ascii="宋体" w:hAnsi="宋体" w:eastAsia="宋体" w:cs="宋体"/>
          <w:color w:val="auto"/>
          <w:kern w:val="2"/>
          <w:sz w:val="24"/>
          <w:szCs w:val="24"/>
          <w:highlight w:val="none"/>
          <w:lang w:val="en-US" w:eastAsia="zh-CN" w:bidi="ar-SA"/>
        </w:rPr>
      </w:pPr>
      <w:bookmarkStart w:id="280" w:name="_Toc23205"/>
      <w:r>
        <w:rPr>
          <w:rFonts w:hint="eastAsia" w:ascii="宋体" w:hAnsi="宋体" w:eastAsia="宋体" w:cs="宋体"/>
          <w:color w:val="auto"/>
          <w:kern w:val="2"/>
          <w:sz w:val="24"/>
          <w:szCs w:val="24"/>
          <w:highlight w:val="none"/>
          <w:lang w:val="en-US" w:eastAsia="zh-CN" w:bidi="ar-SA"/>
        </w:rPr>
        <w:t>2、所附表格中要求回答的全部问题和/或信息都必须正面回答。</w:t>
      </w:r>
      <w:bookmarkEnd w:id="280"/>
    </w:p>
    <w:p w14:paraId="74A295E5">
      <w:pPr>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3、本声明书的签字人应保证全部声明和问题的回答是真实的和准确的。</w:t>
      </w:r>
    </w:p>
    <w:p w14:paraId="2494CC1F">
      <w:pPr>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4、评标委员会将应用投标人提交的资料根据自己的判断和考虑决定投标人履行合同的合格性及能力。</w:t>
      </w:r>
    </w:p>
    <w:p w14:paraId="3A0FEDBE">
      <w:pPr>
        <w:spacing w:line="560" w:lineRule="exact"/>
        <w:ind w:firstLine="480" w:firstLineChars="200"/>
        <w:outlineLvl w:val="2"/>
        <w:rPr>
          <w:rFonts w:hint="eastAsia" w:ascii="宋体" w:hAnsi="宋体" w:eastAsia="宋体" w:cs="宋体"/>
          <w:color w:val="auto"/>
          <w:kern w:val="2"/>
          <w:sz w:val="24"/>
          <w:szCs w:val="24"/>
          <w:highlight w:val="none"/>
          <w:lang w:val="en-US" w:eastAsia="zh-CN" w:bidi="ar-SA"/>
        </w:rPr>
      </w:pPr>
      <w:bookmarkStart w:id="281" w:name="_Toc8067"/>
      <w:r>
        <w:rPr>
          <w:rFonts w:hint="eastAsia" w:ascii="宋体" w:hAnsi="宋体" w:eastAsia="宋体" w:cs="宋体"/>
          <w:color w:val="auto"/>
          <w:kern w:val="2"/>
          <w:sz w:val="24"/>
          <w:szCs w:val="24"/>
          <w:highlight w:val="none"/>
          <w:lang w:val="en-US" w:eastAsia="zh-CN" w:bidi="ar-SA"/>
        </w:rPr>
        <w:t>5、投标人提交的材料将在一定期限内被保密保存，但不退还。</w:t>
      </w:r>
      <w:bookmarkEnd w:id="281"/>
    </w:p>
    <w:p w14:paraId="2341B6DF">
      <w:pPr>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14:paraId="03FC1FA0">
      <w:pPr>
        <w:adjustRightInd w:val="0"/>
        <w:snapToGrid w:val="0"/>
        <w:spacing w:before="50" w:after="50"/>
        <w:rPr>
          <w:rFonts w:hint="eastAsia" w:ascii="宋体" w:hAnsi="宋体" w:eastAsia="宋体" w:cs="宋体"/>
          <w:color w:val="auto"/>
          <w:sz w:val="24"/>
          <w:szCs w:val="24"/>
          <w:highlight w:val="none"/>
        </w:rPr>
      </w:pPr>
    </w:p>
    <w:p w14:paraId="494B121C">
      <w:pPr>
        <w:spacing w:line="360" w:lineRule="auto"/>
        <w:jc w:val="center"/>
        <w:outlineLvl w:val="9"/>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bookmarkStart w:id="282" w:name="_Toc2253"/>
    </w:p>
    <w:p w14:paraId="0C850749">
      <w:pPr>
        <w:spacing w:line="360" w:lineRule="auto"/>
        <w:jc w:val="center"/>
        <w:outlineLvl w:val="1"/>
        <w:rPr>
          <w:rFonts w:hint="eastAsia" w:ascii="宋体" w:hAnsi="宋体" w:eastAsia="宋体" w:cs="宋体"/>
          <w:color w:val="auto"/>
          <w:sz w:val="48"/>
          <w:szCs w:val="48"/>
          <w:highlight w:val="none"/>
        </w:rPr>
      </w:pPr>
      <w:bookmarkStart w:id="283" w:name="_Toc23960"/>
      <w:bookmarkStart w:id="284" w:name="_Toc17130"/>
      <w:r>
        <w:rPr>
          <w:rFonts w:hint="eastAsia" w:ascii="宋体" w:hAnsi="宋体" w:eastAsia="宋体" w:cs="宋体"/>
          <w:color w:val="auto"/>
          <w:sz w:val="48"/>
          <w:szCs w:val="48"/>
          <w:highlight w:val="none"/>
          <w:lang w:eastAsia="zh-CN"/>
        </w:rPr>
        <w:t>（</w:t>
      </w:r>
      <w:r>
        <w:rPr>
          <w:rFonts w:hint="eastAsia" w:ascii="宋体" w:hAnsi="宋体" w:eastAsia="宋体" w:cs="宋体"/>
          <w:color w:val="auto"/>
          <w:sz w:val="48"/>
          <w:szCs w:val="48"/>
          <w:highlight w:val="none"/>
        </w:rPr>
        <w:t>项目名称</w:t>
      </w:r>
      <w:r>
        <w:rPr>
          <w:rFonts w:hint="eastAsia" w:ascii="宋体" w:hAnsi="宋体" w:eastAsia="宋体" w:cs="宋体"/>
          <w:color w:val="auto"/>
          <w:sz w:val="48"/>
          <w:szCs w:val="48"/>
          <w:highlight w:val="none"/>
          <w:lang w:eastAsia="zh-CN"/>
        </w:rPr>
        <w:t>）</w:t>
      </w:r>
      <w:bookmarkEnd w:id="282"/>
      <w:bookmarkEnd w:id="283"/>
      <w:bookmarkEnd w:id="284"/>
    </w:p>
    <w:p w14:paraId="786BF9DE">
      <w:pPr>
        <w:spacing w:line="360" w:lineRule="auto"/>
        <w:jc w:val="center"/>
        <w:outlineLvl w:val="9"/>
        <w:rPr>
          <w:rFonts w:hint="eastAsia" w:ascii="宋体" w:hAnsi="宋体" w:eastAsia="宋体" w:cs="宋体"/>
          <w:color w:val="auto"/>
          <w:sz w:val="32"/>
          <w:highlight w:val="none"/>
        </w:rPr>
      </w:pPr>
    </w:p>
    <w:p w14:paraId="6DAFA7A6">
      <w:pPr>
        <w:spacing w:line="360" w:lineRule="auto"/>
        <w:ind w:left="319" w:leftChars="152" w:firstLine="160" w:firstLineChars="50"/>
        <w:jc w:val="both"/>
        <w:outlineLvl w:val="9"/>
        <w:rPr>
          <w:rFonts w:hint="eastAsia" w:ascii="宋体" w:hAnsi="宋体" w:eastAsia="宋体" w:cs="宋体"/>
          <w:color w:val="auto"/>
          <w:sz w:val="32"/>
          <w:highlight w:val="none"/>
        </w:rPr>
      </w:pPr>
      <w:bookmarkStart w:id="285" w:name="_Toc24951"/>
      <w:r>
        <w:rPr>
          <w:rFonts w:hint="eastAsia" w:ascii="宋体" w:hAnsi="宋体" w:eastAsia="宋体" w:cs="宋体"/>
          <w:color w:val="auto"/>
          <w:sz w:val="32"/>
          <w:highlight w:val="none"/>
        </w:rPr>
        <w:t>项目编号：</w:t>
      </w:r>
      <w:bookmarkEnd w:id="285"/>
    </w:p>
    <w:p w14:paraId="527C837D">
      <w:pPr>
        <w:spacing w:line="560" w:lineRule="exact"/>
        <w:ind w:firstLine="883" w:firstLineChars="200"/>
        <w:jc w:val="center"/>
        <w:rPr>
          <w:rFonts w:hint="eastAsia" w:ascii="宋体" w:hAnsi="宋体" w:eastAsia="宋体" w:cs="宋体"/>
          <w:b/>
          <w:bCs/>
          <w:color w:val="auto"/>
          <w:kern w:val="2"/>
          <w:sz w:val="44"/>
          <w:szCs w:val="52"/>
          <w:highlight w:val="none"/>
          <w:lang w:val="en-US" w:eastAsia="zh-CN" w:bidi="ar-SA"/>
        </w:rPr>
      </w:pPr>
    </w:p>
    <w:p w14:paraId="05CAD38A">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投</w:t>
      </w:r>
    </w:p>
    <w:p w14:paraId="30360A3B">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标</w:t>
      </w:r>
    </w:p>
    <w:p w14:paraId="64544891">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文</w:t>
      </w:r>
    </w:p>
    <w:p w14:paraId="4639EA55">
      <w:pPr>
        <w:spacing w:line="360" w:lineRule="auto"/>
        <w:jc w:val="center"/>
        <w:outlineLvl w:val="9"/>
        <w:rPr>
          <w:rFonts w:hint="eastAsia" w:ascii="宋体" w:hAnsi="宋体" w:eastAsia="宋体" w:cs="宋体"/>
          <w:color w:val="auto"/>
          <w:sz w:val="96"/>
          <w:szCs w:val="96"/>
          <w:highlight w:val="none"/>
          <w:lang w:val="en-US" w:eastAsia="zh-CN"/>
        </w:rPr>
      </w:pPr>
      <w:r>
        <w:rPr>
          <w:rFonts w:hint="eastAsia" w:ascii="宋体" w:hAnsi="宋体" w:eastAsia="宋体" w:cs="宋体"/>
          <w:color w:val="auto"/>
          <w:sz w:val="96"/>
          <w:szCs w:val="96"/>
          <w:highlight w:val="none"/>
          <w:lang w:val="en-US" w:eastAsia="zh-CN"/>
        </w:rPr>
        <w:t>件</w:t>
      </w:r>
    </w:p>
    <w:p w14:paraId="643B9397">
      <w:pPr>
        <w:spacing w:line="560" w:lineRule="exact"/>
        <w:ind w:firstLine="560" w:firstLineChars="200"/>
        <w:rPr>
          <w:rFonts w:hint="eastAsia" w:ascii="宋体" w:hAnsi="宋体" w:eastAsia="宋体" w:cs="宋体"/>
          <w:color w:val="auto"/>
          <w:kern w:val="2"/>
          <w:sz w:val="28"/>
          <w:szCs w:val="36"/>
          <w:highlight w:val="none"/>
          <w:lang w:val="en-US" w:eastAsia="zh-CN" w:bidi="ar-SA"/>
        </w:rPr>
      </w:pPr>
    </w:p>
    <w:p w14:paraId="12F83F9C">
      <w:pPr>
        <w:spacing w:line="560" w:lineRule="exact"/>
        <w:ind w:firstLine="560" w:firstLineChars="200"/>
        <w:rPr>
          <w:rFonts w:hint="eastAsia" w:ascii="宋体" w:hAnsi="宋体" w:eastAsia="宋体" w:cs="宋体"/>
          <w:color w:val="auto"/>
          <w:kern w:val="2"/>
          <w:sz w:val="28"/>
          <w:szCs w:val="36"/>
          <w:highlight w:val="none"/>
          <w:lang w:val="en-US" w:eastAsia="zh-CN" w:bidi="ar-SA"/>
        </w:rPr>
      </w:pPr>
    </w:p>
    <w:p w14:paraId="1E076D2F">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投标单位名称：（加盖单位公章）</w:t>
      </w:r>
    </w:p>
    <w:p w14:paraId="7FB20FAD">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投标单位地址：</w:t>
      </w:r>
    </w:p>
    <w:p w14:paraId="2C46B037">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法人或法人授权代表（签字或盖章）：</w:t>
      </w:r>
    </w:p>
    <w:p w14:paraId="7C8E143E">
      <w:pPr>
        <w:spacing w:line="560" w:lineRule="exact"/>
        <w:ind w:firstLine="560" w:firstLineChars="200"/>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投标单位联系电话：</w:t>
      </w:r>
    </w:p>
    <w:p w14:paraId="42D71EAE">
      <w:pPr>
        <w:spacing w:line="560" w:lineRule="exact"/>
        <w:ind w:firstLine="420" w:firstLineChars="200"/>
        <w:rPr>
          <w:rFonts w:hint="eastAsia" w:ascii="宋体" w:hAnsi="宋体" w:eastAsia="宋体" w:cs="宋体"/>
          <w:color w:val="auto"/>
          <w:kern w:val="2"/>
          <w:sz w:val="21"/>
          <w:szCs w:val="24"/>
          <w:highlight w:val="none"/>
          <w:lang w:val="en-US" w:eastAsia="zh-CN" w:bidi="ar-SA"/>
        </w:rPr>
      </w:pPr>
    </w:p>
    <w:p w14:paraId="6AF2D9B7">
      <w:pPr>
        <w:spacing w:line="560" w:lineRule="exact"/>
        <w:ind w:firstLine="560" w:firstLineChars="200"/>
        <w:jc w:val="center"/>
        <w:rPr>
          <w:rFonts w:hint="eastAsia" w:ascii="宋体" w:hAnsi="宋体" w:eastAsia="宋体" w:cs="宋体"/>
          <w:color w:val="auto"/>
          <w:kern w:val="2"/>
          <w:sz w:val="28"/>
          <w:szCs w:val="36"/>
          <w:highlight w:val="none"/>
          <w:lang w:val="en-US" w:eastAsia="zh-CN" w:bidi="ar-SA"/>
        </w:rPr>
      </w:pPr>
      <w:bookmarkStart w:id="286" w:name="_Toc1683"/>
    </w:p>
    <w:p w14:paraId="5769EDF0">
      <w:pPr>
        <w:spacing w:line="560" w:lineRule="exact"/>
        <w:ind w:firstLine="560" w:firstLineChars="200"/>
        <w:jc w:val="center"/>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年月日</w:t>
      </w:r>
      <w:bookmarkEnd w:id="286"/>
    </w:p>
    <w:p w14:paraId="1519951D">
      <w:pPr>
        <w:adjustRightInd w:val="0"/>
        <w:snapToGrid w:val="0"/>
        <w:jc w:val="center"/>
        <w:outlineLvl w:val="9"/>
        <w:rPr>
          <w:rFonts w:hint="eastAsia" w:ascii="宋体" w:hAnsi="宋体" w:eastAsia="宋体" w:cs="宋体"/>
          <w:b/>
          <w:color w:val="auto"/>
          <w:sz w:val="44"/>
          <w:szCs w:val="44"/>
          <w:highlight w:val="none"/>
        </w:rPr>
      </w:pPr>
    </w:p>
    <w:p w14:paraId="1000FD73">
      <w:pPr>
        <w:widowControl/>
        <w:spacing w:line="24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44"/>
          <w:szCs w:val="44"/>
          <w:highlight w:val="none"/>
        </w:rPr>
        <w:br w:type="page"/>
      </w:r>
    </w:p>
    <w:p w14:paraId="53521052">
      <w:pPr>
        <w:jc w:val="center"/>
        <w:rPr>
          <w:rFonts w:hint="eastAsia" w:ascii="宋体" w:hAnsi="宋体" w:eastAsia="宋体" w:cs="宋体"/>
          <w:b/>
          <w:bCs/>
          <w:color w:val="auto"/>
          <w:sz w:val="32"/>
          <w:szCs w:val="44"/>
          <w:highlight w:val="none"/>
          <w:lang w:val="en-US" w:eastAsia="zh-CN"/>
        </w:rPr>
      </w:pPr>
      <w:r>
        <w:rPr>
          <w:rFonts w:hint="eastAsia" w:ascii="宋体" w:hAnsi="宋体" w:eastAsia="宋体" w:cs="宋体"/>
          <w:b/>
          <w:bCs/>
          <w:color w:val="auto"/>
          <w:sz w:val="32"/>
          <w:szCs w:val="44"/>
          <w:highlight w:val="none"/>
          <w:lang w:val="en-US" w:eastAsia="zh-CN"/>
        </w:rPr>
        <w:t>目录</w:t>
      </w:r>
    </w:p>
    <w:p w14:paraId="59375E1F">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报价部分：</w:t>
      </w:r>
    </w:p>
    <w:p w14:paraId="1BE151F5">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w:t>
      </w:r>
    </w:p>
    <w:p w14:paraId="538B2CC8">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2、开标一览表；</w:t>
      </w:r>
    </w:p>
    <w:p w14:paraId="6CC322CA">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3、投标报价明细表</w:t>
      </w:r>
    </w:p>
    <w:p w14:paraId="456D5FC3">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商务部分：</w:t>
      </w:r>
    </w:p>
    <w:p w14:paraId="54EB3D4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投标单位简介，并附投标人资质证件等；</w:t>
      </w:r>
    </w:p>
    <w:p w14:paraId="3D38792D">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出具法人营业执照函（格式见附件）；</w:t>
      </w:r>
    </w:p>
    <w:p w14:paraId="692028FD">
      <w:pPr>
        <w:spacing w:line="300" w:lineRule="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6、联合体协议书（如是）</w:t>
      </w:r>
    </w:p>
    <w:p w14:paraId="7691FB21">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法定代表人证明书及身份证</w:t>
      </w:r>
      <w:r>
        <w:rPr>
          <w:rFonts w:hint="eastAsia" w:ascii="宋体" w:hAnsi="宋体" w:eastAsia="宋体" w:cs="宋体"/>
          <w:color w:val="auto"/>
          <w:sz w:val="24"/>
          <w:szCs w:val="24"/>
          <w:highlight w:val="none"/>
          <w:lang w:val="en-US" w:eastAsia="zh-CN"/>
        </w:rPr>
        <w:t>复印</w:t>
      </w:r>
      <w:r>
        <w:rPr>
          <w:rFonts w:hint="eastAsia" w:ascii="宋体" w:hAnsi="宋体" w:eastAsia="宋体" w:cs="宋体"/>
          <w:color w:val="auto"/>
          <w:sz w:val="24"/>
          <w:szCs w:val="24"/>
          <w:highlight w:val="none"/>
        </w:rPr>
        <w:t>件；</w:t>
      </w:r>
    </w:p>
    <w:p w14:paraId="2A648986">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法人代表授权委托书及身份证</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p>
    <w:p w14:paraId="15B2764B">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投标人资格声明函（格式自拟）</w:t>
      </w:r>
    </w:p>
    <w:p w14:paraId="74826BC6">
      <w:pPr>
        <w:spacing w:line="30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10、项目经理及管理技术人员一览表； </w:t>
      </w:r>
    </w:p>
    <w:p w14:paraId="5306798C">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11、投标单位的依法缴纳税收和社会保障资金的良好记录；具有良好的商业信誉和健全的财务会计制度（需提供</w:t>
      </w:r>
      <w:r>
        <w:rPr>
          <w:rFonts w:hint="eastAsia" w:ascii="宋体" w:hAnsi="宋体" w:cs="宋体"/>
          <w:color w:val="auto"/>
          <w:sz w:val="24"/>
          <w:szCs w:val="24"/>
          <w:highlight w:val="none"/>
          <w:lang w:val="en-US" w:eastAsia="zh-CN"/>
        </w:rPr>
        <w:t>2023年度或</w:t>
      </w:r>
      <w:r>
        <w:rPr>
          <w:rFonts w:hint="eastAsia" w:ascii="宋体" w:hAnsi="宋体" w:eastAsia="宋体" w:cs="宋体"/>
          <w:color w:val="auto"/>
          <w:sz w:val="24"/>
          <w:szCs w:val="24"/>
          <w:highlight w:val="none"/>
          <w:lang w:val="en-US" w:eastAsia="zh-CN"/>
        </w:rPr>
        <w:t>2024年度财务审计报告；2025年成立的公司不提供；；）；</w:t>
      </w:r>
    </w:p>
    <w:p w14:paraId="0420F06C">
      <w:pPr>
        <w:spacing w:line="300" w:lineRule="auto"/>
        <w:outlineLvl w:val="2"/>
        <w:rPr>
          <w:rFonts w:hint="eastAsia" w:ascii="宋体" w:hAnsi="宋体" w:eastAsia="宋体" w:cs="宋体"/>
          <w:color w:val="auto"/>
          <w:sz w:val="24"/>
          <w:szCs w:val="24"/>
          <w:highlight w:val="none"/>
          <w:lang w:val="en-US" w:eastAsia="zh-CN"/>
        </w:rPr>
      </w:pPr>
      <w:bookmarkStart w:id="287" w:name="_Toc16907"/>
      <w:r>
        <w:rPr>
          <w:rFonts w:hint="eastAsia" w:ascii="宋体" w:hAnsi="宋体" w:eastAsia="宋体" w:cs="宋体"/>
          <w:color w:val="auto"/>
          <w:sz w:val="24"/>
          <w:szCs w:val="24"/>
          <w:highlight w:val="none"/>
          <w:lang w:val="en-US" w:eastAsia="zh-CN"/>
        </w:rPr>
        <w:t>12、投标保证金打款凭证；</w:t>
      </w:r>
      <w:bookmarkEnd w:id="287"/>
    </w:p>
    <w:p w14:paraId="2735A03C">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 xml:space="preserve">偏离表（格式见附件）；  </w:t>
      </w:r>
    </w:p>
    <w:p w14:paraId="2C081C2B">
      <w:pPr>
        <w:spacing w:line="30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反商业贿赂承诺书（格式见附件）；</w:t>
      </w:r>
    </w:p>
    <w:p w14:paraId="706FF9B6">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15、无围标、串标等违法违规行为承诺书</w:t>
      </w:r>
      <w:r>
        <w:rPr>
          <w:rFonts w:hint="eastAsia" w:ascii="宋体" w:hAnsi="宋体" w:eastAsia="宋体" w:cs="宋体"/>
          <w:color w:val="auto"/>
          <w:sz w:val="24"/>
          <w:szCs w:val="24"/>
          <w:highlight w:val="none"/>
        </w:rPr>
        <w:t>（格式见附件）；</w:t>
      </w:r>
    </w:p>
    <w:p w14:paraId="140304D4">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16、中小企业声明函</w:t>
      </w:r>
      <w:r>
        <w:rPr>
          <w:rFonts w:hint="eastAsia" w:ascii="宋体" w:hAnsi="宋体" w:eastAsia="宋体" w:cs="宋体"/>
          <w:color w:val="auto"/>
          <w:sz w:val="24"/>
          <w:szCs w:val="24"/>
          <w:highlight w:val="none"/>
        </w:rPr>
        <w:t>；</w:t>
      </w:r>
    </w:p>
    <w:p w14:paraId="44A5BB99">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17、虚假应标承担责任声明</w:t>
      </w:r>
      <w:r>
        <w:rPr>
          <w:rFonts w:hint="eastAsia" w:ascii="宋体" w:hAnsi="宋体" w:eastAsia="宋体" w:cs="宋体"/>
          <w:color w:val="auto"/>
          <w:sz w:val="24"/>
          <w:szCs w:val="24"/>
          <w:highlight w:val="none"/>
        </w:rPr>
        <w:t>。</w:t>
      </w:r>
    </w:p>
    <w:p w14:paraId="3E2455A2">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关于对本投标文件中资料真实性的承诺</w:t>
      </w:r>
    </w:p>
    <w:p w14:paraId="7CAA7099">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投标人认为有必要提供的声明及文件资料</w:t>
      </w:r>
    </w:p>
    <w:p w14:paraId="7DA545C2">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技术部分：</w:t>
      </w:r>
    </w:p>
    <w:p w14:paraId="1BAF574C">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对本次</w:t>
      </w:r>
      <w:r>
        <w:rPr>
          <w:rFonts w:hint="eastAsia" w:ascii="宋体" w:hAnsi="宋体" w:eastAsia="宋体" w:cs="宋体"/>
          <w:color w:val="auto"/>
          <w:sz w:val="24"/>
          <w:szCs w:val="24"/>
          <w:highlight w:val="none"/>
          <w:lang w:val="en-US" w:eastAsia="zh-CN"/>
        </w:rPr>
        <w:t>投标项目的技术方案（</w:t>
      </w:r>
      <w:r>
        <w:rPr>
          <w:rFonts w:hint="eastAsia" w:ascii="宋体" w:hAnsi="宋体" w:eastAsia="宋体" w:cs="宋体"/>
          <w:color w:val="auto"/>
          <w:sz w:val="24"/>
          <w:szCs w:val="24"/>
          <w:highlight w:val="none"/>
        </w:rPr>
        <w:t>投标人视需要自行编写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80634A0">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21、服务承诺书</w:t>
      </w:r>
    </w:p>
    <w:p w14:paraId="66851107">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注：1、投标文件必须制作有目录和页码（否则投标无效）   </w:t>
      </w:r>
    </w:p>
    <w:p w14:paraId="6F203F90">
      <w:pPr>
        <w:spacing w:line="300" w:lineRule="auto"/>
        <w:rPr>
          <w:rFonts w:hint="eastAsia" w:ascii="宋体" w:hAnsi="宋体" w:eastAsia="宋体" w:cs="宋体"/>
          <w:color w:val="auto"/>
          <w:sz w:val="24"/>
          <w:szCs w:val="24"/>
          <w:highlight w:val="none"/>
          <w:lang w:eastAsia="zh-CN"/>
        </w:rPr>
        <w:sectPr>
          <w:headerReference r:id="rId15" w:type="default"/>
          <w:footerReference r:id="rId16" w:type="default"/>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start="1"/>
          <w:cols w:space="720" w:num="1"/>
          <w:rtlGutter w:val="0"/>
          <w:docGrid w:type="lines" w:linePitch="317" w:charSpace="0"/>
        </w:sectPr>
      </w:pPr>
      <w:r>
        <w:rPr>
          <w:rFonts w:hint="eastAsia" w:ascii="宋体" w:hAnsi="宋体" w:eastAsia="宋体" w:cs="宋体"/>
          <w:color w:val="auto"/>
          <w:sz w:val="24"/>
          <w:szCs w:val="24"/>
          <w:highlight w:val="none"/>
          <w:lang w:val="en-US" w:eastAsia="zh-CN"/>
        </w:rPr>
        <w:t xml:space="preserve">投标文件严格按要求制作     </w:t>
      </w:r>
    </w:p>
    <w:p w14:paraId="1C5FA929">
      <w:pPr>
        <w:numPr>
          <w:ilvl w:val="0"/>
          <w:numId w:val="0"/>
        </w:numPr>
        <w:spacing w:line="440" w:lineRule="exact"/>
        <w:jc w:val="both"/>
        <w:rPr>
          <w:rFonts w:hint="eastAsia" w:ascii="宋体" w:hAnsi="宋体" w:eastAsia="宋体" w:cs="宋体"/>
          <w:b/>
          <w:color w:val="auto"/>
          <w:sz w:val="24"/>
          <w:szCs w:val="24"/>
          <w:highlight w:val="none"/>
          <w:lang w:val="en-US" w:eastAsia="zh-CN"/>
        </w:rPr>
      </w:pPr>
    </w:p>
    <w:p w14:paraId="6F152010">
      <w:pPr>
        <w:pStyle w:val="7"/>
        <w:rPr>
          <w:rFonts w:hint="eastAsia" w:ascii="宋体" w:hAnsi="宋体" w:eastAsia="宋体" w:cs="宋体"/>
          <w:color w:val="auto"/>
          <w:sz w:val="24"/>
          <w:szCs w:val="24"/>
          <w:highlight w:val="none"/>
          <w:lang w:val="en-US" w:eastAsia="zh-CN"/>
        </w:rPr>
      </w:pPr>
    </w:p>
    <w:p w14:paraId="72260BD2">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14:paraId="03DC6135">
      <w:pPr>
        <w:numPr>
          <w:ilvl w:val="0"/>
          <w:numId w:val="0"/>
        </w:numPr>
        <w:spacing w:line="440" w:lineRule="exact"/>
        <w:jc w:val="center"/>
        <w:rPr>
          <w:rFonts w:hint="eastAsia" w:ascii="宋体" w:hAnsi="宋体" w:eastAsia="宋体" w:cs="宋体"/>
          <w:b/>
          <w:color w:val="auto"/>
          <w:sz w:val="32"/>
          <w:szCs w:val="28"/>
          <w:highlight w:val="none"/>
          <w:lang w:eastAsia="zh-CN"/>
        </w:rPr>
      </w:pPr>
      <w:r>
        <w:rPr>
          <w:rFonts w:hint="eastAsia" w:ascii="宋体" w:hAnsi="宋体" w:eastAsia="宋体" w:cs="宋体"/>
          <w:b/>
          <w:color w:val="auto"/>
          <w:sz w:val="32"/>
          <w:szCs w:val="28"/>
          <w:highlight w:val="none"/>
        </w:rPr>
        <w:t>投标</w:t>
      </w:r>
      <w:r>
        <w:rPr>
          <w:rFonts w:hint="eastAsia" w:ascii="宋体" w:hAnsi="宋体" w:eastAsia="宋体" w:cs="宋体"/>
          <w:b/>
          <w:color w:val="auto"/>
          <w:sz w:val="32"/>
          <w:szCs w:val="28"/>
          <w:highlight w:val="none"/>
          <w:lang w:eastAsia="zh-CN"/>
        </w:rPr>
        <w:t>函</w:t>
      </w:r>
    </w:p>
    <w:p w14:paraId="5AD8BB8A">
      <w:pPr>
        <w:pStyle w:val="11"/>
        <w:numPr>
          <w:ilvl w:val="0"/>
          <w:numId w:val="0"/>
        </w:numPr>
        <w:rPr>
          <w:rFonts w:hint="eastAsia" w:ascii="宋体" w:hAnsi="宋体" w:eastAsia="宋体" w:cs="宋体"/>
          <w:color w:val="auto"/>
          <w:sz w:val="24"/>
          <w:szCs w:val="24"/>
          <w:highlight w:val="none"/>
        </w:rPr>
      </w:pPr>
    </w:p>
    <w:p w14:paraId="09625DC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676A1E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我们收到你们的</w:t>
      </w:r>
      <w:r>
        <w:rPr>
          <w:rFonts w:hint="eastAsia" w:ascii="宋体" w:hAnsi="宋体" w:eastAsia="宋体" w:cs="宋体"/>
          <w:color w:val="auto"/>
          <w:sz w:val="24"/>
          <w:szCs w:val="24"/>
          <w:highlight w:val="none"/>
          <w:u w:val="single"/>
        </w:rPr>
        <w:t xml:space="preserve">     （项目名称）     （项目编号：  号）</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文件，经认真研究，我们决定参加本次</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活动。</w:t>
      </w:r>
    </w:p>
    <w:p w14:paraId="60985B33">
      <w:pPr>
        <w:numPr>
          <w:ilvl w:val="0"/>
          <w:numId w:val="17"/>
        </w:numPr>
        <w:adjustRightInd w:val="0"/>
        <w:snapToGrid w:val="0"/>
        <w:spacing w:line="360" w:lineRule="auto"/>
        <w:ind w:firstLine="480" w:firstLineChars="200"/>
        <w:outlineLvl w:val="2"/>
        <w:rPr>
          <w:rFonts w:hint="eastAsia" w:ascii="宋体" w:hAnsi="宋体" w:eastAsia="宋体" w:cs="宋体"/>
          <w:color w:val="auto"/>
          <w:sz w:val="24"/>
          <w:szCs w:val="24"/>
          <w:highlight w:val="none"/>
        </w:rPr>
      </w:pPr>
      <w:bookmarkStart w:id="288" w:name="_Toc15514"/>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中的一切要求，提供招标的相关服务。</w:t>
      </w:r>
      <w:bookmarkEnd w:id="288"/>
    </w:p>
    <w:p w14:paraId="2557783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2、如果我们的投标文件被接受，我们将履行</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中规定的每一项义务和要求，按期、按质、按量完成</w:t>
      </w:r>
      <w:r>
        <w:rPr>
          <w:rFonts w:hint="eastAsia" w:ascii="宋体" w:hAnsi="宋体" w:eastAsia="宋体" w:cs="宋体"/>
          <w:color w:val="auto"/>
          <w:sz w:val="24"/>
          <w:szCs w:val="24"/>
          <w:highlight w:val="none"/>
          <w:lang w:val="en-US" w:eastAsia="zh-CN"/>
        </w:rPr>
        <w:t>本次服务</w:t>
      </w:r>
      <w:r>
        <w:rPr>
          <w:rFonts w:hint="eastAsia" w:ascii="宋体" w:hAnsi="宋体" w:eastAsia="宋体" w:cs="宋体"/>
          <w:color w:val="auto"/>
          <w:sz w:val="24"/>
          <w:szCs w:val="24"/>
          <w:highlight w:val="none"/>
        </w:rPr>
        <w:t>。</w:t>
      </w:r>
    </w:p>
    <w:p w14:paraId="6B34FD0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3、我们同意按</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文件的规定，本投标文件的有效期为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w:t>
      </w:r>
    </w:p>
    <w:p w14:paraId="40C85AF6">
      <w:pPr>
        <w:adjustRightInd w:val="0"/>
        <w:snapToGrid w:val="0"/>
        <w:spacing w:line="360" w:lineRule="auto"/>
        <w:ind w:firstLine="480" w:firstLineChars="200"/>
        <w:outlineLvl w:val="2"/>
        <w:rPr>
          <w:rFonts w:hint="eastAsia" w:ascii="宋体" w:hAnsi="宋体" w:eastAsia="宋体" w:cs="宋体"/>
          <w:color w:val="auto"/>
          <w:sz w:val="24"/>
          <w:szCs w:val="24"/>
          <w:highlight w:val="none"/>
        </w:rPr>
      </w:pPr>
      <w:bookmarkStart w:id="289" w:name="_Toc29996"/>
      <w:r>
        <w:rPr>
          <w:rFonts w:hint="eastAsia" w:ascii="宋体" w:hAnsi="宋体" w:eastAsia="宋体" w:cs="宋体"/>
          <w:color w:val="auto"/>
          <w:sz w:val="24"/>
          <w:szCs w:val="24"/>
          <w:highlight w:val="none"/>
        </w:rPr>
        <w:t>4、我们愿意提供招标人在</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文件中要求的所有资料。</w:t>
      </w:r>
      <w:bookmarkEnd w:id="289"/>
    </w:p>
    <w:p w14:paraId="3FEE923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5、我们认为你们有选择或拒绝任何投标者中标的权力。我们理解，最低报价不是中标的唯一条件。</w:t>
      </w:r>
    </w:p>
    <w:p w14:paraId="4BCA8903">
      <w:pPr>
        <w:adjustRightInd w:val="0"/>
        <w:snapToGrid w:val="0"/>
        <w:spacing w:line="360" w:lineRule="auto"/>
        <w:ind w:firstLine="480" w:firstLineChars="200"/>
        <w:outlineLvl w:val="2"/>
        <w:rPr>
          <w:rFonts w:hint="eastAsia" w:ascii="宋体" w:hAnsi="宋体" w:eastAsia="宋体" w:cs="宋体"/>
          <w:color w:val="auto"/>
          <w:sz w:val="24"/>
          <w:szCs w:val="24"/>
          <w:highlight w:val="none"/>
        </w:rPr>
      </w:pPr>
      <w:bookmarkStart w:id="290" w:name="_Toc19169"/>
      <w:r>
        <w:rPr>
          <w:rFonts w:hint="eastAsia" w:ascii="宋体" w:hAnsi="宋体" w:eastAsia="宋体" w:cs="宋体"/>
          <w:color w:val="auto"/>
          <w:sz w:val="24"/>
          <w:szCs w:val="24"/>
          <w:highlight w:val="none"/>
        </w:rPr>
        <w:t>6、我们愿按合同法履行自己的全部责任。</w:t>
      </w:r>
      <w:bookmarkEnd w:id="290"/>
    </w:p>
    <w:p w14:paraId="004F1D8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7、我们愿意遵守国家有关规定和</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文件中规定的收费标准，承付中标服务费。</w:t>
      </w:r>
    </w:p>
    <w:p w14:paraId="7FF3BA1E">
      <w:pPr>
        <w:adjustRightInd w:val="0"/>
        <w:snapToGrid w:val="0"/>
        <w:spacing w:line="360" w:lineRule="auto"/>
        <w:ind w:firstLine="480" w:firstLineChars="200"/>
        <w:outlineLvl w:val="2"/>
        <w:rPr>
          <w:rFonts w:hint="eastAsia" w:ascii="宋体" w:hAnsi="宋体" w:eastAsia="宋体" w:cs="宋体"/>
          <w:color w:val="auto"/>
          <w:sz w:val="24"/>
          <w:szCs w:val="24"/>
          <w:highlight w:val="none"/>
        </w:rPr>
      </w:pPr>
      <w:bookmarkStart w:id="291" w:name="_Toc17525"/>
      <w:r>
        <w:rPr>
          <w:rFonts w:hint="eastAsia" w:ascii="宋体" w:hAnsi="宋体" w:eastAsia="宋体" w:cs="宋体"/>
          <w:color w:val="auto"/>
          <w:sz w:val="24"/>
          <w:szCs w:val="24"/>
          <w:highlight w:val="none"/>
        </w:rPr>
        <w:t>8、该项投标在开标后的全过程中保持有效，不作任何更改和变动。</w:t>
      </w:r>
      <w:bookmarkEnd w:id="291"/>
    </w:p>
    <w:p w14:paraId="72F7F9C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9、我们同意按</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文件规定，交纳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元的投标保证金。</w:t>
      </w:r>
    </w:p>
    <w:p w14:paraId="4745EC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10、其它说明。</w:t>
      </w:r>
    </w:p>
    <w:p w14:paraId="5DB2355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11、所有有关本标书的函电，请按下列地址联系：</w:t>
      </w:r>
    </w:p>
    <w:p w14:paraId="3D3E5C2C">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投标单位：</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盖章</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03F1795D">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u w:val="single"/>
          <w:lang w:val="en-US" w:eastAsia="zh-CN"/>
        </w:rPr>
        <w:t xml:space="preserve">                                 </w:t>
      </w:r>
    </w:p>
    <w:p w14:paraId="07431F7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6BD26B9B">
      <w:pPr>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42816B10">
      <w:pPr>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0CFCC66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11CF1EDB">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6FB2247D">
      <w:pPr>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1A4C9C93">
      <w:pPr>
        <w:pStyle w:val="8"/>
        <w:overflowPunct w:val="0"/>
        <w:snapToGrid w:val="0"/>
        <w:spacing w:line="360" w:lineRule="auto"/>
        <w:ind w:firstLine="0"/>
        <w:rPr>
          <w:rFonts w:hint="eastAsia" w:ascii="宋体" w:hAnsi="宋体" w:eastAsia="宋体" w:cs="宋体"/>
          <w:color w:val="auto"/>
          <w:sz w:val="24"/>
          <w:szCs w:val="24"/>
          <w:highlight w:val="none"/>
          <w:lang w:eastAsia="zh-CN"/>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5E46E1E5">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783FCAAB">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1E134F5E">
      <w:pPr>
        <w:pStyle w:val="2"/>
        <w:rPr>
          <w:rFonts w:hint="eastAsia" w:ascii="宋体" w:hAnsi="宋体" w:eastAsia="宋体" w:cs="宋体"/>
          <w:b/>
          <w:color w:val="auto"/>
          <w:sz w:val="28"/>
          <w:szCs w:val="24"/>
          <w:highlight w:val="none"/>
          <w:lang w:val="en-US" w:eastAsia="zh-CN"/>
        </w:rPr>
      </w:pPr>
    </w:p>
    <w:p w14:paraId="3CC54774">
      <w:pPr>
        <w:rPr>
          <w:rFonts w:hint="eastAsia"/>
          <w:color w:val="auto"/>
          <w:highlight w:val="none"/>
          <w:lang w:val="en-US" w:eastAsia="zh-CN"/>
        </w:rPr>
      </w:pPr>
    </w:p>
    <w:p w14:paraId="01C2381C">
      <w:pPr>
        <w:numPr>
          <w:ilvl w:val="0"/>
          <w:numId w:val="0"/>
        </w:numPr>
        <w:spacing w:line="440" w:lineRule="exact"/>
        <w:jc w:val="center"/>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开标一览表</w:t>
      </w:r>
    </w:p>
    <w:p w14:paraId="5C982C3F">
      <w:pPr>
        <w:pStyle w:val="29"/>
        <w:rPr>
          <w:rFonts w:hint="eastAsia" w:ascii="宋体" w:hAnsi="宋体" w:eastAsia="宋体" w:cs="宋体"/>
          <w:color w:val="auto"/>
          <w:highlight w:val="none"/>
        </w:rPr>
      </w:pPr>
    </w:p>
    <w:p w14:paraId="3F4033CB">
      <w:pPr>
        <w:pStyle w:val="29"/>
        <w:rPr>
          <w:rFonts w:hint="eastAsia" w:ascii="宋体" w:hAnsi="宋体" w:eastAsia="宋体" w:cs="宋体"/>
          <w:color w:val="auto"/>
          <w:highlight w:val="none"/>
        </w:rPr>
      </w:pPr>
    </w:p>
    <w:p w14:paraId="2D6BDA58">
      <w:pPr>
        <w:spacing w:line="37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u w:val="single"/>
          <w:lang w:val="en-US" w:eastAsia="zh-CN"/>
        </w:rPr>
        <w:t xml:space="preserve">                                               </w:t>
      </w:r>
    </w:p>
    <w:p w14:paraId="6E613108">
      <w:pPr>
        <w:spacing w:before="227" w:line="185" w:lineRule="auto"/>
        <w:ind w:firstLine="617"/>
        <w:rPr>
          <w:rFonts w:hint="eastAsia" w:ascii="宋体" w:hAnsi="宋体" w:eastAsia="宋体" w:cs="宋体"/>
          <w:color w:val="auto"/>
          <w:spacing w:val="1"/>
          <w:sz w:val="24"/>
          <w:szCs w:val="24"/>
          <w:highlight w:val="none"/>
          <w:u w:val="single" w:color="auto"/>
        </w:rPr>
      </w:pPr>
      <w:r>
        <w:rPr>
          <w:rFonts w:hint="eastAsia" w:ascii="宋体" w:hAnsi="宋体" w:eastAsia="宋体" w:cs="宋体"/>
          <w:color w:val="auto"/>
          <w:sz w:val="24"/>
          <w:szCs w:val="24"/>
          <w:highlight w:val="none"/>
        </w:rPr>
        <w:t>项目编号：</w:t>
      </w:r>
      <w:r>
        <w:rPr>
          <w:rFonts w:hint="eastAsia" w:ascii="宋体" w:hAnsi="宋体" w:eastAsia="宋体" w:cs="宋体"/>
          <w:color w:val="auto"/>
          <w:spacing w:val="1"/>
          <w:sz w:val="24"/>
          <w:szCs w:val="24"/>
          <w:highlight w:val="none"/>
          <w:u w:val="single" w:color="auto"/>
        </w:rPr>
        <w:t xml:space="preserve">                                          </w:t>
      </w:r>
    </w:p>
    <w:p w14:paraId="382D161A">
      <w:pPr>
        <w:pStyle w:val="8"/>
        <w:rPr>
          <w:rFonts w:hint="eastAsia" w:ascii="宋体" w:hAnsi="宋体" w:eastAsia="宋体" w:cs="宋体"/>
          <w:color w:val="auto"/>
          <w:sz w:val="24"/>
          <w:szCs w:val="24"/>
          <w:highlight w:val="none"/>
        </w:rPr>
      </w:pPr>
    </w:p>
    <w:tbl>
      <w:tblPr>
        <w:tblStyle w:val="22"/>
        <w:tblW w:w="9957" w:type="dxa"/>
        <w:tblInd w:w="-61" w:type="dxa"/>
        <w:tblLayout w:type="fixed"/>
        <w:tblCellMar>
          <w:top w:w="0" w:type="dxa"/>
          <w:left w:w="0" w:type="dxa"/>
          <w:bottom w:w="0" w:type="dxa"/>
          <w:right w:w="0" w:type="dxa"/>
        </w:tblCellMar>
      </w:tblPr>
      <w:tblGrid>
        <w:gridCol w:w="1924"/>
        <w:gridCol w:w="3170"/>
        <w:gridCol w:w="1958"/>
        <w:gridCol w:w="1376"/>
        <w:gridCol w:w="1529"/>
      </w:tblGrid>
      <w:tr w14:paraId="44FBBEB4">
        <w:tblPrEx>
          <w:tblCellMar>
            <w:top w:w="0" w:type="dxa"/>
            <w:left w:w="0" w:type="dxa"/>
            <w:bottom w:w="0" w:type="dxa"/>
            <w:right w:w="0" w:type="dxa"/>
          </w:tblCellMar>
        </w:tblPrEx>
        <w:trPr>
          <w:trHeight w:val="799" w:hRule="atLeast"/>
        </w:trPr>
        <w:tc>
          <w:tcPr>
            <w:tcW w:w="1924" w:type="dxa"/>
            <w:tcBorders>
              <w:top w:val="single" w:color="auto" w:sz="4" w:space="0"/>
              <w:left w:val="single" w:color="auto" w:sz="4" w:space="0"/>
              <w:bottom w:val="single" w:color="auto" w:sz="8" w:space="0"/>
              <w:right w:val="single" w:color="auto" w:sz="4" w:space="0"/>
            </w:tcBorders>
            <w:vAlign w:val="center"/>
          </w:tcPr>
          <w:p w14:paraId="1248E9B3">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p>
        </w:tc>
        <w:tc>
          <w:tcPr>
            <w:tcW w:w="3170" w:type="dxa"/>
            <w:tcBorders>
              <w:top w:val="single" w:color="auto" w:sz="4" w:space="0"/>
              <w:left w:val="single" w:color="auto" w:sz="8" w:space="0"/>
              <w:bottom w:val="single" w:color="auto" w:sz="8" w:space="0"/>
              <w:right w:val="single" w:color="auto" w:sz="4" w:space="0"/>
            </w:tcBorders>
            <w:vAlign w:val="center"/>
          </w:tcPr>
          <w:p w14:paraId="1AFBD3E8">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w:t>
            </w:r>
          </w:p>
        </w:tc>
        <w:tc>
          <w:tcPr>
            <w:tcW w:w="1958" w:type="dxa"/>
            <w:tcBorders>
              <w:top w:val="single" w:color="auto" w:sz="8" w:space="0"/>
              <w:left w:val="nil"/>
              <w:bottom w:val="single" w:color="auto" w:sz="8" w:space="0"/>
              <w:right w:val="single" w:color="auto" w:sz="4" w:space="0"/>
            </w:tcBorders>
            <w:vAlign w:val="center"/>
          </w:tcPr>
          <w:p w14:paraId="011BBD1B">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履约期限</w:t>
            </w:r>
          </w:p>
        </w:tc>
        <w:tc>
          <w:tcPr>
            <w:tcW w:w="1376" w:type="dxa"/>
            <w:tcBorders>
              <w:top w:val="single" w:color="auto" w:sz="8" w:space="0"/>
              <w:left w:val="nil"/>
              <w:bottom w:val="single" w:color="auto" w:sz="8" w:space="0"/>
              <w:right w:val="single" w:color="auto" w:sz="4" w:space="0"/>
            </w:tcBorders>
            <w:vAlign w:val="center"/>
          </w:tcPr>
          <w:p w14:paraId="376C91E5">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履约地点</w:t>
            </w:r>
          </w:p>
        </w:tc>
        <w:tc>
          <w:tcPr>
            <w:tcW w:w="1529" w:type="dxa"/>
            <w:tcBorders>
              <w:top w:val="single" w:color="auto" w:sz="8" w:space="0"/>
              <w:left w:val="single" w:color="auto" w:sz="4" w:space="0"/>
              <w:bottom w:val="single" w:color="auto" w:sz="8" w:space="0"/>
              <w:right w:val="single" w:color="auto" w:sz="8" w:space="0"/>
            </w:tcBorders>
            <w:vAlign w:val="center"/>
          </w:tcPr>
          <w:p w14:paraId="083750B4">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4C24F53">
        <w:tblPrEx>
          <w:tblCellMar>
            <w:top w:w="0" w:type="dxa"/>
            <w:left w:w="0" w:type="dxa"/>
            <w:bottom w:w="0" w:type="dxa"/>
            <w:right w:w="0" w:type="dxa"/>
          </w:tblCellMar>
        </w:tblPrEx>
        <w:trPr>
          <w:cantSplit/>
          <w:trHeight w:val="1956" w:hRule="atLeast"/>
        </w:trPr>
        <w:tc>
          <w:tcPr>
            <w:tcW w:w="1924" w:type="dxa"/>
            <w:tcBorders>
              <w:top w:val="single" w:color="auto" w:sz="8" w:space="0"/>
              <w:left w:val="single" w:color="auto" w:sz="4" w:space="0"/>
              <w:bottom w:val="single" w:color="auto" w:sz="4" w:space="0"/>
              <w:right w:val="single" w:color="auto" w:sz="4" w:space="0"/>
            </w:tcBorders>
            <w:vAlign w:val="center"/>
          </w:tcPr>
          <w:p w14:paraId="25C70464">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color w:val="auto"/>
                <w:sz w:val="24"/>
                <w:szCs w:val="24"/>
                <w:highlight w:val="none"/>
              </w:rPr>
            </w:pPr>
          </w:p>
        </w:tc>
        <w:tc>
          <w:tcPr>
            <w:tcW w:w="3170" w:type="dxa"/>
            <w:tcBorders>
              <w:top w:val="single" w:color="auto" w:sz="8" w:space="0"/>
              <w:left w:val="single" w:color="auto" w:sz="8" w:space="0"/>
              <w:bottom w:val="single" w:color="auto" w:sz="4" w:space="0"/>
              <w:right w:val="single" w:color="auto" w:sz="4" w:space="0"/>
            </w:tcBorders>
            <w:vAlign w:val="center"/>
          </w:tcPr>
          <w:p w14:paraId="3B23BAC0">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14:paraId="6EDA02E1">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1958" w:type="dxa"/>
            <w:tcBorders>
              <w:top w:val="single" w:color="auto" w:sz="8" w:space="0"/>
              <w:left w:val="nil"/>
              <w:bottom w:val="single" w:color="auto" w:sz="4" w:space="0"/>
              <w:right w:val="single" w:color="auto" w:sz="4" w:space="0"/>
            </w:tcBorders>
            <w:vAlign w:val="center"/>
          </w:tcPr>
          <w:p w14:paraId="18FC68CA">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自合同签订之日30天</w:t>
            </w:r>
          </w:p>
        </w:tc>
        <w:tc>
          <w:tcPr>
            <w:tcW w:w="1376" w:type="dxa"/>
            <w:tcBorders>
              <w:top w:val="single" w:color="auto" w:sz="8" w:space="0"/>
              <w:left w:val="nil"/>
              <w:bottom w:val="single" w:color="auto" w:sz="4" w:space="0"/>
              <w:right w:val="single" w:color="auto" w:sz="4" w:space="0"/>
            </w:tcBorders>
            <w:vAlign w:val="center"/>
          </w:tcPr>
          <w:p w14:paraId="6997309D">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both"/>
              <w:textAlignment w:val="auto"/>
              <w:rPr>
                <w:rFonts w:hint="default" w:ascii="宋体" w:hAnsi="宋体" w:eastAsia="宋体" w:cs="宋体"/>
                <w:color w:val="auto"/>
                <w:sz w:val="24"/>
                <w:szCs w:val="24"/>
                <w:highlight w:val="none"/>
                <w:lang w:val="en-US" w:eastAsia="zh-CN"/>
              </w:rPr>
            </w:pPr>
          </w:p>
        </w:tc>
        <w:tc>
          <w:tcPr>
            <w:tcW w:w="1529" w:type="dxa"/>
            <w:tcBorders>
              <w:top w:val="single" w:color="auto" w:sz="8" w:space="0"/>
              <w:left w:val="single" w:color="auto" w:sz="4" w:space="0"/>
              <w:bottom w:val="single" w:color="auto" w:sz="4" w:space="0"/>
              <w:right w:val="single" w:color="auto" w:sz="8" w:space="0"/>
            </w:tcBorders>
            <w:vAlign w:val="center"/>
          </w:tcPr>
          <w:p w14:paraId="717DC255">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color w:val="auto"/>
                <w:sz w:val="24"/>
                <w:szCs w:val="24"/>
                <w:highlight w:val="none"/>
              </w:rPr>
            </w:pPr>
          </w:p>
        </w:tc>
      </w:tr>
    </w:tbl>
    <w:p w14:paraId="721C195F">
      <w:pPr>
        <w:pStyle w:val="8"/>
        <w:rPr>
          <w:rFonts w:hint="eastAsia" w:ascii="宋体" w:hAnsi="宋体" w:eastAsia="宋体" w:cs="宋体"/>
          <w:color w:val="auto"/>
          <w:sz w:val="24"/>
          <w:szCs w:val="24"/>
          <w:highlight w:val="none"/>
        </w:rPr>
      </w:pPr>
    </w:p>
    <w:p w14:paraId="4D497822">
      <w:pPr>
        <w:adjustRightInd w:val="0"/>
        <w:snapToGrid w:val="0"/>
        <w:spacing w:line="360" w:lineRule="auto"/>
        <w:ind w:left="0" w:leftChars="0" w:firstLine="0" w:firstLineChars="0"/>
        <w:rPr>
          <w:rFonts w:hint="eastAsia" w:ascii="宋体" w:hAnsi="宋体" w:eastAsia="宋体" w:cs="宋体"/>
          <w:color w:val="auto"/>
          <w:sz w:val="24"/>
          <w:szCs w:val="24"/>
          <w:highlight w:val="none"/>
        </w:rPr>
      </w:pPr>
    </w:p>
    <w:p w14:paraId="389047FA">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33A16CD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1F2A1BC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1F16A21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28A49D30">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30C09289">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0E16562F">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注： </w:t>
      </w:r>
      <w:r>
        <w:rPr>
          <w:rFonts w:hint="eastAsia" w:ascii="宋体" w:hAnsi="宋体" w:eastAsia="宋体" w:cs="宋体"/>
          <w:color w:val="auto"/>
          <w:sz w:val="24"/>
          <w:szCs w:val="24"/>
          <w:highlight w:val="none"/>
          <w:lang w:val="en-US" w:eastAsia="zh-CN"/>
        </w:rPr>
        <w:t>1、单项报价不得超过各品类单项最高限价，总价不得超过本项目最高限价，否则作无效报价处理。</w:t>
      </w:r>
    </w:p>
    <w:p w14:paraId="5EB9AC5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、任何有选择或有条件的投标总价或表中某一包填写多个报价，均将导致投标被拒绝；</w:t>
      </w:r>
    </w:p>
    <w:p w14:paraId="71B6B06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、投标报价包含完成服务成果的一切费用、售后维护费用、税费等</w:t>
      </w:r>
    </w:p>
    <w:p w14:paraId="5C6BF96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、报价为含税金额，税票为增值税专用发票。</w:t>
      </w:r>
    </w:p>
    <w:p w14:paraId="1208BC24">
      <w:pPr>
        <w:spacing w:line="360" w:lineRule="auto"/>
        <w:ind w:left="210" w:leftChars="10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、大写标注：壹、贰、叁、肆、伍、陆、柒、捌、玖、拾、佰、仟、万、亿。</w:t>
      </w:r>
    </w:p>
    <w:p w14:paraId="02FF8B95">
      <w:pPr>
        <w:pStyle w:val="29"/>
        <w:rPr>
          <w:rFonts w:hint="eastAsia" w:ascii="宋体" w:hAnsi="宋体" w:eastAsia="宋体" w:cs="宋体"/>
          <w:color w:val="auto"/>
          <w:sz w:val="24"/>
          <w:szCs w:val="24"/>
          <w:highlight w:val="none"/>
          <w:lang w:eastAsia="zh-CN"/>
        </w:rPr>
        <w:sectPr>
          <w:footerReference r:id="rId17" w:type="default"/>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1FB31F18">
      <w:pPr>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br w:type="page"/>
      </w:r>
    </w:p>
    <w:p w14:paraId="23CFBF36">
      <w:pPr>
        <w:keepNext w:val="0"/>
        <w:keepLines w:val="0"/>
        <w:widowControl/>
        <w:suppressLineNumbers w:val="0"/>
        <w:jc w:val="center"/>
        <w:rPr>
          <w:rFonts w:hint="eastAsia" w:ascii="宋体" w:hAnsi="宋体" w:eastAsia="宋体" w:cs="宋体"/>
          <w:b/>
          <w:bCs/>
          <w:color w:val="auto"/>
          <w:kern w:val="0"/>
          <w:sz w:val="31"/>
          <w:szCs w:val="31"/>
          <w:highlight w:val="none"/>
          <w:lang w:val="en-US" w:eastAsia="zh-CN" w:bidi="ar"/>
        </w:rPr>
      </w:pPr>
      <w:bookmarkStart w:id="292" w:name="_Toc23314"/>
      <w:bookmarkStart w:id="293" w:name="_Toc8739"/>
      <w:r>
        <w:rPr>
          <w:rFonts w:hint="eastAsia" w:ascii="宋体" w:hAnsi="宋体" w:eastAsia="宋体" w:cs="宋体"/>
          <w:b/>
          <w:bCs/>
          <w:color w:val="auto"/>
          <w:kern w:val="0"/>
          <w:sz w:val="31"/>
          <w:szCs w:val="31"/>
          <w:highlight w:val="none"/>
          <w:lang w:val="en-US" w:eastAsia="zh-CN" w:bidi="ar"/>
        </w:rPr>
        <w:t>投标报价明细表</w:t>
      </w:r>
    </w:p>
    <w:p w14:paraId="79D6411F">
      <w:pPr>
        <w:keepNext w:val="0"/>
        <w:keepLines w:val="0"/>
        <w:widowControl/>
        <w:suppressLineNumbers w:val="0"/>
        <w:jc w:val="center"/>
        <w:rPr>
          <w:color w:val="auto"/>
          <w:highlight w:val="none"/>
        </w:rPr>
      </w:pPr>
      <w:r>
        <w:rPr>
          <w:rFonts w:hint="eastAsia" w:ascii="宋体" w:hAnsi="宋体" w:eastAsia="宋体" w:cs="宋体"/>
          <w:b/>
          <w:bCs/>
          <w:color w:val="auto"/>
          <w:kern w:val="0"/>
          <w:sz w:val="31"/>
          <w:szCs w:val="31"/>
          <w:highlight w:val="none"/>
          <w:lang w:val="en-US" w:eastAsia="zh-CN" w:bidi="ar"/>
        </w:rPr>
        <w:t>已标价的工程量清单</w:t>
      </w:r>
    </w:p>
    <w:p w14:paraId="7B89B607">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注：1.供应商编制经济标严格按照采购人发布的工程量清单提供的表格填列，并不得改动表中的任何地方，表格顺序也不得变动，否则按重大偏差处理。 </w:t>
      </w:r>
    </w:p>
    <w:p w14:paraId="2CE2CB12">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2.供应商不允许改变采购人所发工程量清单的结构格式、清单编号、名称、工程量、单位、采购人给出的费率及提供的主材顺序。 </w:t>
      </w:r>
    </w:p>
    <w:p w14:paraId="22DFF090">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14:paraId="01B1C548">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14:paraId="3AFB78B3">
      <w:pPr>
        <w:numPr>
          <w:ilvl w:val="0"/>
          <w:numId w:val="0"/>
        </w:numPr>
        <w:spacing w:line="440" w:lineRule="exact"/>
        <w:jc w:val="both"/>
        <w:outlineLvl w:val="1"/>
        <w:rPr>
          <w:rFonts w:hint="eastAsia" w:ascii="宋体" w:hAnsi="宋体" w:eastAsia="宋体" w:cs="宋体"/>
          <w:b/>
          <w:color w:val="auto"/>
          <w:sz w:val="28"/>
          <w:szCs w:val="24"/>
          <w:highlight w:val="none"/>
          <w:lang w:val="en-US" w:eastAsia="zh-CN"/>
        </w:rPr>
      </w:pPr>
    </w:p>
    <w:p w14:paraId="78D253AF">
      <w:pPr>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br w:type="page"/>
      </w:r>
    </w:p>
    <w:bookmarkEnd w:id="292"/>
    <w:bookmarkEnd w:id="293"/>
    <w:p w14:paraId="421A8813">
      <w:pPr>
        <w:jc w:val="center"/>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投标单位简介</w:t>
      </w:r>
    </w:p>
    <w:p w14:paraId="779A53D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1A677094">
      <w:pPr>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投标人自行编制</w:t>
      </w:r>
    </w:p>
    <w:p w14:paraId="712B9734">
      <w:pPr>
        <w:ind w:firstLine="482" w:firstLineChars="200"/>
        <w:rPr>
          <w:rFonts w:hint="eastAsia" w:ascii="宋体" w:hAnsi="宋体" w:eastAsia="宋体" w:cs="宋体"/>
          <w:b/>
          <w:color w:val="auto"/>
          <w:sz w:val="24"/>
          <w:szCs w:val="24"/>
          <w:highlight w:val="none"/>
        </w:rPr>
      </w:pPr>
    </w:p>
    <w:p w14:paraId="6039BEC7">
      <w:pPr>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后附：投标人单位相关资质证件</w:t>
      </w:r>
    </w:p>
    <w:p w14:paraId="6F7BCBB4">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3A6D621F">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2D82666A">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3DBCEA45">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1860DF2F">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1DDC92B0">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6F183358">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2EED7B21">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2803DC1B">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774C3A25">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09E84296">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59296FFB">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54C459CC">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6D08112F">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65154DCD">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31D4A7FA">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72803FD3">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54E6D732">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768FE075">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70B07537">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05644592">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5D9CF92E">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6B178DD9">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48E10F03">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0BB6EBE8">
      <w:pPr>
        <w:pStyle w:val="12"/>
        <w:spacing w:line="240" w:lineRule="auto"/>
        <w:ind w:left="0" w:leftChars="0" w:firstLine="0" w:firstLineChars="0"/>
        <w:jc w:val="center"/>
        <w:rPr>
          <w:rFonts w:hint="eastAsia" w:ascii="宋体" w:hAnsi="宋体" w:eastAsia="宋体" w:cs="宋体"/>
          <w:b/>
          <w:color w:val="auto"/>
          <w:sz w:val="32"/>
          <w:szCs w:val="28"/>
          <w:highlight w:val="none"/>
        </w:rPr>
      </w:pPr>
    </w:p>
    <w:p w14:paraId="6860D372">
      <w:pPr>
        <w:pStyle w:val="12"/>
        <w:spacing w:line="240" w:lineRule="auto"/>
        <w:ind w:left="0" w:leftChars="0" w:firstLine="0" w:firstLineChars="0"/>
        <w:jc w:val="center"/>
        <w:rPr>
          <w:rFonts w:hint="eastAsia" w:ascii="宋体" w:hAnsi="宋体" w:eastAsia="宋体" w:cs="宋体"/>
          <w:b/>
          <w:color w:val="auto"/>
          <w:sz w:val="32"/>
          <w:szCs w:val="28"/>
          <w:highlight w:val="none"/>
          <w:lang w:eastAsia="zh-CN"/>
        </w:rPr>
      </w:pPr>
      <w:r>
        <w:rPr>
          <w:rFonts w:hint="eastAsia" w:ascii="宋体" w:hAnsi="宋体" w:eastAsia="宋体" w:cs="宋体"/>
          <w:b/>
          <w:color w:val="auto"/>
          <w:sz w:val="32"/>
          <w:szCs w:val="28"/>
          <w:highlight w:val="none"/>
        </w:rPr>
        <w:t>出具法人营业执照函</w:t>
      </w:r>
    </w:p>
    <w:p w14:paraId="7E4E6D67">
      <w:pPr>
        <w:rPr>
          <w:rFonts w:hint="eastAsia" w:ascii="宋体" w:hAnsi="宋体" w:eastAsia="宋体" w:cs="宋体"/>
          <w:color w:val="auto"/>
          <w:sz w:val="28"/>
          <w:szCs w:val="28"/>
          <w:highlight w:val="none"/>
        </w:rPr>
      </w:pPr>
    </w:p>
    <w:p w14:paraId="69D5437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D92636">
      <w:pPr>
        <w:rPr>
          <w:rFonts w:hint="eastAsia" w:ascii="宋体" w:hAnsi="宋体" w:eastAsia="宋体" w:cs="宋体"/>
          <w:color w:val="auto"/>
          <w:sz w:val="24"/>
          <w:szCs w:val="24"/>
          <w:highlight w:val="none"/>
        </w:rPr>
      </w:pPr>
    </w:p>
    <w:p w14:paraId="7F3199D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（签发机关名称）签发的我方法人营业执照复印件，该执照已经年检，真实有效。</w:t>
      </w:r>
    </w:p>
    <w:p w14:paraId="681E9967">
      <w:pPr>
        <w:ind w:firstLine="852"/>
        <w:rPr>
          <w:rFonts w:hint="eastAsia" w:ascii="宋体" w:hAnsi="宋体" w:eastAsia="宋体" w:cs="宋体"/>
          <w:color w:val="auto"/>
          <w:sz w:val="24"/>
          <w:szCs w:val="24"/>
          <w:highlight w:val="none"/>
        </w:rPr>
      </w:pPr>
    </w:p>
    <w:p w14:paraId="2DD4119C">
      <w:pPr>
        <w:ind w:firstLine="852"/>
        <w:rPr>
          <w:rFonts w:hint="eastAsia" w:ascii="宋体" w:hAnsi="宋体" w:eastAsia="宋体" w:cs="宋体"/>
          <w:color w:val="auto"/>
          <w:sz w:val="24"/>
          <w:szCs w:val="24"/>
          <w:highlight w:val="none"/>
        </w:rPr>
      </w:pPr>
    </w:p>
    <w:p w14:paraId="06C644D6">
      <w:pPr>
        <w:ind w:firstLine="852"/>
        <w:rPr>
          <w:rFonts w:hint="eastAsia" w:ascii="宋体" w:hAnsi="宋体" w:eastAsia="宋体" w:cs="宋体"/>
          <w:color w:val="auto"/>
          <w:sz w:val="24"/>
          <w:szCs w:val="24"/>
          <w:highlight w:val="none"/>
        </w:rPr>
      </w:pPr>
    </w:p>
    <w:p w14:paraId="24ACDEF7">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投标单位名称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EAB361B">
      <w:pPr>
        <w:rPr>
          <w:rFonts w:hint="eastAsia" w:ascii="宋体" w:hAnsi="宋体" w:eastAsia="宋体" w:cs="宋体"/>
          <w:color w:val="auto"/>
          <w:sz w:val="24"/>
          <w:szCs w:val="24"/>
          <w:highlight w:val="none"/>
        </w:rPr>
      </w:pPr>
    </w:p>
    <w:p w14:paraId="1E04D053">
      <w:pPr>
        <w:rPr>
          <w:rFonts w:hint="eastAsia" w:ascii="宋体" w:hAnsi="宋体" w:eastAsia="宋体" w:cs="宋体"/>
          <w:color w:val="auto"/>
          <w:sz w:val="24"/>
          <w:szCs w:val="24"/>
          <w:highlight w:val="none"/>
        </w:rPr>
      </w:pPr>
    </w:p>
    <w:p w14:paraId="27439AC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签字或</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u w:val="single"/>
        </w:rPr>
        <w:t xml:space="preserve">                </w:t>
      </w:r>
    </w:p>
    <w:p w14:paraId="29DDA9EB">
      <w:pPr>
        <w:rPr>
          <w:rFonts w:hint="eastAsia" w:ascii="宋体" w:hAnsi="宋体" w:eastAsia="宋体" w:cs="宋体"/>
          <w:color w:val="auto"/>
          <w:sz w:val="24"/>
          <w:szCs w:val="24"/>
          <w:highlight w:val="none"/>
        </w:rPr>
      </w:pPr>
    </w:p>
    <w:p w14:paraId="7B1FDE90">
      <w:pPr>
        <w:rPr>
          <w:rFonts w:hint="eastAsia" w:ascii="宋体" w:hAnsi="宋体" w:eastAsia="宋体" w:cs="宋体"/>
          <w:color w:val="auto"/>
          <w:sz w:val="24"/>
          <w:szCs w:val="24"/>
          <w:highlight w:val="none"/>
        </w:rPr>
      </w:pPr>
    </w:p>
    <w:p w14:paraId="4CC0E67E">
      <w:pPr>
        <w:ind w:firstLine="3290" w:firstLineChars="1371"/>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EE01EC2">
      <w:pPr>
        <w:jc w:val="right"/>
        <w:rPr>
          <w:rFonts w:hint="eastAsia" w:ascii="宋体" w:hAnsi="宋体" w:eastAsia="宋体" w:cs="宋体"/>
          <w:color w:val="auto"/>
          <w:sz w:val="24"/>
          <w:szCs w:val="24"/>
          <w:highlight w:val="none"/>
        </w:rPr>
      </w:pPr>
    </w:p>
    <w:p w14:paraId="44EB02B2">
      <w:pPr>
        <w:rPr>
          <w:rFonts w:hint="eastAsia" w:ascii="宋体" w:hAnsi="宋体" w:eastAsia="宋体" w:cs="宋体"/>
          <w:color w:val="auto"/>
          <w:sz w:val="24"/>
          <w:szCs w:val="24"/>
          <w:highlight w:val="none"/>
        </w:rPr>
      </w:pPr>
    </w:p>
    <w:p w14:paraId="2A5CD56E">
      <w:pPr>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后附：投标单位三合一营业执照复印件</w:t>
      </w:r>
    </w:p>
    <w:p w14:paraId="48D5B899">
      <w:pPr>
        <w:pStyle w:val="8"/>
        <w:overflowPunct w:val="0"/>
        <w:snapToGrid w:val="0"/>
        <w:spacing w:line="360" w:lineRule="auto"/>
        <w:ind w:firstLine="0"/>
        <w:rPr>
          <w:rFonts w:hint="eastAsia" w:ascii="宋体" w:hAnsi="宋体" w:eastAsia="宋体" w:cs="宋体"/>
          <w:color w:val="auto"/>
          <w:sz w:val="21"/>
          <w:szCs w:val="21"/>
          <w:highlight w:val="none"/>
          <w:lang w:eastAsia="zh-CN"/>
        </w:rPr>
      </w:pPr>
    </w:p>
    <w:p w14:paraId="5CE9CC4A">
      <w:pPr>
        <w:rPr>
          <w:rFonts w:hint="eastAsia" w:ascii="宋体" w:hAnsi="宋体" w:eastAsia="宋体" w:cs="宋体"/>
          <w:color w:val="auto"/>
          <w:sz w:val="24"/>
          <w:szCs w:val="24"/>
          <w:highlight w:val="none"/>
          <w:lang w:eastAsia="zh-CN"/>
        </w:rPr>
      </w:pPr>
    </w:p>
    <w:p w14:paraId="2249A58A">
      <w:pPr>
        <w:pStyle w:val="5"/>
        <w:outlineLvl w:val="9"/>
        <w:rPr>
          <w:rFonts w:hint="eastAsia" w:ascii="宋体" w:hAnsi="宋体" w:eastAsia="宋体" w:cs="宋体"/>
          <w:color w:val="auto"/>
          <w:sz w:val="24"/>
          <w:szCs w:val="24"/>
          <w:highlight w:val="none"/>
          <w:lang w:eastAsia="zh-CN"/>
        </w:rPr>
      </w:pPr>
    </w:p>
    <w:p w14:paraId="469DDAA8">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3BFC702A">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4D8576E8">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5EB50BB3">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5C85034F">
      <w:pPr>
        <w:numPr>
          <w:ilvl w:val="0"/>
          <w:numId w:val="0"/>
        </w:numPr>
        <w:spacing w:line="440" w:lineRule="exact"/>
        <w:jc w:val="both"/>
        <w:rPr>
          <w:rFonts w:hint="eastAsia" w:ascii="宋体" w:hAnsi="宋体" w:eastAsia="宋体" w:cs="宋体"/>
          <w:b/>
          <w:color w:val="auto"/>
          <w:sz w:val="28"/>
          <w:szCs w:val="24"/>
          <w:highlight w:val="none"/>
          <w:lang w:val="en-US" w:eastAsia="zh-CN"/>
        </w:rPr>
      </w:pPr>
    </w:p>
    <w:p w14:paraId="454D1007">
      <w:pPr>
        <w:jc w:val="center"/>
        <w:outlineLvl w:val="2"/>
        <w:rPr>
          <w:rFonts w:hint="eastAsia" w:ascii="宋体" w:hAnsi="宋体" w:eastAsia="宋体" w:cs="宋体"/>
          <w:b/>
          <w:color w:val="auto"/>
          <w:sz w:val="32"/>
          <w:szCs w:val="32"/>
          <w:highlight w:val="none"/>
          <w:lang w:eastAsia="zh-CN"/>
        </w:rPr>
      </w:pPr>
      <w:bookmarkStart w:id="294" w:name="_Toc25844"/>
      <w:bookmarkStart w:id="295" w:name="_Toc1239"/>
      <w:r>
        <w:rPr>
          <w:rFonts w:hint="eastAsia" w:ascii="宋体" w:hAnsi="宋体" w:eastAsia="宋体" w:cs="宋体"/>
          <w:b/>
          <w:color w:val="auto"/>
          <w:sz w:val="32"/>
          <w:szCs w:val="32"/>
          <w:highlight w:val="none"/>
        </w:rPr>
        <w:t>联合体协议书</w:t>
      </w:r>
      <w:bookmarkEnd w:id="294"/>
      <w:bookmarkEnd w:id="295"/>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如是</w:t>
      </w:r>
      <w:r>
        <w:rPr>
          <w:rFonts w:hint="eastAsia" w:ascii="宋体" w:hAnsi="宋体" w:eastAsia="宋体" w:cs="宋体"/>
          <w:b/>
          <w:color w:val="auto"/>
          <w:sz w:val="32"/>
          <w:szCs w:val="32"/>
          <w:highlight w:val="none"/>
          <w:lang w:eastAsia="zh-CN"/>
        </w:rPr>
        <w:t>）</w:t>
      </w:r>
    </w:p>
    <w:p w14:paraId="0B816C49">
      <w:pPr>
        <w:jc w:val="center"/>
        <w:rPr>
          <w:rFonts w:hint="eastAsia" w:ascii="宋体" w:hAnsi="宋体" w:eastAsia="宋体" w:cs="宋体"/>
          <w:color w:val="auto"/>
          <w:sz w:val="24"/>
          <w:szCs w:val="24"/>
          <w:highlight w:val="none"/>
        </w:rPr>
      </w:pPr>
    </w:p>
    <w:p w14:paraId="7547B9C1">
      <w:pPr>
        <w:topLinePunct/>
        <w:spacing w:line="440" w:lineRule="exact"/>
        <w:ind w:left="210" w:leftChars="10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（所有成员单位名称）自愿组成联合体，共同参加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（项目名称）投标。现就联合体投标事宜订立如下协议。</w:t>
      </w:r>
    </w:p>
    <w:p w14:paraId="1B875F09">
      <w:pPr>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（某成员单位名称）为牵头人。</w:t>
      </w:r>
    </w:p>
    <w:p w14:paraId="3F9663D2">
      <w:pPr>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EDE838F">
      <w:pPr>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3、联合体将严格按照招标文件的各项要求，递交投标文件，履行合同，并对外承担连带责任。</w:t>
      </w:r>
    </w:p>
    <w:p w14:paraId="4E065EB8">
      <w:pPr>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406C3F8">
      <w:pPr>
        <w:topLinePunct/>
        <w:spacing w:line="440" w:lineRule="exact"/>
        <w:ind w:firstLine="480" w:firstLineChars="200"/>
        <w:outlineLvl w:val="2"/>
        <w:rPr>
          <w:rFonts w:hint="eastAsia" w:ascii="宋体" w:hAnsi="宋体" w:eastAsia="宋体" w:cs="宋体"/>
          <w:color w:val="auto"/>
          <w:sz w:val="24"/>
          <w:szCs w:val="24"/>
          <w:highlight w:val="none"/>
        </w:rPr>
      </w:pPr>
      <w:bookmarkStart w:id="296" w:name="_Toc14243"/>
      <w:r>
        <w:rPr>
          <w:rFonts w:hint="eastAsia" w:ascii="宋体" w:hAnsi="宋体" w:eastAsia="宋体" w:cs="宋体"/>
          <w:color w:val="auto"/>
          <w:sz w:val="24"/>
          <w:szCs w:val="24"/>
          <w:highlight w:val="none"/>
        </w:rPr>
        <w:t>5、本协议书自签署之日起生效，合同履行完毕后自动失效。</w:t>
      </w:r>
      <w:bookmarkEnd w:id="296"/>
      <w:r>
        <w:rPr>
          <w:rFonts w:hint="eastAsia" w:ascii="宋体" w:hAnsi="宋体" w:eastAsia="宋体" w:cs="宋体"/>
          <w:color w:val="auto"/>
          <w:sz w:val="24"/>
          <w:szCs w:val="24"/>
          <w:highlight w:val="none"/>
        </w:rPr>
        <w:t xml:space="preserve"> </w:t>
      </w:r>
    </w:p>
    <w:p w14:paraId="0F912FC4">
      <w:pPr>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份，联合体成员和招标人各执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59058E0B">
      <w:pPr>
        <w:topLinePunct/>
        <w:spacing w:line="440" w:lineRule="exact"/>
        <w:rPr>
          <w:rFonts w:hint="eastAsia" w:ascii="宋体" w:hAnsi="宋体" w:eastAsia="宋体" w:cs="宋体"/>
          <w:color w:val="auto"/>
          <w:sz w:val="24"/>
          <w:szCs w:val="24"/>
          <w:highlight w:val="none"/>
        </w:rPr>
      </w:pPr>
    </w:p>
    <w:p w14:paraId="030450F2">
      <w:pPr>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注：本协议书由委托代理人签字的，应附法定代表人签字的授权委托书。</w:t>
      </w:r>
    </w:p>
    <w:p w14:paraId="36064213">
      <w:pPr>
        <w:topLinePunct/>
        <w:spacing w:line="440" w:lineRule="exact"/>
        <w:rPr>
          <w:rFonts w:hint="eastAsia" w:ascii="宋体" w:hAnsi="宋体" w:eastAsia="宋体" w:cs="宋体"/>
          <w:color w:val="auto"/>
          <w:sz w:val="24"/>
          <w:szCs w:val="24"/>
          <w:highlight w:val="none"/>
        </w:rPr>
      </w:pPr>
    </w:p>
    <w:p w14:paraId="43DCEA77">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34C3C14">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2C55E432">
      <w:pPr>
        <w:topLinePunct/>
        <w:spacing w:line="440" w:lineRule="exact"/>
        <w:rPr>
          <w:rFonts w:hint="eastAsia" w:ascii="宋体" w:hAnsi="宋体" w:eastAsia="宋体" w:cs="宋体"/>
          <w:color w:val="auto"/>
          <w:sz w:val="24"/>
          <w:szCs w:val="24"/>
          <w:highlight w:val="none"/>
        </w:rPr>
      </w:pPr>
    </w:p>
    <w:p w14:paraId="4B97B8F0">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32D79A57">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157D4D5C">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24DC521">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63502D0B">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643C93D0">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85BF7B5">
      <w:pPr>
        <w:topLinePunct/>
        <w:spacing w:line="440" w:lineRule="exact"/>
        <w:rPr>
          <w:rFonts w:hint="eastAsia" w:ascii="宋体" w:hAnsi="宋体" w:eastAsia="宋体" w:cs="宋体"/>
          <w:color w:val="auto"/>
          <w:sz w:val="24"/>
          <w:szCs w:val="24"/>
          <w:highlight w:val="none"/>
        </w:rPr>
      </w:pPr>
    </w:p>
    <w:p w14:paraId="6E22B465">
      <w:pPr>
        <w:ind w:firstLine="3290" w:firstLineChars="1371"/>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388EF4D">
      <w:pPr>
        <w:jc w:val="left"/>
        <w:rPr>
          <w:rFonts w:hint="eastAsia" w:ascii="宋体" w:hAnsi="宋体" w:eastAsia="宋体" w:cs="宋体"/>
          <w:b/>
          <w:color w:val="auto"/>
          <w:sz w:val="28"/>
          <w:szCs w:val="24"/>
          <w:highlight w:val="none"/>
          <w:lang w:val="en-US" w:eastAsia="zh-CN"/>
        </w:rPr>
      </w:pPr>
      <w:r>
        <w:rPr>
          <w:rFonts w:hint="eastAsia" w:ascii="宋体" w:hAnsi="宋体" w:eastAsia="宋体" w:cs="宋体"/>
          <w:color w:val="auto"/>
          <w:sz w:val="24"/>
          <w:szCs w:val="18"/>
          <w:highlight w:val="none"/>
        </w:rPr>
        <w:br w:type="page"/>
      </w:r>
    </w:p>
    <w:p w14:paraId="57E05CF2">
      <w:pPr>
        <w:rPr>
          <w:rFonts w:hint="eastAsia" w:ascii="宋体" w:hAnsi="宋体" w:eastAsia="宋体" w:cs="宋体"/>
          <w:color w:val="auto"/>
          <w:highlight w:val="none"/>
          <w:lang w:eastAsia="zh-CN"/>
        </w:rPr>
        <w:sectPr>
          <w:footerReference r:id="rId18" w:type="default"/>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477A867D">
      <w:pPr>
        <w:pStyle w:val="12"/>
        <w:spacing w:line="240" w:lineRule="auto"/>
        <w:ind w:left="0" w:leftChars="0" w:firstLine="0" w:firstLineChars="0"/>
        <w:jc w:val="center"/>
        <w:rPr>
          <w:rFonts w:hint="eastAsia" w:ascii="宋体" w:hAnsi="宋体" w:eastAsia="宋体" w:cs="宋体"/>
          <w:b/>
          <w:color w:val="auto"/>
          <w:szCs w:val="28"/>
          <w:highlight w:val="none"/>
          <w:lang w:val="en-US" w:eastAsia="zh-CN"/>
        </w:rPr>
      </w:pPr>
      <w:r>
        <w:rPr>
          <w:rFonts w:hint="eastAsia" w:ascii="宋体" w:hAnsi="宋体" w:eastAsia="宋体" w:cs="宋体"/>
          <w:b/>
          <w:color w:val="auto"/>
          <w:sz w:val="32"/>
          <w:szCs w:val="28"/>
          <w:highlight w:val="none"/>
        </w:rPr>
        <w:t>法定代表人身份证</w:t>
      </w:r>
      <w:r>
        <w:rPr>
          <w:rFonts w:hint="eastAsia" w:ascii="宋体" w:hAnsi="宋体" w:eastAsia="宋体" w:cs="宋体"/>
          <w:b/>
          <w:color w:val="auto"/>
          <w:sz w:val="32"/>
          <w:szCs w:val="28"/>
          <w:highlight w:val="none"/>
          <w:lang w:val="en-US" w:eastAsia="zh-CN"/>
        </w:rPr>
        <w:t>明</w:t>
      </w:r>
    </w:p>
    <w:p w14:paraId="11DB88B7">
      <w:pPr>
        <w:autoSpaceDE w:val="0"/>
        <w:autoSpaceDN w:val="0"/>
        <w:adjustRightInd w:val="0"/>
        <w:ind w:left="120" w:hanging="120"/>
        <w:rPr>
          <w:rFonts w:hint="eastAsia" w:ascii="宋体" w:hAnsi="宋体" w:eastAsia="宋体" w:cs="宋体"/>
          <w:color w:val="auto"/>
          <w:sz w:val="24"/>
          <w:highlight w:val="none"/>
          <w:lang w:val="zh-CN"/>
        </w:rPr>
      </w:pPr>
    </w:p>
    <w:p w14:paraId="2ED3F50F">
      <w:pPr>
        <w:spacing w:line="460" w:lineRule="exact"/>
        <w:ind w:left="120" w:hanging="12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713090F2">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33995BC">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1C22BCCB">
      <w:pPr>
        <w:spacing w:line="460" w:lineRule="exact"/>
        <w:ind w:left="120" w:hanging="1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系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2D855873">
      <w:pPr>
        <w:spacing w:line="460" w:lineRule="exact"/>
        <w:ind w:left="120" w:hanging="120"/>
        <w:rPr>
          <w:rFonts w:hint="eastAsia" w:ascii="宋体" w:hAnsi="宋体" w:eastAsia="宋体" w:cs="宋体"/>
          <w:color w:val="auto"/>
          <w:sz w:val="24"/>
          <w:highlight w:val="none"/>
        </w:rPr>
      </w:pPr>
    </w:p>
    <w:p w14:paraId="41298ED3">
      <w:pPr>
        <w:autoSpaceDE w:val="0"/>
        <w:autoSpaceDN w:val="0"/>
        <w:adjustRightInd w:val="0"/>
        <w:spacing w:line="320" w:lineRule="exact"/>
        <w:ind w:left="0" w:leftChars="0" w:firstLine="0" w:firstLineChars="0"/>
        <w:rPr>
          <w:rFonts w:hint="eastAsia" w:ascii="宋体" w:hAnsi="宋体" w:eastAsia="宋体" w:cs="宋体"/>
          <w:color w:val="auto"/>
          <w:sz w:val="24"/>
          <w:highlight w:val="none"/>
          <w:lang w:val="zh-CN"/>
        </w:rPr>
      </w:pPr>
    </w:p>
    <w:p w14:paraId="4374E98C">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116D52A9">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477FB14B">
      <w:pPr>
        <w:autoSpaceDE w:val="0"/>
        <w:autoSpaceDN w:val="0"/>
        <w:adjustRightInd w:val="0"/>
        <w:spacing w:line="320" w:lineRule="exact"/>
        <w:ind w:left="120" w:hanging="120"/>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2790825</wp:posOffset>
                </wp:positionH>
                <wp:positionV relativeFrom="paragraph">
                  <wp:posOffset>145415</wp:posOffset>
                </wp:positionV>
                <wp:extent cx="2472690" cy="1263650"/>
                <wp:effectExtent l="4445" t="4445" r="6985" b="12065"/>
                <wp:wrapNone/>
                <wp:docPr id="24" name="文本框 2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702EB05B">
                            <w:pPr>
                              <w:ind w:left="140" w:hanging="140"/>
                              <w:jc w:val="center"/>
                              <w:rPr>
                                <w:sz w:val="28"/>
                                <w:szCs w:val="28"/>
                              </w:rPr>
                            </w:pPr>
                            <w:r>
                              <w:rPr>
                                <w:rFonts w:hint="eastAsia"/>
                                <w:sz w:val="28"/>
                                <w:szCs w:val="28"/>
                              </w:rPr>
                              <w:t>法人身份证复印件背面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19.75pt;margin-top:11.45pt;height:99.5pt;width:194.7pt;z-index:251664384;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ByrmjZAAAACgEAAA8AAAAAAAAAAQAgAAAAIgAAAGRycy9kb3ducmV2&#10;LnhtbFBLAQIUABQAAAAIAIdO4kBasME0NAIAAHoEAAAOAAAAAAAAAAEAIAAAACgBAABkcnMvZTJv&#10;RG9jLnhtbFBLBQYAAAAABgAGAFkBAADOBQAAAAA=&#10;">
                <v:fill on="t" focussize="0,0"/>
                <v:stroke color="#000000" joinstyle="miter" dashstyle="1 1" endcap="round"/>
                <v:imagedata o:title=""/>
                <o:lock v:ext="edit" aspectratio="f"/>
                <v:textbox>
                  <w:txbxContent>
                    <w:p w14:paraId="702EB05B">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156210</wp:posOffset>
                </wp:positionV>
                <wp:extent cx="2472690" cy="1263650"/>
                <wp:effectExtent l="4445" t="4445" r="6985" b="12065"/>
                <wp:wrapNone/>
                <wp:docPr id="25" name="文本框 2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56CE555B">
                            <w:pPr>
                              <w:ind w:left="140" w:hanging="140"/>
                              <w:jc w:val="center"/>
                              <w:rPr>
                                <w:sz w:val="28"/>
                                <w:szCs w:val="28"/>
                              </w:rPr>
                            </w:pPr>
                            <w:r>
                              <w:rPr>
                                <w:rFonts w:hint="eastAsia"/>
                                <w:sz w:val="28"/>
                                <w:szCs w:val="28"/>
                              </w:rPr>
                              <w:t>法人身份证复印件正面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3.75pt;margin-top:12.3pt;height:99.5pt;width:194.7pt;z-index:251663360;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qR5xdoAAAAJAQAADwAAAAAAAAABACAAAAAiAAAAZHJzL2Rvd25yZXYu&#10;eG1sUEsBAhQAFAAAAAgAh07iQIhGdooyAgAAegQAAA4AAAAAAAAAAQAgAAAAKQEAAGRycy9lMm9E&#10;b2MueG1sUEsFBgAAAAAGAAYAWQEAAM0FAAAAAA==&#10;">
                <v:fill on="t" focussize="0,0"/>
                <v:stroke color="#000000" joinstyle="miter" dashstyle="1 1" endcap="round"/>
                <v:imagedata o:title=""/>
                <o:lock v:ext="edit" aspectratio="f"/>
                <v:textbox>
                  <w:txbxContent>
                    <w:p w14:paraId="56CE555B">
                      <w:pPr>
                        <w:ind w:left="140" w:hanging="140"/>
                        <w:jc w:val="center"/>
                        <w:rPr>
                          <w:sz w:val="28"/>
                          <w:szCs w:val="28"/>
                        </w:rPr>
                      </w:pPr>
                      <w:r>
                        <w:rPr>
                          <w:rFonts w:hint="eastAsia"/>
                          <w:sz w:val="28"/>
                          <w:szCs w:val="28"/>
                        </w:rPr>
                        <w:t>法人身份证复印件正面</w:t>
                      </w:r>
                    </w:p>
                  </w:txbxContent>
                </v:textbox>
              </v:shape>
            </w:pict>
          </mc:Fallback>
        </mc:AlternateContent>
      </w:r>
    </w:p>
    <w:p w14:paraId="100A2025">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60A46CC4">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737D6DF0">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7E2899E0">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04DBBF09">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1C0E7BA7">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3D4BC1D5">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2BE8E4D6">
      <w:pPr>
        <w:autoSpaceDE w:val="0"/>
        <w:autoSpaceDN w:val="0"/>
        <w:adjustRightInd w:val="0"/>
        <w:spacing w:line="320" w:lineRule="exact"/>
        <w:ind w:left="0" w:leftChars="0" w:firstLine="0" w:firstLineChars="0"/>
        <w:rPr>
          <w:rFonts w:hint="eastAsia" w:ascii="宋体" w:hAnsi="宋体" w:eastAsia="宋体" w:cs="宋体"/>
          <w:color w:val="auto"/>
          <w:sz w:val="24"/>
          <w:highlight w:val="none"/>
          <w:lang w:val="zh-CN"/>
        </w:rPr>
      </w:pPr>
    </w:p>
    <w:p w14:paraId="250AE79B">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7E3E4015">
      <w:pPr>
        <w:autoSpaceDE w:val="0"/>
        <w:autoSpaceDN w:val="0"/>
        <w:adjustRightInd w:val="0"/>
        <w:spacing w:line="320" w:lineRule="exact"/>
        <w:ind w:left="120" w:hanging="120"/>
        <w:rPr>
          <w:rFonts w:hint="eastAsia" w:ascii="宋体" w:hAnsi="宋体" w:eastAsia="宋体" w:cs="宋体"/>
          <w:color w:val="auto"/>
          <w:sz w:val="24"/>
          <w:highlight w:val="none"/>
          <w:lang w:val="zh-CN"/>
        </w:rPr>
      </w:pPr>
    </w:p>
    <w:p w14:paraId="7A742855">
      <w:pPr>
        <w:pStyle w:val="4"/>
        <w:outlineLvl w:val="9"/>
        <w:rPr>
          <w:rFonts w:hint="eastAsia" w:ascii="宋体" w:hAnsi="宋体" w:eastAsia="宋体" w:cs="宋体"/>
          <w:color w:val="auto"/>
          <w:sz w:val="24"/>
          <w:highlight w:val="none"/>
          <w:lang w:val="zh-CN"/>
        </w:rPr>
      </w:pPr>
    </w:p>
    <w:p w14:paraId="55103DC2">
      <w:pPr>
        <w:rPr>
          <w:rFonts w:hint="eastAsia" w:ascii="宋体" w:hAnsi="宋体" w:eastAsia="宋体" w:cs="宋体"/>
          <w:color w:val="auto"/>
          <w:highlight w:val="none"/>
          <w:lang w:val="zh-CN"/>
        </w:rPr>
      </w:pPr>
    </w:p>
    <w:p w14:paraId="190B870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投标单位名称：公章）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31AA88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签字或</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u w:val="single"/>
        </w:rPr>
        <w:t xml:space="preserve">                </w:t>
      </w:r>
    </w:p>
    <w:p w14:paraId="606C9853">
      <w:pPr>
        <w:pStyle w:val="29"/>
        <w:rPr>
          <w:rFonts w:hint="eastAsia" w:ascii="宋体" w:hAnsi="宋体" w:eastAsia="宋体" w:cs="宋体"/>
          <w:color w:val="auto"/>
          <w:highlight w:val="none"/>
        </w:rPr>
      </w:pPr>
    </w:p>
    <w:p w14:paraId="0AA7895B">
      <w:pPr>
        <w:autoSpaceDE w:val="0"/>
        <w:autoSpaceDN w:val="0"/>
        <w:adjustRightInd w:val="0"/>
        <w:spacing w:line="320" w:lineRule="exact"/>
        <w:ind w:left="120" w:hanging="120"/>
        <w:rPr>
          <w:rFonts w:hint="eastAsia" w:ascii="宋体" w:hAnsi="宋体" w:eastAsia="宋体" w:cs="宋体"/>
          <w:b/>
          <w:bCs/>
          <w:color w:val="auto"/>
          <w:sz w:val="24"/>
          <w:highlight w:val="none"/>
          <w:lang w:val="zh-CN"/>
        </w:rPr>
      </w:pPr>
    </w:p>
    <w:p w14:paraId="003BE35D">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14:paraId="1DA5D432">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14:paraId="27921AAC">
      <w:pPr>
        <w:autoSpaceDE w:val="0"/>
        <w:autoSpaceDN w:val="0"/>
        <w:adjustRightInd w:val="0"/>
        <w:spacing w:line="320" w:lineRule="exact"/>
        <w:ind w:left="120" w:hanging="120"/>
        <w:jc w:val="center"/>
        <w:outlineLvl w:val="9"/>
        <w:rPr>
          <w:rFonts w:hint="eastAsia" w:ascii="宋体" w:hAnsi="宋体" w:eastAsia="宋体" w:cs="宋体"/>
          <w:color w:val="auto"/>
          <w:sz w:val="24"/>
          <w:highlight w:val="none"/>
          <w:lang w:val="zh-CN"/>
        </w:rPr>
      </w:pPr>
    </w:p>
    <w:p w14:paraId="6DAAE4A2">
      <w:pPr>
        <w:autoSpaceDE w:val="0"/>
        <w:autoSpaceDN w:val="0"/>
        <w:adjustRightInd w:val="0"/>
        <w:spacing w:line="320" w:lineRule="exact"/>
        <w:ind w:left="120" w:hanging="120"/>
        <w:jc w:val="right"/>
        <w:outlineLvl w:val="0"/>
        <w:rPr>
          <w:rFonts w:hint="eastAsia" w:ascii="宋体" w:hAnsi="宋体" w:eastAsia="宋体" w:cs="宋体"/>
          <w:color w:val="auto"/>
          <w:sz w:val="24"/>
          <w:highlight w:val="none"/>
          <w:lang w:val="zh-CN"/>
        </w:rPr>
      </w:pPr>
      <w:bookmarkStart w:id="297" w:name="_Toc18606"/>
      <w:bookmarkStart w:id="298" w:name="_Toc7513"/>
      <w:bookmarkStart w:id="299" w:name="_Toc9354"/>
      <w:r>
        <w:rPr>
          <w:rFonts w:hint="eastAsia" w:ascii="宋体" w:hAnsi="宋体" w:eastAsia="宋体" w:cs="宋体"/>
          <w:color w:val="auto"/>
          <w:sz w:val="24"/>
          <w:highlight w:val="none"/>
          <w:lang w:val="zh-CN"/>
        </w:rPr>
        <w:t>日期：</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bookmarkEnd w:id="297"/>
      <w:bookmarkEnd w:id="298"/>
      <w:bookmarkEnd w:id="299"/>
    </w:p>
    <w:p w14:paraId="5E0B4794">
      <w:pPr>
        <w:pStyle w:val="8"/>
        <w:overflowPunct w:val="0"/>
        <w:snapToGrid w:val="0"/>
        <w:spacing w:line="360" w:lineRule="auto"/>
        <w:ind w:firstLine="0"/>
        <w:rPr>
          <w:rFonts w:hint="eastAsia" w:ascii="宋体" w:hAnsi="宋体" w:eastAsia="宋体" w:cs="宋体"/>
          <w:color w:val="auto"/>
          <w:sz w:val="24"/>
          <w:szCs w:val="24"/>
          <w:highlight w:val="none"/>
          <w:lang w:eastAsia="zh-CN"/>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6153BB73">
      <w:pPr>
        <w:rPr>
          <w:rFonts w:hint="eastAsia" w:ascii="宋体" w:hAnsi="宋体" w:eastAsia="宋体" w:cs="宋体"/>
          <w:b/>
          <w:color w:val="auto"/>
          <w:sz w:val="28"/>
          <w:szCs w:val="24"/>
          <w:highlight w:val="none"/>
          <w:lang w:val="en-US" w:eastAsia="zh-CN"/>
        </w:rPr>
      </w:pPr>
      <w:r>
        <w:rPr>
          <w:rFonts w:hint="eastAsia" w:ascii="宋体" w:hAnsi="宋体" w:eastAsia="宋体" w:cs="宋体"/>
          <w:b/>
          <w:color w:val="auto"/>
          <w:sz w:val="28"/>
          <w:szCs w:val="24"/>
          <w:highlight w:val="none"/>
          <w:lang w:val="en-US" w:eastAsia="zh-CN"/>
        </w:rPr>
        <w:br w:type="page"/>
      </w:r>
    </w:p>
    <w:p w14:paraId="10412358">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32"/>
          <w:szCs w:val="28"/>
          <w:highlight w:val="none"/>
        </w:rPr>
        <w:t>法定代表人授权委托书</w:t>
      </w:r>
    </w:p>
    <w:p w14:paraId="7417F491">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 xml:space="preserve"> （投标人地址）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在下面签名的</w:t>
      </w:r>
      <w:r>
        <w:rPr>
          <w:rFonts w:hint="eastAsia" w:ascii="宋体" w:hAnsi="宋体" w:eastAsia="宋体" w:cs="宋体"/>
          <w:color w:val="auto"/>
          <w:sz w:val="24"/>
          <w:szCs w:val="24"/>
          <w:highlight w:val="none"/>
          <w:u w:val="single"/>
        </w:rPr>
        <w:t>（法定代表人姓名、职务）</w:t>
      </w:r>
      <w:r>
        <w:rPr>
          <w:rFonts w:hint="eastAsia" w:ascii="宋体" w:hAnsi="宋体" w:eastAsia="宋体" w:cs="宋体"/>
          <w:color w:val="auto"/>
          <w:sz w:val="24"/>
          <w:szCs w:val="24"/>
          <w:highlight w:val="none"/>
        </w:rPr>
        <w:t>在此授权</w:t>
      </w:r>
      <w:r>
        <w:rPr>
          <w:rFonts w:hint="eastAsia" w:ascii="宋体" w:hAnsi="宋体" w:eastAsia="宋体" w:cs="宋体"/>
          <w:color w:val="auto"/>
          <w:sz w:val="24"/>
          <w:szCs w:val="24"/>
          <w:highlight w:val="none"/>
          <w:u w:val="single"/>
        </w:rPr>
        <w:t>（被授权人姓名、职务）</w:t>
      </w:r>
      <w:r>
        <w:rPr>
          <w:rFonts w:hint="eastAsia" w:ascii="宋体" w:hAnsi="宋体" w:eastAsia="宋体" w:cs="宋体"/>
          <w:color w:val="auto"/>
          <w:sz w:val="24"/>
          <w:szCs w:val="24"/>
          <w:highlight w:val="none"/>
        </w:rPr>
        <w:t>作为我公司的合法代理人，就</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）的招投标活动，</w:t>
      </w:r>
      <w:r>
        <w:rPr>
          <w:rFonts w:hint="eastAsia" w:ascii="宋体" w:hAnsi="宋体" w:eastAsia="宋体" w:cs="宋体"/>
          <w:color w:val="auto"/>
          <w:sz w:val="24"/>
          <w:szCs w:val="24"/>
          <w:highlight w:val="none"/>
          <w:lang w:eastAsia="zh-CN"/>
        </w:rPr>
        <w:t>设计</w:t>
      </w:r>
      <w:r>
        <w:rPr>
          <w:rFonts w:hint="eastAsia" w:ascii="宋体" w:hAnsi="宋体" w:eastAsia="宋体" w:cs="宋体"/>
          <w:color w:val="auto"/>
          <w:sz w:val="24"/>
          <w:szCs w:val="24"/>
          <w:highlight w:val="none"/>
        </w:rPr>
        <w:t>合同的签订、执行、完成和售后服务，作为投标人代表以我方的名义处理一切与之有关的事务。</w:t>
      </w:r>
    </w:p>
    <w:p w14:paraId="19B8B361">
      <w:pPr>
        <w:pStyle w:val="14"/>
        <w:spacing w:line="360" w:lineRule="auto"/>
        <w:ind w:firstLine="480" w:firstLineChars="200"/>
        <w:rPr>
          <w:rFonts w:hint="eastAsia" w:ascii="宋体" w:hAnsi="宋体" w:eastAsia="宋体" w:cs="宋体"/>
          <w:color w:val="auto"/>
          <w:sz w:val="24"/>
          <w:szCs w:val="24"/>
          <w:highlight w:val="none"/>
        </w:rPr>
      </w:pPr>
    </w:p>
    <w:p w14:paraId="38C3778F">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被授权人（投标人授权代表）无转委托权限。</w:t>
      </w:r>
    </w:p>
    <w:p w14:paraId="7B49A0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本授权书自法定代表人签字（盖个人名章）之日起生效，特此声明。</w:t>
      </w:r>
    </w:p>
    <w:p w14:paraId="4230422D">
      <w:pPr>
        <w:rPr>
          <w:rFonts w:hint="eastAsia" w:ascii="宋体" w:hAnsi="宋体" w:eastAsia="宋体" w:cs="宋体"/>
          <w:color w:val="auto"/>
          <w:sz w:val="24"/>
          <w:szCs w:val="24"/>
          <w:highlight w:val="none"/>
        </w:rPr>
      </w:pPr>
    </w:p>
    <w:p w14:paraId="691A7E7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14:paraId="2052F7B1">
      <w:pPr>
        <w:pStyle w:val="10"/>
        <w:rPr>
          <w:rFonts w:hint="eastAsia" w:ascii="宋体" w:hAnsi="宋体" w:eastAsia="宋体" w:cs="宋体"/>
          <w:color w:val="auto"/>
          <w:highlight w:val="none"/>
        </w:rPr>
      </w:pPr>
    </w:p>
    <w:p w14:paraId="5D8FF039">
      <w:pPr>
        <w:rPr>
          <w:rFonts w:hint="eastAsia" w:ascii="宋体" w:hAnsi="宋体" w:eastAsia="宋体" w:cs="宋体"/>
          <w:color w:val="auto"/>
          <w:sz w:val="28"/>
          <w:szCs w:val="28"/>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0288" behindDoc="0" locked="0" layoutInCell="1" allowOverlap="1">
                <wp:simplePos x="0" y="0"/>
                <wp:positionH relativeFrom="column">
                  <wp:posOffset>2816225</wp:posOffset>
                </wp:positionH>
                <wp:positionV relativeFrom="paragraph">
                  <wp:posOffset>62230</wp:posOffset>
                </wp:positionV>
                <wp:extent cx="1991360" cy="1219835"/>
                <wp:effectExtent l="7620" t="7620" r="12700" b="22225"/>
                <wp:wrapNone/>
                <wp:docPr id="3" name="文本框 3"/>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14:paraId="3ACA3352">
                            <w:pPr>
                              <w:rPr>
                                <w:rFonts w:hint="eastAsia"/>
                              </w:rPr>
                            </w:pPr>
                            <w:r>
                              <w:rPr>
                                <w:rFonts w:hint="eastAsia"/>
                              </w:rPr>
                              <w:t>被授权人身份证复印件正面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4.9pt;height:96.05pt;width:156.8pt;z-index:251660288;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SkcHdYAAAAJAQAADwAAAAAAAAABACAAAAAiAAAAZHJzL2Rvd25yZXYueG1sUEsBAhQAFAAA&#10;AAgAh07iQFZgQzUqAgAAUAQAAA4AAAAAAAAAAQAgAAAAJQEAAGRycy9lMm9Eb2MueG1sUEsFBgAA&#10;AAAGAAYAWQEAAMEFAAAAAA==&#10;">
                <v:fill on="f" focussize="0,0"/>
                <v:stroke weight="1.25pt" color="#000000" joinstyle="miter"/>
                <v:imagedata o:title=""/>
                <o:lock v:ext="edit" aspectratio="f"/>
                <v:textbox>
                  <w:txbxContent>
                    <w:p w14:paraId="3ACA3352">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62230</wp:posOffset>
                </wp:positionV>
                <wp:extent cx="2023745" cy="1219835"/>
                <wp:effectExtent l="7620" t="7620" r="10795" b="22225"/>
                <wp:wrapNone/>
                <wp:docPr id="19" name="文本框 19"/>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14:paraId="601961A2">
                            <w:pPr>
                              <w:rPr>
                                <w:rFonts w:hint="eastAsia"/>
                              </w:rPr>
                            </w:pPr>
                            <w:r>
                              <w:rPr>
                                <w:rFonts w:hint="eastAsia"/>
                              </w:rPr>
                              <w:t>法定代表人身份证复印件正面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4.9pt;height:96.05pt;width:159.35pt;z-index:251659264;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U36i1AAAAAgBAAAPAAAAAAAAAAEAIAAAACIAAABkcnMvZG93bnJldi54bWxQSwECFAAUAAAA&#10;CACHTuJAZ1/47isCAABSBAAADgAAAAAAAAABACAAAAAjAQAAZHJzL2Uyb0RvYy54bWxQSwUGAAAA&#10;AAYABgBZAQAAwAUAAAAA&#10;">
                <v:fill on="f" focussize="0,0"/>
                <v:stroke weight="1.25pt" color="#000000" joinstyle="miter"/>
                <v:imagedata o:title=""/>
                <o:lock v:ext="edit" aspectratio="f"/>
                <v:textbox>
                  <w:txbxContent>
                    <w:p w14:paraId="601961A2">
                      <w:pPr>
                        <w:rPr>
                          <w:rFonts w:hint="eastAsia"/>
                        </w:rPr>
                      </w:pPr>
                      <w:r>
                        <w:rPr>
                          <w:rFonts w:hint="eastAsia"/>
                        </w:rPr>
                        <w:t>法定代表人身份证复印件正面</w:t>
                      </w:r>
                    </w:p>
                  </w:txbxContent>
                </v:textbox>
              </v:shape>
            </w:pict>
          </mc:Fallback>
        </mc:AlternateContent>
      </w:r>
    </w:p>
    <w:p w14:paraId="552A0F5F">
      <w:pPr>
        <w:rPr>
          <w:rFonts w:hint="eastAsia" w:ascii="宋体" w:hAnsi="宋体" w:eastAsia="宋体" w:cs="宋体"/>
          <w:color w:val="auto"/>
          <w:sz w:val="28"/>
          <w:szCs w:val="28"/>
          <w:highlight w:val="none"/>
        </w:rPr>
      </w:pPr>
    </w:p>
    <w:p w14:paraId="316BB800">
      <w:pPr>
        <w:rPr>
          <w:rFonts w:hint="eastAsia" w:ascii="宋体" w:hAnsi="宋体" w:eastAsia="宋体" w:cs="宋体"/>
          <w:color w:val="auto"/>
          <w:sz w:val="28"/>
          <w:szCs w:val="28"/>
          <w:highlight w:val="none"/>
        </w:rPr>
      </w:pPr>
    </w:p>
    <w:p w14:paraId="5EA9E791">
      <w:pPr>
        <w:rPr>
          <w:rFonts w:hint="eastAsia" w:ascii="宋体" w:hAnsi="宋体" w:eastAsia="宋体" w:cs="宋体"/>
          <w:color w:val="auto"/>
          <w:sz w:val="28"/>
          <w:szCs w:val="28"/>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2336" behindDoc="0" locked="0" layoutInCell="1" allowOverlap="1">
                <wp:simplePos x="0" y="0"/>
                <wp:positionH relativeFrom="column">
                  <wp:posOffset>2816225</wp:posOffset>
                </wp:positionH>
                <wp:positionV relativeFrom="paragraph">
                  <wp:posOffset>154940</wp:posOffset>
                </wp:positionV>
                <wp:extent cx="1990725" cy="1219835"/>
                <wp:effectExtent l="7620" t="7620" r="13335" b="22225"/>
                <wp:wrapNone/>
                <wp:docPr id="20" name="文本框 2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14:paraId="1813D1E2">
                            <w:pPr>
                              <w:rPr>
                                <w:rFonts w:hint="eastAsia"/>
                              </w:rPr>
                            </w:pPr>
                            <w:r>
                              <w:rPr>
                                <w:rFonts w:hint="eastAsia"/>
                              </w:rPr>
                              <w:t>被授权人身份证复印件背面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12.2pt;height:96.05pt;width:156.75pt;z-index:251662336;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dyPdYAAAAKAQAADwAAAAAAAAABACAAAAAiAAAAZHJzL2Rvd25yZXYueG1sUEsBAhQAFAAA&#10;AAgAh07iQJWNtRwqAgAAUgQAAA4AAAAAAAAAAQAgAAAAJQEAAGRycy9lMm9Eb2MueG1sUEsFBgAA&#10;AAAGAAYAWQEAAMEFAAAAAA==&#10;">
                <v:fill on="f" focussize="0,0"/>
                <v:stroke weight="1.25pt" color="#000000" joinstyle="miter"/>
                <v:imagedata o:title=""/>
                <o:lock v:ext="edit" aspectratio="f"/>
                <v:textbox>
                  <w:txbxContent>
                    <w:p w14:paraId="1813D1E2">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61312" behindDoc="0" locked="0" layoutInCell="1" allowOverlap="1">
                <wp:simplePos x="0" y="0"/>
                <wp:positionH relativeFrom="column">
                  <wp:posOffset>95885</wp:posOffset>
                </wp:positionH>
                <wp:positionV relativeFrom="paragraph">
                  <wp:posOffset>154940</wp:posOffset>
                </wp:positionV>
                <wp:extent cx="1990725" cy="1219835"/>
                <wp:effectExtent l="7620" t="7620" r="13335" b="2222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14:paraId="4DE88970">
                            <w:pPr>
                              <w:rPr>
                                <w:rFonts w:hint="eastAsia"/>
                              </w:rPr>
                            </w:pPr>
                            <w:r>
                              <w:rPr>
                                <w:rFonts w:hint="eastAsia"/>
                              </w:rPr>
                              <w:t>法定代表人身份证复印件背面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12.2pt;height:96.05pt;width:156.75pt;z-index:251661312;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ewhYdUAAAAJAQAADwAAAAAAAAABACAAAAAiAAAAZHJzL2Rvd25yZXYueG1sUEsBAhQAFAAA&#10;AAgAh07iQHLcNMQrAgAAUgQAAA4AAAAAAAAAAQAgAAAAJAEAAGRycy9lMm9Eb2MueG1sUEsFBgAA&#10;AAAGAAYAWQEAAMEFAAAAAA==&#10;">
                <v:fill on="f" focussize="0,0"/>
                <v:stroke weight="1.25pt" color="#000000" joinstyle="miter"/>
                <v:imagedata o:title=""/>
                <o:lock v:ext="edit" aspectratio="f"/>
                <v:textbox>
                  <w:txbxContent>
                    <w:p w14:paraId="4DE88970">
                      <w:pPr>
                        <w:rPr>
                          <w:rFonts w:hint="eastAsia"/>
                        </w:rPr>
                      </w:pPr>
                      <w:r>
                        <w:rPr>
                          <w:rFonts w:hint="eastAsia"/>
                        </w:rPr>
                        <w:t>法定代表人身份证复印件背面</w:t>
                      </w:r>
                    </w:p>
                  </w:txbxContent>
                </v:textbox>
              </v:shape>
            </w:pict>
          </mc:Fallback>
        </mc:AlternateContent>
      </w:r>
    </w:p>
    <w:p w14:paraId="54B5AC7E">
      <w:pPr>
        <w:rPr>
          <w:rFonts w:hint="eastAsia" w:ascii="宋体" w:hAnsi="宋体" w:eastAsia="宋体" w:cs="宋体"/>
          <w:color w:val="auto"/>
          <w:sz w:val="28"/>
          <w:szCs w:val="28"/>
          <w:highlight w:val="none"/>
        </w:rPr>
      </w:pPr>
    </w:p>
    <w:p w14:paraId="367C95D0">
      <w:pPr>
        <w:jc w:val="center"/>
        <w:rPr>
          <w:rFonts w:hint="eastAsia" w:ascii="宋体" w:hAnsi="宋体" w:eastAsia="宋体" w:cs="宋体"/>
          <w:b/>
          <w:color w:val="auto"/>
          <w:sz w:val="28"/>
          <w:szCs w:val="28"/>
          <w:highlight w:val="none"/>
        </w:rPr>
      </w:pPr>
    </w:p>
    <w:p w14:paraId="5032D914">
      <w:pPr>
        <w:jc w:val="center"/>
        <w:rPr>
          <w:rFonts w:hint="eastAsia" w:ascii="宋体" w:hAnsi="宋体" w:eastAsia="宋体" w:cs="宋体"/>
          <w:b/>
          <w:color w:val="auto"/>
          <w:sz w:val="28"/>
          <w:szCs w:val="28"/>
          <w:highlight w:val="none"/>
        </w:rPr>
      </w:pPr>
    </w:p>
    <w:p w14:paraId="6657CA18">
      <w:pPr>
        <w:spacing w:line="360" w:lineRule="auto"/>
        <w:rPr>
          <w:rFonts w:hint="eastAsia" w:ascii="宋体" w:hAnsi="宋体" w:eastAsia="宋体" w:cs="宋体"/>
          <w:color w:val="auto"/>
          <w:sz w:val="24"/>
          <w:szCs w:val="28"/>
          <w:highlight w:val="none"/>
        </w:rPr>
      </w:pPr>
    </w:p>
    <w:p w14:paraId="21D68693">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31541308">
      <w:pPr>
        <w:spacing w:line="360" w:lineRule="auto"/>
        <w:rPr>
          <w:rFonts w:hint="eastAsia" w:ascii="宋体" w:hAnsi="宋体" w:eastAsia="宋体" w:cs="宋体"/>
          <w:color w:val="auto"/>
          <w:sz w:val="24"/>
          <w:szCs w:val="28"/>
          <w:highlight w:val="none"/>
        </w:rPr>
      </w:pPr>
    </w:p>
    <w:p w14:paraId="387077E1">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054B24AF">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DB1816C">
      <w:pPr>
        <w:rPr>
          <w:rFonts w:hint="eastAsia" w:ascii="宋体" w:hAnsi="宋体" w:eastAsia="宋体" w:cs="宋体"/>
          <w:color w:val="auto"/>
          <w:highlight w:val="none"/>
          <w:lang w:val="en-US" w:eastAsia="zh-CN"/>
        </w:rPr>
      </w:pPr>
    </w:p>
    <w:p w14:paraId="79AF0812">
      <w:pPr>
        <w:pStyle w:val="12"/>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法定代表人参加的需提供法定代表人证明书，委托代理人参加的需提供法定代表人授权委托书</w:t>
      </w:r>
    </w:p>
    <w:p w14:paraId="64C2F44A">
      <w:pPr>
        <w:pStyle w:val="12"/>
        <w:spacing w:line="240" w:lineRule="auto"/>
        <w:ind w:left="0" w:leftChars="0" w:firstLine="0" w:firstLineChars="0"/>
        <w:jc w:val="center"/>
        <w:rPr>
          <w:rFonts w:hint="eastAsia" w:ascii="宋体" w:hAnsi="宋体" w:eastAsia="宋体" w:cs="宋体"/>
          <w:b/>
          <w:bCs w:val="0"/>
          <w:color w:val="auto"/>
          <w:sz w:val="28"/>
          <w:szCs w:val="24"/>
          <w:highlight w:val="none"/>
          <w:lang w:val="en-US" w:eastAsia="zh-CN"/>
        </w:rPr>
      </w:pPr>
    </w:p>
    <w:p w14:paraId="611512E2">
      <w:pPr>
        <w:pStyle w:val="12"/>
        <w:spacing w:line="240" w:lineRule="auto"/>
        <w:ind w:left="0" w:leftChars="0" w:firstLine="0" w:firstLineChars="0"/>
        <w:jc w:val="center"/>
        <w:rPr>
          <w:rFonts w:hint="eastAsia" w:ascii="宋体" w:hAnsi="宋体" w:eastAsia="宋体" w:cs="宋体"/>
          <w:b/>
          <w:bCs w:val="0"/>
          <w:color w:val="auto"/>
          <w:sz w:val="28"/>
          <w:szCs w:val="24"/>
          <w:highlight w:val="none"/>
          <w:lang w:val="en-US" w:eastAsia="zh-CN"/>
        </w:rPr>
      </w:pPr>
      <w:r>
        <w:rPr>
          <w:rFonts w:hint="eastAsia" w:ascii="宋体" w:hAnsi="宋体" w:eastAsia="宋体" w:cs="宋体"/>
          <w:b/>
          <w:bCs w:val="0"/>
          <w:color w:val="auto"/>
          <w:sz w:val="28"/>
          <w:szCs w:val="24"/>
          <w:highlight w:val="none"/>
          <w:lang w:val="en-US" w:eastAsia="zh-CN"/>
        </w:rPr>
        <w:t>投标人资格声明函（格式自拟）</w:t>
      </w:r>
    </w:p>
    <w:p w14:paraId="7568C481">
      <w:pPr>
        <w:pStyle w:val="12"/>
        <w:spacing w:line="240" w:lineRule="auto"/>
        <w:ind w:left="0" w:leftChars="0"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我公司</w:t>
      </w:r>
      <w:r>
        <w:rPr>
          <w:rFonts w:hint="eastAsia" w:ascii="宋体" w:hAnsi="宋体" w:eastAsia="宋体" w:cs="宋体"/>
          <w:b w:val="0"/>
          <w:bCs/>
          <w:color w:val="auto"/>
          <w:sz w:val="24"/>
          <w:szCs w:val="24"/>
          <w:highlight w:val="none"/>
          <w:u w:val="single"/>
          <w:lang w:val="en-US" w:eastAsia="zh-CN"/>
        </w:rPr>
        <w:t xml:space="preserve"> （供应商全称） </w:t>
      </w:r>
      <w:r>
        <w:rPr>
          <w:rFonts w:hint="eastAsia" w:ascii="宋体" w:hAnsi="宋体" w:eastAsia="宋体" w:cs="宋体"/>
          <w:b w:val="0"/>
          <w:bCs/>
          <w:color w:val="auto"/>
          <w:sz w:val="24"/>
          <w:szCs w:val="24"/>
          <w:highlight w:val="none"/>
          <w:lang w:val="en-US" w:eastAsia="zh-CN"/>
        </w:rPr>
        <w:t>收到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项目（项目编号：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、标段号：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、标段名称：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）的招标文件后，在完全理解该项目采购技术要求和商务条款的基础上，决定参加此次投标活动。我方保证具备履行合同所必需的服务和专业技术能力，并承诺如下：</w:t>
      </w:r>
    </w:p>
    <w:p w14:paraId="70A9DE7E">
      <w:pPr>
        <w:topLinePunct/>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1、具有独立承担民事责任的能力；</w:t>
      </w:r>
    </w:p>
    <w:p w14:paraId="5385EA22">
      <w:pPr>
        <w:topLinePunct/>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2、具有良好的商业信誉和健全的财务会计制度；</w:t>
      </w:r>
    </w:p>
    <w:p w14:paraId="6BACF127">
      <w:pPr>
        <w:topLinePunct/>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3、具有履行合同所必需的货物和专业技术能力；</w:t>
      </w:r>
    </w:p>
    <w:p w14:paraId="7A5DC16C">
      <w:pPr>
        <w:topLinePunct/>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4、有依法缴纳税收和社会保障资金的良好记录；</w:t>
      </w:r>
    </w:p>
    <w:p w14:paraId="63F7A3B2">
      <w:pPr>
        <w:topLinePunct/>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5、参加政府采购活动前三年内，在经营活动中没有重大违法记录；</w:t>
      </w:r>
    </w:p>
    <w:p w14:paraId="4B2A430E">
      <w:pPr>
        <w:topLinePunct/>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6、法律、行政法规规定的其他条件；</w:t>
      </w:r>
    </w:p>
    <w:p w14:paraId="59F93810">
      <w:pPr>
        <w:topLinePunct/>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7、具备承担和实施本次采购内容相关的经营许可或相关代理授权。</w:t>
      </w:r>
    </w:p>
    <w:p w14:paraId="26968CF1">
      <w:pPr>
        <w:topLinePunct/>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14:paraId="0CA2E668">
      <w:pPr>
        <w:pStyle w:val="12"/>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p>
    <w:p w14:paraId="53A63ADD">
      <w:pPr>
        <w:pStyle w:val="12"/>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供应商名称（电子公章）：</w:t>
      </w:r>
    </w:p>
    <w:p w14:paraId="3192E9FD">
      <w:pPr>
        <w:pStyle w:val="12"/>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法定代表人或其授权代表（签字）：</w:t>
      </w:r>
    </w:p>
    <w:p w14:paraId="4C489D48">
      <w:pPr>
        <w:pStyle w:val="12"/>
        <w:spacing w:line="240" w:lineRule="auto"/>
        <w:ind w:left="0" w:leftChars="0" w:firstLine="560" w:firstLineChars="200"/>
        <w:jc w:val="both"/>
        <w:rPr>
          <w:rFonts w:hint="eastAsia" w:ascii="宋体" w:hAnsi="宋体" w:eastAsia="宋体" w:cs="宋体"/>
          <w:b w:val="0"/>
          <w:bCs/>
          <w:color w:val="auto"/>
          <w:sz w:val="28"/>
          <w:szCs w:val="24"/>
          <w:highlight w:val="none"/>
          <w:lang w:val="en-US" w:eastAsia="zh-CN"/>
        </w:rPr>
      </w:pPr>
      <w:r>
        <w:rPr>
          <w:rFonts w:hint="eastAsia" w:ascii="宋体" w:hAnsi="宋体" w:eastAsia="宋体" w:cs="宋体"/>
          <w:b w:val="0"/>
          <w:bCs/>
          <w:color w:val="auto"/>
          <w:sz w:val="28"/>
          <w:szCs w:val="24"/>
          <w:highlight w:val="none"/>
          <w:lang w:val="en-US" w:eastAsia="zh-CN"/>
        </w:rPr>
        <w:t>日期：   年   月    日</w:t>
      </w:r>
    </w:p>
    <w:p w14:paraId="75858802">
      <w:pPr>
        <w:pStyle w:val="8"/>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p>
    <w:p w14:paraId="5F536EE3">
      <w:pPr>
        <w:rPr>
          <w:rFonts w:hint="eastAsia" w:ascii="宋体" w:hAnsi="宋体" w:eastAsia="宋体" w:cs="宋体"/>
          <w:b w:val="0"/>
          <w:bCs/>
          <w:color w:val="auto"/>
          <w:kern w:val="2"/>
          <w:sz w:val="21"/>
          <w:szCs w:val="20"/>
          <w:highlight w:val="none"/>
          <w:lang w:val="en-US" w:eastAsia="zh-CN" w:bidi="ar-SA"/>
        </w:rPr>
      </w:pPr>
    </w:p>
    <w:p w14:paraId="659FBF3D">
      <w:pPr>
        <w:pStyle w:val="7"/>
        <w:rPr>
          <w:rFonts w:hint="eastAsia" w:ascii="宋体" w:hAnsi="宋体" w:eastAsia="宋体" w:cs="宋体"/>
          <w:b w:val="0"/>
          <w:bCs/>
          <w:color w:val="auto"/>
          <w:kern w:val="2"/>
          <w:sz w:val="21"/>
          <w:szCs w:val="20"/>
          <w:highlight w:val="none"/>
          <w:lang w:val="en-US" w:eastAsia="zh-CN" w:bidi="ar-SA"/>
        </w:rPr>
      </w:pPr>
    </w:p>
    <w:p w14:paraId="35BC4238">
      <w:pPr>
        <w:pStyle w:val="8"/>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14:paraId="6389C7BA">
      <w:pPr>
        <w:pStyle w:val="8"/>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14:paraId="7B71DD7A">
      <w:pPr>
        <w:pStyle w:val="8"/>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14:paraId="10CA561E">
      <w:pPr>
        <w:rPr>
          <w:rFonts w:hint="eastAsia" w:ascii="宋体" w:hAnsi="宋体" w:eastAsia="宋体" w:cs="宋体"/>
          <w:color w:val="auto"/>
          <w:highlight w:val="none"/>
          <w:lang w:val="en-US" w:eastAsia="zh-CN"/>
        </w:rPr>
      </w:pPr>
    </w:p>
    <w:p w14:paraId="7AB2B3FC">
      <w:pPr>
        <w:tabs>
          <w:tab w:val="left" w:pos="142"/>
        </w:tabs>
        <w:autoSpaceDE w:val="0"/>
        <w:autoSpaceDN w:val="0"/>
        <w:spacing w:line="360" w:lineRule="auto"/>
        <w:ind w:left="118" w:leftChars="-1" w:firstLine="2"/>
        <w:jc w:val="center"/>
        <w:outlineLvl w:val="3"/>
        <w:rPr>
          <w:rFonts w:hint="eastAsia" w:ascii="宋体" w:hAnsi="宋体" w:eastAsia="宋体" w:cs="宋体"/>
          <w:color w:val="auto"/>
          <w:sz w:val="24"/>
          <w:szCs w:val="24"/>
          <w:highlight w:val="none"/>
        </w:rPr>
      </w:pPr>
      <w:bookmarkStart w:id="300" w:name="_Toc435514871"/>
      <w:bookmarkStart w:id="301" w:name="_Toc50691042"/>
      <w:bookmarkStart w:id="302" w:name="_Toc52165084"/>
      <w:bookmarkStart w:id="303" w:name="_Toc50736480"/>
      <w:bookmarkStart w:id="304" w:name="_Toc50737300"/>
      <w:bookmarkStart w:id="305" w:name="_Toc435515311"/>
      <w:bookmarkStart w:id="306" w:name="_Toc50737332"/>
      <w:bookmarkStart w:id="307" w:name="_Toc275865618"/>
    </w:p>
    <w:p w14:paraId="0266C5A8">
      <w:pPr>
        <w:tabs>
          <w:tab w:val="left" w:pos="142"/>
        </w:tabs>
        <w:autoSpaceDE w:val="0"/>
        <w:autoSpaceDN w:val="0"/>
        <w:spacing w:line="360" w:lineRule="auto"/>
        <w:ind w:left="118" w:leftChars="-1" w:firstLine="2"/>
        <w:jc w:val="center"/>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项目经理及管理技术人员一览表</w:t>
      </w:r>
      <w:bookmarkEnd w:id="300"/>
      <w:bookmarkEnd w:id="301"/>
      <w:bookmarkEnd w:id="302"/>
      <w:bookmarkEnd w:id="303"/>
      <w:bookmarkEnd w:id="304"/>
      <w:bookmarkEnd w:id="305"/>
      <w:bookmarkEnd w:id="306"/>
      <w:bookmarkEnd w:id="307"/>
    </w:p>
    <w:p w14:paraId="45B14E03">
      <w:pPr>
        <w:widowControl/>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tbl>
      <w:tblPr>
        <w:tblStyle w:val="22"/>
        <w:tblW w:w="90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34"/>
        <w:gridCol w:w="662"/>
        <w:gridCol w:w="658"/>
        <w:gridCol w:w="822"/>
        <w:gridCol w:w="1051"/>
        <w:gridCol w:w="731"/>
        <w:gridCol w:w="579"/>
        <w:gridCol w:w="924"/>
        <w:gridCol w:w="709"/>
        <w:gridCol w:w="1283"/>
      </w:tblGrid>
      <w:tr w14:paraId="17DC7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2" w:type="dxa"/>
            <w:tcBorders>
              <w:top w:val="single" w:color="auto" w:sz="12" w:space="0"/>
              <w:bottom w:val="double" w:color="auto" w:sz="4" w:space="0"/>
            </w:tcBorders>
            <w:shd w:val="clear" w:color="auto" w:fill="EEECE1"/>
            <w:noWrap w:val="0"/>
            <w:vAlign w:val="center"/>
          </w:tcPr>
          <w:p w14:paraId="09EC03B1">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034" w:type="dxa"/>
            <w:tcBorders>
              <w:top w:val="single" w:color="auto" w:sz="12" w:space="0"/>
              <w:bottom w:val="double" w:color="auto" w:sz="4" w:space="0"/>
            </w:tcBorders>
            <w:shd w:val="clear" w:color="auto" w:fill="EEECE1"/>
            <w:noWrap w:val="0"/>
            <w:vAlign w:val="center"/>
          </w:tcPr>
          <w:p w14:paraId="13253AA2">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姓名</w:t>
            </w:r>
          </w:p>
        </w:tc>
        <w:tc>
          <w:tcPr>
            <w:tcW w:w="662" w:type="dxa"/>
            <w:tcBorders>
              <w:top w:val="single" w:color="auto" w:sz="12" w:space="0"/>
              <w:bottom w:val="double" w:color="auto" w:sz="4" w:space="0"/>
            </w:tcBorders>
            <w:shd w:val="clear" w:color="auto" w:fill="EEECE1"/>
            <w:noWrap w:val="0"/>
            <w:vAlign w:val="center"/>
          </w:tcPr>
          <w:p w14:paraId="37EC8F54">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性别</w:t>
            </w:r>
          </w:p>
        </w:tc>
        <w:tc>
          <w:tcPr>
            <w:tcW w:w="658" w:type="dxa"/>
            <w:tcBorders>
              <w:top w:val="single" w:color="auto" w:sz="12" w:space="0"/>
              <w:bottom w:val="double" w:color="auto" w:sz="4" w:space="0"/>
            </w:tcBorders>
            <w:shd w:val="clear" w:color="auto" w:fill="EEECE1"/>
            <w:noWrap w:val="0"/>
            <w:vAlign w:val="center"/>
          </w:tcPr>
          <w:p w14:paraId="1CEC20DA">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年龄</w:t>
            </w:r>
          </w:p>
        </w:tc>
        <w:tc>
          <w:tcPr>
            <w:tcW w:w="822" w:type="dxa"/>
            <w:tcBorders>
              <w:top w:val="single" w:color="auto" w:sz="12" w:space="0"/>
              <w:bottom w:val="double" w:color="auto" w:sz="4" w:space="0"/>
            </w:tcBorders>
            <w:shd w:val="clear" w:color="auto" w:fill="EEECE1"/>
            <w:noWrap w:val="0"/>
            <w:vAlign w:val="center"/>
          </w:tcPr>
          <w:p w14:paraId="7FB2356C">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学历</w:t>
            </w:r>
          </w:p>
        </w:tc>
        <w:tc>
          <w:tcPr>
            <w:tcW w:w="1051" w:type="dxa"/>
            <w:tcBorders>
              <w:top w:val="single" w:color="auto" w:sz="12" w:space="0"/>
              <w:bottom w:val="double" w:color="auto" w:sz="4" w:space="0"/>
            </w:tcBorders>
            <w:shd w:val="clear" w:color="auto" w:fill="EEECE1"/>
            <w:noWrap w:val="0"/>
            <w:vAlign w:val="center"/>
          </w:tcPr>
          <w:p w14:paraId="001DE434">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职称</w:t>
            </w:r>
          </w:p>
        </w:tc>
        <w:tc>
          <w:tcPr>
            <w:tcW w:w="731" w:type="dxa"/>
            <w:tcBorders>
              <w:top w:val="single" w:color="auto" w:sz="12" w:space="0"/>
              <w:bottom w:val="double" w:color="auto" w:sz="4" w:space="0"/>
            </w:tcBorders>
            <w:shd w:val="clear" w:color="auto" w:fill="EEECE1"/>
            <w:noWrap w:val="0"/>
            <w:vAlign w:val="center"/>
          </w:tcPr>
          <w:p w14:paraId="6FD723F2">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专业</w:t>
            </w:r>
          </w:p>
        </w:tc>
        <w:tc>
          <w:tcPr>
            <w:tcW w:w="579" w:type="dxa"/>
            <w:tcBorders>
              <w:top w:val="single" w:color="auto" w:sz="12" w:space="0"/>
              <w:bottom w:val="double" w:color="auto" w:sz="4" w:space="0"/>
            </w:tcBorders>
            <w:shd w:val="clear" w:color="auto" w:fill="EEECE1"/>
            <w:noWrap w:val="0"/>
            <w:vAlign w:val="center"/>
          </w:tcPr>
          <w:p w14:paraId="5023F74F">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经验年限</w:t>
            </w:r>
          </w:p>
        </w:tc>
        <w:tc>
          <w:tcPr>
            <w:tcW w:w="924" w:type="dxa"/>
            <w:tcBorders>
              <w:top w:val="single" w:color="auto" w:sz="12" w:space="0"/>
              <w:bottom w:val="double" w:color="auto" w:sz="4" w:space="0"/>
              <w:right w:val="single" w:color="auto" w:sz="4" w:space="0"/>
            </w:tcBorders>
            <w:shd w:val="clear" w:color="auto" w:fill="EEECE1"/>
            <w:noWrap w:val="0"/>
            <w:vAlign w:val="center"/>
          </w:tcPr>
          <w:p w14:paraId="5DDF77EE">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担任职务</w:t>
            </w:r>
          </w:p>
        </w:tc>
        <w:tc>
          <w:tcPr>
            <w:tcW w:w="709" w:type="dxa"/>
            <w:tcBorders>
              <w:top w:val="single" w:color="auto" w:sz="12" w:space="0"/>
              <w:left w:val="single" w:color="auto" w:sz="4" w:space="0"/>
              <w:bottom w:val="double" w:color="auto" w:sz="4" w:space="0"/>
              <w:right w:val="single" w:color="auto" w:sz="6" w:space="0"/>
            </w:tcBorders>
            <w:shd w:val="clear" w:color="auto" w:fill="EEECE1"/>
            <w:noWrap w:val="0"/>
            <w:vAlign w:val="center"/>
          </w:tcPr>
          <w:p w14:paraId="177CFE44">
            <w:pPr>
              <w:snapToGrid w:val="0"/>
              <w:ind w:left="28" w:leftChars="-44" w:right="-80" w:rightChars="-3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承担工作内容</w:t>
            </w:r>
          </w:p>
        </w:tc>
        <w:tc>
          <w:tcPr>
            <w:tcW w:w="1283" w:type="dxa"/>
            <w:tcBorders>
              <w:top w:val="single" w:color="auto" w:sz="12" w:space="0"/>
              <w:left w:val="single" w:color="auto" w:sz="6" w:space="0"/>
              <w:bottom w:val="double" w:color="auto" w:sz="4" w:space="0"/>
            </w:tcBorders>
            <w:shd w:val="clear" w:color="auto" w:fill="EEECE1"/>
            <w:noWrap w:val="0"/>
            <w:vAlign w:val="center"/>
          </w:tcPr>
          <w:p w14:paraId="4C019D7B">
            <w:pPr>
              <w:snapToGrid w:val="0"/>
              <w:ind w:left="28" w:leftChars="-44" w:right="-80" w:rightChars="-38"/>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居住详细地址</w:t>
            </w:r>
          </w:p>
        </w:tc>
      </w:tr>
      <w:tr w14:paraId="3B5D0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top w:val="double" w:color="auto" w:sz="4" w:space="0"/>
            </w:tcBorders>
            <w:noWrap w:val="0"/>
            <w:vAlign w:val="center"/>
          </w:tcPr>
          <w:p w14:paraId="7CD59DCD">
            <w:pPr>
              <w:pStyle w:val="47"/>
              <w:numPr>
                <w:ilvl w:val="0"/>
                <w:numId w:val="18"/>
              </w:numPr>
              <w:spacing w:line="400" w:lineRule="exact"/>
              <w:ind w:firstLineChars="0"/>
              <w:jc w:val="center"/>
              <w:rPr>
                <w:rFonts w:hint="eastAsia" w:ascii="宋体" w:hAnsi="宋体" w:eastAsia="宋体" w:cs="宋体"/>
                <w:color w:val="auto"/>
                <w:sz w:val="24"/>
                <w:szCs w:val="24"/>
                <w:highlight w:val="none"/>
              </w:rPr>
            </w:pPr>
          </w:p>
        </w:tc>
        <w:tc>
          <w:tcPr>
            <w:tcW w:w="1034" w:type="dxa"/>
            <w:tcBorders>
              <w:top w:val="double" w:color="auto" w:sz="4" w:space="0"/>
            </w:tcBorders>
            <w:noWrap w:val="0"/>
            <w:vAlign w:val="center"/>
          </w:tcPr>
          <w:p w14:paraId="1A677A57">
            <w:pPr>
              <w:spacing w:line="400" w:lineRule="exact"/>
              <w:jc w:val="center"/>
              <w:rPr>
                <w:rFonts w:hint="eastAsia" w:ascii="宋体" w:hAnsi="宋体" w:eastAsia="宋体" w:cs="宋体"/>
                <w:color w:val="auto"/>
                <w:sz w:val="24"/>
                <w:szCs w:val="24"/>
                <w:highlight w:val="none"/>
              </w:rPr>
            </w:pPr>
          </w:p>
        </w:tc>
        <w:tc>
          <w:tcPr>
            <w:tcW w:w="662" w:type="dxa"/>
            <w:tcBorders>
              <w:top w:val="double" w:color="auto" w:sz="4" w:space="0"/>
            </w:tcBorders>
            <w:noWrap w:val="0"/>
            <w:vAlign w:val="center"/>
          </w:tcPr>
          <w:p w14:paraId="41BFE342">
            <w:pPr>
              <w:spacing w:line="400" w:lineRule="exact"/>
              <w:jc w:val="center"/>
              <w:rPr>
                <w:rFonts w:hint="eastAsia" w:ascii="宋体" w:hAnsi="宋体" w:eastAsia="宋体" w:cs="宋体"/>
                <w:color w:val="auto"/>
                <w:sz w:val="24"/>
                <w:szCs w:val="24"/>
                <w:highlight w:val="none"/>
              </w:rPr>
            </w:pPr>
          </w:p>
        </w:tc>
        <w:tc>
          <w:tcPr>
            <w:tcW w:w="658" w:type="dxa"/>
            <w:tcBorders>
              <w:top w:val="double" w:color="auto" w:sz="4" w:space="0"/>
            </w:tcBorders>
            <w:noWrap w:val="0"/>
            <w:vAlign w:val="center"/>
          </w:tcPr>
          <w:p w14:paraId="4B2B0781">
            <w:pPr>
              <w:spacing w:line="400" w:lineRule="exact"/>
              <w:jc w:val="center"/>
              <w:rPr>
                <w:rFonts w:hint="eastAsia" w:ascii="宋体" w:hAnsi="宋体" w:eastAsia="宋体" w:cs="宋体"/>
                <w:color w:val="auto"/>
                <w:sz w:val="24"/>
                <w:szCs w:val="24"/>
                <w:highlight w:val="none"/>
              </w:rPr>
            </w:pPr>
          </w:p>
        </w:tc>
        <w:tc>
          <w:tcPr>
            <w:tcW w:w="822" w:type="dxa"/>
            <w:tcBorders>
              <w:top w:val="double" w:color="auto" w:sz="4" w:space="0"/>
            </w:tcBorders>
            <w:noWrap w:val="0"/>
            <w:vAlign w:val="center"/>
          </w:tcPr>
          <w:p w14:paraId="056CDC51">
            <w:pPr>
              <w:spacing w:line="400" w:lineRule="exact"/>
              <w:jc w:val="center"/>
              <w:rPr>
                <w:rFonts w:hint="eastAsia" w:ascii="宋体" w:hAnsi="宋体" w:eastAsia="宋体" w:cs="宋体"/>
                <w:color w:val="auto"/>
                <w:sz w:val="24"/>
                <w:szCs w:val="24"/>
                <w:highlight w:val="none"/>
              </w:rPr>
            </w:pPr>
          </w:p>
        </w:tc>
        <w:tc>
          <w:tcPr>
            <w:tcW w:w="1051" w:type="dxa"/>
            <w:tcBorders>
              <w:top w:val="double" w:color="auto" w:sz="4" w:space="0"/>
            </w:tcBorders>
            <w:noWrap w:val="0"/>
            <w:vAlign w:val="center"/>
          </w:tcPr>
          <w:p w14:paraId="3FD64461">
            <w:pPr>
              <w:spacing w:line="400" w:lineRule="exact"/>
              <w:jc w:val="center"/>
              <w:rPr>
                <w:rFonts w:hint="eastAsia" w:ascii="宋体" w:hAnsi="宋体" w:eastAsia="宋体" w:cs="宋体"/>
                <w:color w:val="auto"/>
                <w:sz w:val="24"/>
                <w:szCs w:val="24"/>
                <w:highlight w:val="none"/>
              </w:rPr>
            </w:pPr>
          </w:p>
        </w:tc>
        <w:tc>
          <w:tcPr>
            <w:tcW w:w="731" w:type="dxa"/>
            <w:tcBorders>
              <w:top w:val="double" w:color="auto" w:sz="4" w:space="0"/>
            </w:tcBorders>
            <w:noWrap w:val="0"/>
            <w:vAlign w:val="center"/>
          </w:tcPr>
          <w:p w14:paraId="36DC797B">
            <w:pPr>
              <w:spacing w:line="400" w:lineRule="exact"/>
              <w:jc w:val="center"/>
              <w:rPr>
                <w:rFonts w:hint="eastAsia" w:ascii="宋体" w:hAnsi="宋体" w:eastAsia="宋体" w:cs="宋体"/>
                <w:color w:val="auto"/>
                <w:sz w:val="24"/>
                <w:szCs w:val="24"/>
                <w:highlight w:val="none"/>
              </w:rPr>
            </w:pPr>
          </w:p>
        </w:tc>
        <w:tc>
          <w:tcPr>
            <w:tcW w:w="579" w:type="dxa"/>
            <w:tcBorders>
              <w:top w:val="double" w:color="auto" w:sz="4" w:space="0"/>
            </w:tcBorders>
            <w:noWrap w:val="0"/>
            <w:vAlign w:val="center"/>
          </w:tcPr>
          <w:p w14:paraId="2BC9A433">
            <w:pPr>
              <w:spacing w:line="400" w:lineRule="exact"/>
              <w:jc w:val="center"/>
              <w:rPr>
                <w:rFonts w:hint="eastAsia" w:ascii="宋体" w:hAnsi="宋体" w:eastAsia="宋体" w:cs="宋体"/>
                <w:color w:val="auto"/>
                <w:sz w:val="24"/>
                <w:szCs w:val="24"/>
                <w:highlight w:val="none"/>
              </w:rPr>
            </w:pPr>
          </w:p>
        </w:tc>
        <w:tc>
          <w:tcPr>
            <w:tcW w:w="924" w:type="dxa"/>
            <w:tcBorders>
              <w:top w:val="double" w:color="auto" w:sz="4" w:space="0"/>
              <w:right w:val="single" w:color="auto" w:sz="4" w:space="0"/>
            </w:tcBorders>
            <w:noWrap w:val="0"/>
            <w:vAlign w:val="center"/>
          </w:tcPr>
          <w:p w14:paraId="5CE66BB5">
            <w:pPr>
              <w:spacing w:line="400" w:lineRule="exact"/>
              <w:jc w:val="center"/>
              <w:rPr>
                <w:rFonts w:hint="eastAsia" w:ascii="宋体" w:hAnsi="宋体" w:eastAsia="宋体" w:cs="宋体"/>
                <w:color w:val="auto"/>
                <w:sz w:val="24"/>
                <w:szCs w:val="24"/>
                <w:highlight w:val="none"/>
              </w:rPr>
            </w:pPr>
          </w:p>
        </w:tc>
        <w:tc>
          <w:tcPr>
            <w:tcW w:w="709" w:type="dxa"/>
            <w:tcBorders>
              <w:top w:val="double" w:color="auto" w:sz="4" w:space="0"/>
              <w:left w:val="single" w:color="auto" w:sz="4" w:space="0"/>
              <w:right w:val="single" w:color="auto" w:sz="6" w:space="0"/>
            </w:tcBorders>
            <w:noWrap w:val="0"/>
            <w:vAlign w:val="center"/>
          </w:tcPr>
          <w:p w14:paraId="09172A05">
            <w:pPr>
              <w:spacing w:line="400" w:lineRule="exact"/>
              <w:jc w:val="center"/>
              <w:rPr>
                <w:rFonts w:hint="eastAsia" w:ascii="宋体" w:hAnsi="宋体" w:eastAsia="宋体" w:cs="宋体"/>
                <w:color w:val="auto"/>
                <w:sz w:val="24"/>
                <w:szCs w:val="24"/>
                <w:highlight w:val="none"/>
              </w:rPr>
            </w:pPr>
          </w:p>
        </w:tc>
        <w:tc>
          <w:tcPr>
            <w:tcW w:w="1283" w:type="dxa"/>
            <w:tcBorders>
              <w:top w:val="double" w:color="auto" w:sz="4" w:space="0"/>
              <w:left w:val="single" w:color="auto" w:sz="6" w:space="0"/>
            </w:tcBorders>
            <w:noWrap w:val="0"/>
            <w:vAlign w:val="center"/>
          </w:tcPr>
          <w:p w14:paraId="05C8FE35">
            <w:pPr>
              <w:snapToGrid w:val="0"/>
              <w:jc w:val="center"/>
              <w:rPr>
                <w:rFonts w:hint="eastAsia" w:ascii="宋体" w:hAnsi="宋体" w:eastAsia="宋体" w:cs="宋体"/>
                <w:b/>
                <w:color w:val="auto"/>
                <w:sz w:val="24"/>
                <w:szCs w:val="24"/>
                <w:highlight w:val="none"/>
              </w:rPr>
            </w:pPr>
          </w:p>
        </w:tc>
      </w:tr>
      <w:tr w14:paraId="3B329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14:paraId="25CEA2F2">
            <w:pPr>
              <w:pStyle w:val="47"/>
              <w:numPr>
                <w:ilvl w:val="0"/>
                <w:numId w:val="18"/>
              </w:numPr>
              <w:spacing w:line="400" w:lineRule="exact"/>
              <w:ind w:firstLineChars="0"/>
              <w:jc w:val="center"/>
              <w:rPr>
                <w:rFonts w:hint="eastAsia" w:ascii="宋体" w:hAnsi="宋体" w:eastAsia="宋体" w:cs="宋体"/>
                <w:color w:val="auto"/>
                <w:sz w:val="24"/>
                <w:szCs w:val="24"/>
                <w:highlight w:val="none"/>
              </w:rPr>
            </w:pPr>
          </w:p>
        </w:tc>
        <w:tc>
          <w:tcPr>
            <w:tcW w:w="1034" w:type="dxa"/>
            <w:noWrap w:val="0"/>
            <w:vAlign w:val="center"/>
          </w:tcPr>
          <w:p w14:paraId="752BA2D9">
            <w:pPr>
              <w:spacing w:line="400" w:lineRule="exact"/>
              <w:jc w:val="center"/>
              <w:rPr>
                <w:rFonts w:hint="eastAsia" w:ascii="宋体" w:hAnsi="宋体" w:eastAsia="宋体" w:cs="宋体"/>
                <w:color w:val="auto"/>
                <w:sz w:val="24"/>
                <w:szCs w:val="24"/>
                <w:highlight w:val="none"/>
              </w:rPr>
            </w:pPr>
          </w:p>
        </w:tc>
        <w:tc>
          <w:tcPr>
            <w:tcW w:w="662" w:type="dxa"/>
            <w:noWrap w:val="0"/>
            <w:vAlign w:val="center"/>
          </w:tcPr>
          <w:p w14:paraId="55DBDA86">
            <w:pPr>
              <w:spacing w:line="400" w:lineRule="exact"/>
              <w:jc w:val="center"/>
              <w:rPr>
                <w:rFonts w:hint="eastAsia" w:ascii="宋体" w:hAnsi="宋体" w:eastAsia="宋体" w:cs="宋体"/>
                <w:color w:val="auto"/>
                <w:sz w:val="24"/>
                <w:szCs w:val="24"/>
                <w:highlight w:val="none"/>
              </w:rPr>
            </w:pPr>
          </w:p>
        </w:tc>
        <w:tc>
          <w:tcPr>
            <w:tcW w:w="658" w:type="dxa"/>
            <w:noWrap w:val="0"/>
            <w:vAlign w:val="center"/>
          </w:tcPr>
          <w:p w14:paraId="2325CAF0">
            <w:pPr>
              <w:spacing w:line="400" w:lineRule="exact"/>
              <w:jc w:val="center"/>
              <w:rPr>
                <w:rFonts w:hint="eastAsia" w:ascii="宋体" w:hAnsi="宋体" w:eastAsia="宋体" w:cs="宋体"/>
                <w:color w:val="auto"/>
                <w:sz w:val="24"/>
                <w:szCs w:val="24"/>
                <w:highlight w:val="none"/>
              </w:rPr>
            </w:pPr>
          </w:p>
        </w:tc>
        <w:tc>
          <w:tcPr>
            <w:tcW w:w="822" w:type="dxa"/>
            <w:noWrap w:val="0"/>
            <w:vAlign w:val="center"/>
          </w:tcPr>
          <w:p w14:paraId="031CB7B9">
            <w:pPr>
              <w:spacing w:line="400" w:lineRule="exact"/>
              <w:jc w:val="center"/>
              <w:rPr>
                <w:rFonts w:hint="eastAsia" w:ascii="宋体" w:hAnsi="宋体" w:eastAsia="宋体" w:cs="宋体"/>
                <w:color w:val="auto"/>
                <w:sz w:val="24"/>
                <w:szCs w:val="24"/>
                <w:highlight w:val="none"/>
              </w:rPr>
            </w:pPr>
          </w:p>
        </w:tc>
        <w:tc>
          <w:tcPr>
            <w:tcW w:w="1051" w:type="dxa"/>
            <w:noWrap w:val="0"/>
            <w:vAlign w:val="center"/>
          </w:tcPr>
          <w:p w14:paraId="56B117FC">
            <w:pPr>
              <w:spacing w:line="400" w:lineRule="exact"/>
              <w:jc w:val="center"/>
              <w:rPr>
                <w:rFonts w:hint="eastAsia" w:ascii="宋体" w:hAnsi="宋体" w:eastAsia="宋体" w:cs="宋体"/>
                <w:color w:val="auto"/>
                <w:sz w:val="24"/>
                <w:szCs w:val="24"/>
                <w:highlight w:val="none"/>
              </w:rPr>
            </w:pPr>
          </w:p>
        </w:tc>
        <w:tc>
          <w:tcPr>
            <w:tcW w:w="731" w:type="dxa"/>
            <w:noWrap w:val="0"/>
            <w:vAlign w:val="center"/>
          </w:tcPr>
          <w:p w14:paraId="0E70AD4E">
            <w:pPr>
              <w:spacing w:line="400" w:lineRule="exact"/>
              <w:jc w:val="center"/>
              <w:rPr>
                <w:rFonts w:hint="eastAsia" w:ascii="宋体" w:hAnsi="宋体" w:eastAsia="宋体" w:cs="宋体"/>
                <w:color w:val="auto"/>
                <w:sz w:val="24"/>
                <w:szCs w:val="24"/>
                <w:highlight w:val="none"/>
              </w:rPr>
            </w:pPr>
          </w:p>
        </w:tc>
        <w:tc>
          <w:tcPr>
            <w:tcW w:w="579" w:type="dxa"/>
            <w:noWrap w:val="0"/>
            <w:vAlign w:val="center"/>
          </w:tcPr>
          <w:p w14:paraId="7726F74F">
            <w:pPr>
              <w:spacing w:line="400" w:lineRule="exact"/>
              <w:jc w:val="center"/>
              <w:rPr>
                <w:rFonts w:hint="eastAsia" w:ascii="宋体" w:hAnsi="宋体" w:eastAsia="宋体" w:cs="宋体"/>
                <w:color w:val="auto"/>
                <w:sz w:val="24"/>
                <w:szCs w:val="24"/>
                <w:highlight w:val="none"/>
              </w:rPr>
            </w:pPr>
          </w:p>
        </w:tc>
        <w:tc>
          <w:tcPr>
            <w:tcW w:w="924" w:type="dxa"/>
            <w:tcBorders>
              <w:right w:val="single" w:color="auto" w:sz="4" w:space="0"/>
            </w:tcBorders>
            <w:noWrap w:val="0"/>
            <w:vAlign w:val="center"/>
          </w:tcPr>
          <w:p w14:paraId="030206B9">
            <w:pPr>
              <w:spacing w:line="400" w:lineRule="exact"/>
              <w:jc w:val="center"/>
              <w:rPr>
                <w:rFonts w:hint="eastAsia" w:ascii="宋体" w:hAnsi="宋体" w:eastAsia="宋体" w:cs="宋体"/>
                <w:color w:val="auto"/>
                <w:sz w:val="24"/>
                <w:szCs w:val="24"/>
                <w:highlight w:val="none"/>
              </w:rPr>
            </w:pPr>
          </w:p>
        </w:tc>
        <w:tc>
          <w:tcPr>
            <w:tcW w:w="709" w:type="dxa"/>
            <w:tcBorders>
              <w:left w:val="single" w:color="auto" w:sz="4" w:space="0"/>
              <w:right w:val="single" w:color="auto" w:sz="6" w:space="0"/>
            </w:tcBorders>
            <w:noWrap w:val="0"/>
            <w:vAlign w:val="center"/>
          </w:tcPr>
          <w:p w14:paraId="4DF1B414">
            <w:pPr>
              <w:spacing w:line="400" w:lineRule="exact"/>
              <w:jc w:val="center"/>
              <w:rPr>
                <w:rFonts w:hint="eastAsia" w:ascii="宋体" w:hAnsi="宋体" w:eastAsia="宋体" w:cs="宋体"/>
                <w:color w:val="auto"/>
                <w:sz w:val="24"/>
                <w:szCs w:val="24"/>
                <w:highlight w:val="none"/>
              </w:rPr>
            </w:pPr>
          </w:p>
        </w:tc>
        <w:tc>
          <w:tcPr>
            <w:tcW w:w="1283" w:type="dxa"/>
            <w:tcBorders>
              <w:left w:val="single" w:color="auto" w:sz="6" w:space="0"/>
            </w:tcBorders>
            <w:noWrap w:val="0"/>
            <w:vAlign w:val="center"/>
          </w:tcPr>
          <w:p w14:paraId="0661376B">
            <w:pPr>
              <w:spacing w:line="400" w:lineRule="exact"/>
              <w:jc w:val="center"/>
              <w:rPr>
                <w:rFonts w:hint="eastAsia" w:ascii="宋体" w:hAnsi="宋体" w:eastAsia="宋体" w:cs="宋体"/>
                <w:color w:val="auto"/>
                <w:sz w:val="24"/>
                <w:szCs w:val="24"/>
                <w:highlight w:val="none"/>
              </w:rPr>
            </w:pPr>
          </w:p>
        </w:tc>
      </w:tr>
      <w:tr w14:paraId="6475A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14:paraId="7663B5B8">
            <w:pPr>
              <w:pStyle w:val="47"/>
              <w:numPr>
                <w:ilvl w:val="0"/>
                <w:numId w:val="18"/>
              </w:numPr>
              <w:spacing w:line="400" w:lineRule="exact"/>
              <w:ind w:firstLineChars="0"/>
              <w:jc w:val="center"/>
              <w:rPr>
                <w:rFonts w:hint="eastAsia" w:ascii="宋体" w:hAnsi="宋体" w:eastAsia="宋体" w:cs="宋体"/>
                <w:color w:val="auto"/>
                <w:sz w:val="24"/>
                <w:szCs w:val="24"/>
                <w:highlight w:val="none"/>
              </w:rPr>
            </w:pPr>
          </w:p>
        </w:tc>
        <w:tc>
          <w:tcPr>
            <w:tcW w:w="1034" w:type="dxa"/>
            <w:noWrap w:val="0"/>
            <w:vAlign w:val="center"/>
          </w:tcPr>
          <w:p w14:paraId="3B0DC9E7">
            <w:pPr>
              <w:spacing w:line="400" w:lineRule="exact"/>
              <w:jc w:val="center"/>
              <w:rPr>
                <w:rFonts w:hint="eastAsia" w:ascii="宋体" w:hAnsi="宋体" w:eastAsia="宋体" w:cs="宋体"/>
                <w:color w:val="auto"/>
                <w:sz w:val="24"/>
                <w:szCs w:val="24"/>
                <w:highlight w:val="none"/>
              </w:rPr>
            </w:pPr>
          </w:p>
        </w:tc>
        <w:tc>
          <w:tcPr>
            <w:tcW w:w="662" w:type="dxa"/>
            <w:noWrap w:val="0"/>
            <w:vAlign w:val="center"/>
          </w:tcPr>
          <w:p w14:paraId="10048C2A">
            <w:pPr>
              <w:spacing w:line="400" w:lineRule="exact"/>
              <w:jc w:val="center"/>
              <w:rPr>
                <w:rFonts w:hint="eastAsia" w:ascii="宋体" w:hAnsi="宋体" w:eastAsia="宋体" w:cs="宋体"/>
                <w:color w:val="auto"/>
                <w:sz w:val="24"/>
                <w:szCs w:val="24"/>
                <w:highlight w:val="none"/>
              </w:rPr>
            </w:pPr>
          </w:p>
        </w:tc>
        <w:tc>
          <w:tcPr>
            <w:tcW w:w="658" w:type="dxa"/>
            <w:noWrap w:val="0"/>
            <w:vAlign w:val="center"/>
          </w:tcPr>
          <w:p w14:paraId="6FEA8C19">
            <w:pPr>
              <w:spacing w:line="400" w:lineRule="exact"/>
              <w:jc w:val="center"/>
              <w:rPr>
                <w:rFonts w:hint="eastAsia" w:ascii="宋体" w:hAnsi="宋体" w:eastAsia="宋体" w:cs="宋体"/>
                <w:color w:val="auto"/>
                <w:sz w:val="24"/>
                <w:szCs w:val="24"/>
                <w:highlight w:val="none"/>
              </w:rPr>
            </w:pPr>
          </w:p>
        </w:tc>
        <w:tc>
          <w:tcPr>
            <w:tcW w:w="822" w:type="dxa"/>
            <w:noWrap w:val="0"/>
            <w:vAlign w:val="center"/>
          </w:tcPr>
          <w:p w14:paraId="446E15F4">
            <w:pPr>
              <w:spacing w:line="400" w:lineRule="exact"/>
              <w:jc w:val="center"/>
              <w:rPr>
                <w:rFonts w:hint="eastAsia" w:ascii="宋体" w:hAnsi="宋体" w:eastAsia="宋体" w:cs="宋体"/>
                <w:color w:val="auto"/>
                <w:sz w:val="24"/>
                <w:szCs w:val="24"/>
                <w:highlight w:val="none"/>
              </w:rPr>
            </w:pPr>
          </w:p>
        </w:tc>
        <w:tc>
          <w:tcPr>
            <w:tcW w:w="1051" w:type="dxa"/>
            <w:noWrap w:val="0"/>
            <w:vAlign w:val="center"/>
          </w:tcPr>
          <w:p w14:paraId="282D86BC">
            <w:pPr>
              <w:spacing w:line="400" w:lineRule="exact"/>
              <w:jc w:val="center"/>
              <w:rPr>
                <w:rFonts w:hint="eastAsia" w:ascii="宋体" w:hAnsi="宋体" w:eastAsia="宋体" w:cs="宋体"/>
                <w:color w:val="auto"/>
                <w:sz w:val="24"/>
                <w:szCs w:val="24"/>
                <w:highlight w:val="none"/>
              </w:rPr>
            </w:pPr>
          </w:p>
        </w:tc>
        <w:tc>
          <w:tcPr>
            <w:tcW w:w="731" w:type="dxa"/>
            <w:noWrap w:val="0"/>
            <w:vAlign w:val="center"/>
          </w:tcPr>
          <w:p w14:paraId="40EA4B4D">
            <w:pPr>
              <w:spacing w:line="400" w:lineRule="exact"/>
              <w:jc w:val="center"/>
              <w:rPr>
                <w:rFonts w:hint="eastAsia" w:ascii="宋体" w:hAnsi="宋体" w:eastAsia="宋体" w:cs="宋体"/>
                <w:color w:val="auto"/>
                <w:sz w:val="24"/>
                <w:szCs w:val="24"/>
                <w:highlight w:val="none"/>
              </w:rPr>
            </w:pPr>
          </w:p>
        </w:tc>
        <w:tc>
          <w:tcPr>
            <w:tcW w:w="579" w:type="dxa"/>
            <w:noWrap w:val="0"/>
            <w:vAlign w:val="center"/>
          </w:tcPr>
          <w:p w14:paraId="32F4ADB0">
            <w:pPr>
              <w:spacing w:line="400" w:lineRule="exact"/>
              <w:jc w:val="center"/>
              <w:rPr>
                <w:rFonts w:hint="eastAsia" w:ascii="宋体" w:hAnsi="宋体" w:eastAsia="宋体" w:cs="宋体"/>
                <w:color w:val="auto"/>
                <w:sz w:val="24"/>
                <w:szCs w:val="24"/>
                <w:highlight w:val="none"/>
              </w:rPr>
            </w:pPr>
          </w:p>
        </w:tc>
        <w:tc>
          <w:tcPr>
            <w:tcW w:w="924" w:type="dxa"/>
            <w:tcBorders>
              <w:right w:val="single" w:color="auto" w:sz="4" w:space="0"/>
            </w:tcBorders>
            <w:noWrap w:val="0"/>
            <w:vAlign w:val="center"/>
          </w:tcPr>
          <w:p w14:paraId="2476B57F">
            <w:pPr>
              <w:spacing w:line="400" w:lineRule="exact"/>
              <w:jc w:val="center"/>
              <w:rPr>
                <w:rFonts w:hint="eastAsia" w:ascii="宋体" w:hAnsi="宋体" w:eastAsia="宋体" w:cs="宋体"/>
                <w:color w:val="auto"/>
                <w:sz w:val="24"/>
                <w:szCs w:val="24"/>
                <w:highlight w:val="none"/>
              </w:rPr>
            </w:pPr>
          </w:p>
        </w:tc>
        <w:tc>
          <w:tcPr>
            <w:tcW w:w="709" w:type="dxa"/>
            <w:tcBorders>
              <w:left w:val="single" w:color="auto" w:sz="4" w:space="0"/>
              <w:right w:val="single" w:color="auto" w:sz="6" w:space="0"/>
            </w:tcBorders>
            <w:noWrap w:val="0"/>
            <w:vAlign w:val="center"/>
          </w:tcPr>
          <w:p w14:paraId="3F601F20">
            <w:pPr>
              <w:spacing w:line="400" w:lineRule="exact"/>
              <w:jc w:val="center"/>
              <w:rPr>
                <w:rFonts w:hint="eastAsia" w:ascii="宋体" w:hAnsi="宋体" w:eastAsia="宋体" w:cs="宋体"/>
                <w:color w:val="auto"/>
                <w:sz w:val="24"/>
                <w:szCs w:val="24"/>
                <w:highlight w:val="none"/>
              </w:rPr>
            </w:pPr>
          </w:p>
        </w:tc>
        <w:tc>
          <w:tcPr>
            <w:tcW w:w="1283" w:type="dxa"/>
            <w:tcBorders>
              <w:left w:val="single" w:color="auto" w:sz="6" w:space="0"/>
            </w:tcBorders>
            <w:noWrap w:val="0"/>
            <w:vAlign w:val="center"/>
          </w:tcPr>
          <w:p w14:paraId="602F388A">
            <w:pPr>
              <w:spacing w:line="400" w:lineRule="exact"/>
              <w:jc w:val="center"/>
              <w:rPr>
                <w:rFonts w:hint="eastAsia" w:ascii="宋体" w:hAnsi="宋体" w:eastAsia="宋体" w:cs="宋体"/>
                <w:color w:val="auto"/>
                <w:sz w:val="24"/>
                <w:szCs w:val="24"/>
                <w:highlight w:val="none"/>
              </w:rPr>
            </w:pPr>
          </w:p>
        </w:tc>
      </w:tr>
      <w:tr w14:paraId="703D5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14:paraId="2B703234">
            <w:pPr>
              <w:pStyle w:val="47"/>
              <w:numPr>
                <w:ilvl w:val="0"/>
                <w:numId w:val="18"/>
              </w:numPr>
              <w:spacing w:line="400" w:lineRule="exact"/>
              <w:ind w:firstLineChars="0"/>
              <w:jc w:val="center"/>
              <w:rPr>
                <w:rFonts w:hint="eastAsia" w:ascii="宋体" w:hAnsi="宋体" w:eastAsia="宋体" w:cs="宋体"/>
                <w:color w:val="auto"/>
                <w:sz w:val="24"/>
                <w:szCs w:val="24"/>
                <w:highlight w:val="none"/>
              </w:rPr>
            </w:pPr>
          </w:p>
        </w:tc>
        <w:tc>
          <w:tcPr>
            <w:tcW w:w="1034" w:type="dxa"/>
            <w:noWrap w:val="0"/>
            <w:vAlign w:val="center"/>
          </w:tcPr>
          <w:p w14:paraId="2EF591F7">
            <w:pPr>
              <w:spacing w:line="400" w:lineRule="exact"/>
              <w:jc w:val="center"/>
              <w:rPr>
                <w:rFonts w:hint="eastAsia" w:ascii="宋体" w:hAnsi="宋体" w:eastAsia="宋体" w:cs="宋体"/>
                <w:color w:val="auto"/>
                <w:sz w:val="24"/>
                <w:szCs w:val="24"/>
                <w:highlight w:val="none"/>
              </w:rPr>
            </w:pPr>
          </w:p>
        </w:tc>
        <w:tc>
          <w:tcPr>
            <w:tcW w:w="662" w:type="dxa"/>
            <w:noWrap w:val="0"/>
            <w:vAlign w:val="center"/>
          </w:tcPr>
          <w:p w14:paraId="7B078A35">
            <w:pPr>
              <w:spacing w:line="400" w:lineRule="exact"/>
              <w:jc w:val="center"/>
              <w:rPr>
                <w:rFonts w:hint="eastAsia" w:ascii="宋体" w:hAnsi="宋体" w:eastAsia="宋体" w:cs="宋体"/>
                <w:color w:val="auto"/>
                <w:sz w:val="24"/>
                <w:szCs w:val="24"/>
                <w:highlight w:val="none"/>
              </w:rPr>
            </w:pPr>
          </w:p>
        </w:tc>
        <w:tc>
          <w:tcPr>
            <w:tcW w:w="658" w:type="dxa"/>
            <w:noWrap w:val="0"/>
            <w:vAlign w:val="center"/>
          </w:tcPr>
          <w:p w14:paraId="0FA550A9">
            <w:pPr>
              <w:spacing w:line="400" w:lineRule="exact"/>
              <w:jc w:val="center"/>
              <w:rPr>
                <w:rFonts w:hint="eastAsia" w:ascii="宋体" w:hAnsi="宋体" w:eastAsia="宋体" w:cs="宋体"/>
                <w:color w:val="auto"/>
                <w:sz w:val="24"/>
                <w:szCs w:val="24"/>
                <w:highlight w:val="none"/>
              </w:rPr>
            </w:pPr>
          </w:p>
        </w:tc>
        <w:tc>
          <w:tcPr>
            <w:tcW w:w="822" w:type="dxa"/>
            <w:noWrap w:val="0"/>
            <w:vAlign w:val="center"/>
          </w:tcPr>
          <w:p w14:paraId="773D1610">
            <w:pPr>
              <w:spacing w:line="400" w:lineRule="exact"/>
              <w:jc w:val="center"/>
              <w:rPr>
                <w:rFonts w:hint="eastAsia" w:ascii="宋体" w:hAnsi="宋体" w:eastAsia="宋体" w:cs="宋体"/>
                <w:color w:val="auto"/>
                <w:sz w:val="24"/>
                <w:szCs w:val="24"/>
                <w:highlight w:val="none"/>
              </w:rPr>
            </w:pPr>
          </w:p>
        </w:tc>
        <w:tc>
          <w:tcPr>
            <w:tcW w:w="1051" w:type="dxa"/>
            <w:noWrap w:val="0"/>
            <w:vAlign w:val="center"/>
          </w:tcPr>
          <w:p w14:paraId="4032A4CC">
            <w:pPr>
              <w:spacing w:line="400" w:lineRule="exact"/>
              <w:jc w:val="center"/>
              <w:rPr>
                <w:rFonts w:hint="eastAsia" w:ascii="宋体" w:hAnsi="宋体" w:eastAsia="宋体" w:cs="宋体"/>
                <w:color w:val="auto"/>
                <w:sz w:val="24"/>
                <w:szCs w:val="24"/>
                <w:highlight w:val="none"/>
              </w:rPr>
            </w:pPr>
          </w:p>
        </w:tc>
        <w:tc>
          <w:tcPr>
            <w:tcW w:w="731" w:type="dxa"/>
            <w:noWrap w:val="0"/>
            <w:vAlign w:val="center"/>
          </w:tcPr>
          <w:p w14:paraId="0869B6CA">
            <w:pPr>
              <w:spacing w:line="400" w:lineRule="exact"/>
              <w:jc w:val="center"/>
              <w:rPr>
                <w:rFonts w:hint="eastAsia" w:ascii="宋体" w:hAnsi="宋体" w:eastAsia="宋体" w:cs="宋体"/>
                <w:color w:val="auto"/>
                <w:sz w:val="24"/>
                <w:szCs w:val="24"/>
                <w:highlight w:val="none"/>
              </w:rPr>
            </w:pPr>
          </w:p>
        </w:tc>
        <w:tc>
          <w:tcPr>
            <w:tcW w:w="579" w:type="dxa"/>
            <w:noWrap w:val="0"/>
            <w:vAlign w:val="center"/>
          </w:tcPr>
          <w:p w14:paraId="67B89CA1">
            <w:pPr>
              <w:spacing w:line="400" w:lineRule="exact"/>
              <w:jc w:val="center"/>
              <w:rPr>
                <w:rFonts w:hint="eastAsia" w:ascii="宋体" w:hAnsi="宋体" w:eastAsia="宋体" w:cs="宋体"/>
                <w:color w:val="auto"/>
                <w:sz w:val="24"/>
                <w:szCs w:val="24"/>
                <w:highlight w:val="none"/>
              </w:rPr>
            </w:pPr>
          </w:p>
        </w:tc>
        <w:tc>
          <w:tcPr>
            <w:tcW w:w="924" w:type="dxa"/>
            <w:tcBorders>
              <w:right w:val="single" w:color="auto" w:sz="4" w:space="0"/>
            </w:tcBorders>
            <w:noWrap w:val="0"/>
            <w:vAlign w:val="center"/>
          </w:tcPr>
          <w:p w14:paraId="2473A4FB">
            <w:pPr>
              <w:spacing w:line="400" w:lineRule="exact"/>
              <w:jc w:val="center"/>
              <w:rPr>
                <w:rFonts w:hint="eastAsia" w:ascii="宋体" w:hAnsi="宋体" w:eastAsia="宋体" w:cs="宋体"/>
                <w:color w:val="auto"/>
                <w:sz w:val="24"/>
                <w:szCs w:val="24"/>
                <w:highlight w:val="none"/>
              </w:rPr>
            </w:pPr>
          </w:p>
        </w:tc>
        <w:tc>
          <w:tcPr>
            <w:tcW w:w="709" w:type="dxa"/>
            <w:tcBorders>
              <w:left w:val="single" w:color="auto" w:sz="4" w:space="0"/>
              <w:right w:val="single" w:color="auto" w:sz="6" w:space="0"/>
            </w:tcBorders>
            <w:noWrap w:val="0"/>
            <w:vAlign w:val="center"/>
          </w:tcPr>
          <w:p w14:paraId="1C64AE13">
            <w:pPr>
              <w:spacing w:line="400" w:lineRule="exact"/>
              <w:jc w:val="center"/>
              <w:rPr>
                <w:rFonts w:hint="eastAsia" w:ascii="宋体" w:hAnsi="宋体" w:eastAsia="宋体" w:cs="宋体"/>
                <w:color w:val="auto"/>
                <w:sz w:val="24"/>
                <w:szCs w:val="24"/>
                <w:highlight w:val="none"/>
              </w:rPr>
            </w:pPr>
          </w:p>
        </w:tc>
        <w:tc>
          <w:tcPr>
            <w:tcW w:w="1283" w:type="dxa"/>
            <w:tcBorders>
              <w:left w:val="single" w:color="auto" w:sz="6" w:space="0"/>
            </w:tcBorders>
            <w:noWrap w:val="0"/>
            <w:vAlign w:val="center"/>
          </w:tcPr>
          <w:p w14:paraId="3AFF118F">
            <w:pPr>
              <w:spacing w:line="400" w:lineRule="exact"/>
              <w:jc w:val="center"/>
              <w:rPr>
                <w:rFonts w:hint="eastAsia" w:ascii="宋体" w:hAnsi="宋体" w:eastAsia="宋体" w:cs="宋体"/>
                <w:color w:val="auto"/>
                <w:sz w:val="24"/>
                <w:szCs w:val="24"/>
                <w:highlight w:val="none"/>
              </w:rPr>
            </w:pPr>
          </w:p>
        </w:tc>
      </w:tr>
      <w:tr w14:paraId="69B3A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14:paraId="4DBAE7D5">
            <w:pPr>
              <w:pStyle w:val="47"/>
              <w:numPr>
                <w:ilvl w:val="0"/>
                <w:numId w:val="18"/>
              </w:numPr>
              <w:spacing w:line="400" w:lineRule="exact"/>
              <w:ind w:firstLineChars="0"/>
              <w:jc w:val="center"/>
              <w:rPr>
                <w:rFonts w:hint="eastAsia" w:ascii="宋体" w:hAnsi="宋体" w:eastAsia="宋体" w:cs="宋体"/>
                <w:color w:val="auto"/>
                <w:sz w:val="24"/>
                <w:szCs w:val="24"/>
                <w:highlight w:val="none"/>
              </w:rPr>
            </w:pPr>
          </w:p>
        </w:tc>
        <w:tc>
          <w:tcPr>
            <w:tcW w:w="1034" w:type="dxa"/>
            <w:noWrap w:val="0"/>
            <w:vAlign w:val="center"/>
          </w:tcPr>
          <w:p w14:paraId="113B367C">
            <w:pPr>
              <w:spacing w:line="400" w:lineRule="exact"/>
              <w:jc w:val="center"/>
              <w:rPr>
                <w:rFonts w:hint="eastAsia" w:ascii="宋体" w:hAnsi="宋体" w:eastAsia="宋体" w:cs="宋体"/>
                <w:color w:val="auto"/>
                <w:sz w:val="24"/>
                <w:szCs w:val="24"/>
                <w:highlight w:val="none"/>
              </w:rPr>
            </w:pPr>
          </w:p>
        </w:tc>
        <w:tc>
          <w:tcPr>
            <w:tcW w:w="662" w:type="dxa"/>
            <w:noWrap w:val="0"/>
            <w:vAlign w:val="center"/>
          </w:tcPr>
          <w:p w14:paraId="7ED4B204">
            <w:pPr>
              <w:spacing w:line="400" w:lineRule="exact"/>
              <w:jc w:val="center"/>
              <w:rPr>
                <w:rFonts w:hint="eastAsia" w:ascii="宋体" w:hAnsi="宋体" w:eastAsia="宋体" w:cs="宋体"/>
                <w:color w:val="auto"/>
                <w:sz w:val="24"/>
                <w:szCs w:val="24"/>
                <w:highlight w:val="none"/>
              </w:rPr>
            </w:pPr>
          </w:p>
        </w:tc>
        <w:tc>
          <w:tcPr>
            <w:tcW w:w="658" w:type="dxa"/>
            <w:noWrap w:val="0"/>
            <w:vAlign w:val="center"/>
          </w:tcPr>
          <w:p w14:paraId="2408B393">
            <w:pPr>
              <w:spacing w:line="400" w:lineRule="exact"/>
              <w:jc w:val="center"/>
              <w:rPr>
                <w:rFonts w:hint="eastAsia" w:ascii="宋体" w:hAnsi="宋体" w:eastAsia="宋体" w:cs="宋体"/>
                <w:color w:val="auto"/>
                <w:sz w:val="24"/>
                <w:szCs w:val="24"/>
                <w:highlight w:val="none"/>
              </w:rPr>
            </w:pPr>
          </w:p>
        </w:tc>
        <w:tc>
          <w:tcPr>
            <w:tcW w:w="822" w:type="dxa"/>
            <w:noWrap w:val="0"/>
            <w:vAlign w:val="center"/>
          </w:tcPr>
          <w:p w14:paraId="413B64BF">
            <w:pPr>
              <w:spacing w:line="400" w:lineRule="exact"/>
              <w:jc w:val="center"/>
              <w:rPr>
                <w:rFonts w:hint="eastAsia" w:ascii="宋体" w:hAnsi="宋体" w:eastAsia="宋体" w:cs="宋体"/>
                <w:color w:val="auto"/>
                <w:sz w:val="24"/>
                <w:szCs w:val="24"/>
                <w:highlight w:val="none"/>
              </w:rPr>
            </w:pPr>
          </w:p>
        </w:tc>
        <w:tc>
          <w:tcPr>
            <w:tcW w:w="1051" w:type="dxa"/>
            <w:noWrap w:val="0"/>
            <w:vAlign w:val="center"/>
          </w:tcPr>
          <w:p w14:paraId="72FFD7AC">
            <w:pPr>
              <w:spacing w:line="400" w:lineRule="exact"/>
              <w:jc w:val="center"/>
              <w:rPr>
                <w:rFonts w:hint="eastAsia" w:ascii="宋体" w:hAnsi="宋体" w:eastAsia="宋体" w:cs="宋体"/>
                <w:color w:val="auto"/>
                <w:sz w:val="24"/>
                <w:szCs w:val="24"/>
                <w:highlight w:val="none"/>
              </w:rPr>
            </w:pPr>
          </w:p>
        </w:tc>
        <w:tc>
          <w:tcPr>
            <w:tcW w:w="731" w:type="dxa"/>
            <w:noWrap w:val="0"/>
            <w:vAlign w:val="center"/>
          </w:tcPr>
          <w:p w14:paraId="221C2A21">
            <w:pPr>
              <w:spacing w:line="400" w:lineRule="exact"/>
              <w:jc w:val="center"/>
              <w:rPr>
                <w:rFonts w:hint="eastAsia" w:ascii="宋体" w:hAnsi="宋体" w:eastAsia="宋体" w:cs="宋体"/>
                <w:color w:val="auto"/>
                <w:sz w:val="24"/>
                <w:szCs w:val="24"/>
                <w:highlight w:val="none"/>
              </w:rPr>
            </w:pPr>
          </w:p>
        </w:tc>
        <w:tc>
          <w:tcPr>
            <w:tcW w:w="579" w:type="dxa"/>
            <w:noWrap w:val="0"/>
            <w:vAlign w:val="center"/>
          </w:tcPr>
          <w:p w14:paraId="259EB564">
            <w:pPr>
              <w:spacing w:line="400" w:lineRule="exact"/>
              <w:jc w:val="center"/>
              <w:rPr>
                <w:rFonts w:hint="eastAsia" w:ascii="宋体" w:hAnsi="宋体" w:eastAsia="宋体" w:cs="宋体"/>
                <w:color w:val="auto"/>
                <w:sz w:val="24"/>
                <w:szCs w:val="24"/>
                <w:highlight w:val="none"/>
              </w:rPr>
            </w:pPr>
          </w:p>
        </w:tc>
        <w:tc>
          <w:tcPr>
            <w:tcW w:w="924" w:type="dxa"/>
            <w:tcBorders>
              <w:right w:val="single" w:color="auto" w:sz="4" w:space="0"/>
            </w:tcBorders>
            <w:noWrap w:val="0"/>
            <w:vAlign w:val="center"/>
          </w:tcPr>
          <w:p w14:paraId="1CFFBC8D">
            <w:pPr>
              <w:spacing w:line="400" w:lineRule="exact"/>
              <w:jc w:val="center"/>
              <w:rPr>
                <w:rFonts w:hint="eastAsia" w:ascii="宋体" w:hAnsi="宋体" w:eastAsia="宋体" w:cs="宋体"/>
                <w:color w:val="auto"/>
                <w:sz w:val="24"/>
                <w:szCs w:val="24"/>
                <w:highlight w:val="none"/>
              </w:rPr>
            </w:pPr>
          </w:p>
        </w:tc>
        <w:tc>
          <w:tcPr>
            <w:tcW w:w="709" w:type="dxa"/>
            <w:tcBorders>
              <w:left w:val="single" w:color="auto" w:sz="4" w:space="0"/>
              <w:right w:val="single" w:color="auto" w:sz="6" w:space="0"/>
            </w:tcBorders>
            <w:noWrap w:val="0"/>
            <w:vAlign w:val="center"/>
          </w:tcPr>
          <w:p w14:paraId="509BF1DB">
            <w:pPr>
              <w:spacing w:line="400" w:lineRule="exact"/>
              <w:jc w:val="center"/>
              <w:rPr>
                <w:rFonts w:hint="eastAsia" w:ascii="宋体" w:hAnsi="宋体" w:eastAsia="宋体" w:cs="宋体"/>
                <w:color w:val="auto"/>
                <w:sz w:val="24"/>
                <w:szCs w:val="24"/>
                <w:highlight w:val="none"/>
              </w:rPr>
            </w:pPr>
          </w:p>
        </w:tc>
        <w:tc>
          <w:tcPr>
            <w:tcW w:w="1283" w:type="dxa"/>
            <w:tcBorders>
              <w:left w:val="single" w:color="auto" w:sz="6" w:space="0"/>
            </w:tcBorders>
            <w:noWrap w:val="0"/>
            <w:vAlign w:val="center"/>
          </w:tcPr>
          <w:p w14:paraId="76DF2864">
            <w:pPr>
              <w:spacing w:line="400" w:lineRule="exact"/>
              <w:jc w:val="center"/>
              <w:rPr>
                <w:rFonts w:hint="eastAsia" w:ascii="宋体" w:hAnsi="宋体" w:eastAsia="宋体" w:cs="宋体"/>
                <w:color w:val="auto"/>
                <w:sz w:val="24"/>
                <w:szCs w:val="24"/>
                <w:highlight w:val="none"/>
              </w:rPr>
            </w:pPr>
          </w:p>
        </w:tc>
      </w:tr>
    </w:tbl>
    <w:p w14:paraId="5DFD16AD">
      <w:pPr>
        <w:spacing w:line="50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备注：</w:t>
      </w:r>
      <w:r>
        <w:rPr>
          <w:rFonts w:hint="eastAsia" w:ascii="宋体" w:hAnsi="宋体" w:eastAsia="宋体" w:cs="宋体"/>
          <w:bCs/>
          <w:color w:val="auto"/>
          <w:sz w:val="24"/>
          <w:szCs w:val="24"/>
          <w:highlight w:val="none"/>
          <w:lang w:val="en-US" w:eastAsia="zh-CN"/>
        </w:rPr>
        <w:t>1、请</w:t>
      </w:r>
      <w:r>
        <w:rPr>
          <w:rFonts w:hint="eastAsia" w:ascii="宋体" w:hAnsi="宋体" w:eastAsia="宋体" w:cs="宋体"/>
          <w:color w:val="auto"/>
          <w:sz w:val="24"/>
          <w:szCs w:val="24"/>
          <w:highlight w:val="none"/>
        </w:rPr>
        <w:t>提交相应资料</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2、以上人员须提供拟投入人员的社保缴纳证明材料</w:t>
      </w:r>
      <w:r>
        <w:rPr>
          <w:rFonts w:hint="eastAsia" w:ascii="宋体" w:hAnsi="宋体" w:cs="宋体"/>
          <w:bCs/>
          <w:color w:val="auto"/>
          <w:sz w:val="24"/>
          <w:szCs w:val="24"/>
          <w:highlight w:val="none"/>
          <w:lang w:val="en-US" w:eastAsia="zh-CN"/>
        </w:rPr>
        <w:t>或劳动合同</w:t>
      </w:r>
      <w:r>
        <w:rPr>
          <w:rFonts w:hint="eastAsia" w:ascii="宋体" w:hAnsi="宋体" w:eastAsia="宋体" w:cs="宋体"/>
          <w:bCs/>
          <w:color w:val="auto"/>
          <w:sz w:val="24"/>
          <w:szCs w:val="24"/>
          <w:highlight w:val="none"/>
          <w:lang w:val="en-US" w:eastAsia="zh-CN"/>
        </w:rPr>
        <w:t>，如未提供或提供不全可能导致投标无效（不满足政府采购法二十二条规定）。</w:t>
      </w:r>
    </w:p>
    <w:p w14:paraId="6E19AD7C">
      <w:pPr>
        <w:spacing w:line="500" w:lineRule="exact"/>
        <w:rPr>
          <w:rFonts w:hint="eastAsia" w:ascii="宋体" w:hAnsi="宋体" w:eastAsia="宋体" w:cs="宋体"/>
          <w:color w:val="auto"/>
          <w:spacing w:val="4"/>
          <w:sz w:val="24"/>
          <w:szCs w:val="24"/>
          <w:highlight w:val="none"/>
        </w:rPr>
      </w:pPr>
    </w:p>
    <w:p w14:paraId="6356D610">
      <w:pPr>
        <w:spacing w:line="500" w:lineRule="exact"/>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投标人名称（</w:t>
      </w:r>
      <w:r>
        <w:rPr>
          <w:rFonts w:hint="eastAsia" w:ascii="宋体" w:hAnsi="宋体" w:eastAsia="宋体" w:cs="宋体"/>
          <w:color w:val="auto"/>
          <w:sz w:val="24"/>
          <w:szCs w:val="24"/>
          <w:highlight w:val="none"/>
        </w:rPr>
        <w:t>单位盖</w:t>
      </w:r>
      <w:r>
        <w:rPr>
          <w:rFonts w:hint="eastAsia" w:ascii="宋体" w:hAnsi="宋体" w:eastAsia="宋体" w:cs="宋体"/>
          <w:color w:val="auto"/>
          <w:spacing w:val="4"/>
          <w:sz w:val="24"/>
          <w:szCs w:val="24"/>
          <w:highlight w:val="none"/>
        </w:rPr>
        <w:t>公章）：                 日期：</w:t>
      </w:r>
    </w:p>
    <w:p w14:paraId="320E32AF">
      <w:pPr>
        <w:rPr>
          <w:rFonts w:hint="eastAsia" w:ascii="宋体" w:hAnsi="宋体" w:eastAsia="宋体" w:cs="宋体"/>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br w:type="page"/>
      </w:r>
    </w:p>
    <w:p w14:paraId="20975E5D">
      <w:pPr>
        <w:pStyle w:val="8"/>
        <w:numPr>
          <w:ilvl w:val="0"/>
          <w:numId w:val="0"/>
        </w:numPr>
        <w:overflowPunct w:val="0"/>
        <w:snapToGrid w:val="0"/>
        <w:spacing w:line="360" w:lineRule="auto"/>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投标单位的依法缴纳税收和社会保障资金的良好记录；</w:t>
      </w:r>
    </w:p>
    <w:p w14:paraId="0E9872C5">
      <w:pPr>
        <w:pStyle w:val="8"/>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具有良好的商业信誉和健全的财务会计</w:t>
      </w:r>
      <w:r>
        <w:rPr>
          <w:rFonts w:hint="eastAsia" w:ascii="宋体" w:hAnsi="宋体" w:cs="宋体"/>
          <w:b w:val="0"/>
          <w:bCs/>
          <w:color w:val="auto"/>
          <w:kern w:val="2"/>
          <w:sz w:val="24"/>
          <w:szCs w:val="24"/>
          <w:highlight w:val="none"/>
          <w:lang w:val="en-US" w:eastAsia="zh-CN" w:bidi="ar-SA"/>
        </w:rPr>
        <w:t>制度，依据招标公告要求提供（</w:t>
      </w:r>
      <w:r>
        <w:rPr>
          <w:rFonts w:hint="eastAsia" w:ascii="宋体" w:hAnsi="宋体" w:eastAsia="宋体" w:cs="宋体"/>
          <w:b w:val="0"/>
          <w:bCs/>
          <w:color w:val="auto"/>
          <w:kern w:val="2"/>
          <w:sz w:val="24"/>
          <w:szCs w:val="24"/>
          <w:highlight w:val="none"/>
          <w:lang w:val="en-US" w:eastAsia="zh-CN" w:bidi="ar-SA"/>
        </w:rPr>
        <w:t>202</w:t>
      </w:r>
      <w:r>
        <w:rPr>
          <w:rFonts w:hint="eastAsia" w:ascii="宋体" w:hAnsi="宋体" w:cs="宋体"/>
          <w:b w:val="0"/>
          <w:bCs/>
          <w:color w:val="auto"/>
          <w:kern w:val="2"/>
          <w:sz w:val="24"/>
          <w:szCs w:val="24"/>
          <w:highlight w:val="none"/>
          <w:lang w:val="en-US" w:eastAsia="zh-CN" w:bidi="ar-SA"/>
        </w:rPr>
        <w:t>5</w:t>
      </w:r>
      <w:r>
        <w:rPr>
          <w:rFonts w:hint="eastAsia" w:ascii="宋体" w:hAnsi="宋体" w:eastAsia="宋体" w:cs="宋体"/>
          <w:b w:val="0"/>
          <w:bCs/>
          <w:color w:val="auto"/>
          <w:kern w:val="2"/>
          <w:sz w:val="24"/>
          <w:szCs w:val="24"/>
          <w:highlight w:val="none"/>
          <w:lang w:val="en-US" w:eastAsia="zh-CN" w:bidi="ar-SA"/>
        </w:rPr>
        <w:t>年成立的公司不提供；</w:t>
      </w:r>
      <w:r>
        <w:rPr>
          <w:rFonts w:hint="eastAsia" w:ascii="宋体" w:hAnsi="宋体" w:eastAsia="宋体" w:cs="宋体"/>
          <w:b w:val="0"/>
          <w:bCs/>
          <w:color w:val="auto"/>
          <w:kern w:val="2"/>
          <w:sz w:val="21"/>
          <w:szCs w:val="20"/>
          <w:highlight w:val="none"/>
          <w:lang w:val="en-US" w:eastAsia="zh-CN" w:bidi="ar-SA"/>
        </w:rPr>
        <w:t>）</w:t>
      </w:r>
    </w:p>
    <w:p w14:paraId="3CC5FA0A">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06D4A235">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4255A577">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14B9B78F">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675655C9">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33A12941">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09AD0CC8">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02B3BFDD">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78BF4ED6">
      <w:pPr>
        <w:pStyle w:val="8"/>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14:paraId="2493992B">
      <w:pPr>
        <w:ind w:left="0" w:leftChars="0" w:firstLine="0" w:firstLineChars="0"/>
        <w:rPr>
          <w:rFonts w:hint="eastAsia" w:ascii="宋体" w:hAnsi="宋体" w:eastAsia="宋体" w:cs="宋体"/>
          <w:b/>
          <w:color w:val="auto"/>
          <w:kern w:val="2"/>
          <w:sz w:val="28"/>
          <w:szCs w:val="24"/>
          <w:highlight w:val="none"/>
          <w:lang w:val="en-US" w:eastAsia="zh-CN" w:bidi="ar-SA"/>
        </w:rPr>
      </w:pPr>
    </w:p>
    <w:p w14:paraId="146976D4">
      <w:pPr>
        <w:pStyle w:val="8"/>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14:paraId="6DD4BF10">
      <w:pPr>
        <w:pStyle w:val="9"/>
        <w:rPr>
          <w:rFonts w:hint="eastAsia"/>
          <w:color w:val="auto"/>
          <w:highlight w:val="none"/>
          <w:lang w:val="en-US" w:eastAsia="zh-CN"/>
        </w:rPr>
      </w:pPr>
    </w:p>
    <w:p w14:paraId="25AC4A90">
      <w:pPr>
        <w:pStyle w:val="8"/>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14:paraId="598B4401">
      <w:pPr>
        <w:pStyle w:val="8"/>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14:paraId="7075939A">
      <w:pP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br w:type="page"/>
      </w:r>
    </w:p>
    <w:p w14:paraId="7BC7DFA0">
      <w:pPr>
        <w:pStyle w:val="8"/>
        <w:numPr>
          <w:ilvl w:val="0"/>
          <w:numId w:val="0"/>
        </w:numPr>
        <w:overflowPunct w:val="0"/>
        <w:snapToGrid w:val="0"/>
        <w:spacing w:line="360" w:lineRule="auto"/>
        <w:jc w:val="center"/>
        <w:rPr>
          <w:rFonts w:hint="eastAsia" w:ascii="宋体" w:hAnsi="宋体" w:eastAsia="宋体" w:cs="宋体"/>
          <w:b/>
          <w:bCs w:val="0"/>
          <w:color w:val="auto"/>
          <w:kern w:val="2"/>
          <w:sz w:val="24"/>
          <w:szCs w:val="24"/>
          <w:highlight w:val="none"/>
          <w:lang w:val="en-US" w:eastAsia="zh-CN" w:bidi="ar-SA"/>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b w:val="0"/>
          <w:bCs/>
          <w:color w:val="auto"/>
          <w:kern w:val="2"/>
          <w:sz w:val="24"/>
          <w:szCs w:val="24"/>
          <w:highlight w:val="none"/>
          <w:lang w:val="en-US" w:eastAsia="zh-CN" w:bidi="ar-SA"/>
        </w:rPr>
        <w:t>投标保证金回单（以银行到账推送名单情况为准）或电子保函凭证</w:t>
      </w:r>
    </w:p>
    <w:p w14:paraId="3BB8E9B0">
      <w:pPr>
        <w:ind w:left="0" w:leftChars="0" w:firstLine="0" w:firstLineChars="0"/>
        <w:rPr>
          <w:rFonts w:hint="eastAsia" w:ascii="宋体" w:hAnsi="宋体" w:eastAsia="宋体" w:cs="宋体"/>
          <w:b/>
          <w:bCs w:val="0"/>
          <w:color w:val="auto"/>
          <w:kern w:val="2"/>
          <w:sz w:val="24"/>
          <w:szCs w:val="24"/>
          <w:highlight w:val="none"/>
          <w:lang w:val="en-US" w:eastAsia="zh-CN" w:bidi="ar-SA"/>
        </w:rPr>
      </w:pPr>
    </w:p>
    <w:p w14:paraId="445A3DD4">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14:paraId="55FB030A">
      <w:pPr>
        <w:pStyle w:val="8"/>
        <w:numPr>
          <w:ilvl w:val="0"/>
          <w:numId w:val="0"/>
        </w:numPr>
        <w:tabs>
          <w:tab w:val="left" w:pos="2160"/>
        </w:tabs>
        <w:overflowPunct w:val="0"/>
        <w:snapToGrid w:val="0"/>
        <w:spacing w:line="360" w:lineRule="auto"/>
        <w:ind w:leftChars="0"/>
        <w:jc w:val="center"/>
        <w:rPr>
          <w:rFonts w:hint="eastAsia" w:ascii="宋体" w:hAnsi="宋体" w:eastAsia="宋体" w:cs="宋体"/>
          <w:b/>
          <w:bCs w:val="0"/>
          <w:color w:val="auto"/>
          <w:kern w:val="2"/>
          <w:sz w:val="32"/>
          <w:szCs w:val="28"/>
          <w:highlight w:val="none"/>
          <w:lang w:val="en-US" w:eastAsia="zh-CN" w:bidi="ar-SA"/>
        </w:rPr>
      </w:pPr>
    </w:p>
    <w:p w14:paraId="773A0958">
      <w:pPr>
        <w:pStyle w:val="8"/>
        <w:numPr>
          <w:ilvl w:val="0"/>
          <w:numId w:val="0"/>
        </w:numPr>
        <w:tabs>
          <w:tab w:val="left" w:pos="2160"/>
        </w:tabs>
        <w:overflowPunct w:val="0"/>
        <w:snapToGrid w:val="0"/>
        <w:spacing w:line="360" w:lineRule="auto"/>
        <w:ind w:leftChars="0"/>
        <w:jc w:val="center"/>
        <w:rPr>
          <w:rFonts w:hint="eastAsia" w:ascii="宋体" w:hAnsi="宋体" w:eastAsia="宋体" w:cs="宋体"/>
          <w:color w:val="auto"/>
          <w:sz w:val="24"/>
          <w:szCs w:val="28"/>
          <w:highlight w:val="none"/>
        </w:rPr>
      </w:pPr>
      <w:r>
        <w:rPr>
          <w:rFonts w:hint="eastAsia" w:ascii="宋体" w:hAnsi="宋体" w:eastAsia="宋体" w:cs="宋体"/>
          <w:b/>
          <w:bCs w:val="0"/>
          <w:color w:val="auto"/>
          <w:kern w:val="2"/>
          <w:sz w:val="32"/>
          <w:szCs w:val="28"/>
          <w:highlight w:val="none"/>
          <w:lang w:val="en-US" w:eastAsia="zh-CN" w:bidi="ar-SA"/>
        </w:rPr>
        <w:t>技术、商务偏离表</w:t>
      </w:r>
    </w:p>
    <w:p w14:paraId="5794B52B">
      <w:pPr>
        <w:adjustRightInd w:val="0"/>
        <w:snapToGrid w:val="0"/>
        <w:spacing w:line="360" w:lineRule="auto"/>
        <w:rPr>
          <w:rFonts w:hint="eastAsia" w:ascii="宋体" w:hAnsi="宋体" w:eastAsia="宋体" w:cs="宋体"/>
          <w:color w:val="auto"/>
          <w:sz w:val="21"/>
          <w:szCs w:val="22"/>
          <w:highlight w:val="none"/>
          <w:u w:val="single"/>
        </w:rPr>
      </w:pPr>
      <w:r>
        <w:rPr>
          <w:rFonts w:hint="eastAsia" w:ascii="宋体" w:hAnsi="宋体" w:eastAsia="宋体" w:cs="宋体"/>
          <w:color w:val="auto"/>
          <w:sz w:val="21"/>
          <w:szCs w:val="22"/>
          <w:highlight w:val="none"/>
        </w:rPr>
        <w:t>项目名称：</w:t>
      </w:r>
    </w:p>
    <w:p w14:paraId="1968F4FC">
      <w:pPr>
        <w:adjustRightInd w:val="0"/>
        <w:snapToGrid w:val="0"/>
        <w:spacing w:line="360" w:lineRule="auto"/>
        <w:rPr>
          <w:rFonts w:hint="eastAsia" w:ascii="宋体" w:hAnsi="宋体" w:eastAsia="宋体" w:cs="宋体"/>
          <w:color w:val="auto"/>
          <w:sz w:val="24"/>
          <w:szCs w:val="28"/>
          <w:highlight w:val="none"/>
          <w:u w:val="single"/>
        </w:rPr>
      </w:pPr>
      <w:r>
        <w:rPr>
          <w:rFonts w:hint="eastAsia" w:ascii="宋体" w:hAnsi="宋体" w:eastAsia="宋体" w:cs="宋体"/>
          <w:color w:val="auto"/>
          <w:sz w:val="21"/>
          <w:szCs w:val="22"/>
          <w:highlight w:val="none"/>
        </w:rPr>
        <w:t>项目编号</w:t>
      </w:r>
      <w:r>
        <w:rPr>
          <w:rFonts w:hint="eastAsia" w:ascii="宋体" w:hAnsi="宋体" w:eastAsia="宋体" w:cs="宋体"/>
          <w:color w:val="auto"/>
          <w:sz w:val="24"/>
          <w:szCs w:val="28"/>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14:paraId="3E8D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14:paraId="5E8272A2">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序号</w:t>
            </w:r>
          </w:p>
        </w:tc>
        <w:tc>
          <w:tcPr>
            <w:tcW w:w="2181" w:type="dxa"/>
            <w:noWrap w:val="0"/>
            <w:vAlign w:val="center"/>
          </w:tcPr>
          <w:p w14:paraId="017859FF">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招标文件条目号</w:t>
            </w:r>
          </w:p>
        </w:tc>
        <w:tc>
          <w:tcPr>
            <w:tcW w:w="2552" w:type="dxa"/>
            <w:noWrap w:val="0"/>
            <w:vAlign w:val="center"/>
          </w:tcPr>
          <w:p w14:paraId="5B6D2FB1">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招标文件的</w:t>
            </w:r>
            <w:r>
              <w:rPr>
                <w:rFonts w:hint="eastAsia" w:ascii="宋体" w:hAnsi="宋体" w:cs="宋体"/>
                <w:color w:val="auto"/>
                <w:highlight w:val="none"/>
                <w:lang w:val="en-US" w:eastAsia="zh-CN"/>
              </w:rPr>
              <w:t>技术、</w:t>
            </w:r>
            <w:r>
              <w:rPr>
                <w:rFonts w:hint="eastAsia" w:ascii="宋体" w:hAnsi="宋体" w:eastAsia="宋体" w:cs="宋体"/>
                <w:color w:val="auto"/>
                <w:highlight w:val="none"/>
              </w:rPr>
              <w:t>商务条款</w:t>
            </w:r>
          </w:p>
        </w:tc>
        <w:tc>
          <w:tcPr>
            <w:tcW w:w="2551" w:type="dxa"/>
            <w:noWrap w:val="0"/>
            <w:vAlign w:val="center"/>
          </w:tcPr>
          <w:p w14:paraId="64DA3059">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文件的</w:t>
            </w:r>
            <w:r>
              <w:rPr>
                <w:rFonts w:hint="eastAsia" w:ascii="宋体" w:hAnsi="宋体" w:cs="宋体"/>
                <w:color w:val="auto"/>
                <w:highlight w:val="none"/>
                <w:lang w:val="en-US" w:eastAsia="zh-CN"/>
              </w:rPr>
              <w:t>技术、</w:t>
            </w:r>
            <w:r>
              <w:rPr>
                <w:rFonts w:hint="eastAsia" w:ascii="宋体" w:hAnsi="宋体" w:eastAsia="宋体" w:cs="宋体"/>
                <w:color w:val="auto"/>
                <w:highlight w:val="none"/>
              </w:rPr>
              <w:t>商务条款</w:t>
            </w:r>
          </w:p>
        </w:tc>
        <w:tc>
          <w:tcPr>
            <w:tcW w:w="1210" w:type="dxa"/>
            <w:noWrap w:val="0"/>
            <w:vAlign w:val="center"/>
          </w:tcPr>
          <w:p w14:paraId="5EB0317C">
            <w:pPr>
              <w:spacing w:line="400" w:lineRule="atLeast"/>
              <w:jc w:val="center"/>
              <w:rPr>
                <w:rFonts w:hint="eastAsia" w:ascii="宋体" w:hAnsi="宋体" w:eastAsia="宋体" w:cs="宋体"/>
                <w:color w:val="auto"/>
                <w:sz w:val="24"/>
                <w:szCs w:val="28"/>
                <w:highlight w:val="none"/>
              </w:rPr>
            </w:pPr>
            <w:r>
              <w:rPr>
                <w:rFonts w:hint="eastAsia" w:ascii="宋体" w:hAnsi="宋体" w:eastAsia="宋体" w:cs="宋体"/>
                <w:color w:val="auto"/>
                <w:highlight w:val="none"/>
              </w:rPr>
              <w:t>说明</w:t>
            </w:r>
          </w:p>
        </w:tc>
      </w:tr>
      <w:tr w14:paraId="38AB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96" w:type="dxa"/>
            <w:noWrap w:val="0"/>
            <w:vAlign w:val="center"/>
          </w:tcPr>
          <w:p w14:paraId="27878284">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p>
        </w:tc>
        <w:tc>
          <w:tcPr>
            <w:tcW w:w="2181" w:type="dxa"/>
            <w:noWrap w:val="0"/>
            <w:vAlign w:val="top"/>
          </w:tcPr>
          <w:p w14:paraId="3DD462C3">
            <w:pPr>
              <w:spacing w:line="360" w:lineRule="auto"/>
              <w:jc w:val="center"/>
              <w:rPr>
                <w:rFonts w:hint="eastAsia" w:ascii="宋体" w:hAnsi="宋体" w:eastAsia="宋体" w:cs="宋体"/>
                <w:color w:val="auto"/>
                <w:sz w:val="21"/>
                <w:szCs w:val="22"/>
                <w:highlight w:val="none"/>
              </w:rPr>
            </w:pPr>
          </w:p>
        </w:tc>
        <w:tc>
          <w:tcPr>
            <w:tcW w:w="2552" w:type="dxa"/>
            <w:noWrap w:val="0"/>
            <w:vAlign w:val="top"/>
          </w:tcPr>
          <w:p w14:paraId="39E60EB3">
            <w:pPr>
              <w:spacing w:line="360" w:lineRule="auto"/>
              <w:jc w:val="center"/>
              <w:rPr>
                <w:rFonts w:hint="eastAsia" w:ascii="宋体" w:hAnsi="宋体" w:eastAsia="宋体" w:cs="宋体"/>
                <w:color w:val="auto"/>
                <w:sz w:val="21"/>
                <w:szCs w:val="22"/>
                <w:highlight w:val="none"/>
              </w:rPr>
            </w:pPr>
          </w:p>
        </w:tc>
        <w:tc>
          <w:tcPr>
            <w:tcW w:w="2551" w:type="dxa"/>
            <w:noWrap w:val="0"/>
            <w:vAlign w:val="top"/>
          </w:tcPr>
          <w:p w14:paraId="199121B7">
            <w:pPr>
              <w:spacing w:line="360" w:lineRule="auto"/>
              <w:jc w:val="center"/>
              <w:rPr>
                <w:rFonts w:hint="eastAsia" w:ascii="宋体" w:hAnsi="宋体" w:eastAsia="宋体" w:cs="宋体"/>
                <w:color w:val="auto"/>
                <w:sz w:val="21"/>
                <w:szCs w:val="22"/>
                <w:highlight w:val="none"/>
              </w:rPr>
            </w:pPr>
          </w:p>
        </w:tc>
        <w:tc>
          <w:tcPr>
            <w:tcW w:w="1210" w:type="dxa"/>
            <w:noWrap w:val="0"/>
            <w:vAlign w:val="top"/>
          </w:tcPr>
          <w:p w14:paraId="05823157">
            <w:pPr>
              <w:spacing w:line="360" w:lineRule="auto"/>
              <w:jc w:val="center"/>
              <w:rPr>
                <w:rFonts w:hint="eastAsia" w:ascii="宋体" w:hAnsi="宋体" w:eastAsia="宋体" w:cs="宋体"/>
                <w:color w:val="auto"/>
                <w:sz w:val="21"/>
                <w:szCs w:val="22"/>
                <w:highlight w:val="none"/>
              </w:rPr>
            </w:pPr>
          </w:p>
        </w:tc>
      </w:tr>
      <w:tr w14:paraId="1AB8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noWrap w:val="0"/>
            <w:vAlign w:val="center"/>
          </w:tcPr>
          <w:p w14:paraId="00E9354E">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p>
        </w:tc>
        <w:tc>
          <w:tcPr>
            <w:tcW w:w="2181" w:type="dxa"/>
            <w:noWrap w:val="0"/>
            <w:vAlign w:val="center"/>
          </w:tcPr>
          <w:p w14:paraId="68C39A42">
            <w:pPr>
              <w:adjustRightInd w:val="0"/>
              <w:snapToGrid w:val="0"/>
              <w:jc w:val="center"/>
              <w:rPr>
                <w:rFonts w:hint="eastAsia" w:ascii="宋体" w:hAnsi="宋体" w:eastAsia="宋体" w:cs="宋体"/>
                <w:color w:val="auto"/>
                <w:sz w:val="24"/>
                <w:szCs w:val="28"/>
                <w:highlight w:val="none"/>
              </w:rPr>
            </w:pPr>
          </w:p>
        </w:tc>
        <w:tc>
          <w:tcPr>
            <w:tcW w:w="2552" w:type="dxa"/>
            <w:noWrap w:val="0"/>
            <w:vAlign w:val="center"/>
          </w:tcPr>
          <w:p w14:paraId="195F1DD2">
            <w:pPr>
              <w:adjustRightInd w:val="0"/>
              <w:snapToGrid w:val="0"/>
              <w:jc w:val="center"/>
              <w:rPr>
                <w:rFonts w:hint="eastAsia" w:ascii="宋体" w:hAnsi="宋体" w:eastAsia="宋体" w:cs="宋体"/>
                <w:color w:val="auto"/>
                <w:sz w:val="24"/>
                <w:szCs w:val="28"/>
                <w:highlight w:val="none"/>
              </w:rPr>
            </w:pPr>
          </w:p>
        </w:tc>
        <w:tc>
          <w:tcPr>
            <w:tcW w:w="2551" w:type="dxa"/>
            <w:noWrap w:val="0"/>
            <w:vAlign w:val="center"/>
          </w:tcPr>
          <w:p w14:paraId="5ED15A63">
            <w:pPr>
              <w:adjustRightInd w:val="0"/>
              <w:snapToGrid w:val="0"/>
              <w:jc w:val="center"/>
              <w:rPr>
                <w:rFonts w:hint="eastAsia" w:ascii="宋体" w:hAnsi="宋体" w:eastAsia="宋体" w:cs="宋体"/>
                <w:color w:val="auto"/>
                <w:sz w:val="24"/>
                <w:szCs w:val="28"/>
                <w:highlight w:val="none"/>
              </w:rPr>
            </w:pPr>
          </w:p>
        </w:tc>
        <w:tc>
          <w:tcPr>
            <w:tcW w:w="1210" w:type="dxa"/>
            <w:noWrap w:val="0"/>
            <w:vAlign w:val="center"/>
          </w:tcPr>
          <w:p w14:paraId="139155EA">
            <w:pPr>
              <w:adjustRightInd w:val="0"/>
              <w:snapToGrid w:val="0"/>
              <w:jc w:val="center"/>
              <w:rPr>
                <w:rFonts w:hint="eastAsia" w:ascii="宋体" w:hAnsi="宋体" w:eastAsia="宋体" w:cs="宋体"/>
                <w:color w:val="auto"/>
                <w:sz w:val="24"/>
                <w:szCs w:val="28"/>
                <w:highlight w:val="none"/>
              </w:rPr>
            </w:pPr>
          </w:p>
        </w:tc>
      </w:tr>
      <w:tr w14:paraId="7812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noWrap w:val="0"/>
            <w:vAlign w:val="center"/>
          </w:tcPr>
          <w:p w14:paraId="1A637820">
            <w:pPr>
              <w:adjustRightInd w:val="0"/>
              <w:snapToGrid w:val="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p>
        </w:tc>
        <w:tc>
          <w:tcPr>
            <w:tcW w:w="2181" w:type="dxa"/>
            <w:noWrap w:val="0"/>
            <w:vAlign w:val="center"/>
          </w:tcPr>
          <w:p w14:paraId="08E933E7">
            <w:pPr>
              <w:adjustRightInd w:val="0"/>
              <w:snapToGrid w:val="0"/>
              <w:jc w:val="center"/>
              <w:rPr>
                <w:rFonts w:hint="eastAsia" w:ascii="宋体" w:hAnsi="宋体" w:eastAsia="宋体" w:cs="宋体"/>
                <w:color w:val="auto"/>
                <w:sz w:val="24"/>
                <w:szCs w:val="28"/>
                <w:highlight w:val="none"/>
              </w:rPr>
            </w:pPr>
          </w:p>
        </w:tc>
        <w:tc>
          <w:tcPr>
            <w:tcW w:w="2552" w:type="dxa"/>
            <w:noWrap w:val="0"/>
            <w:vAlign w:val="center"/>
          </w:tcPr>
          <w:p w14:paraId="37BE8B64">
            <w:pPr>
              <w:adjustRightInd w:val="0"/>
              <w:snapToGrid w:val="0"/>
              <w:jc w:val="center"/>
              <w:rPr>
                <w:rFonts w:hint="eastAsia" w:ascii="宋体" w:hAnsi="宋体" w:eastAsia="宋体" w:cs="宋体"/>
                <w:color w:val="auto"/>
                <w:sz w:val="24"/>
                <w:szCs w:val="28"/>
                <w:highlight w:val="none"/>
              </w:rPr>
            </w:pPr>
          </w:p>
        </w:tc>
        <w:tc>
          <w:tcPr>
            <w:tcW w:w="2551" w:type="dxa"/>
            <w:noWrap w:val="0"/>
            <w:vAlign w:val="center"/>
          </w:tcPr>
          <w:p w14:paraId="03D35A66">
            <w:pPr>
              <w:adjustRightInd w:val="0"/>
              <w:snapToGrid w:val="0"/>
              <w:jc w:val="center"/>
              <w:rPr>
                <w:rFonts w:hint="eastAsia" w:ascii="宋体" w:hAnsi="宋体" w:eastAsia="宋体" w:cs="宋体"/>
                <w:color w:val="auto"/>
                <w:sz w:val="24"/>
                <w:szCs w:val="28"/>
                <w:highlight w:val="none"/>
              </w:rPr>
            </w:pPr>
          </w:p>
        </w:tc>
        <w:tc>
          <w:tcPr>
            <w:tcW w:w="1210" w:type="dxa"/>
            <w:noWrap w:val="0"/>
            <w:vAlign w:val="center"/>
          </w:tcPr>
          <w:p w14:paraId="390FC60E">
            <w:pPr>
              <w:adjustRightInd w:val="0"/>
              <w:snapToGrid w:val="0"/>
              <w:jc w:val="center"/>
              <w:rPr>
                <w:rFonts w:hint="eastAsia" w:ascii="宋体" w:hAnsi="宋体" w:eastAsia="宋体" w:cs="宋体"/>
                <w:color w:val="auto"/>
                <w:sz w:val="24"/>
                <w:szCs w:val="28"/>
                <w:highlight w:val="none"/>
              </w:rPr>
            </w:pPr>
          </w:p>
        </w:tc>
      </w:tr>
    </w:tbl>
    <w:p w14:paraId="7321AB03">
      <w:pPr>
        <w:adjustRightInd w:val="0"/>
        <w:snapToGrid w:val="0"/>
        <w:spacing w:line="360" w:lineRule="auto"/>
        <w:rPr>
          <w:rFonts w:hint="eastAsia" w:ascii="宋体" w:hAnsi="宋体" w:eastAsia="宋体" w:cs="宋体"/>
          <w:color w:val="auto"/>
          <w:sz w:val="24"/>
          <w:szCs w:val="28"/>
          <w:highlight w:val="none"/>
        </w:rPr>
      </w:pPr>
    </w:p>
    <w:p w14:paraId="17006EF5">
      <w:pPr>
        <w:adjustRightInd w:val="0"/>
        <w:snapToGrid w:val="0"/>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说明：</w:t>
      </w:r>
    </w:p>
    <w:p w14:paraId="3B05DA40">
      <w:pPr>
        <w:pStyle w:val="47"/>
        <w:numPr>
          <w:ilvl w:val="0"/>
          <w:numId w:val="19"/>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投标人必须对应</w:t>
      </w:r>
      <w:r>
        <w:rPr>
          <w:rFonts w:hint="eastAsia" w:ascii="宋体" w:hAnsi="宋体" w:eastAsia="宋体" w:cs="宋体"/>
          <w:color w:val="auto"/>
          <w:sz w:val="24"/>
          <w:highlight w:val="none"/>
          <w:lang w:val="en-US" w:eastAsia="zh-CN"/>
        </w:rPr>
        <w:t>采购需求</w:t>
      </w:r>
      <w:r>
        <w:rPr>
          <w:rFonts w:hint="eastAsia" w:ascii="宋体" w:hAnsi="宋体" w:eastAsia="宋体" w:cs="宋体"/>
          <w:color w:val="auto"/>
          <w:sz w:val="24"/>
          <w:highlight w:val="none"/>
        </w:rPr>
        <w:t>条款逐条应答并按要求填写</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采购文件规定的技术和</w:t>
      </w:r>
      <w:r>
        <w:rPr>
          <w:rFonts w:hint="eastAsia" w:ascii="宋体" w:hAnsi="宋体" w:cs="宋体"/>
          <w:color w:val="auto"/>
          <w:sz w:val="24"/>
          <w:highlight w:val="none"/>
          <w:lang w:val="en-US" w:eastAsia="zh-CN"/>
        </w:rPr>
        <w:t>商务</w:t>
      </w:r>
      <w:r>
        <w:rPr>
          <w:rFonts w:hint="eastAsia" w:ascii="宋体" w:hAnsi="宋体" w:eastAsia="宋体" w:cs="宋体"/>
          <w:color w:val="auto"/>
          <w:sz w:val="24"/>
          <w:highlight w:val="none"/>
        </w:rPr>
        <w:t>要求”项下填写的内容应与招标文件中采购需求</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rPr>
        <w:t>“技术要求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商务要求</w:t>
      </w:r>
      <w:r>
        <w:rPr>
          <w:rFonts w:hint="eastAsia" w:ascii="宋体" w:hAnsi="宋体" w:eastAsia="宋体" w:cs="宋体"/>
          <w:color w:val="auto"/>
          <w:sz w:val="24"/>
          <w:highlight w:val="none"/>
        </w:rPr>
        <w:t>”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67C4D756">
      <w:pPr>
        <w:pStyle w:val="47"/>
        <w:numPr>
          <w:ilvl w:val="0"/>
          <w:numId w:val="19"/>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投标人响应描述：</w:t>
      </w:r>
      <w:r>
        <w:rPr>
          <w:rFonts w:hint="eastAsia" w:ascii="宋体" w:hAnsi="宋体" w:eastAsia="宋体" w:cs="宋体"/>
          <w:bCs/>
          <w:color w:val="auto"/>
          <w:sz w:val="24"/>
          <w:highlight w:val="none"/>
        </w:rPr>
        <w:t>投标人按响应货物</w:t>
      </w:r>
      <w:r>
        <w:rPr>
          <w:rFonts w:hint="eastAsia" w:ascii="宋体" w:hAnsi="宋体" w:eastAsia="宋体" w:cs="宋体"/>
          <w:bCs/>
          <w:color w:val="auto"/>
          <w:sz w:val="24"/>
          <w:highlight w:val="none"/>
          <w:lang w:val="en-US" w:eastAsia="zh-CN"/>
        </w:rPr>
        <w:t>或服务</w:t>
      </w:r>
      <w:r>
        <w:rPr>
          <w:rFonts w:hint="eastAsia" w:ascii="宋体" w:hAnsi="宋体" w:eastAsia="宋体" w:cs="宋体"/>
          <w:bCs/>
          <w:color w:val="auto"/>
          <w:sz w:val="24"/>
          <w:highlight w:val="none"/>
        </w:rPr>
        <w:t>实际数据填写</w:t>
      </w:r>
      <w:r>
        <w:rPr>
          <w:rFonts w:hint="eastAsia" w:ascii="宋体" w:hAnsi="宋体" w:eastAsia="宋体" w:cs="宋体"/>
          <w:bCs/>
          <w:color w:val="auto"/>
          <w:sz w:val="24"/>
          <w:highlight w:val="none"/>
          <w:lang w:val="en-US" w:eastAsia="zh-CN"/>
        </w:rPr>
        <w:t>，否则视为未响应。</w:t>
      </w:r>
    </w:p>
    <w:p w14:paraId="56E8C6FC">
      <w:pPr>
        <w:pStyle w:val="47"/>
        <w:numPr>
          <w:ilvl w:val="0"/>
          <w:numId w:val="19"/>
        </w:numPr>
        <w:snapToGrid w:val="0"/>
        <w:spacing w:line="360" w:lineRule="auto"/>
        <w:ind w:firstLine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投标人应按招标文件要求附相关证明文件，如有任何一项不响应或不满足的视为负偏离。</w:t>
      </w:r>
    </w:p>
    <w:p w14:paraId="7F9A5282">
      <w:pPr>
        <w:pStyle w:val="47"/>
        <w:numPr>
          <w:ilvl w:val="0"/>
          <w:numId w:val="19"/>
        </w:numPr>
        <w:snapToGrid w:val="0"/>
        <w:spacing w:line="360" w:lineRule="auto"/>
        <w:ind w:firstLineChars="0"/>
        <w:rPr>
          <w:rFonts w:hint="eastAsia" w:ascii="宋体" w:hAnsi="宋体" w:eastAsia="宋体" w:cs="宋体"/>
          <w:bCs/>
          <w:snapToGrid w:val="0"/>
          <w:color w:val="auto"/>
          <w:sz w:val="24"/>
          <w:highlight w:val="none"/>
        </w:rPr>
      </w:pPr>
      <w:r>
        <w:rPr>
          <w:rFonts w:hint="eastAsia" w:ascii="宋体" w:hAnsi="宋体" w:eastAsia="宋体" w:cs="宋体"/>
          <w:snapToGrid w:val="0"/>
          <w:color w:val="auto"/>
          <w:sz w:val="24"/>
          <w:highlight w:val="none"/>
        </w:rPr>
        <w:t>偏离情况说明：投标人根据投标人实际情况填写“正偏离”“完全响应”或“负偏离”。</w:t>
      </w:r>
    </w:p>
    <w:p w14:paraId="60576218">
      <w:pPr>
        <w:adjustRightInd w:val="0"/>
        <w:snapToGrid w:val="0"/>
        <w:spacing w:line="360" w:lineRule="auto"/>
        <w:ind w:firstLine="480" w:firstLineChars="200"/>
        <w:outlineLvl w:val="2"/>
        <w:rPr>
          <w:rFonts w:hint="eastAsia" w:ascii="宋体" w:hAnsi="宋体" w:eastAsia="宋体" w:cs="宋体"/>
          <w:color w:val="auto"/>
          <w:sz w:val="24"/>
          <w:szCs w:val="28"/>
          <w:highlight w:val="none"/>
        </w:rPr>
      </w:pPr>
    </w:p>
    <w:p w14:paraId="042AB326">
      <w:pPr>
        <w:adjustRightInd w:val="0"/>
        <w:snapToGrid w:val="0"/>
        <w:spacing w:before="100" w:beforeAutospacing="1" w:after="100" w:afterAutospacing="1" w:line="360" w:lineRule="auto"/>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　投标单位：</w:t>
      </w:r>
      <w:r>
        <w:rPr>
          <w:rFonts w:hint="eastAsia" w:ascii="宋体" w:hAnsi="宋体" w:eastAsia="宋体" w:cs="宋体"/>
          <w:color w:val="auto"/>
          <w:sz w:val="24"/>
          <w:szCs w:val="28"/>
          <w:highlight w:val="none"/>
          <w:u w:val="none"/>
        </w:rPr>
        <w:t>（</w:t>
      </w:r>
      <w:r>
        <w:rPr>
          <w:rFonts w:hint="eastAsia" w:ascii="宋体" w:hAnsi="宋体" w:eastAsia="宋体" w:cs="宋体"/>
          <w:color w:val="auto"/>
          <w:sz w:val="24"/>
          <w:szCs w:val="28"/>
          <w:highlight w:val="none"/>
          <w:u w:val="none"/>
          <w:lang w:eastAsia="zh-CN"/>
        </w:rPr>
        <w:t>盖章</w:t>
      </w:r>
      <w:r>
        <w:rPr>
          <w:rFonts w:hint="eastAsia" w:ascii="宋体" w:hAnsi="宋体" w:eastAsia="宋体" w:cs="宋体"/>
          <w:color w:val="auto"/>
          <w:sz w:val="24"/>
          <w:szCs w:val="28"/>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54262455">
      <w:pPr>
        <w:adjustRightInd w:val="0"/>
        <w:snapToGrid w:val="0"/>
        <w:spacing w:line="360" w:lineRule="auto"/>
        <w:outlineLvl w:val="1"/>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bookmarkStart w:id="308" w:name="_Toc5383"/>
      <w:r>
        <w:rPr>
          <w:rFonts w:hint="eastAsia" w:ascii="宋体" w:hAnsi="宋体" w:eastAsia="宋体" w:cs="宋体"/>
          <w:color w:val="auto"/>
          <w:sz w:val="24"/>
          <w:szCs w:val="28"/>
          <w:highlight w:val="none"/>
        </w:rPr>
        <w:t>法定代表人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bookmarkEnd w:id="308"/>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56AA21E9">
      <w:pPr>
        <w:adjustRightInd w:val="0"/>
        <w:snapToGrid w:val="0"/>
        <w:spacing w:line="360" w:lineRule="auto"/>
        <w:rPr>
          <w:rFonts w:hint="eastAsia" w:ascii="宋体" w:hAnsi="宋体" w:eastAsia="宋体" w:cs="宋体"/>
          <w:color w:val="auto"/>
          <w:sz w:val="24"/>
          <w:szCs w:val="28"/>
          <w:highlight w:val="none"/>
        </w:rPr>
      </w:pPr>
    </w:p>
    <w:p w14:paraId="60BEE6C9">
      <w:pPr>
        <w:adjustRightInd w:val="0"/>
        <w:snapToGrid w:val="0"/>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2A8EDC8">
      <w:pPr>
        <w:pStyle w:val="8"/>
        <w:numPr>
          <w:ilvl w:val="0"/>
          <w:numId w:val="20"/>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35FD2E78">
      <w:pPr>
        <w:pStyle w:val="8"/>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14:paraId="79F8D1E9">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14:paraId="7F713778">
      <w:pPr>
        <w:pStyle w:val="8"/>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14:paraId="02487113">
      <w:pPr>
        <w:pStyle w:val="8"/>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投标人反商业贿赂承诺书</w:t>
      </w:r>
    </w:p>
    <w:p w14:paraId="5CF19197">
      <w:pPr>
        <w:autoSpaceDE w:val="0"/>
        <w:autoSpaceDN w:val="0"/>
        <w:adjustRightInd w:val="0"/>
        <w:spacing w:line="480" w:lineRule="auto"/>
        <w:ind w:firstLine="600" w:firstLineChars="2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我公司承诺在</w:t>
      </w:r>
      <w:r>
        <w:rPr>
          <w:rFonts w:hint="eastAsia" w:ascii="宋体" w:hAnsi="宋体" w:eastAsia="宋体" w:cs="宋体"/>
          <w:bCs/>
          <w:color w:val="auto"/>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14:paraId="2DA58095">
      <w:pPr>
        <w:autoSpaceDE w:val="0"/>
        <w:autoSpaceDN w:val="0"/>
        <w:adjustRightInd w:val="0"/>
        <w:spacing w:line="360" w:lineRule="auto"/>
        <w:ind w:firstLine="600" w:firstLineChars="250"/>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lang w:val="zh-CN"/>
        </w:rPr>
        <w:t xml:space="preserve"> </w:t>
      </w:r>
    </w:p>
    <w:p w14:paraId="2D8C8829">
      <w:pPr>
        <w:spacing w:before="100" w:beforeAutospacing="1" w:after="100" w:afterAutospacing="1"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投标单位：</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盖章</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511CE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none"/>
          <w:lang w:val="en-US" w:eastAsia="zh-CN"/>
        </w:rPr>
        <w:t>项目负责人：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B5996A8">
      <w:pPr>
        <w:spacing w:line="360" w:lineRule="auto"/>
        <w:ind w:firstLine="240" w:firstLineChars="100"/>
        <w:rPr>
          <w:rFonts w:hint="eastAsia" w:ascii="宋体" w:hAnsi="宋体" w:eastAsia="宋体" w:cs="宋体"/>
          <w:color w:val="auto"/>
          <w:sz w:val="24"/>
          <w:szCs w:val="24"/>
          <w:highlight w:val="none"/>
        </w:rPr>
      </w:pPr>
    </w:p>
    <w:p w14:paraId="04A8165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E8E0436">
      <w:pPr>
        <w:spacing w:line="360" w:lineRule="auto"/>
        <w:ind w:firstLine="210" w:firstLineChars="100"/>
        <w:rPr>
          <w:rFonts w:hint="eastAsia" w:ascii="宋体" w:hAnsi="宋体" w:eastAsia="宋体" w:cs="宋体"/>
          <w:color w:val="auto"/>
          <w:sz w:val="21"/>
          <w:szCs w:val="21"/>
          <w:highlight w:val="none"/>
          <w:lang w:val="zh-CN"/>
        </w:rPr>
      </w:pPr>
    </w:p>
    <w:p w14:paraId="772BFD02">
      <w:pPr>
        <w:spacing w:before="100" w:beforeAutospacing="1" w:after="100" w:afterAutospacing="1" w:line="360" w:lineRule="auto"/>
        <w:ind w:firstLine="465"/>
        <w:rPr>
          <w:rFonts w:hint="eastAsia" w:ascii="宋体" w:hAnsi="宋体" w:eastAsia="宋体" w:cs="宋体"/>
          <w:color w:val="auto"/>
          <w:sz w:val="21"/>
          <w:szCs w:val="21"/>
          <w:highlight w:val="none"/>
          <w:lang w:val="zh-CN"/>
        </w:rPr>
      </w:pPr>
    </w:p>
    <w:p w14:paraId="0FCE8B10">
      <w:pPr>
        <w:spacing w:before="100" w:beforeAutospacing="1" w:after="100" w:afterAutospacing="1"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CC549F4">
      <w:pPr>
        <w:spacing w:before="100" w:beforeAutospacing="1" w:after="100" w:afterAutospacing="1" w:line="360" w:lineRule="auto"/>
        <w:jc w:val="right"/>
        <w:rPr>
          <w:rFonts w:hint="eastAsia" w:ascii="宋体" w:hAnsi="宋体" w:eastAsia="宋体" w:cs="宋体"/>
          <w:color w:val="auto"/>
          <w:sz w:val="24"/>
          <w:szCs w:val="24"/>
          <w:highlight w:val="none"/>
        </w:rPr>
      </w:pPr>
    </w:p>
    <w:p w14:paraId="4E00A04E">
      <w:pPr>
        <w:pStyle w:val="8"/>
        <w:widowControl w:val="0"/>
        <w:numPr>
          <w:ilvl w:val="0"/>
          <w:numId w:val="0"/>
        </w:numPr>
        <w:overflowPunct w:val="0"/>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2B3AB033">
      <w:pPr>
        <w:spacing w:line="640" w:lineRule="exact"/>
        <w:jc w:val="both"/>
        <w:rPr>
          <w:rFonts w:hint="eastAsia" w:ascii="宋体" w:hAnsi="宋体" w:eastAsia="宋体" w:cs="宋体"/>
          <w:b/>
          <w:bCs w:val="0"/>
          <w:color w:val="auto"/>
          <w:kern w:val="2"/>
          <w:sz w:val="28"/>
          <w:szCs w:val="24"/>
          <w:highlight w:val="none"/>
          <w:lang w:val="en-US" w:eastAsia="zh-CN" w:bidi="ar-SA"/>
        </w:rPr>
      </w:pPr>
    </w:p>
    <w:p w14:paraId="7DED05A8">
      <w:pPr>
        <w:spacing w:line="640" w:lineRule="exact"/>
        <w:jc w:val="both"/>
        <w:rPr>
          <w:rFonts w:hint="eastAsia" w:ascii="宋体" w:hAnsi="宋体" w:eastAsia="宋体" w:cs="宋体"/>
          <w:b/>
          <w:bCs w:val="0"/>
          <w:color w:val="auto"/>
          <w:kern w:val="2"/>
          <w:sz w:val="28"/>
          <w:szCs w:val="24"/>
          <w:highlight w:val="none"/>
          <w:lang w:val="en-US" w:eastAsia="zh-CN" w:bidi="ar-SA"/>
        </w:rPr>
      </w:pPr>
    </w:p>
    <w:p w14:paraId="0FA09B24">
      <w:pPr>
        <w:spacing w:line="640" w:lineRule="exact"/>
        <w:jc w:val="both"/>
        <w:rPr>
          <w:rFonts w:hint="eastAsia" w:ascii="宋体" w:hAnsi="宋体" w:eastAsia="宋体" w:cs="宋体"/>
          <w:b/>
          <w:bCs w:val="0"/>
          <w:color w:val="auto"/>
          <w:kern w:val="2"/>
          <w:sz w:val="28"/>
          <w:szCs w:val="24"/>
          <w:highlight w:val="none"/>
          <w:lang w:val="en-US" w:eastAsia="zh-CN" w:bidi="ar-SA"/>
        </w:rPr>
      </w:pPr>
    </w:p>
    <w:p w14:paraId="1D7D7587">
      <w:pPr>
        <w:spacing w:line="640" w:lineRule="exact"/>
        <w:jc w:val="both"/>
        <w:rPr>
          <w:rFonts w:hint="eastAsia" w:ascii="宋体" w:hAnsi="宋体" w:eastAsia="宋体" w:cs="宋体"/>
          <w:b/>
          <w:bCs w:val="0"/>
          <w:color w:val="auto"/>
          <w:kern w:val="2"/>
          <w:sz w:val="28"/>
          <w:szCs w:val="24"/>
          <w:highlight w:val="none"/>
          <w:lang w:val="en-US" w:eastAsia="zh-CN" w:bidi="ar-SA"/>
        </w:rPr>
      </w:pPr>
    </w:p>
    <w:p w14:paraId="019D48BB">
      <w:pPr>
        <w:spacing w:line="640" w:lineRule="exact"/>
        <w:jc w:val="both"/>
        <w:rPr>
          <w:rFonts w:hint="eastAsia" w:ascii="宋体" w:hAnsi="宋体" w:eastAsia="宋体" w:cs="宋体"/>
          <w:b/>
          <w:bCs w:val="0"/>
          <w:color w:val="auto"/>
          <w:kern w:val="2"/>
          <w:sz w:val="28"/>
          <w:szCs w:val="24"/>
          <w:highlight w:val="none"/>
          <w:lang w:val="en-US" w:eastAsia="zh-CN" w:bidi="ar-SA"/>
        </w:rPr>
      </w:pPr>
    </w:p>
    <w:p w14:paraId="5E3F6FD8">
      <w:pPr>
        <w:spacing w:line="640" w:lineRule="exact"/>
        <w:ind w:firstLine="569" w:firstLineChars="177"/>
        <w:jc w:val="center"/>
        <w:rPr>
          <w:rFonts w:hint="eastAsia" w:ascii="宋体" w:hAnsi="宋体" w:eastAsia="宋体" w:cs="宋体"/>
          <w:b/>
          <w:bCs w:val="0"/>
          <w:color w:val="auto"/>
          <w:kern w:val="2"/>
          <w:sz w:val="32"/>
          <w:szCs w:val="28"/>
          <w:highlight w:val="none"/>
          <w:lang w:val="en-US" w:eastAsia="zh-CN" w:bidi="ar-SA"/>
        </w:rPr>
      </w:pPr>
    </w:p>
    <w:p w14:paraId="50243A59">
      <w:pPr>
        <w:spacing w:line="640" w:lineRule="exact"/>
        <w:ind w:firstLine="569" w:firstLineChars="177"/>
        <w:jc w:val="center"/>
        <w:rPr>
          <w:rFonts w:hint="eastAsia" w:ascii="宋体" w:hAnsi="宋体" w:eastAsia="宋体" w:cs="宋体"/>
          <w:color w:val="auto"/>
          <w:sz w:val="32"/>
          <w:szCs w:val="32"/>
          <w:highlight w:val="none"/>
        </w:rPr>
      </w:pPr>
      <w:r>
        <w:rPr>
          <w:rFonts w:hint="eastAsia" w:ascii="宋体" w:hAnsi="宋体" w:eastAsia="宋体" w:cs="宋体"/>
          <w:b/>
          <w:bCs w:val="0"/>
          <w:color w:val="auto"/>
          <w:kern w:val="2"/>
          <w:sz w:val="32"/>
          <w:szCs w:val="28"/>
          <w:highlight w:val="none"/>
          <w:lang w:val="en-US" w:eastAsia="zh-CN" w:bidi="ar-SA"/>
        </w:rPr>
        <w:t>无围标、串标等违法违规行为承诺书</w:t>
      </w:r>
    </w:p>
    <w:p w14:paraId="229A6533">
      <w:pPr>
        <w:spacing w:line="640" w:lineRule="exact"/>
        <w:jc w:val="left"/>
        <w:rPr>
          <w:rFonts w:hint="eastAsia" w:ascii="宋体" w:hAnsi="宋体" w:eastAsia="宋体" w:cs="宋体"/>
          <w:color w:val="auto"/>
          <w:sz w:val="24"/>
          <w:szCs w:val="24"/>
          <w:highlight w:val="none"/>
        </w:rPr>
      </w:pPr>
    </w:p>
    <w:p w14:paraId="0D3BCE7D">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本人作为</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的法人，清楚知晓我公司本项目投标活动，对以下事项作出承诺：</w:t>
      </w:r>
    </w:p>
    <w:p w14:paraId="1FCFF554">
      <w:pPr>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一、我单位遵循公开、公平、公正、诚实守信的原则，依法依规参与本项目竞标。</w:t>
      </w:r>
    </w:p>
    <w:p w14:paraId="11B7B1D6">
      <w:pPr>
        <w:spacing w:line="640" w:lineRule="exact"/>
        <w:ind w:firstLine="480" w:firstLineChars="200"/>
        <w:outlineLvl w:val="1"/>
        <w:rPr>
          <w:rFonts w:hint="eastAsia" w:ascii="宋体" w:hAnsi="宋体" w:eastAsia="宋体" w:cs="宋体"/>
          <w:color w:val="auto"/>
          <w:sz w:val="24"/>
          <w:szCs w:val="24"/>
          <w:highlight w:val="none"/>
        </w:rPr>
      </w:pPr>
      <w:bookmarkStart w:id="309" w:name="_Toc3592"/>
      <w:r>
        <w:rPr>
          <w:rFonts w:hint="eastAsia" w:ascii="宋体" w:hAnsi="宋体" w:eastAsia="宋体" w:cs="宋体"/>
          <w:color w:val="auto"/>
          <w:sz w:val="24"/>
          <w:szCs w:val="24"/>
          <w:highlight w:val="none"/>
        </w:rPr>
        <w:t>二、我单位在本项目招标投标活动中，未参与围标串标。</w:t>
      </w:r>
      <w:bookmarkEnd w:id="309"/>
    </w:p>
    <w:p w14:paraId="2FE22D9B">
      <w:pPr>
        <w:spacing w:line="6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14:paraId="7AE93F57">
      <w:pPr>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1DE3EAB1">
      <w:pPr>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1EDB04BB">
      <w:pPr>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0A37090">
      <w:pPr>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969BA08">
      <w:pPr>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7C97C4A">
      <w:pPr>
        <w:spacing w:line="640" w:lineRule="exact"/>
        <w:jc w:val="left"/>
        <w:rPr>
          <w:rFonts w:hint="eastAsia" w:ascii="宋体" w:hAnsi="宋体" w:eastAsia="宋体" w:cs="宋体"/>
          <w:color w:val="auto"/>
          <w:sz w:val="24"/>
          <w:szCs w:val="24"/>
          <w:highlight w:val="none"/>
        </w:rPr>
      </w:pPr>
    </w:p>
    <w:p w14:paraId="2F0A1C14">
      <w:pPr>
        <w:spacing w:line="640" w:lineRule="exact"/>
        <w:ind w:firstLine="4080" w:firstLineChars="1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11ACF8B">
      <w:pPr>
        <w:pStyle w:val="8"/>
        <w:numPr>
          <w:ilvl w:val="0"/>
          <w:numId w:val="0"/>
        </w:numPr>
        <w:overflowPunct w:val="0"/>
        <w:snapToGrid w:val="0"/>
        <w:spacing w:line="360" w:lineRule="auto"/>
        <w:ind w:leftChars="0"/>
        <w:jc w:val="right"/>
        <w:rPr>
          <w:rFonts w:hint="eastAsia" w:ascii="宋体" w:hAnsi="宋体" w:eastAsia="宋体" w:cs="宋体"/>
          <w:b/>
          <w:bCs w:val="0"/>
          <w:color w:val="auto"/>
          <w:kern w:val="2"/>
          <w:sz w:val="24"/>
          <w:szCs w:val="24"/>
          <w:highlight w:val="none"/>
          <w:lang w:val="en-US" w:eastAsia="zh-CN" w:bidi="ar-SA"/>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B38E9F7">
      <w:pPr>
        <w:pStyle w:val="8"/>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14:paraId="7007A6EC">
      <w:pPr>
        <w:pStyle w:val="18"/>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bookmarkStart w:id="310" w:name="_Toc28072"/>
    </w:p>
    <w:p w14:paraId="2E700DD8">
      <w:pPr>
        <w:pStyle w:val="18"/>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bookmarkEnd w:id="310"/>
    <w:p w14:paraId="434A5605">
      <w:pPr>
        <w:pStyle w:val="18"/>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p>
    <w:p w14:paraId="238126C1">
      <w:pPr>
        <w:pStyle w:val="18"/>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中小企业声明函、监狱企业、残疾人福利性单位及其他相关的充分的证明材料</w:t>
      </w:r>
    </w:p>
    <w:p w14:paraId="1722EBDE">
      <w:pPr>
        <w:spacing w:before="240" w:beforeLines="100" w:after="240" w:afterLines="10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中小企业声明函（工程、服务）格式</w:t>
      </w:r>
    </w:p>
    <w:p w14:paraId="244660B9">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E737911">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，从业人员______人，营业收入为______万元，资产总额为______万元，属于（中型企业、小型企业、微型企业）；</w:t>
      </w:r>
    </w:p>
    <w:p w14:paraId="658F1500">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14:paraId="4BC23759">
      <w:pPr>
        <w:spacing w:line="360" w:lineRule="auto"/>
        <w:ind w:firstLine="504"/>
        <w:rPr>
          <w:rFonts w:hint="eastAsia" w:ascii="宋体" w:hAnsi="宋体" w:eastAsia="宋体" w:cs="宋体"/>
          <w:color w:val="auto"/>
          <w:spacing w:val="6"/>
          <w:sz w:val="24"/>
          <w:highlight w:val="none"/>
        </w:rPr>
      </w:pPr>
    </w:p>
    <w:p w14:paraId="0C8D1B5D">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14:paraId="4D3BF5F4">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14:paraId="4C84D1FC">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14:paraId="67773616">
      <w:pPr>
        <w:spacing w:line="360" w:lineRule="auto"/>
        <w:ind w:right="360" w:firstLine="480"/>
        <w:jc w:val="right"/>
        <w:rPr>
          <w:rFonts w:hint="eastAsia" w:ascii="宋体" w:hAnsi="宋体" w:eastAsia="宋体" w:cs="宋体"/>
          <w:color w:val="auto"/>
          <w:sz w:val="24"/>
          <w:highlight w:val="none"/>
        </w:rPr>
      </w:pPr>
    </w:p>
    <w:p w14:paraId="0E9FA6FC">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企业名称（盖章）：________</w:t>
      </w:r>
    </w:p>
    <w:p w14:paraId="2A5CE2F4">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期：________</w:t>
      </w:r>
    </w:p>
    <w:p w14:paraId="2FA001EB">
      <w:pPr>
        <w:rPr>
          <w:rStyle w:val="36"/>
          <w:rFonts w:hint="eastAsia" w:ascii="宋体" w:hAnsi="宋体" w:eastAsia="宋体" w:cs="宋体"/>
          <w:bCs w:val="0"/>
          <w:color w:val="auto"/>
          <w:kern w:val="2"/>
          <w:sz w:val="28"/>
          <w:szCs w:val="28"/>
          <w:highlight w:val="none"/>
          <w:lang w:val="en-US" w:eastAsia="zh-CN" w:bidi="ar-SA"/>
        </w:rPr>
      </w:pPr>
      <w:r>
        <w:rPr>
          <w:rStyle w:val="36"/>
          <w:rFonts w:hint="eastAsia" w:ascii="宋体" w:hAnsi="宋体" w:eastAsia="宋体" w:cs="宋体"/>
          <w:bCs w:val="0"/>
          <w:color w:val="auto"/>
          <w:kern w:val="2"/>
          <w:sz w:val="28"/>
          <w:szCs w:val="28"/>
          <w:highlight w:val="none"/>
          <w:lang w:val="en-US" w:eastAsia="zh-CN" w:bidi="ar-SA"/>
        </w:rPr>
        <w:br w:type="page"/>
      </w:r>
    </w:p>
    <w:p w14:paraId="156F35DA">
      <w:pPr>
        <w:snapToGrid w:val="0"/>
        <w:spacing w:line="360" w:lineRule="auto"/>
        <w:ind w:left="0" w:leftChars="0" w:firstLine="0" w:firstLineChars="0"/>
        <w:jc w:val="center"/>
        <w:rPr>
          <w:rStyle w:val="36"/>
          <w:rFonts w:hint="eastAsia" w:ascii="宋体" w:hAnsi="宋体" w:eastAsia="宋体" w:cs="宋体"/>
          <w:bCs w:val="0"/>
          <w:color w:val="auto"/>
          <w:kern w:val="2"/>
          <w:sz w:val="28"/>
          <w:szCs w:val="28"/>
          <w:highlight w:val="none"/>
          <w:lang w:val="en-US" w:eastAsia="zh-CN" w:bidi="ar-SA"/>
        </w:rPr>
      </w:pPr>
      <w:r>
        <w:rPr>
          <w:rStyle w:val="36"/>
          <w:rFonts w:hint="eastAsia" w:ascii="宋体" w:hAnsi="宋体" w:eastAsia="宋体" w:cs="宋体"/>
          <w:bCs w:val="0"/>
          <w:color w:val="auto"/>
          <w:kern w:val="2"/>
          <w:sz w:val="28"/>
          <w:szCs w:val="28"/>
          <w:highlight w:val="none"/>
          <w:lang w:val="en-US" w:eastAsia="zh-CN" w:bidi="ar-SA"/>
        </w:rPr>
        <w:t>监狱企业声明函</w:t>
      </w:r>
    </w:p>
    <w:p w14:paraId="5793695D">
      <w:pPr>
        <w:spacing w:line="480" w:lineRule="auto"/>
        <w:ind w:firstLine="420" w:firstLineChars="200"/>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【不属于监狱企业的无需填写、递交】</w:t>
      </w:r>
    </w:p>
    <w:p w14:paraId="42E82E7A">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监狱企业承接的服务），具体情况如下：（按照实际情况勾选或填空）</w:t>
      </w:r>
    </w:p>
    <w:p w14:paraId="55CA7F5E">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14:paraId="24463A9B">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w:t>
      </w:r>
      <w:r>
        <w:rPr>
          <w:rFonts w:hint="eastAsia" w:ascii="宋体" w:hAnsi="宋体" w:cs="宋体"/>
          <w:color w:val="auto"/>
          <w:kern w:val="0"/>
          <w:sz w:val="24"/>
          <w:highlight w:val="none"/>
          <w:lang w:eastAsia="zh-CN"/>
        </w:rPr>
        <w:t>占</w:t>
      </w:r>
      <w:r>
        <w:rPr>
          <w:rFonts w:hint="eastAsia" w:ascii="宋体" w:hAnsi="宋体" w:eastAsia="宋体" w:cs="宋体"/>
          <w:color w:val="auto"/>
          <w:kern w:val="0"/>
          <w:sz w:val="24"/>
          <w:highlight w:val="none"/>
        </w:rPr>
        <w:t>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14:paraId="37A75EDE">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14:paraId="7CBA9056">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14:paraId="67C841F8">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2D8CFAA8">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14:paraId="383323C3">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14:paraId="1F4D823B">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14:paraId="4B471BBE">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14:paraId="5F4DD770">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14:paraId="3D10091F">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14:paraId="0B90CD53">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14:paraId="39E8D454">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14:paraId="038AA456">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14:paraId="37A29BC7">
      <w:pPr>
        <w:pStyle w:val="21"/>
        <w:rPr>
          <w:rFonts w:hint="eastAsia" w:ascii="宋体" w:hAnsi="宋体" w:eastAsia="宋体" w:cs="宋体"/>
          <w:color w:val="auto"/>
          <w:kern w:val="0"/>
          <w:sz w:val="24"/>
          <w:szCs w:val="20"/>
          <w:highlight w:val="none"/>
          <w:lang w:val="en-US" w:eastAsia="zh-CN" w:bidi="ar-SA"/>
        </w:rPr>
      </w:pPr>
    </w:p>
    <w:p w14:paraId="196B0090">
      <w:pPr>
        <w:rPr>
          <w:rFonts w:hint="eastAsia" w:ascii="宋体" w:hAnsi="宋体" w:eastAsia="宋体" w:cs="宋体"/>
          <w:color w:val="auto"/>
          <w:kern w:val="0"/>
          <w:sz w:val="24"/>
          <w:szCs w:val="20"/>
          <w:highlight w:val="none"/>
          <w:lang w:val="en-US" w:eastAsia="zh-CN" w:bidi="ar-SA"/>
        </w:rPr>
      </w:pPr>
    </w:p>
    <w:p w14:paraId="65761921">
      <w:pPr>
        <w:pStyle w:val="21"/>
        <w:rPr>
          <w:rFonts w:hint="eastAsia" w:ascii="宋体" w:hAnsi="宋体" w:eastAsia="宋体" w:cs="宋体"/>
          <w:color w:val="auto"/>
          <w:kern w:val="0"/>
          <w:sz w:val="24"/>
          <w:szCs w:val="20"/>
          <w:highlight w:val="none"/>
          <w:lang w:val="en-US" w:eastAsia="zh-CN" w:bidi="ar-SA"/>
        </w:rPr>
      </w:pPr>
    </w:p>
    <w:p w14:paraId="2E040861">
      <w:pPr>
        <w:rPr>
          <w:rFonts w:hint="eastAsia" w:ascii="宋体" w:hAnsi="宋体" w:eastAsia="宋体" w:cs="宋体"/>
          <w:color w:val="auto"/>
          <w:kern w:val="0"/>
          <w:sz w:val="24"/>
          <w:szCs w:val="20"/>
          <w:highlight w:val="none"/>
          <w:lang w:val="en-US" w:eastAsia="zh-CN" w:bidi="ar-SA"/>
        </w:rPr>
      </w:pPr>
    </w:p>
    <w:p w14:paraId="04536F23">
      <w:pPr>
        <w:pStyle w:val="21"/>
        <w:rPr>
          <w:rFonts w:hint="eastAsia" w:ascii="宋体" w:hAnsi="宋体" w:eastAsia="宋体" w:cs="宋体"/>
          <w:color w:val="auto"/>
          <w:kern w:val="0"/>
          <w:sz w:val="24"/>
          <w:szCs w:val="20"/>
          <w:highlight w:val="none"/>
          <w:lang w:val="en-US" w:eastAsia="zh-CN" w:bidi="ar-SA"/>
        </w:rPr>
      </w:pPr>
    </w:p>
    <w:p w14:paraId="29CE817B">
      <w:pPr>
        <w:snapToGrid w:val="0"/>
        <w:spacing w:line="360" w:lineRule="auto"/>
        <w:ind w:left="0" w:leftChars="0" w:firstLine="0" w:firstLineChars="0"/>
        <w:jc w:val="both"/>
        <w:rPr>
          <w:rFonts w:hint="eastAsia" w:ascii="宋体" w:hAnsi="宋体" w:eastAsia="宋体" w:cs="宋体"/>
          <w:b/>
          <w:color w:val="auto"/>
          <w:spacing w:val="6"/>
          <w:highlight w:val="none"/>
        </w:rPr>
      </w:pPr>
    </w:p>
    <w:p w14:paraId="1119F0E8">
      <w:pPr>
        <w:snapToGrid w:val="0"/>
        <w:spacing w:line="360" w:lineRule="auto"/>
        <w:jc w:val="center"/>
        <w:rPr>
          <w:rStyle w:val="36"/>
          <w:rFonts w:hint="eastAsia" w:ascii="宋体" w:hAnsi="宋体" w:eastAsia="宋体" w:cs="宋体"/>
          <w:bCs w:val="0"/>
          <w:color w:val="auto"/>
          <w:kern w:val="2"/>
          <w:sz w:val="28"/>
          <w:szCs w:val="28"/>
          <w:highlight w:val="none"/>
          <w:lang w:val="en-US" w:eastAsia="zh-CN" w:bidi="ar-SA"/>
        </w:rPr>
      </w:pPr>
      <w:r>
        <w:rPr>
          <w:rStyle w:val="36"/>
          <w:rFonts w:hint="eastAsia" w:ascii="宋体" w:hAnsi="宋体" w:eastAsia="宋体" w:cs="宋体"/>
          <w:bCs w:val="0"/>
          <w:color w:val="auto"/>
          <w:kern w:val="2"/>
          <w:sz w:val="28"/>
          <w:szCs w:val="28"/>
          <w:highlight w:val="none"/>
          <w:lang w:val="en-US" w:eastAsia="zh-CN" w:bidi="ar-SA"/>
        </w:rPr>
        <w:t>残疾人福利性单位声明函</w:t>
      </w:r>
    </w:p>
    <w:p w14:paraId="653197BE">
      <w:pPr>
        <w:spacing w:line="48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C06BCC">
      <w:pPr>
        <w:spacing w:line="48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本单位对上述声明的真实性负责。如有虚假，将依法承担相应责任。</w:t>
      </w:r>
    </w:p>
    <w:p w14:paraId="37D4F4FC">
      <w:pPr>
        <w:spacing w:line="480" w:lineRule="auto"/>
        <w:ind w:firstLine="480" w:firstLineChars="200"/>
        <w:outlineLvl w:val="1"/>
        <w:rPr>
          <w:rFonts w:hint="eastAsia" w:ascii="宋体" w:hAnsi="宋体" w:eastAsia="宋体" w:cs="宋体"/>
          <w:color w:val="auto"/>
          <w:sz w:val="24"/>
          <w:szCs w:val="24"/>
          <w:highlight w:val="none"/>
          <w:lang w:val="en-US" w:eastAsia="zh-CN"/>
        </w:rPr>
      </w:pPr>
    </w:p>
    <w:p w14:paraId="301645BD">
      <w:pPr>
        <w:spacing w:line="480" w:lineRule="auto"/>
        <w:ind w:firstLine="480" w:firstLineChars="200"/>
        <w:outlineLvl w:val="1"/>
        <w:rPr>
          <w:rFonts w:hint="eastAsia" w:ascii="宋体" w:hAnsi="宋体" w:eastAsia="宋体" w:cs="宋体"/>
          <w:color w:val="auto"/>
          <w:sz w:val="24"/>
          <w:szCs w:val="24"/>
          <w:highlight w:val="none"/>
          <w:lang w:val="en-US" w:eastAsia="zh-CN"/>
        </w:rPr>
      </w:pPr>
    </w:p>
    <w:p w14:paraId="3A3CE0EE">
      <w:pPr>
        <w:spacing w:line="48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单位名称（盖章）：</w:t>
      </w:r>
    </w:p>
    <w:p w14:paraId="58957970">
      <w:pPr>
        <w:spacing w:line="48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日  期：</w:t>
      </w:r>
    </w:p>
    <w:p w14:paraId="1CA50ED5">
      <w:pPr>
        <w:spacing w:line="48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扶持政策说明：</w:t>
      </w:r>
    </w:p>
    <w:p w14:paraId="191E68D6">
      <w:pPr>
        <w:spacing w:line="48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14:paraId="5B948770">
      <w:pPr>
        <w:spacing w:line="48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2、监狱企业视同小微企业，参加本项目投标的，享受小微企业同等的价格扣除。【注：提供《监狱企业声明函》及其相关的充分的证明材料】。</w:t>
      </w:r>
    </w:p>
    <w:p w14:paraId="0C182FCE">
      <w:pPr>
        <w:spacing w:line="480" w:lineRule="auto"/>
        <w:ind w:firstLine="480" w:firstLineChars="200"/>
        <w:outlineLvl w:val="1"/>
        <w:rPr>
          <w:rFonts w:hint="eastAsia" w:ascii="宋体" w:hAnsi="宋体" w:eastAsia="宋体" w:cs="宋体"/>
          <w:color w:val="auto"/>
          <w:sz w:val="24"/>
          <w:szCs w:val="24"/>
          <w:highlight w:val="none"/>
          <w:lang w:val="en-US" w:eastAsia="zh-CN"/>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color w:val="auto"/>
          <w:sz w:val="24"/>
          <w:szCs w:val="24"/>
          <w:highlight w:val="none"/>
          <w:lang w:val="en-US" w:eastAsia="zh-CN"/>
        </w:rPr>
        <w:t>3、残疾人福利性单位参加投标【提供《残疾人福利性单位声明函》】，视为小型、微型企业，享受小微企业政策扶持。</w:t>
      </w:r>
    </w:p>
    <w:p w14:paraId="1E2990B7">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14:paraId="31E544E1">
      <w:pPr>
        <w:numPr>
          <w:ilvl w:val="0"/>
          <w:numId w:val="0"/>
        </w:numPr>
        <w:spacing w:line="588" w:lineRule="exact"/>
        <w:jc w:val="center"/>
        <w:rPr>
          <w:rFonts w:hint="eastAsia" w:ascii="宋体" w:hAnsi="宋体" w:eastAsia="宋体" w:cs="宋体"/>
          <w:color w:val="auto"/>
          <w:highlight w:val="none"/>
          <w:lang w:val="en-US" w:eastAsia="zh-CN"/>
        </w:rPr>
      </w:pPr>
      <w:r>
        <w:rPr>
          <w:rFonts w:hint="eastAsia" w:ascii="宋体" w:hAnsi="宋体" w:eastAsia="宋体" w:cs="宋体"/>
          <w:b/>
          <w:color w:val="auto"/>
          <w:spacing w:val="6"/>
          <w:kern w:val="2"/>
          <w:sz w:val="28"/>
          <w:szCs w:val="28"/>
          <w:highlight w:val="none"/>
          <w:lang w:val="en-US" w:eastAsia="zh-CN" w:bidi="ar-SA"/>
        </w:rPr>
        <w:t>节能、环保产品证明（如有）</w:t>
      </w:r>
    </w:p>
    <w:p w14:paraId="66F4C07D">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p>
    <w:p w14:paraId="2EBA589E">
      <w:pPr>
        <w:pStyle w:val="10"/>
        <w:rPr>
          <w:rFonts w:hint="eastAsia" w:ascii="宋体" w:hAnsi="宋体" w:eastAsia="宋体" w:cs="宋体"/>
          <w:color w:val="auto"/>
          <w:highlight w:val="none"/>
          <w:lang w:eastAsia="zh-CN"/>
        </w:rPr>
      </w:pPr>
    </w:p>
    <w:p w14:paraId="4CB106D3">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p>
    <w:p w14:paraId="5149F672">
      <w:pPr>
        <w:pStyle w:val="10"/>
        <w:rPr>
          <w:rFonts w:hint="eastAsia" w:ascii="宋体" w:hAnsi="宋体" w:eastAsia="宋体" w:cs="宋体"/>
          <w:color w:val="auto"/>
          <w:highlight w:val="none"/>
          <w:lang w:eastAsia="zh-CN"/>
        </w:rPr>
      </w:pPr>
    </w:p>
    <w:p w14:paraId="32A65747">
      <w:pPr>
        <w:pStyle w:val="10"/>
        <w:rPr>
          <w:rFonts w:hint="eastAsia" w:ascii="宋体" w:hAnsi="宋体" w:eastAsia="宋体" w:cs="宋体"/>
          <w:color w:val="auto"/>
          <w:highlight w:val="none"/>
          <w:lang w:eastAsia="zh-CN"/>
        </w:rPr>
      </w:pPr>
    </w:p>
    <w:p w14:paraId="33AEC9D0">
      <w:pPr>
        <w:pStyle w:val="10"/>
        <w:rPr>
          <w:rFonts w:hint="eastAsia" w:ascii="宋体" w:hAnsi="宋体" w:eastAsia="宋体" w:cs="宋体"/>
          <w:color w:val="auto"/>
          <w:highlight w:val="none"/>
          <w:lang w:eastAsia="zh-CN"/>
        </w:rPr>
      </w:pPr>
    </w:p>
    <w:p w14:paraId="283E5505">
      <w:pPr>
        <w:pStyle w:val="10"/>
        <w:rPr>
          <w:rFonts w:hint="eastAsia" w:ascii="宋体" w:hAnsi="宋体" w:eastAsia="宋体" w:cs="宋体"/>
          <w:color w:val="auto"/>
          <w:highlight w:val="none"/>
          <w:lang w:eastAsia="zh-CN"/>
        </w:rPr>
      </w:pPr>
    </w:p>
    <w:p w14:paraId="46E32902">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14:paraId="3B223B25">
      <w:pPr>
        <w:pStyle w:val="10"/>
        <w:rPr>
          <w:rFonts w:hint="eastAsia" w:ascii="宋体" w:hAnsi="宋体" w:eastAsia="宋体" w:cs="宋体"/>
          <w:color w:val="auto"/>
          <w:highlight w:val="none"/>
          <w:lang w:eastAsia="zh-CN"/>
        </w:rPr>
      </w:pPr>
    </w:p>
    <w:p w14:paraId="1D8F9B98">
      <w:pPr>
        <w:pStyle w:val="10"/>
        <w:rPr>
          <w:rFonts w:hint="eastAsia" w:ascii="宋体" w:hAnsi="宋体" w:eastAsia="宋体" w:cs="宋体"/>
          <w:color w:val="auto"/>
          <w:highlight w:val="none"/>
          <w:lang w:eastAsia="zh-CN"/>
        </w:rPr>
      </w:pPr>
    </w:p>
    <w:p w14:paraId="7BB35D38">
      <w:pPr>
        <w:pStyle w:val="10"/>
        <w:rPr>
          <w:rFonts w:hint="eastAsia" w:ascii="宋体" w:hAnsi="宋体" w:eastAsia="宋体" w:cs="宋体"/>
          <w:color w:val="auto"/>
          <w:highlight w:val="none"/>
          <w:lang w:eastAsia="zh-CN"/>
        </w:rPr>
      </w:pPr>
    </w:p>
    <w:p w14:paraId="5E75F01B">
      <w:pPr>
        <w:pStyle w:val="10"/>
        <w:rPr>
          <w:rFonts w:hint="eastAsia" w:ascii="宋体" w:hAnsi="宋体" w:eastAsia="宋体" w:cs="宋体"/>
          <w:color w:val="auto"/>
          <w:highlight w:val="none"/>
          <w:lang w:eastAsia="zh-CN"/>
        </w:rPr>
      </w:pPr>
    </w:p>
    <w:p w14:paraId="42F0BE11">
      <w:pPr>
        <w:pStyle w:val="10"/>
        <w:rPr>
          <w:rFonts w:hint="eastAsia" w:ascii="宋体" w:hAnsi="宋体" w:eastAsia="宋体" w:cs="宋体"/>
          <w:color w:val="auto"/>
          <w:highlight w:val="none"/>
          <w:lang w:eastAsia="zh-CN"/>
        </w:rPr>
      </w:pPr>
    </w:p>
    <w:p w14:paraId="1D32D5CD">
      <w:pPr>
        <w:pStyle w:val="10"/>
        <w:rPr>
          <w:rFonts w:hint="eastAsia" w:ascii="宋体" w:hAnsi="宋体" w:eastAsia="宋体" w:cs="宋体"/>
          <w:color w:val="auto"/>
          <w:highlight w:val="none"/>
          <w:lang w:eastAsia="zh-CN"/>
        </w:rPr>
      </w:pPr>
    </w:p>
    <w:p w14:paraId="5BB8343A">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投标人（加盖公章）：                         </w:t>
      </w:r>
    </w:p>
    <w:p w14:paraId="7138E750">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14:paraId="019FBF22">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投标人代表（签字）：                         </w:t>
      </w:r>
    </w:p>
    <w:p w14:paraId="2A62F0AD">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14:paraId="5FC77220">
      <w:pPr>
        <w:rPr>
          <w:rFonts w:hint="eastAsia" w:ascii="宋体" w:hAnsi="宋体" w:eastAsia="宋体" w:cs="宋体"/>
          <w:color w:val="auto"/>
          <w:sz w:val="24"/>
          <w:highlight w:val="none"/>
        </w:rPr>
      </w:pPr>
      <w:r>
        <w:rPr>
          <w:rFonts w:hint="eastAsia" w:ascii="宋体" w:hAnsi="宋体" w:eastAsia="宋体" w:cs="宋体"/>
          <w:color w:val="auto"/>
          <w:sz w:val="24"/>
          <w:highlight w:val="none"/>
        </w:rPr>
        <w:t>                                         日          期：    年   月  日</w:t>
      </w:r>
    </w:p>
    <w:p w14:paraId="36B930A1">
      <w:pPr>
        <w:pStyle w:val="8"/>
        <w:numPr>
          <w:ilvl w:val="0"/>
          <w:numId w:val="0"/>
        </w:numPr>
        <w:overflowPunct w:val="0"/>
        <w:snapToGrid w:val="0"/>
        <w:spacing w:line="360" w:lineRule="auto"/>
        <w:jc w:val="right"/>
        <w:rPr>
          <w:rFonts w:hint="eastAsia" w:ascii="宋体" w:hAnsi="宋体" w:eastAsia="宋体" w:cs="宋体"/>
          <w:b/>
          <w:bCs w:val="0"/>
          <w:color w:val="auto"/>
          <w:kern w:val="2"/>
          <w:sz w:val="21"/>
          <w:szCs w:val="21"/>
          <w:highlight w:val="none"/>
          <w:lang w:val="en-US" w:eastAsia="zh-CN" w:bidi="ar-SA"/>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490E90E5">
      <w:pPr>
        <w:pStyle w:val="37"/>
        <w:shd w:val="clear" w:color="auto" w:fill="auto"/>
        <w:spacing w:line="360" w:lineRule="auto"/>
        <w:jc w:val="both"/>
        <w:outlineLvl w:val="2"/>
        <w:rPr>
          <w:rFonts w:hint="eastAsia" w:ascii="宋体" w:hAnsi="宋体" w:eastAsia="宋体" w:cs="宋体"/>
          <w:b/>
          <w:color w:val="auto"/>
          <w:sz w:val="24"/>
          <w:szCs w:val="24"/>
          <w:highlight w:val="none"/>
        </w:rPr>
      </w:pPr>
      <w:bookmarkStart w:id="311" w:name="_Toc23406"/>
      <w:bookmarkStart w:id="312" w:name="_Toc15028"/>
      <w:bookmarkStart w:id="313" w:name="_Toc114589529"/>
      <w:bookmarkStart w:id="314" w:name="_Toc312"/>
      <w:bookmarkStart w:id="315" w:name="_Toc115436122"/>
    </w:p>
    <w:p w14:paraId="5D68459F">
      <w:pPr>
        <w:pStyle w:val="37"/>
        <w:shd w:val="clear" w:color="auto" w:fill="auto"/>
        <w:spacing w:line="360" w:lineRule="auto"/>
        <w:jc w:val="both"/>
        <w:outlineLvl w:val="2"/>
        <w:rPr>
          <w:rFonts w:hint="eastAsia" w:ascii="宋体" w:hAnsi="宋体" w:eastAsia="宋体" w:cs="宋体"/>
          <w:b/>
          <w:color w:val="auto"/>
          <w:sz w:val="24"/>
          <w:szCs w:val="24"/>
          <w:highlight w:val="none"/>
        </w:rPr>
      </w:pPr>
    </w:p>
    <w:p w14:paraId="220E6E18">
      <w:pPr>
        <w:pStyle w:val="37"/>
        <w:shd w:val="clear" w:color="auto" w:fill="auto"/>
        <w:spacing w:line="360" w:lineRule="auto"/>
        <w:jc w:val="both"/>
        <w:outlineLvl w:val="2"/>
        <w:rPr>
          <w:rFonts w:hint="eastAsia" w:ascii="宋体" w:hAnsi="宋体" w:eastAsia="宋体" w:cs="宋体"/>
          <w:b/>
          <w:color w:val="auto"/>
          <w:sz w:val="24"/>
          <w:szCs w:val="24"/>
          <w:highlight w:val="none"/>
        </w:rPr>
      </w:pPr>
    </w:p>
    <w:p w14:paraId="4D3B2164">
      <w:pPr>
        <w:pStyle w:val="37"/>
        <w:shd w:val="clear" w:color="auto" w:fill="auto"/>
        <w:spacing w:line="360" w:lineRule="auto"/>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虚假应标承担责任声明（统一格式）</w:t>
      </w:r>
      <w:bookmarkEnd w:id="311"/>
      <w:bookmarkEnd w:id="312"/>
      <w:bookmarkEnd w:id="313"/>
      <w:bookmarkEnd w:id="314"/>
      <w:bookmarkEnd w:id="315"/>
    </w:p>
    <w:p w14:paraId="563082F4">
      <w:pPr>
        <w:pStyle w:val="10"/>
        <w:shd w:val="clear" w:color="auto" w:fill="auto"/>
        <w:tabs>
          <w:tab w:val="left" w:pos="9214"/>
        </w:tabs>
        <w:spacing w:before="2"/>
        <w:ind w:left="0" w:leftChars="0" w:right="-92" w:rightChars="-44" w:firstLine="0" w:firstLineChars="0"/>
        <w:rPr>
          <w:rFonts w:hint="eastAsia" w:ascii="宋体" w:hAnsi="宋体" w:eastAsia="宋体" w:cs="宋体"/>
          <w:b/>
          <w:color w:val="auto"/>
          <w:sz w:val="21"/>
          <w:szCs w:val="21"/>
          <w:highlight w:val="none"/>
        </w:rPr>
      </w:pPr>
    </w:p>
    <w:p w14:paraId="73C58700">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14:paraId="26E50282">
      <w:pPr>
        <w:pStyle w:val="10"/>
        <w:shd w:val="clear" w:color="auto" w:fill="auto"/>
        <w:tabs>
          <w:tab w:val="left" w:pos="9214"/>
        </w:tabs>
        <w:spacing w:before="9"/>
        <w:ind w:right="-92" w:rightChars="-44"/>
        <w:rPr>
          <w:rFonts w:hint="eastAsia" w:ascii="宋体" w:hAnsi="宋体" w:eastAsia="宋体" w:cs="宋体"/>
          <w:b/>
          <w:color w:val="auto"/>
          <w:highlight w:val="none"/>
        </w:rPr>
      </w:pPr>
    </w:p>
    <w:p w14:paraId="0EB0FEC0">
      <w:pPr>
        <w:pStyle w:val="10"/>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   ）</w:t>
      </w:r>
      <w:r>
        <w:rPr>
          <w:rFonts w:hint="eastAsia" w:ascii="宋体" w:hAnsi="宋体" w:eastAsia="宋体" w:cs="宋体"/>
          <w:color w:val="auto"/>
          <w:highlight w:val="none"/>
        </w:rPr>
        <w:t>），我公司愿意承担一切法律责任并认可采购人或采购代理机构作出的取消中标资格、罚没保证金等决定。</w:t>
      </w:r>
    </w:p>
    <w:p w14:paraId="1C4B005C">
      <w:pPr>
        <w:pStyle w:val="10"/>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14:paraId="70A7ED97">
      <w:pPr>
        <w:pStyle w:val="10"/>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14:paraId="3EE8549E">
      <w:pPr>
        <w:pStyle w:val="10"/>
        <w:shd w:val="clear" w:color="auto" w:fill="auto"/>
        <w:tabs>
          <w:tab w:val="left" w:pos="9214"/>
        </w:tabs>
        <w:ind w:right="-92" w:rightChars="-44"/>
        <w:rPr>
          <w:rFonts w:hint="eastAsia" w:ascii="宋体" w:hAnsi="宋体" w:eastAsia="宋体" w:cs="宋体"/>
          <w:color w:val="auto"/>
          <w:sz w:val="21"/>
          <w:szCs w:val="21"/>
          <w:highlight w:val="none"/>
        </w:rPr>
      </w:pPr>
    </w:p>
    <w:p w14:paraId="58B9AF9A">
      <w:pPr>
        <w:pStyle w:val="10"/>
        <w:shd w:val="clear" w:color="auto" w:fill="auto"/>
        <w:tabs>
          <w:tab w:val="left" w:pos="9214"/>
        </w:tabs>
        <w:ind w:right="-92" w:rightChars="-44"/>
        <w:rPr>
          <w:rFonts w:hint="eastAsia" w:ascii="宋体" w:hAnsi="宋体" w:eastAsia="宋体" w:cs="宋体"/>
          <w:color w:val="auto"/>
          <w:sz w:val="21"/>
          <w:szCs w:val="21"/>
          <w:highlight w:val="none"/>
        </w:rPr>
      </w:pPr>
    </w:p>
    <w:p w14:paraId="7DDA78CE">
      <w:pPr>
        <w:pStyle w:val="10"/>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30D2F036">
      <w:pPr>
        <w:pStyle w:val="10"/>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签字</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6037F568">
      <w:pPr>
        <w:pStyle w:val="10"/>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49B2B4DA">
      <w:pPr>
        <w:pStyle w:val="10"/>
        <w:shd w:val="clear" w:color="auto" w:fill="auto"/>
        <w:tabs>
          <w:tab w:val="left" w:pos="9214"/>
        </w:tabs>
        <w:spacing w:line="360" w:lineRule="auto"/>
        <w:rPr>
          <w:rFonts w:hint="eastAsia" w:ascii="宋体" w:hAnsi="宋体" w:eastAsia="宋体" w:cs="宋体"/>
          <w:color w:val="auto"/>
          <w:highlight w:val="none"/>
        </w:rPr>
      </w:pPr>
    </w:p>
    <w:p w14:paraId="4FCC4457">
      <w:pPr>
        <w:pStyle w:val="10"/>
        <w:shd w:val="clear" w:color="auto" w:fill="auto"/>
        <w:tabs>
          <w:tab w:val="left" w:pos="9214"/>
        </w:tabs>
        <w:spacing w:line="360" w:lineRule="auto"/>
        <w:rPr>
          <w:rFonts w:hint="eastAsia" w:ascii="宋体" w:hAnsi="宋体" w:eastAsia="宋体" w:cs="宋体"/>
          <w:color w:val="auto"/>
          <w:highlight w:val="none"/>
        </w:rPr>
      </w:pPr>
    </w:p>
    <w:p w14:paraId="6F4B55B6">
      <w:pPr>
        <w:pStyle w:val="10"/>
        <w:shd w:val="clear" w:color="auto" w:fill="auto"/>
        <w:tabs>
          <w:tab w:val="left" w:pos="1560"/>
          <w:tab w:val="left" w:pos="2040"/>
          <w:tab w:val="left" w:pos="9214"/>
        </w:tabs>
        <w:spacing w:before="66"/>
        <w:ind w:right="-92" w:rightChars="-44"/>
        <w:rPr>
          <w:rFonts w:hint="eastAsia" w:ascii="宋体" w:hAnsi="宋体" w:eastAsia="宋体" w:cs="宋体"/>
          <w:color w:val="auto"/>
          <w:sz w:val="21"/>
          <w:szCs w:val="21"/>
          <w:highlight w:val="none"/>
        </w:rPr>
      </w:pPr>
    </w:p>
    <w:p w14:paraId="215D911B">
      <w:pPr>
        <w:pStyle w:val="37"/>
        <w:shd w:val="clear" w:color="auto" w:fill="auto"/>
        <w:spacing w:line="360" w:lineRule="auto"/>
        <w:ind w:right="-92" w:rightChars="-44"/>
        <w:jc w:val="both"/>
        <w:rPr>
          <w:rFonts w:hint="eastAsia" w:ascii="宋体" w:hAnsi="宋体" w:eastAsia="宋体" w:cs="宋体"/>
          <w:b/>
          <w:color w:val="auto"/>
          <w:sz w:val="24"/>
          <w:szCs w:val="24"/>
          <w:highlight w:val="none"/>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37688964">
      <w:pPr>
        <w:pStyle w:val="37"/>
        <w:shd w:val="clear" w:color="auto" w:fill="auto"/>
        <w:spacing w:line="360" w:lineRule="auto"/>
        <w:jc w:val="both"/>
        <w:outlineLvl w:val="1"/>
        <w:rPr>
          <w:rFonts w:hint="eastAsia" w:ascii="宋体" w:hAnsi="宋体" w:eastAsia="宋体" w:cs="宋体"/>
          <w:b/>
          <w:color w:val="auto"/>
          <w:sz w:val="24"/>
          <w:szCs w:val="24"/>
          <w:highlight w:val="none"/>
        </w:rPr>
      </w:pPr>
      <w:bookmarkStart w:id="316" w:name="_Toc216582819"/>
      <w:bookmarkStart w:id="317" w:name="_Toc520356224"/>
      <w:bookmarkStart w:id="318" w:name="_Toc480942355"/>
      <w:bookmarkStart w:id="319" w:name="_Ref467988543"/>
      <w:bookmarkStart w:id="320" w:name="_Toc9592"/>
      <w:bookmarkStart w:id="321" w:name="_Toc507399535"/>
      <w:bookmarkStart w:id="322" w:name="_Toc32489"/>
      <w:bookmarkStart w:id="323" w:name="_Toc20238"/>
      <w:bookmarkStart w:id="324" w:name="_Toc115436133"/>
      <w:bookmarkStart w:id="325" w:name="_Toc114589541"/>
    </w:p>
    <w:p w14:paraId="5AB23F02">
      <w:pPr>
        <w:pStyle w:val="37"/>
        <w:shd w:val="clear" w:color="auto" w:fill="auto"/>
        <w:spacing w:line="360" w:lineRule="auto"/>
        <w:jc w:val="both"/>
        <w:outlineLvl w:val="1"/>
        <w:rPr>
          <w:rFonts w:hint="eastAsia" w:ascii="宋体" w:hAnsi="宋体" w:eastAsia="宋体" w:cs="宋体"/>
          <w:b/>
          <w:color w:val="auto"/>
          <w:sz w:val="24"/>
          <w:szCs w:val="24"/>
          <w:highlight w:val="none"/>
        </w:rPr>
      </w:pPr>
    </w:p>
    <w:p w14:paraId="54880459">
      <w:pPr>
        <w:pStyle w:val="37"/>
        <w:shd w:val="clear" w:color="auto" w:fill="auto"/>
        <w:spacing w:line="360" w:lineRule="auto"/>
        <w:jc w:val="both"/>
        <w:outlineLvl w:val="1"/>
        <w:rPr>
          <w:rFonts w:hint="eastAsia" w:ascii="宋体" w:hAnsi="宋体" w:eastAsia="宋体" w:cs="宋体"/>
          <w:b/>
          <w:color w:val="auto"/>
          <w:sz w:val="24"/>
          <w:szCs w:val="24"/>
          <w:highlight w:val="none"/>
        </w:rPr>
      </w:pPr>
    </w:p>
    <w:p w14:paraId="0DC4074E">
      <w:pPr>
        <w:pStyle w:val="37"/>
        <w:shd w:val="clear" w:color="auto" w:fill="auto"/>
        <w:spacing w:line="360" w:lineRule="auto"/>
        <w:jc w:val="both"/>
        <w:outlineLvl w:val="1"/>
        <w:rPr>
          <w:rFonts w:hint="eastAsia" w:ascii="宋体" w:hAnsi="宋体" w:eastAsia="宋体" w:cs="宋体"/>
          <w:b/>
          <w:color w:val="auto"/>
          <w:sz w:val="24"/>
          <w:szCs w:val="24"/>
          <w:highlight w:val="none"/>
        </w:rPr>
      </w:pPr>
    </w:p>
    <w:p w14:paraId="359C146D">
      <w:pPr>
        <w:pStyle w:val="37"/>
        <w:shd w:val="clear" w:color="auto" w:fill="auto"/>
        <w:spacing w:line="360" w:lineRule="auto"/>
        <w:jc w:val="both"/>
        <w:outlineLvl w:val="1"/>
        <w:rPr>
          <w:rFonts w:hint="eastAsia" w:ascii="宋体" w:hAnsi="宋体" w:eastAsia="宋体" w:cs="宋体"/>
          <w:b/>
          <w:color w:val="auto"/>
          <w:sz w:val="24"/>
          <w:szCs w:val="24"/>
          <w:highlight w:val="none"/>
        </w:rPr>
      </w:pPr>
    </w:p>
    <w:p w14:paraId="083826CC">
      <w:pPr>
        <w:pStyle w:val="37"/>
        <w:shd w:val="clear" w:color="auto" w:fill="auto"/>
        <w:spacing w:line="360" w:lineRule="auto"/>
        <w:jc w:val="both"/>
        <w:outlineLvl w:val="1"/>
        <w:rPr>
          <w:rFonts w:hint="eastAsia" w:ascii="宋体" w:hAnsi="宋体" w:eastAsia="宋体" w:cs="宋体"/>
          <w:b/>
          <w:color w:val="auto"/>
          <w:sz w:val="24"/>
          <w:szCs w:val="24"/>
          <w:highlight w:val="none"/>
        </w:rPr>
      </w:pPr>
    </w:p>
    <w:p w14:paraId="1C5F9F29">
      <w:pPr>
        <w:pStyle w:val="37"/>
        <w:shd w:val="clear" w:color="auto" w:fill="auto"/>
        <w:spacing w:line="360" w:lineRule="auto"/>
        <w:jc w:val="both"/>
        <w:outlineLvl w:val="1"/>
        <w:rPr>
          <w:rFonts w:hint="eastAsia" w:ascii="宋体" w:hAnsi="宋体" w:eastAsia="宋体" w:cs="宋体"/>
          <w:b/>
          <w:color w:val="auto"/>
          <w:sz w:val="24"/>
          <w:szCs w:val="24"/>
          <w:highlight w:val="none"/>
        </w:rPr>
      </w:pPr>
    </w:p>
    <w:p w14:paraId="73528733">
      <w:pPr>
        <w:pStyle w:val="37"/>
        <w:shd w:val="clear" w:color="auto" w:fill="auto"/>
        <w:spacing w:line="360" w:lineRule="auto"/>
        <w:jc w:val="both"/>
        <w:outlineLvl w:val="1"/>
        <w:rPr>
          <w:rFonts w:hint="eastAsia" w:ascii="宋体" w:hAnsi="宋体" w:eastAsia="宋体" w:cs="宋体"/>
          <w:b/>
          <w:color w:val="auto"/>
          <w:sz w:val="24"/>
          <w:szCs w:val="24"/>
          <w:highlight w:val="none"/>
        </w:rPr>
      </w:pPr>
    </w:p>
    <w:p w14:paraId="4315CD0F">
      <w:pPr>
        <w:pStyle w:val="37"/>
        <w:shd w:val="clear" w:color="auto" w:fill="auto"/>
        <w:spacing w:line="360" w:lineRule="auto"/>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关于对本投标文件中资料真实性的承诺</w:t>
      </w:r>
      <w:bookmarkEnd w:id="316"/>
      <w:bookmarkEnd w:id="317"/>
      <w:bookmarkEnd w:id="318"/>
      <w:bookmarkEnd w:id="319"/>
      <w:bookmarkStart w:id="326" w:name="_Hlt520273711"/>
      <w:bookmarkEnd w:id="326"/>
      <w:bookmarkStart w:id="327" w:name="_Hlt520274065"/>
      <w:bookmarkEnd w:id="327"/>
      <w:bookmarkStart w:id="328" w:name="_Hlt520274911"/>
      <w:bookmarkEnd w:id="328"/>
      <w:bookmarkStart w:id="329" w:name="_Hlt520343392"/>
      <w:bookmarkEnd w:id="329"/>
      <w:bookmarkStart w:id="330" w:name="_Hlt520350918"/>
      <w:bookmarkEnd w:id="330"/>
      <w:bookmarkStart w:id="331" w:name="_Hlt520350957"/>
      <w:bookmarkEnd w:id="331"/>
      <w:bookmarkStart w:id="332" w:name="_Hlt520343000"/>
      <w:bookmarkEnd w:id="332"/>
      <w:bookmarkStart w:id="333" w:name="_Hlt520274393"/>
      <w:bookmarkEnd w:id="333"/>
      <w:bookmarkStart w:id="334" w:name="_Hlt520273973"/>
      <w:bookmarkEnd w:id="334"/>
      <w:bookmarkStart w:id="335" w:name="_Hlt520271212"/>
      <w:bookmarkEnd w:id="335"/>
      <w:bookmarkStart w:id="336" w:name="_Hlt520274407"/>
      <w:bookmarkEnd w:id="336"/>
      <w:bookmarkStart w:id="337" w:name="_Toc216582821"/>
      <w:bookmarkStart w:id="338" w:name="_Toc216513801"/>
      <w:r>
        <w:rPr>
          <w:rFonts w:hint="eastAsia" w:ascii="宋体" w:hAnsi="宋体" w:eastAsia="宋体" w:cs="宋体"/>
          <w:b/>
          <w:color w:val="auto"/>
          <w:sz w:val="24"/>
          <w:szCs w:val="24"/>
          <w:highlight w:val="none"/>
        </w:rPr>
        <w:t>书</w:t>
      </w:r>
      <w:bookmarkEnd w:id="320"/>
      <w:bookmarkEnd w:id="321"/>
      <w:bookmarkEnd w:id="322"/>
      <w:bookmarkEnd w:id="323"/>
      <w:bookmarkEnd w:id="324"/>
      <w:bookmarkEnd w:id="325"/>
    </w:p>
    <w:p w14:paraId="6C94112C">
      <w:pPr>
        <w:shd w:val="clear" w:color="auto" w:fill="auto"/>
        <w:spacing w:line="240" w:lineRule="atLeast"/>
        <w:ind w:left="660" w:leftChars="257" w:hanging="540"/>
        <w:rPr>
          <w:rFonts w:hint="eastAsia" w:ascii="宋体" w:hAnsi="宋体" w:eastAsia="宋体" w:cs="宋体"/>
          <w:b/>
          <w:color w:val="auto"/>
          <w:sz w:val="24"/>
          <w:highlight w:val="none"/>
        </w:rPr>
      </w:pPr>
    </w:p>
    <w:bookmarkEnd w:id="337"/>
    <w:bookmarkEnd w:id="338"/>
    <w:p w14:paraId="13892A86">
      <w:pPr>
        <w:shd w:val="clear" w:color="auto" w:fill="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关于对本投标文件中资料真实性的承诺</w:t>
      </w:r>
    </w:p>
    <w:p w14:paraId="5E79EA23">
      <w:pPr>
        <w:shd w:val="clear" w:color="auto" w:fill="auto"/>
        <w:rPr>
          <w:rFonts w:hint="eastAsia" w:ascii="宋体" w:hAnsi="宋体" w:eastAsia="宋体" w:cs="宋体"/>
          <w:b/>
          <w:color w:val="auto"/>
          <w:kern w:val="0"/>
          <w:szCs w:val="21"/>
          <w:highlight w:val="none"/>
        </w:rPr>
      </w:pPr>
    </w:p>
    <w:p w14:paraId="30F77065">
      <w:pPr>
        <w:shd w:val="clear" w:color="auto" w:fill="auto"/>
        <w:spacing w:line="360" w:lineRule="auto"/>
        <w:rPr>
          <w:rFonts w:hint="eastAsia" w:ascii="宋体" w:hAnsi="宋体" w:eastAsia="宋体" w:cs="宋体"/>
          <w:b/>
          <w:color w:val="auto"/>
          <w:kern w:val="0"/>
          <w:szCs w:val="21"/>
          <w:highlight w:val="none"/>
          <w:u w:val="single"/>
        </w:rPr>
      </w:pPr>
      <w:r>
        <w:rPr>
          <w:rFonts w:hint="eastAsia" w:ascii="宋体" w:hAnsi="宋体" w:cs="宋体"/>
          <w:b/>
          <w:color w:val="auto"/>
          <w:kern w:val="0"/>
          <w:szCs w:val="21"/>
          <w:highlight w:val="none"/>
          <w:lang w:val="en-US" w:eastAsia="zh-CN"/>
        </w:rPr>
        <w:t>至</w:t>
      </w: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u w:val="single"/>
        </w:rPr>
        <w:t xml:space="preserve"> （项目、包段名称）评标委员会  </w:t>
      </w:r>
    </w:p>
    <w:p w14:paraId="1BF6F8D8">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中华人民共和国政府采购法实施条例》等有关</w:t>
      </w:r>
      <w:r>
        <w:rPr>
          <w:rFonts w:hint="eastAsia" w:ascii="宋体" w:hAnsi="宋体" w:eastAsia="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的规定和</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的招标文件的要求，我公司在</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投标文件中所提供资料真实性作如下承诺：</w:t>
      </w:r>
    </w:p>
    <w:p w14:paraId="65C85EEA">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我公司将严格按招标文件要求，在编制本投标文件时，对投标文件中所提供的资料全部真实和正确，并对提供的所有资料（资格、业绩、其他材料等）的真实性负责！ </w:t>
      </w:r>
    </w:p>
    <w:p w14:paraId="46CA5B38">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对提供的全部资料</w:t>
      </w:r>
      <w:r>
        <w:rPr>
          <w:rFonts w:hint="eastAsia" w:ascii="宋体" w:hAnsi="宋体" w:cs="宋体"/>
          <w:color w:val="auto"/>
          <w:kern w:val="0"/>
          <w:sz w:val="24"/>
          <w:szCs w:val="24"/>
          <w:highlight w:val="none"/>
          <w:lang w:eastAsia="zh-CN"/>
        </w:rPr>
        <w:t>中</w:t>
      </w:r>
      <w:r>
        <w:rPr>
          <w:rFonts w:hint="eastAsia" w:ascii="宋体" w:hAnsi="宋体" w:eastAsia="宋体" w:cs="宋体"/>
          <w:color w:val="auto"/>
          <w:kern w:val="0"/>
          <w:sz w:val="24"/>
          <w:szCs w:val="24"/>
          <w:highlight w:val="none"/>
        </w:rPr>
        <w:t>存在不真实（伪造或租借等虚假资料）情形，将无条件接受任何处罚，自行承担由此引起的一切责任！</w:t>
      </w:r>
    </w:p>
    <w:p w14:paraId="7F85FB23">
      <w:pPr>
        <w:shd w:val="clear" w:color="auto" w:fill="auto"/>
        <w:spacing w:line="360" w:lineRule="auto"/>
        <w:ind w:firstLine="632" w:firstLineChars="300"/>
        <w:rPr>
          <w:rFonts w:hint="eastAsia" w:ascii="宋体" w:hAnsi="宋体" w:eastAsia="宋体" w:cs="宋体"/>
          <w:b/>
          <w:color w:val="auto"/>
          <w:kern w:val="0"/>
          <w:szCs w:val="21"/>
          <w:highlight w:val="none"/>
        </w:rPr>
      </w:pPr>
    </w:p>
    <w:p w14:paraId="5420B2E8">
      <w:pPr>
        <w:shd w:val="clear" w:color="auto" w:fill="auto"/>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特此承诺</w:t>
      </w:r>
    </w:p>
    <w:p w14:paraId="7890938D">
      <w:pPr>
        <w:shd w:val="clear" w:color="auto" w:fill="auto"/>
        <w:spacing w:line="360" w:lineRule="auto"/>
        <w:ind w:firstLine="632" w:firstLineChars="300"/>
        <w:rPr>
          <w:rFonts w:hint="eastAsia" w:ascii="宋体" w:hAnsi="宋体" w:eastAsia="宋体" w:cs="宋体"/>
          <w:b/>
          <w:color w:val="auto"/>
          <w:kern w:val="0"/>
          <w:szCs w:val="21"/>
          <w:highlight w:val="none"/>
        </w:rPr>
      </w:pPr>
    </w:p>
    <w:p w14:paraId="328F1217">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供应商（全称）：</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（盖单位章）</w:t>
      </w:r>
    </w:p>
    <w:p w14:paraId="5EB9A155">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法定代表人：</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（签字）</w:t>
      </w:r>
    </w:p>
    <w:p w14:paraId="445FABFF">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有效的联系方式：</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（手机号）</w:t>
      </w:r>
    </w:p>
    <w:p w14:paraId="7520C510">
      <w:pPr>
        <w:shd w:val="clear" w:color="auto" w:fill="auto"/>
        <w:spacing w:line="360" w:lineRule="auto"/>
        <w:ind w:firstLine="3795" w:firstLineChars="1800"/>
        <w:rPr>
          <w:rFonts w:hint="eastAsia" w:ascii="宋体" w:hAnsi="宋体" w:eastAsia="宋体" w:cs="宋体"/>
          <w:b/>
          <w:color w:val="auto"/>
          <w:kern w:val="0"/>
          <w:szCs w:val="21"/>
          <w:highlight w:val="none"/>
        </w:rPr>
      </w:pPr>
    </w:p>
    <w:p w14:paraId="11482D57">
      <w:pPr>
        <w:shd w:val="clear" w:color="auto" w:fill="auto"/>
        <w:spacing w:line="360" w:lineRule="auto"/>
        <w:ind w:firstLine="5271" w:firstLineChars="25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      月       日</w:t>
      </w:r>
    </w:p>
    <w:p w14:paraId="5D6C5F37">
      <w:pPr>
        <w:shd w:val="clear" w:color="auto" w:fill="auto"/>
        <w:spacing w:line="360" w:lineRule="auto"/>
        <w:rPr>
          <w:rFonts w:hint="eastAsia" w:ascii="宋体" w:hAnsi="宋体" w:eastAsia="宋体" w:cs="宋体"/>
          <w:b/>
          <w:color w:val="auto"/>
          <w:kern w:val="0"/>
          <w:szCs w:val="21"/>
          <w:highlight w:val="none"/>
        </w:rPr>
      </w:pPr>
    </w:p>
    <w:p w14:paraId="4D7BAC42">
      <w:pPr>
        <w:shd w:val="clear" w:color="auto" w:fill="auto"/>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说明：投标供应商应按上述要求将内容填写完整，未提供此承诺的其投标将被拒绝！</w:t>
      </w:r>
    </w:p>
    <w:p w14:paraId="74FC8E68">
      <w:pPr>
        <w:pStyle w:val="8"/>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color w:val="auto"/>
          <w:highlight w:val="none"/>
        </w:rPr>
        <w:br w:type="page"/>
      </w:r>
    </w:p>
    <w:p w14:paraId="3D43737B">
      <w:pPr>
        <w:pStyle w:val="8"/>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14:paraId="6CA2B197">
      <w:pPr>
        <w:pStyle w:val="9"/>
        <w:rPr>
          <w:rFonts w:hint="eastAsia"/>
          <w:color w:val="auto"/>
          <w:highlight w:val="none"/>
          <w:lang w:val="en-US" w:eastAsia="zh-CN"/>
        </w:rPr>
      </w:pPr>
    </w:p>
    <w:p w14:paraId="4A7D0F5D">
      <w:pPr>
        <w:pStyle w:val="8"/>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投标人认为有必要提供的声明及文件资料</w:t>
      </w:r>
    </w:p>
    <w:p w14:paraId="5C2EC9A7">
      <w:pPr>
        <w:rPr>
          <w:rFonts w:hint="eastAsia" w:ascii="宋体" w:hAnsi="宋体" w:eastAsia="宋体" w:cs="宋体"/>
          <w:color w:val="auto"/>
          <w:highlight w:val="none"/>
          <w:lang w:val="en-US" w:eastAsia="zh-CN"/>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16103683">
      <w:pPr>
        <w:pStyle w:val="8"/>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14:paraId="2F15C220">
      <w:pPr>
        <w:rPr>
          <w:rFonts w:hint="eastAsia" w:ascii="宋体" w:hAnsi="宋体" w:eastAsia="宋体" w:cs="宋体"/>
          <w:color w:val="auto"/>
          <w:highlight w:val="none"/>
          <w:lang w:val="en-US" w:eastAsia="zh-CN"/>
        </w:rPr>
      </w:pPr>
    </w:p>
    <w:p w14:paraId="1B31E466">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14:paraId="40F9F781">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技术方案</w:t>
      </w:r>
    </w:p>
    <w:p w14:paraId="686B0994">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14:paraId="3049DC40">
      <w:pPr>
        <w:spacing w:line="440" w:lineRule="exact"/>
        <w:ind w:firstLine="480" w:firstLineChars="200"/>
        <w:rPr>
          <w:rFonts w:hint="eastAsia" w:ascii="宋体" w:hAnsi="宋体" w:eastAsia="宋体" w:cs="宋体"/>
          <w:color w:val="auto"/>
          <w:sz w:val="24"/>
          <w:highlight w:val="none"/>
        </w:rPr>
      </w:pPr>
    </w:p>
    <w:p w14:paraId="78ACBFE9">
      <w:pPr>
        <w:jc w:val="both"/>
        <w:rPr>
          <w:rFonts w:hint="eastAsia" w:ascii="宋体" w:hAnsi="宋体" w:eastAsia="宋体" w:cs="宋体"/>
          <w:b/>
          <w:bCs w:val="0"/>
          <w:color w:val="auto"/>
          <w:kern w:val="2"/>
          <w:sz w:val="28"/>
          <w:szCs w:val="24"/>
          <w:highlight w:val="none"/>
          <w:lang w:val="en-US" w:eastAsia="zh-CN" w:bidi="ar-SA"/>
        </w:rPr>
      </w:pPr>
    </w:p>
    <w:p w14:paraId="2341AA7B">
      <w:pPr>
        <w:jc w:val="both"/>
        <w:outlineLvl w:val="1"/>
        <w:rPr>
          <w:rFonts w:hint="eastAsia" w:ascii="宋体" w:hAnsi="宋体" w:eastAsia="宋体" w:cs="宋体"/>
          <w:b/>
          <w:bCs w:val="0"/>
          <w:color w:val="auto"/>
          <w:kern w:val="2"/>
          <w:sz w:val="28"/>
          <w:szCs w:val="24"/>
          <w:highlight w:val="none"/>
          <w:lang w:val="en-US" w:eastAsia="zh-CN" w:bidi="ar-SA"/>
        </w:rPr>
      </w:pPr>
      <w:bookmarkStart w:id="339" w:name="_Toc31589"/>
    </w:p>
    <w:p w14:paraId="6A4E1D67">
      <w:pPr>
        <w:jc w:val="both"/>
        <w:outlineLvl w:val="1"/>
        <w:rPr>
          <w:rFonts w:hint="eastAsia" w:ascii="宋体" w:hAnsi="宋体" w:eastAsia="宋体" w:cs="宋体"/>
          <w:b/>
          <w:bCs w:val="0"/>
          <w:color w:val="auto"/>
          <w:kern w:val="2"/>
          <w:sz w:val="28"/>
          <w:szCs w:val="24"/>
          <w:highlight w:val="none"/>
          <w:lang w:val="en-US" w:eastAsia="zh-CN" w:bidi="ar-SA"/>
        </w:rPr>
      </w:pPr>
    </w:p>
    <w:p w14:paraId="7090F302">
      <w:pPr>
        <w:jc w:val="both"/>
        <w:outlineLvl w:val="1"/>
        <w:rPr>
          <w:rFonts w:hint="eastAsia" w:ascii="宋体" w:hAnsi="宋体" w:eastAsia="宋体" w:cs="宋体"/>
          <w:b/>
          <w:bCs w:val="0"/>
          <w:color w:val="auto"/>
          <w:kern w:val="2"/>
          <w:sz w:val="28"/>
          <w:szCs w:val="24"/>
          <w:highlight w:val="none"/>
          <w:lang w:val="en-US" w:eastAsia="zh-CN" w:bidi="ar-SA"/>
        </w:rPr>
      </w:pPr>
    </w:p>
    <w:p w14:paraId="11175412">
      <w:pPr>
        <w:jc w:val="both"/>
        <w:outlineLvl w:val="1"/>
        <w:rPr>
          <w:rFonts w:hint="eastAsia" w:ascii="宋体" w:hAnsi="宋体" w:eastAsia="宋体" w:cs="宋体"/>
          <w:b/>
          <w:bCs w:val="0"/>
          <w:color w:val="auto"/>
          <w:kern w:val="2"/>
          <w:sz w:val="28"/>
          <w:szCs w:val="24"/>
          <w:highlight w:val="none"/>
          <w:lang w:val="en-US" w:eastAsia="zh-CN" w:bidi="ar-SA"/>
        </w:rPr>
      </w:pPr>
    </w:p>
    <w:p w14:paraId="031FA6B8">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bookmarkEnd w:id="339"/>
    <w:p w14:paraId="21A01903">
      <w:pPr>
        <w:jc w:val="center"/>
        <w:rPr>
          <w:rFonts w:hint="eastAsia" w:ascii="宋体" w:hAnsi="宋体" w:eastAsia="宋体" w:cs="宋体"/>
          <w:b/>
          <w:bCs w:val="0"/>
          <w:color w:val="auto"/>
          <w:kern w:val="2"/>
          <w:sz w:val="32"/>
          <w:szCs w:val="28"/>
          <w:highlight w:val="none"/>
          <w:lang w:val="en-US" w:eastAsia="zh-CN" w:bidi="ar-SA"/>
        </w:rPr>
      </w:pPr>
    </w:p>
    <w:p w14:paraId="78E0AA94">
      <w:pPr>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服务承诺书</w:t>
      </w:r>
    </w:p>
    <w:p w14:paraId="05F197D9">
      <w:pPr>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eastAsia="宋体" w:cs="宋体"/>
          <w:b/>
          <w:bCs w:val="0"/>
          <w:color w:val="auto"/>
          <w:kern w:val="2"/>
          <w:sz w:val="32"/>
          <w:szCs w:val="28"/>
          <w:highlight w:val="none"/>
          <w:lang w:val="en-US" w:eastAsia="zh-CN" w:bidi="ar-SA"/>
        </w:rPr>
        <w:t>根据本项目的情况，给出服务承诺；格式自拟。</w:t>
      </w:r>
    </w:p>
    <w:p w14:paraId="078751D5">
      <w:pPr>
        <w:jc w:val="both"/>
        <w:rPr>
          <w:rFonts w:hint="eastAsia" w:ascii="宋体" w:hAnsi="宋体" w:eastAsia="宋体" w:cs="宋体"/>
          <w:b/>
          <w:bCs w:val="0"/>
          <w:color w:val="auto"/>
          <w:kern w:val="2"/>
          <w:sz w:val="28"/>
          <w:szCs w:val="24"/>
          <w:highlight w:val="none"/>
          <w:lang w:val="en-US" w:eastAsia="zh-CN" w:bidi="ar-SA"/>
        </w:rPr>
      </w:pPr>
    </w:p>
    <w:p w14:paraId="7F7CF0E4">
      <w:pPr>
        <w:ind w:left="0" w:leftChars="0" w:firstLine="0" w:firstLineChars="0"/>
        <w:jc w:val="both"/>
        <w:rPr>
          <w:rFonts w:hint="eastAsia" w:ascii="宋体" w:hAnsi="宋体" w:eastAsia="宋体" w:cs="宋体"/>
          <w:b/>
          <w:bCs w:val="0"/>
          <w:color w:val="auto"/>
          <w:kern w:val="2"/>
          <w:sz w:val="28"/>
          <w:szCs w:val="24"/>
          <w:highlight w:val="none"/>
          <w:lang w:val="en-US" w:eastAsia="zh-CN" w:bidi="ar-SA"/>
        </w:rPr>
      </w:pPr>
    </w:p>
    <w:p w14:paraId="700E6C4C">
      <w:pPr>
        <w:rPr>
          <w:rFonts w:hint="eastAsia" w:ascii="宋体" w:hAnsi="宋体" w:eastAsia="宋体" w:cs="宋体"/>
          <w:color w:val="auto"/>
          <w:sz w:val="28"/>
          <w:szCs w:val="28"/>
          <w:highlight w:val="none"/>
        </w:rPr>
      </w:pPr>
      <w:bookmarkStart w:id="340" w:name="_Toc29473"/>
      <w:bookmarkStart w:id="341" w:name="_Toc23573"/>
      <w:r>
        <w:rPr>
          <w:rFonts w:hint="eastAsia" w:ascii="宋体" w:hAnsi="宋体" w:eastAsia="宋体" w:cs="宋体"/>
          <w:color w:val="auto"/>
          <w:sz w:val="28"/>
          <w:szCs w:val="28"/>
          <w:highlight w:val="none"/>
        </w:rPr>
        <w:br w:type="page"/>
      </w:r>
    </w:p>
    <w:p w14:paraId="4CDA62C6">
      <w:pPr>
        <w:pStyle w:val="5"/>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中小企业划分标准</w:t>
      </w:r>
      <w:bookmarkEnd w:id="340"/>
      <w:bookmarkEnd w:id="341"/>
    </w:p>
    <w:p w14:paraId="5A401C05">
      <w:pPr>
        <w:shd w:val="clear" w:color="auto" w:fill="auto"/>
        <w:ind w:firstLine="480" w:firstLineChars="200"/>
        <w:rPr>
          <w:rFonts w:hint="eastAsia" w:ascii="宋体" w:hAnsi="宋体" w:eastAsia="宋体" w:cs="宋体"/>
          <w:color w:val="auto"/>
          <w:sz w:val="24"/>
          <w:highlight w:val="none"/>
        </w:rPr>
      </w:pPr>
      <w:bookmarkStart w:id="342" w:name="bookmark4"/>
      <w:bookmarkStart w:id="343" w:name="bookmark5"/>
      <w:r>
        <w:rPr>
          <w:rFonts w:hint="eastAsia" w:ascii="宋体" w:hAnsi="宋体" w:eastAsia="宋体" w:cs="宋体"/>
          <w:color w:val="auto"/>
          <w:sz w:val="24"/>
          <w:highlight w:val="none"/>
        </w:rPr>
        <w:t>工业和信息化部、国家统计局、发展改革委、财政部等四部门《关于印发中小企业划型标准规定的通知》（工信部联企业〔2011〕300号）规定中小企业划型标准如表所示：</w:t>
      </w:r>
      <w:bookmarkEnd w:id="342"/>
      <w:bookmarkEnd w:id="343"/>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28"/>
        <w:gridCol w:w="1049"/>
        <w:gridCol w:w="6986"/>
      </w:tblGrid>
      <w:tr w14:paraId="2D2D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3F617370">
            <w:pPr>
              <w:pStyle w:val="39"/>
              <w:shd w:val="clear" w:color="auto" w:fill="auto"/>
              <w:spacing w:line="240" w:lineRule="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4114" w:type="pct"/>
            <w:gridSpan w:val="2"/>
            <w:shd w:val="clear" w:color="auto" w:fill="FFFFFF"/>
            <w:noWrap w:val="0"/>
            <w:vAlign w:val="center"/>
          </w:tcPr>
          <w:p w14:paraId="4EE90D36">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营业收入20000万元以下的为中小微型企业。</w:t>
            </w:r>
          </w:p>
        </w:tc>
      </w:tr>
      <w:tr w14:paraId="6712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0B3939AC">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0AA0666C">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59AF9984">
            <w:pPr>
              <w:pStyle w:val="39"/>
              <w:shd w:val="clear" w:color="auto" w:fill="auto"/>
              <w:tabs>
                <w:tab w:val="left" w:pos="1930"/>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20 000万元</w:t>
            </w:r>
          </w:p>
        </w:tc>
      </w:tr>
      <w:tr w14:paraId="6E83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7C938CE7">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79AD0CA8">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4E746939">
            <w:pPr>
              <w:pStyle w:val="39"/>
              <w:shd w:val="clear" w:color="auto" w:fill="auto"/>
              <w:tabs>
                <w:tab w:val="left" w:pos="1752"/>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500万元</w:t>
            </w:r>
          </w:p>
        </w:tc>
      </w:tr>
      <w:tr w14:paraId="14F3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6F9988F">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4C28584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6FFB8D9A">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50万元以下</w:t>
            </w:r>
          </w:p>
        </w:tc>
      </w:tr>
      <w:tr w14:paraId="6FF7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72FCB81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p w14:paraId="417F28E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包括采矿业，制造业，电力、热力、燃气及水生产和供应</w:t>
            </w:r>
          </w:p>
          <w:p w14:paraId="39B94057">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tc>
        <w:tc>
          <w:tcPr>
            <w:tcW w:w="4114" w:type="pct"/>
            <w:gridSpan w:val="2"/>
            <w:shd w:val="clear" w:color="auto" w:fill="FFFFFF"/>
            <w:noWrap w:val="0"/>
            <w:vAlign w:val="center"/>
          </w:tcPr>
          <w:p w14:paraId="46F33BFE">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40000万元以下的为中小微型企业。</w:t>
            </w:r>
          </w:p>
        </w:tc>
      </w:tr>
      <w:tr w14:paraId="573D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2289A02B">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3C33EDF3">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19985C4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2 000万元一40 000万元</w:t>
            </w:r>
          </w:p>
        </w:tc>
      </w:tr>
      <w:tr w14:paraId="3A17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2BB9C53">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1325699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16AB83D0">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300万元一2 000万元</w:t>
            </w:r>
          </w:p>
        </w:tc>
      </w:tr>
      <w:tr w14:paraId="6D0C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6CFC8443">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455A28E8">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55BD07AA">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300万元以下</w:t>
            </w:r>
          </w:p>
        </w:tc>
      </w:tr>
      <w:tr w14:paraId="6A3D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20FE3720">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114" w:type="pct"/>
            <w:gridSpan w:val="2"/>
            <w:shd w:val="clear" w:color="auto" w:fill="FFFFFF"/>
            <w:noWrap w:val="0"/>
            <w:vAlign w:val="center"/>
          </w:tcPr>
          <w:p w14:paraId="78BA49E1">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营业收入80000万元以下或资产总额 80000万元以下的为中小微型企业。</w:t>
            </w:r>
          </w:p>
        </w:tc>
      </w:tr>
      <w:tr w14:paraId="493D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5E1B0AE">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379BFC93">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6CF11D67">
            <w:pPr>
              <w:pStyle w:val="39"/>
              <w:shd w:val="clear" w:color="auto" w:fill="auto"/>
              <w:spacing w:line="240" w:lineRule="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营业收入6000万元一80000万元，且资产总额 5 000万元一80 000 万元</w:t>
            </w:r>
          </w:p>
        </w:tc>
      </w:tr>
      <w:tr w14:paraId="6125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41F80FFE">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0423071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61E3B1D9">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 300万元一6 000万元，且资产总额 300万一5 000万元</w:t>
            </w:r>
          </w:p>
        </w:tc>
      </w:tr>
      <w:tr w14:paraId="701C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D5C061B">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6207B29C">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4C25CB4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营业收入300万元以下或资产总额 300万元以下</w:t>
            </w:r>
          </w:p>
        </w:tc>
      </w:tr>
      <w:tr w14:paraId="5A19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416F2107">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4114" w:type="pct"/>
            <w:gridSpan w:val="2"/>
            <w:shd w:val="clear" w:color="auto" w:fill="FFFFFF"/>
            <w:noWrap w:val="0"/>
            <w:vAlign w:val="center"/>
          </w:tcPr>
          <w:p w14:paraId="1A0531F9">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40 000万元以下的为中小微型企业。</w:t>
            </w:r>
          </w:p>
        </w:tc>
      </w:tr>
      <w:tr w14:paraId="2697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6C70D8FE">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7377A4F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76B3E1EC">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从业人员20人一200人，且营业收入 5 000万元一40 000万元</w:t>
            </w:r>
          </w:p>
        </w:tc>
      </w:tr>
      <w:tr w14:paraId="250A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147F628E">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5884E433">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48B98E5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从业人员5人一20人，且营业收入 1 000万元一5 000万元</w:t>
            </w:r>
          </w:p>
        </w:tc>
      </w:tr>
      <w:tr w14:paraId="1B37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0BDA9F3">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74A0618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1BB95F5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从业人员5人以下或营业收入 1 000万元以下</w:t>
            </w:r>
          </w:p>
        </w:tc>
      </w:tr>
      <w:tr w14:paraId="5FAC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094332B7">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4114" w:type="pct"/>
            <w:gridSpan w:val="2"/>
            <w:shd w:val="clear" w:color="auto" w:fill="FFFFFF"/>
            <w:noWrap w:val="0"/>
            <w:vAlign w:val="center"/>
          </w:tcPr>
          <w:p w14:paraId="27EEB0C8">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20 000万元以下的为中小微型企业。</w:t>
            </w:r>
          </w:p>
        </w:tc>
      </w:tr>
      <w:tr w14:paraId="7444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2A3D8925">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5A803508">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7C6C2B4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50人一300人，且营业收入 500万元一20 000万元</w:t>
            </w:r>
          </w:p>
        </w:tc>
      </w:tr>
      <w:tr w14:paraId="3050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905E38B">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44A608B1">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4E8E8D11">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从业人员10人一50人，且营业收入 100万元一500万元</w:t>
            </w:r>
          </w:p>
        </w:tc>
      </w:tr>
      <w:tr w14:paraId="3D89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7F71F79">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6C004FEC">
            <w:pPr>
              <w:pStyle w:val="39"/>
              <w:shd w:val="clear" w:color="auto" w:fill="auto"/>
              <w:spacing w:before="8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574435CB">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14:paraId="5963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3EBCCFD2">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 （不含铁路运输业）</w:t>
            </w:r>
          </w:p>
        </w:tc>
        <w:tc>
          <w:tcPr>
            <w:tcW w:w="4114" w:type="pct"/>
            <w:gridSpan w:val="2"/>
            <w:shd w:val="clear" w:color="auto" w:fill="FFFFFF"/>
            <w:noWrap w:val="0"/>
            <w:vAlign w:val="center"/>
          </w:tcPr>
          <w:p w14:paraId="1622EBC6">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14:paraId="3098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059FB0A0">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4005797F">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067AB52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3 000万元一30 000万元</w:t>
            </w:r>
          </w:p>
        </w:tc>
      </w:tr>
      <w:tr w14:paraId="21C1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75AD3F6A">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5681C347">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24A46B1F">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200万元一3 000万元</w:t>
            </w:r>
          </w:p>
        </w:tc>
      </w:tr>
      <w:tr w14:paraId="00D3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26858A42">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411A4B2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42B6D53B">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200万元以下</w:t>
            </w:r>
          </w:p>
        </w:tc>
      </w:tr>
      <w:tr w14:paraId="0042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1D0B9829">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4114" w:type="pct"/>
            <w:gridSpan w:val="2"/>
            <w:shd w:val="clear" w:color="auto" w:fill="FFFFFF"/>
            <w:noWrap w:val="0"/>
            <w:vAlign w:val="center"/>
          </w:tcPr>
          <w:p w14:paraId="3AD3EDE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30 000万元以下的为中小微型企业。</w:t>
            </w:r>
          </w:p>
        </w:tc>
      </w:tr>
      <w:tr w14:paraId="75FD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6F26B578">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1153065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326304F4">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从业人员100人一200人，且营业收入 1 000万元一30 000万元</w:t>
            </w:r>
          </w:p>
        </w:tc>
      </w:tr>
      <w:tr w14:paraId="29F7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27F58160">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7B01A20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4F44BBA4">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从业人员20人一100人，且营业收入 100万元一1 000万元</w:t>
            </w:r>
          </w:p>
        </w:tc>
      </w:tr>
      <w:tr w14:paraId="312D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358108BE">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3B28821D">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09A84549">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r w14:paraId="44B1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72D6E841">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4114" w:type="pct"/>
            <w:gridSpan w:val="2"/>
            <w:shd w:val="clear" w:color="auto" w:fill="FFFFFF"/>
            <w:noWrap w:val="0"/>
            <w:vAlign w:val="center"/>
          </w:tcPr>
          <w:p w14:paraId="7BAA77BC">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14:paraId="32A9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4FF4115E">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781E9BDC">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14:paraId="24595DF5">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2 000万元一30 000万元</w:t>
            </w:r>
          </w:p>
        </w:tc>
      </w:tr>
      <w:tr w14:paraId="4FDA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85B2241">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25EE6D9C">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14:paraId="5ACEEA4F">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100万元一2 000万元</w:t>
            </w:r>
          </w:p>
        </w:tc>
      </w:tr>
      <w:tr w14:paraId="5C8D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04ACD4AC">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14:paraId="237D9DBA">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14:paraId="75B830EF">
            <w:pPr>
              <w:pStyle w:val="3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bl>
    <w:p w14:paraId="37B56603">
      <w:pPr>
        <w:shd w:val="clear" w:color="auto" w:fill="auto"/>
        <w:spacing w:line="1" w:lineRule="exact"/>
        <w:jc w:val="center"/>
        <w:rPr>
          <w:rFonts w:hint="eastAsia" w:ascii="宋体" w:hAnsi="宋体" w:eastAsia="宋体" w:cs="宋体"/>
          <w:color w:val="auto"/>
          <w:sz w:val="18"/>
          <w:szCs w:val="18"/>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93"/>
        <w:gridCol w:w="769"/>
        <w:gridCol w:w="7303"/>
      </w:tblGrid>
      <w:tr w14:paraId="0DD5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42A78C37">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0" w:type="auto"/>
            <w:gridSpan w:val="2"/>
            <w:shd w:val="clear" w:color="auto" w:fill="FFFFFF"/>
            <w:noWrap w:val="0"/>
            <w:vAlign w:val="center"/>
          </w:tcPr>
          <w:p w14:paraId="6117C89E">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14:paraId="299B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20C7BB9">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0FC06104">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462CF37C">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2 000万元一10 000万元</w:t>
            </w:r>
          </w:p>
        </w:tc>
      </w:tr>
      <w:tr w14:paraId="602C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0B972961">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29464743">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1897E0A0">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14:paraId="2EC1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FD4B075">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6438E6AB">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2E23AAA0">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14:paraId="2B0A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6ECE2382">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0" w:type="auto"/>
            <w:gridSpan w:val="2"/>
            <w:shd w:val="clear" w:color="auto" w:fill="FFFFFF"/>
            <w:noWrap w:val="0"/>
            <w:vAlign w:val="center"/>
          </w:tcPr>
          <w:p w14:paraId="290D8B55">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10 000万元以下的为中小微型企业。</w:t>
            </w:r>
          </w:p>
        </w:tc>
      </w:tr>
      <w:tr w14:paraId="2CC7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1CA79E4A">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2085C99E">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05F9C137">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2 000万元一10 000万元</w:t>
            </w:r>
          </w:p>
        </w:tc>
      </w:tr>
      <w:tr w14:paraId="1B6A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0767AAF8">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6A9AC745">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7DC6DE60">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14:paraId="23EE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26293D17">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7783FB5A">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081A1608">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14:paraId="557B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436E59D3">
            <w:pPr>
              <w:pStyle w:val="39"/>
              <w:shd w:val="clear" w:color="auto" w:fill="auto"/>
              <w:spacing w:line="49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 （包括电信、互联网 和相关服务）</w:t>
            </w:r>
          </w:p>
        </w:tc>
        <w:tc>
          <w:tcPr>
            <w:tcW w:w="0" w:type="auto"/>
            <w:gridSpan w:val="2"/>
            <w:shd w:val="clear" w:color="auto" w:fill="FFFFFF"/>
            <w:noWrap w:val="0"/>
            <w:vAlign w:val="center"/>
          </w:tcPr>
          <w:p w14:paraId="2DEAAB8C">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从业人员2 000人以下或营业收入 100 000万元以下的为中小微型企业。</w:t>
            </w:r>
          </w:p>
        </w:tc>
      </w:tr>
      <w:tr w14:paraId="2FE6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406CF58">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59506272">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12A0AAD5">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从业人员100人一2 000人，且营业收入 1 000万元一10 000万元</w:t>
            </w:r>
          </w:p>
        </w:tc>
      </w:tr>
      <w:tr w14:paraId="32C6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5E0010D">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20C6A8D8">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60CCD048">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100万元一1 000万元</w:t>
            </w:r>
          </w:p>
        </w:tc>
      </w:tr>
      <w:tr w14:paraId="2D20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3CE7D8C">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646E8FF7">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6D11D8E2">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14:paraId="0A6E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7B64F3C5">
            <w:pPr>
              <w:pStyle w:val="39"/>
              <w:shd w:val="clear" w:color="auto" w:fill="auto"/>
              <w:spacing w:line="50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0" w:type="auto"/>
            <w:gridSpan w:val="2"/>
            <w:shd w:val="clear" w:color="auto" w:fill="FFFFFF"/>
            <w:noWrap w:val="0"/>
            <w:vAlign w:val="center"/>
          </w:tcPr>
          <w:p w14:paraId="5F84C812">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14:paraId="49B8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7791CF2">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0CEA4CF8">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434AA9CA">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1 000万元一10 000万元</w:t>
            </w:r>
          </w:p>
        </w:tc>
      </w:tr>
      <w:tr w14:paraId="733F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2F466BFD">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29E57419">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03453979">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50万元一1 000万元</w:t>
            </w:r>
          </w:p>
        </w:tc>
      </w:tr>
      <w:tr w14:paraId="564E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13D39086">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5FE082CF">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3E4F5EFF">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50万元以下</w:t>
            </w:r>
          </w:p>
        </w:tc>
      </w:tr>
      <w:tr w14:paraId="3BA6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35563016">
            <w:pPr>
              <w:pStyle w:val="39"/>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0" w:type="auto"/>
            <w:gridSpan w:val="2"/>
            <w:shd w:val="clear" w:color="auto" w:fill="FFFFFF"/>
            <w:noWrap w:val="0"/>
            <w:vAlign w:val="center"/>
          </w:tcPr>
          <w:p w14:paraId="422141E8">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营业收入200 000万元以下或资产总额 10 000万元以下的为中小微型企业。</w:t>
            </w:r>
          </w:p>
        </w:tc>
      </w:tr>
      <w:tr w14:paraId="728B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63B434E5">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3C160443">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38A3773D">
            <w:pPr>
              <w:pStyle w:val="39"/>
              <w:shd w:val="clear" w:color="auto" w:fill="auto"/>
              <w:spacing w:after="120"/>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营业收入1 000万元一200 000万元，且资产总额 5 000万元一10000万元</w:t>
            </w:r>
          </w:p>
        </w:tc>
      </w:tr>
      <w:tr w14:paraId="0FAC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514E1BF">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176B4F5C">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37CAA294">
            <w:pPr>
              <w:pStyle w:val="39"/>
              <w:shd w:val="clear" w:color="auto" w:fill="auto"/>
              <w:spacing w:line="240" w:lineRule="auto"/>
              <w:ind w:left="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营业收入100万元一1 000万元，且资产总额 2 000万元一5 000 万元</w:t>
            </w:r>
          </w:p>
        </w:tc>
      </w:tr>
      <w:tr w14:paraId="0A5A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3766A642">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31378D4B">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664D3A8E">
            <w:pPr>
              <w:pStyle w:val="39"/>
              <w:shd w:val="clear" w:color="auto" w:fill="auto"/>
              <w:tabs>
                <w:tab w:val="left" w:pos="525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营业收入100万元以下或资产总额2 000万元以下的为微型企业</w:t>
            </w:r>
          </w:p>
        </w:tc>
      </w:tr>
      <w:tr w14:paraId="5AE6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2F369DEF">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0" w:type="auto"/>
            <w:gridSpan w:val="2"/>
            <w:shd w:val="clear" w:color="auto" w:fill="FFFFFF"/>
            <w:noWrap w:val="0"/>
            <w:vAlign w:val="center"/>
          </w:tcPr>
          <w:p w14:paraId="64E8854C">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5 000万元以下的为中小微型企业。</w:t>
            </w:r>
          </w:p>
        </w:tc>
      </w:tr>
      <w:tr w14:paraId="3CD5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A2F35ED">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4D27FDB3">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5F464E6F">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1000万元一5 000万元</w:t>
            </w:r>
          </w:p>
        </w:tc>
      </w:tr>
      <w:tr w14:paraId="1BD2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D4BFE90">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5DB23327">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167D7851">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500万元一1 000万元</w:t>
            </w:r>
          </w:p>
        </w:tc>
      </w:tr>
      <w:tr w14:paraId="1C4E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3D0E084E">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7EBA1FE0">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30388A5A">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从业人员100人以下或营业收入 500万元以下</w:t>
            </w:r>
          </w:p>
        </w:tc>
      </w:tr>
      <w:tr w14:paraId="7072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149FAB20">
            <w:pPr>
              <w:pStyle w:val="39"/>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0" w:type="auto"/>
            <w:gridSpan w:val="2"/>
            <w:shd w:val="clear" w:color="auto" w:fill="FFFFFF"/>
            <w:noWrap w:val="0"/>
            <w:vAlign w:val="center"/>
          </w:tcPr>
          <w:p w14:paraId="4A53E7F9">
            <w:pPr>
              <w:pStyle w:val="39"/>
              <w:shd w:val="clear" w:color="auto" w:fill="auto"/>
              <w:tabs>
                <w:tab w:val="left" w:pos="10666"/>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人以下或资产总额 100万元以下的为微型企业。</w:t>
            </w:r>
          </w:p>
        </w:tc>
      </w:tr>
      <w:tr w14:paraId="4946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69971639">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4B8DB5BF">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758A2222">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从业人员100人一300人，且资产总额 8 000万元一120 000万元</w:t>
            </w:r>
          </w:p>
        </w:tc>
      </w:tr>
      <w:tr w14:paraId="0A52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0F022D86">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15195629">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34D1AE5B">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从业人员10人一100人，且资产总额 100万元一8 000万元</w:t>
            </w:r>
          </w:p>
        </w:tc>
      </w:tr>
      <w:tr w14:paraId="2233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6911F9D3">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1A8AAECB">
            <w:pPr>
              <w:pStyle w:val="39"/>
              <w:shd w:val="clear" w:color="auto" w:fill="auto"/>
              <w:spacing w:before="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4719E529">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从业人员10人以下或资产总额 100万元以下</w:t>
            </w:r>
          </w:p>
        </w:tc>
      </w:tr>
      <w:tr w14:paraId="6774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6B220341">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0" w:type="auto"/>
            <w:gridSpan w:val="2"/>
            <w:shd w:val="clear" w:color="auto" w:fill="FFFFFF"/>
            <w:noWrap w:val="0"/>
            <w:vAlign w:val="center"/>
          </w:tcPr>
          <w:p w14:paraId="753BE1E6">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从业人员300人以下的为中小微型企业。</w:t>
            </w:r>
          </w:p>
        </w:tc>
      </w:tr>
      <w:tr w14:paraId="54B4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B8321D2">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43449813">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14:paraId="5EEACF18">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w:t>
            </w:r>
          </w:p>
        </w:tc>
      </w:tr>
      <w:tr w14:paraId="3E91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25F411A9">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40AAB71B">
            <w:pPr>
              <w:pStyle w:val="39"/>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14:paraId="3DA604BF">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w:t>
            </w:r>
          </w:p>
        </w:tc>
      </w:tr>
      <w:tr w14:paraId="05B9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B9CED6D">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14:paraId="1FF20275">
            <w:pPr>
              <w:pStyle w:val="3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14:paraId="710DD328">
            <w:pPr>
              <w:pStyle w:val="3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w:t>
            </w:r>
          </w:p>
        </w:tc>
      </w:tr>
    </w:tbl>
    <w:p w14:paraId="2BB873BA">
      <w:pPr>
        <w:shd w:val="clear" w:color="auto" w:fill="auto"/>
        <w:spacing w:line="240" w:lineRule="atLeast"/>
        <w:rPr>
          <w:rFonts w:hint="eastAsia" w:ascii="宋体" w:hAnsi="宋体" w:eastAsia="宋体" w:cs="宋体"/>
          <w:color w:val="auto"/>
          <w:sz w:val="24"/>
          <w:highlight w:val="none"/>
        </w:rPr>
        <w:sectPr>
          <w:headerReference r:id="rId19" w:type="default"/>
          <w:headerReference r:id="rId20" w:type="even"/>
          <w:footerReference r:id="rId21" w:type="even"/>
          <w:type w:val="continuous"/>
          <w:pgSz w:w="11905" w:h="16838"/>
          <w:pgMar w:top="1440" w:right="1080" w:bottom="1440" w:left="1080" w:header="567" w:footer="454"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700EDF24">
      <w:pPr>
        <w:pStyle w:val="29"/>
        <w:rPr>
          <w:rFonts w:hint="eastAsia" w:ascii="宋体" w:hAnsi="宋体" w:eastAsia="宋体" w:cs="宋体"/>
          <w:color w:val="auto"/>
          <w:highlight w:val="none"/>
          <w:lang w:val="en-US" w:eastAsia="zh-CN"/>
        </w:rPr>
      </w:pPr>
    </w:p>
    <w:p w14:paraId="5C1553C9">
      <w:pPr>
        <w:rPr>
          <w:rFonts w:hint="eastAsia" w:ascii="宋体" w:hAnsi="宋体" w:eastAsia="宋体" w:cs="宋体"/>
          <w:color w:val="auto"/>
          <w:highlight w:val="none"/>
        </w:rPr>
      </w:pPr>
    </w:p>
    <w:sectPr>
      <w:headerReference r:id="rId22" w:type="default"/>
      <w:footerReference r:id="rId23" w:type="default"/>
      <w:type w:val="continuous"/>
      <w:pgSz w:w="11905" w:h="16838"/>
      <w:pgMar w:top="1440" w:right="1080" w:bottom="1440" w:left="1080" w:header="567" w:footer="454" w:gutter="0"/>
      <w:pgNumType w:fmt="decimal"/>
      <w:cols w:space="72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4348">
    <w:pPr>
      <w:pStyle w:val="15"/>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49067">
    <w:pPr>
      <w:pStyle w:val="15"/>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6902A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386902A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A39D0">
    <w:pPr>
      <w:pStyle w:val="15"/>
      <w:ind w:left="90" w:right="360" w:hanging="9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85FAD">
    <w:pPr>
      <w:spacing w:line="1" w:lineRule="atLeast"/>
      <w:ind w:left="105" w:hanging="10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00C63">
    <w:pPr>
      <w:pStyle w:val="15"/>
      <w:ind w:left="90" w:hanging="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12AA">
    <w:pPr>
      <w:pStyle w:val="15"/>
      <w:jc w:val="center"/>
    </w:pPr>
  </w:p>
  <w:p w14:paraId="6137DDBB">
    <w:pPr>
      <w:spacing w:line="188" w:lineRule="auto"/>
      <w:ind w:left="4084"/>
      <w:rPr>
        <w:rFonts w:ascii="Calibri" w:hAnsi="Calibri" w:eastAsia="Calibri" w:cs="Calibri"/>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9C302">
    <w:pPr>
      <w:spacing w:line="188" w:lineRule="auto"/>
      <w:ind w:left="4084"/>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0249D">
    <w:pPr>
      <w:pStyle w:val="15"/>
      <w:tabs>
        <w:tab w:val="left" w:pos="252"/>
        <w:tab w:val="center" w:pos="493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41F3D">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09C41">
    <w:pPr>
      <w:spacing w:line="124" w:lineRule="exact"/>
      <w:ind w:firstLine="4435"/>
      <w:rPr>
        <w:rFonts w:ascii="Times New Roman" w:hAnsi="Times New Roman" w:eastAsia="Times New Roman" w:cs="Times New Roman"/>
        <w:sz w:val="18"/>
        <w:szCs w:val="18"/>
      </w:rPr>
    </w:pPr>
    <w:r>
      <w:rPr>
        <w:rFonts w:ascii="Times New Roman" w:hAnsi="Times New Roman" w:eastAsia="Times New Roman" w:cs="Times New Roman"/>
        <w:spacing w:val="-2"/>
        <w:position w:val="-2"/>
        <w:sz w:val="18"/>
        <w:szCs w:val="18"/>
        <w:shd w:val="clear" w:color="auto" w:fill="FFFFFE"/>
      </w:rPr>
      <w:t>79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8060">
    <w:pPr>
      <w:spacing w:line="123" w:lineRule="exact"/>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7E5DF">
    <w:pPr>
      <w:pStyle w:val="16"/>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D6B5A">
    <w:pPr>
      <w:pStyle w:val="17"/>
      <w:pBdr>
        <w:bottom w:val="none" w:color="auto" w:sz="0" w:space="0"/>
      </w:pBdr>
      <w:bidi w:val="0"/>
      <w:ind w:left="0" w:leftChars="0" w:firstLine="0" w:firstLineChars="0"/>
      <w:jc w:val="center"/>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154C1">
    <w:pPr>
      <w:pStyle w:val="16"/>
      <w:rPr>
        <w:rFonts w:hint="default"/>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332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8312B">
    <w:pPr>
      <w:pStyle w:val="1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2FED7">
    <w:pPr>
      <w:pStyle w:val="16"/>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524A3">
    <w:pPr>
      <w:pStyle w:val="16"/>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0A26">
    <w:pPr>
      <w:pStyle w:val="16"/>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A815A"/>
    <w:multiLevelType w:val="singleLevel"/>
    <w:tmpl w:val="AC4A815A"/>
    <w:lvl w:ilvl="0" w:tentative="0">
      <w:start w:val="6"/>
      <w:numFmt w:val="decimal"/>
      <w:suff w:val="nothing"/>
      <w:lvlText w:val="%1、"/>
      <w:lvlJc w:val="left"/>
    </w:lvl>
  </w:abstractNum>
  <w:abstractNum w:abstractNumId="1">
    <w:nsid w:val="AE83B5D4"/>
    <w:multiLevelType w:val="singleLevel"/>
    <w:tmpl w:val="AE83B5D4"/>
    <w:lvl w:ilvl="0" w:tentative="0">
      <w:start w:val="1"/>
      <w:numFmt w:val="decimal"/>
      <w:suff w:val="nothing"/>
      <w:lvlText w:val="%1、"/>
      <w:lvlJc w:val="left"/>
    </w:lvl>
  </w:abstractNum>
  <w:abstractNum w:abstractNumId="2">
    <w:nsid w:val="DEA4CC70"/>
    <w:multiLevelType w:val="singleLevel"/>
    <w:tmpl w:val="DEA4CC70"/>
    <w:lvl w:ilvl="0" w:tentative="0">
      <w:start w:val="1"/>
      <w:numFmt w:val="decimal"/>
      <w:lvlText w:val="%1."/>
      <w:lvlJc w:val="left"/>
      <w:pPr>
        <w:ind w:left="425" w:hanging="425"/>
      </w:pPr>
      <w:rPr>
        <w:rFonts w:hint="default"/>
      </w:rPr>
    </w:lvl>
  </w:abstractNum>
  <w:abstractNum w:abstractNumId="3">
    <w:nsid w:val="EE9F220D"/>
    <w:multiLevelType w:val="singleLevel"/>
    <w:tmpl w:val="EE9F220D"/>
    <w:lvl w:ilvl="0" w:tentative="0">
      <w:start w:val="1"/>
      <w:numFmt w:val="decimal"/>
      <w:suff w:val="nothing"/>
      <w:lvlText w:val="（%1）"/>
      <w:lvlJc w:val="left"/>
    </w:lvl>
  </w:abstractNum>
  <w:abstractNum w:abstractNumId="4">
    <w:nsid w:val="FD756BF6"/>
    <w:multiLevelType w:val="singleLevel"/>
    <w:tmpl w:val="FD756BF6"/>
    <w:lvl w:ilvl="0" w:tentative="0">
      <w:start w:val="2"/>
      <w:numFmt w:val="chineseCounting"/>
      <w:suff w:val="nothing"/>
      <w:lvlText w:val="（%1）"/>
      <w:lvlJc w:val="left"/>
      <w:rPr>
        <w:rFonts w:hint="eastAsia"/>
      </w:rPr>
    </w:lvl>
  </w:abstractNum>
  <w:abstractNum w:abstractNumId="5">
    <w:nsid w:val="059A147F"/>
    <w:multiLevelType w:val="multilevel"/>
    <w:tmpl w:val="059A14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6C327AB"/>
    <w:multiLevelType w:val="singleLevel"/>
    <w:tmpl w:val="16C327AB"/>
    <w:lvl w:ilvl="0" w:tentative="0">
      <w:start w:val="1"/>
      <w:numFmt w:val="decimal"/>
      <w:suff w:val="nothing"/>
      <w:lvlText w:val="（%1）"/>
      <w:lvlJc w:val="left"/>
    </w:lvl>
  </w:abstractNum>
  <w:abstractNum w:abstractNumId="8">
    <w:nsid w:val="18925ABF"/>
    <w:multiLevelType w:val="multilevel"/>
    <w:tmpl w:val="18925ABF"/>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3CC517A"/>
    <w:multiLevelType w:val="singleLevel"/>
    <w:tmpl w:val="23CC517A"/>
    <w:lvl w:ilvl="0" w:tentative="0">
      <w:start w:val="1"/>
      <w:numFmt w:val="decimal"/>
      <w:suff w:val="nothing"/>
      <w:lvlText w:val="（%1）"/>
      <w:lvlJc w:val="left"/>
    </w:lvl>
  </w:abstractNum>
  <w:abstractNum w:abstractNumId="10">
    <w:nsid w:val="250D2173"/>
    <w:multiLevelType w:val="multilevel"/>
    <w:tmpl w:val="250D21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50DCFCA"/>
    <w:multiLevelType w:val="multilevel"/>
    <w:tmpl w:val="250DCFCA"/>
    <w:lvl w:ilvl="0" w:tentative="0">
      <w:start w:val="1"/>
      <w:numFmt w:val="decimal"/>
      <w:lvlText w:val="%1"/>
      <w:lvlJc w:val="left"/>
      <w:pPr>
        <w:tabs>
          <w:tab w:val="left" w:pos="900"/>
        </w:tabs>
        <w:ind w:left="900" w:hanging="900"/>
      </w:pPr>
      <w:rPr>
        <w:rFonts w:hint="eastAsia"/>
      </w:rPr>
    </w:lvl>
    <w:lvl w:ilvl="1" w:tentative="0">
      <w:start w:val="1"/>
      <w:numFmt w:val="decimal"/>
      <w:suff w:val="nothing"/>
      <w:lvlText w:val="%1.%2"/>
      <w:lvlJc w:val="left"/>
      <w:pPr>
        <w:ind w:left="1468" w:hanging="900"/>
      </w:pPr>
      <w:rPr>
        <w:rFonts w:hint="default" w:ascii="Times New Roman" w:hAnsi="Times New Roman" w:cs="Times New Roman"/>
        <w:sz w:val="24"/>
        <w:szCs w:val="24"/>
      </w:rPr>
    </w:lvl>
    <w:lvl w:ilvl="2" w:tentative="0">
      <w:start w:val="1"/>
      <w:numFmt w:val="decimal"/>
      <w:suff w:val="nothing"/>
      <w:lvlText w:val="%1.%2.%3"/>
      <w:lvlJc w:val="left"/>
      <w:pPr>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A0A2A69"/>
    <w:multiLevelType w:val="singleLevel"/>
    <w:tmpl w:val="2A0A2A69"/>
    <w:lvl w:ilvl="0" w:tentative="0">
      <w:start w:val="1"/>
      <w:numFmt w:val="decimal"/>
      <w:suff w:val="nothing"/>
      <w:lvlText w:val="（%1）"/>
      <w:lvlJc w:val="left"/>
    </w:lvl>
  </w:abstractNum>
  <w:abstractNum w:abstractNumId="14">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6"/>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3ADB919C"/>
    <w:multiLevelType w:val="singleLevel"/>
    <w:tmpl w:val="3ADB919C"/>
    <w:lvl w:ilvl="0" w:tentative="0">
      <w:start w:val="1"/>
      <w:numFmt w:val="decimal"/>
      <w:suff w:val="nothing"/>
      <w:lvlText w:val="（%1）"/>
      <w:lvlJc w:val="left"/>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C132540"/>
    <w:multiLevelType w:val="singleLevel"/>
    <w:tmpl w:val="4C132540"/>
    <w:lvl w:ilvl="0" w:tentative="0">
      <w:start w:val="1"/>
      <w:numFmt w:val="decimal"/>
      <w:suff w:val="nothing"/>
      <w:lvlText w:val="（%1）"/>
      <w:lvlJc w:val="left"/>
    </w:lvl>
  </w:abstractNum>
  <w:abstractNum w:abstractNumId="18">
    <w:nsid w:val="4E666D7F"/>
    <w:multiLevelType w:val="singleLevel"/>
    <w:tmpl w:val="4E666D7F"/>
    <w:lvl w:ilvl="0" w:tentative="0">
      <w:start w:val="1"/>
      <w:numFmt w:val="chineseCounting"/>
      <w:suff w:val="nothing"/>
      <w:lvlText w:val="（%1）"/>
      <w:lvlJc w:val="left"/>
      <w:rPr>
        <w:rFonts w:hint="eastAsia"/>
      </w:rPr>
    </w:lvl>
  </w:abstractNum>
  <w:abstractNum w:abstractNumId="19">
    <w:nsid w:val="68C0C54B"/>
    <w:multiLevelType w:val="singleLevel"/>
    <w:tmpl w:val="68C0C54B"/>
    <w:lvl w:ilvl="0" w:tentative="0">
      <w:start w:val="1"/>
      <w:numFmt w:val="decimal"/>
      <w:suff w:val="nothing"/>
      <w:lvlText w:val="（%1）"/>
      <w:lvlJc w:val="left"/>
    </w:lvl>
  </w:abstractNum>
  <w:num w:numId="1">
    <w:abstractNumId w:val="6"/>
  </w:num>
  <w:num w:numId="2">
    <w:abstractNumId w:val="14"/>
  </w:num>
  <w:num w:numId="3">
    <w:abstractNumId w:val="2"/>
  </w:num>
  <w:num w:numId="4">
    <w:abstractNumId w:val="4"/>
  </w:num>
  <w:num w:numId="5">
    <w:abstractNumId w:val="16"/>
  </w:num>
  <w:num w:numId="6">
    <w:abstractNumId w:val="11"/>
  </w:num>
  <w:num w:numId="7">
    <w:abstractNumId w:val="19"/>
  </w:num>
  <w:num w:numId="8">
    <w:abstractNumId w:val="13"/>
  </w:num>
  <w:num w:numId="9">
    <w:abstractNumId w:val="17"/>
  </w:num>
  <w:num w:numId="10">
    <w:abstractNumId w:val="15"/>
  </w:num>
  <w:num w:numId="11">
    <w:abstractNumId w:val="3"/>
  </w:num>
  <w:num w:numId="12">
    <w:abstractNumId w:val="7"/>
  </w:num>
  <w:num w:numId="13">
    <w:abstractNumId w:val="9"/>
  </w:num>
  <w:num w:numId="14">
    <w:abstractNumId w:val="12"/>
  </w:num>
  <w:num w:numId="15">
    <w:abstractNumId w:val="8"/>
  </w:num>
  <w:num w:numId="16">
    <w:abstractNumId w:val="18"/>
  </w:num>
  <w:num w:numId="17">
    <w:abstractNumId w:val="1"/>
  </w:num>
  <w:num w:numId="18">
    <w:abstractNumId w:val="5"/>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37B239C0"/>
    <w:rsid w:val="0009023F"/>
    <w:rsid w:val="03B95FF4"/>
    <w:rsid w:val="05030203"/>
    <w:rsid w:val="059943D9"/>
    <w:rsid w:val="088A6393"/>
    <w:rsid w:val="0C5032C0"/>
    <w:rsid w:val="0CCE4B9D"/>
    <w:rsid w:val="0E4D1706"/>
    <w:rsid w:val="0EAC0C2F"/>
    <w:rsid w:val="0F0B0F3A"/>
    <w:rsid w:val="11987360"/>
    <w:rsid w:val="11D353E8"/>
    <w:rsid w:val="12EB38CA"/>
    <w:rsid w:val="15C26949"/>
    <w:rsid w:val="17202C77"/>
    <w:rsid w:val="1A0F4CE9"/>
    <w:rsid w:val="1B010554"/>
    <w:rsid w:val="1B0A30C9"/>
    <w:rsid w:val="1B7F1E29"/>
    <w:rsid w:val="1BFC13A7"/>
    <w:rsid w:val="1D662467"/>
    <w:rsid w:val="1D7E7CD3"/>
    <w:rsid w:val="1EB55168"/>
    <w:rsid w:val="248F5924"/>
    <w:rsid w:val="24BF5CCE"/>
    <w:rsid w:val="25410FCB"/>
    <w:rsid w:val="259C77F7"/>
    <w:rsid w:val="25D2445C"/>
    <w:rsid w:val="26FB054E"/>
    <w:rsid w:val="273279F2"/>
    <w:rsid w:val="27822A1D"/>
    <w:rsid w:val="28E62B38"/>
    <w:rsid w:val="2A9A3208"/>
    <w:rsid w:val="2BA25D06"/>
    <w:rsid w:val="2F2368B4"/>
    <w:rsid w:val="2F49541C"/>
    <w:rsid w:val="30196AD0"/>
    <w:rsid w:val="31CD6F8B"/>
    <w:rsid w:val="33C67E63"/>
    <w:rsid w:val="346911EC"/>
    <w:rsid w:val="358032CB"/>
    <w:rsid w:val="37B239C0"/>
    <w:rsid w:val="3AA26CE5"/>
    <w:rsid w:val="3D4129FD"/>
    <w:rsid w:val="40B51316"/>
    <w:rsid w:val="456904E4"/>
    <w:rsid w:val="46AF6C9A"/>
    <w:rsid w:val="47C6205A"/>
    <w:rsid w:val="48111527"/>
    <w:rsid w:val="4951142F"/>
    <w:rsid w:val="4C9C7674"/>
    <w:rsid w:val="4D151DA5"/>
    <w:rsid w:val="4F2921E5"/>
    <w:rsid w:val="500338A6"/>
    <w:rsid w:val="5562037F"/>
    <w:rsid w:val="561F5757"/>
    <w:rsid w:val="57484631"/>
    <w:rsid w:val="5BD402C2"/>
    <w:rsid w:val="5CB15F61"/>
    <w:rsid w:val="5EBA17A5"/>
    <w:rsid w:val="601F0883"/>
    <w:rsid w:val="60F90953"/>
    <w:rsid w:val="62775FD3"/>
    <w:rsid w:val="62F91F51"/>
    <w:rsid w:val="666D2A08"/>
    <w:rsid w:val="67DE14F6"/>
    <w:rsid w:val="6A9356FD"/>
    <w:rsid w:val="6CBF1FF3"/>
    <w:rsid w:val="6D200A9B"/>
    <w:rsid w:val="6EA33813"/>
    <w:rsid w:val="70787AE6"/>
    <w:rsid w:val="712E6B68"/>
    <w:rsid w:val="75F45E61"/>
    <w:rsid w:val="76DE031E"/>
    <w:rsid w:val="7B5F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autoRedefine/>
    <w:qFormat/>
    <w:uiPriority w:val="0"/>
    <w:pPr>
      <w:keepNext/>
      <w:keepLines/>
      <w:spacing w:before="260" w:after="260" w:line="800" w:lineRule="exact"/>
      <w:jc w:val="center"/>
      <w:outlineLvl w:val="1"/>
    </w:pPr>
    <w:rPr>
      <w:b/>
      <w:bCs/>
      <w:sz w:val="30"/>
      <w:szCs w:val="32"/>
    </w:rPr>
  </w:style>
  <w:style w:type="paragraph" w:styleId="5">
    <w:name w:val="heading 3"/>
    <w:basedOn w:val="1"/>
    <w:next w:val="1"/>
    <w:link w:val="36"/>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spacing w:before="120"/>
    </w:pPr>
    <w:rPr>
      <w:rFonts w:ascii="Arial" w:hAnsi="Arial" w:eastAsia="仿宋"/>
      <w:sz w:val="24"/>
      <w:szCs w:val="20"/>
    </w:rPr>
  </w:style>
  <w:style w:type="paragraph" w:styleId="7">
    <w:name w:val="table of authorities"/>
    <w:basedOn w:val="1"/>
    <w:next w:val="1"/>
    <w:autoRedefine/>
    <w:unhideWhenUsed/>
    <w:qFormat/>
    <w:uiPriority w:val="99"/>
    <w:pPr>
      <w:ind w:left="420" w:leftChars="200"/>
    </w:pPr>
  </w:style>
  <w:style w:type="paragraph" w:styleId="8">
    <w:name w:val="Normal Indent"/>
    <w:basedOn w:val="1"/>
    <w:next w:val="9"/>
    <w:autoRedefine/>
    <w:qFormat/>
    <w:uiPriority w:val="0"/>
    <w:pPr>
      <w:ind w:firstLine="420" w:firstLineChars="200"/>
    </w:pPr>
    <w:rPr>
      <w:sz w:val="24"/>
      <w:szCs w:val="20"/>
    </w:rPr>
  </w:style>
  <w:style w:type="paragraph" w:customStyle="1" w:styleId="9">
    <w:name w:val="样式 正文缩进 + 首行缩进:  2 字符"/>
    <w:basedOn w:val="8"/>
    <w:autoRedefine/>
    <w:qFormat/>
    <w:uiPriority w:val="0"/>
    <w:pPr>
      <w:ind w:firstLine="560" w:firstLineChars="200"/>
    </w:pPr>
    <w:rPr>
      <w:rFonts w:cs="宋体"/>
    </w:rPr>
  </w:style>
  <w:style w:type="paragraph" w:styleId="10">
    <w:name w:val="Body Text"/>
    <w:basedOn w:val="1"/>
    <w:next w:val="11"/>
    <w:autoRedefine/>
    <w:qFormat/>
    <w:uiPriority w:val="0"/>
    <w:pPr>
      <w:adjustRightInd w:val="0"/>
      <w:spacing w:after="120" w:line="312" w:lineRule="atLeast"/>
    </w:pPr>
    <w:rPr>
      <w:kern w:val="0"/>
      <w:sz w:val="24"/>
      <w:szCs w:val="20"/>
    </w:rPr>
  </w:style>
  <w:style w:type="paragraph" w:customStyle="1" w:styleId="1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Body Text Indent"/>
    <w:basedOn w:val="1"/>
    <w:next w:val="13"/>
    <w:autoRedefine/>
    <w:qFormat/>
    <w:uiPriority w:val="0"/>
    <w:pPr>
      <w:spacing w:after="120"/>
      <w:ind w:left="420" w:leftChars="200"/>
    </w:pPr>
  </w:style>
  <w:style w:type="paragraph" w:styleId="13">
    <w:name w:val="envelope return"/>
    <w:basedOn w:val="1"/>
    <w:autoRedefine/>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14">
    <w:name w:val="Plain Text"/>
    <w:basedOn w:val="1"/>
    <w:autoRedefine/>
    <w:qFormat/>
    <w:uiPriority w:val="0"/>
    <w:rPr>
      <w:rFonts w:ascii="宋体" w:hAnsi="Courier New" w:cs="Courier New"/>
      <w:szCs w:val="21"/>
    </w:rPr>
  </w:style>
  <w:style w:type="paragraph" w:styleId="15">
    <w:name w:val="footer"/>
    <w:basedOn w:val="1"/>
    <w:next w:val="1"/>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Signature"/>
    <w:basedOn w:val="10"/>
    <w:autoRedefine/>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styleId="18">
    <w:name w:val="footnote text"/>
    <w:basedOn w:val="1"/>
    <w:autoRedefine/>
    <w:qFormat/>
    <w:uiPriority w:val="99"/>
    <w:pPr>
      <w:adjustRightInd w:val="0"/>
      <w:spacing w:line="312" w:lineRule="atLeast"/>
      <w:jc w:val="left"/>
      <w:textAlignment w:val="baseline"/>
    </w:pPr>
    <w:rPr>
      <w:kern w:val="0"/>
      <w:sz w:val="18"/>
      <w:szCs w:val="20"/>
    </w:r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w:basedOn w:val="10"/>
    <w:next w:val="1"/>
    <w:autoRedefine/>
    <w:qFormat/>
    <w:uiPriority w:val="0"/>
    <w:pPr>
      <w:adjustRightInd/>
      <w:spacing w:line="240" w:lineRule="auto"/>
      <w:ind w:firstLine="420" w:firstLineChars="100"/>
    </w:pPr>
    <w:rPr>
      <w:kern w:val="2"/>
      <w:sz w:val="21"/>
      <w:szCs w:val="24"/>
    </w:rPr>
  </w:style>
  <w:style w:type="paragraph" w:styleId="21">
    <w:name w:val="Body Text First Indent 2"/>
    <w:basedOn w:val="12"/>
    <w:next w:val="20"/>
    <w:autoRedefine/>
    <w:qFormat/>
    <w:uiPriority w:val="0"/>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paragraph" w:customStyle="1" w:styleId="26">
    <w:name w:val="BodyText1I"/>
    <w:basedOn w:val="27"/>
    <w:autoRedefine/>
    <w:qFormat/>
    <w:uiPriority w:val="0"/>
    <w:pPr>
      <w:widowControl/>
      <w:tabs>
        <w:tab w:val="left" w:pos="9214"/>
      </w:tabs>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27">
    <w:name w:val="BodyText"/>
    <w:basedOn w:val="1"/>
    <w:next w:val="28"/>
    <w:autoRedefine/>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28">
    <w:name w:val="180"/>
    <w:basedOn w:val="1"/>
    <w:next w:val="1"/>
    <w:autoRedefine/>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customStyle="1" w:styleId="29">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p0"/>
    <w:basedOn w:val="1"/>
    <w:autoRedefine/>
    <w:qFormat/>
    <w:uiPriority w:val="0"/>
    <w:pPr>
      <w:widowControl/>
    </w:pPr>
    <w:rPr>
      <w:kern w:val="0"/>
      <w:szCs w:val="21"/>
    </w:rPr>
  </w:style>
  <w:style w:type="character" w:customStyle="1" w:styleId="32">
    <w:name w:val="font21"/>
    <w:basedOn w:val="24"/>
    <w:autoRedefine/>
    <w:qFormat/>
    <w:uiPriority w:val="0"/>
    <w:rPr>
      <w:rFonts w:hint="eastAsia" w:ascii="宋体" w:hAnsi="宋体" w:eastAsia="宋体"/>
      <w:color w:val="000000"/>
      <w:sz w:val="24"/>
      <w:szCs w:val="24"/>
      <w:u w:val="none"/>
    </w:rPr>
  </w:style>
  <w:style w:type="character" w:customStyle="1" w:styleId="33">
    <w:name w:val="font41"/>
    <w:basedOn w:val="24"/>
    <w:autoRedefine/>
    <w:qFormat/>
    <w:uiPriority w:val="0"/>
    <w:rPr>
      <w:rFonts w:hint="default" w:ascii="Times New Roman" w:hAnsi="Times New Roman" w:cs="Times New Roman"/>
      <w:color w:val="000000"/>
      <w:sz w:val="24"/>
      <w:szCs w:val="24"/>
      <w:u w:val="none"/>
    </w:rPr>
  </w:style>
  <w:style w:type="paragraph" w:customStyle="1" w:styleId="34">
    <w:name w:val="正文缩进1"/>
    <w:basedOn w:val="1"/>
    <w:autoRedefine/>
    <w:qFormat/>
    <w:uiPriority w:val="0"/>
    <w:pPr>
      <w:autoSpaceDE w:val="0"/>
      <w:autoSpaceDN w:val="0"/>
      <w:adjustRightInd w:val="0"/>
      <w:ind w:firstLine="420"/>
      <w:jc w:val="left"/>
    </w:pPr>
    <w:rPr>
      <w:rFonts w:ascii="宋体" w:hAnsi="Calibri" w:eastAsia="宋体" w:cs="Times New Roman"/>
      <w:sz w:val="24"/>
      <w:szCs w:val="22"/>
    </w:rPr>
  </w:style>
  <w:style w:type="table" w:customStyle="1" w:styleId="35">
    <w:name w:val="Table Normal"/>
    <w:autoRedefine/>
    <w:unhideWhenUsed/>
    <w:qFormat/>
    <w:uiPriority w:val="0"/>
    <w:tblPr>
      <w:tblCellMar>
        <w:top w:w="0" w:type="dxa"/>
        <w:left w:w="0" w:type="dxa"/>
        <w:bottom w:w="0" w:type="dxa"/>
        <w:right w:w="0" w:type="dxa"/>
      </w:tblCellMar>
    </w:tblPr>
  </w:style>
  <w:style w:type="character" w:customStyle="1" w:styleId="36">
    <w:name w:val="标题 3 字符"/>
    <w:basedOn w:val="24"/>
    <w:link w:val="5"/>
    <w:autoRedefine/>
    <w:qFormat/>
    <w:uiPriority w:val="0"/>
    <w:rPr>
      <w:b/>
      <w:bCs/>
      <w:sz w:val="32"/>
      <w:szCs w:val="32"/>
    </w:rPr>
  </w:style>
  <w:style w:type="paragraph" w:customStyle="1" w:styleId="37">
    <w:name w:val="表格文字2"/>
    <w:basedOn w:val="38"/>
    <w:autoRedefine/>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38">
    <w:name w:val="正文1"/>
    <w:basedOn w:val="1"/>
    <w:autoRedefine/>
    <w:qFormat/>
    <w:uiPriority w:val="0"/>
    <w:pPr>
      <w:spacing w:after="120" w:line="360" w:lineRule="auto"/>
      <w:ind w:firstLine="425"/>
    </w:pPr>
    <w:rPr>
      <w:rFonts w:ascii="Arial" w:hAnsi="Arial"/>
      <w:spacing w:val="8"/>
      <w:sz w:val="24"/>
      <w:szCs w:val="20"/>
    </w:rPr>
  </w:style>
  <w:style w:type="paragraph" w:customStyle="1" w:styleId="39">
    <w:name w:val="其他"/>
    <w:basedOn w:val="1"/>
    <w:autoRedefine/>
    <w:qFormat/>
    <w:uiPriority w:val="0"/>
    <w:pPr>
      <w:widowControl w:val="0"/>
      <w:shd w:val="clear" w:color="auto" w:fill="FFFFFF"/>
    </w:pPr>
    <w:rPr>
      <w:rFonts w:ascii="新宋体" w:hAnsi="新宋体" w:eastAsia="新宋体" w:cs="新宋体"/>
      <w:sz w:val="30"/>
      <w:szCs w:val="30"/>
      <w:u w:val="none"/>
      <w:lang w:val="zh-CN" w:eastAsia="zh-CN" w:bidi="zh-CN"/>
    </w:rPr>
  </w:style>
  <w:style w:type="character" w:customStyle="1" w:styleId="40">
    <w:name w:val="font51"/>
    <w:basedOn w:val="24"/>
    <w:autoRedefine/>
    <w:qFormat/>
    <w:uiPriority w:val="0"/>
    <w:rPr>
      <w:rFonts w:hint="eastAsia" w:ascii="宋体" w:hAnsi="宋体" w:eastAsia="宋体" w:cs="宋体"/>
      <w:b/>
      <w:bCs/>
      <w:color w:val="000000"/>
      <w:sz w:val="18"/>
      <w:szCs w:val="18"/>
      <w:u w:val="none"/>
    </w:rPr>
  </w:style>
  <w:style w:type="character" w:customStyle="1" w:styleId="41">
    <w:name w:val="font61"/>
    <w:basedOn w:val="24"/>
    <w:autoRedefine/>
    <w:qFormat/>
    <w:uiPriority w:val="0"/>
    <w:rPr>
      <w:rFonts w:hint="eastAsia" w:ascii="宋体" w:hAnsi="宋体" w:eastAsia="宋体" w:cs="宋体"/>
      <w:color w:val="000000"/>
      <w:sz w:val="18"/>
      <w:szCs w:val="18"/>
      <w:u w:val="none"/>
    </w:rPr>
  </w:style>
  <w:style w:type="character" w:customStyle="1" w:styleId="42">
    <w:name w:val="font31"/>
    <w:basedOn w:val="24"/>
    <w:autoRedefine/>
    <w:qFormat/>
    <w:uiPriority w:val="0"/>
    <w:rPr>
      <w:rFonts w:hint="eastAsia" w:ascii="宋体" w:hAnsi="宋体" w:eastAsia="宋体" w:cs="宋体"/>
      <w:b/>
      <w:bCs/>
      <w:color w:val="000000"/>
      <w:sz w:val="18"/>
      <w:szCs w:val="18"/>
      <w:u w:val="none"/>
    </w:rPr>
  </w:style>
  <w:style w:type="character" w:customStyle="1" w:styleId="43">
    <w:name w:val="font01"/>
    <w:basedOn w:val="24"/>
    <w:autoRedefine/>
    <w:qFormat/>
    <w:uiPriority w:val="0"/>
    <w:rPr>
      <w:rFonts w:ascii="Tahoma" w:hAnsi="Tahoma" w:eastAsia="Tahoma" w:cs="Tahoma"/>
      <w:color w:val="000000"/>
      <w:sz w:val="18"/>
      <w:szCs w:val="18"/>
      <w:u w:val="none"/>
    </w:rPr>
  </w:style>
  <w:style w:type="character" w:customStyle="1" w:styleId="44">
    <w:name w:val="font171"/>
    <w:basedOn w:val="24"/>
    <w:autoRedefine/>
    <w:qFormat/>
    <w:uiPriority w:val="0"/>
    <w:rPr>
      <w:rFonts w:hint="eastAsia" w:ascii="仿宋" w:hAnsi="仿宋" w:eastAsia="仿宋" w:cs="仿宋"/>
      <w:color w:val="000000"/>
      <w:sz w:val="24"/>
      <w:szCs w:val="24"/>
      <w:u w:val="none"/>
    </w:rPr>
  </w:style>
  <w:style w:type="character" w:customStyle="1" w:styleId="45">
    <w:name w:val="font161"/>
    <w:basedOn w:val="24"/>
    <w:autoRedefine/>
    <w:qFormat/>
    <w:uiPriority w:val="0"/>
    <w:rPr>
      <w:rFonts w:hint="eastAsia" w:ascii="仿宋" w:hAnsi="仿宋" w:eastAsia="仿宋" w:cs="仿宋"/>
      <w:b/>
      <w:bCs/>
      <w:color w:val="000000"/>
      <w:sz w:val="24"/>
      <w:szCs w:val="24"/>
      <w:u w:val="none"/>
    </w:rPr>
  </w:style>
  <w:style w:type="character" w:customStyle="1" w:styleId="46">
    <w:name w:val="font191"/>
    <w:basedOn w:val="24"/>
    <w:autoRedefine/>
    <w:qFormat/>
    <w:uiPriority w:val="0"/>
    <w:rPr>
      <w:rFonts w:ascii="Calibri" w:hAnsi="Calibri" w:cs="Calibri"/>
      <w:color w:val="000000"/>
      <w:sz w:val="24"/>
      <w:szCs w:val="24"/>
      <w:u w:val="none"/>
    </w:rPr>
  </w:style>
  <w:style w:type="paragraph" w:styleId="47">
    <w:name w:val="List Paragraph"/>
    <w:basedOn w:val="1"/>
    <w:autoRedefine/>
    <w:qFormat/>
    <w:uiPriority w:val="34"/>
    <w:pPr>
      <w:ind w:firstLine="420" w:firstLineChars="200"/>
    </w:pPr>
  </w:style>
  <w:style w:type="paragraph" w:customStyle="1" w:styleId="48">
    <w:name w:val="Table Paragraph"/>
    <w:basedOn w:val="1"/>
    <w:autoRedefine/>
    <w:qFormat/>
    <w:uiPriority w:val="1"/>
    <w:rPr>
      <w:rFonts w:ascii="仿宋" w:hAnsi="仿宋" w:eastAsia="仿宋" w:cs="仿宋"/>
      <w:lang w:val="zh-CN" w:eastAsia="zh-CN" w:bidi="zh-CN"/>
    </w:rPr>
  </w:style>
  <w:style w:type="paragraph" w:customStyle="1" w:styleId="49">
    <w:name w:val="正"/>
    <w:basedOn w:val="50"/>
    <w:autoRedefine/>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50">
    <w:name w:val="正文_1"/>
    <w:next w:val="49"/>
    <w:autoRedefine/>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51">
    <w:name w:val="Table Text"/>
    <w:basedOn w:val="1"/>
    <w:autoRedefine/>
    <w:semiHidden/>
    <w:qFormat/>
    <w:uiPriority w:val="0"/>
    <w:rPr>
      <w:rFonts w:ascii="宋体" w:hAnsi="宋体" w:eastAsia="宋体" w:cs="宋体"/>
      <w:sz w:val="24"/>
      <w:szCs w:val="24"/>
      <w:lang w:val="en-US" w:eastAsia="en-US" w:bidi="ar-SA"/>
    </w:rPr>
  </w:style>
  <w:style w:type="paragraph" w:customStyle="1" w:styleId="52">
    <w:name w:val="WPS Plain"/>
    <w:autoRedefine/>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7908</Words>
  <Characters>8750</Characters>
  <Lines>0</Lines>
  <Paragraphs>0</Paragraphs>
  <TotalTime>15</TotalTime>
  <ScaleCrop>false</ScaleCrop>
  <LinksUpToDate>false</LinksUpToDate>
  <CharactersWithSpaces>8778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2023-06-21T10:34:00Z</dcterms:created>
  <dc:creator>阿强</dc:creator>
  <cp:lastModifiedBy>亐㔓</cp:lastModifiedBy>
  <dcterms:modified xsi:type="dcterms:W3CDTF">2025-04-11T14:35:52Z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AD057AF3E13D44E4AF4B2CB72CA60D5F_13</vt:lpwstr>
  </property>
  <property fmtid="{D5CDD505-2E9C-101B-9397-08002B2CF9AE}" pid="4" name="KSOTemplateDocerSaveRecord">
    <vt:lpwstr>eyJoZGlkIjoiMTBlMWUwNTJlNmYyZjUxODBjMjVkZGUzNTMwN2U5Y2EiLCJ1c2VySWQiOiIxMTk3NzA4OTcyIn0=</vt:lpwstr>
  </property>
</Properties>
</file>