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314EB">
      <w:pPr>
        <w:jc w:val="center"/>
        <w:rPr>
          <w:rFonts w:ascii="仿宋" w:hAnsi="仿宋" w:eastAsia="仿宋" w:cs="Tahoma"/>
          <w:b/>
          <w:color w:val="auto"/>
          <w:sz w:val="40"/>
          <w:szCs w:val="40"/>
        </w:rPr>
      </w:pPr>
    </w:p>
    <w:p w14:paraId="070CD6A0">
      <w:pPr>
        <w:jc w:val="center"/>
        <w:rPr>
          <w:rFonts w:hint="eastAsia" w:ascii="宋体" w:hAnsi="宋体" w:eastAsia="宋体" w:cs="宋体"/>
          <w:color w:val="auto"/>
          <w:lang w:val="en-US" w:eastAsia="zh-CN"/>
        </w:rPr>
      </w:pPr>
      <w:r>
        <w:rPr>
          <w:rFonts w:hint="eastAsia" w:ascii="宋体" w:hAnsi="宋体" w:eastAsia="宋体" w:cs="宋体"/>
          <w:b/>
          <w:color w:val="auto"/>
          <w:sz w:val="40"/>
          <w:szCs w:val="40"/>
          <w:lang w:eastAsia="zh-CN"/>
        </w:rPr>
        <w:t>伊犁公路事业发展中心2025年除雪刀片采购项目（</w:t>
      </w:r>
      <w:r>
        <w:rPr>
          <w:rFonts w:hint="eastAsia" w:ascii="宋体" w:hAnsi="宋体" w:eastAsia="宋体" w:cs="宋体"/>
          <w:b/>
          <w:color w:val="auto"/>
          <w:sz w:val="40"/>
          <w:szCs w:val="40"/>
          <w:lang w:val="en-US" w:eastAsia="zh-CN"/>
        </w:rPr>
        <w:t>二次</w:t>
      </w:r>
      <w:r>
        <w:rPr>
          <w:rFonts w:hint="eastAsia" w:ascii="宋体" w:hAnsi="宋体" w:eastAsia="宋体" w:cs="宋体"/>
          <w:b/>
          <w:color w:val="auto"/>
          <w:sz w:val="40"/>
          <w:szCs w:val="40"/>
          <w:lang w:eastAsia="zh-CN"/>
        </w:rPr>
        <w:t>）</w:t>
      </w:r>
    </w:p>
    <w:p w14:paraId="3CBE317C">
      <w:pPr>
        <w:jc w:val="center"/>
        <w:rPr>
          <w:rFonts w:hint="eastAsia" w:ascii="宋体" w:hAnsi="宋体" w:eastAsia="宋体" w:cs="宋体"/>
          <w:b/>
          <w:color w:val="auto"/>
          <w:sz w:val="40"/>
          <w:szCs w:val="40"/>
        </w:rPr>
      </w:pPr>
    </w:p>
    <w:p w14:paraId="1F7A9F40">
      <w:pPr>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项目编号：</w:t>
      </w:r>
      <w:r>
        <w:rPr>
          <w:rFonts w:hint="eastAsia" w:ascii="宋体" w:hAnsi="宋体" w:eastAsia="宋体" w:cs="宋体"/>
          <w:b/>
          <w:color w:val="auto"/>
          <w:sz w:val="28"/>
          <w:szCs w:val="28"/>
          <w:lang w:eastAsia="zh-CN"/>
        </w:rPr>
        <w:t>YLCXDP2025-0</w:t>
      </w: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lang w:eastAsia="zh-CN"/>
        </w:rPr>
        <w:t>CG</w:t>
      </w:r>
    </w:p>
    <w:p w14:paraId="7D33D949">
      <w:pPr>
        <w:jc w:val="center"/>
        <w:rPr>
          <w:rFonts w:hint="eastAsia" w:ascii="宋体" w:hAnsi="宋体" w:eastAsia="宋体" w:cs="宋体"/>
          <w:b/>
          <w:color w:val="auto"/>
          <w:sz w:val="36"/>
          <w:szCs w:val="36"/>
        </w:rPr>
      </w:pPr>
    </w:p>
    <w:p w14:paraId="5BC1C5D5">
      <w:pPr>
        <w:jc w:val="center"/>
        <w:rPr>
          <w:rFonts w:hint="eastAsia" w:ascii="宋体" w:hAnsi="宋体" w:eastAsia="宋体" w:cs="宋体"/>
          <w:b/>
          <w:color w:val="auto"/>
          <w:sz w:val="36"/>
          <w:szCs w:val="36"/>
        </w:rPr>
      </w:pPr>
    </w:p>
    <w:p w14:paraId="3F5117B9">
      <w:pPr>
        <w:jc w:val="center"/>
        <w:rPr>
          <w:rFonts w:hint="eastAsia" w:ascii="宋体" w:hAnsi="宋体" w:eastAsia="宋体" w:cs="宋体"/>
          <w:b/>
          <w:color w:val="auto"/>
          <w:sz w:val="36"/>
          <w:szCs w:val="36"/>
        </w:rPr>
      </w:pPr>
    </w:p>
    <w:p w14:paraId="6B02A920">
      <w:pPr>
        <w:jc w:val="center"/>
        <w:rPr>
          <w:rFonts w:hint="eastAsia" w:ascii="宋体" w:hAnsi="宋体" w:eastAsia="宋体" w:cs="宋体"/>
          <w:b/>
          <w:color w:val="auto"/>
          <w:sz w:val="36"/>
          <w:szCs w:val="36"/>
        </w:rPr>
      </w:pPr>
    </w:p>
    <w:p w14:paraId="49A0D230">
      <w:pPr>
        <w:jc w:val="center"/>
        <w:rPr>
          <w:rFonts w:hint="eastAsia" w:ascii="宋体" w:hAnsi="宋体" w:eastAsia="宋体" w:cs="宋体"/>
          <w:b/>
          <w:color w:val="auto"/>
          <w:sz w:val="36"/>
          <w:szCs w:val="36"/>
        </w:rPr>
      </w:pPr>
    </w:p>
    <w:p w14:paraId="2186CF51">
      <w:pPr>
        <w:jc w:val="both"/>
        <w:rPr>
          <w:rFonts w:hint="eastAsia" w:ascii="宋体" w:hAnsi="宋体" w:eastAsia="宋体" w:cs="宋体"/>
          <w:b/>
          <w:color w:val="auto"/>
          <w:sz w:val="36"/>
          <w:szCs w:val="36"/>
        </w:rPr>
      </w:pPr>
    </w:p>
    <w:p w14:paraId="27A86ADC">
      <w:pPr>
        <w:jc w:val="center"/>
        <w:rPr>
          <w:rFonts w:hint="eastAsia" w:ascii="宋体" w:hAnsi="宋体" w:eastAsia="宋体" w:cs="宋体"/>
          <w:b/>
          <w:color w:val="auto"/>
          <w:sz w:val="72"/>
          <w:szCs w:val="72"/>
        </w:rPr>
      </w:pPr>
      <w:r>
        <w:rPr>
          <w:rFonts w:hint="eastAsia" w:ascii="宋体" w:hAnsi="宋体" w:eastAsia="宋体" w:cs="宋体"/>
          <w:b/>
          <w:color w:val="auto"/>
          <w:sz w:val="72"/>
          <w:szCs w:val="72"/>
          <w:lang w:val="en-US" w:eastAsia="zh-CN"/>
        </w:rPr>
        <w:t xml:space="preserve">竞 争 性 </w:t>
      </w:r>
      <w:r>
        <w:rPr>
          <w:rFonts w:hint="eastAsia" w:ascii="宋体" w:hAnsi="宋体" w:eastAsia="宋体" w:cs="宋体"/>
          <w:b/>
          <w:color w:val="auto"/>
          <w:sz w:val="72"/>
          <w:szCs w:val="72"/>
          <w:lang w:eastAsia="zh-CN"/>
        </w:rPr>
        <w:t>谈</w:t>
      </w:r>
      <w:r>
        <w:rPr>
          <w:rFonts w:hint="eastAsia" w:ascii="宋体" w:hAnsi="宋体" w:eastAsia="宋体" w:cs="宋体"/>
          <w:b/>
          <w:color w:val="auto"/>
          <w:sz w:val="72"/>
          <w:szCs w:val="72"/>
          <w:lang w:val="en-US" w:eastAsia="zh-CN"/>
        </w:rPr>
        <w:t xml:space="preserve"> </w:t>
      </w:r>
      <w:r>
        <w:rPr>
          <w:rFonts w:hint="eastAsia" w:ascii="宋体" w:hAnsi="宋体" w:eastAsia="宋体" w:cs="宋体"/>
          <w:b/>
          <w:color w:val="auto"/>
          <w:sz w:val="72"/>
          <w:szCs w:val="72"/>
          <w:lang w:eastAsia="zh-CN"/>
        </w:rPr>
        <w:t>判</w:t>
      </w:r>
      <w:r>
        <w:rPr>
          <w:rFonts w:hint="eastAsia" w:ascii="宋体" w:hAnsi="宋体" w:eastAsia="宋体" w:cs="宋体"/>
          <w:b/>
          <w:color w:val="auto"/>
          <w:sz w:val="72"/>
          <w:szCs w:val="72"/>
        </w:rPr>
        <w:t xml:space="preserve"> 文 件</w:t>
      </w:r>
    </w:p>
    <w:p w14:paraId="6F20475F">
      <w:pPr>
        <w:jc w:val="center"/>
        <w:rPr>
          <w:rFonts w:hint="eastAsia" w:ascii="宋体" w:hAnsi="宋体" w:eastAsia="宋体" w:cs="宋体"/>
          <w:b/>
          <w:color w:val="auto"/>
          <w:sz w:val="36"/>
          <w:szCs w:val="36"/>
        </w:rPr>
      </w:pPr>
    </w:p>
    <w:p w14:paraId="4381D962">
      <w:pPr>
        <w:jc w:val="center"/>
        <w:rPr>
          <w:rFonts w:hint="eastAsia" w:ascii="宋体" w:hAnsi="宋体" w:eastAsia="宋体" w:cs="宋体"/>
          <w:b/>
          <w:color w:val="auto"/>
          <w:sz w:val="36"/>
          <w:szCs w:val="36"/>
        </w:rPr>
      </w:pPr>
    </w:p>
    <w:p w14:paraId="450BE769">
      <w:pPr>
        <w:jc w:val="both"/>
        <w:rPr>
          <w:rFonts w:hint="eastAsia" w:ascii="宋体" w:hAnsi="宋体" w:eastAsia="宋体" w:cs="宋体"/>
          <w:b/>
          <w:color w:val="auto"/>
          <w:sz w:val="36"/>
          <w:szCs w:val="36"/>
        </w:rPr>
      </w:pPr>
    </w:p>
    <w:p w14:paraId="7A321341">
      <w:pPr>
        <w:jc w:val="center"/>
        <w:rPr>
          <w:rFonts w:hint="eastAsia" w:ascii="宋体" w:hAnsi="宋体" w:eastAsia="宋体" w:cs="宋体"/>
          <w:b/>
          <w:color w:val="auto"/>
          <w:sz w:val="36"/>
          <w:szCs w:val="36"/>
        </w:rPr>
      </w:pPr>
    </w:p>
    <w:p w14:paraId="16D030AD">
      <w:pPr>
        <w:jc w:val="center"/>
        <w:rPr>
          <w:rFonts w:hint="eastAsia" w:ascii="宋体" w:hAnsi="宋体" w:eastAsia="宋体" w:cs="宋体"/>
          <w:b/>
          <w:color w:val="auto"/>
          <w:sz w:val="36"/>
          <w:szCs w:val="36"/>
        </w:rPr>
      </w:pPr>
    </w:p>
    <w:p w14:paraId="66631E18">
      <w:pPr>
        <w:pStyle w:val="17"/>
        <w:adjustRightInd w:val="0"/>
        <w:snapToGrid w:val="0"/>
        <w:spacing w:line="360" w:lineRule="auto"/>
        <w:ind w:leftChars="100" w:firstLine="643" w:firstLineChars="2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采   购   人：伊犁公路事业发展中心</w:t>
      </w:r>
    </w:p>
    <w:p w14:paraId="3E04F03F">
      <w:pPr>
        <w:pStyle w:val="17"/>
        <w:adjustRightInd w:val="0"/>
        <w:snapToGrid w:val="0"/>
        <w:spacing w:line="360" w:lineRule="auto"/>
        <w:ind w:leftChars="100" w:firstLine="643" w:firstLineChars="2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联系人：李松</w:t>
      </w:r>
    </w:p>
    <w:p w14:paraId="14C65FA1">
      <w:pPr>
        <w:pStyle w:val="17"/>
        <w:adjustRightInd w:val="0"/>
        <w:snapToGrid w:val="0"/>
        <w:spacing w:line="360" w:lineRule="auto"/>
        <w:ind w:leftChars="100" w:firstLine="643" w:firstLineChars="2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联系电话：0999-8995372</w:t>
      </w:r>
    </w:p>
    <w:p w14:paraId="1BB5B34B">
      <w:pPr>
        <w:pStyle w:val="17"/>
        <w:adjustRightInd w:val="0"/>
        <w:snapToGrid w:val="0"/>
        <w:spacing w:line="360" w:lineRule="auto"/>
        <w:ind w:firstLine="1272" w:firstLineChars="396"/>
        <w:rPr>
          <w:rFonts w:hint="eastAsia" w:ascii="宋体" w:hAnsi="宋体" w:eastAsia="宋体" w:cs="宋体"/>
          <w:b/>
          <w:color w:val="auto"/>
          <w:kern w:val="2"/>
          <w:sz w:val="32"/>
          <w:szCs w:val="32"/>
          <w:lang w:val="en-US" w:eastAsia="zh-CN" w:bidi="ar-SA"/>
        </w:rPr>
      </w:pPr>
    </w:p>
    <w:p w14:paraId="4294415F">
      <w:pPr>
        <w:pStyle w:val="17"/>
        <w:adjustRightInd w:val="0"/>
        <w:snapToGrid w:val="0"/>
        <w:spacing w:line="360" w:lineRule="auto"/>
        <w:ind w:leftChars="100" w:firstLine="643" w:firstLineChars="2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代  理 机 构: 新疆惠合正德工程管理有限公司</w:t>
      </w:r>
    </w:p>
    <w:p w14:paraId="2963CD5F">
      <w:pPr>
        <w:pStyle w:val="17"/>
        <w:adjustRightInd w:val="0"/>
        <w:snapToGrid w:val="0"/>
        <w:spacing w:line="360" w:lineRule="auto"/>
        <w:ind w:leftChars="100" w:firstLine="643" w:firstLineChars="2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联系人：张艳</w:t>
      </w:r>
    </w:p>
    <w:p w14:paraId="5A2CDF47">
      <w:pPr>
        <w:pStyle w:val="17"/>
        <w:adjustRightInd w:val="0"/>
        <w:snapToGrid w:val="0"/>
        <w:spacing w:line="360" w:lineRule="auto"/>
        <w:ind w:leftChars="100" w:firstLine="643" w:firstLineChars="2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联系电话：18099829507</w:t>
      </w:r>
    </w:p>
    <w:p w14:paraId="6B3E6795">
      <w:pPr>
        <w:jc w:val="center"/>
        <w:rPr>
          <w:rFonts w:hint="eastAsia" w:ascii="宋体" w:hAnsi="宋体" w:eastAsia="宋体" w:cs="宋体"/>
          <w:b/>
          <w:color w:val="auto"/>
          <w:sz w:val="36"/>
          <w:szCs w:val="36"/>
        </w:rPr>
      </w:pPr>
    </w:p>
    <w:p w14:paraId="099C60BB">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二〇二</w:t>
      </w:r>
      <w:r>
        <w:rPr>
          <w:rFonts w:hint="eastAsia" w:ascii="宋体" w:hAnsi="宋体" w:eastAsia="宋体" w:cs="宋体"/>
          <w:b/>
          <w:color w:val="auto"/>
          <w:sz w:val="36"/>
          <w:szCs w:val="36"/>
          <w:lang w:val="en-US" w:eastAsia="zh-CN"/>
        </w:rPr>
        <w:t>五</w:t>
      </w:r>
      <w:r>
        <w:rPr>
          <w:rFonts w:hint="eastAsia" w:ascii="宋体" w:hAnsi="宋体" w:eastAsia="宋体" w:cs="宋体"/>
          <w:b/>
          <w:color w:val="auto"/>
          <w:sz w:val="36"/>
          <w:szCs w:val="36"/>
        </w:rPr>
        <w:t>年</w:t>
      </w:r>
      <w:r>
        <w:rPr>
          <w:rFonts w:hint="eastAsia" w:ascii="宋体" w:hAnsi="宋体" w:eastAsia="宋体" w:cs="宋体"/>
          <w:b/>
          <w:color w:val="auto"/>
          <w:sz w:val="36"/>
          <w:szCs w:val="36"/>
          <w:lang w:val="en-US" w:eastAsia="zh-CN"/>
        </w:rPr>
        <w:t>四</w:t>
      </w:r>
      <w:r>
        <w:rPr>
          <w:rFonts w:hint="eastAsia" w:ascii="宋体" w:hAnsi="宋体" w:eastAsia="宋体" w:cs="宋体"/>
          <w:b/>
          <w:color w:val="auto"/>
          <w:sz w:val="36"/>
          <w:szCs w:val="36"/>
        </w:rPr>
        <w:t>月</w:t>
      </w:r>
    </w:p>
    <w:p w14:paraId="06C61D88">
      <w:pPr>
        <w:jc w:val="both"/>
        <w:rPr>
          <w:rFonts w:ascii="仿宋" w:hAnsi="仿宋" w:eastAsia="仿宋" w:cs="Tahoma"/>
          <w:b/>
          <w:color w:val="auto"/>
          <w:sz w:val="36"/>
          <w:szCs w:val="36"/>
        </w:rPr>
      </w:pPr>
    </w:p>
    <w:p w14:paraId="5FF12F11">
      <w:pPr>
        <w:jc w:val="both"/>
        <w:rPr>
          <w:rFonts w:ascii="仿宋" w:hAnsi="仿宋" w:eastAsia="仿宋" w:cs="Tahoma"/>
          <w:b/>
          <w:color w:val="auto"/>
          <w:sz w:val="36"/>
          <w:szCs w:val="36"/>
        </w:rPr>
      </w:pPr>
    </w:p>
    <w:p w14:paraId="44BE39F8">
      <w:pPr>
        <w:jc w:val="both"/>
        <w:rPr>
          <w:rFonts w:ascii="仿宋" w:hAnsi="仿宋" w:eastAsia="仿宋" w:cs="Tahoma"/>
          <w:b/>
          <w:color w:val="auto"/>
          <w:sz w:val="36"/>
          <w:szCs w:val="36"/>
        </w:rPr>
      </w:pPr>
    </w:p>
    <w:p w14:paraId="72B7F2FA">
      <w:pPr>
        <w:jc w:val="both"/>
        <w:rPr>
          <w:rFonts w:ascii="仿宋" w:hAnsi="仿宋" w:eastAsia="仿宋" w:cs="Tahoma"/>
          <w:b/>
          <w:color w:val="auto"/>
          <w:sz w:val="36"/>
          <w:szCs w:val="36"/>
        </w:rPr>
      </w:pPr>
    </w:p>
    <w:p w14:paraId="1D753647">
      <w:pPr>
        <w:jc w:val="both"/>
        <w:rPr>
          <w:rFonts w:ascii="仿宋" w:hAnsi="仿宋" w:eastAsia="仿宋" w:cs="Tahoma"/>
          <w:b/>
          <w:color w:val="auto"/>
          <w:sz w:val="36"/>
          <w:szCs w:val="36"/>
        </w:rPr>
      </w:pPr>
    </w:p>
    <w:p w14:paraId="4EF36FFD">
      <w:pPr>
        <w:jc w:val="both"/>
        <w:rPr>
          <w:rFonts w:ascii="仿宋" w:hAnsi="仿宋" w:eastAsia="仿宋" w:cs="Tahoma"/>
          <w:b/>
          <w:color w:val="auto"/>
          <w:sz w:val="36"/>
          <w:szCs w:val="36"/>
        </w:rPr>
      </w:pPr>
    </w:p>
    <w:p w14:paraId="0A4151A8">
      <w:pPr>
        <w:jc w:val="both"/>
        <w:rPr>
          <w:rFonts w:ascii="仿宋" w:hAnsi="仿宋" w:eastAsia="仿宋" w:cs="Tahoma"/>
          <w:b/>
          <w:color w:val="auto"/>
          <w:sz w:val="36"/>
          <w:szCs w:val="36"/>
        </w:rPr>
      </w:pPr>
    </w:p>
    <w:p w14:paraId="0BD79473">
      <w:pPr>
        <w:jc w:val="both"/>
        <w:rPr>
          <w:rFonts w:ascii="仿宋" w:hAnsi="仿宋" w:eastAsia="仿宋" w:cs="Tahoma"/>
          <w:b/>
          <w:color w:val="auto"/>
          <w:sz w:val="36"/>
          <w:szCs w:val="36"/>
        </w:rPr>
      </w:pPr>
    </w:p>
    <w:p w14:paraId="03404CDF">
      <w:pPr>
        <w:jc w:val="both"/>
        <w:rPr>
          <w:rFonts w:ascii="仿宋" w:hAnsi="仿宋" w:eastAsia="仿宋" w:cs="Tahoma"/>
          <w:b/>
          <w:color w:val="auto"/>
          <w:sz w:val="36"/>
          <w:szCs w:val="36"/>
        </w:rPr>
      </w:pPr>
    </w:p>
    <w:p w14:paraId="76728E39">
      <w:pPr>
        <w:pStyle w:val="2"/>
        <w:rPr>
          <w:rFonts w:ascii="仿宋" w:hAnsi="仿宋"/>
          <w:color w:val="auto"/>
        </w:rPr>
      </w:pPr>
      <w:bookmarkStart w:id="0" w:name="_Toc62641428"/>
      <w:r>
        <w:rPr>
          <w:rFonts w:hint="eastAsia" w:ascii="宋体" w:hAnsi="宋体" w:eastAsia="宋体" w:cs="宋体"/>
          <w:color w:val="auto"/>
        </w:rPr>
        <w:t xml:space="preserve">第一章  </w:t>
      </w:r>
      <w:r>
        <w:rPr>
          <w:rFonts w:hint="eastAsia" w:ascii="宋体" w:hAnsi="宋体" w:eastAsia="宋体" w:cs="宋体"/>
          <w:color w:val="auto"/>
          <w:lang w:eastAsia="zh-CN"/>
        </w:rPr>
        <w:t>谈判</w:t>
      </w:r>
      <w:r>
        <w:rPr>
          <w:rFonts w:hint="eastAsia" w:ascii="宋体" w:hAnsi="宋体" w:eastAsia="宋体" w:cs="宋体"/>
          <w:color w:val="auto"/>
        </w:rPr>
        <w:t>（采购）公告</w:t>
      </w:r>
      <w:bookmarkEnd w:id="0"/>
    </w:p>
    <w:p w14:paraId="0ABDAA05">
      <w:pPr>
        <w:jc w:val="center"/>
        <w:rPr>
          <w:rFonts w:ascii="仿宋" w:hAnsi="仿宋" w:eastAsia="仿宋" w:cs="Tahoma"/>
          <w:b/>
          <w:color w:val="auto"/>
          <w:sz w:val="36"/>
          <w:szCs w:val="36"/>
        </w:rPr>
      </w:pPr>
    </w:p>
    <w:p w14:paraId="5A55F99E">
      <w:pPr>
        <w:jc w:val="center"/>
        <w:rPr>
          <w:rFonts w:ascii="仿宋" w:hAnsi="仿宋" w:eastAsia="仿宋" w:cs="Tahoma"/>
          <w:b/>
          <w:color w:val="auto"/>
          <w:sz w:val="36"/>
          <w:szCs w:val="36"/>
        </w:rPr>
      </w:pPr>
    </w:p>
    <w:p w14:paraId="5147FCE1">
      <w:pPr>
        <w:jc w:val="center"/>
        <w:rPr>
          <w:rFonts w:ascii="仿宋" w:hAnsi="仿宋" w:eastAsia="仿宋" w:cs="Tahoma"/>
          <w:b/>
          <w:color w:val="auto"/>
          <w:sz w:val="36"/>
          <w:szCs w:val="36"/>
        </w:rPr>
      </w:pPr>
    </w:p>
    <w:p w14:paraId="07E47D5F">
      <w:pPr>
        <w:jc w:val="center"/>
        <w:rPr>
          <w:rFonts w:ascii="仿宋" w:hAnsi="仿宋" w:eastAsia="仿宋" w:cs="Tahoma"/>
          <w:b/>
          <w:color w:val="auto"/>
          <w:sz w:val="36"/>
          <w:szCs w:val="36"/>
        </w:rPr>
      </w:pPr>
    </w:p>
    <w:p w14:paraId="1E46D419">
      <w:pPr>
        <w:jc w:val="center"/>
        <w:rPr>
          <w:rFonts w:ascii="仿宋" w:hAnsi="仿宋" w:eastAsia="仿宋" w:cs="Tahoma"/>
          <w:b/>
          <w:color w:val="auto"/>
          <w:sz w:val="36"/>
          <w:szCs w:val="36"/>
        </w:rPr>
      </w:pPr>
    </w:p>
    <w:p w14:paraId="4A8DFAE2">
      <w:pPr>
        <w:jc w:val="center"/>
        <w:rPr>
          <w:rFonts w:ascii="仿宋" w:hAnsi="仿宋" w:eastAsia="仿宋" w:cs="Tahoma"/>
          <w:b/>
          <w:color w:val="auto"/>
          <w:sz w:val="36"/>
          <w:szCs w:val="36"/>
        </w:rPr>
      </w:pPr>
    </w:p>
    <w:p w14:paraId="29F4777C">
      <w:pPr>
        <w:jc w:val="center"/>
        <w:rPr>
          <w:rFonts w:ascii="仿宋" w:hAnsi="仿宋" w:eastAsia="仿宋" w:cs="Tahoma"/>
          <w:b/>
          <w:color w:val="auto"/>
          <w:sz w:val="36"/>
          <w:szCs w:val="36"/>
        </w:rPr>
      </w:pPr>
    </w:p>
    <w:p w14:paraId="71CDE5C2">
      <w:pPr>
        <w:jc w:val="center"/>
        <w:rPr>
          <w:rFonts w:ascii="仿宋" w:hAnsi="仿宋" w:eastAsia="仿宋" w:cs="Tahoma"/>
          <w:b/>
          <w:color w:val="auto"/>
          <w:sz w:val="36"/>
          <w:szCs w:val="36"/>
        </w:rPr>
      </w:pPr>
    </w:p>
    <w:p w14:paraId="0EE8B7D9">
      <w:pPr>
        <w:jc w:val="center"/>
        <w:rPr>
          <w:rFonts w:ascii="仿宋" w:hAnsi="仿宋" w:eastAsia="仿宋" w:cs="Tahoma"/>
          <w:b/>
          <w:color w:val="auto"/>
          <w:sz w:val="36"/>
          <w:szCs w:val="36"/>
        </w:rPr>
      </w:pPr>
    </w:p>
    <w:p w14:paraId="1438755E">
      <w:pPr>
        <w:jc w:val="center"/>
        <w:rPr>
          <w:rFonts w:ascii="仿宋" w:hAnsi="仿宋" w:eastAsia="仿宋" w:cs="Tahoma"/>
          <w:b/>
          <w:color w:val="auto"/>
          <w:sz w:val="36"/>
          <w:szCs w:val="36"/>
        </w:rPr>
      </w:pPr>
    </w:p>
    <w:p w14:paraId="6A7F53F5">
      <w:pPr>
        <w:jc w:val="center"/>
        <w:rPr>
          <w:rFonts w:ascii="仿宋" w:hAnsi="仿宋" w:eastAsia="仿宋" w:cs="Tahoma"/>
          <w:b/>
          <w:color w:val="auto"/>
          <w:sz w:val="36"/>
          <w:szCs w:val="36"/>
        </w:rPr>
      </w:pPr>
    </w:p>
    <w:p w14:paraId="327650EA">
      <w:pPr>
        <w:jc w:val="center"/>
        <w:rPr>
          <w:rFonts w:ascii="仿宋" w:hAnsi="仿宋" w:eastAsia="仿宋" w:cs="Tahoma"/>
          <w:b/>
          <w:color w:val="auto"/>
          <w:sz w:val="36"/>
          <w:szCs w:val="36"/>
        </w:rPr>
      </w:pPr>
    </w:p>
    <w:p w14:paraId="24093EEA">
      <w:pPr>
        <w:jc w:val="center"/>
        <w:rPr>
          <w:rFonts w:ascii="仿宋" w:hAnsi="仿宋" w:eastAsia="仿宋" w:cs="Tahoma"/>
          <w:b/>
          <w:color w:val="auto"/>
          <w:sz w:val="36"/>
          <w:szCs w:val="36"/>
        </w:rPr>
      </w:pPr>
    </w:p>
    <w:p w14:paraId="39DA8B60">
      <w:pPr>
        <w:jc w:val="center"/>
        <w:rPr>
          <w:rFonts w:ascii="仿宋" w:hAnsi="仿宋" w:eastAsia="仿宋" w:cs="Tahoma"/>
          <w:b/>
          <w:color w:val="auto"/>
          <w:sz w:val="36"/>
          <w:szCs w:val="36"/>
        </w:rPr>
      </w:pPr>
    </w:p>
    <w:p w14:paraId="790A3192">
      <w:pPr>
        <w:jc w:val="center"/>
        <w:rPr>
          <w:rFonts w:ascii="仿宋" w:hAnsi="仿宋" w:eastAsia="仿宋" w:cs="Tahoma"/>
          <w:b/>
          <w:color w:val="auto"/>
          <w:sz w:val="36"/>
          <w:szCs w:val="36"/>
        </w:rPr>
      </w:pPr>
    </w:p>
    <w:p w14:paraId="3083F51B">
      <w:pPr>
        <w:jc w:val="center"/>
        <w:rPr>
          <w:rFonts w:ascii="仿宋" w:hAnsi="仿宋" w:eastAsia="仿宋" w:cs="Tahoma"/>
          <w:b/>
          <w:color w:val="auto"/>
          <w:sz w:val="36"/>
          <w:szCs w:val="36"/>
        </w:rPr>
      </w:pPr>
    </w:p>
    <w:p w14:paraId="2A63C081">
      <w:pPr>
        <w:jc w:val="center"/>
        <w:rPr>
          <w:rFonts w:ascii="仿宋" w:hAnsi="仿宋" w:eastAsia="仿宋" w:cs="Tahoma"/>
          <w:b/>
          <w:color w:val="auto"/>
          <w:sz w:val="36"/>
          <w:szCs w:val="36"/>
        </w:rPr>
      </w:pPr>
    </w:p>
    <w:p w14:paraId="703B8858">
      <w:pPr>
        <w:jc w:val="center"/>
        <w:rPr>
          <w:rFonts w:ascii="仿宋" w:hAnsi="仿宋" w:eastAsia="仿宋" w:cs="Tahoma"/>
          <w:b/>
          <w:color w:val="auto"/>
          <w:sz w:val="36"/>
          <w:szCs w:val="36"/>
        </w:rPr>
      </w:pPr>
    </w:p>
    <w:p w14:paraId="19918090">
      <w:pPr>
        <w:jc w:val="center"/>
        <w:rPr>
          <w:rFonts w:ascii="仿宋" w:hAnsi="仿宋" w:eastAsia="仿宋" w:cs="Tahoma"/>
          <w:b/>
          <w:color w:val="auto"/>
          <w:sz w:val="36"/>
          <w:szCs w:val="36"/>
        </w:rPr>
      </w:pPr>
    </w:p>
    <w:p w14:paraId="6D5259BE">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仿宋" w:hAnsi="仿宋" w:eastAsia="仿宋"/>
          <w:b/>
          <w:bCs/>
          <w:color w:val="auto"/>
          <w:sz w:val="28"/>
          <w:szCs w:val="32"/>
          <w:lang w:eastAsia="zh-CN"/>
        </w:rPr>
      </w:pPr>
      <w:r>
        <w:rPr>
          <w:rFonts w:hint="eastAsia" w:ascii="仿宋" w:hAnsi="仿宋" w:eastAsia="仿宋"/>
          <w:b/>
          <w:bCs/>
          <w:color w:val="auto"/>
          <w:sz w:val="28"/>
          <w:szCs w:val="32"/>
          <w:lang w:eastAsia="zh-CN"/>
        </w:rPr>
        <w:t>伊犁公路事业发展中心2025年除雪刀片采购项目</w:t>
      </w:r>
    </w:p>
    <w:p w14:paraId="6E4B1B95">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仿宋" w:hAnsi="仿宋" w:eastAsia="仿宋"/>
          <w:b/>
          <w:bCs/>
          <w:color w:val="auto"/>
          <w:sz w:val="28"/>
          <w:szCs w:val="32"/>
          <w:lang w:eastAsia="zh-CN"/>
        </w:rPr>
      </w:pPr>
      <w:r>
        <w:rPr>
          <w:rFonts w:hint="eastAsia" w:ascii="仿宋" w:hAnsi="仿宋" w:eastAsia="仿宋"/>
          <w:b/>
          <w:bCs/>
          <w:color w:val="auto"/>
          <w:sz w:val="28"/>
          <w:szCs w:val="32"/>
          <w:lang w:eastAsia="zh-CN"/>
        </w:rPr>
        <w:t>谈判</w:t>
      </w:r>
      <w:r>
        <w:rPr>
          <w:rFonts w:hint="eastAsia" w:ascii="仿宋" w:hAnsi="仿宋" w:eastAsia="仿宋"/>
          <w:b/>
          <w:bCs/>
          <w:color w:val="auto"/>
          <w:sz w:val="28"/>
          <w:szCs w:val="32"/>
        </w:rPr>
        <w:t>公告</w:t>
      </w:r>
      <w:r>
        <w:rPr>
          <w:rFonts w:hint="eastAsia" w:ascii="仿宋" w:hAnsi="仿宋" w:eastAsia="仿宋"/>
          <w:b/>
          <w:bCs/>
          <w:color w:val="auto"/>
          <w:sz w:val="28"/>
          <w:szCs w:val="32"/>
          <w:lang w:eastAsia="zh-CN"/>
        </w:rPr>
        <w:t>（</w:t>
      </w:r>
      <w:r>
        <w:rPr>
          <w:rFonts w:hint="eastAsia" w:ascii="仿宋" w:hAnsi="仿宋" w:eastAsia="仿宋"/>
          <w:b/>
          <w:bCs/>
          <w:color w:val="auto"/>
          <w:sz w:val="28"/>
          <w:szCs w:val="32"/>
          <w:lang w:val="en-US" w:eastAsia="zh-CN"/>
        </w:rPr>
        <w:t>二次</w:t>
      </w:r>
      <w:r>
        <w:rPr>
          <w:rFonts w:hint="eastAsia" w:ascii="仿宋" w:hAnsi="仿宋" w:eastAsia="仿宋"/>
          <w:b/>
          <w:bCs/>
          <w:color w:val="auto"/>
          <w:sz w:val="28"/>
          <w:szCs w:val="32"/>
          <w:lang w:eastAsia="zh-CN"/>
        </w:rPr>
        <w:t>）</w:t>
      </w:r>
    </w:p>
    <w:p w14:paraId="02E361E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left="0" w:leftChars="0"/>
        <w:jc w:val="both"/>
        <w:textAlignment w:val="auto"/>
        <w:rPr>
          <w:rFonts w:ascii="仿宋" w:hAnsi="仿宋" w:eastAsia="仿宋" w:cs="宋体"/>
          <w:color w:val="auto"/>
          <w:sz w:val="24"/>
          <w:szCs w:val="24"/>
        </w:rPr>
      </w:pPr>
      <w:r>
        <w:rPr>
          <w:rFonts w:hint="eastAsia" w:ascii="仿宋" w:hAnsi="仿宋" w:eastAsia="仿宋" w:cs="宋体"/>
          <w:b/>
          <w:bCs/>
          <w:color w:val="auto"/>
          <w:sz w:val="24"/>
          <w:szCs w:val="24"/>
        </w:rPr>
        <w:t>项目概况</w:t>
      </w:r>
    </w:p>
    <w:p w14:paraId="0E14F16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left="0" w:leftChars="0" w:firstLine="480" w:firstLineChars="200"/>
        <w:textAlignment w:val="auto"/>
        <w:rPr>
          <w:rFonts w:ascii="仿宋" w:hAnsi="仿宋" w:eastAsia="仿宋" w:cs="宋体"/>
          <w:color w:val="auto"/>
          <w:sz w:val="24"/>
          <w:szCs w:val="24"/>
        </w:rPr>
      </w:pPr>
      <w:r>
        <w:rPr>
          <w:rFonts w:hint="eastAsia" w:ascii="仿宋" w:hAnsi="仿宋" w:eastAsia="仿宋" w:cs="宋体"/>
          <w:color w:val="auto"/>
          <w:sz w:val="24"/>
          <w:szCs w:val="24"/>
          <w:u w:val="single"/>
          <w:lang w:eastAsia="zh-CN"/>
        </w:rPr>
        <w:t>伊犁公路事业发展中心2025年除雪刀片采购项目</w:t>
      </w:r>
      <w:r>
        <w:rPr>
          <w:rFonts w:hint="eastAsia" w:ascii="仿宋" w:hAnsi="仿宋" w:eastAsia="仿宋" w:cs="宋体"/>
          <w:color w:val="auto"/>
          <w:sz w:val="24"/>
          <w:szCs w:val="24"/>
        </w:rPr>
        <w:t>的潜在投标人请在</w:t>
      </w:r>
      <w:r>
        <w:rPr>
          <w:rFonts w:hint="eastAsia" w:ascii="仿宋" w:hAnsi="仿宋" w:eastAsia="仿宋" w:cs="宋体"/>
          <w:color w:val="auto"/>
          <w:sz w:val="24"/>
          <w:szCs w:val="24"/>
          <w:u w:val="single"/>
        </w:rPr>
        <w:t>新疆政府采购网（http://www.ccgp-xinjiang.gov.cn/）</w:t>
      </w:r>
      <w:r>
        <w:rPr>
          <w:rFonts w:hint="eastAsia" w:ascii="仿宋" w:hAnsi="仿宋" w:eastAsia="仿宋" w:cs="宋体"/>
          <w:color w:val="auto"/>
          <w:sz w:val="24"/>
          <w:szCs w:val="24"/>
        </w:rPr>
        <w:t>获取（下载）</w:t>
      </w:r>
      <w:r>
        <w:rPr>
          <w:rFonts w:hint="eastAsia" w:ascii="仿宋" w:hAnsi="仿宋" w:eastAsia="仿宋" w:cs="宋体"/>
          <w:color w:val="auto"/>
          <w:sz w:val="24"/>
          <w:szCs w:val="24"/>
          <w:lang w:eastAsia="zh-CN"/>
        </w:rPr>
        <w:t>谈判</w:t>
      </w:r>
      <w:r>
        <w:rPr>
          <w:rFonts w:hint="eastAsia" w:ascii="仿宋" w:hAnsi="仿宋" w:eastAsia="仿宋"/>
          <w:color w:val="auto"/>
          <w:sz w:val="24"/>
          <w:szCs w:val="28"/>
          <w:lang w:eastAsia="zh-CN"/>
        </w:rPr>
        <w:t>文件</w:t>
      </w:r>
      <w:r>
        <w:rPr>
          <w:rFonts w:hint="eastAsia" w:ascii="仿宋" w:hAnsi="仿宋" w:eastAsia="仿宋" w:cs="宋体"/>
          <w:color w:val="auto"/>
          <w:sz w:val="24"/>
          <w:szCs w:val="24"/>
        </w:rPr>
        <w:t>，并于</w:t>
      </w:r>
      <w:r>
        <w:rPr>
          <w:rFonts w:hint="eastAsia" w:ascii="仿宋" w:hAnsi="仿宋" w:eastAsia="仿宋" w:cs="宋体"/>
          <w:color w:val="auto"/>
          <w:sz w:val="24"/>
          <w:szCs w:val="24"/>
          <w:u w:val="single"/>
          <w:lang w:eastAsia="zh-CN"/>
        </w:rPr>
        <w:t>2025年</w:t>
      </w:r>
      <w:r>
        <w:rPr>
          <w:rFonts w:hint="eastAsia" w:ascii="仿宋" w:hAnsi="仿宋" w:eastAsia="仿宋" w:cs="宋体"/>
          <w:bCs/>
          <w:color w:val="auto"/>
          <w:sz w:val="24"/>
          <w:szCs w:val="24"/>
          <w:u w:val="single"/>
          <w:lang w:val="en-US" w:eastAsia="zh-CN"/>
        </w:rPr>
        <w:t>4</w:t>
      </w:r>
      <w:r>
        <w:rPr>
          <w:rFonts w:hint="eastAsia" w:ascii="仿宋" w:hAnsi="仿宋" w:eastAsia="仿宋" w:cs="宋体"/>
          <w:bCs/>
          <w:color w:val="auto"/>
          <w:sz w:val="24"/>
          <w:szCs w:val="24"/>
          <w:u w:val="single"/>
        </w:rPr>
        <w:t>月</w:t>
      </w:r>
      <w:r>
        <w:rPr>
          <w:rFonts w:hint="eastAsia" w:ascii="仿宋" w:hAnsi="仿宋" w:eastAsia="仿宋" w:cs="宋体"/>
          <w:bCs/>
          <w:color w:val="auto"/>
          <w:sz w:val="24"/>
          <w:szCs w:val="24"/>
          <w:u w:val="single"/>
          <w:lang w:val="en-US" w:eastAsia="zh-CN"/>
        </w:rPr>
        <w:t>11</w:t>
      </w:r>
      <w:r>
        <w:rPr>
          <w:rFonts w:hint="eastAsia" w:ascii="仿宋" w:hAnsi="仿宋" w:eastAsia="仿宋" w:cs="宋体"/>
          <w:bCs/>
          <w:color w:val="auto"/>
          <w:sz w:val="24"/>
          <w:szCs w:val="24"/>
          <w:u w:val="single"/>
        </w:rPr>
        <w:t>日11点00分（</w:t>
      </w:r>
      <w:r>
        <w:rPr>
          <w:rFonts w:hint="eastAsia" w:ascii="仿宋" w:hAnsi="仿宋" w:eastAsia="仿宋" w:cs="宋体"/>
          <w:bCs/>
          <w:color w:val="auto"/>
          <w:sz w:val="24"/>
          <w:szCs w:val="24"/>
        </w:rPr>
        <w:t>北京时间）前递交</w:t>
      </w:r>
      <w:r>
        <w:rPr>
          <w:rFonts w:hint="eastAsia" w:ascii="仿宋" w:hAnsi="仿宋" w:eastAsia="仿宋" w:cs="宋体"/>
          <w:bCs/>
          <w:color w:val="auto"/>
          <w:sz w:val="24"/>
          <w:szCs w:val="24"/>
          <w:lang w:eastAsia="zh-CN"/>
        </w:rPr>
        <w:t>响应文件</w:t>
      </w:r>
      <w:r>
        <w:rPr>
          <w:rFonts w:hint="eastAsia" w:ascii="仿宋" w:hAnsi="仿宋" w:eastAsia="仿宋" w:cs="宋体"/>
          <w:color w:val="auto"/>
          <w:sz w:val="24"/>
          <w:szCs w:val="24"/>
        </w:rPr>
        <w:t>。</w:t>
      </w:r>
    </w:p>
    <w:p w14:paraId="5E4C3DDF">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val="0"/>
          <w:bCs/>
          <w:color w:val="auto"/>
          <w:kern w:val="2"/>
          <w:sz w:val="24"/>
          <w:szCs w:val="24"/>
          <w:highlight w:val="none"/>
          <w:lang w:val="en-US" w:eastAsia="zh-CN" w:bidi="ar-SA"/>
        </w:rPr>
      </w:pPr>
      <w:bookmarkStart w:id="1" w:name="_Toc35393798"/>
      <w:bookmarkStart w:id="2" w:name="_Toc28359012"/>
      <w:bookmarkStart w:id="3" w:name="_Toc35393629"/>
      <w:bookmarkStart w:id="4" w:name="_Toc28359089"/>
      <w:r>
        <w:rPr>
          <w:rFonts w:hint="eastAsia" w:ascii="仿宋" w:hAnsi="仿宋" w:eastAsia="仿宋" w:cs="仿宋"/>
          <w:b w:val="0"/>
          <w:bCs/>
          <w:color w:val="auto"/>
          <w:kern w:val="2"/>
          <w:sz w:val="24"/>
          <w:szCs w:val="24"/>
          <w:highlight w:val="none"/>
          <w:lang w:val="en-US" w:eastAsia="zh-CN" w:bidi="ar-SA"/>
        </w:rPr>
        <w:t>一、项目基本情况</w:t>
      </w:r>
      <w:bookmarkEnd w:id="1"/>
      <w:bookmarkEnd w:id="2"/>
      <w:bookmarkEnd w:id="3"/>
      <w:bookmarkEnd w:id="4"/>
    </w:p>
    <w:p w14:paraId="1D621AF5">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YLCXDP2025-0</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CG</w:t>
      </w:r>
    </w:p>
    <w:p w14:paraId="6D5C197B">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伊犁公路事业发展中心2025年除雪刀片采购项目</w:t>
      </w:r>
    </w:p>
    <w:p w14:paraId="2C3D27FD">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13DB4905">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442400.00</w:t>
      </w:r>
      <w:r>
        <w:rPr>
          <w:rFonts w:hint="eastAsia" w:ascii="仿宋" w:hAnsi="仿宋" w:eastAsia="仿宋" w:cs="仿宋"/>
          <w:color w:val="auto"/>
          <w:sz w:val="24"/>
          <w:szCs w:val="24"/>
          <w:highlight w:val="none"/>
          <w:lang w:eastAsia="zh-CN"/>
        </w:rPr>
        <w:t>元</w:t>
      </w:r>
    </w:p>
    <w:p w14:paraId="00818CF1">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442400.00</w:t>
      </w:r>
      <w:r>
        <w:rPr>
          <w:rFonts w:hint="eastAsia" w:ascii="仿宋" w:hAnsi="仿宋" w:eastAsia="仿宋" w:cs="仿宋"/>
          <w:color w:val="auto"/>
          <w:sz w:val="24"/>
          <w:szCs w:val="24"/>
          <w:highlight w:val="none"/>
          <w:lang w:eastAsia="zh-CN"/>
        </w:rPr>
        <w:t>元</w:t>
      </w:r>
    </w:p>
    <w:p w14:paraId="6F4E8F5D">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bookmarkStart w:id="5" w:name="_Toc35393799"/>
      <w:bookmarkStart w:id="6" w:name="_Toc28359090"/>
      <w:bookmarkStart w:id="7" w:name="_Toc28359013"/>
      <w:bookmarkStart w:id="8" w:name="_Toc35393630"/>
    </w:p>
    <w:p w14:paraId="5D4F356B">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标项名称：伊犁公路事业发展中心2025年除雪刀片采购项目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数量： 1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预算金额（元）：442400.00</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单位：副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简要规格描述：详见谈判文件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备注：    </w:t>
      </w:r>
    </w:p>
    <w:p w14:paraId="6580BED4">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合同履约期限：</w:t>
      </w:r>
      <w:r>
        <w:rPr>
          <w:rFonts w:hint="eastAsia" w:ascii="仿宋" w:hAnsi="仿宋" w:eastAsia="仿宋" w:cs="仿宋"/>
          <w:b/>
          <w:bCs/>
          <w:color w:val="0000FF"/>
          <w:kern w:val="2"/>
          <w:sz w:val="24"/>
          <w:szCs w:val="24"/>
          <w:highlight w:val="none"/>
          <w:lang w:val="en-US" w:eastAsia="zh-CN" w:bidi="ar-SA"/>
        </w:rPr>
        <w:t>合同签订后45天（日历日）内完成供货 </w:t>
      </w:r>
      <w:r>
        <w:rPr>
          <w:rFonts w:hint="eastAsia" w:ascii="仿宋" w:hAnsi="仿宋" w:eastAsia="仿宋" w:cs="仿宋"/>
          <w:b/>
          <w:bCs/>
          <w:color w:val="auto"/>
          <w:kern w:val="2"/>
          <w:sz w:val="24"/>
          <w:szCs w:val="24"/>
          <w:highlight w:val="none"/>
          <w:lang w:val="en-US" w:eastAsia="zh-CN" w:bidi="ar-SA"/>
        </w:rPr>
        <w:t> </w:t>
      </w:r>
      <w:r>
        <w:rPr>
          <w:rFonts w:hint="eastAsia" w:ascii="仿宋" w:hAnsi="仿宋" w:eastAsia="仿宋" w:cs="仿宋"/>
          <w:b w:val="0"/>
          <w:bCs/>
          <w:color w:val="auto"/>
          <w:kern w:val="2"/>
          <w:sz w:val="24"/>
          <w:szCs w:val="24"/>
          <w:highlight w:val="none"/>
          <w:lang w:val="en-US" w:eastAsia="zh-CN" w:bidi="ar-SA"/>
        </w:rPr>
        <w:t> </w:t>
      </w:r>
    </w:p>
    <w:p w14:paraId="7D7A8FF0">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本项目（否）接受联合体投标。</w:t>
      </w:r>
    </w:p>
    <w:p w14:paraId="5AEFFEE8">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二、申请人的资格要求：</w:t>
      </w:r>
      <w:bookmarkEnd w:id="5"/>
      <w:bookmarkEnd w:id="6"/>
      <w:bookmarkEnd w:id="7"/>
      <w:bookmarkEnd w:id="8"/>
    </w:p>
    <w:p w14:paraId="3951D535">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2793B4B6">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bookmarkStart w:id="9" w:name="_Toc28359014"/>
      <w:bookmarkStart w:id="10" w:name="_Toc28359091"/>
      <w:r>
        <w:rPr>
          <w:rFonts w:hint="eastAsia" w:ascii="仿宋" w:hAnsi="仿宋" w:eastAsia="仿宋" w:cs="仿宋"/>
          <w:color w:val="auto"/>
          <w:sz w:val="24"/>
          <w:szCs w:val="24"/>
          <w:highlight w:val="none"/>
        </w:rPr>
        <w:t>2.、实政府采购政策需满足的资格要求：</w:t>
      </w:r>
      <w:r>
        <w:rPr>
          <w:rFonts w:hint="eastAsia" w:ascii="仿宋" w:hAnsi="仿宋" w:eastAsia="仿宋" w:cs="仿宋"/>
          <w:color w:val="auto"/>
          <w:sz w:val="24"/>
          <w:szCs w:val="24"/>
          <w:highlight w:val="none"/>
          <w:u w:val="single"/>
        </w:rPr>
        <w:t xml:space="preserve"> 标项 1：专门面向中小企业采购 </w:t>
      </w:r>
      <w:r>
        <w:rPr>
          <w:rFonts w:hint="eastAsia" w:ascii="仿宋" w:hAnsi="仿宋" w:eastAsia="仿宋" w:cs="仿宋"/>
          <w:color w:val="auto"/>
          <w:sz w:val="24"/>
          <w:szCs w:val="24"/>
          <w:highlight w:val="none"/>
        </w:rPr>
        <w:t xml:space="preserve">； </w:t>
      </w:r>
    </w:p>
    <w:p w14:paraId="2FB346C0">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14:paraId="6271D927">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3.1供应商具有合格有效的营业执照，在人员、设备、资金等方面具有相应的服务及售后能力； </w:t>
      </w:r>
    </w:p>
    <w:p w14:paraId="707ABC91">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3.2供应商如在“信用中国”网站、“中国政府采购网”被列入严重违法失信行为记录名单的(尚在处罚期内的)，将拒绝其参加本次政府采购活动； </w:t>
      </w:r>
    </w:p>
    <w:p w14:paraId="11DA0794">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3.3其他说明1、与采购人存在利害关系可能影响招标公正性的法人、其他组织或者个人，不得参加投标；2、单位负责人为同一人或者存在直接控股、管理关系的不同供应商不得参加本项目同一包的投标。</w:t>
      </w:r>
    </w:p>
    <w:p w14:paraId="50F47A26">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val="0"/>
          <w:bCs/>
          <w:color w:val="auto"/>
          <w:kern w:val="2"/>
          <w:sz w:val="24"/>
          <w:szCs w:val="24"/>
          <w:highlight w:val="none"/>
          <w:lang w:val="en-US" w:eastAsia="zh-CN" w:bidi="ar-SA"/>
        </w:rPr>
      </w:pPr>
      <w:bookmarkStart w:id="11" w:name="_Toc35393800"/>
      <w:bookmarkStart w:id="12" w:name="_Toc35393631"/>
      <w:r>
        <w:rPr>
          <w:rFonts w:hint="eastAsia" w:ascii="仿宋" w:hAnsi="仿宋" w:eastAsia="仿宋" w:cs="仿宋"/>
          <w:b w:val="0"/>
          <w:bCs/>
          <w:color w:val="auto"/>
          <w:kern w:val="2"/>
          <w:sz w:val="24"/>
          <w:szCs w:val="24"/>
          <w:highlight w:val="none"/>
          <w:lang w:val="en-US" w:eastAsia="zh-CN" w:bidi="ar-SA"/>
        </w:rPr>
        <w:t>三、获取采购文件</w:t>
      </w:r>
      <w:bookmarkEnd w:id="9"/>
      <w:bookmarkEnd w:id="10"/>
      <w:bookmarkEnd w:id="11"/>
      <w:bookmarkEnd w:id="12"/>
    </w:p>
    <w:p w14:paraId="3FBC8226">
      <w:pPr>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18</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；每天上午00:00至12:00，下午12:00至23:59（北京时间，法定节假日除外）</w:t>
      </w:r>
    </w:p>
    <w:p w14:paraId="4A3AFE0E">
      <w:pPr>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w:t>
      </w:r>
    </w:p>
    <w:p w14:paraId="63668BDC">
      <w:pPr>
        <w:pageBreakBefore w:val="0"/>
        <w:kinsoku/>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方式：政采云平台下载。</w:t>
      </w:r>
    </w:p>
    <w:p w14:paraId="1D16EED1">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val="0"/>
          <w:bCs/>
          <w:color w:val="auto"/>
          <w:kern w:val="2"/>
          <w:sz w:val="24"/>
          <w:szCs w:val="24"/>
          <w:highlight w:val="none"/>
          <w:lang w:val="en-US" w:eastAsia="zh-CN" w:bidi="ar-SA"/>
        </w:rPr>
      </w:pPr>
      <w:bookmarkStart w:id="13" w:name="_Toc28359092"/>
      <w:bookmarkStart w:id="14" w:name="_Toc28359015"/>
      <w:bookmarkStart w:id="15" w:name="_Toc35393632"/>
      <w:bookmarkStart w:id="16" w:name="_Toc35393801"/>
      <w:r>
        <w:rPr>
          <w:rFonts w:hint="eastAsia" w:ascii="仿宋" w:hAnsi="仿宋" w:eastAsia="仿宋" w:cs="仿宋"/>
          <w:b w:val="0"/>
          <w:bCs/>
          <w:color w:val="auto"/>
          <w:kern w:val="2"/>
          <w:sz w:val="24"/>
          <w:szCs w:val="24"/>
          <w:highlight w:val="none"/>
          <w:lang w:val="en-US" w:eastAsia="zh-CN" w:bidi="ar-SA"/>
        </w:rPr>
        <w:t>四、响应文件提交</w:t>
      </w:r>
      <w:bookmarkEnd w:id="13"/>
      <w:bookmarkEnd w:id="14"/>
      <w:bookmarkEnd w:id="15"/>
      <w:bookmarkEnd w:id="16"/>
    </w:p>
    <w:p w14:paraId="2EFEE6D7">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日11点00分</w:t>
      </w:r>
      <w:r>
        <w:rPr>
          <w:rFonts w:hint="eastAsia" w:ascii="仿宋" w:hAnsi="仿宋" w:eastAsia="仿宋" w:cs="仿宋"/>
          <w:bCs/>
          <w:color w:val="auto"/>
          <w:sz w:val="24"/>
          <w:szCs w:val="24"/>
          <w:highlight w:val="none"/>
        </w:rPr>
        <w:t>（北京时间）</w:t>
      </w:r>
    </w:p>
    <w:p w14:paraId="1E7AC48E">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地点：政采云平台。</w:t>
      </w:r>
    </w:p>
    <w:p w14:paraId="230FF07D">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val="0"/>
          <w:bCs/>
          <w:color w:val="auto"/>
          <w:kern w:val="2"/>
          <w:sz w:val="24"/>
          <w:szCs w:val="24"/>
          <w:highlight w:val="none"/>
          <w:lang w:val="en-US" w:eastAsia="zh-CN" w:bidi="ar-SA"/>
        </w:rPr>
      </w:pPr>
      <w:bookmarkStart w:id="17" w:name="_Toc28359093"/>
      <w:bookmarkStart w:id="18" w:name="_Toc28359016"/>
      <w:bookmarkStart w:id="19" w:name="_Toc35393802"/>
      <w:bookmarkStart w:id="20" w:name="_Toc35393633"/>
      <w:r>
        <w:rPr>
          <w:rFonts w:hint="eastAsia" w:ascii="仿宋" w:hAnsi="仿宋" w:eastAsia="仿宋" w:cs="仿宋"/>
          <w:b w:val="0"/>
          <w:bCs/>
          <w:color w:val="auto"/>
          <w:kern w:val="2"/>
          <w:sz w:val="24"/>
          <w:szCs w:val="24"/>
          <w:highlight w:val="none"/>
          <w:lang w:val="en-US" w:eastAsia="zh-CN" w:bidi="ar-SA"/>
        </w:rPr>
        <w:t>五、响应文件开启</w:t>
      </w:r>
      <w:bookmarkEnd w:id="17"/>
      <w:bookmarkEnd w:id="18"/>
      <w:bookmarkEnd w:id="19"/>
      <w:bookmarkEnd w:id="20"/>
    </w:p>
    <w:p w14:paraId="3E5B4BA6">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b w:val="0"/>
          <w:bCs/>
          <w:color w:val="auto"/>
          <w:kern w:val="2"/>
          <w:sz w:val="24"/>
          <w:szCs w:val="24"/>
          <w:highlight w:val="none"/>
          <w:lang w:val="en-US" w:eastAsia="zh-CN" w:bidi="ar-SA"/>
        </w:rPr>
        <w:t>2025年4月22日11点00分</w:t>
      </w:r>
      <w:r>
        <w:rPr>
          <w:rFonts w:hint="eastAsia" w:ascii="仿宋" w:hAnsi="仿宋" w:eastAsia="仿宋" w:cs="仿宋"/>
          <w:color w:val="auto"/>
          <w:sz w:val="24"/>
          <w:szCs w:val="24"/>
          <w:highlight w:val="none"/>
        </w:rPr>
        <w:t>（北京时间）</w:t>
      </w:r>
    </w:p>
    <w:p w14:paraId="4FE81FAB">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地点：政采云平台网上开标</w:t>
      </w:r>
    </w:p>
    <w:p w14:paraId="106D98BC">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bookmarkStart w:id="21" w:name="_Toc35393634"/>
      <w:bookmarkStart w:id="22" w:name="_Toc28359017"/>
      <w:bookmarkStart w:id="23" w:name="_Toc28359094"/>
      <w:bookmarkStart w:id="24" w:name="_Toc35393803"/>
      <w:r>
        <w:rPr>
          <w:rFonts w:hint="eastAsia" w:ascii="仿宋" w:hAnsi="仿宋" w:eastAsia="仿宋" w:cs="仿宋"/>
          <w:b w:val="0"/>
          <w:bCs/>
          <w:color w:val="auto"/>
          <w:kern w:val="2"/>
          <w:sz w:val="24"/>
          <w:szCs w:val="24"/>
          <w:highlight w:val="none"/>
          <w:lang w:val="en-US" w:eastAsia="zh-CN" w:bidi="ar-SA"/>
        </w:rPr>
        <w:t>六、公告期限</w:t>
      </w:r>
      <w:bookmarkEnd w:id="21"/>
      <w:bookmarkEnd w:id="22"/>
      <w:bookmarkEnd w:id="23"/>
      <w:bookmarkEnd w:id="24"/>
    </w:p>
    <w:p w14:paraId="2735BDC8">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自本公告发布之日起3个工作日。</w:t>
      </w:r>
      <w:bookmarkStart w:id="25" w:name="_Toc35393804"/>
      <w:bookmarkStart w:id="26" w:name="_Toc35393635"/>
    </w:p>
    <w:p w14:paraId="06FAD3A9">
      <w:pPr>
        <w:pageBreakBefore w:val="0"/>
        <w:kinsoku/>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七、其他补充事宜</w:t>
      </w:r>
      <w:bookmarkEnd w:id="25"/>
      <w:bookmarkEnd w:id="26"/>
    </w:p>
    <w:p w14:paraId="633592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bookmarkStart w:id="27" w:name="_Toc35393636"/>
      <w:bookmarkStart w:id="28" w:name="_Toc28359018"/>
      <w:bookmarkStart w:id="29" w:name="_Toc35393805"/>
      <w:bookmarkStart w:id="30" w:name="_Toc28359095"/>
      <w:r>
        <w:rPr>
          <w:rFonts w:hint="eastAsia" w:ascii="仿宋" w:hAnsi="仿宋" w:eastAsia="仿宋" w:cs="仿宋"/>
          <w:color w:val="auto"/>
          <w:kern w:val="2"/>
          <w:sz w:val="24"/>
          <w:szCs w:val="24"/>
          <w:highlight w:val="none"/>
          <w:lang w:val="en-US" w:eastAsia="zh-CN" w:bidi="ar-SA"/>
        </w:rPr>
        <w:t>1、本项目实行网上投标，采用电子投标文件。</w:t>
      </w:r>
    </w:p>
    <w:p w14:paraId="09A53D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184B2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3、供应商将政采云电子交易客户端下载、安装完成后，可通过账号密码或CA登录客户端进行投标文件的制作。在使用政采云投标客户端时，建议使用WIN7及以上操作系统。</w:t>
      </w:r>
    </w:p>
    <w:p w14:paraId="255030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4、其他事项：1.本项目采用全流程不见面电子开评标，投标供应商需要使用CA加密设备，供应商可通过新疆数字证书认证中心官网（https://www.xjca.com.cn/）或下载“新疆政务通”APP自行进行申领。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5.供应商在开标时须使用制作加密电子投标文件所使用的CA锁及电脑，电脑须提前配置好浏览器（建议使用谷歌浏览器），以便开标时解锁。</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或拨打政采云客户服务热线95763进行咨询获取服务支持  </w:t>
      </w:r>
    </w:p>
    <w:p w14:paraId="139E2A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特别提示：</w:t>
      </w:r>
    </w:p>
    <w:p w14:paraId="1FA86C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152A70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56ABD3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482FE5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7269E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2A01A8D">
      <w:pPr>
        <w:keepNext/>
        <w:keepLines/>
        <w:pageBreakBefore w:val="0"/>
        <w:widowControl w:val="0"/>
        <w:kinsoku/>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八、凡对本次采购提出询问，请按以下方式联系。</w:t>
      </w:r>
      <w:bookmarkEnd w:id="27"/>
      <w:bookmarkEnd w:id="28"/>
      <w:bookmarkEnd w:id="29"/>
      <w:bookmarkEnd w:id="30"/>
    </w:p>
    <w:p w14:paraId="141D27CB">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b w:val="0"/>
          <w:bCs w:val="0"/>
          <w:color w:val="auto"/>
          <w:kern w:val="2"/>
          <w:sz w:val="24"/>
          <w:szCs w:val="24"/>
          <w:highlight w:val="none"/>
          <w:lang w:val="en-US" w:eastAsia="zh-CN" w:bidi="ar-SA"/>
        </w:rPr>
      </w:pPr>
      <w:bookmarkStart w:id="31" w:name="_Toc35393806"/>
      <w:bookmarkStart w:id="32" w:name="_Toc35393637"/>
      <w:bookmarkStart w:id="33" w:name="_Toc28359096"/>
      <w:bookmarkStart w:id="34" w:name="_Toc28359019"/>
      <w:r>
        <w:rPr>
          <w:rFonts w:hint="eastAsia" w:ascii="仿宋" w:hAnsi="仿宋" w:eastAsia="仿宋" w:cs="仿宋"/>
          <w:b w:val="0"/>
          <w:bCs w:val="0"/>
          <w:color w:val="auto"/>
          <w:kern w:val="2"/>
          <w:sz w:val="24"/>
          <w:szCs w:val="24"/>
          <w:highlight w:val="none"/>
          <w:lang w:val="en-US" w:eastAsia="zh-CN" w:bidi="ar-SA"/>
        </w:rPr>
        <w:t>1.采购人信息</w:t>
      </w:r>
      <w:bookmarkEnd w:id="31"/>
      <w:bookmarkEnd w:id="32"/>
      <w:bookmarkEnd w:id="33"/>
      <w:bookmarkEnd w:id="34"/>
    </w:p>
    <w:p w14:paraId="410CC605">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    称：伊犁公路事业发展中心</w:t>
      </w:r>
    </w:p>
    <w:p w14:paraId="51571259">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0"/>
          <w:sz w:val="24"/>
          <w:szCs w:val="21"/>
          <w:lang w:val="en-US" w:eastAsia="zh-CN" w:bidi="ar-SA"/>
        </w:rPr>
      </w:pPr>
      <w:r>
        <w:rPr>
          <w:rFonts w:hint="eastAsia" w:ascii="仿宋" w:hAnsi="仿宋" w:eastAsia="仿宋" w:cs="仿宋"/>
          <w:color w:val="auto"/>
          <w:kern w:val="0"/>
          <w:sz w:val="24"/>
          <w:szCs w:val="21"/>
          <w:lang w:val="en-US" w:eastAsia="zh-CN" w:bidi="ar-SA"/>
        </w:rPr>
        <w:t>地    址：伊宁市解放路234号</w:t>
      </w:r>
    </w:p>
    <w:p w14:paraId="2436AA42">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0"/>
          <w:sz w:val="24"/>
          <w:szCs w:val="21"/>
          <w:lang w:val="en-US" w:eastAsia="zh-CN" w:bidi="ar-SA"/>
        </w:rPr>
      </w:pPr>
      <w:r>
        <w:rPr>
          <w:rFonts w:hint="eastAsia" w:ascii="仿宋" w:hAnsi="仿宋" w:eastAsia="仿宋" w:cs="仿宋"/>
          <w:color w:val="auto"/>
          <w:kern w:val="0"/>
          <w:sz w:val="24"/>
          <w:szCs w:val="21"/>
          <w:lang w:val="en-US" w:eastAsia="zh-CN" w:bidi="ar-SA"/>
        </w:rPr>
        <w:t>联系方式：0999-8995372</w:t>
      </w:r>
    </w:p>
    <w:p w14:paraId="112ADE60">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bookmarkStart w:id="35" w:name="_Toc28359020"/>
      <w:bookmarkStart w:id="36" w:name="_Toc35393638"/>
      <w:bookmarkStart w:id="37" w:name="_Toc28359097"/>
      <w:bookmarkStart w:id="38" w:name="_Toc35393807"/>
      <w:r>
        <w:rPr>
          <w:rFonts w:hint="eastAsia" w:ascii="仿宋" w:hAnsi="仿宋" w:eastAsia="仿宋" w:cs="仿宋"/>
          <w:color w:val="auto"/>
          <w:kern w:val="2"/>
          <w:sz w:val="24"/>
          <w:szCs w:val="24"/>
          <w:highlight w:val="none"/>
          <w:lang w:val="en-US" w:eastAsia="zh-CN" w:bidi="ar-SA"/>
        </w:rPr>
        <w:t>2.采购代理机构信息</w:t>
      </w:r>
      <w:bookmarkEnd w:id="35"/>
      <w:bookmarkEnd w:id="36"/>
      <w:bookmarkEnd w:id="37"/>
      <w:bookmarkEnd w:id="38"/>
    </w:p>
    <w:p w14:paraId="03F1D346">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    称：新疆惠合正德工程管理有限公司</w:t>
      </w:r>
    </w:p>
    <w:p w14:paraId="4D71F2D1">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0"/>
          <w:sz w:val="24"/>
          <w:szCs w:val="21"/>
          <w:lang w:val="en-US" w:eastAsia="zh-CN" w:bidi="ar-SA"/>
        </w:rPr>
      </w:pPr>
      <w:r>
        <w:rPr>
          <w:rFonts w:hint="eastAsia" w:ascii="仿宋" w:hAnsi="仿宋" w:eastAsia="仿宋" w:cs="仿宋"/>
          <w:color w:val="auto"/>
          <w:kern w:val="2"/>
          <w:sz w:val="24"/>
          <w:szCs w:val="24"/>
          <w:highlight w:val="none"/>
          <w:lang w:val="en-US" w:eastAsia="zh-CN" w:bidi="ar-SA"/>
        </w:rPr>
        <w:t>地　　址：</w:t>
      </w:r>
      <w:r>
        <w:rPr>
          <w:rFonts w:hint="eastAsia" w:ascii="仿宋" w:hAnsi="仿宋" w:eastAsia="仿宋" w:cs="仿宋"/>
          <w:color w:val="auto"/>
          <w:kern w:val="0"/>
          <w:sz w:val="24"/>
          <w:szCs w:val="21"/>
          <w:lang w:val="en-US" w:eastAsia="zh-CN" w:bidi="ar-SA"/>
        </w:rPr>
        <w:t>伊宁市西环路306号开元新城3号楼11层（写字楼）</w:t>
      </w:r>
    </w:p>
    <w:p w14:paraId="1694925B">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联系方式：18099829507</w:t>
      </w:r>
    </w:p>
    <w:p w14:paraId="3C2C215D">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bookmarkStart w:id="39" w:name="_Toc35393639"/>
      <w:bookmarkStart w:id="40" w:name="_Toc28359021"/>
      <w:bookmarkStart w:id="41" w:name="_Toc28359098"/>
      <w:bookmarkStart w:id="42" w:name="_Toc35393808"/>
      <w:r>
        <w:rPr>
          <w:rFonts w:hint="eastAsia" w:ascii="仿宋" w:hAnsi="仿宋" w:eastAsia="仿宋" w:cs="仿宋"/>
          <w:color w:val="auto"/>
          <w:kern w:val="2"/>
          <w:sz w:val="24"/>
          <w:szCs w:val="24"/>
          <w:highlight w:val="none"/>
          <w:lang w:val="en-US" w:eastAsia="zh-CN" w:bidi="ar-SA"/>
        </w:rPr>
        <w:t>3.项目联系方式</w:t>
      </w:r>
      <w:bookmarkEnd w:id="39"/>
      <w:bookmarkEnd w:id="40"/>
      <w:bookmarkEnd w:id="41"/>
      <w:bookmarkEnd w:id="42"/>
    </w:p>
    <w:p w14:paraId="274D0498">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项目联系人：张艳</w:t>
      </w:r>
    </w:p>
    <w:p w14:paraId="3DDF8718">
      <w:pPr>
        <w:pageBreakBefore w:val="0"/>
        <w:widowControl/>
        <w:kinsoku/>
        <w:overflowPunct/>
        <w:topLinePunct w:val="0"/>
        <w:autoSpaceDE/>
        <w:autoSpaceDN/>
        <w:bidi w:val="0"/>
        <w:adjustRightInd/>
        <w:snapToGrid/>
        <w:spacing w:before="0" w:beforeAutospacing="0" w:after="0" w:afterAutospacing="0" w:line="360" w:lineRule="auto"/>
        <w:ind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电话：18099829507</w:t>
      </w:r>
    </w:p>
    <w:p w14:paraId="42F98918">
      <w:pPr>
        <w:jc w:val="center"/>
        <w:rPr>
          <w:rFonts w:ascii="仿宋" w:hAnsi="仿宋" w:eastAsia="仿宋" w:cs="Tahoma"/>
          <w:b/>
          <w:color w:val="auto"/>
          <w:sz w:val="36"/>
          <w:szCs w:val="36"/>
        </w:rPr>
      </w:pPr>
    </w:p>
    <w:p w14:paraId="36E756A0">
      <w:pPr>
        <w:jc w:val="center"/>
        <w:rPr>
          <w:rFonts w:ascii="仿宋" w:hAnsi="仿宋" w:eastAsia="仿宋" w:cs="Tahoma"/>
          <w:b/>
          <w:color w:val="auto"/>
          <w:sz w:val="36"/>
          <w:szCs w:val="36"/>
        </w:rPr>
      </w:pPr>
    </w:p>
    <w:p w14:paraId="272B51C6">
      <w:pPr>
        <w:jc w:val="center"/>
        <w:rPr>
          <w:rFonts w:ascii="仿宋" w:hAnsi="仿宋" w:eastAsia="仿宋" w:cs="Tahoma"/>
          <w:b/>
          <w:color w:val="auto"/>
          <w:sz w:val="36"/>
          <w:szCs w:val="36"/>
        </w:rPr>
      </w:pPr>
    </w:p>
    <w:p w14:paraId="31BAFD10">
      <w:pPr>
        <w:jc w:val="center"/>
        <w:rPr>
          <w:rFonts w:ascii="仿宋" w:hAnsi="仿宋" w:eastAsia="仿宋" w:cs="Tahoma"/>
          <w:b/>
          <w:color w:val="auto"/>
          <w:sz w:val="36"/>
          <w:szCs w:val="36"/>
        </w:rPr>
      </w:pPr>
    </w:p>
    <w:p w14:paraId="5F3CE511">
      <w:pPr>
        <w:jc w:val="center"/>
        <w:rPr>
          <w:rFonts w:ascii="仿宋" w:hAnsi="仿宋" w:eastAsia="仿宋" w:cs="Tahoma"/>
          <w:b/>
          <w:color w:val="auto"/>
          <w:sz w:val="36"/>
          <w:szCs w:val="36"/>
        </w:rPr>
      </w:pPr>
    </w:p>
    <w:p w14:paraId="1BC7C7E0">
      <w:pPr>
        <w:jc w:val="center"/>
        <w:rPr>
          <w:rFonts w:ascii="仿宋" w:hAnsi="仿宋" w:eastAsia="仿宋" w:cs="Tahoma"/>
          <w:b/>
          <w:color w:val="auto"/>
          <w:sz w:val="36"/>
          <w:szCs w:val="36"/>
        </w:rPr>
      </w:pPr>
    </w:p>
    <w:p w14:paraId="7CEC069F">
      <w:pPr>
        <w:jc w:val="center"/>
        <w:rPr>
          <w:rFonts w:ascii="仿宋" w:hAnsi="仿宋" w:eastAsia="仿宋" w:cs="Tahoma"/>
          <w:b/>
          <w:color w:val="auto"/>
          <w:sz w:val="36"/>
          <w:szCs w:val="36"/>
        </w:rPr>
      </w:pPr>
    </w:p>
    <w:p w14:paraId="46A0C670">
      <w:pPr>
        <w:jc w:val="center"/>
        <w:rPr>
          <w:rFonts w:ascii="仿宋" w:hAnsi="仿宋" w:eastAsia="仿宋" w:cs="Tahoma"/>
          <w:b/>
          <w:color w:val="auto"/>
          <w:sz w:val="36"/>
          <w:szCs w:val="36"/>
        </w:rPr>
      </w:pPr>
    </w:p>
    <w:p w14:paraId="4EEA2ED4">
      <w:pPr>
        <w:jc w:val="center"/>
        <w:rPr>
          <w:rFonts w:ascii="仿宋" w:hAnsi="仿宋" w:eastAsia="仿宋" w:cs="Tahoma"/>
          <w:b/>
          <w:color w:val="auto"/>
          <w:sz w:val="36"/>
          <w:szCs w:val="36"/>
        </w:rPr>
      </w:pPr>
    </w:p>
    <w:p w14:paraId="3ED5F5C6">
      <w:pPr>
        <w:jc w:val="center"/>
        <w:rPr>
          <w:rFonts w:ascii="仿宋" w:hAnsi="仿宋" w:eastAsia="仿宋" w:cs="Tahoma"/>
          <w:b/>
          <w:color w:val="auto"/>
          <w:sz w:val="36"/>
          <w:szCs w:val="36"/>
        </w:rPr>
      </w:pPr>
    </w:p>
    <w:p w14:paraId="0BE2C294">
      <w:pPr>
        <w:jc w:val="center"/>
        <w:rPr>
          <w:rFonts w:ascii="仿宋" w:hAnsi="仿宋" w:eastAsia="仿宋" w:cs="Tahoma"/>
          <w:b/>
          <w:color w:val="auto"/>
          <w:sz w:val="36"/>
          <w:szCs w:val="36"/>
        </w:rPr>
      </w:pPr>
    </w:p>
    <w:p w14:paraId="13187683">
      <w:pPr>
        <w:jc w:val="center"/>
        <w:rPr>
          <w:rFonts w:ascii="仿宋" w:hAnsi="仿宋" w:eastAsia="仿宋" w:cs="Tahoma"/>
          <w:b/>
          <w:color w:val="auto"/>
          <w:sz w:val="36"/>
          <w:szCs w:val="36"/>
        </w:rPr>
      </w:pPr>
    </w:p>
    <w:p w14:paraId="16F7D62B">
      <w:pPr>
        <w:jc w:val="center"/>
        <w:rPr>
          <w:rFonts w:ascii="仿宋" w:hAnsi="仿宋" w:eastAsia="仿宋" w:cs="Tahoma"/>
          <w:b/>
          <w:color w:val="auto"/>
          <w:sz w:val="36"/>
          <w:szCs w:val="36"/>
        </w:rPr>
      </w:pPr>
    </w:p>
    <w:p w14:paraId="5F5D8060">
      <w:pPr>
        <w:jc w:val="center"/>
        <w:rPr>
          <w:rFonts w:ascii="仿宋" w:hAnsi="仿宋" w:eastAsia="仿宋" w:cs="Tahoma"/>
          <w:b/>
          <w:color w:val="auto"/>
          <w:sz w:val="36"/>
          <w:szCs w:val="36"/>
        </w:rPr>
      </w:pPr>
    </w:p>
    <w:p w14:paraId="4E96B968">
      <w:pPr>
        <w:jc w:val="center"/>
        <w:rPr>
          <w:rFonts w:ascii="仿宋" w:hAnsi="仿宋" w:eastAsia="仿宋" w:cs="Tahoma"/>
          <w:b/>
          <w:color w:val="auto"/>
          <w:sz w:val="36"/>
          <w:szCs w:val="36"/>
        </w:rPr>
      </w:pPr>
    </w:p>
    <w:p w14:paraId="63C25E28">
      <w:pPr>
        <w:jc w:val="center"/>
        <w:rPr>
          <w:rFonts w:ascii="仿宋" w:hAnsi="仿宋" w:eastAsia="仿宋" w:cs="Tahoma"/>
          <w:b/>
          <w:color w:val="auto"/>
          <w:sz w:val="36"/>
          <w:szCs w:val="36"/>
        </w:rPr>
      </w:pPr>
    </w:p>
    <w:p w14:paraId="4DFC7869">
      <w:pPr>
        <w:jc w:val="center"/>
        <w:rPr>
          <w:rFonts w:ascii="仿宋" w:hAnsi="仿宋" w:eastAsia="仿宋" w:cs="Tahoma"/>
          <w:b/>
          <w:color w:val="auto"/>
          <w:sz w:val="36"/>
          <w:szCs w:val="36"/>
        </w:rPr>
      </w:pPr>
    </w:p>
    <w:p w14:paraId="36F80D64">
      <w:pPr>
        <w:jc w:val="center"/>
        <w:rPr>
          <w:rFonts w:ascii="仿宋" w:hAnsi="仿宋" w:eastAsia="仿宋" w:cs="Tahoma"/>
          <w:b/>
          <w:color w:val="auto"/>
          <w:sz w:val="36"/>
          <w:szCs w:val="36"/>
        </w:rPr>
      </w:pPr>
    </w:p>
    <w:p w14:paraId="1CF507A0">
      <w:pPr>
        <w:jc w:val="center"/>
        <w:rPr>
          <w:rFonts w:ascii="仿宋" w:hAnsi="仿宋" w:eastAsia="仿宋" w:cs="Tahoma"/>
          <w:b/>
          <w:color w:val="auto"/>
          <w:sz w:val="36"/>
          <w:szCs w:val="36"/>
        </w:rPr>
      </w:pPr>
    </w:p>
    <w:p w14:paraId="06AD3070">
      <w:pPr>
        <w:jc w:val="center"/>
        <w:rPr>
          <w:rFonts w:ascii="仿宋" w:hAnsi="仿宋" w:eastAsia="仿宋" w:cs="Tahoma"/>
          <w:b/>
          <w:color w:val="auto"/>
          <w:sz w:val="36"/>
          <w:szCs w:val="36"/>
        </w:rPr>
      </w:pPr>
    </w:p>
    <w:p w14:paraId="56507746">
      <w:pPr>
        <w:jc w:val="center"/>
        <w:rPr>
          <w:rFonts w:ascii="仿宋" w:hAnsi="仿宋" w:eastAsia="仿宋" w:cs="Tahoma"/>
          <w:b/>
          <w:color w:val="auto"/>
          <w:sz w:val="36"/>
          <w:szCs w:val="36"/>
        </w:rPr>
      </w:pPr>
    </w:p>
    <w:p w14:paraId="03ACAFBB">
      <w:pPr>
        <w:jc w:val="center"/>
        <w:rPr>
          <w:rFonts w:ascii="仿宋" w:hAnsi="仿宋" w:eastAsia="仿宋" w:cs="Tahoma"/>
          <w:b/>
          <w:color w:val="auto"/>
          <w:sz w:val="36"/>
          <w:szCs w:val="36"/>
        </w:rPr>
      </w:pPr>
    </w:p>
    <w:p w14:paraId="3F930543">
      <w:pPr>
        <w:jc w:val="center"/>
        <w:rPr>
          <w:rFonts w:ascii="仿宋" w:hAnsi="仿宋" w:eastAsia="仿宋" w:cs="Tahoma"/>
          <w:b/>
          <w:color w:val="auto"/>
          <w:sz w:val="36"/>
          <w:szCs w:val="36"/>
        </w:rPr>
      </w:pPr>
    </w:p>
    <w:p w14:paraId="1FF170C6">
      <w:pPr>
        <w:jc w:val="center"/>
        <w:rPr>
          <w:rFonts w:ascii="仿宋" w:hAnsi="仿宋" w:eastAsia="仿宋" w:cs="Tahoma"/>
          <w:b/>
          <w:color w:val="auto"/>
          <w:sz w:val="36"/>
          <w:szCs w:val="36"/>
        </w:rPr>
      </w:pPr>
    </w:p>
    <w:p w14:paraId="523DCCD0">
      <w:pPr>
        <w:pStyle w:val="2"/>
        <w:numPr>
          <w:ilvl w:val="0"/>
          <w:numId w:val="4"/>
        </w:numPr>
        <w:rPr>
          <w:rFonts w:hint="eastAsia" w:ascii="仿宋" w:hAnsi="仿宋"/>
          <w:color w:val="auto"/>
        </w:rPr>
      </w:pPr>
      <w:bookmarkStart w:id="43" w:name="_Toc62641429"/>
      <w:r>
        <w:rPr>
          <w:rFonts w:ascii="仿宋" w:hAnsi="仿宋"/>
          <w:color w:val="auto"/>
        </w:rPr>
        <w:t xml:space="preserve"> </w:t>
      </w:r>
      <w:r>
        <w:rPr>
          <w:rFonts w:hint="eastAsia" w:ascii="仿宋" w:hAnsi="仿宋"/>
          <w:color w:val="auto"/>
        </w:rPr>
        <w:t>投标人须知</w:t>
      </w:r>
      <w:bookmarkEnd w:id="43"/>
    </w:p>
    <w:p w14:paraId="13BFDF76">
      <w:pPr>
        <w:numPr>
          <w:ilvl w:val="0"/>
          <w:numId w:val="0"/>
        </w:numPr>
        <w:rPr>
          <w:color w:val="auto"/>
        </w:rPr>
      </w:pPr>
    </w:p>
    <w:p w14:paraId="712597A9">
      <w:pPr>
        <w:numPr>
          <w:ilvl w:val="0"/>
          <w:numId w:val="0"/>
        </w:numPr>
        <w:rPr>
          <w:color w:val="auto"/>
        </w:rPr>
      </w:pPr>
    </w:p>
    <w:p w14:paraId="4CEE8C31">
      <w:pPr>
        <w:numPr>
          <w:ilvl w:val="0"/>
          <w:numId w:val="0"/>
        </w:numPr>
        <w:rPr>
          <w:color w:val="auto"/>
        </w:rPr>
      </w:pPr>
    </w:p>
    <w:p w14:paraId="05C8CF9D">
      <w:pPr>
        <w:numPr>
          <w:ilvl w:val="0"/>
          <w:numId w:val="0"/>
        </w:numPr>
        <w:rPr>
          <w:color w:val="auto"/>
        </w:rPr>
      </w:pPr>
    </w:p>
    <w:p w14:paraId="2B42013F">
      <w:pPr>
        <w:numPr>
          <w:ilvl w:val="0"/>
          <w:numId w:val="0"/>
        </w:numPr>
        <w:rPr>
          <w:color w:val="auto"/>
        </w:rPr>
      </w:pPr>
    </w:p>
    <w:p w14:paraId="3DA17792">
      <w:pPr>
        <w:numPr>
          <w:ilvl w:val="0"/>
          <w:numId w:val="0"/>
        </w:numPr>
        <w:rPr>
          <w:color w:val="auto"/>
        </w:rPr>
      </w:pPr>
    </w:p>
    <w:p w14:paraId="4D673DF1">
      <w:pPr>
        <w:numPr>
          <w:ilvl w:val="0"/>
          <w:numId w:val="0"/>
        </w:numPr>
        <w:rPr>
          <w:color w:val="auto"/>
        </w:rPr>
      </w:pPr>
    </w:p>
    <w:p w14:paraId="1E7CC911">
      <w:pPr>
        <w:pStyle w:val="7"/>
        <w:rPr>
          <w:color w:val="auto"/>
        </w:rPr>
      </w:pPr>
    </w:p>
    <w:p w14:paraId="47DD0A1C">
      <w:pPr>
        <w:pStyle w:val="7"/>
        <w:rPr>
          <w:color w:val="auto"/>
        </w:rPr>
      </w:pPr>
    </w:p>
    <w:p w14:paraId="13A433E1">
      <w:pPr>
        <w:pStyle w:val="7"/>
        <w:rPr>
          <w:color w:val="auto"/>
        </w:rPr>
      </w:pPr>
    </w:p>
    <w:p w14:paraId="212B0421">
      <w:pPr>
        <w:numPr>
          <w:ilvl w:val="0"/>
          <w:numId w:val="0"/>
        </w:numPr>
        <w:rPr>
          <w:color w:val="auto"/>
        </w:rPr>
      </w:pPr>
    </w:p>
    <w:p w14:paraId="121EC880">
      <w:pPr>
        <w:numPr>
          <w:ilvl w:val="0"/>
          <w:numId w:val="0"/>
        </w:numPr>
        <w:rPr>
          <w:color w:val="auto"/>
        </w:rPr>
      </w:pPr>
    </w:p>
    <w:p w14:paraId="0DB07079">
      <w:pPr>
        <w:numPr>
          <w:ilvl w:val="0"/>
          <w:numId w:val="0"/>
        </w:numPr>
        <w:rPr>
          <w:color w:val="auto"/>
        </w:rPr>
      </w:pPr>
    </w:p>
    <w:p w14:paraId="11F86788">
      <w:pPr>
        <w:numPr>
          <w:ilvl w:val="0"/>
          <w:numId w:val="0"/>
        </w:numPr>
        <w:rPr>
          <w:color w:val="auto"/>
        </w:rPr>
      </w:pPr>
    </w:p>
    <w:p w14:paraId="5C8C3E47">
      <w:pPr>
        <w:numPr>
          <w:ilvl w:val="0"/>
          <w:numId w:val="0"/>
        </w:numPr>
        <w:rPr>
          <w:color w:val="auto"/>
        </w:rPr>
      </w:pPr>
    </w:p>
    <w:p w14:paraId="7EB78BDE">
      <w:pPr>
        <w:numPr>
          <w:ilvl w:val="0"/>
          <w:numId w:val="0"/>
        </w:numPr>
        <w:rPr>
          <w:color w:val="auto"/>
        </w:rPr>
      </w:pPr>
    </w:p>
    <w:p w14:paraId="0AEAC51B">
      <w:pPr>
        <w:numPr>
          <w:ilvl w:val="0"/>
          <w:numId w:val="0"/>
        </w:numPr>
        <w:rPr>
          <w:color w:val="auto"/>
        </w:rPr>
      </w:pPr>
    </w:p>
    <w:p w14:paraId="6BE3CEC8">
      <w:pPr>
        <w:numPr>
          <w:ilvl w:val="0"/>
          <w:numId w:val="0"/>
        </w:numPr>
        <w:rPr>
          <w:color w:val="auto"/>
        </w:rPr>
      </w:pPr>
    </w:p>
    <w:p w14:paraId="3E6A71FB">
      <w:pPr>
        <w:numPr>
          <w:ilvl w:val="0"/>
          <w:numId w:val="0"/>
        </w:numPr>
        <w:rPr>
          <w:color w:val="auto"/>
        </w:rPr>
      </w:pPr>
    </w:p>
    <w:p w14:paraId="6EB74468">
      <w:pPr>
        <w:numPr>
          <w:ilvl w:val="0"/>
          <w:numId w:val="0"/>
        </w:numPr>
        <w:rPr>
          <w:color w:val="auto"/>
        </w:rPr>
      </w:pPr>
    </w:p>
    <w:p w14:paraId="6FABE9B4">
      <w:pPr>
        <w:numPr>
          <w:ilvl w:val="0"/>
          <w:numId w:val="0"/>
        </w:numPr>
        <w:rPr>
          <w:color w:val="auto"/>
        </w:rPr>
      </w:pPr>
    </w:p>
    <w:p w14:paraId="352455E8">
      <w:pPr>
        <w:numPr>
          <w:ilvl w:val="0"/>
          <w:numId w:val="0"/>
        </w:numPr>
        <w:rPr>
          <w:color w:val="auto"/>
        </w:rPr>
      </w:pPr>
    </w:p>
    <w:p w14:paraId="3AEA4A10">
      <w:pPr>
        <w:numPr>
          <w:ilvl w:val="0"/>
          <w:numId w:val="0"/>
        </w:numPr>
        <w:rPr>
          <w:color w:val="auto"/>
        </w:rPr>
      </w:pPr>
    </w:p>
    <w:p w14:paraId="1165A03E">
      <w:pPr>
        <w:numPr>
          <w:ilvl w:val="0"/>
          <w:numId w:val="0"/>
        </w:numPr>
        <w:rPr>
          <w:color w:val="auto"/>
        </w:rPr>
      </w:pPr>
    </w:p>
    <w:p w14:paraId="23F14944">
      <w:pPr>
        <w:numPr>
          <w:ilvl w:val="0"/>
          <w:numId w:val="0"/>
        </w:numPr>
        <w:rPr>
          <w:color w:val="auto"/>
        </w:rPr>
      </w:pPr>
    </w:p>
    <w:p w14:paraId="3367989B">
      <w:pPr>
        <w:numPr>
          <w:ilvl w:val="0"/>
          <w:numId w:val="0"/>
        </w:numPr>
        <w:rPr>
          <w:color w:val="auto"/>
        </w:rPr>
      </w:pPr>
    </w:p>
    <w:p w14:paraId="12DD8432">
      <w:pPr>
        <w:pStyle w:val="3"/>
        <w:rPr>
          <w:rFonts w:ascii="仿宋" w:hAnsi="仿宋"/>
          <w:color w:val="auto"/>
        </w:rPr>
      </w:pPr>
      <w:bookmarkStart w:id="44" w:name="_Toc62641430"/>
      <w:r>
        <w:rPr>
          <w:rFonts w:hint="eastAsia" w:ascii="仿宋" w:hAnsi="仿宋"/>
          <w:color w:val="auto"/>
        </w:rPr>
        <w:t>投标人须知前附表</w:t>
      </w:r>
      <w:bookmarkEnd w:id="44"/>
    </w:p>
    <w:tbl>
      <w:tblPr>
        <w:tblStyle w:val="27"/>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6"/>
        <w:gridCol w:w="1678"/>
        <w:gridCol w:w="7654"/>
      </w:tblGrid>
      <w:tr w14:paraId="044C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16" w:type="dxa"/>
            <w:gridSpan w:val="2"/>
            <w:vAlign w:val="center"/>
          </w:tcPr>
          <w:p w14:paraId="7396A519">
            <w:pPr>
              <w:spacing w:line="276"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678" w:type="dxa"/>
            <w:vAlign w:val="center"/>
          </w:tcPr>
          <w:p w14:paraId="20A68F77">
            <w:pPr>
              <w:spacing w:line="276"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内容</w:t>
            </w:r>
          </w:p>
        </w:tc>
        <w:tc>
          <w:tcPr>
            <w:tcW w:w="7654" w:type="dxa"/>
            <w:vAlign w:val="center"/>
          </w:tcPr>
          <w:p w14:paraId="6EB54A4E">
            <w:pPr>
              <w:spacing w:line="276"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w:t>
            </w:r>
          </w:p>
        </w:tc>
      </w:tr>
      <w:tr w14:paraId="3554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restart"/>
            <w:vAlign w:val="center"/>
          </w:tcPr>
          <w:p w14:paraId="511820AB">
            <w:pPr>
              <w:snapToGrid w:val="0"/>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678" w:type="dxa"/>
            <w:vAlign w:val="center"/>
          </w:tcPr>
          <w:p w14:paraId="5664017B">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654" w:type="dxa"/>
            <w:vAlign w:val="center"/>
          </w:tcPr>
          <w:p w14:paraId="525B2F7F">
            <w:pPr>
              <w:spacing w:line="276"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伊犁公路事业发展中心2025年除雪刀片采购项目</w:t>
            </w:r>
          </w:p>
        </w:tc>
      </w:tr>
      <w:tr w14:paraId="6152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14:paraId="3F79316E">
            <w:pPr>
              <w:spacing w:line="276" w:lineRule="auto"/>
              <w:jc w:val="center"/>
              <w:rPr>
                <w:rFonts w:hint="eastAsia" w:ascii="宋体" w:hAnsi="宋体" w:eastAsia="宋体" w:cs="宋体"/>
                <w:b/>
                <w:bCs/>
                <w:color w:val="auto"/>
                <w:sz w:val="24"/>
                <w:szCs w:val="24"/>
              </w:rPr>
            </w:pPr>
          </w:p>
        </w:tc>
        <w:tc>
          <w:tcPr>
            <w:tcW w:w="1678" w:type="dxa"/>
            <w:vAlign w:val="center"/>
          </w:tcPr>
          <w:p w14:paraId="69D2EC43">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p>
        </w:tc>
        <w:tc>
          <w:tcPr>
            <w:tcW w:w="7654" w:type="dxa"/>
            <w:vAlign w:val="center"/>
          </w:tcPr>
          <w:p w14:paraId="47713432">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伊犁公路事业发展中心</w:t>
            </w:r>
          </w:p>
        </w:tc>
      </w:tr>
      <w:tr w14:paraId="1EF8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14:paraId="34C6B1E9">
            <w:pPr>
              <w:snapToGrid w:val="0"/>
              <w:spacing w:line="276" w:lineRule="auto"/>
              <w:jc w:val="center"/>
              <w:rPr>
                <w:rFonts w:hint="eastAsia" w:ascii="宋体" w:hAnsi="宋体" w:eastAsia="宋体" w:cs="宋体"/>
                <w:color w:val="auto"/>
                <w:sz w:val="24"/>
                <w:szCs w:val="24"/>
              </w:rPr>
            </w:pPr>
          </w:p>
        </w:tc>
        <w:tc>
          <w:tcPr>
            <w:tcW w:w="1678" w:type="dxa"/>
            <w:vAlign w:val="center"/>
          </w:tcPr>
          <w:p w14:paraId="43CD4220">
            <w:pPr>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w:t>
            </w:r>
            <w:r>
              <w:rPr>
                <w:rFonts w:hint="eastAsia" w:ascii="宋体" w:hAnsi="宋体" w:eastAsia="宋体" w:cs="宋体"/>
                <w:color w:val="auto"/>
                <w:sz w:val="24"/>
                <w:szCs w:val="24"/>
                <w:lang w:eastAsia="zh-CN"/>
              </w:rPr>
              <w:t>机构</w:t>
            </w:r>
          </w:p>
        </w:tc>
        <w:tc>
          <w:tcPr>
            <w:tcW w:w="7654" w:type="dxa"/>
            <w:vAlign w:val="center"/>
          </w:tcPr>
          <w:p w14:paraId="4F0B6A36">
            <w:pPr>
              <w:spacing w:line="276"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新疆惠合正德工程管理有限公司</w:t>
            </w:r>
          </w:p>
        </w:tc>
      </w:tr>
      <w:tr w14:paraId="1FED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14:paraId="6FBEAF45">
            <w:pPr>
              <w:snapToGrid w:val="0"/>
              <w:spacing w:line="276" w:lineRule="auto"/>
              <w:jc w:val="center"/>
              <w:rPr>
                <w:rFonts w:hint="eastAsia" w:ascii="宋体" w:hAnsi="宋体" w:eastAsia="宋体" w:cs="宋体"/>
                <w:color w:val="auto"/>
                <w:sz w:val="24"/>
                <w:szCs w:val="24"/>
              </w:rPr>
            </w:pPr>
          </w:p>
        </w:tc>
        <w:tc>
          <w:tcPr>
            <w:tcW w:w="1678" w:type="dxa"/>
            <w:vAlign w:val="center"/>
          </w:tcPr>
          <w:p w14:paraId="47EBFC09">
            <w:pPr>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采购需求</w:t>
            </w:r>
          </w:p>
        </w:tc>
        <w:tc>
          <w:tcPr>
            <w:tcW w:w="7654" w:type="dxa"/>
            <w:vAlign w:val="center"/>
          </w:tcPr>
          <w:p w14:paraId="132915E8">
            <w:pPr>
              <w:adjustRightInd w:val="0"/>
              <w:snapToGrid w:val="0"/>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计划采购除雪刀片261副。具体技术参数详见谈判文件。</w:t>
            </w:r>
          </w:p>
        </w:tc>
      </w:tr>
      <w:tr w14:paraId="0CDE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14:paraId="674602AD">
            <w:pPr>
              <w:snapToGrid w:val="0"/>
              <w:spacing w:line="276" w:lineRule="auto"/>
              <w:jc w:val="center"/>
              <w:rPr>
                <w:rFonts w:hint="eastAsia" w:ascii="宋体" w:hAnsi="宋体" w:eastAsia="宋体" w:cs="宋体"/>
                <w:color w:val="auto"/>
                <w:sz w:val="24"/>
                <w:szCs w:val="24"/>
              </w:rPr>
            </w:pPr>
          </w:p>
        </w:tc>
        <w:tc>
          <w:tcPr>
            <w:tcW w:w="1678" w:type="dxa"/>
            <w:vAlign w:val="center"/>
          </w:tcPr>
          <w:p w14:paraId="6857B2C1">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7654" w:type="dxa"/>
            <w:vAlign w:val="center"/>
          </w:tcPr>
          <w:p w14:paraId="7CA73F49">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YLCXDP2025-0</w:t>
            </w:r>
            <w:r>
              <w:rPr>
                <w:rFonts w:hint="eastAsia" w:ascii="宋体" w:hAnsi="宋体" w:eastAsia="宋体" w:cs="宋体"/>
                <w:color w:val="auto"/>
                <w:sz w:val="24"/>
                <w:szCs w:val="24"/>
                <w:lang w:val="en-US" w:eastAsia="zh-CN"/>
              </w:rPr>
              <w:t>2</w:t>
            </w:r>
            <w:bookmarkStart w:id="56" w:name="_GoBack"/>
            <w:bookmarkEnd w:id="56"/>
            <w:r>
              <w:rPr>
                <w:rFonts w:hint="eastAsia" w:ascii="宋体" w:hAnsi="宋体" w:eastAsia="宋体" w:cs="宋体"/>
                <w:color w:val="auto"/>
                <w:sz w:val="24"/>
                <w:szCs w:val="24"/>
                <w:lang w:eastAsia="zh-CN"/>
              </w:rPr>
              <w:t>CG</w:t>
            </w:r>
          </w:p>
        </w:tc>
      </w:tr>
      <w:tr w14:paraId="1A44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6" w:type="dxa"/>
            <w:gridSpan w:val="2"/>
            <w:vMerge w:val="continue"/>
            <w:vAlign w:val="center"/>
          </w:tcPr>
          <w:p w14:paraId="765BB1BC">
            <w:pPr>
              <w:snapToGrid w:val="0"/>
              <w:spacing w:line="276" w:lineRule="auto"/>
              <w:jc w:val="center"/>
              <w:rPr>
                <w:rFonts w:hint="eastAsia" w:ascii="宋体" w:hAnsi="宋体" w:eastAsia="宋体" w:cs="宋体"/>
                <w:color w:val="auto"/>
                <w:sz w:val="24"/>
                <w:szCs w:val="24"/>
              </w:rPr>
            </w:pPr>
          </w:p>
        </w:tc>
        <w:tc>
          <w:tcPr>
            <w:tcW w:w="1678" w:type="dxa"/>
            <w:vAlign w:val="center"/>
          </w:tcPr>
          <w:p w14:paraId="04FBB2EA">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7654" w:type="dxa"/>
            <w:vAlign w:val="center"/>
          </w:tcPr>
          <w:p w14:paraId="0884F744">
            <w:pPr>
              <w:spacing w:line="276"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在公路日常养护费中列支</w:t>
            </w:r>
          </w:p>
        </w:tc>
      </w:tr>
      <w:tr w14:paraId="711A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14:paraId="4EA88F42">
            <w:pPr>
              <w:snapToGrid w:val="0"/>
              <w:spacing w:line="276" w:lineRule="auto"/>
              <w:jc w:val="center"/>
              <w:rPr>
                <w:rFonts w:hint="eastAsia" w:ascii="宋体" w:hAnsi="宋体" w:eastAsia="宋体" w:cs="宋体"/>
                <w:color w:val="auto"/>
                <w:sz w:val="24"/>
                <w:szCs w:val="24"/>
              </w:rPr>
            </w:pPr>
          </w:p>
        </w:tc>
        <w:tc>
          <w:tcPr>
            <w:tcW w:w="1678" w:type="dxa"/>
            <w:vAlign w:val="center"/>
          </w:tcPr>
          <w:p w14:paraId="13DE7890">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资金落实情况</w:t>
            </w:r>
          </w:p>
        </w:tc>
        <w:tc>
          <w:tcPr>
            <w:tcW w:w="7654" w:type="dxa"/>
            <w:vAlign w:val="center"/>
          </w:tcPr>
          <w:p w14:paraId="1F2B3F7F">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已落实</w:t>
            </w:r>
          </w:p>
        </w:tc>
      </w:tr>
      <w:tr w14:paraId="238E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016" w:type="dxa"/>
            <w:gridSpan w:val="2"/>
            <w:vAlign w:val="center"/>
          </w:tcPr>
          <w:p w14:paraId="2E8FF84A">
            <w:pPr>
              <w:snapToGrid w:val="0"/>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678" w:type="dxa"/>
            <w:vAlign w:val="center"/>
          </w:tcPr>
          <w:p w14:paraId="64F213A7">
            <w:pPr>
              <w:snapToGrid w:val="0"/>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资格要求</w:t>
            </w:r>
          </w:p>
        </w:tc>
        <w:tc>
          <w:tcPr>
            <w:tcW w:w="7654" w:type="dxa"/>
            <w:vAlign w:val="center"/>
          </w:tcPr>
          <w:p w14:paraId="338DFDA4">
            <w:pPr>
              <w:adjustRightInd w:val="0"/>
              <w:snapToGrid w:val="0"/>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1.满足《中华人民共和国政府采购法》第二十二条规定；</w:t>
            </w:r>
          </w:p>
          <w:p w14:paraId="11ECE5CF">
            <w:pPr>
              <w:adjustRightInd w:val="0"/>
              <w:snapToGrid w:val="0"/>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2.落实政府采购政策需满足的资格要求：</w:t>
            </w:r>
          </w:p>
          <w:p w14:paraId="549B3441">
            <w:pPr>
              <w:adjustRightInd w:val="0"/>
              <w:snapToGrid w:val="0"/>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（1）提供有效的企业法人三证合一证营业执照；</w:t>
            </w:r>
          </w:p>
          <w:p w14:paraId="713F7C4F">
            <w:pPr>
              <w:adjustRightInd w:val="0"/>
              <w:snapToGrid w:val="0"/>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（2）有效的法定代表人身份证明（法人）</w:t>
            </w:r>
            <w:r>
              <w:rPr>
                <w:rFonts w:hint="eastAsia" w:ascii="宋体" w:hAnsi="宋体" w:eastAsia="宋体" w:cs="宋体"/>
                <w:bCs/>
                <w:color w:val="auto"/>
                <w:sz w:val="24"/>
                <w:szCs w:val="24"/>
                <w:lang w:eastAsia="zh-CN"/>
              </w:rPr>
              <w:t>和</w:t>
            </w:r>
            <w:r>
              <w:rPr>
                <w:rFonts w:hint="eastAsia" w:ascii="宋体" w:hAnsi="宋体" w:eastAsia="宋体" w:cs="宋体"/>
                <w:bCs/>
                <w:color w:val="auto"/>
                <w:sz w:val="24"/>
                <w:szCs w:val="24"/>
              </w:rPr>
              <w:t>身份证或具有法定效力的法人授权委托书</w:t>
            </w:r>
            <w:r>
              <w:rPr>
                <w:rFonts w:hint="eastAsia" w:ascii="宋体" w:hAnsi="宋体" w:eastAsia="宋体" w:cs="宋体"/>
                <w:bCs/>
                <w:color w:val="auto"/>
                <w:sz w:val="24"/>
                <w:szCs w:val="24"/>
                <w:lang w:eastAsia="zh-CN"/>
              </w:rPr>
              <w:t>及</w:t>
            </w:r>
            <w:r>
              <w:rPr>
                <w:rFonts w:hint="eastAsia" w:ascii="宋体" w:hAnsi="宋体" w:eastAsia="宋体" w:cs="宋体"/>
                <w:bCs/>
                <w:color w:val="auto"/>
                <w:sz w:val="24"/>
                <w:szCs w:val="24"/>
              </w:rPr>
              <w:t>被委托人身份证；</w:t>
            </w:r>
          </w:p>
          <w:p w14:paraId="3C0F8D8C">
            <w:pPr>
              <w:adjustRightInd w:val="0"/>
              <w:snapToGrid w:val="0"/>
              <w:spacing w:line="27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（3）单位负责人为同一人或者存在直接控股、管理关系的不同投标人，不得参加同一合同项下的政府采购活动；</w:t>
            </w:r>
          </w:p>
          <w:p w14:paraId="7CB20585">
            <w:pPr>
              <w:adjustRightInd w:val="0"/>
              <w:snapToGrid w:val="0"/>
              <w:spacing w:line="276"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（4）被委托人需提供所在公司社保局缴纳社保的证明（最近三个月，新成立时间少于三个月的公司，按实际发生提供）</w:t>
            </w:r>
            <w:r>
              <w:rPr>
                <w:rFonts w:hint="eastAsia" w:ascii="宋体" w:hAnsi="宋体" w:eastAsia="宋体" w:cs="宋体"/>
                <w:bCs/>
                <w:color w:val="auto"/>
                <w:sz w:val="24"/>
                <w:szCs w:val="24"/>
                <w:highlight w:val="none"/>
                <w:lang w:eastAsia="zh-CN"/>
              </w:rPr>
              <w:t>；</w:t>
            </w:r>
          </w:p>
          <w:p w14:paraId="5769A702">
            <w:pPr>
              <w:spacing w:line="276" w:lineRule="auto"/>
              <w:jc w:val="left"/>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val="en-US" w:eastAsia="zh-CN"/>
              </w:rPr>
              <w:t>（5）供应商“信用中国”网站(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)未被列入重大税收违法失信主体、“中国执行信息公开网”（http://zxgk.court.gov.cn/）未被列入失信被执行人、“中国政府采购网”网站（www.ccgp.gov.cn）未被列入政府采购严重违法失信行为记录名单。</w:t>
            </w:r>
          </w:p>
        </w:tc>
      </w:tr>
      <w:tr w14:paraId="02F8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Align w:val="center"/>
          </w:tcPr>
          <w:p w14:paraId="393ABC5C">
            <w:pPr>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678" w:type="dxa"/>
            <w:vAlign w:val="center"/>
          </w:tcPr>
          <w:p w14:paraId="2C167D1F">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7654" w:type="dxa"/>
            <w:vAlign w:val="center"/>
          </w:tcPr>
          <w:p w14:paraId="1F5D68B3">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tc>
      </w:tr>
      <w:tr w14:paraId="554A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10" w:type="dxa"/>
            <w:vAlign w:val="center"/>
          </w:tcPr>
          <w:p w14:paraId="41A5E47D">
            <w:pPr>
              <w:widowControl/>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684" w:type="dxa"/>
            <w:gridSpan w:val="2"/>
            <w:vAlign w:val="center"/>
          </w:tcPr>
          <w:p w14:paraId="659B6141">
            <w:pPr>
              <w:widowControl/>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答疑与澄清</w:t>
            </w:r>
          </w:p>
        </w:tc>
        <w:tc>
          <w:tcPr>
            <w:tcW w:w="7654" w:type="dxa"/>
            <w:vAlign w:val="center"/>
          </w:tcPr>
          <w:p w14:paraId="782400F3">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投标人认为谈判文件使自己的权益受到损害的，应在其获取谈判文件或者谈判公告期限届满之日起7个工作日内对谈判文件的内容一次性提出质疑，超过时间的质疑将不予接受。</w:t>
            </w:r>
          </w:p>
          <w:p w14:paraId="7683520F">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联系人：张艳</w:t>
            </w:r>
          </w:p>
          <w:p w14:paraId="0E017551">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联系电话：18099829507</w:t>
            </w:r>
          </w:p>
          <w:p w14:paraId="030979D6">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提交方式：将投标人质疑文件电子版（须为可编辑的WORD文档） </w:t>
            </w:r>
          </w:p>
          <w:p w14:paraId="4DB16A53">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与盖章的纸质版原件扫描件PDF版本发送至65553986@qq.com；如WORD文档内容与盖章的纸质版原件扫描件PDF内容不一致的，以盖章的纸质版原件扫描件PDF内容为准。 </w:t>
            </w:r>
          </w:p>
          <w:p w14:paraId="08167A69">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注：1、质疑函格式须按照《政府采购质疑和投诉办法》中华人民共和国财政部令第94号第十二条投标人提出质疑应当提交质疑函和必要的证明材料。质疑函应当包括下列内容(否则予以退回)：</w:t>
            </w:r>
          </w:p>
          <w:p w14:paraId="488E5185">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（一）投标人的姓名或者名称、地址、邮编、联系人及联系电话； </w:t>
            </w:r>
          </w:p>
          <w:p w14:paraId="6183CB1B">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（二）质疑项目的名称、编号； </w:t>
            </w:r>
          </w:p>
          <w:p w14:paraId="426C3890">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（三）具体、明确的质疑事项和与质疑事项相关的请求； </w:t>
            </w:r>
          </w:p>
          <w:p w14:paraId="080DBC44">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（四）事实依据； </w:t>
            </w:r>
          </w:p>
          <w:p w14:paraId="4409CE38">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（五）必要的法律依据； </w:t>
            </w:r>
          </w:p>
          <w:p w14:paraId="2033523F">
            <w:pPr>
              <w:pStyle w:val="98"/>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（六）提出质疑的日期。</w:t>
            </w:r>
          </w:p>
          <w:p w14:paraId="23DE7BD5">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投标人为自然人的，应当由本人签字；投标人为法人或者其他组织的，应当由法定代表人、主要负责人，或者其授权代表签字或者盖章，并加盖公章。</w:t>
            </w:r>
          </w:p>
        </w:tc>
      </w:tr>
      <w:tr w14:paraId="4883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10" w:type="dxa"/>
            <w:vAlign w:val="center"/>
          </w:tcPr>
          <w:p w14:paraId="267667E9">
            <w:pPr>
              <w:widowControl/>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684" w:type="dxa"/>
            <w:gridSpan w:val="2"/>
            <w:vAlign w:val="center"/>
          </w:tcPr>
          <w:p w14:paraId="3771A10E">
            <w:pPr>
              <w:widowControl/>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响应文件</w:t>
            </w:r>
          </w:p>
        </w:tc>
        <w:tc>
          <w:tcPr>
            <w:tcW w:w="7654" w:type="dxa"/>
            <w:vAlign w:val="center"/>
          </w:tcPr>
          <w:p w14:paraId="3966C754">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响应文件包括:加密版电子文件在“政采云”平台上传。中标单位在领取成交通知书时须递交纸质响应文件四份（正本一份，副本三份）胶装及盖章、电子版响应文件1份（签章的正本响应文件彩色扫描件，PDF格式存储，U盘形式密封后递交。）（U盘存储），递交的纸质响应文件和电子响应文件的内容必须与“政采云”平台上传的响应文件完全一致。</w:t>
            </w:r>
          </w:p>
        </w:tc>
      </w:tr>
      <w:tr w14:paraId="34F6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0" w:type="dxa"/>
            <w:vAlign w:val="center"/>
          </w:tcPr>
          <w:p w14:paraId="63609879">
            <w:pPr>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684" w:type="dxa"/>
            <w:gridSpan w:val="2"/>
            <w:vAlign w:val="center"/>
          </w:tcPr>
          <w:p w14:paraId="4A2A15CD">
            <w:pPr>
              <w:snapToGrid w:val="0"/>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最高投标限价</w:t>
            </w:r>
          </w:p>
        </w:tc>
        <w:tc>
          <w:tcPr>
            <w:tcW w:w="7654" w:type="dxa"/>
            <w:vAlign w:val="center"/>
          </w:tcPr>
          <w:p w14:paraId="3BB59224">
            <w:pPr>
              <w:spacing w:line="276"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预算价：</w:t>
            </w:r>
            <w:r>
              <w:rPr>
                <w:rFonts w:hint="eastAsia" w:ascii="宋体" w:hAnsi="宋体" w:eastAsia="宋体" w:cs="宋体"/>
                <w:b/>
                <w:bCs/>
                <w:color w:val="auto"/>
                <w:sz w:val="24"/>
                <w:szCs w:val="24"/>
                <w:highlight w:val="none"/>
                <w:lang w:val="en-US" w:eastAsia="zh-CN"/>
              </w:rPr>
              <w:t>442400.00</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eastAsia="zh-CN"/>
              </w:rPr>
              <w:t>；</w:t>
            </w:r>
          </w:p>
          <w:p w14:paraId="68491873">
            <w:pPr>
              <w:spacing w:line="276"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报价超过上限价（预算价）的其投标无效</w:t>
            </w:r>
            <w:r>
              <w:rPr>
                <w:rFonts w:hint="eastAsia" w:ascii="宋体" w:hAnsi="宋体" w:eastAsia="宋体" w:cs="宋体"/>
                <w:b/>
                <w:bCs/>
                <w:color w:val="auto"/>
                <w:sz w:val="24"/>
                <w:szCs w:val="24"/>
                <w:highlight w:val="none"/>
                <w:lang w:eastAsia="zh-CN"/>
              </w:rPr>
              <w:t>。</w:t>
            </w:r>
          </w:p>
        </w:tc>
      </w:tr>
      <w:tr w14:paraId="4112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0" w:type="dxa"/>
            <w:vAlign w:val="center"/>
          </w:tcPr>
          <w:p w14:paraId="37F6727C">
            <w:pPr>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684" w:type="dxa"/>
            <w:gridSpan w:val="2"/>
            <w:vAlign w:val="center"/>
          </w:tcPr>
          <w:p w14:paraId="61014480">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654" w:type="dxa"/>
            <w:vAlign w:val="center"/>
          </w:tcPr>
          <w:p w14:paraId="771A07D7">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投标截止期结束后90日历日，有效期不足将导致其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被拒绝。</w:t>
            </w:r>
          </w:p>
        </w:tc>
      </w:tr>
      <w:tr w14:paraId="1865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010" w:type="dxa"/>
            <w:vAlign w:val="center"/>
          </w:tcPr>
          <w:p w14:paraId="37C72D3B">
            <w:pPr>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684" w:type="dxa"/>
            <w:gridSpan w:val="2"/>
            <w:vAlign w:val="center"/>
          </w:tcPr>
          <w:p w14:paraId="1C725494">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7654" w:type="dxa"/>
            <w:vAlign w:val="center"/>
          </w:tcPr>
          <w:p w14:paraId="3B2F1E8B">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p w14:paraId="35AD0CAA">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投标保证金为：</w:t>
            </w:r>
            <w:r>
              <w:rPr>
                <w:rFonts w:hint="eastAsia" w:ascii="宋体" w:hAnsi="宋体" w:eastAsia="宋体" w:cs="宋体"/>
                <w:b/>
                <w:bCs/>
                <w:color w:val="auto"/>
                <w:sz w:val="24"/>
                <w:szCs w:val="24"/>
                <w:highlight w:val="none"/>
                <w:lang w:val="en-US" w:eastAsia="zh-CN"/>
              </w:rPr>
              <w:t>肆仟元整</w:t>
            </w:r>
            <w:r>
              <w:rPr>
                <w:rFonts w:hint="eastAsia" w:ascii="宋体" w:hAnsi="宋体" w:eastAsia="宋体" w:cs="宋体"/>
                <w:b/>
                <w:bCs/>
                <w:color w:val="auto"/>
                <w:sz w:val="24"/>
                <w:szCs w:val="24"/>
                <w:highlight w:val="none"/>
              </w:rPr>
              <w:t>（人民币</w:t>
            </w:r>
            <w:r>
              <w:rPr>
                <w:rFonts w:hint="eastAsia" w:ascii="宋体" w:hAnsi="宋体" w:eastAsia="宋体" w:cs="宋体"/>
                <w:b/>
                <w:bCs/>
                <w:color w:val="auto"/>
                <w:sz w:val="24"/>
                <w:szCs w:val="24"/>
                <w:highlight w:val="none"/>
                <w:lang w:val="en-US" w:eastAsia="zh-CN"/>
              </w:rPr>
              <w:t>4000</w:t>
            </w:r>
            <w:r>
              <w:rPr>
                <w:rFonts w:hint="eastAsia" w:ascii="宋体" w:hAnsi="宋体" w:eastAsia="宋体" w:cs="宋体"/>
                <w:b/>
                <w:bCs/>
                <w:color w:val="auto"/>
                <w:sz w:val="24"/>
                <w:szCs w:val="24"/>
                <w:highlight w:val="none"/>
              </w:rPr>
              <w:t>.00元）</w:t>
            </w:r>
            <w:r>
              <w:rPr>
                <w:rFonts w:hint="eastAsia" w:ascii="宋体" w:hAnsi="宋体" w:eastAsia="宋体" w:cs="宋体"/>
                <w:color w:val="auto"/>
                <w:sz w:val="24"/>
                <w:szCs w:val="24"/>
                <w:highlight w:val="none"/>
              </w:rPr>
              <w:t>；</w:t>
            </w:r>
          </w:p>
          <w:p w14:paraId="0FFCD4B5">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投标保证金的形式：电汇或转账</w:t>
            </w:r>
            <w:r>
              <w:rPr>
                <w:rFonts w:hint="eastAsia" w:ascii="宋体" w:hAnsi="宋体" w:eastAsia="宋体" w:cs="宋体"/>
                <w:color w:val="auto"/>
                <w:sz w:val="24"/>
                <w:szCs w:val="24"/>
                <w:highlight w:val="none"/>
                <w:lang w:val="en-US" w:eastAsia="zh-CN"/>
              </w:rPr>
              <w:t>或保函</w:t>
            </w:r>
            <w:r>
              <w:rPr>
                <w:rFonts w:hint="eastAsia" w:ascii="宋体" w:hAnsi="宋体" w:eastAsia="宋体" w:cs="宋体"/>
                <w:color w:val="auto"/>
                <w:sz w:val="24"/>
                <w:szCs w:val="24"/>
                <w:highlight w:val="none"/>
              </w:rPr>
              <w:t>（由投标人基本账户汇出，否则无效）</w:t>
            </w:r>
          </w:p>
          <w:p w14:paraId="2C3884C3">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投标保证金缴纳的开户银行及账号如下：</w:t>
            </w:r>
          </w:p>
          <w:p w14:paraId="4F6806BD">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新疆惠合正德工程管理有限公司伊犁</w:t>
            </w:r>
            <w:r>
              <w:rPr>
                <w:rFonts w:hint="eastAsia" w:ascii="宋体" w:hAnsi="宋体" w:eastAsia="宋体" w:cs="宋体"/>
                <w:color w:val="auto"/>
                <w:sz w:val="24"/>
                <w:szCs w:val="24"/>
                <w:highlight w:val="none"/>
              </w:rPr>
              <w:t>分公司</w:t>
            </w:r>
          </w:p>
          <w:p w14:paraId="21A48D0D">
            <w:pPr>
              <w:widowControl/>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账    </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30735701040002490</w:t>
            </w:r>
          </w:p>
          <w:p w14:paraId="20BEF29B">
            <w:pPr>
              <w:widowControl/>
              <w:spacing w:line="276"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中国农业银行股份有限公司伊犁振</w:t>
            </w:r>
            <w:r>
              <w:rPr>
                <w:rFonts w:hint="eastAsia" w:ascii="宋体" w:hAnsi="宋体" w:eastAsia="宋体" w:cs="宋体"/>
                <w:color w:val="auto"/>
                <w:sz w:val="24"/>
                <w:szCs w:val="24"/>
                <w:highlight w:val="none"/>
                <w:lang w:val="en-US" w:eastAsia="zh-CN"/>
              </w:rPr>
              <w:t>兴</w:t>
            </w:r>
            <w:r>
              <w:rPr>
                <w:rFonts w:hint="eastAsia" w:ascii="宋体" w:hAnsi="宋体" w:eastAsia="宋体" w:cs="宋体"/>
                <w:color w:val="auto"/>
                <w:sz w:val="24"/>
                <w:szCs w:val="24"/>
                <w:highlight w:val="none"/>
                <w:lang w:eastAsia="zh-CN"/>
              </w:rPr>
              <w:t>（兵团）支行</w:t>
            </w:r>
          </w:p>
          <w:p w14:paraId="6FC64908">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一、保证金缴纳：</w:t>
            </w:r>
          </w:p>
          <w:p w14:paraId="45F84BF3">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1.投标保证金应当以电汇、网银、保函等非现金形式提交；</w:t>
            </w:r>
          </w:p>
          <w:p w14:paraId="33F79E2C">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2.缴纳投标保证金时需备注项目名称、项目编号；</w:t>
            </w:r>
          </w:p>
          <w:p w14:paraId="65800D2A">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3.投标保证金递交截止时间：同响应文件递交截止时间；</w:t>
            </w:r>
          </w:p>
          <w:p w14:paraId="1CE7DFFF">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投标保证金缴纳账户。</w:t>
            </w:r>
          </w:p>
          <w:p w14:paraId="65E739E1">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二、投标保证金退还：</w:t>
            </w:r>
          </w:p>
          <w:p w14:paraId="3E9B1602">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 xml:space="preserve"> 1.未成交投标人的投标保证金将在成交通知书发出后5个工作日内退还。</w:t>
            </w:r>
          </w:p>
          <w:p w14:paraId="7D20FA75">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 xml:space="preserve"> 2.成交投标人的投标保证金将在成交投标人与采购人签订合同，并将合同递交至采购代理后5个工作日内，无息退还。</w:t>
            </w:r>
          </w:p>
          <w:p w14:paraId="16909841">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 xml:space="preserve"> 3.有下列情形之一的，投标保证金不予退还：详见总则。 </w:t>
            </w:r>
          </w:p>
          <w:p w14:paraId="1D5900D4">
            <w:pPr>
              <w:keepLines w:val="0"/>
              <w:pageBreakBefore w:val="0"/>
              <w:kinsoku/>
              <w:wordWrap/>
              <w:overflowPunct/>
              <w:topLinePunct w:val="0"/>
              <w:bidi w:val="0"/>
              <w:snapToGrid/>
              <w:spacing w:line="360" w:lineRule="atLeast"/>
              <w:rPr>
                <w:rFonts w:hint="eastAsia" w:ascii="宋体" w:hAnsi="宋体" w:eastAsia="宋体" w:cs="宋体"/>
                <w:color w:val="auto"/>
                <w:kern w:val="0"/>
                <w:sz w:val="24"/>
                <w:szCs w:val="24"/>
                <w:highlight w:val="none"/>
                <w:lang w:val="en-US" w:eastAsia="zh-CN" w:bidi="ug-CN"/>
              </w:rPr>
            </w:pPr>
            <w:r>
              <w:rPr>
                <w:rFonts w:hint="eastAsia" w:ascii="宋体" w:hAnsi="宋体" w:eastAsia="宋体" w:cs="宋体"/>
                <w:color w:val="auto"/>
                <w:kern w:val="0"/>
                <w:sz w:val="24"/>
                <w:szCs w:val="24"/>
                <w:highlight w:val="none"/>
                <w:lang w:val="en-US" w:eastAsia="zh-CN" w:bidi="ug-CN"/>
              </w:rPr>
              <w:t>三、加盖公章的投标保证金缴纳凭证彩色扫描件需装订在响应文件中相应位置。</w:t>
            </w:r>
          </w:p>
          <w:p w14:paraId="24E053A7">
            <w:pPr>
              <w:widowControl/>
              <w:spacing w:line="276"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ug-CN"/>
              </w:rPr>
              <w:t>注：投标人未按照响应文件要求缴纳投标保证金的，其响应文件响应无效。</w:t>
            </w:r>
          </w:p>
        </w:tc>
      </w:tr>
      <w:tr w14:paraId="1328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010" w:type="dxa"/>
            <w:vAlign w:val="center"/>
          </w:tcPr>
          <w:p w14:paraId="0492831C">
            <w:pPr>
              <w:widowControl/>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9</w:t>
            </w:r>
          </w:p>
        </w:tc>
        <w:tc>
          <w:tcPr>
            <w:tcW w:w="1684" w:type="dxa"/>
            <w:gridSpan w:val="2"/>
            <w:vAlign w:val="center"/>
          </w:tcPr>
          <w:p w14:paraId="4ABD157B">
            <w:pPr>
              <w:widowControl/>
              <w:spacing w:line="276"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开标时间和地点</w:t>
            </w:r>
          </w:p>
        </w:tc>
        <w:tc>
          <w:tcPr>
            <w:tcW w:w="7654" w:type="dxa"/>
            <w:vAlign w:val="center"/>
          </w:tcPr>
          <w:p w14:paraId="736CAC36">
            <w:pPr>
              <w:pStyle w:val="96"/>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本次采购项目采用不见面开标：</w:t>
            </w:r>
          </w:p>
          <w:p w14:paraId="1F85E3E6">
            <w:pPr>
              <w:pStyle w:val="96"/>
              <w:keepLines w:val="0"/>
              <w:pageBreakBefore w:val="0"/>
              <w:kinsoku/>
              <w:wordWrap/>
              <w:overflowPunct/>
              <w:topLinePunct w:val="0"/>
              <w:bidi w:val="0"/>
              <w:snapToGrid/>
              <w:spacing w:line="36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开标时间：2025年4月</w:t>
            </w:r>
            <w:r>
              <w:rPr>
                <w:rFonts w:hint="eastAsia" w:ascii="宋体" w:hAnsi="宋体" w:cs="宋体"/>
                <w:color w:val="auto"/>
                <w:kern w:val="2"/>
                <w:sz w:val="24"/>
                <w:szCs w:val="24"/>
                <w:lang w:val="en-US" w:eastAsia="zh-CN" w:bidi="ar-SA"/>
              </w:rPr>
              <w:t>22</w:t>
            </w:r>
            <w:r>
              <w:rPr>
                <w:rFonts w:hint="eastAsia" w:ascii="宋体" w:hAnsi="宋体" w:eastAsia="宋体" w:cs="宋体"/>
                <w:color w:val="auto"/>
                <w:kern w:val="2"/>
                <w:sz w:val="24"/>
                <w:szCs w:val="24"/>
                <w:lang w:val="en-US" w:eastAsia="zh-CN" w:bidi="ar-SA"/>
              </w:rPr>
              <w:t>日11:00（北京时间）</w:t>
            </w:r>
          </w:p>
          <w:p w14:paraId="7356488C">
            <w:pPr>
              <w:pStyle w:val="96"/>
              <w:keepLines w:val="0"/>
              <w:pageBreakBefore w:val="0"/>
              <w:kinsoku/>
              <w:wordWrap/>
              <w:overflowPunct/>
              <w:topLinePunct w:val="0"/>
              <w:bidi w:val="0"/>
              <w:snapToGrid/>
              <w:spacing w:line="360" w:lineRule="atLeas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开标地点：政采云https://www.zcygov.cn/</w:t>
            </w:r>
          </w:p>
          <w:p w14:paraId="38F60656">
            <w:pPr>
              <w:snapToGrid w:val="0"/>
              <w:spacing w:line="276" w:lineRule="auto"/>
              <w:jc w:val="left"/>
              <w:rPr>
                <w:rFonts w:hint="eastAsia" w:ascii="宋体" w:hAnsi="宋体" w:eastAsia="宋体" w:cs="宋体"/>
                <w:b/>
                <w:color w:val="auto"/>
                <w:sz w:val="24"/>
                <w:szCs w:val="24"/>
              </w:rPr>
            </w:pPr>
            <w:r>
              <w:rPr>
                <w:rFonts w:hint="eastAsia" w:ascii="宋体" w:hAnsi="宋体" w:eastAsia="宋体" w:cs="宋体"/>
                <w:color w:val="auto"/>
                <w:kern w:val="2"/>
                <w:sz w:val="24"/>
                <w:szCs w:val="24"/>
                <w:lang w:val="en-US" w:eastAsia="zh-CN" w:bidi="ar-SA"/>
              </w:rPr>
              <w:t xml:space="preserve">不见面开标默认解密时长：30分钟 </w:t>
            </w:r>
          </w:p>
        </w:tc>
      </w:tr>
      <w:tr w14:paraId="5B20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0" w:type="dxa"/>
            <w:vAlign w:val="center"/>
          </w:tcPr>
          <w:p w14:paraId="50D49B8F">
            <w:pPr>
              <w:widowControl/>
              <w:spacing w:line="276"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1684" w:type="dxa"/>
            <w:gridSpan w:val="2"/>
            <w:vAlign w:val="center"/>
          </w:tcPr>
          <w:p w14:paraId="6BE9CE3C">
            <w:pPr>
              <w:snapToGrid w:val="0"/>
              <w:spacing w:line="276"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评标委员会</w:t>
            </w:r>
          </w:p>
        </w:tc>
        <w:tc>
          <w:tcPr>
            <w:tcW w:w="7654" w:type="dxa"/>
            <w:vAlign w:val="center"/>
          </w:tcPr>
          <w:p w14:paraId="606AE2D2">
            <w:pPr>
              <w:numPr>
                <w:ilvl w:val="0"/>
                <w:numId w:val="5"/>
              </w:numPr>
              <w:adjustRightInd w:val="0"/>
              <w:snapToGrid w:val="0"/>
              <w:spacing w:line="276" w:lineRule="auto"/>
              <w:jc w:val="left"/>
              <w:textAlignment w:val="baseline"/>
              <w:rPr>
                <w:rFonts w:hint="eastAsia" w:ascii="宋体" w:hAnsi="宋体" w:eastAsia="宋体" w:cs="宋体"/>
                <w:color w:val="0000FF"/>
                <w:sz w:val="24"/>
                <w:szCs w:val="24"/>
              </w:rPr>
            </w:pP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rPr>
              <w:t>人</w:t>
            </w:r>
            <w:r>
              <w:rPr>
                <w:rFonts w:hint="eastAsia" w:ascii="宋体" w:hAnsi="宋体" w:eastAsia="宋体" w:cs="宋体"/>
                <w:color w:val="0000FF"/>
                <w:sz w:val="24"/>
                <w:szCs w:val="24"/>
                <w:lang w:val="en-US" w:eastAsia="zh-CN"/>
              </w:rPr>
              <w:t>以上单数组成</w:t>
            </w:r>
            <w:r>
              <w:rPr>
                <w:rFonts w:hint="eastAsia" w:ascii="宋体" w:hAnsi="宋体" w:eastAsia="宋体" w:cs="宋体"/>
                <w:color w:val="0000FF"/>
                <w:sz w:val="24"/>
                <w:szCs w:val="24"/>
              </w:rPr>
              <w:t>；</w:t>
            </w:r>
          </w:p>
          <w:p w14:paraId="21441237">
            <w:pPr>
              <w:snapToGrid w:val="0"/>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（2）方式：</w:t>
            </w:r>
            <w:r>
              <w:rPr>
                <w:rFonts w:hint="eastAsia" w:ascii="宋体" w:hAnsi="宋体" w:eastAsia="宋体" w:cs="宋体"/>
                <w:color w:val="auto"/>
                <w:sz w:val="24"/>
                <w:szCs w:val="24"/>
                <w:lang w:val="en-US" w:eastAsia="zh-CN"/>
              </w:rPr>
              <w:t>从新疆政府采购网</w:t>
            </w:r>
            <w:r>
              <w:rPr>
                <w:rFonts w:hint="eastAsia" w:ascii="宋体" w:hAnsi="宋体" w:eastAsia="宋体" w:cs="宋体"/>
                <w:color w:val="auto"/>
                <w:sz w:val="24"/>
                <w:szCs w:val="24"/>
              </w:rPr>
              <w:t>评标专家中抽取</w:t>
            </w:r>
          </w:p>
        </w:tc>
      </w:tr>
      <w:tr w14:paraId="6087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0" w:type="dxa"/>
            <w:vAlign w:val="center"/>
          </w:tcPr>
          <w:p w14:paraId="10986ADE">
            <w:pPr>
              <w:widowControl/>
              <w:spacing w:line="276"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1684" w:type="dxa"/>
            <w:gridSpan w:val="2"/>
            <w:vAlign w:val="center"/>
          </w:tcPr>
          <w:p w14:paraId="241FDBF9">
            <w:pPr>
              <w:snapToGrid w:val="0"/>
              <w:spacing w:line="276"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评标办法</w:t>
            </w:r>
          </w:p>
        </w:tc>
        <w:tc>
          <w:tcPr>
            <w:tcW w:w="7654" w:type="dxa"/>
            <w:vAlign w:val="center"/>
          </w:tcPr>
          <w:p w14:paraId="397DB076">
            <w:pPr>
              <w:snapToGrid w:val="0"/>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kern w:val="0"/>
                <w:sz w:val="24"/>
                <w:szCs w:val="24"/>
                <w:highlight w:val="none"/>
              </w:rPr>
              <w:t>《政府采购货物和服务招标投标管理办法》、（中华人民共和国财政部令第87号）</w:t>
            </w:r>
            <w:r>
              <w:rPr>
                <w:rFonts w:hint="eastAsia" w:ascii="宋体" w:hAnsi="宋体" w:eastAsia="宋体" w:cs="宋体"/>
                <w:color w:val="auto"/>
                <w:sz w:val="24"/>
                <w:szCs w:val="24"/>
                <w:highlight w:val="none"/>
              </w:rPr>
              <w:t>规定的评审标准，</w:t>
            </w:r>
            <w:r>
              <w:rPr>
                <w:rFonts w:hint="eastAsia" w:ascii="宋体" w:hAnsi="宋体" w:eastAsia="宋体" w:cs="宋体"/>
                <w:b/>
                <w:bCs/>
                <w:color w:val="auto"/>
                <w:sz w:val="24"/>
                <w:szCs w:val="24"/>
                <w:highlight w:val="none"/>
              </w:rPr>
              <w:t>采</w:t>
            </w:r>
            <w:r>
              <w:rPr>
                <w:rFonts w:hint="eastAsia" w:ascii="宋体" w:hAnsi="宋体" w:eastAsia="宋体" w:cs="宋体"/>
                <w:b/>
                <w:color w:val="auto"/>
                <w:sz w:val="24"/>
                <w:szCs w:val="24"/>
                <w:highlight w:val="none"/>
              </w:rPr>
              <w:t>用</w:t>
            </w:r>
            <w:r>
              <w:rPr>
                <w:rFonts w:hint="eastAsia" w:ascii="宋体" w:hAnsi="宋体" w:eastAsia="宋体" w:cs="宋体"/>
                <w:b/>
                <w:color w:val="auto"/>
                <w:kern w:val="0"/>
                <w:sz w:val="24"/>
                <w:szCs w:val="24"/>
                <w:highlight w:val="none"/>
                <w:lang w:eastAsia="zh-CN"/>
              </w:rPr>
              <w:t>最低</w:t>
            </w:r>
            <w:r>
              <w:rPr>
                <w:rFonts w:hint="eastAsia" w:ascii="宋体" w:hAnsi="宋体" w:eastAsia="宋体" w:cs="宋体"/>
                <w:b/>
                <w:color w:val="auto"/>
                <w:kern w:val="0"/>
                <w:sz w:val="24"/>
                <w:szCs w:val="24"/>
                <w:highlight w:val="none"/>
                <w:lang w:val="en-US" w:eastAsia="zh-CN"/>
              </w:rPr>
              <w:t>评标价</w:t>
            </w:r>
            <w:r>
              <w:rPr>
                <w:rFonts w:hint="eastAsia" w:ascii="宋体" w:hAnsi="宋体" w:eastAsia="宋体" w:cs="宋体"/>
                <w:b/>
                <w:color w:val="auto"/>
                <w:kern w:val="0"/>
                <w:sz w:val="24"/>
                <w:szCs w:val="24"/>
                <w:highlight w:val="none"/>
                <w:lang w:eastAsia="zh-CN"/>
              </w:rPr>
              <w:t>法</w:t>
            </w:r>
            <w:r>
              <w:rPr>
                <w:rFonts w:hint="eastAsia" w:ascii="宋体" w:hAnsi="宋体" w:eastAsia="宋体" w:cs="宋体"/>
                <w:b/>
                <w:color w:val="auto"/>
                <w:kern w:val="0"/>
                <w:sz w:val="24"/>
                <w:szCs w:val="24"/>
                <w:highlight w:val="none"/>
              </w:rPr>
              <w:t>。</w:t>
            </w:r>
          </w:p>
        </w:tc>
      </w:tr>
      <w:tr w14:paraId="7E64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10" w:type="dxa"/>
            <w:vAlign w:val="center"/>
          </w:tcPr>
          <w:p w14:paraId="5D1ADB82">
            <w:pPr>
              <w:widowControl/>
              <w:spacing w:line="276"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1684" w:type="dxa"/>
            <w:gridSpan w:val="2"/>
            <w:vAlign w:val="center"/>
          </w:tcPr>
          <w:p w14:paraId="3330C60D">
            <w:pPr>
              <w:snapToGrid w:val="0"/>
              <w:spacing w:line="276"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评标</w:t>
            </w:r>
          </w:p>
        </w:tc>
        <w:tc>
          <w:tcPr>
            <w:tcW w:w="7654" w:type="dxa"/>
            <w:vAlign w:val="center"/>
          </w:tcPr>
          <w:p w14:paraId="0F0EE86E">
            <w:pPr>
              <w:snapToGrid w:val="0"/>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各投标人的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将提交评标委员会审核；即使投标人所提交的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通过了审核，在评标过程中乃至确定中标人后，如发现投标人所提供的资格类文件不合法或不真实、或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中存在虚假资料的，招标人仍可废除中标人其中标资格并追究其法律责任。</w:t>
            </w:r>
          </w:p>
        </w:tc>
      </w:tr>
      <w:tr w14:paraId="6AD3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gridSpan w:val="2"/>
            <w:vAlign w:val="center"/>
          </w:tcPr>
          <w:p w14:paraId="1A5B254C">
            <w:pPr>
              <w:snapToGrid w:val="0"/>
              <w:spacing w:line="276"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13</w:t>
            </w:r>
          </w:p>
        </w:tc>
        <w:tc>
          <w:tcPr>
            <w:tcW w:w="1678" w:type="dxa"/>
            <w:vAlign w:val="center"/>
          </w:tcPr>
          <w:p w14:paraId="566EACB7">
            <w:pPr>
              <w:pStyle w:val="99"/>
              <w:keepLines w:val="0"/>
              <w:pageBreakBefore w:val="0"/>
              <w:kinsoku/>
              <w:wordWrap/>
              <w:overflowPunct/>
              <w:topLinePunct w:val="0"/>
              <w:bidi w:val="0"/>
              <w:snapToGrid/>
              <w:spacing w:line="360" w:lineRule="atLeast"/>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highlight w:val="none"/>
                <w:lang w:val="en-US" w:eastAsia="zh-CN"/>
              </w:rPr>
              <w:t>采购项目需要落实的政府采购政策</w:t>
            </w:r>
          </w:p>
        </w:tc>
        <w:tc>
          <w:tcPr>
            <w:tcW w:w="7654" w:type="dxa"/>
            <w:vAlign w:val="center"/>
          </w:tcPr>
          <w:p w14:paraId="79364B6C">
            <w:pPr>
              <w:keepLines w:val="0"/>
              <w:pageBreakBefore w:val="0"/>
              <w:kinsoku/>
              <w:wordWrap/>
              <w:overflowPunct/>
              <w:topLinePunct w:val="0"/>
              <w:bidi w:val="0"/>
              <w:snapToGrid/>
              <w:spacing w:line="360" w:lineRule="atLeast"/>
              <w:rPr>
                <w:rFonts w:hint="eastAsia" w:ascii="宋体" w:hAnsi="宋体" w:eastAsia="宋体" w:cs="宋体"/>
                <w:b/>
                <w:bCs/>
                <w:color w:val="auto"/>
                <w:kern w:val="0"/>
                <w:sz w:val="24"/>
                <w:szCs w:val="24"/>
                <w:highlight w:val="none"/>
                <w:lang w:val="en-US" w:eastAsia="zh-CN" w:bidi="ug-CN"/>
              </w:rPr>
            </w:pPr>
            <w:r>
              <w:rPr>
                <w:rFonts w:hint="eastAsia" w:ascii="宋体" w:hAnsi="宋体" w:eastAsia="宋体" w:cs="宋体"/>
                <w:b/>
                <w:bCs/>
                <w:color w:val="auto"/>
                <w:kern w:val="0"/>
                <w:sz w:val="24"/>
                <w:szCs w:val="24"/>
                <w:highlight w:val="none"/>
                <w:lang w:val="en-US" w:eastAsia="zh-CN" w:bidi="ug-CN"/>
              </w:rPr>
              <w:t xml:space="preserve">本项目专门面向中小企业采购。 </w:t>
            </w:r>
          </w:p>
          <w:p w14:paraId="0CB82661">
            <w:pPr>
              <w:keepLines w:val="0"/>
              <w:pageBreakBefore w:val="0"/>
              <w:kinsoku/>
              <w:wordWrap/>
              <w:overflowPunct/>
              <w:topLinePunct w:val="0"/>
              <w:bidi w:val="0"/>
              <w:snapToGrid/>
              <w:spacing w:line="360" w:lineRule="atLeast"/>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bidi="ug-CN"/>
              </w:rPr>
              <w:t xml:space="preserve">中小企业应当提供《中小企业声明函》。 </w:t>
            </w:r>
          </w:p>
        </w:tc>
      </w:tr>
      <w:tr w14:paraId="0888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Align w:val="center"/>
          </w:tcPr>
          <w:p w14:paraId="4D037F53">
            <w:pPr>
              <w:snapToGrid w:val="0"/>
              <w:spacing w:line="276"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1678" w:type="dxa"/>
            <w:vAlign w:val="center"/>
          </w:tcPr>
          <w:p w14:paraId="1732B35B">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中标结果公告</w:t>
            </w:r>
          </w:p>
        </w:tc>
        <w:tc>
          <w:tcPr>
            <w:tcW w:w="7654" w:type="dxa"/>
            <w:vAlign w:val="center"/>
          </w:tcPr>
          <w:p w14:paraId="745666D8">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对中标结果在规定的媒体上进行公告，</w:t>
            </w:r>
            <w:r>
              <w:rPr>
                <w:rFonts w:hint="eastAsia" w:ascii="宋体" w:hAnsi="宋体" w:eastAsia="宋体" w:cs="宋体"/>
                <w:b/>
                <w:color w:val="auto"/>
                <w:sz w:val="24"/>
                <w:szCs w:val="24"/>
              </w:rPr>
              <w:t>中标公告期限为1个工作日</w:t>
            </w:r>
          </w:p>
        </w:tc>
      </w:tr>
      <w:tr w14:paraId="1525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3947CBE0">
            <w:pPr>
              <w:spacing w:line="276"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1678" w:type="dxa"/>
            <w:vAlign w:val="center"/>
          </w:tcPr>
          <w:p w14:paraId="7503DCB2">
            <w:pPr>
              <w:pStyle w:val="99"/>
              <w:keepLines w:val="0"/>
              <w:pageBreakBefore w:val="0"/>
              <w:kinsoku/>
              <w:wordWrap/>
              <w:overflowPunct/>
              <w:topLinePunct w:val="0"/>
              <w:bidi w:val="0"/>
              <w:snapToGrid/>
              <w:spacing w:line="360" w:lineRule="atLeast"/>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highlight w:val="none"/>
              </w:rPr>
              <w:t>代理服务费</w:t>
            </w:r>
          </w:p>
        </w:tc>
        <w:tc>
          <w:tcPr>
            <w:tcW w:w="7654" w:type="dxa"/>
            <w:vAlign w:val="center"/>
          </w:tcPr>
          <w:p w14:paraId="3AD8867A">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□不交纳。</w:t>
            </w:r>
          </w:p>
          <w:p w14:paraId="422C7989">
            <w:pPr>
              <w:pStyle w:val="99"/>
              <w:keepLines w:val="0"/>
              <w:pageBreakBefore w:val="0"/>
              <w:kinsoku/>
              <w:wordWrap/>
              <w:overflowPunct/>
              <w:topLinePunct w:val="0"/>
              <w:bidi w:val="0"/>
              <w:snapToGrid/>
              <w:spacing w:line="360" w:lineRule="atLeast"/>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eq \o\ac(□,√)</w:instrTex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szCs w:val="24"/>
                <w:highlight w:val="none"/>
              </w:rPr>
              <w:t>交纳。</w:t>
            </w:r>
          </w:p>
          <w:p w14:paraId="5FCDD638">
            <w:pPr>
              <w:pStyle w:val="98"/>
              <w:keepLines w:val="0"/>
              <w:pageBreakBefore w:val="0"/>
              <w:kinsoku/>
              <w:wordWrap/>
              <w:overflowPunct/>
              <w:topLinePunct w:val="0"/>
              <w:bidi w:val="0"/>
              <w:snapToGrid/>
              <w:spacing w:line="360" w:lineRule="atLeas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交纳时间：中标单位在领取中标通知书前，向招标代理机构一次性缴纳招标代理服务费</w:t>
            </w:r>
            <w:r>
              <w:rPr>
                <w:rFonts w:hint="eastAsia" w:ascii="宋体" w:hAnsi="宋体" w:eastAsia="宋体" w:cs="宋体"/>
                <w:color w:val="auto"/>
                <w:sz w:val="24"/>
                <w:szCs w:val="24"/>
                <w:highlight w:val="none"/>
                <w:lang w:eastAsia="zh-CN"/>
              </w:rPr>
              <w:t>。</w:t>
            </w:r>
          </w:p>
        </w:tc>
      </w:tr>
      <w:tr w14:paraId="177E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04711242">
            <w:pPr>
              <w:snapToGrid w:val="0"/>
              <w:spacing w:line="276"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1678" w:type="dxa"/>
            <w:vAlign w:val="center"/>
          </w:tcPr>
          <w:p w14:paraId="1B5EF1DE">
            <w:pPr>
              <w:pStyle w:val="99"/>
              <w:keepLines w:val="0"/>
              <w:pageBreakBefore w:val="0"/>
              <w:kinsoku/>
              <w:wordWrap/>
              <w:overflowPunct/>
              <w:topLinePunct w:val="0"/>
              <w:bidi w:val="0"/>
              <w:snapToGrid/>
              <w:spacing w:line="360" w:lineRule="atLeast"/>
              <w:ind w:left="1592" w:leftChars="0" w:hanging="1592" w:firstLineChars="0"/>
              <w:jc w:val="center"/>
              <w:rPr>
                <w:rFonts w:hint="eastAsia" w:ascii="宋体" w:hAnsi="宋体" w:eastAsia="宋体" w:cs="宋体"/>
                <w:color w:val="0000FF"/>
                <w:sz w:val="24"/>
                <w:szCs w:val="24"/>
              </w:rPr>
            </w:pPr>
            <w:r>
              <w:rPr>
                <w:rFonts w:hint="eastAsia" w:ascii="宋体" w:hAnsi="宋体" w:eastAsia="宋体" w:cs="宋体"/>
                <w:b/>
                <w:bCs/>
                <w:color w:val="0000FF"/>
                <w:kern w:val="0"/>
                <w:sz w:val="24"/>
                <w:szCs w:val="24"/>
                <w:highlight w:val="none"/>
              </w:rPr>
              <w:t>付款方式</w:t>
            </w:r>
          </w:p>
        </w:tc>
        <w:tc>
          <w:tcPr>
            <w:tcW w:w="7654" w:type="dxa"/>
            <w:vAlign w:val="center"/>
          </w:tcPr>
          <w:p w14:paraId="580ACFF9">
            <w:pPr>
              <w:pStyle w:val="100"/>
              <w:keepLines w:val="0"/>
              <w:pageBreakBefore w:val="0"/>
              <w:widowControl/>
              <w:kinsoku/>
              <w:wordWrap/>
              <w:overflowPunct/>
              <w:topLinePunct w:val="0"/>
              <w:autoSpaceDE w:val="0"/>
              <w:autoSpaceDN w:val="0"/>
              <w:bidi w:val="0"/>
              <w:snapToGrid/>
              <w:spacing w:line="360" w:lineRule="atLeast"/>
              <w:rPr>
                <w:rFonts w:hint="eastAsia" w:ascii="宋体" w:hAnsi="宋体" w:eastAsia="宋体" w:cs="宋体"/>
                <w:color w:val="0000FF"/>
                <w:kern w:val="0"/>
                <w:sz w:val="24"/>
                <w:szCs w:val="24"/>
                <w:highlight w:val="none"/>
                <w:lang w:val="en-US" w:eastAsia="zh-CN" w:bidi="ug-CN"/>
              </w:rPr>
            </w:pPr>
            <w:r>
              <w:rPr>
                <w:rFonts w:hint="eastAsia" w:ascii="宋体" w:hAnsi="宋体" w:eastAsia="宋体" w:cs="宋体"/>
                <w:color w:val="0000FF"/>
                <w:kern w:val="0"/>
                <w:sz w:val="24"/>
                <w:szCs w:val="24"/>
                <w:highlight w:val="none"/>
                <w:lang w:val="en-US" w:eastAsia="zh-CN" w:bidi="ug-CN"/>
              </w:rPr>
              <w:t>甲乙双方签订供货合同后，待全部货物到达甲方指定地点安装调试并验收合格后支付合同价款的</w:t>
            </w:r>
            <w:r>
              <w:rPr>
                <w:rFonts w:hint="eastAsia" w:ascii="宋体" w:hAnsi="宋体" w:cs="宋体"/>
                <w:color w:val="0000FF"/>
                <w:kern w:val="0"/>
                <w:sz w:val="24"/>
                <w:szCs w:val="24"/>
                <w:highlight w:val="none"/>
                <w:lang w:val="en-US" w:eastAsia="zh-CN" w:bidi="ug-CN"/>
              </w:rPr>
              <w:t>100%。</w:t>
            </w:r>
          </w:p>
        </w:tc>
      </w:tr>
      <w:tr w14:paraId="57F1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58DB64B5">
            <w:pPr>
              <w:snapToGrid w:val="0"/>
              <w:spacing w:line="276" w:lineRule="auto"/>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17</w:t>
            </w:r>
          </w:p>
        </w:tc>
        <w:tc>
          <w:tcPr>
            <w:tcW w:w="1678" w:type="dxa"/>
            <w:vAlign w:val="center"/>
          </w:tcPr>
          <w:p w14:paraId="1C2F1926">
            <w:pPr>
              <w:pStyle w:val="99"/>
              <w:keepLines w:val="0"/>
              <w:pageBreakBefore w:val="0"/>
              <w:kinsoku/>
              <w:wordWrap/>
              <w:overflowPunct/>
              <w:topLinePunct w:val="0"/>
              <w:bidi w:val="0"/>
              <w:snapToGrid/>
              <w:spacing w:line="360" w:lineRule="atLeast"/>
              <w:ind w:left="1592" w:leftChars="0" w:hanging="1592" w:firstLineChars="0"/>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质保期</w:t>
            </w:r>
          </w:p>
        </w:tc>
        <w:tc>
          <w:tcPr>
            <w:tcW w:w="7654" w:type="dxa"/>
            <w:vAlign w:val="center"/>
          </w:tcPr>
          <w:p w14:paraId="37D54BD4">
            <w:pPr>
              <w:pStyle w:val="100"/>
              <w:keepLines w:val="0"/>
              <w:pageBreakBefore w:val="0"/>
              <w:widowControl/>
              <w:kinsoku/>
              <w:wordWrap/>
              <w:overflowPunct/>
              <w:topLinePunct w:val="0"/>
              <w:autoSpaceDE w:val="0"/>
              <w:autoSpaceDN w:val="0"/>
              <w:bidi w:val="0"/>
              <w:snapToGrid/>
              <w:spacing w:line="360" w:lineRule="atLeast"/>
              <w:rPr>
                <w:rFonts w:hint="default" w:ascii="宋体" w:hAnsi="宋体" w:eastAsia="宋体" w:cs="宋体"/>
                <w:b/>
                <w:bCs/>
                <w:color w:val="auto"/>
                <w:kern w:val="0"/>
                <w:sz w:val="24"/>
                <w:szCs w:val="24"/>
                <w:highlight w:val="none"/>
                <w:lang w:val="en-US" w:eastAsia="zh-CN" w:bidi="ug-CN"/>
              </w:rPr>
            </w:pPr>
            <w:r>
              <w:rPr>
                <w:rFonts w:hint="eastAsia" w:ascii="宋体" w:hAnsi="宋体" w:cs="宋体"/>
                <w:b/>
                <w:bCs/>
                <w:color w:val="auto"/>
                <w:kern w:val="0"/>
                <w:sz w:val="24"/>
                <w:szCs w:val="24"/>
                <w:highlight w:val="none"/>
                <w:lang w:val="en-US" w:eastAsia="zh-CN" w:bidi="ug-CN"/>
              </w:rPr>
              <w:t>1年</w:t>
            </w:r>
          </w:p>
        </w:tc>
      </w:tr>
      <w:tr w14:paraId="3588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3BD0ABAA">
            <w:pPr>
              <w:snapToGrid w:val="0"/>
              <w:spacing w:line="276"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w:t>
            </w:r>
          </w:p>
        </w:tc>
        <w:tc>
          <w:tcPr>
            <w:tcW w:w="1678" w:type="dxa"/>
            <w:vAlign w:val="center"/>
          </w:tcPr>
          <w:p w14:paraId="2BA31244">
            <w:pPr>
              <w:pStyle w:val="99"/>
              <w:keepLines w:val="0"/>
              <w:pageBreakBefore w:val="0"/>
              <w:kinsoku/>
              <w:wordWrap/>
              <w:overflowPunct/>
              <w:topLinePunct w:val="0"/>
              <w:bidi w:val="0"/>
              <w:snapToGrid/>
              <w:spacing w:line="360" w:lineRule="atLeast"/>
              <w:ind w:left="1592" w:leftChars="0" w:hanging="1592"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履约保证金</w:t>
            </w:r>
          </w:p>
        </w:tc>
        <w:tc>
          <w:tcPr>
            <w:tcW w:w="7654" w:type="dxa"/>
            <w:vAlign w:val="center"/>
          </w:tcPr>
          <w:p w14:paraId="3F61333D">
            <w:pPr>
              <w:pStyle w:val="98"/>
              <w:keepLines w:val="0"/>
              <w:pageBreakBefore w:val="0"/>
              <w:kinsoku/>
              <w:wordWrap/>
              <w:overflowPunct/>
              <w:topLinePunct w:val="0"/>
              <w:bidi w:val="0"/>
              <w:snapToGrid/>
              <w:spacing w:line="360" w:lineRule="atLeas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u w:val="single"/>
                <w:lang w:val="en-US" w:eastAsia="zh-CN" w:bidi="ug-CN"/>
              </w:rPr>
              <w:t xml:space="preserve"> 3 </w:t>
            </w:r>
            <w:r>
              <w:rPr>
                <w:rFonts w:hint="eastAsia" w:ascii="宋体" w:hAnsi="宋体" w:eastAsia="宋体" w:cs="宋体"/>
                <w:b/>
                <w:bCs/>
                <w:color w:val="auto"/>
                <w:kern w:val="0"/>
                <w:sz w:val="24"/>
                <w:szCs w:val="24"/>
                <w:highlight w:val="none"/>
                <w:lang w:val="en-US" w:eastAsia="zh-CN" w:bidi="ug-CN"/>
              </w:rPr>
              <w:t>％签约合同价</w:t>
            </w:r>
            <w:r>
              <w:rPr>
                <w:rFonts w:hint="eastAsia" w:cs="宋体"/>
                <w:b/>
                <w:bCs/>
                <w:color w:val="auto"/>
                <w:kern w:val="0"/>
                <w:sz w:val="24"/>
                <w:szCs w:val="24"/>
                <w:highlight w:val="none"/>
                <w:lang w:val="en-US" w:eastAsia="zh-CN" w:bidi="ug-CN"/>
              </w:rPr>
              <w:t>（</w:t>
            </w:r>
            <w:r>
              <w:rPr>
                <w:rFonts w:hint="eastAsia" w:ascii="宋体" w:hAnsi="宋体" w:eastAsia="宋体" w:cs="宋体"/>
                <w:b/>
                <w:bCs/>
                <w:color w:val="auto"/>
                <w:kern w:val="0"/>
                <w:sz w:val="24"/>
                <w:szCs w:val="24"/>
                <w:highlight w:val="none"/>
                <w:lang w:eastAsia="zh-CN"/>
              </w:rPr>
              <w:t>履约保证金</w:t>
            </w:r>
            <w:r>
              <w:rPr>
                <w:rFonts w:hint="eastAsia" w:cs="宋体"/>
                <w:b/>
                <w:bCs/>
                <w:color w:val="auto"/>
                <w:kern w:val="0"/>
                <w:sz w:val="24"/>
                <w:szCs w:val="24"/>
                <w:highlight w:val="none"/>
                <w:lang w:eastAsia="zh-CN"/>
              </w:rPr>
              <w:t>形式：银行保函</w:t>
            </w:r>
            <w:r>
              <w:rPr>
                <w:rFonts w:hint="eastAsia" w:cs="宋体"/>
                <w:b/>
                <w:bCs/>
                <w:color w:val="auto"/>
                <w:kern w:val="0"/>
                <w:sz w:val="24"/>
                <w:szCs w:val="24"/>
                <w:highlight w:val="none"/>
                <w:lang w:val="en-US" w:eastAsia="zh-CN" w:bidi="ug-CN"/>
              </w:rPr>
              <w:t>）</w:t>
            </w:r>
          </w:p>
        </w:tc>
      </w:tr>
      <w:tr w14:paraId="75D8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3DDA042A">
            <w:pPr>
              <w:snapToGrid w:val="0"/>
              <w:spacing w:line="276"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678" w:type="dxa"/>
            <w:vAlign w:val="center"/>
          </w:tcPr>
          <w:p w14:paraId="11B73BE1">
            <w:pPr>
              <w:pStyle w:val="99"/>
              <w:keepLines w:val="0"/>
              <w:pageBreakBefore w:val="0"/>
              <w:kinsoku/>
              <w:wordWrap/>
              <w:overflowPunct/>
              <w:topLinePunct w:val="0"/>
              <w:bidi w:val="0"/>
              <w:snapToGrid/>
              <w:spacing w:line="360" w:lineRule="atLeast"/>
              <w:ind w:left="1592" w:leftChars="0" w:hanging="1592" w:firstLineChars="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所属行业</w:t>
            </w:r>
          </w:p>
        </w:tc>
        <w:tc>
          <w:tcPr>
            <w:tcW w:w="7654" w:type="dxa"/>
            <w:vAlign w:val="center"/>
          </w:tcPr>
          <w:p w14:paraId="65D456A8">
            <w:pPr>
              <w:pStyle w:val="25"/>
              <w:keepNext w:val="0"/>
              <w:keepLines w:val="0"/>
              <w:widowControl/>
              <w:suppressLineNumbers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1"/>
                <w:highlight w:val="none"/>
              </w:rPr>
              <w:t>制造业</w:t>
            </w:r>
          </w:p>
        </w:tc>
      </w:tr>
      <w:tr w14:paraId="4CE3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225FF550">
            <w:pPr>
              <w:snapToGrid w:val="0"/>
              <w:spacing w:line="276"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678" w:type="dxa"/>
            <w:vAlign w:val="center"/>
          </w:tcPr>
          <w:p w14:paraId="5BFEEAED">
            <w:pPr>
              <w:pStyle w:val="99"/>
              <w:keepLines w:val="0"/>
              <w:pageBreakBefore w:val="0"/>
              <w:kinsoku/>
              <w:wordWrap/>
              <w:overflowPunct/>
              <w:topLinePunct w:val="0"/>
              <w:bidi w:val="0"/>
              <w:snapToGrid/>
              <w:spacing w:line="360" w:lineRule="atLeast"/>
              <w:ind w:left="1592" w:leftChars="0" w:hanging="1592" w:firstLineChars="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进口产品</w:t>
            </w:r>
          </w:p>
        </w:tc>
        <w:tc>
          <w:tcPr>
            <w:tcW w:w="7654" w:type="dxa"/>
            <w:vAlign w:val="center"/>
          </w:tcPr>
          <w:p w14:paraId="3162E07E">
            <w:pPr>
              <w:pStyle w:val="25"/>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是否允许采购进口产品： 否</w:t>
            </w:r>
          </w:p>
        </w:tc>
      </w:tr>
      <w:tr w14:paraId="7762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336DB7DE">
            <w:pPr>
              <w:widowControl/>
              <w:snapToGrid w:val="0"/>
              <w:spacing w:line="276"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1678" w:type="dxa"/>
            <w:vAlign w:val="center"/>
          </w:tcPr>
          <w:p w14:paraId="2740B769">
            <w:pPr>
              <w:pStyle w:val="99"/>
              <w:keepLines w:val="0"/>
              <w:pageBreakBefore w:val="0"/>
              <w:kinsoku/>
              <w:wordWrap/>
              <w:overflowPunct/>
              <w:topLinePunct w:val="0"/>
              <w:bidi w:val="0"/>
              <w:snapToGrid/>
              <w:spacing w:line="360" w:lineRule="atLeast"/>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highlight w:val="none"/>
              </w:rPr>
              <w:t>争议的解决</w:t>
            </w:r>
          </w:p>
        </w:tc>
        <w:tc>
          <w:tcPr>
            <w:tcW w:w="7654" w:type="dxa"/>
            <w:vAlign w:val="center"/>
          </w:tcPr>
          <w:p w14:paraId="4DEABB94">
            <w:pPr>
              <w:pStyle w:val="98"/>
              <w:keepLines w:val="0"/>
              <w:pageBreakBefore w:val="0"/>
              <w:kinsoku/>
              <w:wordWrap/>
              <w:overflowPunct/>
              <w:topLinePunct w:val="0"/>
              <w:bidi w:val="0"/>
              <w:snapToGrid/>
              <w:spacing w:line="360" w:lineRule="atLeas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如发生争议由双方协商解决，协商不成向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所在人民法院提请诉讼。</w:t>
            </w:r>
          </w:p>
        </w:tc>
      </w:tr>
      <w:tr w14:paraId="4B58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1F456F0E">
            <w:pPr>
              <w:widowControl/>
              <w:snapToGrid w:val="0"/>
              <w:spacing w:line="276"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1678" w:type="dxa"/>
            <w:vAlign w:val="center"/>
          </w:tcPr>
          <w:p w14:paraId="58CE4B2D">
            <w:pPr>
              <w:pStyle w:val="99"/>
              <w:keepLines w:val="0"/>
              <w:pageBreakBefore w:val="0"/>
              <w:kinsoku/>
              <w:wordWrap/>
              <w:overflowPunct/>
              <w:topLinePunct w:val="0"/>
              <w:autoSpaceDE w:val="0"/>
              <w:autoSpaceDN w:val="0"/>
              <w:bidi w:val="0"/>
              <w:adjustRightInd w:val="0"/>
              <w:snapToGrid/>
              <w:spacing w:line="360" w:lineRule="atLeast"/>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highlight w:val="none"/>
              </w:rPr>
              <w:t>其他</w:t>
            </w:r>
            <w:r>
              <w:rPr>
                <w:rFonts w:hint="eastAsia" w:ascii="宋体" w:hAnsi="宋体" w:eastAsia="宋体" w:cs="宋体"/>
                <w:b/>
                <w:bCs/>
                <w:color w:val="auto"/>
                <w:kern w:val="0"/>
                <w:sz w:val="24"/>
                <w:highlight w:val="none"/>
              </w:rPr>
              <w:t>注意事项</w:t>
            </w:r>
          </w:p>
        </w:tc>
        <w:tc>
          <w:tcPr>
            <w:tcW w:w="7654" w:type="dxa"/>
            <w:vAlign w:val="center"/>
          </w:tcPr>
          <w:p w14:paraId="1F6ECB01">
            <w:pPr>
              <w:pStyle w:val="95"/>
              <w:keepLines w:val="0"/>
              <w:pageBreakBefore w:val="0"/>
              <w:widowControl/>
              <w:kinsoku/>
              <w:wordWrap/>
              <w:overflowPunct/>
              <w:topLinePunct w:val="0"/>
              <w:bidi w:val="0"/>
              <w:snapToGrid/>
              <w:spacing w:line="360" w:lineRule="atLeas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1、本项目实行网上投标，采用电子</w:t>
            </w:r>
            <w:r>
              <w:rPr>
                <w:rFonts w:hint="eastAsia" w:ascii="宋体" w:hAnsi="宋体" w:eastAsia="宋体" w:cs="宋体"/>
                <w:color w:val="auto"/>
                <w:kern w:val="0"/>
                <w:sz w:val="24"/>
                <w:szCs w:val="24"/>
                <w:highlight w:val="none"/>
                <w:lang w:eastAsia="zh-CN" w:bidi="ar"/>
              </w:rPr>
              <w:t>响应文件</w:t>
            </w:r>
            <w:r>
              <w:rPr>
                <w:rFonts w:hint="eastAsia" w:ascii="宋体" w:hAnsi="宋体" w:eastAsia="宋体" w:cs="宋体"/>
                <w:color w:val="auto"/>
                <w:kern w:val="0"/>
                <w:sz w:val="24"/>
                <w:szCs w:val="24"/>
                <w:highlight w:val="none"/>
                <w:lang w:bidi="ar"/>
              </w:rPr>
              <w:t>；</w:t>
            </w:r>
          </w:p>
          <w:p w14:paraId="262725F3">
            <w:pPr>
              <w:pStyle w:val="95"/>
              <w:keepLines w:val="0"/>
              <w:pageBreakBefore w:val="0"/>
              <w:widowControl/>
              <w:kinsoku/>
              <w:wordWrap/>
              <w:overflowPunct/>
              <w:topLinePunct w:val="0"/>
              <w:bidi w:val="0"/>
              <w:snapToGrid/>
              <w:spacing w:line="360" w:lineRule="atLeast"/>
              <w:jc w:val="left"/>
              <w:rPr>
                <w:rFonts w:hint="eastAsia" w:ascii="宋体" w:hAnsi="宋体" w:eastAsia="宋体" w:cs="宋体"/>
                <w:color w:val="auto"/>
                <w:kern w:val="0"/>
                <w:sz w:val="24"/>
                <w:szCs w:val="24"/>
                <w:highlight w:val="yellow"/>
                <w:lang w:bidi="ar"/>
              </w:rPr>
            </w:pPr>
            <w:r>
              <w:rPr>
                <w:rFonts w:hint="eastAsia" w:ascii="宋体" w:hAnsi="宋体" w:eastAsia="宋体" w:cs="宋体"/>
                <w:color w:val="auto"/>
                <w:kern w:val="0"/>
                <w:sz w:val="24"/>
                <w:szCs w:val="24"/>
                <w:highlight w:val="none"/>
                <w:lang w:bidi="ar"/>
              </w:rPr>
              <w:t>2、各投标人应在开标前应确保成为新疆</w:t>
            </w:r>
            <w:r>
              <w:rPr>
                <w:rFonts w:hint="eastAsia" w:ascii="宋体" w:hAnsi="宋体" w:eastAsia="宋体" w:cs="宋体"/>
                <w:color w:val="auto"/>
                <w:kern w:val="0"/>
                <w:sz w:val="24"/>
                <w:szCs w:val="24"/>
                <w:highlight w:val="none"/>
                <w:lang w:val="en-US" w:eastAsia="zh-CN" w:bidi="ar"/>
              </w:rPr>
              <w:t>维吾尔自治区</w:t>
            </w:r>
            <w:r>
              <w:rPr>
                <w:rFonts w:hint="eastAsia" w:ascii="宋体" w:hAnsi="宋体" w:eastAsia="宋体" w:cs="宋体"/>
                <w:color w:val="auto"/>
                <w:kern w:val="0"/>
                <w:sz w:val="24"/>
                <w:szCs w:val="24"/>
                <w:highlight w:val="none"/>
                <w:lang w:bidi="ar"/>
              </w:rPr>
              <w:t>政府采购网正式注册入库投标人，并完成CA数字证书（符合国密标准）申领。因未注册入库、未办理CA数字证书等原因造成无法投标或投标失败等后果由投标人自行承担。有意向参与</w:t>
            </w:r>
            <w:r>
              <w:rPr>
                <w:rFonts w:hint="eastAsia" w:ascii="宋体" w:hAnsi="宋体" w:eastAsia="宋体" w:cs="宋体"/>
                <w:color w:val="auto"/>
                <w:kern w:val="0"/>
                <w:sz w:val="24"/>
                <w:szCs w:val="24"/>
                <w:highlight w:val="none"/>
                <w:lang w:val="en-US" w:eastAsia="zh-CN" w:bidi="ar"/>
              </w:rPr>
              <w:t>自治</w:t>
            </w:r>
            <w:r>
              <w:rPr>
                <w:rFonts w:hint="eastAsia" w:ascii="宋体" w:hAnsi="宋体" w:eastAsia="宋体" w:cs="宋体"/>
                <w:color w:val="auto"/>
                <w:kern w:val="0"/>
                <w:sz w:val="24"/>
                <w:szCs w:val="24"/>
                <w:highlight w:val="none"/>
                <w:lang w:bidi="ar"/>
              </w:rPr>
              <w:t>区域电子开评标的投标人，可访问新疆数字证书认证中心官方网站（https://www.xjca.com.cn/）或下载“新疆政务通”APP自行进行申领。如需咨询，请联系新疆CA服务热线0991-2819290；</w:t>
            </w:r>
          </w:p>
          <w:p w14:paraId="34055386">
            <w:pPr>
              <w:pStyle w:val="95"/>
              <w:keepLines w:val="0"/>
              <w:pageBreakBefore w:val="0"/>
              <w:widowControl/>
              <w:kinsoku/>
              <w:wordWrap/>
              <w:overflowPunct/>
              <w:topLinePunct w:val="0"/>
              <w:bidi w:val="0"/>
              <w:snapToGrid/>
              <w:spacing w:line="360" w:lineRule="atLeas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3、投标人将政采云电子交易客户端下载、安装完成后，可通过账号密码或CA登录客户端进行</w:t>
            </w:r>
            <w:r>
              <w:rPr>
                <w:rFonts w:hint="eastAsia" w:ascii="宋体" w:hAnsi="宋体" w:eastAsia="宋体" w:cs="宋体"/>
                <w:color w:val="auto"/>
                <w:kern w:val="0"/>
                <w:sz w:val="24"/>
                <w:szCs w:val="24"/>
                <w:highlight w:val="none"/>
                <w:lang w:eastAsia="zh-CN" w:bidi="ar"/>
              </w:rPr>
              <w:t>响应文件</w:t>
            </w:r>
            <w:r>
              <w:rPr>
                <w:rFonts w:hint="eastAsia" w:ascii="宋体" w:hAnsi="宋体" w:eastAsia="宋体" w:cs="宋体"/>
                <w:color w:val="auto"/>
                <w:kern w:val="0"/>
                <w:sz w:val="24"/>
                <w:szCs w:val="24"/>
                <w:highlight w:val="none"/>
                <w:lang w:bidi="ar"/>
              </w:rPr>
              <w:t>的制作。在使用政采云投标客户端时，建议使用WIN7及以上操作系统。客户端请至</w:t>
            </w:r>
            <w:r>
              <w:rPr>
                <w:rFonts w:hint="eastAsia" w:ascii="宋体" w:hAnsi="宋体" w:eastAsia="宋体" w:cs="宋体"/>
                <w:color w:val="auto"/>
                <w:kern w:val="0"/>
                <w:sz w:val="24"/>
                <w:szCs w:val="24"/>
                <w:highlight w:val="none"/>
                <w:lang w:val="en-US" w:eastAsia="zh-CN" w:bidi="ar"/>
              </w:rPr>
              <w:t>新疆维吾尔自治区</w:t>
            </w:r>
            <w:r>
              <w:rPr>
                <w:rFonts w:hint="eastAsia" w:ascii="宋体" w:hAnsi="宋体" w:eastAsia="宋体" w:cs="宋体"/>
                <w:color w:val="auto"/>
                <w:kern w:val="0"/>
                <w:sz w:val="24"/>
                <w:szCs w:val="24"/>
                <w:highlight w:val="none"/>
                <w:lang w:bidi="ar"/>
              </w:rPr>
              <w:t>政府采购网（http://www.ccgp-xinjiang.gov.cn/）下载专区查看，如有问题可拨打政采云客户服务热线</w:t>
            </w:r>
            <w:r>
              <w:rPr>
                <w:rFonts w:hint="eastAsia" w:ascii="宋体" w:hAnsi="宋体" w:eastAsia="宋体" w:cs="宋体"/>
                <w:color w:val="auto"/>
                <w:kern w:val="0"/>
                <w:sz w:val="24"/>
                <w:szCs w:val="24"/>
                <w:highlight w:val="none"/>
                <w:lang w:val="en-US" w:eastAsia="zh-CN" w:bidi="ar"/>
              </w:rPr>
              <w:t>95763</w:t>
            </w:r>
            <w:r>
              <w:rPr>
                <w:rFonts w:hint="eastAsia" w:ascii="宋体" w:hAnsi="宋体" w:eastAsia="宋体" w:cs="宋体"/>
                <w:color w:val="auto"/>
                <w:kern w:val="0"/>
                <w:sz w:val="24"/>
                <w:szCs w:val="24"/>
                <w:highlight w:val="none"/>
                <w:lang w:bidi="ar"/>
              </w:rPr>
              <w:t>进行咨询。系统操作问题请咨询技术支持电话0991-2899144，CA办理问题请咨询新疆CA服务电话0991-2819290，或加QQ号800175577。如因投标人自身原因导致在规定时间内无法正常解密的（如：浏览器故障、未安装相关驱动、网络故障、加密CA与解密CA不一致等），采购中心/代理机构不予异常处理，视为投标人自动弃标。</w:t>
            </w:r>
          </w:p>
          <w:p w14:paraId="603FDE03">
            <w:pPr>
              <w:pStyle w:val="95"/>
              <w:keepLines w:val="0"/>
              <w:pageBreakBefore w:val="0"/>
              <w:widowControl/>
              <w:kinsoku/>
              <w:wordWrap/>
              <w:overflowPunct/>
              <w:topLinePunct w:val="0"/>
              <w:bidi w:val="0"/>
              <w:snapToGrid/>
              <w:spacing w:line="360" w:lineRule="atLeas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、投标人操作指南详见</w:t>
            </w:r>
            <w:r>
              <w:rPr>
                <w:rFonts w:hint="eastAsia" w:ascii="宋体" w:hAnsi="宋体" w:eastAsia="宋体" w:cs="宋体"/>
                <w:color w:val="auto"/>
                <w:kern w:val="0"/>
                <w:sz w:val="24"/>
                <w:szCs w:val="24"/>
                <w:highlight w:val="none"/>
                <w:lang w:val="en-US" w:eastAsia="zh-CN" w:bidi="ar"/>
              </w:rPr>
              <w:t>新疆维吾尔自治区</w:t>
            </w:r>
            <w:r>
              <w:rPr>
                <w:rFonts w:hint="eastAsia" w:ascii="宋体" w:hAnsi="宋体" w:eastAsia="宋体" w:cs="宋体"/>
                <w:color w:val="auto"/>
                <w:kern w:val="0"/>
                <w:sz w:val="24"/>
                <w:szCs w:val="24"/>
                <w:highlight w:val="none"/>
                <w:lang w:bidi="ar"/>
              </w:rPr>
              <w:t xml:space="preserve">政府采购网（http://www.ccgp-xinjiang.gov.cn/）—办事指南—操作指南。 </w:t>
            </w:r>
          </w:p>
          <w:p w14:paraId="20039BA2">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、关于政采云平台投标人相关培训指导请加钉钉群</w:t>
            </w:r>
            <w:r>
              <w:rPr>
                <w:rFonts w:hint="eastAsia" w:ascii="宋体" w:hAnsi="宋体" w:eastAsia="宋体" w:cs="宋体"/>
                <w:color w:val="auto"/>
                <w:kern w:val="0"/>
                <w:sz w:val="24"/>
                <w:szCs w:val="24"/>
                <w:highlight w:val="none"/>
                <w:lang w:val="en-US" w:eastAsia="zh-CN" w:bidi="ar"/>
              </w:rPr>
              <w:t>44303812</w:t>
            </w:r>
            <w:r>
              <w:rPr>
                <w:rFonts w:hint="eastAsia" w:ascii="宋体" w:hAnsi="宋体" w:eastAsia="宋体" w:cs="宋体"/>
                <w:color w:val="auto"/>
                <w:kern w:val="0"/>
                <w:sz w:val="24"/>
                <w:szCs w:val="24"/>
                <w:highlight w:val="none"/>
                <w:lang w:bidi="ar"/>
              </w:rPr>
              <w:t>。</w:t>
            </w:r>
          </w:p>
          <w:p w14:paraId="34C87C7D">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b/>
                <w:bCs/>
                <w:color w:val="auto"/>
                <w:kern w:val="0"/>
                <w:sz w:val="24"/>
                <w:szCs w:val="24"/>
                <w:highlight w:val="none"/>
                <w:lang w:val="zh-CN" w:eastAsia="zh-CN" w:bidi="ar"/>
              </w:rPr>
              <w:t>响应文件中有弄虚作假的内容，其响应文件作废。（如假证书、假业绩、</w:t>
            </w:r>
            <w:r>
              <w:rPr>
                <w:rFonts w:hint="eastAsia" w:ascii="宋体" w:hAnsi="宋体" w:eastAsia="宋体" w:cs="宋体"/>
                <w:b/>
                <w:bCs/>
                <w:color w:val="auto"/>
                <w:kern w:val="0"/>
                <w:sz w:val="24"/>
                <w:szCs w:val="24"/>
                <w:highlight w:val="none"/>
                <w:lang w:val="en-US" w:eastAsia="zh-CN" w:bidi="ar"/>
              </w:rPr>
              <w:t>假合同、</w:t>
            </w:r>
            <w:r>
              <w:rPr>
                <w:rFonts w:hint="eastAsia" w:ascii="宋体" w:hAnsi="宋体" w:eastAsia="宋体" w:cs="宋体"/>
                <w:b/>
                <w:bCs/>
                <w:color w:val="auto"/>
                <w:kern w:val="0"/>
                <w:sz w:val="24"/>
                <w:szCs w:val="24"/>
                <w:highlight w:val="none"/>
                <w:lang w:val="zh-CN" w:eastAsia="zh-CN" w:bidi="ar"/>
              </w:rPr>
              <w:t>隐瞒不良行为记录、夸大荣誉、使用非本单位在职员工的相关证件及不符合谈判文件规定的条款等）；在签订合同之前，投标人如发现投标人的响应文件有弄虚作假内容，招标人可拒绝与其签订合同。并将其列入政府采购黑名单库。</w:t>
            </w:r>
          </w:p>
        </w:tc>
      </w:tr>
      <w:tr w14:paraId="7B7F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Merge w:val="restart"/>
            <w:vAlign w:val="center"/>
          </w:tcPr>
          <w:p w14:paraId="3EBC5448">
            <w:pPr>
              <w:widowControl/>
              <w:snapToGrid w:val="0"/>
              <w:spacing w:line="276"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23</w:t>
            </w:r>
          </w:p>
        </w:tc>
        <w:tc>
          <w:tcPr>
            <w:tcW w:w="1678" w:type="dxa"/>
            <w:vMerge w:val="restart"/>
            <w:vAlign w:val="center"/>
          </w:tcPr>
          <w:p w14:paraId="3B2848C6">
            <w:pPr>
              <w:pStyle w:val="99"/>
              <w:keepLines w:val="0"/>
              <w:pageBreakBefore w:val="0"/>
              <w:kinsoku/>
              <w:wordWrap/>
              <w:overflowPunct/>
              <w:topLinePunct w:val="0"/>
              <w:autoSpaceDE w:val="0"/>
              <w:autoSpaceDN w:val="0"/>
              <w:bidi w:val="0"/>
              <w:adjustRightInd w:val="0"/>
              <w:snapToGrid/>
              <w:spacing w:line="360" w:lineRule="atLeast"/>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highlight w:val="none"/>
                <w:lang w:val="en-US" w:eastAsia="zh-CN"/>
              </w:rPr>
              <w:t>招标人补充的其他内容</w:t>
            </w:r>
          </w:p>
        </w:tc>
        <w:tc>
          <w:tcPr>
            <w:tcW w:w="7654" w:type="dxa"/>
            <w:vAlign w:val="center"/>
          </w:tcPr>
          <w:p w14:paraId="673A2F2F">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color w:val="auto"/>
                <w:sz w:val="24"/>
                <w:szCs w:val="24"/>
              </w:rPr>
            </w:pPr>
            <w:r>
              <w:rPr>
                <w:rFonts w:hint="eastAsia" w:ascii="宋体" w:hAnsi="宋体" w:eastAsia="宋体" w:cs="宋体"/>
                <w:b/>
                <w:bCs/>
                <w:color w:val="auto"/>
                <w:kern w:val="0"/>
                <w:sz w:val="24"/>
                <w:szCs w:val="24"/>
                <w:highlight w:val="none"/>
                <w:lang w:val="en-US" w:eastAsia="zh-CN" w:bidi="ar"/>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14:paraId="2BD4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Merge w:val="continue"/>
            <w:vAlign w:val="center"/>
          </w:tcPr>
          <w:p w14:paraId="2AE5E004">
            <w:pPr>
              <w:widowControl/>
              <w:snapToGrid w:val="0"/>
              <w:spacing w:line="276" w:lineRule="auto"/>
              <w:jc w:val="center"/>
              <w:rPr>
                <w:rFonts w:hint="eastAsia" w:ascii="宋体" w:hAnsi="宋体" w:eastAsia="宋体" w:cs="宋体"/>
                <w:color w:val="auto"/>
                <w:sz w:val="24"/>
                <w:szCs w:val="24"/>
              </w:rPr>
            </w:pPr>
          </w:p>
        </w:tc>
        <w:tc>
          <w:tcPr>
            <w:tcW w:w="1678" w:type="dxa"/>
            <w:vMerge w:val="continue"/>
            <w:vAlign w:val="center"/>
          </w:tcPr>
          <w:p w14:paraId="348FCAC9">
            <w:pPr>
              <w:pStyle w:val="99"/>
              <w:keepLines w:val="0"/>
              <w:pageBreakBefore w:val="0"/>
              <w:kinsoku/>
              <w:wordWrap/>
              <w:overflowPunct/>
              <w:topLinePunct w:val="0"/>
              <w:autoSpaceDE w:val="0"/>
              <w:autoSpaceDN w:val="0"/>
              <w:bidi w:val="0"/>
              <w:adjustRightInd w:val="0"/>
              <w:snapToGrid/>
              <w:spacing w:line="360" w:lineRule="atLeast"/>
              <w:jc w:val="center"/>
              <w:rPr>
                <w:rFonts w:hint="eastAsia" w:ascii="宋体" w:hAnsi="宋体" w:eastAsia="宋体" w:cs="宋体"/>
                <w:b/>
                <w:bCs/>
                <w:color w:val="auto"/>
                <w:kern w:val="0"/>
                <w:sz w:val="24"/>
                <w:szCs w:val="24"/>
                <w:highlight w:val="none"/>
                <w:lang w:val="en-US" w:eastAsia="zh-CN"/>
              </w:rPr>
            </w:pPr>
          </w:p>
        </w:tc>
        <w:tc>
          <w:tcPr>
            <w:tcW w:w="7654" w:type="dxa"/>
            <w:vAlign w:val="center"/>
          </w:tcPr>
          <w:p w14:paraId="5AA09BF4">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构成本谈判文件的各个组成文件应互为解释，互为说明；如有不明确或不一致，构成合同文件组成内容，以合同文件约定内容为准，且以专用合同条款约定的合同文件优先顺序解释；除谈判文件中有特别规定外，仅适用于招标投标阶段的规定，按谈判公告（投标邀请书）、投标人须知、评标办法、响应文件格式的先后顺序解释；同一组成文件中就同一事项的规定或约定不一致的，以编排顺序在前者为准；同一组成文件不同版本之间有不一致的或不同组成文件针对同一事项有不一致的，以形成时间在后者为准。按本款前述规定仍不形成结论的，由采购代理机构负责解释。</w:t>
            </w:r>
          </w:p>
        </w:tc>
      </w:tr>
      <w:tr w14:paraId="1EF6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14:paraId="784F1404">
            <w:pPr>
              <w:widowControl/>
              <w:snapToGrid w:val="0"/>
              <w:spacing w:line="276"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678" w:type="dxa"/>
            <w:vAlign w:val="center"/>
          </w:tcPr>
          <w:p w14:paraId="306963FE">
            <w:pPr>
              <w:pStyle w:val="99"/>
              <w:keepLines w:val="0"/>
              <w:pageBreakBefore w:val="0"/>
              <w:kinsoku/>
              <w:wordWrap/>
              <w:overflowPunct/>
              <w:topLinePunct w:val="0"/>
              <w:autoSpaceDE w:val="0"/>
              <w:autoSpaceDN w:val="0"/>
              <w:bidi w:val="0"/>
              <w:adjustRightInd w:val="0"/>
              <w:snapToGrid/>
              <w:spacing w:line="360" w:lineRule="atLeas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其他</w:t>
            </w:r>
          </w:p>
        </w:tc>
        <w:tc>
          <w:tcPr>
            <w:tcW w:w="7654" w:type="dxa"/>
            <w:vAlign w:val="center"/>
          </w:tcPr>
          <w:p w14:paraId="522EEB4D">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1．本项目采用不见面开标、投标人需要递交电子响应文件，加密的电子响应文件，在投标截止时间前通过政采云平台上传到指定位置。无需递交纸质文件。</w:t>
            </w:r>
          </w:p>
          <w:p w14:paraId="028D9119">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本项目采用远程不见面交易的模式。招标当日，投标人无需到达开标现场，仅需在任意地点通过政采云平台完成投标截止时间前签到、开标过程中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w:t>
            </w:r>
          </w:p>
          <w:p w14:paraId="7435749B">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解密时长：30分钟。</w:t>
            </w:r>
          </w:p>
          <w:p w14:paraId="0F8A2764">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 参与“不见面”开标的采购人或其委托代理机构、投标人等各交易主体，应当按照规定使用CA数字证书及电子签章。各方主体在系统中所有操作均具有法律效力，并承担法律责任。</w:t>
            </w:r>
          </w:p>
          <w:p w14:paraId="38BDC5D4">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3.投标人由于数字证书遗失、损坏、更换、续期等情况导致响应文件无法解密，由投标人自行承担责任。</w:t>
            </w:r>
          </w:p>
          <w:p w14:paraId="445E82D3">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各投标人在项目开标、评标（审）期间应随时保持在线状态，及时查阅消息，并根据消息提醒进行响应文件在线解密等操作。随时通过交易系统接受评标（审）委员会发出的询标信息，并在规定时间内作出答复，未能按时答复的，评标（审）委员会将视同其放弃澄清。</w:t>
            </w:r>
          </w:p>
          <w:p w14:paraId="37937AA8">
            <w:pPr>
              <w:pStyle w:val="99"/>
              <w:keepLines w:val="0"/>
              <w:pageBreakBefore w:val="0"/>
              <w:kinsoku/>
              <w:wordWrap/>
              <w:overflowPunct/>
              <w:topLinePunct w:val="0"/>
              <w:autoSpaceDE w:val="0"/>
              <w:autoSpaceDN w:val="0"/>
              <w:bidi w:val="0"/>
              <w:adjustRightInd w:val="0"/>
              <w:snapToGrid/>
              <w:spacing w:line="360" w:lineRule="atLeas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开标、评标过程中，投标人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14:paraId="327C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348" w:type="dxa"/>
            <w:gridSpan w:val="4"/>
            <w:vAlign w:val="center"/>
          </w:tcPr>
          <w:p w14:paraId="1814D676">
            <w:pPr>
              <w:widowControl/>
              <w:spacing w:line="276" w:lineRule="auto"/>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color w:val="auto"/>
                <w:sz w:val="24"/>
                <w:szCs w:val="24"/>
              </w:rPr>
              <w:t>本须知前附表的条款号是与《投标人须知》正文中条款的项号相对应的。“投标人须知前附表”用于进一步明确“投标人须知”正文中的未尽事宜，但须知前附表中的内容与“投标人须知”正文内容相抵触的，</w:t>
            </w:r>
            <w:r>
              <w:rPr>
                <w:rFonts w:hint="eastAsia" w:ascii="宋体" w:hAnsi="宋体" w:eastAsia="宋体" w:cs="宋体"/>
                <w:color w:val="auto"/>
                <w:sz w:val="24"/>
                <w:szCs w:val="24"/>
                <w:lang w:val="en-US" w:eastAsia="zh-CN"/>
              </w:rPr>
              <w:t>以投标人须知前附表为准</w:t>
            </w:r>
            <w:r>
              <w:rPr>
                <w:rFonts w:hint="eastAsia" w:ascii="宋体" w:hAnsi="宋体" w:eastAsia="宋体" w:cs="宋体"/>
                <w:color w:val="auto"/>
                <w:sz w:val="24"/>
                <w:szCs w:val="24"/>
              </w:rPr>
              <w:t>。投标人对本</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有不明之处，欢迎进行必要的咨询或书面提出澄清。</w:t>
            </w:r>
          </w:p>
        </w:tc>
      </w:tr>
    </w:tbl>
    <w:p w14:paraId="30B7736A">
      <w:pPr>
        <w:jc w:val="center"/>
        <w:rPr>
          <w:rFonts w:hint="eastAsia" w:ascii="仿宋" w:hAnsi="仿宋" w:eastAsia="仿宋" w:cs="仿宋"/>
          <w:b/>
          <w:color w:val="auto"/>
          <w:sz w:val="36"/>
        </w:rPr>
        <w:sectPr>
          <w:headerReference r:id="rId3" w:type="default"/>
          <w:footerReference r:id="rId4" w:type="default"/>
          <w:pgSz w:w="11850" w:h="16783"/>
          <w:pgMar w:top="1440" w:right="1080" w:bottom="1440" w:left="1080" w:header="720" w:footer="720" w:gutter="0"/>
          <w:pgNumType w:start="1"/>
          <w:cols w:space="720" w:num="1"/>
          <w:docGrid w:linePitch="323" w:charSpace="0"/>
        </w:sectPr>
      </w:pPr>
    </w:p>
    <w:p w14:paraId="06A29E85">
      <w:pPr>
        <w:pStyle w:val="101"/>
        <w:snapToGrid w:val="0"/>
        <w:spacing w:line="360" w:lineRule="auto"/>
        <w:ind w:firstLine="560"/>
        <w:jc w:val="center"/>
        <w:rPr>
          <w:rFonts w:hint="eastAsia" w:ascii="宋体" w:hAnsi="宋体" w:eastAsia="宋体" w:cs="宋体"/>
          <w:color w:val="auto"/>
          <w:sz w:val="32"/>
          <w:szCs w:val="32"/>
        </w:rPr>
      </w:pPr>
      <w:bookmarkStart w:id="45" w:name="_Toc7977163"/>
      <w:r>
        <w:rPr>
          <w:rFonts w:hint="eastAsia" w:ascii="宋体" w:hAnsi="宋体" w:eastAsia="宋体" w:cs="宋体"/>
          <w:b/>
          <w:bCs/>
          <w:color w:val="auto"/>
          <w:sz w:val="32"/>
          <w:szCs w:val="32"/>
        </w:rPr>
        <w:t>第二章 谈判须知</w:t>
      </w:r>
      <w:bookmarkEnd w:id="45"/>
    </w:p>
    <w:p w14:paraId="6CB2CF35">
      <w:pPr>
        <w:pStyle w:val="102"/>
        <w:pageBreakBefore w:val="0"/>
        <w:widowControl w:val="0"/>
        <w:kinsoku/>
        <w:wordWrap/>
        <w:overflowPunct/>
        <w:topLinePunct w:val="0"/>
        <w:bidi w:val="0"/>
        <w:adjustRightInd w:val="0"/>
        <w:snapToGrid w:val="0"/>
        <w:spacing w:before="0" w:beforeLines="0" w:after="0" w:afterLines="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一、谈判须知</w:t>
      </w:r>
    </w:p>
    <w:p w14:paraId="291B0EF6">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1、谈判说明</w:t>
      </w:r>
    </w:p>
    <w:p w14:paraId="04804E6F">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本项目按照《中华人民共和国政府采购法》、《政府采购货物和服务招标投标管理办法》（财政部87号令）和《政府采购非招标采购方式管理办法》（财政部74号令）通过谈判方式确定成交单位。</w:t>
      </w:r>
    </w:p>
    <w:p w14:paraId="4B5AD3FF">
      <w:pPr>
        <w:pStyle w:val="102"/>
        <w:pageBreakBefore w:val="0"/>
        <w:widowControl w:val="0"/>
        <w:kinsoku/>
        <w:wordWrap/>
        <w:overflowPunct/>
        <w:topLinePunct w:val="0"/>
        <w:bidi w:val="0"/>
        <w:adjustRightInd w:val="0"/>
        <w:snapToGrid w:val="0"/>
        <w:spacing w:before="0" w:beforeLines="0" w:after="0" w:afterLines="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二、谈判文件</w:t>
      </w:r>
    </w:p>
    <w:p w14:paraId="7D1EA021">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1、谈判文件的组成</w:t>
      </w:r>
    </w:p>
    <w:p w14:paraId="73C18C65">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 谈判文件除以下内容外，采购人或采购人委托采购代理机构在谈判期间发出的答疑纪要和其他补充修改函件，均是谈判文件的组成部分，对供应商起约束作用；</w:t>
      </w:r>
    </w:p>
    <w:p w14:paraId="686D41E4">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谈判文件包括下列内容：</w:t>
      </w:r>
    </w:p>
    <w:p w14:paraId="470209C8">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谈判须知前附表</w:t>
      </w:r>
    </w:p>
    <w:p w14:paraId="6D092549">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第一章 谈判公告</w:t>
      </w:r>
    </w:p>
    <w:p w14:paraId="68C818BA">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第二章 谈判须知</w:t>
      </w:r>
    </w:p>
    <w:p w14:paraId="324B5C92">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第三章 谈判内容及要求</w:t>
      </w:r>
    </w:p>
    <w:p w14:paraId="07A25E4C">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第四章 合同条款</w:t>
      </w:r>
    </w:p>
    <w:p w14:paraId="7CD0E9A7">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附件：（响应书格式）</w:t>
      </w:r>
    </w:p>
    <w:p w14:paraId="20D4E0F0">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附件一 响应书</w:t>
      </w:r>
    </w:p>
    <w:p w14:paraId="209B9FD3">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附件二 法定代表人资格证明书（格式）/法定代表人授权委托书（格式）</w:t>
      </w:r>
    </w:p>
    <w:p w14:paraId="340CDEBF">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附件三 供应商关于响应文件的声明函</w:t>
      </w:r>
    </w:p>
    <w:p w14:paraId="4A890A8F">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附件四 供应商诚信谈判承诺书</w:t>
      </w:r>
    </w:p>
    <w:p w14:paraId="4113194F">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附件五 供应商反商业贿赂承诺书</w:t>
      </w:r>
    </w:p>
    <w:p w14:paraId="575749A9">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附件六 响应文件报价一览表</w:t>
      </w:r>
    </w:p>
    <w:p w14:paraId="57A2396E">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附件七 谈判报价明细表</w:t>
      </w:r>
    </w:p>
    <w:p w14:paraId="4EDB159F">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附件八 技术规格和商务偏离表</w:t>
      </w:r>
    </w:p>
    <w:p w14:paraId="07E7A15D">
      <w:pPr>
        <w:pStyle w:val="101"/>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 xml:space="preserve"> 中小企业声明函(货物)</w:t>
      </w:r>
    </w:p>
    <w:p w14:paraId="60C73EE1">
      <w:pPr>
        <w:pStyle w:val="101"/>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第五章 评审标准</w:t>
      </w:r>
    </w:p>
    <w:p w14:paraId="12CCB09A">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1.2 供应商领取谈判文件后，应仔细检查谈判文件的所有内容，如有残缺应在领到谈判文件后2日内向采购代理机构提出，否则，由此引起的损失由供应商自行承担；供应商同时应认真审阅谈判文件所有的事项、格式、条款和规范要求等，如果供应商没有按谈判文件要求提交全部资料或者没有对谈判文件做出实质性响应，其风险应由供应商自行承担。</w:t>
      </w:r>
    </w:p>
    <w:p w14:paraId="0BD5F080">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2、谈判文件的修改</w:t>
      </w:r>
    </w:p>
    <w:p w14:paraId="13584161">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2.1 在谈判截止期前的任何时候，无论出于何种原因，采购人均可主动地或在解答供应商提出的澄清问题时对谈判文件进行修改。</w:t>
      </w:r>
    </w:p>
    <w:p w14:paraId="40CEC69D">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2.2 谈判文件的澄清或修改应在谈判截止之日3个工作日前，以书面形式通知所有接收谈判文件的供应商，谈判文件的修改内容作为谈判文件的组成部分，并具有约束力。</w:t>
      </w:r>
    </w:p>
    <w:p w14:paraId="0883EE6D">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为使供应商有充分的时间对谈判文件的修改文件进行研究，采购人有权推迟谈判时间，并将此变更书面通知所有参与谈判的供应商。</w:t>
      </w:r>
    </w:p>
    <w:p w14:paraId="01EC2052">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在上述情况下，采购人与供应商谈判截止日前的全部权利、责任和义务，将适用于延长后的新谈判截止期。</w:t>
      </w:r>
    </w:p>
    <w:p w14:paraId="16B9E398">
      <w:pPr>
        <w:pStyle w:val="102"/>
        <w:pageBreakBefore w:val="0"/>
        <w:widowControl w:val="0"/>
        <w:kinsoku/>
        <w:wordWrap/>
        <w:overflowPunct/>
        <w:topLinePunct w:val="0"/>
        <w:bidi w:val="0"/>
        <w:adjustRightInd w:val="0"/>
        <w:snapToGrid w:val="0"/>
        <w:spacing w:before="0" w:beforeLines="0" w:after="0" w:afterLines="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三、供应商响应文件的编制</w:t>
      </w:r>
    </w:p>
    <w:p w14:paraId="728BFE9E">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 供应商响应文件的编制</w:t>
      </w:r>
    </w:p>
    <w:p w14:paraId="69BE24CB">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 供应商应仔细阅读谈判文件，了解谈判文件的要求。在充分理解谈判文件提出的谈判内容、服务和商务条件后，制作响应文件。</w:t>
      </w:r>
    </w:p>
    <w:p w14:paraId="1DF23D49">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1.1.1 为了便于查找，请在目录中标明每项内容的起始页码。未提供格式的，由投标人自行编制。</w:t>
      </w:r>
    </w:p>
    <w:p w14:paraId="185F025D">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1.2 谈判的语言及计量单位</w:t>
      </w:r>
    </w:p>
    <w:p w14:paraId="6AFD1CC7">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1.2.1 供应商的响应文件以及供应商与采购代理机构就本次谈判活动的所有来往函电均应使用中文。如果响应文件或与本次谈判有关的其它文件、信件及来往函电以其它语言书写，供应商应将其译成中文。</w:t>
      </w:r>
    </w:p>
    <w:p w14:paraId="179E5E9A">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1.2.2 响应文件中所使用的计量单位除谈判文件中有特殊规定外，一律使用法定计量单位。</w:t>
      </w:r>
    </w:p>
    <w:p w14:paraId="78E23723">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 响应文件构成</w:t>
      </w:r>
    </w:p>
    <w:p w14:paraId="0CBE6448">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1.3.1 供应商编写的响应文件应按下列顺序及内容提供:</w:t>
      </w:r>
    </w:p>
    <w:p w14:paraId="361CE242">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1.3.1.1 资格证明文件(以下文件必须在有效期内)</w:t>
      </w:r>
    </w:p>
    <w:p w14:paraId="6AE228F9">
      <w:pPr>
        <w:pStyle w:val="104"/>
        <w:pageBreakBefore w:val="0"/>
        <w:kinsoku/>
        <w:wordWrap/>
        <w:overflowPunct/>
        <w:topLinePunct w:val="0"/>
        <w:bidi w:val="0"/>
        <w:adjustRightInd w:val="0"/>
        <w:snapToGrid w:val="0"/>
        <w:spacing w:line="360" w:lineRule="auto"/>
        <w:ind w:firstLine="482"/>
        <w:rPr>
          <w:rFonts w:hint="eastAsia" w:ascii="宋体" w:hAnsi="宋体" w:eastAsia="宋体" w:cs="宋体"/>
          <w:b/>
          <w:color w:val="auto"/>
          <w:sz w:val="24"/>
          <w:szCs w:val="24"/>
        </w:rPr>
      </w:pPr>
      <w:r>
        <w:rPr>
          <w:rFonts w:hint="eastAsia" w:ascii="宋体" w:hAnsi="宋体" w:eastAsia="宋体" w:cs="宋体"/>
          <w:b/>
          <w:color w:val="auto"/>
          <w:sz w:val="24"/>
          <w:szCs w:val="24"/>
        </w:rPr>
        <w:t>(1)须持有工商行政管理部门核发的有效企业营业执照。</w:t>
      </w:r>
    </w:p>
    <w:p w14:paraId="34A0B96C">
      <w:pPr>
        <w:pStyle w:val="104"/>
        <w:pageBreakBefore w:val="0"/>
        <w:kinsoku/>
        <w:wordWrap/>
        <w:overflowPunct/>
        <w:topLinePunct w:val="0"/>
        <w:bidi w:val="0"/>
        <w:adjustRightInd w:val="0"/>
        <w:snapToGrid w:val="0"/>
        <w:spacing w:line="360" w:lineRule="auto"/>
        <w:ind w:firstLine="482"/>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)投标代表的授权委托书或法人资格证明书及被授权人身份证（复印件加盖公章)或法人身份证（复印件加盖公章)。授权委托书应由法定代表签章。</w:t>
      </w:r>
    </w:p>
    <w:p w14:paraId="7553F86A">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bCs/>
          <w:color w:val="auto"/>
          <w:kern w:val="2"/>
          <w:sz w:val="24"/>
          <w:szCs w:val="24"/>
          <w:lang w:val="en-US" w:eastAsia="zh-CN" w:bidi="ar-SA"/>
        </w:rPr>
        <w:t>被委托人需提供所在公司社保局缴纳社保的证明（最近三个月，新成立时间少于三个月的公司，按实际发生提供）；</w:t>
      </w:r>
    </w:p>
    <w:p w14:paraId="767E5281">
      <w:pPr>
        <w:pStyle w:val="104"/>
        <w:pageBreakBefore w:val="0"/>
        <w:kinsoku/>
        <w:wordWrap/>
        <w:overflowPunct/>
        <w:topLinePunct w:val="0"/>
        <w:bidi w:val="0"/>
        <w:adjustRightInd w:val="0"/>
        <w:snapToGrid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color w:val="auto"/>
          <w:kern w:val="2"/>
          <w:sz w:val="24"/>
          <w:szCs w:val="24"/>
          <w:lang w:val="en-US" w:eastAsia="zh-CN" w:bidi="ar-SA"/>
        </w:rPr>
        <w:t>（4）</w:t>
      </w:r>
      <w:r>
        <w:rPr>
          <w:rFonts w:hint="eastAsia" w:ascii="宋体" w:hAnsi="宋体" w:eastAsia="宋体" w:cs="宋体"/>
          <w:b/>
          <w:bCs/>
          <w:color w:val="auto"/>
          <w:sz w:val="24"/>
          <w:szCs w:val="24"/>
        </w:rPr>
        <w:t>供应商“信用中国”网站(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w:instrText>
      </w:r>
      <w:r>
        <w:rPr>
          <w:rFonts w:hint="eastAsia" w:ascii="宋体" w:hAnsi="宋体" w:eastAsia="宋体" w:cs="宋体"/>
          <w:color w:val="auto"/>
          <w:sz w:val="24"/>
          <w:szCs w:val="24"/>
        </w:rPr>
        <w:fldChar w:fldCharType="separate"/>
      </w:r>
      <w:r>
        <w:rPr>
          <w:rFonts w:hint="eastAsia" w:ascii="宋体" w:hAnsi="宋体" w:eastAsia="宋体" w:cs="宋体"/>
          <w:b/>
          <w:bCs/>
          <w:color w:val="auto"/>
          <w:sz w:val="24"/>
          <w:szCs w:val="24"/>
        </w:rPr>
        <w:t>www.creditchina.gov.cn</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)未被列入重大税收违法失信主体、“中国执行信息公开网”（http://zxgk.court.gov.cn/）未被列入失信被执行人、“中国政府采购网”网站（www.ccgp.gov.cn）未被列入政府采购严重违法失信行为记录名单。</w:t>
      </w:r>
    </w:p>
    <w:p w14:paraId="6E16F5C3">
      <w:pPr>
        <w:pStyle w:val="104"/>
        <w:pageBreakBefore w:val="0"/>
        <w:kinsoku/>
        <w:wordWrap/>
        <w:overflowPunct/>
        <w:topLinePunct w:val="0"/>
        <w:bidi w:val="0"/>
        <w:adjustRightInd w:val="0"/>
        <w:snapToGrid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 供应商所投的产品或货物，由中小企业制造的须出具《中小企业声明函》；（产品由中小企业生产且使用该中小企业商号或者注册商标）。</w:t>
      </w:r>
    </w:p>
    <w:p w14:paraId="4A5077B1">
      <w:pPr>
        <w:pStyle w:val="101"/>
        <w:pageBreakBefore w:val="0"/>
        <w:kinsoku/>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供应商认为有必要提供的声明及文件资料。</w:t>
      </w:r>
    </w:p>
    <w:p w14:paraId="6BB94E5E">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pacing w:val="-3"/>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pacing w:val="-3"/>
          <w:sz w:val="24"/>
          <w:szCs w:val="24"/>
          <w:highlight w:val="none"/>
        </w:rPr>
        <w:t>.1.2 响应文件</w:t>
      </w:r>
    </w:p>
    <w:p w14:paraId="15F7C2E0">
      <w:pPr>
        <w:pStyle w:val="104"/>
        <w:pageBreakBefore w:val="0"/>
        <w:widowControl w:val="0"/>
        <w:kinsoku/>
        <w:wordWrap/>
        <w:overflowPunct/>
        <w:topLinePunct w:val="0"/>
        <w:bidi w:val="0"/>
        <w:adjustRightInd w:val="0"/>
        <w:snapToGrid w:val="0"/>
        <w:spacing w:line="360" w:lineRule="auto"/>
        <w:ind w:firstLine="470"/>
        <w:rPr>
          <w:rFonts w:hint="eastAsia" w:ascii="宋体" w:hAnsi="宋体" w:eastAsia="宋体" w:cs="宋体"/>
          <w:b/>
          <w:bCs/>
          <w:color w:val="auto"/>
          <w:spacing w:val="-3"/>
          <w:sz w:val="24"/>
          <w:szCs w:val="24"/>
        </w:rPr>
      </w:pPr>
      <w:r>
        <w:rPr>
          <w:rFonts w:hint="eastAsia" w:ascii="宋体" w:hAnsi="宋体" w:eastAsia="宋体" w:cs="宋体"/>
          <w:b/>
          <w:bCs/>
          <w:color w:val="auto"/>
          <w:spacing w:val="-3"/>
          <w:sz w:val="24"/>
          <w:szCs w:val="24"/>
        </w:rPr>
        <w:t>(1) 响应书</w:t>
      </w:r>
    </w:p>
    <w:p w14:paraId="1172FD13">
      <w:pPr>
        <w:pStyle w:val="104"/>
        <w:pageBreakBefore w:val="0"/>
        <w:widowControl w:val="0"/>
        <w:kinsoku/>
        <w:wordWrap/>
        <w:overflowPunct/>
        <w:topLinePunct w:val="0"/>
        <w:bidi w:val="0"/>
        <w:adjustRightInd w:val="0"/>
        <w:snapToGrid w:val="0"/>
        <w:spacing w:line="360" w:lineRule="auto"/>
        <w:ind w:firstLine="470"/>
        <w:rPr>
          <w:rFonts w:hint="eastAsia" w:ascii="宋体" w:hAnsi="宋体" w:eastAsia="宋体" w:cs="宋体"/>
          <w:b/>
          <w:bCs/>
          <w:color w:val="auto"/>
          <w:spacing w:val="-3"/>
          <w:sz w:val="24"/>
          <w:szCs w:val="24"/>
        </w:rPr>
      </w:pPr>
      <w:r>
        <w:rPr>
          <w:rFonts w:hint="eastAsia" w:ascii="宋体" w:hAnsi="宋体" w:eastAsia="宋体" w:cs="宋体"/>
          <w:b/>
          <w:bCs/>
          <w:color w:val="auto"/>
          <w:spacing w:val="-3"/>
          <w:sz w:val="24"/>
          <w:szCs w:val="24"/>
        </w:rPr>
        <w:t>(2) 响应文件报价一览表</w:t>
      </w:r>
    </w:p>
    <w:p w14:paraId="0F276687">
      <w:pPr>
        <w:pStyle w:val="104"/>
        <w:pageBreakBefore w:val="0"/>
        <w:widowControl w:val="0"/>
        <w:kinsoku/>
        <w:wordWrap/>
        <w:overflowPunct/>
        <w:topLinePunct w:val="0"/>
        <w:bidi w:val="0"/>
        <w:adjustRightInd w:val="0"/>
        <w:snapToGrid w:val="0"/>
        <w:spacing w:line="360" w:lineRule="auto"/>
        <w:ind w:firstLine="470"/>
        <w:rPr>
          <w:rFonts w:hint="eastAsia" w:ascii="宋体" w:hAnsi="宋体" w:eastAsia="宋体" w:cs="宋体"/>
          <w:b/>
          <w:color w:val="auto"/>
          <w:sz w:val="24"/>
          <w:szCs w:val="24"/>
        </w:rPr>
      </w:pPr>
      <w:r>
        <w:rPr>
          <w:rFonts w:hint="eastAsia" w:ascii="宋体" w:hAnsi="宋体" w:eastAsia="宋体" w:cs="宋体"/>
          <w:b/>
          <w:bCs/>
          <w:color w:val="auto"/>
          <w:spacing w:val="-3"/>
          <w:sz w:val="24"/>
          <w:szCs w:val="24"/>
        </w:rPr>
        <w:t>(3) 谈判报价明细表</w:t>
      </w:r>
    </w:p>
    <w:p w14:paraId="26735BEC">
      <w:pPr>
        <w:pStyle w:val="104"/>
        <w:pageBreakBefore w:val="0"/>
        <w:widowControl w:val="0"/>
        <w:kinsoku/>
        <w:wordWrap/>
        <w:overflowPunct/>
        <w:topLinePunct w:val="0"/>
        <w:bidi w:val="0"/>
        <w:adjustRightInd w:val="0"/>
        <w:snapToGrid w:val="0"/>
        <w:spacing w:line="360" w:lineRule="auto"/>
        <w:ind w:firstLine="482"/>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en-US" w:eastAsia="zh-CN"/>
        </w:rPr>
        <w:t>技术规格和</w:t>
      </w:r>
      <w:r>
        <w:rPr>
          <w:rFonts w:hint="eastAsia" w:ascii="宋体" w:hAnsi="宋体" w:eastAsia="宋体" w:cs="宋体"/>
          <w:b/>
          <w:color w:val="auto"/>
          <w:sz w:val="24"/>
          <w:szCs w:val="24"/>
        </w:rPr>
        <w:t>商务偏离表</w:t>
      </w:r>
    </w:p>
    <w:p w14:paraId="7B141FB9">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 供应商认为有必要提供的声明及文件资料</w:t>
      </w:r>
    </w:p>
    <w:p w14:paraId="77920BA1">
      <w:pPr>
        <w:pageBreakBefore w:val="0"/>
        <w:widowControl w:val="0"/>
        <w:kinsoku/>
        <w:wordWrap/>
        <w:overflowPunct/>
        <w:topLinePunct w:val="0"/>
        <w:bidi w:val="0"/>
        <w:adjustRightInd w:val="0"/>
        <w:snapToGrid w:val="0"/>
        <w:spacing w:line="360" w:lineRule="auto"/>
        <w:ind w:firstLine="482" w:firstLineChars="200"/>
        <w:rPr>
          <w:rFonts w:hint="eastAsia" w:ascii="宋体" w:hAnsi="宋体" w:eastAsia="宋体" w:cs="宋体"/>
          <w:color w:val="auto"/>
          <w:sz w:val="24"/>
          <w:szCs w:val="24"/>
          <w:lang w:val="zh-CN"/>
        </w:rPr>
      </w:pPr>
      <w:r>
        <w:rPr>
          <w:rFonts w:hint="eastAsia" w:ascii="宋体" w:hAnsi="宋体" w:eastAsia="宋体" w:cs="宋体"/>
          <w:b/>
          <w:color w:val="auto"/>
          <w:sz w:val="24"/>
          <w:szCs w:val="24"/>
        </w:rPr>
        <w:t>1.4 供应商在谈判中违反国家有关法律法规的强制性规定的，其响应按未满足谈判文件实质性要求处理。</w:t>
      </w:r>
    </w:p>
    <w:p w14:paraId="446A207E">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2、响应文件格式</w:t>
      </w:r>
    </w:p>
    <w:p w14:paraId="397F2540">
      <w:pPr>
        <w:pStyle w:val="104"/>
        <w:pageBreakBefore w:val="0"/>
        <w:widowControl w:val="0"/>
        <w:kinsoku/>
        <w:wordWrap/>
        <w:overflowPunct/>
        <w:topLinePunct w:val="0"/>
        <w:bidi w:val="0"/>
        <w:adjustRightInd w:val="0"/>
        <w:snapToGrid w:val="0"/>
        <w:spacing w:line="360" w:lineRule="auto"/>
        <w:ind w:firstLine="482"/>
        <w:rPr>
          <w:rFonts w:hint="eastAsia" w:ascii="宋体" w:hAnsi="宋体" w:eastAsia="宋体" w:cs="宋体"/>
          <w:color w:val="auto"/>
          <w:sz w:val="24"/>
          <w:szCs w:val="24"/>
        </w:rPr>
      </w:pPr>
      <w:r>
        <w:rPr>
          <w:rFonts w:hint="eastAsia" w:ascii="宋体" w:hAnsi="宋体" w:eastAsia="宋体" w:cs="宋体"/>
          <w:b/>
          <w:color w:val="auto"/>
          <w:sz w:val="24"/>
          <w:szCs w:val="24"/>
        </w:rPr>
        <w:t>2.1 供应商提交的响应文件</w:t>
      </w:r>
      <w:r>
        <w:rPr>
          <w:rFonts w:hint="eastAsia" w:ascii="宋体" w:hAnsi="宋体" w:eastAsia="宋体" w:cs="宋体"/>
          <w:b/>
          <w:bCs/>
          <w:color w:val="auto"/>
          <w:sz w:val="24"/>
          <w:szCs w:val="24"/>
        </w:rPr>
        <w:t>必须使用采购代理机构发出的谈判文件中所提供的格式</w:t>
      </w:r>
      <w:r>
        <w:rPr>
          <w:rFonts w:hint="eastAsia" w:ascii="宋体" w:hAnsi="宋体" w:eastAsia="宋体" w:cs="宋体"/>
          <w:b/>
          <w:color w:val="auto"/>
          <w:sz w:val="24"/>
          <w:szCs w:val="24"/>
        </w:rPr>
        <w:t>（表格可以按同样格式扩展）。</w:t>
      </w:r>
    </w:p>
    <w:p w14:paraId="4B3C68D1">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3、谈判报价</w:t>
      </w:r>
    </w:p>
    <w:p w14:paraId="6818C48D">
      <w:pPr>
        <w:pStyle w:val="101"/>
        <w:pageBreakBefore w:val="0"/>
        <w:kinsoku/>
        <w:wordWrap/>
        <w:overflowPunct/>
        <w:topLinePunct w:val="0"/>
        <w:bidi w:val="0"/>
        <w:adjustRightInd w:val="0"/>
        <w:snapToGrid w:val="0"/>
        <w:spacing w:line="360" w:lineRule="auto"/>
        <w:ind w:firstLine="448" w:firstLineChars="187"/>
        <w:jc w:val="both"/>
        <w:rPr>
          <w:rFonts w:hint="eastAsia" w:ascii="宋体" w:hAnsi="宋体" w:eastAsia="宋体" w:cs="宋体"/>
          <w:color w:val="auto"/>
          <w:sz w:val="24"/>
          <w:szCs w:val="24"/>
        </w:rPr>
      </w:pPr>
      <w:r>
        <w:rPr>
          <w:rFonts w:hint="eastAsia" w:ascii="宋体" w:hAnsi="宋体" w:eastAsia="宋体" w:cs="宋体"/>
          <w:color w:val="auto"/>
          <w:sz w:val="24"/>
          <w:szCs w:val="24"/>
        </w:rPr>
        <w:t>3.1 供应商应按响应文件提供的</w:t>
      </w:r>
      <w:r>
        <w:rPr>
          <w:rFonts w:hint="eastAsia" w:ascii="宋体" w:hAnsi="宋体" w:eastAsia="宋体" w:cs="宋体"/>
          <w:bCs/>
          <w:color w:val="auto"/>
          <w:sz w:val="24"/>
          <w:szCs w:val="24"/>
        </w:rPr>
        <w:t>报价一览表、谈判报价明细表</w:t>
      </w:r>
      <w:r>
        <w:rPr>
          <w:rFonts w:hint="eastAsia" w:ascii="宋体" w:hAnsi="宋体" w:eastAsia="宋体" w:cs="宋体"/>
          <w:color w:val="auto"/>
          <w:sz w:val="24"/>
          <w:szCs w:val="24"/>
        </w:rPr>
        <w:t>的内容和格式标明拟提供服务的单价和总价。如小写和大写不符，以大写为准；有明细报价和单价的，如单价和总价不符，以单价累计为准。</w:t>
      </w:r>
    </w:p>
    <w:p w14:paraId="27F62B1C">
      <w:pPr>
        <w:pStyle w:val="101"/>
        <w:pageBreakBefore w:val="0"/>
        <w:kinsoku/>
        <w:wordWrap/>
        <w:overflowPunct/>
        <w:topLinePunct w:val="0"/>
        <w:bidi w:val="0"/>
        <w:adjustRightInd w:val="0"/>
        <w:snapToGrid w:val="0"/>
        <w:spacing w:line="360" w:lineRule="auto"/>
        <w:ind w:firstLine="451" w:firstLineChars="187"/>
        <w:jc w:val="both"/>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rPr>
        <w:t>3.2 本次谈判实行两次报价：即第一轮是在规定的谈判截止时间之后，每一个供应商</w:t>
      </w:r>
      <w:r>
        <w:rPr>
          <w:rFonts w:hint="eastAsia" w:ascii="宋体" w:hAnsi="宋体" w:eastAsia="宋体" w:cs="宋体"/>
          <w:b/>
          <w:bCs/>
          <w:color w:val="auto"/>
          <w:sz w:val="24"/>
          <w:szCs w:val="24"/>
          <w:lang w:val="en-US" w:eastAsia="zh-CN"/>
        </w:rPr>
        <w:t>响应文件中的</w:t>
      </w:r>
      <w:r>
        <w:rPr>
          <w:rFonts w:hint="eastAsia" w:ascii="宋体" w:hAnsi="宋体" w:eastAsia="宋体" w:cs="宋体"/>
          <w:b/>
          <w:bCs/>
          <w:color w:val="auto"/>
          <w:sz w:val="24"/>
          <w:szCs w:val="24"/>
        </w:rPr>
        <w:t>报价；第二轮是</w:t>
      </w:r>
      <w:r>
        <w:rPr>
          <w:rFonts w:hint="eastAsia" w:ascii="宋体" w:hAnsi="宋体" w:eastAsia="宋体" w:cs="宋体"/>
          <w:b/>
          <w:bCs/>
          <w:color w:val="auto"/>
          <w:sz w:val="24"/>
          <w:szCs w:val="24"/>
          <w:lang w:val="en-US" w:eastAsia="zh-CN"/>
        </w:rPr>
        <w:t>在商务和技术评审</w:t>
      </w:r>
      <w:r>
        <w:rPr>
          <w:rFonts w:hint="eastAsia" w:ascii="宋体" w:hAnsi="宋体" w:eastAsia="宋体" w:cs="宋体"/>
          <w:b/>
          <w:bCs/>
          <w:color w:val="auto"/>
          <w:sz w:val="24"/>
          <w:szCs w:val="24"/>
        </w:rPr>
        <w:t>完毕后，</w:t>
      </w:r>
      <w:r>
        <w:rPr>
          <w:rFonts w:hint="eastAsia" w:ascii="宋体" w:hAnsi="宋体" w:eastAsia="宋体" w:cs="宋体"/>
          <w:b/>
          <w:bCs/>
          <w:color w:val="auto"/>
          <w:sz w:val="24"/>
          <w:szCs w:val="24"/>
          <w:lang w:val="en-US" w:eastAsia="zh-CN"/>
        </w:rPr>
        <w:t>网上开启</w:t>
      </w:r>
      <w:r>
        <w:rPr>
          <w:rFonts w:hint="eastAsia" w:ascii="宋体" w:hAnsi="宋体" w:eastAsia="宋体" w:cs="宋体"/>
          <w:b/>
          <w:bCs/>
          <w:color w:val="auto"/>
          <w:sz w:val="24"/>
          <w:szCs w:val="24"/>
        </w:rPr>
        <w:t>最终报价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最终报价不得高于一次报价</w:t>
      </w:r>
      <w:r>
        <w:rPr>
          <w:rFonts w:hint="eastAsia" w:ascii="宋体" w:hAnsi="宋体" w:eastAsia="宋体" w:cs="宋体"/>
          <w:b/>
          <w:bCs/>
          <w:color w:val="auto"/>
          <w:sz w:val="24"/>
          <w:szCs w:val="24"/>
        </w:rPr>
        <w:t>。</w:t>
      </w:r>
    </w:p>
    <w:p w14:paraId="69808FC2">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4、谈判货币</w:t>
      </w:r>
    </w:p>
    <w:p w14:paraId="181B678D">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本项目的谈判报价货币为人民币。</w:t>
      </w:r>
    </w:p>
    <w:p w14:paraId="3593B928">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5、谈判有效期</w:t>
      </w:r>
    </w:p>
    <w:p w14:paraId="58144511">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5.1 谈判有效期见本须知前附表第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项所规定的期限，在此期限内，响应文件均保持有效。</w:t>
      </w:r>
    </w:p>
    <w:p w14:paraId="5007B0C3">
      <w:pPr>
        <w:pStyle w:val="10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的密封、标记</w:t>
      </w:r>
    </w:p>
    <w:p w14:paraId="3CAD93D9">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6.1 </w:t>
      </w:r>
      <w:r>
        <w:rPr>
          <w:rFonts w:hint="eastAsia" w:ascii="宋体" w:hAnsi="宋体" w:eastAsia="宋体" w:cs="宋体"/>
          <w:color w:val="auto"/>
          <w:sz w:val="24"/>
          <w:szCs w:val="24"/>
        </w:rPr>
        <w:t>投标人应通过电子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制作工具严格按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文件要求制作</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，在投标截止时间前完成上传经过数字证书电子签章并加密的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（加密和解密须用同一把数字证书）。投标人在投标截止时间前，可以对其所递交的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进行修改并重新上传，但以投标截止时间前最后一次上传的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为有效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14:paraId="6CF0DC62">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投标截止时间以自治区政采云显示的时间为准，逾期系统将自动关闭，未完成上传的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视为逾期送达，将被拒绝。</w:t>
      </w:r>
    </w:p>
    <w:p w14:paraId="630DA8A9">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6.2 </w:t>
      </w:r>
      <w:r>
        <w:rPr>
          <w:rFonts w:hint="eastAsia" w:ascii="宋体" w:hAnsi="宋体" w:eastAsia="宋体" w:cs="宋体"/>
          <w:color w:val="auto"/>
          <w:sz w:val="24"/>
          <w:szCs w:val="24"/>
        </w:rPr>
        <w:t>是否采用不见面开标方式详见投标人须知前附表，若本项目采用不见面开标，无需提供电子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U盘、纸质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14:paraId="3C8AAE32">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的递交</w:t>
      </w:r>
    </w:p>
    <w:p w14:paraId="18E18E0B">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7.1 </w:t>
      </w:r>
      <w:r>
        <w:rPr>
          <w:rFonts w:hint="eastAsia" w:ascii="宋体" w:hAnsi="宋体" w:eastAsia="宋体" w:cs="宋体"/>
          <w:color w:val="auto"/>
          <w:sz w:val="24"/>
          <w:szCs w:val="24"/>
        </w:rPr>
        <w:t>投标人应当在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的截止时间前网上投标，并将未加密的电子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光盘密封送达指定开标地点。</w:t>
      </w:r>
    </w:p>
    <w:p w14:paraId="32DC1BA3">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7.2 </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的截止时间之后送达的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，为无效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，采购代理机构将拒绝接收。</w:t>
      </w:r>
    </w:p>
    <w:p w14:paraId="25D4D0A2">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7.3 </w:t>
      </w:r>
      <w:r>
        <w:rPr>
          <w:rFonts w:hint="eastAsia" w:ascii="宋体" w:hAnsi="宋体" w:eastAsia="宋体" w:cs="宋体"/>
          <w:color w:val="auto"/>
          <w:sz w:val="24"/>
          <w:szCs w:val="24"/>
        </w:rPr>
        <w:t>是否采用不见面开标详见投标人须知前附表，若项目采用不见面开标。只需将加密电子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在投标截止时间前通过自治区政采云平台上传完成。上传时必须得到电脑“上传成功”的确认回复后方为上传成功。逾期上传的或者未上传到平台的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，采购人不予受理。</w:t>
      </w:r>
    </w:p>
    <w:p w14:paraId="717DC466">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的修改与撤回</w:t>
      </w:r>
    </w:p>
    <w:p w14:paraId="584916AB">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8.1 投标人在递交响应文件后，可以修改或撤回其投标，但这种修改和撤回，必须在规定的投标截止时间前。在投标截止时间后，投标人不得要求修改或撤回其响应文件。      </w:t>
      </w:r>
    </w:p>
    <w:p w14:paraId="3D4EA584">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投标人在投标截止期后不得修改、撤回响应文件。投标人在投标截止期后修改响应文件的，其投标无效。</w:t>
      </w:r>
    </w:p>
    <w:p w14:paraId="00EF1B90">
      <w:pPr>
        <w:pStyle w:val="10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四、</w:t>
      </w:r>
      <w:r>
        <w:rPr>
          <w:rFonts w:hint="eastAsia" w:ascii="宋体" w:hAnsi="宋体" w:eastAsia="宋体" w:cs="宋体"/>
          <w:color w:val="auto"/>
          <w:sz w:val="24"/>
          <w:szCs w:val="24"/>
          <w:lang w:eastAsia="zh-CN"/>
        </w:rPr>
        <w:t>开标</w:t>
      </w:r>
    </w:p>
    <w:p w14:paraId="751472D3">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开标</w:t>
      </w:r>
    </w:p>
    <w:p w14:paraId="3EAB9BAC">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A．采用见面开标方式</w:t>
      </w:r>
    </w:p>
    <w:p w14:paraId="5AE54B6B">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 </w:t>
      </w:r>
      <w:r>
        <w:rPr>
          <w:rFonts w:hint="eastAsia" w:ascii="宋体" w:hAnsi="宋体" w:eastAsia="宋体" w:cs="宋体"/>
          <w:color w:val="auto"/>
          <w:sz w:val="24"/>
          <w:szCs w:val="24"/>
        </w:rPr>
        <w:t>采购代理机构按照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文件规定的时间、地点主持开标。投标人法定代表人或授权代理人应携带身份证明、电子密钥（电子证书）、未加密的电子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（用信封密封）及应当提交的其他资料参加开标并签到。</w:t>
      </w:r>
    </w:p>
    <w:p w14:paraId="43C30EB3">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1.2 </w:t>
      </w:r>
      <w:r>
        <w:rPr>
          <w:rFonts w:hint="eastAsia" w:ascii="宋体" w:hAnsi="宋体" w:eastAsia="宋体" w:cs="宋体"/>
          <w:color w:val="auto"/>
          <w:sz w:val="24"/>
          <w:szCs w:val="24"/>
        </w:rPr>
        <w:t>开标前，采购代理机构将会同监督人员或公证人员进行验标（检查网上招标系统正常与否，检查未加密的电子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，检查投标人保证金交纳情况），确认无误后开标。开标时，各投标人应对本单位的加密的电子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现场解密，采购代理机构工作人员在监督人员或公证人员监督下解密所有</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14:paraId="2BA170ED">
      <w:pPr>
        <w:pStyle w:val="102"/>
        <w:pageBreakBefore w:val="0"/>
        <w:widowControl w:val="0"/>
        <w:kinsoku/>
        <w:wordWrap/>
        <w:overflowPunct/>
        <w:topLinePunct w:val="0"/>
        <w:bidi w:val="0"/>
        <w:adjustRightInd w:val="0"/>
        <w:snapToGrid w:val="0"/>
        <w:spacing w:before="0" w:beforeLines="0" w:after="0" w:afterLines="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因网上招标系统故障导致所有投标人均解密失败时，投标人使用未加密的电子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进行开评标。</w:t>
      </w:r>
    </w:p>
    <w:p w14:paraId="7ACF6796">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1.3 </w:t>
      </w:r>
      <w:r>
        <w:rPr>
          <w:rFonts w:hint="eastAsia" w:ascii="宋体" w:hAnsi="宋体" w:eastAsia="宋体" w:cs="宋体"/>
          <w:color w:val="auto"/>
          <w:sz w:val="24"/>
          <w:szCs w:val="24"/>
        </w:rPr>
        <w:t>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3DB4CB31">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1.4 </w:t>
      </w:r>
      <w:r>
        <w:rPr>
          <w:rFonts w:hint="eastAsia" w:ascii="宋体" w:hAnsi="宋体" w:eastAsia="宋体" w:cs="宋体"/>
          <w:color w:val="auto"/>
          <w:sz w:val="24"/>
          <w:szCs w:val="24"/>
        </w:rPr>
        <w:t>在评审结束前，未得到采购代理机构允许，投标人法定代表人或授权代理人不得离开开标现场。</w:t>
      </w:r>
    </w:p>
    <w:p w14:paraId="3316E553">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B．采用不见面开标方式（是否采用详见投标人须知前附表）</w:t>
      </w:r>
    </w:p>
    <w:p w14:paraId="580A2DF0">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 </w:t>
      </w:r>
      <w:r>
        <w:rPr>
          <w:rFonts w:hint="eastAsia" w:ascii="宋体" w:hAnsi="宋体" w:eastAsia="宋体" w:cs="宋体"/>
          <w:color w:val="auto"/>
          <w:sz w:val="24"/>
          <w:szCs w:val="24"/>
        </w:rPr>
        <w:t>招标人在规定的投标截止时间（开标时间）和投标人须知前附表规定的地点开标。投标人的法定代表人或其委托代理人无需到达开标现场，仅需在任意地点通过自治区政采云不见面开标系统，使用数字证书密钥完成远程解密、提疑澄清、开标唱标、结果公布等交互环节。</w:t>
      </w:r>
    </w:p>
    <w:p w14:paraId="4F1C62B1">
      <w:pPr>
        <w:pStyle w:val="102"/>
        <w:pageBreakBefore w:val="0"/>
        <w:widowControl w:val="0"/>
        <w:kinsoku/>
        <w:wordWrap/>
        <w:overflowPunct/>
        <w:topLinePunct w:val="0"/>
        <w:bidi w:val="0"/>
        <w:adjustRightInd w:val="0"/>
        <w:snapToGrid w:val="0"/>
        <w:spacing w:before="0" w:beforeLines="0" w:after="0" w:afterLines="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1.2 </w:t>
      </w:r>
      <w:r>
        <w:rPr>
          <w:rFonts w:hint="eastAsia" w:ascii="宋体" w:hAnsi="宋体" w:eastAsia="宋体" w:cs="宋体"/>
          <w:color w:val="auto"/>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EBE06AA">
      <w:pPr>
        <w:pStyle w:val="102"/>
        <w:pageBreakBefore w:val="0"/>
        <w:widowControl w:val="0"/>
        <w:kinsoku/>
        <w:wordWrap/>
        <w:overflowPunct/>
        <w:topLinePunct w:val="0"/>
        <w:bidi w:val="0"/>
        <w:adjustRightInd w:val="0"/>
        <w:snapToGrid w:val="0"/>
        <w:spacing w:before="0" w:beforeLines="0" w:after="0" w:afterLines="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五、响应文件的评审和比较</w:t>
      </w:r>
    </w:p>
    <w:p w14:paraId="594F14A6">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1、评审说明</w:t>
      </w:r>
    </w:p>
    <w:p w14:paraId="171E6C84">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谈判小组将根据谈判文件要求的内容对所有响应文件进行详细评审，并按照谈判文件规定的程序、评定成交的标准等事项与实质性响应谈判文件要求的供应商分别进行谈判，最终从质量和服务均能满足采购文件实质性响应要求的供应商中，按照最终报价由低到高的顺序提出3名以上成交候选人。</w:t>
      </w:r>
    </w:p>
    <w:p w14:paraId="78EE509E">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2、评审</w:t>
      </w:r>
    </w:p>
    <w:p w14:paraId="11B2FBAC">
      <w:pPr>
        <w:pageBreakBefore w:val="0"/>
        <w:widowControl w:val="0"/>
        <w:kinsoku/>
        <w:wordWrap/>
        <w:overflowPunct/>
        <w:topLinePunct w:val="0"/>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2.1 评审流程</w:t>
      </w:r>
    </w:p>
    <w:p w14:paraId="343000BD">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2.1.1 按相关规定，谈判小组由采购人代表和评审专家组成，成员由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人以上单数组成，从专家库内随机抽取。</w:t>
      </w:r>
    </w:p>
    <w:p w14:paraId="6321E605">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2.1.2 响应文件的完备性检查、资格审查和商务审查</w:t>
      </w:r>
    </w:p>
    <w:p w14:paraId="261944A1">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2.1.3 商务和技术评审</w:t>
      </w:r>
    </w:p>
    <w:p w14:paraId="4F904942">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2.1.4 谈判小组与实质性响应谈判文件要求的供应商进行谈判。</w:t>
      </w:r>
    </w:p>
    <w:p w14:paraId="3AE783F0">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2.1.5 价格评审（含最终报价内容）</w:t>
      </w:r>
    </w:p>
    <w:p w14:paraId="2293A6B6">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2.1.6 综合评议</w:t>
      </w:r>
    </w:p>
    <w:p w14:paraId="3EA813F9">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2.1.7 推荐或确定成交人</w:t>
      </w:r>
    </w:p>
    <w:p w14:paraId="690FE7BB">
      <w:pPr>
        <w:pageBreakBefore w:val="0"/>
        <w:widowControl w:val="0"/>
        <w:kinsoku/>
        <w:wordWrap/>
        <w:overflowPunct/>
        <w:topLinePunct w:val="0"/>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2.2 资格评审</w:t>
      </w:r>
    </w:p>
    <w:p w14:paraId="5A2CA07B">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供应商资质证书齐备，符合本须知第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项第1.3.1.1条款要求；</w:t>
      </w:r>
    </w:p>
    <w:p w14:paraId="542D02A0">
      <w:pPr>
        <w:pStyle w:val="101"/>
        <w:pageBreakBefore w:val="0"/>
        <w:kinsoku/>
        <w:wordWrap/>
        <w:overflowPunct/>
        <w:topLinePunct w:val="0"/>
        <w:bidi w:val="0"/>
        <w:adjustRightInd w:val="0"/>
        <w:snapToGrid w:val="0"/>
        <w:spacing w:line="360" w:lineRule="auto"/>
        <w:ind w:firstLine="560"/>
        <w:jc w:val="both"/>
        <w:rPr>
          <w:rFonts w:hint="eastAsia" w:ascii="宋体" w:hAnsi="宋体" w:eastAsia="宋体" w:cs="宋体"/>
          <w:b/>
          <w:color w:val="auto"/>
          <w:sz w:val="24"/>
          <w:szCs w:val="24"/>
        </w:rPr>
      </w:pPr>
      <w:r>
        <w:rPr>
          <w:rFonts w:hint="eastAsia" w:ascii="宋体" w:hAnsi="宋体" w:eastAsia="宋体" w:cs="宋体"/>
          <w:b/>
          <w:color w:val="auto"/>
          <w:sz w:val="24"/>
          <w:szCs w:val="24"/>
        </w:rPr>
        <w:t>2.3 符合性审查</w:t>
      </w:r>
    </w:p>
    <w:p w14:paraId="6B39F42C">
      <w:pPr>
        <w:pStyle w:val="101"/>
        <w:pageBreakBefore w:val="0"/>
        <w:kinsoku/>
        <w:wordWrap/>
        <w:overflowPunct/>
        <w:topLinePunct w:val="0"/>
        <w:bidi w:val="0"/>
        <w:adjustRightInd w:val="0"/>
        <w:snapToGrid w:val="0"/>
        <w:spacing w:line="360" w:lineRule="auto"/>
        <w:ind w:firstLine="560"/>
        <w:jc w:val="both"/>
        <w:rPr>
          <w:rFonts w:hint="eastAsia" w:ascii="宋体" w:hAnsi="宋体" w:eastAsia="宋体" w:cs="宋体"/>
          <w:b/>
          <w:color w:val="auto"/>
          <w:sz w:val="24"/>
          <w:szCs w:val="24"/>
        </w:rPr>
      </w:pPr>
      <w:r>
        <w:rPr>
          <w:rFonts w:hint="eastAsia" w:ascii="宋体" w:hAnsi="宋体" w:eastAsia="宋体" w:cs="宋体"/>
          <w:color w:val="auto"/>
          <w:sz w:val="24"/>
          <w:szCs w:val="24"/>
        </w:rPr>
        <w:t>评审小组对符合资格的供应商的响应文件进行符合性审查，以确定其是否满足</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文件的实质性要求，是否存在重大偏离。重大偏离系指</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有效性、真实性、合同的供货范围、质量、性能和规格等内容在实质上与谈判文件形成了重大的不一致，而这种不一致可能限制了买方的权力和供应商的义务，纠正或承认这些偏离将会对该供应商和其它供应商合理的竞争地位产生不公正的影响。</w:t>
      </w:r>
      <w:r>
        <w:rPr>
          <w:rFonts w:hint="eastAsia" w:ascii="宋体" w:hAnsi="宋体" w:eastAsia="宋体" w:cs="宋体"/>
          <w:b/>
          <w:color w:val="auto"/>
          <w:sz w:val="24"/>
          <w:szCs w:val="24"/>
        </w:rPr>
        <w:t>与谈判文件有重大偏离的</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将被拒绝，投标无效。具体评审内容系指：</w:t>
      </w:r>
    </w:p>
    <w:p w14:paraId="0F4CD7CF">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2.3.1 响应文件组成不完整，主要内容未能按谈判文件规定的内容、格式填写、上传；</w:t>
      </w:r>
    </w:p>
    <w:p w14:paraId="543382E9">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2.3.2 响应文件的有效期不满足谈判文件的规定；</w:t>
      </w:r>
    </w:p>
    <w:p w14:paraId="2AE8C951">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2.3.3 投标代表授权书未能由法定代表人签署</w:t>
      </w:r>
      <w:r>
        <w:rPr>
          <w:rStyle w:val="107"/>
          <w:rFonts w:hint="eastAsia" w:ascii="宋体" w:hAnsi="宋体" w:eastAsia="宋体" w:cs="宋体"/>
          <w:b/>
          <w:color w:val="auto"/>
          <w:kern w:val="0"/>
          <w:sz w:val="24"/>
          <w:szCs w:val="24"/>
          <w:lang w:val="zh-CN"/>
        </w:rPr>
        <w:t>并加盖公章</w:t>
      </w:r>
      <w:r>
        <w:rPr>
          <w:rStyle w:val="107"/>
          <w:rFonts w:hint="eastAsia" w:ascii="宋体" w:hAnsi="宋体" w:eastAsia="宋体" w:cs="宋体"/>
          <w:b/>
          <w:color w:val="auto"/>
          <w:kern w:val="0"/>
          <w:sz w:val="24"/>
          <w:szCs w:val="24"/>
        </w:rPr>
        <w:t>；</w:t>
      </w:r>
    </w:p>
    <w:p w14:paraId="6C59BC80">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2.3.4 响应文件没有按照规定在应由企业法人或法人授权代表在所有规定签章处签署及加盖单位公章的；</w:t>
      </w:r>
    </w:p>
    <w:p w14:paraId="5F308AD4">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2.3.5 响应文件出现了两个或两个以上的报价；</w:t>
      </w:r>
    </w:p>
    <w:p w14:paraId="21750EF2">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2.3.6 明显不符合谈判文件关于对招标货物技术规格和标准的要求；</w:t>
      </w:r>
    </w:p>
    <w:p w14:paraId="2EBC314D">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2.3.7 响应文件载明的投标交货期限超过谈判文件规定的期限；</w:t>
      </w:r>
    </w:p>
    <w:p w14:paraId="33BC2D1E">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w:t>
      </w:r>
      <w:r>
        <w:rPr>
          <w:rStyle w:val="107"/>
          <w:rFonts w:hint="eastAsia" w:ascii="宋体" w:hAnsi="宋体" w:eastAsia="宋体" w:cs="宋体"/>
          <w:b/>
          <w:color w:val="auto"/>
          <w:kern w:val="0"/>
          <w:sz w:val="24"/>
          <w:szCs w:val="24"/>
          <w:lang w:val="en-US"/>
        </w:rPr>
        <w:t xml:space="preserve">8 </w:t>
      </w:r>
      <w:r>
        <w:rPr>
          <w:rStyle w:val="107"/>
          <w:rFonts w:hint="eastAsia" w:ascii="宋体" w:hAnsi="宋体" w:eastAsia="宋体" w:cs="宋体"/>
          <w:b/>
          <w:color w:val="auto"/>
          <w:kern w:val="0"/>
          <w:sz w:val="24"/>
          <w:szCs w:val="24"/>
        </w:rPr>
        <w:t>供应商的报价超过预算价或最高限价；</w:t>
      </w:r>
    </w:p>
    <w:p w14:paraId="08E8DC53">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w:t>
      </w:r>
      <w:r>
        <w:rPr>
          <w:rStyle w:val="107"/>
          <w:rFonts w:hint="eastAsia" w:ascii="宋体" w:hAnsi="宋体" w:eastAsia="宋体" w:cs="宋体"/>
          <w:b/>
          <w:color w:val="auto"/>
          <w:kern w:val="0"/>
          <w:sz w:val="24"/>
          <w:szCs w:val="24"/>
          <w:lang w:val="en-US"/>
        </w:rPr>
        <w:t>9</w:t>
      </w:r>
      <w:r>
        <w:rPr>
          <w:rStyle w:val="107"/>
          <w:rFonts w:hint="eastAsia" w:ascii="宋体" w:hAnsi="宋体" w:eastAsia="宋体" w:cs="宋体"/>
          <w:b/>
          <w:color w:val="auto"/>
          <w:kern w:val="0"/>
          <w:sz w:val="24"/>
          <w:szCs w:val="24"/>
        </w:rPr>
        <w:t xml:space="preserve"> 响应文件含有采购人不能接受的附加条件；</w:t>
      </w:r>
    </w:p>
    <w:p w14:paraId="3B4BE07E">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2.3.1</w:t>
      </w:r>
      <w:r>
        <w:rPr>
          <w:rStyle w:val="107"/>
          <w:rFonts w:hint="eastAsia" w:ascii="宋体" w:hAnsi="宋体" w:eastAsia="宋体" w:cs="宋体"/>
          <w:b/>
          <w:color w:val="auto"/>
          <w:kern w:val="0"/>
          <w:sz w:val="24"/>
          <w:szCs w:val="24"/>
          <w:lang w:val="en-US"/>
        </w:rPr>
        <w:t>0</w:t>
      </w:r>
      <w:r>
        <w:rPr>
          <w:rStyle w:val="107"/>
          <w:rFonts w:hint="eastAsia" w:ascii="宋体" w:hAnsi="宋体" w:eastAsia="宋体" w:cs="宋体"/>
          <w:b/>
          <w:color w:val="auto"/>
          <w:kern w:val="0"/>
          <w:sz w:val="24"/>
          <w:szCs w:val="24"/>
        </w:rPr>
        <w:t xml:space="preserve"> 没有实质性响应谈判文件（商务条款）规定的；</w:t>
      </w:r>
    </w:p>
    <w:p w14:paraId="343C1208">
      <w:pPr>
        <w:pStyle w:val="106"/>
        <w:pageBreakBefore w:val="0"/>
        <w:kinsoku/>
        <w:wordWrap/>
        <w:overflowPunct/>
        <w:topLinePunct w:val="0"/>
        <w:bidi w:val="0"/>
        <w:adjustRightInd w:val="0"/>
        <w:snapToGrid w:val="0"/>
        <w:spacing w:line="360" w:lineRule="auto"/>
        <w:ind w:firstLine="482" w:firstLineChars="200"/>
        <w:jc w:val="both"/>
        <w:rPr>
          <w:rStyle w:val="107"/>
          <w:rFonts w:hint="eastAsia" w:ascii="宋体" w:hAnsi="宋体" w:eastAsia="宋体" w:cs="宋体"/>
          <w:b/>
          <w:color w:val="auto"/>
          <w:kern w:val="0"/>
          <w:sz w:val="24"/>
          <w:szCs w:val="24"/>
        </w:rPr>
      </w:pPr>
      <w:r>
        <w:rPr>
          <w:rStyle w:val="107"/>
          <w:rFonts w:hint="eastAsia" w:ascii="宋体" w:hAnsi="宋体" w:eastAsia="宋体" w:cs="宋体"/>
          <w:b/>
          <w:color w:val="auto"/>
          <w:kern w:val="0"/>
          <w:sz w:val="24"/>
          <w:szCs w:val="24"/>
        </w:rPr>
        <w:t>2.3.1</w:t>
      </w:r>
      <w:r>
        <w:rPr>
          <w:rStyle w:val="107"/>
          <w:rFonts w:hint="eastAsia" w:ascii="宋体" w:hAnsi="宋体" w:eastAsia="宋体" w:cs="宋体"/>
          <w:b/>
          <w:color w:val="auto"/>
          <w:kern w:val="0"/>
          <w:sz w:val="24"/>
          <w:szCs w:val="24"/>
          <w:lang w:val="en-US"/>
        </w:rPr>
        <w:t>1</w:t>
      </w:r>
      <w:r>
        <w:rPr>
          <w:rStyle w:val="107"/>
          <w:rFonts w:hint="eastAsia" w:ascii="宋体" w:hAnsi="宋体" w:eastAsia="宋体" w:cs="宋体"/>
          <w:b/>
          <w:color w:val="auto"/>
          <w:kern w:val="0"/>
          <w:sz w:val="24"/>
          <w:szCs w:val="24"/>
        </w:rPr>
        <w:t xml:space="preserve"> 不符合法律、法规和谈判文件中规定的其他实质性要求。</w:t>
      </w:r>
    </w:p>
    <w:p w14:paraId="37EF0A9D">
      <w:pPr>
        <w:pageBreakBefore w:val="0"/>
        <w:widowControl w:val="0"/>
        <w:kinsoku/>
        <w:wordWrap/>
        <w:overflowPunct/>
        <w:topLinePunct w:val="0"/>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2.4 商务评审 </w:t>
      </w:r>
    </w:p>
    <w:p w14:paraId="4FC53E1B">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响应文件中的谈判内容与谈判文件相符。</w:t>
      </w:r>
    </w:p>
    <w:p w14:paraId="6044AB8A">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供应商的响应文件有单位公章、有法定代表人签字、或签字人有法定代表人有效授权的。</w:t>
      </w:r>
    </w:p>
    <w:p w14:paraId="011E9649">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2.4.3 满足谈判文件中要求的交货期。</w:t>
      </w:r>
    </w:p>
    <w:p w14:paraId="76DEA118">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2.4.4 满足谈判文件质保要求。</w:t>
      </w:r>
    </w:p>
    <w:p w14:paraId="2F537276">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2.4.5 确认商务及技术条款有无虚假应标情况。</w:t>
      </w:r>
    </w:p>
    <w:p w14:paraId="27CE4869">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2.4.6 投标人投标报价不得高于项目的预算单价及预算总价。</w:t>
      </w:r>
    </w:p>
    <w:p w14:paraId="6ECCA0E7">
      <w:pPr>
        <w:pageBreakBefore w:val="0"/>
        <w:widowControl w:val="0"/>
        <w:kinsoku/>
        <w:wordWrap/>
        <w:overflowPunct/>
        <w:topLinePunct w:val="0"/>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2.5 技术评审</w:t>
      </w:r>
    </w:p>
    <w:p w14:paraId="4294041F">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2.5.1 确定谈判文件要求的技术参数负偏离数量。</w:t>
      </w:r>
    </w:p>
    <w:p w14:paraId="249BD88F">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2.5.2 确定谈判文件要求的完整技术支持资料是否有。</w:t>
      </w:r>
    </w:p>
    <w:p w14:paraId="00DBEEBE">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2.5.3 确定谈判文件要求的唯一授权是否有。</w:t>
      </w:r>
    </w:p>
    <w:p w14:paraId="3D38BA7B">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2.5.4 确定谈判文件要求的有效业绩数量。</w:t>
      </w:r>
    </w:p>
    <w:p w14:paraId="63B50560">
      <w:pPr>
        <w:pageBreakBefore w:val="0"/>
        <w:widowControl w:val="0"/>
        <w:kinsoku/>
        <w:wordWrap/>
        <w:overflowPunct/>
        <w:topLinePunct w:val="0"/>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2.6 响应文件报价</w:t>
      </w:r>
    </w:p>
    <w:p w14:paraId="43BE6A71">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2.6.1 按照谈判文件要求报价，报价合理，计算正确。</w:t>
      </w:r>
    </w:p>
    <w:p w14:paraId="6F548BAE">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2.6.2 属于中小企业评审优惠内容及价格扣除幅度：</w:t>
      </w:r>
    </w:p>
    <w:p w14:paraId="064D3024">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根据中华人民共和国财政部、中华人民共和国工业和信息化部《政府采购促进中小企业发展管理办法》（财库〔2020〕46号）文件、《关于落实好政府采购支持中小企业发展的通知》（新财购〔2022〕22号）文件的规定，属于中小企业评审优惠内容及幅度如下：</w:t>
      </w:r>
    </w:p>
    <w:p w14:paraId="120A3BC4">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（一）中小企业（含中型、小型、微型企业）应当同时符合以下条件：</w:t>
      </w:r>
    </w:p>
    <w:p w14:paraId="0CF536C3">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①符合中小企业划分标准（按《关于印发中小企业划型标准规定的通知》（工信部联企业〔2011〕300号）执行）；</w:t>
      </w:r>
    </w:p>
    <w:p w14:paraId="0D522136">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②提供本企业制造的货物、承担的项目或者服务，或者提供其他中小企业制造的货物。本项所称货物不包括使用大型企业注册商标的货物；</w:t>
      </w:r>
    </w:p>
    <w:p w14:paraId="5CD6D9D7">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③小型、微型企业提供中型企业制造的货物的，视同为中型企业。</w:t>
      </w:r>
    </w:p>
    <w:p w14:paraId="0F88A134">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（二）价格扣除办法：</w:t>
      </w:r>
    </w:p>
    <w:p w14:paraId="7A575582">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①对于非专门面向中小企业的项目，对小型和微型企业（或联合体各方均为小型、微型企业的）产品的价格给予</w:t>
      </w:r>
      <w:r>
        <w:rPr>
          <w:rFonts w:hint="eastAsia" w:ascii="宋体" w:hAnsi="宋体" w:eastAsia="宋体" w:cs="宋体"/>
          <w:b w:val="0"/>
          <w:color w:val="auto"/>
          <w:sz w:val="24"/>
          <w:szCs w:val="24"/>
          <w:lang w:val="en-US" w:eastAsia="zh-CN"/>
        </w:rPr>
        <w:t>10</w:t>
      </w:r>
      <w:r>
        <w:rPr>
          <w:rFonts w:hint="eastAsia" w:ascii="宋体" w:hAnsi="宋体" w:eastAsia="宋体" w:cs="宋体"/>
          <w:b w:val="0"/>
          <w:color w:val="auto"/>
          <w:sz w:val="24"/>
          <w:szCs w:val="24"/>
        </w:rPr>
        <w:t>%的扣除，用扣除后的价格参与价格分的评审。</w:t>
      </w:r>
    </w:p>
    <w:p w14:paraId="6320FD94">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（三）小型和微型企业适用价格扣除办法时应提供的相关资料：</w:t>
      </w:r>
    </w:p>
    <w:p w14:paraId="74577AEF">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①、《中小企业声明函》。</w:t>
      </w:r>
    </w:p>
    <w:p w14:paraId="25DABC3B">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②、供应商须在</w:t>
      </w:r>
      <w:r>
        <w:rPr>
          <w:rFonts w:hint="eastAsia" w:ascii="宋体" w:hAnsi="宋体" w:eastAsia="宋体" w:cs="宋体"/>
          <w:b w:val="0"/>
          <w:color w:val="auto"/>
          <w:sz w:val="24"/>
          <w:szCs w:val="24"/>
          <w:lang w:eastAsia="zh-CN"/>
        </w:rPr>
        <w:t>响应文件</w:t>
      </w:r>
      <w:r>
        <w:rPr>
          <w:rFonts w:hint="eastAsia" w:ascii="宋体" w:hAnsi="宋体" w:eastAsia="宋体" w:cs="宋体"/>
          <w:b w:val="0"/>
          <w:color w:val="auto"/>
          <w:sz w:val="24"/>
          <w:szCs w:val="24"/>
        </w:rPr>
        <w:t>报价部分中“投标分项报价表”中逐项注明所投产品的生产厂家具体名称并备注是否属于小型、微型企业。</w:t>
      </w:r>
    </w:p>
    <w:p w14:paraId="61C1B137">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若所响应产品为进口产品的，不适用《关于落实好政府采购支持中小企业发展的通知》。</w:t>
      </w:r>
    </w:p>
    <w:p w14:paraId="78CDE4F7">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2.6.3 属于监狱企业评审优惠内容及价格扣除幅度：</w:t>
      </w:r>
    </w:p>
    <w:p w14:paraId="710BF79E">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根据中华人民共和国财政部、中华人民共和国司法部《关于政府采购支持监狱企业发展有关问题的通知》（财库〔2014〕68号）文件的规定，监狱企业参加政府采购活动时，应当提供由省级以上监狱管理局、戒毒管理局(含新疆生产建设兵团)出具的属于监狱企业的证明文件。属于监狱企业评审优惠内容及价格扣除幅度如下：</w:t>
      </w:r>
    </w:p>
    <w:p w14:paraId="37ABF0E6">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color w:val="auto"/>
          <w:sz w:val="24"/>
          <w:szCs w:val="24"/>
        </w:rPr>
      </w:pPr>
      <w:r>
        <w:rPr>
          <w:rFonts w:hint="eastAsia" w:ascii="宋体" w:hAnsi="宋体" w:eastAsia="宋体" w:cs="宋体"/>
          <w:b w:val="0"/>
          <w:color w:val="auto"/>
          <w:sz w:val="24"/>
          <w:szCs w:val="24"/>
        </w:rPr>
        <w:t>监狱企业视同小型、微型企业，享受预留份额、评审中价格扣除等政府采购促进中小企业发展的政府采购政策。对于非专门面向中小企业的项目，对小型和微型企业（或联合体各方均为小型、微型企业的）产品的价格给予</w:t>
      </w:r>
      <w:r>
        <w:rPr>
          <w:rFonts w:hint="eastAsia" w:ascii="宋体" w:hAnsi="宋体" w:eastAsia="宋体" w:cs="宋体"/>
          <w:b w:val="0"/>
          <w:color w:val="auto"/>
          <w:sz w:val="24"/>
          <w:szCs w:val="24"/>
          <w:lang w:val="en-US" w:eastAsia="zh-CN"/>
        </w:rPr>
        <w:t>10</w:t>
      </w:r>
      <w:r>
        <w:rPr>
          <w:rFonts w:hint="eastAsia" w:ascii="宋体" w:hAnsi="宋体" w:eastAsia="宋体" w:cs="宋体"/>
          <w:b w:val="0"/>
          <w:color w:val="auto"/>
          <w:sz w:val="24"/>
          <w:szCs w:val="24"/>
        </w:rPr>
        <w:t>%的扣除，用扣除后的价格参与价格分的评审。</w:t>
      </w:r>
    </w:p>
    <w:p w14:paraId="640FDB87">
      <w:pPr>
        <w:pStyle w:val="109"/>
        <w:pageBreakBefore w:val="0"/>
        <w:kinsoku/>
        <w:wordWrap/>
        <w:overflowPunct/>
        <w:topLinePunct w:val="0"/>
        <w:autoSpaceDE w:val="0"/>
        <w:autoSpaceDN w:val="0"/>
        <w:bidi w:val="0"/>
        <w:adjustRightInd w:val="0"/>
        <w:snapToGrid w:val="0"/>
        <w:spacing w:line="360" w:lineRule="auto"/>
        <w:ind w:firstLine="567" w:firstLineChars="0"/>
        <w:jc w:val="both"/>
        <w:rPr>
          <w:rFonts w:hint="eastAsia" w:ascii="宋体" w:hAnsi="宋体" w:eastAsia="宋体" w:cs="宋体"/>
          <w:color w:val="auto"/>
          <w:sz w:val="24"/>
          <w:szCs w:val="24"/>
        </w:rPr>
      </w:pPr>
      <w:r>
        <w:rPr>
          <w:rFonts w:hint="eastAsia" w:ascii="宋体" w:hAnsi="宋体" w:eastAsia="宋体" w:cs="宋体"/>
          <w:b w:val="0"/>
          <w:color w:val="auto"/>
          <w:spacing w:val="-3"/>
          <w:sz w:val="24"/>
          <w:szCs w:val="24"/>
        </w:rPr>
        <w:t>在价格评审中，若评标委员会发现供应商以明显低于市场或成本的价格报价，而供应商又未在响应文件中提供有力证据证明其报价</w:t>
      </w:r>
      <w:r>
        <w:rPr>
          <w:rFonts w:hint="eastAsia" w:ascii="宋体" w:hAnsi="宋体" w:eastAsia="宋体" w:cs="宋体"/>
          <w:b w:val="0"/>
          <w:color w:val="auto"/>
          <w:sz w:val="24"/>
          <w:szCs w:val="24"/>
        </w:rPr>
        <w:t>合理的，评标委员会可以认定该报价以低于成本的价格报价。</w:t>
      </w:r>
      <w:r>
        <w:rPr>
          <w:rFonts w:hint="eastAsia" w:ascii="宋体" w:hAnsi="宋体" w:eastAsia="宋体" w:cs="宋体"/>
          <w:color w:val="auto"/>
          <w:sz w:val="24"/>
          <w:szCs w:val="24"/>
        </w:rPr>
        <w:t>被认定为低于成本价格报价的供应商将按废标处理</w:t>
      </w:r>
      <w:r>
        <w:rPr>
          <w:rFonts w:hint="eastAsia" w:ascii="宋体" w:hAnsi="宋体" w:eastAsia="宋体" w:cs="宋体"/>
          <w:b w:val="0"/>
          <w:color w:val="auto"/>
          <w:sz w:val="24"/>
          <w:szCs w:val="24"/>
        </w:rPr>
        <w:t>。</w:t>
      </w:r>
    </w:p>
    <w:p w14:paraId="291563BD">
      <w:pPr>
        <w:pageBreakBefore w:val="0"/>
        <w:widowControl w:val="0"/>
        <w:kinsoku/>
        <w:wordWrap/>
        <w:overflowPunct/>
        <w:topLinePunct w:val="0"/>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2.7 谈判答疑情况</w:t>
      </w:r>
    </w:p>
    <w:p w14:paraId="58B161FF">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 商务技术人员对谈判小组问题书面答复字迹工整，清楚明确；</w:t>
      </w:r>
    </w:p>
    <w:p w14:paraId="60626E5E">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2.7.2 对本次谈判项目具有合作诚意。</w:t>
      </w:r>
    </w:p>
    <w:p w14:paraId="7ECEB869">
      <w:pPr>
        <w:pageBreakBefore w:val="0"/>
        <w:widowControl w:val="0"/>
        <w:kinsoku/>
        <w:wordWrap/>
        <w:overflowPunct/>
        <w:topLinePunct w:val="0"/>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2.8 定标流程</w:t>
      </w:r>
    </w:p>
    <w:p w14:paraId="0F518C51">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2.8.1 招标设备技术参数（以提供的相关技术支持文件为依据，业绩都响应谈判文件要求的情况下，最低价投标商中标）。</w:t>
      </w:r>
    </w:p>
    <w:p w14:paraId="044D96ED">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2.8.2 在招标设备技术参数（以提供的相关技术支持文件为依据）、业绩都响应谈判文件要求的情况下，有多个相同最低价投标商，则有授权的投标商为中标供应商。</w:t>
      </w:r>
    </w:p>
    <w:p w14:paraId="1C6BF754">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2.8.3 部分投标商完全响应招标设备技术参数（以提供的相关技术支持文件为依据），还有部分投标商设备技术参数不完全满足谈判文件要求的，则设备技术参数不满足谈判文件要求的投标商最低价也不予中标选择，选择完全满足设备技术参数的投标商为中标供应商。</w:t>
      </w:r>
    </w:p>
    <w:p w14:paraId="12FE0D3D">
      <w:pPr>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2.8.4在设备技术参数（以提供的相关技术支持文件为依据）都不满足谈判文件要求的情况下，先比较设备技术参数，负偏离少的投标商作为中标投标商；如果一样则比较业绩，还一样则比较价格，价格低的投标商作为中标投标商。</w:t>
      </w:r>
    </w:p>
    <w:p w14:paraId="18AB81B0">
      <w:pPr>
        <w:pStyle w:val="102"/>
        <w:pageBreakBefore w:val="0"/>
        <w:widowControl w:val="0"/>
        <w:kinsoku/>
        <w:wordWrap/>
        <w:overflowPunct/>
        <w:topLinePunct w:val="0"/>
        <w:bidi w:val="0"/>
        <w:adjustRightInd w:val="0"/>
        <w:snapToGrid w:val="0"/>
        <w:spacing w:before="0" w:beforeLines="0" w:after="0" w:afterLines="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六、接受或拒绝供应商的权力</w:t>
      </w:r>
    </w:p>
    <w:p w14:paraId="72123DFE">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根据《政府采购非招标采购方式管理办法》（财政部74号令）第三十七条，采购人与采购代理机构在发出成交通知书之前有权依据谈判专家小组的评审报告接受或拒绝所有供应商，并对由此而引起的对供应商的影响不承担责任。</w:t>
      </w:r>
    </w:p>
    <w:p w14:paraId="58DA84C3">
      <w:pPr>
        <w:pStyle w:val="102"/>
        <w:pageBreakBefore w:val="0"/>
        <w:widowControl w:val="0"/>
        <w:kinsoku/>
        <w:wordWrap/>
        <w:overflowPunct/>
        <w:topLinePunct w:val="0"/>
        <w:bidi w:val="0"/>
        <w:adjustRightInd w:val="0"/>
        <w:snapToGrid w:val="0"/>
        <w:spacing w:before="0" w:beforeLines="0" w:after="0" w:afterLines="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七、成交通知书</w:t>
      </w:r>
    </w:p>
    <w:p w14:paraId="5BE64DC0">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采购代理机构将根据谈判小组推荐意见，并经采购人确认在</w:t>
      </w:r>
      <w:r>
        <w:rPr>
          <w:rFonts w:hint="eastAsia" w:ascii="宋体" w:hAnsi="宋体" w:eastAsia="宋体" w:cs="宋体"/>
          <w:color w:val="auto"/>
          <w:sz w:val="24"/>
          <w:szCs w:val="24"/>
          <w:lang w:eastAsia="zh-CN"/>
        </w:rPr>
        <w:t>新疆政府采购网</w:t>
      </w:r>
      <w:r>
        <w:rPr>
          <w:rFonts w:hint="eastAsia" w:ascii="宋体" w:hAnsi="宋体" w:eastAsia="宋体" w:cs="宋体"/>
          <w:color w:val="auto"/>
          <w:sz w:val="24"/>
          <w:szCs w:val="24"/>
        </w:rPr>
        <w:t>公示谈判结果，公示期为1个工作日，同时向成交供应商发出成交通知书。</w:t>
      </w:r>
    </w:p>
    <w:p w14:paraId="46A533AC">
      <w:pPr>
        <w:pStyle w:val="102"/>
        <w:pageBreakBefore w:val="0"/>
        <w:widowControl w:val="0"/>
        <w:kinsoku/>
        <w:wordWrap/>
        <w:overflowPunct/>
        <w:topLinePunct w:val="0"/>
        <w:bidi w:val="0"/>
        <w:adjustRightInd w:val="0"/>
        <w:snapToGrid w:val="0"/>
        <w:spacing w:before="0" w:beforeLines="0" w:after="0" w:afterLines="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、其他事项</w:t>
      </w:r>
    </w:p>
    <w:p w14:paraId="2EDEF50E">
      <w:pPr>
        <w:pStyle w:val="103"/>
        <w:keepNext w:val="0"/>
        <w:pageBreakBefore w:val="0"/>
        <w:widowControl w:val="0"/>
        <w:kinsoku/>
        <w:wordWrap/>
        <w:overflowPunct/>
        <w:topLinePunct w:val="0"/>
        <w:bidi w:val="0"/>
        <w:adjustRightInd w:val="0"/>
        <w:snapToGrid w:val="0"/>
        <w:spacing w:before="0" w:beforeLines="0" w:after="0" w:afterLines="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1、成交服务费</w:t>
      </w:r>
    </w:p>
    <w:p w14:paraId="1046BDB8">
      <w:pPr>
        <w:pStyle w:val="104"/>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成交供应商应按本采购文件的规定，在《成交通知书》核发时至核发后3天内，向采购代理机构支付成交服务费。招标代理服务费以中标价为计费基数</w:t>
      </w:r>
      <w:r>
        <w:rPr>
          <w:rFonts w:hint="eastAsia" w:ascii="宋体" w:hAnsi="宋体" w:eastAsia="宋体" w:cs="宋体"/>
          <w:color w:val="auto"/>
          <w:sz w:val="24"/>
          <w:szCs w:val="24"/>
          <w:lang w:val="en-US" w:eastAsia="zh-CN"/>
        </w:rPr>
        <w:t>参照国家计委计价格[2002]1980号文及结合发改价格【2015】299号文</w:t>
      </w:r>
      <w:r>
        <w:rPr>
          <w:rFonts w:hint="eastAsia" w:ascii="宋体" w:hAnsi="宋体" w:eastAsia="宋体" w:cs="宋体"/>
          <w:color w:val="auto"/>
          <w:sz w:val="24"/>
          <w:szCs w:val="24"/>
        </w:rPr>
        <w:t>计取。</w:t>
      </w:r>
    </w:p>
    <w:p w14:paraId="4A14F7DD">
      <w:pPr>
        <w:pStyle w:val="101"/>
        <w:pageBreakBefore w:val="0"/>
        <w:kinsoku/>
        <w:wordWrap/>
        <w:overflowPunct/>
        <w:topLinePunct w:val="0"/>
        <w:bidi w:val="0"/>
        <w:adjustRightInd w:val="0"/>
        <w:snapToGrid w:val="0"/>
        <w:spacing w:line="360" w:lineRule="auto"/>
        <w:ind w:firstLine="470" w:firstLineChars="200"/>
        <w:jc w:val="both"/>
        <w:rPr>
          <w:rFonts w:hint="eastAsia" w:ascii="宋体" w:hAnsi="宋体" w:eastAsia="宋体" w:cs="宋体"/>
          <w:b/>
          <w:color w:val="auto"/>
          <w:spacing w:val="-3"/>
          <w:sz w:val="24"/>
          <w:szCs w:val="24"/>
        </w:rPr>
      </w:pPr>
      <w:r>
        <w:rPr>
          <w:rFonts w:hint="eastAsia" w:ascii="宋体" w:hAnsi="宋体" w:eastAsia="宋体" w:cs="宋体"/>
          <w:b/>
          <w:color w:val="auto"/>
          <w:spacing w:val="-3"/>
          <w:sz w:val="24"/>
          <w:szCs w:val="24"/>
        </w:rPr>
        <w:t>2、所有与本标书有关的函电请按下列通讯地址联系：</w:t>
      </w:r>
    </w:p>
    <w:p w14:paraId="0FA85465">
      <w:pPr>
        <w:pStyle w:val="101"/>
        <w:pageBreakBefore w:val="0"/>
        <w:kinsoku/>
        <w:wordWrap/>
        <w:overflowPunct/>
        <w:topLinePunct w:val="0"/>
        <w:bidi w:val="0"/>
        <w:adjustRightInd w:val="0"/>
        <w:snapToGrid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采购代理机构：</w:t>
      </w:r>
      <w:r>
        <w:rPr>
          <w:rFonts w:hint="eastAsia" w:ascii="宋体" w:hAnsi="宋体" w:eastAsia="宋体" w:cs="宋体"/>
          <w:color w:val="auto"/>
          <w:spacing w:val="-3"/>
          <w:sz w:val="24"/>
          <w:szCs w:val="24"/>
          <w:lang w:eastAsia="zh-CN"/>
        </w:rPr>
        <w:t>新疆惠合正德工程管理有限公司</w:t>
      </w:r>
    </w:p>
    <w:p w14:paraId="045ADAAD">
      <w:pPr>
        <w:pStyle w:val="101"/>
        <w:pageBreakBefore w:val="0"/>
        <w:kinsoku/>
        <w:wordWrap/>
        <w:overflowPunct/>
        <w:topLinePunct w:val="0"/>
        <w:bidi w:val="0"/>
        <w:adjustRightInd w:val="0"/>
        <w:snapToGrid w:val="0"/>
        <w:spacing w:line="360" w:lineRule="auto"/>
        <w:ind w:firstLine="468"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通讯地址：伊宁市西环路306号开元新城3号楼11层（写字楼）</w:t>
      </w:r>
    </w:p>
    <w:p w14:paraId="38EA0645">
      <w:pPr>
        <w:pStyle w:val="101"/>
        <w:pageBreakBefore w:val="0"/>
        <w:kinsoku/>
        <w:wordWrap/>
        <w:overflowPunct/>
        <w:topLinePunct w:val="0"/>
        <w:bidi w:val="0"/>
        <w:adjustRightInd w:val="0"/>
        <w:snapToGrid w:val="0"/>
        <w:spacing w:line="360" w:lineRule="auto"/>
        <w:ind w:firstLine="468" w:firstLineChars="200"/>
        <w:jc w:val="both"/>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联 系 人：</w:t>
      </w:r>
      <w:r>
        <w:rPr>
          <w:rFonts w:hint="eastAsia" w:ascii="宋体" w:hAnsi="宋体" w:eastAsia="宋体" w:cs="宋体"/>
          <w:color w:val="auto"/>
          <w:spacing w:val="-3"/>
          <w:sz w:val="24"/>
          <w:szCs w:val="24"/>
          <w:lang w:eastAsia="zh-CN"/>
        </w:rPr>
        <w:t>张艳</w:t>
      </w:r>
      <w:r>
        <w:rPr>
          <w:rFonts w:hint="eastAsia" w:ascii="宋体" w:hAnsi="宋体" w:eastAsia="宋体" w:cs="宋体"/>
          <w:color w:val="auto"/>
          <w:spacing w:val="-3"/>
          <w:sz w:val="24"/>
          <w:szCs w:val="24"/>
        </w:rPr>
        <w:t xml:space="preserve">                  电    话：</w:t>
      </w:r>
      <w:r>
        <w:rPr>
          <w:rFonts w:hint="eastAsia" w:ascii="宋体" w:hAnsi="宋体" w:eastAsia="宋体" w:cs="宋体"/>
          <w:color w:val="auto"/>
          <w:kern w:val="2"/>
          <w:highlight w:val="none"/>
          <w:lang w:val="en-US" w:eastAsia="zh-CN"/>
        </w:rPr>
        <w:t>18099829507</w:t>
      </w:r>
    </w:p>
    <w:p w14:paraId="566E425B">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5831E052">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4C4285F0">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27EE8A80">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7D1A8C0A">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07D6616F">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001EB6ED">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3C7B5FE8">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7602BE5F">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6543EC52">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0C562E5E">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02EA1243">
      <w:pPr>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24"/>
          <w:szCs w:val="24"/>
        </w:rPr>
      </w:pPr>
    </w:p>
    <w:p w14:paraId="36E787D2">
      <w:pPr>
        <w:pStyle w:val="101"/>
        <w:snapToGrid w:val="0"/>
        <w:spacing w:line="360" w:lineRule="auto"/>
        <w:ind w:firstLine="560"/>
        <w:jc w:val="center"/>
        <w:rPr>
          <w:rFonts w:hint="eastAsia" w:ascii="宋体" w:hAnsi="宋体" w:eastAsia="宋体" w:cs="宋体"/>
          <w:b/>
          <w:bCs/>
          <w:color w:val="auto"/>
          <w:sz w:val="32"/>
          <w:szCs w:val="32"/>
        </w:rPr>
      </w:pPr>
      <w:bookmarkStart w:id="46" w:name="_Toc7977164"/>
      <w:r>
        <w:rPr>
          <w:rFonts w:hint="eastAsia" w:ascii="宋体" w:hAnsi="宋体" w:eastAsia="宋体" w:cs="宋体"/>
          <w:b/>
          <w:bCs/>
          <w:color w:val="auto"/>
          <w:sz w:val="32"/>
          <w:szCs w:val="32"/>
        </w:rPr>
        <w:t>第三章 谈判内容及要求</w:t>
      </w:r>
      <w:bookmarkEnd w:id="46"/>
    </w:p>
    <w:p w14:paraId="5C9AB8F4">
      <w:pPr>
        <w:tabs>
          <w:tab w:val="left" w:pos="2352"/>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一、项目名称：</w:t>
      </w:r>
      <w:r>
        <w:rPr>
          <w:rFonts w:hint="eastAsia" w:ascii="宋体" w:hAnsi="宋体" w:eastAsia="宋体" w:cs="宋体"/>
          <w:color w:val="auto"/>
          <w:sz w:val="24"/>
          <w:szCs w:val="24"/>
          <w:highlight w:val="none"/>
          <w:lang w:eastAsia="zh-CN"/>
        </w:rPr>
        <w:t>伊犁公路事业发展中心2025年除雪刀片采购项目</w:t>
      </w:r>
    </w:p>
    <w:p w14:paraId="1EE296EE">
      <w:pPr>
        <w:tabs>
          <w:tab w:val="left" w:pos="2352"/>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二、采购人：</w:t>
      </w:r>
      <w:r>
        <w:rPr>
          <w:rFonts w:hint="eastAsia" w:ascii="宋体" w:hAnsi="宋体" w:eastAsia="宋体" w:cs="宋体"/>
          <w:color w:val="auto"/>
          <w:sz w:val="24"/>
          <w:szCs w:val="24"/>
          <w:highlight w:val="none"/>
          <w:lang w:eastAsia="zh-CN"/>
        </w:rPr>
        <w:t>伊犁公路事业发展中心</w:t>
      </w:r>
    </w:p>
    <w:p w14:paraId="665A1BFE">
      <w:pPr>
        <w:tabs>
          <w:tab w:val="left" w:pos="2352"/>
        </w:tabs>
        <w:spacing w:line="50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三、核心参数要求：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刀片技术参数：刀片材质为65号锰钢锻造一次成型刀片，厚度15MM-25MM之间，单片刀片平面变形量≤5mm。硬度值要达到50-57HRC，抗磨耐用并具有一定的韧性，刀片外观表面平整，不能存在沙眼、气孔，安装孔尺寸大小统一且孔洞规整，刀片在使用过程不能出现刀口卷刃，崩口、断裂的情况。采购的刀片包含相应螺栓螺帽。（螺栓长度需符合装配要求）</w:t>
      </w:r>
    </w:p>
    <w:p w14:paraId="6361EFE0">
      <w:pPr>
        <w:tabs>
          <w:tab w:val="left" w:pos="2352"/>
        </w:tabs>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四、商务要求：</w:t>
      </w:r>
    </w:p>
    <w:p w14:paraId="6D23D789">
      <w:pPr>
        <w:tabs>
          <w:tab w:val="left" w:pos="2352"/>
        </w:tabs>
        <w:spacing w:line="50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成交供应商方（以下简称乙方）要对伊犁公路事业发展中心（以下简称甲方）所属单位需求的机械车辆刀片进行现场实地的尺寸测量，能够按照甲方不同推雪板长度、宽度、厚度及孔距尺寸进行生产。如后期由于长度、宽度、孔距造成无法安装，由乙方对货物及时更换。</w:t>
      </w:r>
    </w:p>
    <w:p w14:paraId="47E33210">
      <w:pPr>
        <w:tabs>
          <w:tab w:val="left" w:pos="2352"/>
        </w:tabs>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必须严格按照合同要求的时间内供货，乙方需将刀片按照甲方要求运送到要求地点。乙方发货时务必将所属养护所的刀片清点清楚，按照甲方所属单位刀片需求数量进行打包，一旦货物发错，由乙方负责重新发货，产生的运费由乙方负责。</w:t>
      </w:r>
    </w:p>
    <w:p w14:paraId="660792FE">
      <w:pPr>
        <w:tabs>
          <w:tab w:val="left" w:pos="2352"/>
        </w:tabs>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3、刀片到达后，初次安装乙方应派技术人员到各养护所现场指导安装，出现无法安装的情况，由乙方负责解决，无法解决的不予结算。</w:t>
      </w:r>
    </w:p>
    <w:p w14:paraId="634892B9">
      <w:pPr>
        <w:tabs>
          <w:tab w:val="left" w:pos="2352"/>
        </w:tabs>
        <w:spacing w:line="500" w:lineRule="exact"/>
        <w:ind w:firstLine="480"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4、所供货物须提供第三方产品质量检测报告。</w:t>
      </w:r>
      <w:r>
        <w:rPr>
          <w:rFonts w:hint="eastAsia" w:ascii="宋体" w:hAnsi="宋体" w:eastAsia="宋体" w:cs="宋体"/>
          <w:b/>
          <w:bCs/>
          <w:color w:val="auto"/>
          <w:sz w:val="24"/>
          <w:szCs w:val="24"/>
          <w:highlight w:val="none"/>
          <w:lang w:val="en-US" w:eastAsia="zh-CN"/>
        </w:rPr>
        <w:t>要求：第三方检测报告中体现刀片材质、平面变形量、硬度、抗磨的结论，否则为不响应谈判文件。</w:t>
      </w:r>
    </w:p>
    <w:p w14:paraId="306432CB">
      <w:pPr>
        <w:tabs>
          <w:tab w:val="left" w:pos="2352"/>
        </w:tabs>
        <w:spacing w:line="5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 xml:space="preserve">： </w:t>
      </w:r>
    </w:p>
    <w:p w14:paraId="2DDC5BBD">
      <w:pPr>
        <w:jc w:val="center"/>
        <w:rPr>
          <w:rFonts w:hint="eastAsia" w:ascii="宋体" w:hAnsi="宋体" w:eastAsia="宋体" w:cs="宋体"/>
          <w:b/>
          <w:bCs/>
          <w:color w:val="auto"/>
          <w:sz w:val="40"/>
          <w:szCs w:val="44"/>
          <w:highlight w:val="none"/>
        </w:rPr>
        <w:sectPr>
          <w:pgSz w:w="11850" w:h="16783"/>
          <w:pgMar w:top="1440" w:right="1327" w:bottom="1440" w:left="1327" w:header="720" w:footer="720" w:gutter="0"/>
          <w:cols w:space="720" w:num="1"/>
          <w:docGrid w:linePitch="323" w:charSpace="0"/>
        </w:sectPr>
      </w:pPr>
    </w:p>
    <w:p w14:paraId="35A98DCD">
      <w:pPr>
        <w:jc w:val="center"/>
        <w:rPr>
          <w:rFonts w:hint="eastAsia" w:ascii="宋体" w:hAnsi="宋体" w:eastAsia="宋体" w:cs="宋体"/>
          <w:b/>
          <w:bCs/>
          <w:color w:val="auto"/>
          <w:sz w:val="40"/>
          <w:szCs w:val="44"/>
          <w:highlight w:val="none"/>
        </w:rPr>
      </w:pPr>
      <w:r>
        <w:rPr>
          <w:rFonts w:hint="eastAsia" w:ascii="宋体" w:hAnsi="宋体" w:eastAsia="宋体" w:cs="宋体"/>
          <w:b/>
          <w:bCs/>
          <w:color w:val="auto"/>
          <w:sz w:val="40"/>
          <w:szCs w:val="44"/>
          <w:highlight w:val="none"/>
        </w:rPr>
        <w:t>采购需求清单</w:t>
      </w:r>
    </w:p>
    <w:p w14:paraId="76AAA25B">
      <w:pPr>
        <w:rPr>
          <w:rFonts w:hint="eastAsia" w:ascii="新宋体" w:hAnsi="新宋体" w:eastAsia="新宋体"/>
          <w:szCs w:val="28"/>
        </w:rPr>
      </w:pPr>
      <w:r>
        <w:rPr>
          <w:rFonts w:hint="eastAsia" w:ascii="新宋体" w:hAnsi="新宋体" w:eastAsia="新宋体"/>
          <w:szCs w:val="28"/>
        </w:rPr>
        <w:t xml:space="preserve">   </w:t>
      </w:r>
    </w:p>
    <w:tbl>
      <w:tblPr>
        <w:tblStyle w:val="27"/>
        <w:tblW w:w="142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1872"/>
        <w:gridCol w:w="2325"/>
        <w:gridCol w:w="2088"/>
        <w:gridCol w:w="1575"/>
        <w:gridCol w:w="2050"/>
        <w:gridCol w:w="1337"/>
        <w:gridCol w:w="1250"/>
        <w:gridCol w:w="1150"/>
      </w:tblGrid>
      <w:tr w14:paraId="4268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4282" w:type="dxa"/>
            <w:gridSpan w:val="9"/>
            <w:tcBorders>
              <w:top w:val="nil"/>
              <w:left w:val="nil"/>
              <w:bottom w:val="nil"/>
              <w:right w:val="nil"/>
            </w:tcBorders>
            <w:noWrap w:val="0"/>
            <w:vAlign w:val="center"/>
          </w:tcPr>
          <w:p w14:paraId="17E06F98">
            <w:pPr>
              <w:keepNext w:val="0"/>
              <w:keepLines w:val="0"/>
              <w:widowControl/>
              <w:suppressLineNumbers w:val="0"/>
              <w:jc w:val="center"/>
              <w:textAlignment w:val="center"/>
              <w:rPr>
                <w:rFonts w:hint="eastAsia" w:ascii="宋体" w:hAnsi="宋体" w:eastAsia="宋体" w:cs="宋体"/>
                <w:b/>
                <w:bCs/>
                <w:i w:val="0"/>
                <w:iCs w:val="0"/>
                <w:color w:val="auto"/>
                <w:sz w:val="48"/>
                <w:szCs w:val="48"/>
                <w:u w:val="none"/>
              </w:rPr>
            </w:pPr>
            <w:r>
              <w:rPr>
                <w:rFonts w:hint="eastAsia" w:ascii="宋体" w:hAnsi="宋体" w:eastAsia="宋体" w:cs="宋体"/>
                <w:b/>
                <w:bCs/>
                <w:i w:val="0"/>
                <w:iCs w:val="0"/>
                <w:color w:val="auto"/>
                <w:kern w:val="0"/>
                <w:sz w:val="28"/>
                <w:szCs w:val="28"/>
                <w:u w:val="none"/>
                <w:lang w:val="en-US" w:eastAsia="zh-CN" w:bidi="ar"/>
              </w:rPr>
              <w:t>伊犁公路事业发展中心2025年除雪刀片采购明细表</w:t>
            </w:r>
          </w:p>
        </w:tc>
      </w:tr>
      <w:tr w14:paraId="23F1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D088D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73CDA5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所属单位</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5E595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机械设备名称</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032551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车辆型号</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F70DC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2025年所需刀片数量（副）</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58118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尺寸（长*宽*厚）/MM</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AFFA7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单价（元）</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90577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合计（元）</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B5CAA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39E6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24E33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7B69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特克斯养护所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9D32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平地机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6E2F49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PY180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EE79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632F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4000*220*20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B4D59E7">
            <w:pPr>
              <w:jc w:val="center"/>
              <w:rPr>
                <w:rFonts w:hint="eastAsia" w:ascii="宋体" w:hAnsi="宋体" w:eastAsia="宋体" w:cs="宋体"/>
                <w:i w:val="0"/>
                <w:iCs w:val="0"/>
                <w:color w:val="auto"/>
                <w:sz w:val="22"/>
                <w:szCs w:val="22"/>
                <w:highlight w:val="none"/>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EAB30D4">
            <w:pPr>
              <w:jc w:val="center"/>
              <w:rPr>
                <w:rFonts w:hint="eastAsia" w:ascii="宋体" w:hAnsi="宋体" w:eastAsia="宋体" w:cs="宋体"/>
                <w:i w:val="0"/>
                <w:iCs w:val="0"/>
                <w:color w:val="auto"/>
                <w:sz w:val="22"/>
                <w:szCs w:val="22"/>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354363A">
            <w:pPr>
              <w:jc w:val="center"/>
              <w:rPr>
                <w:rFonts w:hint="eastAsia" w:ascii="宋体" w:hAnsi="宋体" w:eastAsia="宋体" w:cs="宋体"/>
                <w:i w:val="0"/>
                <w:iCs w:val="0"/>
                <w:color w:val="auto"/>
                <w:sz w:val="22"/>
                <w:szCs w:val="22"/>
                <w:highlight w:val="none"/>
                <w:u w:val="none"/>
              </w:rPr>
            </w:pPr>
          </w:p>
        </w:tc>
      </w:tr>
      <w:tr w14:paraId="32F5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3F15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B60F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B7DAF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6B7757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QDZ5253TCXZHE1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04ED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740A1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0F49B3C">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6160A95">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D4772C3">
            <w:pPr>
              <w:jc w:val="center"/>
              <w:rPr>
                <w:rFonts w:hint="eastAsia" w:ascii="宋体" w:hAnsi="宋体" w:eastAsia="宋体" w:cs="宋体"/>
                <w:i w:val="0"/>
                <w:iCs w:val="0"/>
                <w:color w:val="auto"/>
                <w:sz w:val="22"/>
                <w:szCs w:val="22"/>
                <w:u w:val="none"/>
              </w:rPr>
            </w:pPr>
          </w:p>
        </w:tc>
      </w:tr>
      <w:tr w14:paraId="2031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8319E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3B426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A7012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18107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QDZ5253TCXZHE1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B02A6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25CC2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4320*250*20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CFAA9EB">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0E4E50D">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210B56C">
            <w:pPr>
              <w:jc w:val="center"/>
              <w:rPr>
                <w:rFonts w:hint="eastAsia" w:ascii="宋体" w:hAnsi="宋体" w:eastAsia="宋体" w:cs="宋体"/>
                <w:i w:val="0"/>
                <w:iCs w:val="0"/>
                <w:color w:val="auto"/>
                <w:sz w:val="22"/>
                <w:szCs w:val="22"/>
                <w:u w:val="none"/>
              </w:rPr>
            </w:pPr>
          </w:p>
        </w:tc>
      </w:tr>
      <w:tr w14:paraId="050A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04631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64C73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EDDF4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4D4191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QDZ5253TCXZHE1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9D357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C846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B5DB0CF">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DA671B0">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6DFE64B">
            <w:pPr>
              <w:jc w:val="center"/>
              <w:rPr>
                <w:rFonts w:hint="eastAsia" w:ascii="宋体" w:hAnsi="宋体" w:eastAsia="宋体" w:cs="宋体"/>
                <w:i w:val="0"/>
                <w:iCs w:val="0"/>
                <w:color w:val="auto"/>
                <w:sz w:val="22"/>
                <w:szCs w:val="22"/>
                <w:u w:val="none"/>
              </w:rPr>
            </w:pPr>
          </w:p>
        </w:tc>
      </w:tr>
      <w:tr w14:paraId="3F4E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79047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07F5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95E84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4DD923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黄海牌DD5253TCXBLD</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CD78C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353F3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1B70C6B">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D3C327B">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FAE3E31">
            <w:pPr>
              <w:jc w:val="center"/>
              <w:rPr>
                <w:rFonts w:hint="eastAsia" w:ascii="宋体" w:hAnsi="宋体" w:eastAsia="宋体" w:cs="宋体"/>
                <w:i w:val="0"/>
                <w:iCs w:val="0"/>
                <w:color w:val="auto"/>
                <w:sz w:val="22"/>
                <w:szCs w:val="22"/>
                <w:u w:val="none"/>
              </w:rPr>
            </w:pPr>
          </w:p>
        </w:tc>
      </w:tr>
      <w:tr w14:paraId="352F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A6F1E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A3C4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FFA3F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092FF6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黄海牌DD5253TCXBLD</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F7640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2C7EA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4320*250*20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4A1F71A">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F0F030E">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1482B24">
            <w:pPr>
              <w:jc w:val="center"/>
              <w:rPr>
                <w:rFonts w:hint="eastAsia" w:ascii="宋体" w:hAnsi="宋体" w:eastAsia="宋体" w:cs="宋体"/>
                <w:i w:val="0"/>
                <w:iCs w:val="0"/>
                <w:color w:val="auto"/>
                <w:sz w:val="22"/>
                <w:szCs w:val="22"/>
                <w:u w:val="none"/>
              </w:rPr>
            </w:pPr>
          </w:p>
        </w:tc>
      </w:tr>
      <w:tr w14:paraId="2A69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9D39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8D1C1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0C7B1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6126C4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黄海牌DD5253TCXBLD</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ABB02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BDF39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2B7D746">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C70FF17">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B4A8F93">
            <w:pPr>
              <w:jc w:val="center"/>
              <w:rPr>
                <w:rFonts w:hint="eastAsia" w:ascii="宋体" w:hAnsi="宋体" w:eastAsia="宋体" w:cs="宋体"/>
                <w:i w:val="0"/>
                <w:iCs w:val="0"/>
                <w:color w:val="auto"/>
                <w:sz w:val="22"/>
                <w:szCs w:val="22"/>
                <w:u w:val="none"/>
              </w:rPr>
            </w:pPr>
          </w:p>
        </w:tc>
      </w:tr>
      <w:tr w14:paraId="6191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auto" w:sz="4" w:space="0"/>
              <w:right w:val="single" w:color="000000" w:sz="4" w:space="0"/>
            </w:tcBorders>
            <w:noWrap w:val="0"/>
            <w:vAlign w:val="center"/>
          </w:tcPr>
          <w:p w14:paraId="31091D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872" w:type="dxa"/>
            <w:tcBorders>
              <w:top w:val="single" w:color="000000" w:sz="4" w:space="0"/>
              <w:left w:val="single" w:color="000000" w:sz="4" w:space="0"/>
              <w:bottom w:val="single" w:color="auto" w:sz="4" w:space="0"/>
              <w:right w:val="single" w:color="000000" w:sz="4" w:space="0"/>
            </w:tcBorders>
            <w:noWrap w:val="0"/>
            <w:vAlign w:val="center"/>
          </w:tcPr>
          <w:p w14:paraId="23709B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000000" w:sz="4" w:space="0"/>
              <w:left w:val="single" w:color="000000" w:sz="4" w:space="0"/>
              <w:bottom w:val="single" w:color="auto" w:sz="4" w:space="0"/>
              <w:right w:val="single" w:color="000000" w:sz="4" w:space="0"/>
            </w:tcBorders>
            <w:noWrap w:val="0"/>
            <w:vAlign w:val="center"/>
          </w:tcPr>
          <w:p w14:paraId="649E1E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auto" w:sz="4" w:space="0"/>
              <w:right w:val="single" w:color="000000" w:sz="4" w:space="0"/>
            </w:tcBorders>
            <w:noWrap w:val="0"/>
            <w:vAlign w:val="center"/>
          </w:tcPr>
          <w:p w14:paraId="33B771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森远牌AD5259TCXZZF</w:t>
            </w:r>
          </w:p>
        </w:tc>
        <w:tc>
          <w:tcPr>
            <w:tcW w:w="1575" w:type="dxa"/>
            <w:tcBorders>
              <w:top w:val="single" w:color="000000" w:sz="4" w:space="0"/>
              <w:left w:val="single" w:color="000000" w:sz="4" w:space="0"/>
              <w:bottom w:val="single" w:color="auto" w:sz="4" w:space="0"/>
              <w:right w:val="single" w:color="000000" w:sz="4" w:space="0"/>
            </w:tcBorders>
            <w:noWrap w:val="0"/>
            <w:vAlign w:val="center"/>
          </w:tcPr>
          <w:p w14:paraId="765E73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auto" w:sz="4" w:space="0"/>
              <w:right w:val="single" w:color="000000" w:sz="4" w:space="0"/>
            </w:tcBorders>
            <w:noWrap w:val="0"/>
            <w:vAlign w:val="center"/>
          </w:tcPr>
          <w:p w14:paraId="19CDF1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3350*200*20</w:t>
            </w:r>
          </w:p>
        </w:tc>
        <w:tc>
          <w:tcPr>
            <w:tcW w:w="1337" w:type="dxa"/>
            <w:tcBorders>
              <w:top w:val="single" w:color="000000" w:sz="4" w:space="0"/>
              <w:left w:val="single" w:color="000000" w:sz="4" w:space="0"/>
              <w:bottom w:val="single" w:color="auto" w:sz="4" w:space="0"/>
              <w:right w:val="single" w:color="000000" w:sz="4" w:space="0"/>
            </w:tcBorders>
            <w:noWrap w:val="0"/>
            <w:vAlign w:val="center"/>
          </w:tcPr>
          <w:p w14:paraId="231145E8">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auto" w:sz="4" w:space="0"/>
              <w:right w:val="single" w:color="000000" w:sz="4" w:space="0"/>
            </w:tcBorders>
            <w:noWrap w:val="0"/>
            <w:vAlign w:val="center"/>
          </w:tcPr>
          <w:p w14:paraId="0FE7D556">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auto" w:sz="4" w:space="0"/>
              <w:right w:val="single" w:color="000000" w:sz="4" w:space="0"/>
            </w:tcBorders>
            <w:noWrap w:val="0"/>
            <w:vAlign w:val="center"/>
          </w:tcPr>
          <w:p w14:paraId="5A1EA237">
            <w:pPr>
              <w:jc w:val="center"/>
              <w:rPr>
                <w:rFonts w:hint="eastAsia" w:ascii="宋体" w:hAnsi="宋体" w:eastAsia="宋体" w:cs="宋体"/>
                <w:i w:val="0"/>
                <w:iCs w:val="0"/>
                <w:color w:val="auto"/>
                <w:sz w:val="22"/>
                <w:szCs w:val="22"/>
                <w:u w:val="none"/>
              </w:rPr>
            </w:pPr>
          </w:p>
        </w:tc>
      </w:tr>
      <w:tr w14:paraId="446D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08C894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FE6D1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05CD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71AF0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森远牌AD5259TCXZZF</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0A261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315121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4320*250*20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6B5EEDB">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05DC4E4">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17CA0FF">
            <w:pPr>
              <w:jc w:val="center"/>
              <w:rPr>
                <w:rFonts w:hint="eastAsia" w:ascii="宋体" w:hAnsi="宋体" w:eastAsia="宋体" w:cs="宋体"/>
                <w:i w:val="0"/>
                <w:iCs w:val="0"/>
                <w:color w:val="auto"/>
                <w:sz w:val="22"/>
                <w:szCs w:val="22"/>
                <w:u w:val="none"/>
              </w:rPr>
            </w:pPr>
          </w:p>
        </w:tc>
      </w:tr>
      <w:tr w14:paraId="154C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544756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AD3FF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D1214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998D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森远牌AD5259TCXZZF</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DB3A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5E6A6C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2740*200*20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3CE3B2A">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237B227">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F326A1F">
            <w:pPr>
              <w:jc w:val="center"/>
              <w:rPr>
                <w:rFonts w:hint="eastAsia" w:ascii="宋体" w:hAnsi="宋体" w:eastAsia="宋体" w:cs="宋体"/>
                <w:i w:val="0"/>
                <w:iCs w:val="0"/>
                <w:color w:val="auto"/>
                <w:sz w:val="22"/>
                <w:szCs w:val="22"/>
                <w:u w:val="none"/>
              </w:rPr>
            </w:pPr>
          </w:p>
        </w:tc>
      </w:tr>
      <w:tr w14:paraId="3362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24CFEC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52035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特克斯养护所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559203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装载机</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E3510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CLG856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B11C5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1C8EE0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3500*20*250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2D428">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4A3D7F8">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94522EA">
            <w:pPr>
              <w:jc w:val="center"/>
              <w:rPr>
                <w:rFonts w:hint="eastAsia" w:ascii="宋体" w:hAnsi="宋体" w:eastAsia="宋体" w:cs="宋体"/>
                <w:i w:val="0"/>
                <w:iCs w:val="0"/>
                <w:color w:val="auto"/>
                <w:sz w:val="22"/>
                <w:szCs w:val="22"/>
                <w:u w:val="none"/>
              </w:rPr>
            </w:pPr>
          </w:p>
        </w:tc>
      </w:tr>
      <w:tr w14:paraId="0DAB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55F3EC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8A013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5219F8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平地机</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1BFDA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CLG4200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98262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auto" w:sz="4" w:space="0"/>
              <w:bottom w:val="single" w:color="auto" w:sz="4" w:space="0"/>
              <w:right w:val="single" w:color="auto" w:sz="4" w:space="0"/>
            </w:tcBorders>
            <w:noWrap/>
            <w:vAlign w:val="center"/>
          </w:tcPr>
          <w:p w14:paraId="6BEF49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4260*300*30</w:t>
            </w:r>
          </w:p>
        </w:tc>
        <w:tc>
          <w:tcPr>
            <w:tcW w:w="1337" w:type="dxa"/>
            <w:tcBorders>
              <w:top w:val="single" w:color="auto" w:sz="4" w:space="0"/>
              <w:left w:val="single" w:color="auto" w:sz="4" w:space="0"/>
              <w:bottom w:val="single" w:color="auto" w:sz="4" w:space="0"/>
              <w:right w:val="single" w:color="auto" w:sz="4" w:space="0"/>
            </w:tcBorders>
            <w:noWrap/>
            <w:vAlign w:val="center"/>
          </w:tcPr>
          <w:p w14:paraId="73D332D4">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1EA1495">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A85C349">
            <w:pPr>
              <w:jc w:val="center"/>
              <w:rPr>
                <w:rFonts w:hint="eastAsia" w:ascii="宋体" w:hAnsi="宋体" w:eastAsia="宋体" w:cs="宋体"/>
                <w:i w:val="0"/>
                <w:iCs w:val="0"/>
                <w:color w:val="auto"/>
                <w:sz w:val="22"/>
                <w:szCs w:val="22"/>
                <w:u w:val="none"/>
              </w:rPr>
            </w:pPr>
          </w:p>
        </w:tc>
      </w:tr>
      <w:tr w14:paraId="21BB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000000" w:sz="4" w:space="0"/>
              <w:bottom w:val="single" w:color="000000" w:sz="4" w:space="0"/>
              <w:right w:val="single" w:color="000000" w:sz="4" w:space="0"/>
            </w:tcBorders>
            <w:noWrap w:val="0"/>
            <w:vAlign w:val="center"/>
          </w:tcPr>
          <w:p w14:paraId="50BAEE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872" w:type="dxa"/>
            <w:tcBorders>
              <w:top w:val="single" w:color="auto" w:sz="4" w:space="0"/>
              <w:left w:val="single" w:color="000000" w:sz="4" w:space="0"/>
              <w:bottom w:val="single" w:color="000000" w:sz="4" w:space="0"/>
              <w:right w:val="single" w:color="000000" w:sz="4" w:space="0"/>
            </w:tcBorders>
            <w:noWrap w:val="0"/>
            <w:vAlign w:val="center"/>
          </w:tcPr>
          <w:p w14:paraId="3B12D7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auto" w:sz="4" w:space="0"/>
              <w:left w:val="single" w:color="000000" w:sz="4" w:space="0"/>
              <w:bottom w:val="single" w:color="000000" w:sz="4" w:space="0"/>
              <w:right w:val="single" w:color="000000" w:sz="4" w:space="0"/>
            </w:tcBorders>
            <w:noWrap w:val="0"/>
            <w:vAlign w:val="center"/>
          </w:tcPr>
          <w:p w14:paraId="7824F1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auto" w:sz="4" w:space="0"/>
              <w:left w:val="single" w:color="000000" w:sz="4" w:space="0"/>
              <w:bottom w:val="single" w:color="000000" w:sz="4" w:space="0"/>
              <w:right w:val="single" w:color="000000" w:sz="4" w:space="0"/>
            </w:tcBorders>
            <w:noWrap w:val="0"/>
            <w:vAlign w:val="center"/>
          </w:tcPr>
          <w:p w14:paraId="44DD96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陕汽牌SX5256TCXDR404</w:t>
            </w:r>
          </w:p>
        </w:tc>
        <w:tc>
          <w:tcPr>
            <w:tcW w:w="1575" w:type="dxa"/>
            <w:tcBorders>
              <w:top w:val="single" w:color="auto" w:sz="4" w:space="0"/>
              <w:left w:val="single" w:color="000000" w:sz="4" w:space="0"/>
              <w:bottom w:val="single" w:color="000000" w:sz="4" w:space="0"/>
              <w:right w:val="single" w:color="000000" w:sz="4" w:space="0"/>
            </w:tcBorders>
            <w:noWrap w:val="0"/>
            <w:vAlign w:val="center"/>
          </w:tcPr>
          <w:p w14:paraId="7B809A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000000" w:sz="4" w:space="0"/>
              <w:bottom w:val="single" w:color="000000" w:sz="4" w:space="0"/>
              <w:right w:val="single" w:color="000000" w:sz="4" w:space="0"/>
            </w:tcBorders>
            <w:noWrap w:val="0"/>
            <w:vAlign w:val="center"/>
          </w:tcPr>
          <w:p w14:paraId="0A6D6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3600*200*30</w:t>
            </w:r>
          </w:p>
        </w:tc>
        <w:tc>
          <w:tcPr>
            <w:tcW w:w="1337" w:type="dxa"/>
            <w:tcBorders>
              <w:top w:val="single" w:color="auto" w:sz="4" w:space="0"/>
              <w:left w:val="single" w:color="000000" w:sz="4" w:space="0"/>
              <w:bottom w:val="single" w:color="000000" w:sz="4" w:space="0"/>
              <w:right w:val="single" w:color="000000" w:sz="4" w:space="0"/>
            </w:tcBorders>
            <w:noWrap w:val="0"/>
            <w:vAlign w:val="center"/>
          </w:tcPr>
          <w:p w14:paraId="7365B6DE">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000000" w:sz="4" w:space="0"/>
              <w:bottom w:val="single" w:color="000000" w:sz="4" w:space="0"/>
              <w:right w:val="single" w:color="000000" w:sz="4" w:space="0"/>
            </w:tcBorders>
            <w:noWrap w:val="0"/>
            <w:vAlign w:val="center"/>
          </w:tcPr>
          <w:p w14:paraId="3280F629">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000000" w:sz="4" w:space="0"/>
              <w:bottom w:val="single" w:color="000000" w:sz="4" w:space="0"/>
              <w:right w:val="single" w:color="000000" w:sz="4" w:space="0"/>
            </w:tcBorders>
            <w:noWrap w:val="0"/>
            <w:vAlign w:val="center"/>
          </w:tcPr>
          <w:p w14:paraId="555CE9B5">
            <w:pPr>
              <w:jc w:val="center"/>
              <w:rPr>
                <w:rFonts w:hint="eastAsia" w:ascii="宋体" w:hAnsi="宋体" w:eastAsia="宋体" w:cs="宋体"/>
                <w:i w:val="0"/>
                <w:iCs w:val="0"/>
                <w:color w:val="auto"/>
                <w:sz w:val="22"/>
                <w:szCs w:val="22"/>
                <w:u w:val="none"/>
              </w:rPr>
            </w:pPr>
          </w:p>
        </w:tc>
      </w:tr>
      <w:tr w14:paraId="6314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3F70A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76DAB1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9171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95413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黄海牌DD5253TCXBLD</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9EED5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6F479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2420*200*20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0C88F5D">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83BF12C">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8D0F80D">
            <w:pPr>
              <w:jc w:val="center"/>
              <w:rPr>
                <w:rFonts w:hint="eastAsia" w:ascii="宋体" w:hAnsi="宋体" w:eastAsia="宋体" w:cs="宋体"/>
                <w:i w:val="0"/>
                <w:iCs w:val="0"/>
                <w:color w:val="auto"/>
                <w:sz w:val="22"/>
                <w:szCs w:val="22"/>
                <w:u w:val="none"/>
              </w:rPr>
            </w:pPr>
          </w:p>
        </w:tc>
      </w:tr>
      <w:tr w14:paraId="4599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18C42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3CB9B4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ECA74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A3678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黄海牌DD5253TCXBLD</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07C8C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A7E83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3350*210*20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F87D9A2">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CB422A0">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094496FB">
            <w:pPr>
              <w:jc w:val="center"/>
              <w:rPr>
                <w:rFonts w:hint="eastAsia" w:ascii="宋体" w:hAnsi="宋体" w:eastAsia="宋体" w:cs="宋体"/>
                <w:i w:val="0"/>
                <w:iCs w:val="0"/>
                <w:color w:val="auto"/>
                <w:sz w:val="22"/>
                <w:szCs w:val="22"/>
                <w:u w:val="none"/>
              </w:rPr>
            </w:pPr>
          </w:p>
        </w:tc>
      </w:tr>
      <w:tr w14:paraId="251A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715B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3266DD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EE549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09299E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STERLINGLT9513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A1139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800868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3300*220*20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450C077">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1F696A9">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53F32699">
            <w:pPr>
              <w:jc w:val="center"/>
              <w:rPr>
                <w:rFonts w:hint="eastAsia" w:ascii="宋体" w:hAnsi="宋体" w:eastAsia="宋体" w:cs="宋体"/>
                <w:i w:val="0"/>
                <w:iCs w:val="0"/>
                <w:color w:val="auto"/>
                <w:sz w:val="22"/>
                <w:szCs w:val="22"/>
                <w:u w:val="none"/>
              </w:rPr>
            </w:pPr>
          </w:p>
        </w:tc>
      </w:tr>
      <w:tr w14:paraId="47E2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12A4D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7A22BA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EDD4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08653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STERLINGLT9513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09040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9B1C2B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3340*220*20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A92F45D">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65C3E4B">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7181EA7D">
            <w:pPr>
              <w:jc w:val="center"/>
              <w:rPr>
                <w:rFonts w:hint="eastAsia" w:ascii="宋体" w:hAnsi="宋体" w:eastAsia="宋体" w:cs="宋体"/>
                <w:i w:val="0"/>
                <w:iCs w:val="0"/>
                <w:color w:val="auto"/>
                <w:sz w:val="22"/>
                <w:szCs w:val="22"/>
                <w:u w:val="none"/>
              </w:rPr>
            </w:pPr>
          </w:p>
        </w:tc>
      </w:tr>
      <w:tr w14:paraId="6880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1C32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D5C7E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F5748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2D0E98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STERLINGLT9513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421CC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F3B08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3000*200*20</w:t>
            </w:r>
          </w:p>
        </w:tc>
        <w:tc>
          <w:tcPr>
            <w:tcW w:w="1337" w:type="dxa"/>
            <w:tcBorders>
              <w:top w:val="nil"/>
              <w:left w:val="single" w:color="000000" w:sz="4" w:space="0"/>
              <w:bottom w:val="single" w:color="000000" w:sz="4" w:space="0"/>
              <w:right w:val="single" w:color="000000" w:sz="4" w:space="0"/>
            </w:tcBorders>
            <w:noWrap w:val="0"/>
            <w:vAlign w:val="center"/>
          </w:tcPr>
          <w:p w14:paraId="2AA4A96F">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7B8E1D6">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53E84955">
            <w:pPr>
              <w:jc w:val="center"/>
              <w:rPr>
                <w:rFonts w:hint="eastAsia" w:ascii="宋体" w:hAnsi="宋体" w:eastAsia="宋体" w:cs="宋体"/>
                <w:i w:val="0"/>
                <w:iCs w:val="0"/>
                <w:color w:val="auto"/>
                <w:sz w:val="22"/>
                <w:szCs w:val="22"/>
                <w:u w:val="none"/>
              </w:rPr>
            </w:pPr>
          </w:p>
        </w:tc>
      </w:tr>
      <w:tr w14:paraId="088D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666230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431A6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4B649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06109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Actros2632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7A558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A8AF6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3660*200*20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F68D7B8">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549CA1C">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3E86D3EE">
            <w:pPr>
              <w:jc w:val="center"/>
              <w:rPr>
                <w:rFonts w:hint="eastAsia" w:ascii="宋体" w:hAnsi="宋体" w:eastAsia="宋体" w:cs="宋体"/>
                <w:i w:val="0"/>
                <w:iCs w:val="0"/>
                <w:color w:val="auto"/>
                <w:sz w:val="22"/>
                <w:szCs w:val="22"/>
                <w:u w:val="none"/>
              </w:rPr>
            </w:pPr>
          </w:p>
        </w:tc>
      </w:tr>
      <w:tr w14:paraId="0B12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199DF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CB359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68944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3AFC75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Actros2632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1E3E2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BA07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2450*200*20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3AA5272">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C390D82">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37B7722A">
            <w:pPr>
              <w:jc w:val="center"/>
              <w:rPr>
                <w:rFonts w:hint="eastAsia" w:ascii="宋体" w:hAnsi="宋体" w:eastAsia="宋体" w:cs="宋体"/>
                <w:i w:val="0"/>
                <w:iCs w:val="0"/>
                <w:color w:val="auto"/>
                <w:sz w:val="22"/>
                <w:szCs w:val="22"/>
                <w:u w:val="none"/>
              </w:rPr>
            </w:pPr>
          </w:p>
        </w:tc>
      </w:tr>
      <w:tr w14:paraId="1745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DC480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07E37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BBFE4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75691B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Actros2632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BDAF4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A0A27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327303B">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50F2620">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6C4E85D3">
            <w:pPr>
              <w:jc w:val="center"/>
              <w:rPr>
                <w:rFonts w:hint="eastAsia" w:ascii="宋体" w:hAnsi="宋体" w:eastAsia="宋体" w:cs="宋体"/>
                <w:i w:val="0"/>
                <w:iCs w:val="0"/>
                <w:color w:val="auto"/>
                <w:sz w:val="22"/>
                <w:szCs w:val="22"/>
                <w:u w:val="none"/>
              </w:rPr>
            </w:pPr>
          </w:p>
        </w:tc>
      </w:tr>
      <w:tr w14:paraId="0949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auto" w:sz="4" w:space="0"/>
              <w:right w:val="single" w:color="000000" w:sz="4" w:space="0"/>
            </w:tcBorders>
            <w:noWrap w:val="0"/>
            <w:vAlign w:val="center"/>
          </w:tcPr>
          <w:p w14:paraId="168859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872" w:type="dxa"/>
            <w:tcBorders>
              <w:top w:val="single" w:color="000000" w:sz="4" w:space="0"/>
              <w:left w:val="single" w:color="000000" w:sz="4" w:space="0"/>
              <w:bottom w:val="single" w:color="auto" w:sz="4" w:space="0"/>
              <w:right w:val="single" w:color="000000" w:sz="4" w:space="0"/>
            </w:tcBorders>
            <w:noWrap w:val="0"/>
            <w:vAlign w:val="center"/>
          </w:tcPr>
          <w:p w14:paraId="6DEBCA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000000" w:sz="4" w:space="0"/>
              <w:left w:val="single" w:color="000000" w:sz="4" w:space="0"/>
              <w:bottom w:val="single" w:color="auto" w:sz="4" w:space="0"/>
              <w:right w:val="single" w:color="000000" w:sz="4" w:space="0"/>
            </w:tcBorders>
            <w:noWrap w:val="0"/>
            <w:vAlign w:val="center"/>
          </w:tcPr>
          <w:p w14:paraId="6CF94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auto" w:sz="4" w:space="0"/>
              <w:right w:val="single" w:color="000000" w:sz="4" w:space="0"/>
            </w:tcBorders>
            <w:noWrap w:val="0"/>
            <w:vAlign w:val="center"/>
          </w:tcPr>
          <w:p w14:paraId="6E7325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森远牌AD5259TCXZZF</w:t>
            </w:r>
          </w:p>
        </w:tc>
        <w:tc>
          <w:tcPr>
            <w:tcW w:w="1575" w:type="dxa"/>
            <w:tcBorders>
              <w:top w:val="single" w:color="000000" w:sz="4" w:space="0"/>
              <w:left w:val="single" w:color="000000" w:sz="4" w:space="0"/>
              <w:bottom w:val="single" w:color="auto" w:sz="4" w:space="0"/>
              <w:right w:val="single" w:color="000000" w:sz="4" w:space="0"/>
            </w:tcBorders>
            <w:noWrap w:val="0"/>
            <w:vAlign w:val="center"/>
          </w:tcPr>
          <w:p w14:paraId="4A9D48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000000" w:sz="4" w:space="0"/>
              <w:left w:val="single" w:color="000000" w:sz="4" w:space="0"/>
              <w:bottom w:val="single" w:color="auto" w:sz="4" w:space="0"/>
              <w:right w:val="single" w:color="000000" w:sz="4" w:space="0"/>
            </w:tcBorders>
            <w:noWrap w:val="0"/>
            <w:vAlign w:val="center"/>
          </w:tcPr>
          <w:p w14:paraId="747F2A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3650*200*20</w:t>
            </w:r>
          </w:p>
        </w:tc>
        <w:tc>
          <w:tcPr>
            <w:tcW w:w="1337" w:type="dxa"/>
            <w:tcBorders>
              <w:top w:val="single" w:color="000000" w:sz="4" w:space="0"/>
              <w:left w:val="single" w:color="000000" w:sz="4" w:space="0"/>
              <w:bottom w:val="single" w:color="auto" w:sz="4" w:space="0"/>
              <w:right w:val="single" w:color="000000" w:sz="4" w:space="0"/>
            </w:tcBorders>
            <w:noWrap w:val="0"/>
            <w:vAlign w:val="center"/>
          </w:tcPr>
          <w:p w14:paraId="1C333DF9">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auto" w:sz="4" w:space="0"/>
              <w:right w:val="single" w:color="000000" w:sz="4" w:space="0"/>
            </w:tcBorders>
            <w:noWrap w:val="0"/>
            <w:vAlign w:val="center"/>
          </w:tcPr>
          <w:p w14:paraId="7AB406B3">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auto" w:sz="4" w:space="0"/>
              <w:right w:val="single" w:color="000000" w:sz="4" w:space="0"/>
            </w:tcBorders>
            <w:noWrap w:val="0"/>
            <w:vAlign w:val="center"/>
          </w:tcPr>
          <w:p w14:paraId="59BD9692">
            <w:pPr>
              <w:jc w:val="center"/>
              <w:rPr>
                <w:rFonts w:hint="eastAsia" w:ascii="宋体" w:hAnsi="宋体" w:eastAsia="宋体" w:cs="宋体"/>
                <w:i w:val="0"/>
                <w:iCs w:val="0"/>
                <w:color w:val="auto"/>
                <w:sz w:val="22"/>
                <w:szCs w:val="22"/>
                <w:u w:val="none"/>
              </w:rPr>
            </w:pPr>
          </w:p>
        </w:tc>
      </w:tr>
      <w:tr w14:paraId="385F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1ADD68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45B47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A999A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1AD43E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森远牌AD5259TCXZZF</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EF44D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015602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2740*200*20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9FF57D">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781029C">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D61FFBF">
            <w:pPr>
              <w:jc w:val="center"/>
              <w:rPr>
                <w:rFonts w:hint="eastAsia" w:ascii="宋体" w:hAnsi="宋体" w:eastAsia="宋体" w:cs="宋体"/>
                <w:i w:val="0"/>
                <w:iCs w:val="0"/>
                <w:color w:val="auto"/>
                <w:sz w:val="22"/>
                <w:szCs w:val="22"/>
                <w:u w:val="none"/>
              </w:rPr>
            </w:pPr>
          </w:p>
        </w:tc>
      </w:tr>
      <w:tr w14:paraId="69EA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528EA3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AE99F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则克台养护所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7C645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0E7DF3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森远牌AD5259TCXZZF</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EDE3F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416FA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3350*210*20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A3AEF22">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9894B33">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81D4D28">
            <w:pPr>
              <w:jc w:val="center"/>
              <w:rPr>
                <w:rFonts w:hint="eastAsia" w:ascii="宋体" w:hAnsi="宋体" w:eastAsia="宋体" w:cs="宋体"/>
                <w:i w:val="0"/>
                <w:iCs w:val="0"/>
                <w:color w:val="auto"/>
                <w:sz w:val="22"/>
                <w:szCs w:val="22"/>
                <w:u w:val="none"/>
              </w:rPr>
            </w:pPr>
          </w:p>
        </w:tc>
      </w:tr>
      <w:tr w14:paraId="13A7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687869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C8C1A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霍城养护所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A25D4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平地机</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79784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CLG4200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F667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58845D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4260*240*20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52AC1DA">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C407AC4">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CEB72BB">
            <w:pPr>
              <w:jc w:val="center"/>
              <w:rPr>
                <w:rFonts w:hint="eastAsia" w:ascii="宋体" w:hAnsi="宋体" w:eastAsia="宋体" w:cs="宋体"/>
                <w:i w:val="0"/>
                <w:iCs w:val="0"/>
                <w:color w:val="auto"/>
                <w:sz w:val="22"/>
                <w:szCs w:val="22"/>
                <w:u w:val="none"/>
              </w:rPr>
            </w:pPr>
          </w:p>
        </w:tc>
      </w:tr>
      <w:tr w14:paraId="34F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4C9706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7977B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霍城养护所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AE93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1CD2D3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QDZ5250TCXZH</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AD52D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4D6280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76C88F8">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54A34FE">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011C6B3">
            <w:pPr>
              <w:jc w:val="center"/>
              <w:rPr>
                <w:rFonts w:hint="eastAsia" w:ascii="宋体" w:hAnsi="宋体" w:eastAsia="宋体" w:cs="宋体"/>
                <w:i w:val="0"/>
                <w:iCs w:val="0"/>
                <w:color w:val="auto"/>
                <w:sz w:val="22"/>
                <w:szCs w:val="22"/>
                <w:u w:val="none"/>
              </w:rPr>
            </w:pPr>
          </w:p>
        </w:tc>
      </w:tr>
      <w:tr w14:paraId="0F8D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54B33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EF593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霍城养护所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5B719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5034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QDZ5250TCXZH</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E6681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0AD0E2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190FA17">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131293E">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3572CB4">
            <w:pPr>
              <w:jc w:val="center"/>
              <w:rPr>
                <w:rFonts w:hint="eastAsia" w:ascii="宋体" w:hAnsi="宋体" w:eastAsia="宋体" w:cs="宋体"/>
                <w:i w:val="0"/>
                <w:iCs w:val="0"/>
                <w:color w:val="auto"/>
                <w:sz w:val="22"/>
                <w:szCs w:val="22"/>
                <w:u w:val="none"/>
              </w:rPr>
            </w:pPr>
          </w:p>
        </w:tc>
      </w:tr>
      <w:tr w14:paraId="3A59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6EF6F4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BECE9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霍城养护所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5C1727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依维柯除雪车（前刀）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B9C32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IVEC0380T36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7EC29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0F6EF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791474D">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B042F54">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C2802E2">
            <w:pPr>
              <w:jc w:val="center"/>
              <w:rPr>
                <w:rFonts w:hint="eastAsia" w:ascii="宋体" w:hAnsi="宋体" w:eastAsia="宋体" w:cs="宋体"/>
                <w:i w:val="0"/>
                <w:iCs w:val="0"/>
                <w:color w:val="auto"/>
                <w:sz w:val="22"/>
                <w:szCs w:val="22"/>
                <w:u w:val="none"/>
              </w:rPr>
            </w:pPr>
          </w:p>
        </w:tc>
      </w:tr>
      <w:tr w14:paraId="7168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4519A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732D8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霍城养护所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50B36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装载机（雪犁）</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484EE4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CLG856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53A5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3C8A49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C26983E">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FA1F6D3">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C2847D">
            <w:pPr>
              <w:jc w:val="center"/>
              <w:rPr>
                <w:rFonts w:hint="eastAsia" w:ascii="宋体" w:hAnsi="宋体" w:eastAsia="宋体" w:cs="宋体"/>
                <w:i w:val="0"/>
                <w:iCs w:val="0"/>
                <w:color w:val="auto"/>
                <w:sz w:val="22"/>
                <w:szCs w:val="22"/>
                <w:u w:val="none"/>
              </w:rPr>
            </w:pPr>
          </w:p>
        </w:tc>
      </w:tr>
      <w:tr w14:paraId="46E6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000000" w:sz="4" w:space="0"/>
              <w:bottom w:val="single" w:color="000000" w:sz="4" w:space="0"/>
              <w:right w:val="single" w:color="000000" w:sz="4" w:space="0"/>
            </w:tcBorders>
            <w:noWrap w:val="0"/>
            <w:vAlign w:val="center"/>
          </w:tcPr>
          <w:p w14:paraId="5F98DB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872" w:type="dxa"/>
            <w:tcBorders>
              <w:top w:val="single" w:color="auto" w:sz="4" w:space="0"/>
              <w:left w:val="single" w:color="000000" w:sz="4" w:space="0"/>
              <w:bottom w:val="single" w:color="000000" w:sz="4" w:space="0"/>
              <w:right w:val="single" w:color="000000" w:sz="4" w:space="0"/>
            </w:tcBorders>
            <w:noWrap w:val="0"/>
            <w:vAlign w:val="center"/>
          </w:tcPr>
          <w:p w14:paraId="757D3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巩留养护所</w:t>
            </w:r>
          </w:p>
        </w:tc>
        <w:tc>
          <w:tcPr>
            <w:tcW w:w="2325" w:type="dxa"/>
            <w:tcBorders>
              <w:top w:val="single" w:color="auto" w:sz="4" w:space="0"/>
              <w:left w:val="single" w:color="000000" w:sz="4" w:space="0"/>
              <w:bottom w:val="single" w:color="000000" w:sz="4" w:space="0"/>
              <w:right w:val="single" w:color="000000" w:sz="4" w:space="0"/>
            </w:tcBorders>
            <w:noWrap w:val="0"/>
            <w:vAlign w:val="center"/>
          </w:tcPr>
          <w:p w14:paraId="168BA2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auto" w:sz="4" w:space="0"/>
              <w:left w:val="single" w:color="000000" w:sz="4" w:space="0"/>
              <w:bottom w:val="single" w:color="000000" w:sz="4" w:space="0"/>
              <w:right w:val="single" w:color="000000" w:sz="4" w:space="0"/>
            </w:tcBorders>
            <w:noWrap w:val="0"/>
            <w:vAlign w:val="center"/>
          </w:tcPr>
          <w:p w14:paraId="4B4A4E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QDZ5250TCXZH</w:t>
            </w:r>
          </w:p>
        </w:tc>
        <w:tc>
          <w:tcPr>
            <w:tcW w:w="1575" w:type="dxa"/>
            <w:tcBorders>
              <w:top w:val="single" w:color="auto" w:sz="4" w:space="0"/>
              <w:left w:val="single" w:color="000000" w:sz="4" w:space="0"/>
              <w:bottom w:val="single" w:color="000000" w:sz="4" w:space="0"/>
              <w:right w:val="single" w:color="000000" w:sz="4" w:space="0"/>
            </w:tcBorders>
            <w:noWrap w:val="0"/>
            <w:vAlign w:val="center"/>
          </w:tcPr>
          <w:p w14:paraId="13B623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000000" w:sz="4" w:space="0"/>
              <w:bottom w:val="single" w:color="000000" w:sz="4" w:space="0"/>
              <w:right w:val="single" w:color="000000" w:sz="4" w:space="0"/>
            </w:tcBorders>
            <w:noWrap w:val="0"/>
            <w:vAlign w:val="center"/>
          </w:tcPr>
          <w:p w14:paraId="3B95DF7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3360*200*20</w:t>
            </w:r>
          </w:p>
        </w:tc>
        <w:tc>
          <w:tcPr>
            <w:tcW w:w="1337" w:type="dxa"/>
            <w:tcBorders>
              <w:top w:val="single" w:color="auto" w:sz="4" w:space="0"/>
              <w:left w:val="single" w:color="000000" w:sz="4" w:space="0"/>
              <w:bottom w:val="single" w:color="000000" w:sz="4" w:space="0"/>
              <w:right w:val="single" w:color="000000" w:sz="4" w:space="0"/>
            </w:tcBorders>
            <w:noWrap w:val="0"/>
            <w:vAlign w:val="center"/>
          </w:tcPr>
          <w:p w14:paraId="2F0B16FF">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000000" w:sz="4" w:space="0"/>
              <w:bottom w:val="single" w:color="000000" w:sz="4" w:space="0"/>
              <w:right w:val="single" w:color="000000" w:sz="4" w:space="0"/>
            </w:tcBorders>
            <w:noWrap w:val="0"/>
            <w:vAlign w:val="center"/>
          </w:tcPr>
          <w:p w14:paraId="3701D019">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000000" w:sz="4" w:space="0"/>
              <w:bottom w:val="single" w:color="000000" w:sz="4" w:space="0"/>
              <w:right w:val="single" w:color="000000" w:sz="4" w:space="0"/>
            </w:tcBorders>
            <w:noWrap w:val="0"/>
            <w:vAlign w:val="center"/>
          </w:tcPr>
          <w:p w14:paraId="0EFE2CBB">
            <w:pPr>
              <w:jc w:val="center"/>
              <w:rPr>
                <w:rFonts w:hint="eastAsia" w:ascii="宋体" w:hAnsi="宋体" w:eastAsia="宋体" w:cs="宋体"/>
                <w:i w:val="0"/>
                <w:iCs w:val="0"/>
                <w:color w:val="auto"/>
                <w:sz w:val="22"/>
                <w:szCs w:val="22"/>
                <w:u w:val="none"/>
              </w:rPr>
            </w:pPr>
          </w:p>
        </w:tc>
      </w:tr>
      <w:tr w14:paraId="3BB9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16C30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717CEE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巩留养护所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8AF1D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49EDC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ZJV5250TCXYKZZ</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C3C4E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2886C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3645*200*20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10972B2">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91F459C">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424B1DC">
            <w:pPr>
              <w:jc w:val="center"/>
              <w:rPr>
                <w:rFonts w:hint="eastAsia" w:ascii="宋体" w:hAnsi="宋体" w:eastAsia="宋体" w:cs="宋体"/>
                <w:i w:val="0"/>
                <w:iCs w:val="0"/>
                <w:color w:val="auto"/>
                <w:sz w:val="22"/>
                <w:szCs w:val="22"/>
                <w:u w:val="none"/>
              </w:rPr>
            </w:pPr>
          </w:p>
        </w:tc>
      </w:tr>
      <w:tr w14:paraId="444C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5F59C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027221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巩留养护所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A92F4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40A46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QDZ5253TCXZHE1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4D50C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FEF7F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2760*200*20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351E65E">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8293493">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2ABEA3E">
            <w:pPr>
              <w:jc w:val="center"/>
              <w:rPr>
                <w:rFonts w:hint="eastAsia" w:ascii="宋体" w:hAnsi="宋体" w:eastAsia="宋体" w:cs="宋体"/>
                <w:i w:val="0"/>
                <w:iCs w:val="0"/>
                <w:color w:val="auto"/>
                <w:sz w:val="22"/>
                <w:szCs w:val="22"/>
                <w:u w:val="none"/>
              </w:rPr>
            </w:pPr>
          </w:p>
        </w:tc>
      </w:tr>
      <w:tr w14:paraId="1DA5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4359B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0BE3A4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巩留养护所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53ED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欧曼除雪车（前刀）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E96B5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BJ3252DLPJB-XA</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D89BC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018C7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3645*200*20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C8EE81E">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D4E2021">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BBE9B1C">
            <w:pPr>
              <w:jc w:val="center"/>
              <w:rPr>
                <w:rFonts w:hint="eastAsia" w:ascii="宋体" w:hAnsi="宋体" w:eastAsia="宋体" w:cs="宋体"/>
                <w:i w:val="0"/>
                <w:iCs w:val="0"/>
                <w:color w:val="auto"/>
                <w:sz w:val="22"/>
                <w:szCs w:val="22"/>
                <w:u w:val="none"/>
              </w:rPr>
            </w:pPr>
          </w:p>
        </w:tc>
      </w:tr>
      <w:tr w14:paraId="4B0B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28E4F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0E1857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巩留养护所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0B40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豪沃单板除雪车</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BA76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ZZ3257N3847C1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4CAAC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B6391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3645*200*20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A384BD7">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52C0523">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5521BE0">
            <w:pPr>
              <w:jc w:val="center"/>
              <w:rPr>
                <w:rFonts w:hint="eastAsia" w:ascii="宋体" w:hAnsi="宋体" w:eastAsia="宋体" w:cs="宋体"/>
                <w:i w:val="0"/>
                <w:iCs w:val="0"/>
                <w:color w:val="auto"/>
                <w:sz w:val="22"/>
                <w:szCs w:val="22"/>
                <w:u w:val="none"/>
              </w:rPr>
            </w:pPr>
          </w:p>
        </w:tc>
      </w:tr>
      <w:tr w14:paraId="1F17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16A86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50870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05D48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装载机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674D4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ZL50D</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57DFB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F3FD8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3650*250*20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A0DF94F">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7879C6A">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20B2968">
            <w:pPr>
              <w:jc w:val="center"/>
              <w:rPr>
                <w:rFonts w:hint="eastAsia" w:ascii="宋体" w:hAnsi="宋体" w:eastAsia="宋体" w:cs="宋体"/>
                <w:i w:val="0"/>
                <w:iCs w:val="0"/>
                <w:color w:val="auto"/>
                <w:sz w:val="22"/>
                <w:szCs w:val="22"/>
                <w:u w:val="none"/>
              </w:rPr>
            </w:pPr>
          </w:p>
        </w:tc>
      </w:tr>
      <w:tr w14:paraId="58E3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45BDC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4A8F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BC8C7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装载机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32AECF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957Z</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C76C7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B4C0D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3800*250*20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51B173F">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C9872D0">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6597CF1">
            <w:pPr>
              <w:jc w:val="center"/>
              <w:rPr>
                <w:rFonts w:hint="eastAsia" w:ascii="宋体" w:hAnsi="宋体" w:eastAsia="宋体" w:cs="宋体"/>
                <w:i w:val="0"/>
                <w:iCs w:val="0"/>
                <w:color w:val="auto"/>
                <w:sz w:val="22"/>
                <w:szCs w:val="22"/>
                <w:u w:val="none"/>
              </w:rPr>
            </w:pPr>
          </w:p>
        </w:tc>
      </w:tr>
      <w:tr w14:paraId="516F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91B78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51625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9954D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装载机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48BECF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856H</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BC27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47F3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3645*250*20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857CB30">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7CD59D0">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5C83F8D">
            <w:pPr>
              <w:jc w:val="center"/>
              <w:rPr>
                <w:rFonts w:hint="eastAsia" w:ascii="宋体" w:hAnsi="宋体" w:eastAsia="宋体" w:cs="宋体"/>
                <w:i w:val="0"/>
                <w:iCs w:val="0"/>
                <w:color w:val="auto"/>
                <w:sz w:val="22"/>
                <w:szCs w:val="22"/>
                <w:u w:val="none"/>
              </w:rPr>
            </w:pPr>
          </w:p>
        </w:tc>
      </w:tr>
      <w:tr w14:paraId="4049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034E2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73F127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4ABAC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平地机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04549A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SANYI</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8FE40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E7D429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3960*250*20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A2F3A58">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B220B98">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FBBBDED">
            <w:pPr>
              <w:jc w:val="center"/>
              <w:rPr>
                <w:rFonts w:hint="eastAsia" w:ascii="宋体" w:hAnsi="宋体" w:eastAsia="宋体" w:cs="宋体"/>
                <w:i w:val="0"/>
                <w:iCs w:val="0"/>
                <w:color w:val="auto"/>
                <w:sz w:val="22"/>
                <w:szCs w:val="22"/>
                <w:u w:val="none"/>
              </w:rPr>
            </w:pPr>
          </w:p>
        </w:tc>
      </w:tr>
      <w:tr w14:paraId="740C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3B54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32CD0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75DDF4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双板前刀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23C0F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双板前刀</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10F1B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A8CF2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3650*250*20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A72D382">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836D8AA">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495A4D3">
            <w:pPr>
              <w:jc w:val="center"/>
              <w:rPr>
                <w:rFonts w:hint="eastAsia" w:ascii="宋体" w:hAnsi="宋体" w:eastAsia="宋体" w:cs="宋体"/>
                <w:i w:val="0"/>
                <w:iCs w:val="0"/>
                <w:color w:val="auto"/>
                <w:sz w:val="22"/>
                <w:szCs w:val="22"/>
                <w:u w:val="none"/>
              </w:rPr>
            </w:pPr>
          </w:p>
        </w:tc>
      </w:tr>
      <w:tr w14:paraId="7DC5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D2C5C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7AB2F9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11FA2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双板腹刀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5CAC38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双板腹刀</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38CD0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7453DC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3360*200*20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8924081">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8428887">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ED2BB93">
            <w:pPr>
              <w:jc w:val="center"/>
              <w:rPr>
                <w:rFonts w:hint="eastAsia" w:ascii="宋体" w:hAnsi="宋体" w:eastAsia="宋体" w:cs="宋体"/>
                <w:i w:val="0"/>
                <w:iCs w:val="0"/>
                <w:color w:val="auto"/>
                <w:sz w:val="22"/>
                <w:szCs w:val="22"/>
                <w:u w:val="none"/>
              </w:rPr>
            </w:pPr>
          </w:p>
        </w:tc>
      </w:tr>
      <w:tr w14:paraId="3A5E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44133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7A9D22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37FA8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旋抛除雪车</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67AF67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NR280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8DFD8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748CF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2595*250*20</w:t>
            </w:r>
          </w:p>
        </w:tc>
        <w:tc>
          <w:tcPr>
            <w:tcW w:w="1337" w:type="dxa"/>
            <w:tcBorders>
              <w:top w:val="nil"/>
              <w:left w:val="single" w:color="000000" w:sz="4" w:space="0"/>
              <w:bottom w:val="single" w:color="000000" w:sz="4" w:space="0"/>
              <w:right w:val="single" w:color="000000" w:sz="4" w:space="0"/>
            </w:tcBorders>
            <w:noWrap w:val="0"/>
            <w:vAlign w:val="center"/>
          </w:tcPr>
          <w:p w14:paraId="5D5FBB68">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E9291C4">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36306490">
            <w:pPr>
              <w:jc w:val="center"/>
              <w:rPr>
                <w:rFonts w:hint="eastAsia" w:ascii="宋体" w:hAnsi="宋体" w:eastAsia="宋体" w:cs="宋体"/>
                <w:i w:val="0"/>
                <w:iCs w:val="0"/>
                <w:color w:val="auto"/>
                <w:sz w:val="22"/>
                <w:szCs w:val="22"/>
                <w:u w:val="none"/>
              </w:rPr>
            </w:pPr>
          </w:p>
        </w:tc>
      </w:tr>
      <w:tr w14:paraId="4C55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05ECF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B727E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262B4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旋抛除雪车</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36AA78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NR282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6D3D8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65E3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2595*250*20</w:t>
            </w:r>
          </w:p>
        </w:tc>
        <w:tc>
          <w:tcPr>
            <w:tcW w:w="1337" w:type="dxa"/>
            <w:tcBorders>
              <w:top w:val="nil"/>
              <w:left w:val="single" w:color="000000" w:sz="4" w:space="0"/>
              <w:bottom w:val="single" w:color="000000" w:sz="4" w:space="0"/>
              <w:right w:val="single" w:color="000000" w:sz="4" w:space="0"/>
            </w:tcBorders>
            <w:noWrap w:val="0"/>
            <w:vAlign w:val="center"/>
          </w:tcPr>
          <w:p w14:paraId="77875399">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49C6190">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2AEAA029">
            <w:pPr>
              <w:jc w:val="center"/>
              <w:rPr>
                <w:rFonts w:hint="eastAsia" w:ascii="宋体" w:hAnsi="宋体" w:eastAsia="宋体" w:cs="宋体"/>
                <w:i w:val="0"/>
                <w:iCs w:val="0"/>
                <w:color w:val="auto"/>
                <w:sz w:val="22"/>
                <w:szCs w:val="22"/>
                <w:u w:val="none"/>
              </w:rPr>
            </w:pPr>
          </w:p>
        </w:tc>
      </w:tr>
      <w:tr w14:paraId="244B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9FE0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8060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那拉提养护所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0454B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轮式推土机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71FB51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TL210H</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43A4E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6EC1B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4150*250*25</w:t>
            </w:r>
          </w:p>
        </w:tc>
        <w:tc>
          <w:tcPr>
            <w:tcW w:w="1337" w:type="dxa"/>
            <w:tcBorders>
              <w:top w:val="nil"/>
              <w:left w:val="single" w:color="000000" w:sz="4" w:space="0"/>
              <w:bottom w:val="single" w:color="000000" w:sz="4" w:space="0"/>
              <w:right w:val="single" w:color="000000" w:sz="4" w:space="0"/>
            </w:tcBorders>
            <w:noWrap w:val="0"/>
            <w:vAlign w:val="center"/>
          </w:tcPr>
          <w:p w14:paraId="4050570E">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9CB482E">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7D7CB7CE">
            <w:pPr>
              <w:jc w:val="center"/>
              <w:rPr>
                <w:rFonts w:hint="eastAsia" w:ascii="宋体" w:hAnsi="宋体" w:eastAsia="宋体" w:cs="宋体"/>
                <w:i w:val="0"/>
                <w:iCs w:val="0"/>
                <w:color w:val="auto"/>
                <w:sz w:val="22"/>
                <w:szCs w:val="22"/>
                <w:u w:val="none"/>
              </w:rPr>
            </w:pPr>
          </w:p>
        </w:tc>
      </w:tr>
      <w:tr w14:paraId="4ACB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64892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3FD80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尼勒克养护所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B04EC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多功能除雪车三板（腹刀）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6B25C9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森远牌AD5259TCXZZF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DBCBB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ECBAC2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3360*200*20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51A8191">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9F47799">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27A16DD">
            <w:pPr>
              <w:jc w:val="center"/>
              <w:rPr>
                <w:rFonts w:hint="eastAsia" w:ascii="宋体" w:hAnsi="宋体" w:eastAsia="宋体" w:cs="宋体"/>
                <w:i w:val="0"/>
                <w:iCs w:val="0"/>
                <w:color w:val="auto"/>
                <w:sz w:val="22"/>
                <w:szCs w:val="22"/>
                <w:u w:val="none"/>
              </w:rPr>
            </w:pPr>
          </w:p>
        </w:tc>
      </w:tr>
      <w:tr w14:paraId="3178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C8031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79656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03FAD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平地机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34DE60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PY180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E714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67B253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4000*220*20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8B0844A">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ED1884B">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F826191">
            <w:pPr>
              <w:jc w:val="center"/>
              <w:rPr>
                <w:rFonts w:hint="eastAsia" w:ascii="宋体" w:hAnsi="宋体" w:eastAsia="宋体" w:cs="宋体"/>
                <w:i w:val="0"/>
                <w:iCs w:val="0"/>
                <w:color w:val="auto"/>
                <w:sz w:val="22"/>
                <w:szCs w:val="22"/>
                <w:u w:val="none"/>
              </w:rPr>
            </w:pPr>
          </w:p>
        </w:tc>
      </w:tr>
      <w:tr w14:paraId="47CB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B358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3BD73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002F3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平地机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412FE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PY200G</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9A137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C0D328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4000*220*20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C8361B1">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CD53FCE">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76A2AD8">
            <w:pPr>
              <w:jc w:val="center"/>
              <w:rPr>
                <w:rFonts w:hint="eastAsia" w:ascii="宋体" w:hAnsi="宋体" w:eastAsia="宋体" w:cs="宋体"/>
                <w:i w:val="0"/>
                <w:iCs w:val="0"/>
                <w:color w:val="auto"/>
                <w:sz w:val="22"/>
                <w:szCs w:val="22"/>
                <w:u w:val="none"/>
              </w:rPr>
            </w:pPr>
          </w:p>
        </w:tc>
      </w:tr>
      <w:tr w14:paraId="0D12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A1387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840D8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5EA5F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装载机</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0FF14E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CLG856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17F38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FB7E5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3660*250*22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148891A">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AE4450E">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6676ED2">
            <w:pPr>
              <w:jc w:val="center"/>
              <w:rPr>
                <w:rFonts w:hint="eastAsia" w:ascii="宋体" w:hAnsi="宋体" w:eastAsia="宋体" w:cs="宋体"/>
                <w:i w:val="0"/>
                <w:iCs w:val="0"/>
                <w:color w:val="auto"/>
                <w:sz w:val="22"/>
                <w:szCs w:val="22"/>
                <w:u w:val="none"/>
              </w:rPr>
            </w:pPr>
          </w:p>
        </w:tc>
      </w:tr>
      <w:tr w14:paraId="3A03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8268D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AB032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858C4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5584A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QDZ5253TCXZZE1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AF1B0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8A41B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6B8FB09">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8BDB2F5">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3934399">
            <w:pPr>
              <w:jc w:val="center"/>
              <w:rPr>
                <w:rFonts w:hint="eastAsia" w:ascii="宋体" w:hAnsi="宋体" w:eastAsia="宋体" w:cs="宋体"/>
                <w:i w:val="0"/>
                <w:iCs w:val="0"/>
                <w:color w:val="auto"/>
                <w:sz w:val="22"/>
                <w:szCs w:val="22"/>
                <w:u w:val="none"/>
              </w:rPr>
            </w:pPr>
          </w:p>
        </w:tc>
      </w:tr>
      <w:tr w14:paraId="78CF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2AD7F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09F23C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394B7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055B9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QDZ5253TCXZZE1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CD09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865EF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3320*200*20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A8CD190">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C2E8803">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59AD0DF">
            <w:pPr>
              <w:jc w:val="center"/>
              <w:rPr>
                <w:rFonts w:hint="eastAsia" w:ascii="宋体" w:hAnsi="宋体" w:eastAsia="宋体" w:cs="宋体"/>
                <w:i w:val="0"/>
                <w:iCs w:val="0"/>
                <w:color w:val="auto"/>
                <w:sz w:val="22"/>
                <w:szCs w:val="22"/>
                <w:u w:val="none"/>
              </w:rPr>
            </w:pPr>
          </w:p>
        </w:tc>
      </w:tr>
      <w:tr w14:paraId="26CB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auto" w:sz="4" w:space="0"/>
              <w:right w:val="single" w:color="000000" w:sz="4" w:space="0"/>
            </w:tcBorders>
            <w:noWrap w:val="0"/>
            <w:vAlign w:val="center"/>
          </w:tcPr>
          <w:p w14:paraId="05698C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872" w:type="dxa"/>
            <w:tcBorders>
              <w:top w:val="single" w:color="000000" w:sz="4" w:space="0"/>
              <w:left w:val="single" w:color="000000" w:sz="4" w:space="0"/>
              <w:bottom w:val="single" w:color="auto" w:sz="4" w:space="0"/>
              <w:right w:val="single" w:color="000000" w:sz="4" w:space="0"/>
            </w:tcBorders>
            <w:noWrap w:val="0"/>
            <w:vAlign w:val="center"/>
          </w:tcPr>
          <w:p w14:paraId="373301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000000" w:sz="4" w:space="0"/>
              <w:left w:val="single" w:color="000000" w:sz="4" w:space="0"/>
              <w:bottom w:val="single" w:color="auto" w:sz="4" w:space="0"/>
              <w:right w:val="single" w:color="000000" w:sz="4" w:space="0"/>
            </w:tcBorders>
            <w:noWrap w:val="0"/>
            <w:vAlign w:val="center"/>
          </w:tcPr>
          <w:p w14:paraId="7F5E2C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auto" w:sz="4" w:space="0"/>
              <w:right w:val="single" w:color="000000" w:sz="4" w:space="0"/>
            </w:tcBorders>
            <w:noWrap w:val="0"/>
            <w:vAlign w:val="center"/>
          </w:tcPr>
          <w:p w14:paraId="7234CD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QDZ5253TCXZZE1</w:t>
            </w:r>
          </w:p>
        </w:tc>
        <w:tc>
          <w:tcPr>
            <w:tcW w:w="1575" w:type="dxa"/>
            <w:tcBorders>
              <w:top w:val="single" w:color="000000" w:sz="4" w:space="0"/>
              <w:left w:val="single" w:color="000000" w:sz="4" w:space="0"/>
              <w:bottom w:val="single" w:color="auto" w:sz="4" w:space="0"/>
              <w:right w:val="single" w:color="000000" w:sz="4" w:space="0"/>
            </w:tcBorders>
            <w:noWrap w:val="0"/>
            <w:vAlign w:val="center"/>
          </w:tcPr>
          <w:p w14:paraId="0C0450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auto" w:sz="4" w:space="0"/>
              <w:right w:val="single" w:color="000000" w:sz="4" w:space="0"/>
            </w:tcBorders>
            <w:noWrap w:val="0"/>
            <w:vAlign w:val="center"/>
          </w:tcPr>
          <w:p w14:paraId="3B20ED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2760*200*20</w:t>
            </w:r>
          </w:p>
        </w:tc>
        <w:tc>
          <w:tcPr>
            <w:tcW w:w="1337" w:type="dxa"/>
            <w:tcBorders>
              <w:top w:val="nil"/>
              <w:left w:val="single" w:color="000000" w:sz="4" w:space="0"/>
              <w:bottom w:val="single" w:color="auto" w:sz="4" w:space="0"/>
              <w:right w:val="single" w:color="000000" w:sz="4" w:space="0"/>
            </w:tcBorders>
            <w:noWrap w:val="0"/>
            <w:vAlign w:val="center"/>
          </w:tcPr>
          <w:p w14:paraId="21740645">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auto" w:sz="4" w:space="0"/>
              <w:right w:val="single" w:color="000000" w:sz="4" w:space="0"/>
            </w:tcBorders>
            <w:noWrap w:val="0"/>
            <w:vAlign w:val="center"/>
          </w:tcPr>
          <w:p w14:paraId="6ECAA14E">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auto" w:sz="4" w:space="0"/>
              <w:right w:val="single" w:color="000000" w:sz="4" w:space="0"/>
            </w:tcBorders>
            <w:noWrap w:val="0"/>
            <w:vAlign w:val="center"/>
          </w:tcPr>
          <w:p w14:paraId="505D2C87">
            <w:pPr>
              <w:jc w:val="center"/>
              <w:rPr>
                <w:rFonts w:hint="eastAsia" w:ascii="宋体" w:hAnsi="宋体" w:eastAsia="宋体" w:cs="宋体"/>
                <w:i w:val="0"/>
                <w:iCs w:val="0"/>
                <w:color w:val="auto"/>
                <w:sz w:val="22"/>
                <w:szCs w:val="22"/>
                <w:u w:val="none"/>
              </w:rPr>
            </w:pPr>
          </w:p>
        </w:tc>
      </w:tr>
      <w:tr w14:paraId="55E7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156BF4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155F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EA91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D054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HZV5251TCXD6ZL</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7CAC3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02D17F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3658*200*20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290247E">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572E611">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879612F">
            <w:pPr>
              <w:jc w:val="center"/>
              <w:rPr>
                <w:rFonts w:hint="eastAsia" w:ascii="宋体" w:hAnsi="宋体" w:eastAsia="宋体" w:cs="宋体"/>
                <w:i w:val="0"/>
                <w:iCs w:val="0"/>
                <w:color w:val="auto"/>
                <w:sz w:val="22"/>
                <w:szCs w:val="22"/>
                <w:u w:val="none"/>
              </w:rPr>
            </w:pPr>
          </w:p>
        </w:tc>
      </w:tr>
      <w:tr w14:paraId="7BA8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61B83B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AD398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FA62C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4169DC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HZV5251TCXD6ZL</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CA91B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5B34FD8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3440*200*20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3EDDB88">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AC23F97">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D7CECD5">
            <w:pPr>
              <w:jc w:val="center"/>
              <w:rPr>
                <w:rFonts w:hint="eastAsia" w:ascii="宋体" w:hAnsi="宋体" w:eastAsia="宋体" w:cs="宋体"/>
                <w:i w:val="0"/>
                <w:iCs w:val="0"/>
                <w:color w:val="auto"/>
                <w:sz w:val="22"/>
                <w:szCs w:val="22"/>
                <w:u w:val="none"/>
              </w:rPr>
            </w:pPr>
          </w:p>
        </w:tc>
      </w:tr>
      <w:tr w14:paraId="65D0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1ED8E7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4D670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15713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0F0470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HZV5251TCXD6ZL</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3311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101566D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3300*200*20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BA13384">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B8F7033">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165D40F">
            <w:pPr>
              <w:jc w:val="center"/>
              <w:rPr>
                <w:rFonts w:hint="eastAsia" w:ascii="宋体" w:hAnsi="宋体" w:eastAsia="宋体" w:cs="宋体"/>
                <w:i w:val="0"/>
                <w:iCs w:val="0"/>
                <w:color w:val="auto"/>
                <w:sz w:val="22"/>
                <w:szCs w:val="22"/>
                <w:u w:val="none"/>
              </w:rPr>
            </w:pPr>
          </w:p>
        </w:tc>
      </w:tr>
      <w:tr w14:paraId="775F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2A483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E185D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FA67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40AE3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HZV5251TCXD6ZL</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2C299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65BA9F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3658*200*20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43C7763">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F88ABDB">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5EA7B6">
            <w:pPr>
              <w:jc w:val="center"/>
              <w:rPr>
                <w:rFonts w:hint="eastAsia" w:ascii="宋体" w:hAnsi="宋体" w:eastAsia="宋体" w:cs="宋体"/>
                <w:i w:val="0"/>
                <w:iCs w:val="0"/>
                <w:color w:val="auto"/>
                <w:sz w:val="22"/>
                <w:szCs w:val="22"/>
                <w:u w:val="none"/>
              </w:rPr>
            </w:pPr>
          </w:p>
        </w:tc>
      </w:tr>
      <w:tr w14:paraId="1CB4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7B00C0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C0155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95EBA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3B6A1A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HZV5251TCXD6ZL</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31297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79C4026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3440*200*20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3695192">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D5F54E8">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1ECE2B3">
            <w:pPr>
              <w:jc w:val="center"/>
              <w:rPr>
                <w:rFonts w:hint="eastAsia" w:ascii="宋体" w:hAnsi="宋体" w:eastAsia="宋体" w:cs="宋体"/>
                <w:i w:val="0"/>
                <w:iCs w:val="0"/>
                <w:color w:val="auto"/>
                <w:sz w:val="22"/>
                <w:szCs w:val="22"/>
                <w:u w:val="none"/>
              </w:rPr>
            </w:pPr>
          </w:p>
        </w:tc>
      </w:tr>
      <w:tr w14:paraId="0522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67CAA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84C39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C8D7A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328596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HZV5251TCXD6ZL</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024B2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5EAF818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3300*200*20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C26403">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1EA2966">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729E4E4">
            <w:pPr>
              <w:jc w:val="center"/>
              <w:rPr>
                <w:rFonts w:hint="eastAsia" w:ascii="宋体" w:hAnsi="宋体" w:eastAsia="宋体" w:cs="宋体"/>
                <w:i w:val="0"/>
                <w:iCs w:val="0"/>
                <w:color w:val="auto"/>
                <w:sz w:val="22"/>
                <w:szCs w:val="22"/>
                <w:u w:val="none"/>
              </w:rPr>
            </w:pPr>
          </w:p>
        </w:tc>
      </w:tr>
      <w:tr w14:paraId="7B9D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auto" w:sz="4" w:space="0"/>
              <w:left w:val="single" w:color="000000" w:sz="4" w:space="0"/>
              <w:bottom w:val="single" w:color="000000" w:sz="4" w:space="0"/>
              <w:right w:val="single" w:color="000000" w:sz="4" w:space="0"/>
            </w:tcBorders>
            <w:noWrap w:val="0"/>
            <w:vAlign w:val="center"/>
          </w:tcPr>
          <w:p w14:paraId="20A19A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872" w:type="dxa"/>
            <w:tcBorders>
              <w:top w:val="single" w:color="auto" w:sz="4" w:space="0"/>
              <w:left w:val="single" w:color="000000" w:sz="4" w:space="0"/>
              <w:bottom w:val="single" w:color="000000" w:sz="4" w:space="0"/>
              <w:right w:val="single" w:color="000000" w:sz="4" w:space="0"/>
            </w:tcBorders>
            <w:noWrap w:val="0"/>
            <w:vAlign w:val="center"/>
          </w:tcPr>
          <w:p w14:paraId="15189E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auto" w:sz="4" w:space="0"/>
              <w:left w:val="single" w:color="000000" w:sz="4" w:space="0"/>
              <w:bottom w:val="single" w:color="000000" w:sz="4" w:space="0"/>
              <w:right w:val="single" w:color="000000" w:sz="4" w:space="0"/>
            </w:tcBorders>
            <w:noWrap w:val="0"/>
            <w:vAlign w:val="center"/>
          </w:tcPr>
          <w:p w14:paraId="419368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auto" w:sz="4" w:space="0"/>
              <w:left w:val="single" w:color="000000" w:sz="4" w:space="0"/>
              <w:bottom w:val="single" w:color="000000" w:sz="4" w:space="0"/>
              <w:right w:val="single" w:color="000000" w:sz="4" w:space="0"/>
            </w:tcBorders>
            <w:noWrap w:val="0"/>
            <w:vAlign w:val="center"/>
          </w:tcPr>
          <w:p w14:paraId="45CF27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AD5259TCXZZF</w:t>
            </w:r>
          </w:p>
        </w:tc>
        <w:tc>
          <w:tcPr>
            <w:tcW w:w="1575" w:type="dxa"/>
            <w:tcBorders>
              <w:top w:val="single" w:color="auto" w:sz="4" w:space="0"/>
              <w:left w:val="single" w:color="000000" w:sz="4" w:space="0"/>
              <w:bottom w:val="single" w:color="000000" w:sz="4" w:space="0"/>
              <w:right w:val="single" w:color="000000" w:sz="4" w:space="0"/>
            </w:tcBorders>
            <w:noWrap w:val="0"/>
            <w:vAlign w:val="center"/>
          </w:tcPr>
          <w:p w14:paraId="33410B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auto" w:sz="4" w:space="0"/>
              <w:left w:val="single" w:color="000000" w:sz="4" w:space="0"/>
              <w:bottom w:val="single" w:color="000000" w:sz="4" w:space="0"/>
              <w:right w:val="single" w:color="000000" w:sz="4" w:space="0"/>
            </w:tcBorders>
            <w:noWrap w:val="0"/>
            <w:vAlign w:val="center"/>
          </w:tcPr>
          <w:p w14:paraId="2E34A5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3658*200*20</w:t>
            </w:r>
          </w:p>
        </w:tc>
        <w:tc>
          <w:tcPr>
            <w:tcW w:w="1337" w:type="dxa"/>
            <w:tcBorders>
              <w:top w:val="single" w:color="auto" w:sz="4" w:space="0"/>
              <w:left w:val="single" w:color="000000" w:sz="4" w:space="0"/>
              <w:bottom w:val="single" w:color="000000" w:sz="4" w:space="0"/>
              <w:right w:val="single" w:color="000000" w:sz="4" w:space="0"/>
            </w:tcBorders>
            <w:noWrap w:val="0"/>
            <w:vAlign w:val="center"/>
          </w:tcPr>
          <w:p w14:paraId="4FC2118D">
            <w:pPr>
              <w:jc w:val="center"/>
              <w:rPr>
                <w:rFonts w:hint="eastAsia" w:ascii="宋体" w:hAnsi="宋体" w:eastAsia="宋体" w:cs="宋体"/>
                <w:i w:val="0"/>
                <w:iCs w:val="0"/>
                <w:color w:val="auto"/>
                <w:sz w:val="22"/>
                <w:szCs w:val="22"/>
                <w:u w:val="none"/>
              </w:rPr>
            </w:pPr>
          </w:p>
        </w:tc>
        <w:tc>
          <w:tcPr>
            <w:tcW w:w="1250" w:type="dxa"/>
            <w:tcBorders>
              <w:top w:val="single" w:color="auto" w:sz="4" w:space="0"/>
              <w:left w:val="single" w:color="000000" w:sz="4" w:space="0"/>
              <w:bottom w:val="single" w:color="000000" w:sz="4" w:space="0"/>
              <w:right w:val="single" w:color="000000" w:sz="4" w:space="0"/>
            </w:tcBorders>
            <w:noWrap w:val="0"/>
            <w:vAlign w:val="center"/>
          </w:tcPr>
          <w:p w14:paraId="6E370D31">
            <w:pPr>
              <w:jc w:val="center"/>
              <w:rPr>
                <w:rFonts w:hint="eastAsia" w:ascii="宋体" w:hAnsi="宋体" w:eastAsia="宋体" w:cs="宋体"/>
                <w:i w:val="0"/>
                <w:iCs w:val="0"/>
                <w:color w:val="auto"/>
                <w:sz w:val="22"/>
                <w:szCs w:val="22"/>
                <w:u w:val="none"/>
              </w:rPr>
            </w:pPr>
          </w:p>
        </w:tc>
        <w:tc>
          <w:tcPr>
            <w:tcW w:w="1150" w:type="dxa"/>
            <w:tcBorders>
              <w:top w:val="single" w:color="auto" w:sz="4" w:space="0"/>
              <w:left w:val="single" w:color="000000" w:sz="4" w:space="0"/>
              <w:bottom w:val="single" w:color="000000" w:sz="4" w:space="0"/>
              <w:right w:val="single" w:color="000000" w:sz="4" w:space="0"/>
            </w:tcBorders>
            <w:noWrap w:val="0"/>
            <w:vAlign w:val="center"/>
          </w:tcPr>
          <w:p w14:paraId="438C384E">
            <w:pPr>
              <w:jc w:val="center"/>
              <w:rPr>
                <w:rFonts w:hint="eastAsia" w:ascii="宋体" w:hAnsi="宋体" w:eastAsia="宋体" w:cs="宋体"/>
                <w:i w:val="0"/>
                <w:iCs w:val="0"/>
                <w:color w:val="auto"/>
                <w:sz w:val="22"/>
                <w:szCs w:val="22"/>
                <w:u w:val="none"/>
              </w:rPr>
            </w:pPr>
          </w:p>
        </w:tc>
      </w:tr>
      <w:tr w14:paraId="4BDA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6F227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23DF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1060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666E3F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70E5D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64A736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2440*200*20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2228D0D">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6B0DE4B">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4AF2E039">
            <w:pPr>
              <w:jc w:val="center"/>
              <w:rPr>
                <w:rFonts w:hint="eastAsia" w:ascii="宋体" w:hAnsi="宋体" w:eastAsia="宋体" w:cs="宋体"/>
                <w:i w:val="0"/>
                <w:iCs w:val="0"/>
                <w:color w:val="auto"/>
                <w:sz w:val="22"/>
                <w:szCs w:val="22"/>
                <w:u w:val="none"/>
              </w:rPr>
            </w:pPr>
          </w:p>
        </w:tc>
      </w:tr>
      <w:tr w14:paraId="5B51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5C3C6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CFFB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察布查尔养护所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0C61B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553F0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32F05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09F0BE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3300*200*20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6DB25F4">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DF4D4AB">
            <w:pPr>
              <w:jc w:val="center"/>
              <w:rPr>
                <w:rFonts w:hint="eastAsia" w:ascii="宋体" w:hAnsi="宋体" w:eastAsia="宋体" w:cs="宋体"/>
                <w:i w:val="0"/>
                <w:iCs w:val="0"/>
                <w:color w:val="auto"/>
                <w:sz w:val="22"/>
                <w:szCs w:val="22"/>
                <w:u w:val="none"/>
              </w:rPr>
            </w:pPr>
          </w:p>
        </w:tc>
        <w:tc>
          <w:tcPr>
            <w:tcW w:w="1150" w:type="dxa"/>
            <w:tcBorders>
              <w:top w:val="nil"/>
              <w:left w:val="single" w:color="000000" w:sz="4" w:space="0"/>
              <w:bottom w:val="single" w:color="000000" w:sz="4" w:space="0"/>
              <w:right w:val="single" w:color="000000" w:sz="4" w:space="0"/>
            </w:tcBorders>
            <w:noWrap w:val="0"/>
            <w:vAlign w:val="center"/>
          </w:tcPr>
          <w:p w14:paraId="03B3E068">
            <w:pPr>
              <w:jc w:val="center"/>
              <w:rPr>
                <w:rFonts w:hint="eastAsia" w:ascii="宋体" w:hAnsi="宋体" w:eastAsia="宋体" w:cs="宋体"/>
                <w:i w:val="0"/>
                <w:iCs w:val="0"/>
                <w:color w:val="auto"/>
                <w:sz w:val="22"/>
                <w:szCs w:val="22"/>
                <w:u w:val="none"/>
              </w:rPr>
            </w:pPr>
          </w:p>
        </w:tc>
      </w:tr>
      <w:tr w14:paraId="519C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78DF1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A02AC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果子沟养护所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A9E51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2DA23D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豪沃AD5259TCXZZF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AE227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CE8AD9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4260*200*20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FB0F690">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54934A6">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5913070">
            <w:pPr>
              <w:jc w:val="center"/>
              <w:rPr>
                <w:rFonts w:hint="eastAsia" w:ascii="宋体" w:hAnsi="宋体" w:eastAsia="宋体" w:cs="宋体"/>
                <w:i w:val="0"/>
                <w:iCs w:val="0"/>
                <w:color w:val="auto"/>
                <w:sz w:val="22"/>
                <w:szCs w:val="22"/>
                <w:u w:val="none"/>
              </w:rPr>
            </w:pPr>
          </w:p>
        </w:tc>
      </w:tr>
      <w:tr w14:paraId="2E85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FF9A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75727B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果子沟养护所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4BDA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57BA1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豪沃AD5259TCXZZF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C51D9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D51933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3360*220*20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EA9B224">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15678DD">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88DE4CB">
            <w:pPr>
              <w:jc w:val="center"/>
              <w:rPr>
                <w:rFonts w:hint="eastAsia" w:ascii="宋体" w:hAnsi="宋体" w:eastAsia="宋体" w:cs="宋体"/>
                <w:i w:val="0"/>
                <w:iCs w:val="0"/>
                <w:color w:val="auto"/>
                <w:sz w:val="22"/>
                <w:szCs w:val="22"/>
                <w:u w:val="none"/>
              </w:rPr>
            </w:pPr>
          </w:p>
        </w:tc>
      </w:tr>
      <w:tr w14:paraId="09D5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2C138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0EE5D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果子沟养护所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10845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50DA36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豪沃AD5259TCXZZF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CFA88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42D446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3645*200*20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157DED1">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6AEC282">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2348F65">
            <w:pPr>
              <w:jc w:val="center"/>
              <w:rPr>
                <w:rFonts w:hint="eastAsia" w:ascii="宋体" w:hAnsi="宋体" w:eastAsia="宋体" w:cs="宋体"/>
                <w:i w:val="0"/>
                <w:iCs w:val="0"/>
                <w:color w:val="auto"/>
                <w:sz w:val="22"/>
                <w:szCs w:val="22"/>
                <w:u w:val="none"/>
              </w:rPr>
            </w:pPr>
          </w:p>
        </w:tc>
      </w:tr>
      <w:tr w14:paraId="3559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01C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345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FB9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平地机</w:t>
            </w:r>
          </w:p>
        </w:tc>
        <w:tc>
          <w:tcPr>
            <w:tcW w:w="20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DD8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94B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0D3B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4000*220*20</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0839D">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626DF49">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E24BB5F">
            <w:pPr>
              <w:jc w:val="center"/>
              <w:rPr>
                <w:rFonts w:hint="eastAsia" w:ascii="宋体" w:hAnsi="宋体" w:eastAsia="宋体" w:cs="宋体"/>
                <w:i w:val="0"/>
                <w:iCs w:val="0"/>
                <w:color w:val="auto"/>
                <w:sz w:val="22"/>
                <w:szCs w:val="22"/>
                <w:u w:val="none"/>
              </w:rPr>
            </w:pPr>
          </w:p>
        </w:tc>
      </w:tr>
      <w:tr w14:paraId="6FA8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1E4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FB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11C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22C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斯特林     STERLINGLT9513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1B5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562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F31828D">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90F0D0E">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0359E54">
            <w:pPr>
              <w:jc w:val="center"/>
              <w:rPr>
                <w:rFonts w:hint="eastAsia" w:ascii="宋体" w:hAnsi="宋体" w:eastAsia="宋体" w:cs="宋体"/>
                <w:i w:val="0"/>
                <w:iCs w:val="0"/>
                <w:color w:val="auto"/>
                <w:sz w:val="22"/>
                <w:szCs w:val="22"/>
                <w:u w:val="none"/>
              </w:rPr>
            </w:pPr>
          </w:p>
        </w:tc>
      </w:tr>
      <w:tr w14:paraId="0145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3CB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B9D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050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EA3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斯特林     STERLINGLT9513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4E2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375F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3350*200*20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0174182">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9AC583C">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B0EA623">
            <w:pPr>
              <w:jc w:val="center"/>
              <w:rPr>
                <w:rFonts w:hint="eastAsia" w:ascii="宋体" w:hAnsi="宋体" w:eastAsia="宋体" w:cs="宋体"/>
                <w:i w:val="0"/>
                <w:iCs w:val="0"/>
                <w:color w:val="auto"/>
                <w:sz w:val="22"/>
                <w:szCs w:val="22"/>
                <w:u w:val="none"/>
              </w:rPr>
            </w:pPr>
          </w:p>
        </w:tc>
      </w:tr>
      <w:tr w14:paraId="0144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D5F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8AF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123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80E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斯特林     STERLINGLT9513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9AD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1F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3360*200*20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318DF44">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7510A73">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5DB02A4">
            <w:pPr>
              <w:jc w:val="center"/>
              <w:rPr>
                <w:rFonts w:hint="eastAsia" w:ascii="宋体" w:hAnsi="宋体" w:eastAsia="宋体" w:cs="宋体"/>
                <w:i w:val="0"/>
                <w:iCs w:val="0"/>
                <w:color w:val="auto"/>
                <w:sz w:val="22"/>
                <w:szCs w:val="22"/>
                <w:u w:val="none"/>
              </w:rPr>
            </w:pPr>
          </w:p>
        </w:tc>
      </w:tr>
      <w:tr w14:paraId="247B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DC1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823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710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D3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黄海 DD5253TCXBLD</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6A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623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3670*200*20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B3ABB9">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02D6D5D">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EBBD5A8">
            <w:pPr>
              <w:jc w:val="center"/>
              <w:rPr>
                <w:rFonts w:hint="eastAsia" w:ascii="宋体" w:hAnsi="宋体" w:eastAsia="宋体" w:cs="宋体"/>
                <w:i w:val="0"/>
                <w:iCs w:val="0"/>
                <w:color w:val="auto"/>
                <w:sz w:val="22"/>
                <w:szCs w:val="22"/>
                <w:u w:val="none"/>
              </w:rPr>
            </w:pPr>
          </w:p>
        </w:tc>
      </w:tr>
      <w:tr w14:paraId="18B5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2DB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23D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90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FED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黄海 DD5253TCXBLD</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5E9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DF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2E2A785">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5B95DFE">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DC546F3">
            <w:pPr>
              <w:jc w:val="center"/>
              <w:rPr>
                <w:rFonts w:hint="eastAsia" w:ascii="宋体" w:hAnsi="宋体" w:eastAsia="宋体" w:cs="宋体"/>
                <w:i w:val="0"/>
                <w:iCs w:val="0"/>
                <w:color w:val="auto"/>
                <w:sz w:val="22"/>
                <w:szCs w:val="22"/>
                <w:u w:val="none"/>
              </w:rPr>
            </w:pPr>
          </w:p>
        </w:tc>
      </w:tr>
      <w:tr w14:paraId="7329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91D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74E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45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4B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欧曼   BJ3252DLPJB-XA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3F1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0897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3360*200*20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EC59E1B">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74009DE">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F68D8D9">
            <w:pPr>
              <w:jc w:val="center"/>
              <w:rPr>
                <w:rFonts w:hint="eastAsia" w:ascii="宋体" w:hAnsi="宋体" w:eastAsia="宋体" w:cs="宋体"/>
                <w:i w:val="0"/>
                <w:iCs w:val="0"/>
                <w:color w:val="auto"/>
                <w:sz w:val="22"/>
                <w:szCs w:val="22"/>
                <w:u w:val="none"/>
              </w:rPr>
            </w:pPr>
          </w:p>
        </w:tc>
      </w:tr>
      <w:tr w14:paraId="2493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B8CA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BF2B2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7857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多功能除雪车（前刀）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57715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   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AB961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3E1F9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3658*200*20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DA4932F">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BB75535">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FF64CD8">
            <w:pPr>
              <w:jc w:val="center"/>
              <w:rPr>
                <w:rFonts w:hint="eastAsia" w:ascii="宋体" w:hAnsi="宋体" w:eastAsia="宋体" w:cs="宋体"/>
                <w:i w:val="0"/>
                <w:iCs w:val="0"/>
                <w:color w:val="auto"/>
                <w:sz w:val="22"/>
                <w:szCs w:val="22"/>
                <w:u w:val="none"/>
              </w:rPr>
            </w:pPr>
          </w:p>
        </w:tc>
      </w:tr>
      <w:tr w14:paraId="3EC6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B9D4E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3AB6B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2EE8A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多功能除雪车（侧刀）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53BFB1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   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E3BD7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2F4245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2440*200*20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564EAC0">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A87DD75">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094B7D0">
            <w:pPr>
              <w:jc w:val="center"/>
              <w:rPr>
                <w:rFonts w:hint="eastAsia" w:ascii="宋体" w:hAnsi="宋体" w:eastAsia="宋体" w:cs="宋体"/>
                <w:i w:val="0"/>
                <w:iCs w:val="0"/>
                <w:color w:val="auto"/>
                <w:sz w:val="22"/>
                <w:szCs w:val="22"/>
                <w:u w:val="none"/>
              </w:rPr>
            </w:pPr>
          </w:p>
        </w:tc>
      </w:tr>
      <w:tr w14:paraId="25ED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33942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843E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伊宁养护所</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405DC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多功能除雪车（腹刀）</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2F355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森远   AD5259TCXZZF</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1E403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AB6690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3300*200*20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63939F7">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7F983F4">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E0F6541">
            <w:pPr>
              <w:jc w:val="center"/>
              <w:rPr>
                <w:rFonts w:hint="eastAsia" w:ascii="宋体" w:hAnsi="宋体" w:eastAsia="宋体" w:cs="宋体"/>
                <w:i w:val="0"/>
                <w:iCs w:val="0"/>
                <w:color w:val="auto"/>
                <w:sz w:val="22"/>
                <w:szCs w:val="22"/>
                <w:u w:val="none"/>
              </w:rPr>
            </w:pPr>
          </w:p>
        </w:tc>
      </w:tr>
      <w:tr w14:paraId="08A2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6BC032C3">
            <w:pPr>
              <w:jc w:val="center"/>
              <w:rPr>
                <w:rFonts w:hint="eastAsia" w:ascii="宋体" w:hAnsi="宋体" w:eastAsia="宋体" w:cs="宋体"/>
                <w:i w:val="0"/>
                <w:iCs w:val="0"/>
                <w:color w:val="auto"/>
                <w:sz w:val="22"/>
                <w:szCs w:val="22"/>
                <w:u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DA5C2AA">
            <w:pPr>
              <w:jc w:val="center"/>
              <w:rPr>
                <w:rFonts w:hint="eastAsia" w:ascii="宋体" w:hAnsi="宋体" w:eastAsia="宋体" w:cs="宋体"/>
                <w:i w:val="0"/>
                <w:iCs w:val="0"/>
                <w:color w:val="auto"/>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B3A72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65A92E4A">
            <w:pPr>
              <w:jc w:val="center"/>
              <w:rPr>
                <w:rFonts w:hint="eastAsia" w:ascii="宋体" w:hAnsi="宋体" w:eastAsia="宋体" w:cs="宋体"/>
                <w:i w:val="0"/>
                <w:iCs w:val="0"/>
                <w:color w:val="auto"/>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486F1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5DA0643">
            <w:pPr>
              <w:jc w:val="center"/>
              <w:rPr>
                <w:rFonts w:hint="eastAsia" w:ascii="宋体" w:hAnsi="宋体" w:eastAsia="宋体" w:cs="宋体"/>
                <w:i w:val="0"/>
                <w:iCs w:val="0"/>
                <w:color w:val="auto"/>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3082FEB">
            <w:pPr>
              <w:jc w:val="center"/>
              <w:rPr>
                <w:rFonts w:hint="eastAsia" w:ascii="宋体" w:hAnsi="宋体" w:eastAsia="宋体" w:cs="宋体"/>
                <w:i w:val="0"/>
                <w:iCs w:val="0"/>
                <w:color w:val="auto"/>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B42F62E">
            <w:pPr>
              <w:jc w:val="center"/>
              <w:rPr>
                <w:rFonts w:hint="eastAsia" w:ascii="宋体" w:hAnsi="宋体" w:eastAsia="宋体" w:cs="宋体"/>
                <w:i w:val="0"/>
                <w:iCs w:val="0"/>
                <w:color w:val="auto"/>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EFB3E0E">
            <w:pPr>
              <w:jc w:val="center"/>
              <w:rPr>
                <w:rFonts w:hint="eastAsia" w:ascii="宋体" w:hAnsi="宋体" w:eastAsia="宋体" w:cs="宋体"/>
                <w:i w:val="0"/>
                <w:iCs w:val="0"/>
                <w:color w:val="auto"/>
                <w:sz w:val="22"/>
                <w:szCs w:val="22"/>
                <w:u w:val="none"/>
              </w:rPr>
            </w:pPr>
          </w:p>
        </w:tc>
      </w:tr>
    </w:tbl>
    <w:p w14:paraId="7725E56C">
      <w:pPr>
        <w:rPr>
          <w:rFonts w:hint="eastAsia" w:ascii="仿宋" w:hAnsi="仿宋" w:eastAsia="仿宋"/>
          <w:color w:val="auto"/>
          <w:szCs w:val="21"/>
          <w:highlight w:val="none"/>
        </w:rPr>
      </w:pPr>
    </w:p>
    <w:p w14:paraId="5653EB0A">
      <w:pPr>
        <w:rPr>
          <w:rFonts w:hint="eastAsia" w:ascii="仿宋" w:hAnsi="仿宋" w:eastAsia="仿宋"/>
          <w:szCs w:val="21"/>
          <w:highlight w:val="none"/>
        </w:rPr>
      </w:pPr>
    </w:p>
    <w:p w14:paraId="5FAFEEB0">
      <w:pPr>
        <w:rPr>
          <w:rFonts w:hint="eastAsia" w:ascii="仿宋" w:hAnsi="仿宋" w:eastAsia="仿宋"/>
          <w:szCs w:val="21"/>
          <w:highlight w:val="none"/>
        </w:rPr>
      </w:pPr>
    </w:p>
    <w:p w14:paraId="77567104">
      <w:pPr>
        <w:rPr>
          <w:rFonts w:hint="eastAsia" w:ascii="仿宋" w:hAnsi="仿宋" w:eastAsia="仿宋"/>
          <w:b/>
          <w:color w:val="FF0000"/>
          <w:sz w:val="30"/>
          <w:szCs w:val="30"/>
          <w:highlight w:val="none"/>
        </w:rPr>
      </w:pPr>
      <w:r>
        <w:rPr>
          <w:rFonts w:hint="eastAsia" w:ascii="仿宋" w:hAnsi="仿宋" w:eastAsia="仿宋"/>
          <w:szCs w:val="21"/>
          <w:highlight w:val="none"/>
        </w:rPr>
        <w:t xml:space="preserve">   </w:t>
      </w:r>
    </w:p>
    <w:p w14:paraId="201D3B3B">
      <w:pPr>
        <w:jc w:val="center"/>
        <w:rPr>
          <w:rFonts w:hint="eastAsia" w:ascii="仿宋" w:hAnsi="仿宋" w:eastAsia="仿宋"/>
          <w:b/>
          <w:bCs/>
          <w:color w:val="auto"/>
          <w:sz w:val="28"/>
          <w:szCs w:val="32"/>
          <w:highlight w:val="none"/>
        </w:rPr>
      </w:pPr>
    </w:p>
    <w:p w14:paraId="15C057EF">
      <w:pPr>
        <w:tabs>
          <w:tab w:val="left" w:pos="900"/>
        </w:tabs>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p>
    <w:p w14:paraId="143B992D">
      <w:pPr>
        <w:pStyle w:val="7"/>
        <w:numPr>
          <w:ilvl w:val="0"/>
          <w:numId w:val="6"/>
        </w:numPr>
        <w:snapToGrid w:val="0"/>
        <w:spacing w:line="360" w:lineRule="auto"/>
        <w:ind w:firstLine="482" w:firstLineChars="20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以上刀片尺寸存有误差，最终尺寸以实际测量为准。</w:t>
      </w:r>
    </w:p>
    <w:p w14:paraId="503B9BEE">
      <w:pPr>
        <w:pStyle w:val="7"/>
        <w:numPr>
          <w:ilvl w:val="0"/>
          <w:numId w:val="6"/>
        </w:numPr>
        <w:snapToGri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上述除设备或产品费用外，应包括设备或产品的运输费、各种保险费用、包装费用、装卸（包括达到目的地后的卸车，短途运输）、保管费用、安装、调试、试验或检验及验收费用、移交前的维护、移交等及各种税费等一切费用。</w:t>
      </w:r>
    </w:p>
    <w:p w14:paraId="21430002">
      <w:pPr>
        <w:pStyle w:val="7"/>
        <w:numPr>
          <w:ilvl w:val="0"/>
          <w:numId w:val="6"/>
        </w:numPr>
        <w:snapToGrid w:val="0"/>
        <w:spacing w:line="360" w:lineRule="auto"/>
        <w:ind w:firstLine="482" w:firstLineChars="200"/>
        <w:jc w:val="left"/>
        <w:rPr>
          <w:rFonts w:hint="eastAsia" w:ascii="宋体" w:hAnsi="宋体" w:eastAsia="宋体" w:cs="宋体"/>
          <w:color w:val="auto"/>
        </w:rPr>
        <w:sectPr>
          <w:pgSz w:w="16783" w:h="11850" w:orient="landscape"/>
          <w:pgMar w:top="1327" w:right="1440" w:bottom="1327" w:left="1440" w:header="720" w:footer="720" w:gutter="0"/>
          <w:cols w:space="720" w:num="1"/>
          <w:docGrid w:linePitch="323" w:charSpace="0"/>
        </w:sectPr>
      </w:pPr>
      <w:r>
        <w:rPr>
          <w:rFonts w:hint="eastAsia" w:ascii="宋体" w:hAnsi="宋体" w:eastAsia="宋体" w:cs="宋体"/>
          <w:b/>
          <w:bCs/>
          <w:color w:val="auto"/>
          <w:sz w:val="24"/>
          <w:szCs w:val="24"/>
        </w:rPr>
        <w:t>供应商所提供的设备或产品的费用除主体外，包括其全部配套附件、附属设备、辅助配套设备、设施等，需进行组装或拼装的设备应是完整、</w:t>
      </w:r>
      <w:r>
        <w:rPr>
          <w:rFonts w:hint="eastAsia" w:ascii="宋体" w:hAnsi="宋体" w:eastAsia="宋体" w:cs="宋体"/>
          <w:b/>
          <w:color w:val="auto"/>
          <w:sz w:val="24"/>
          <w:szCs w:val="24"/>
        </w:rPr>
        <w:t>成套、满足功能要求的设备或产品，其价格除主体外还应包括其足够安装母体和连接、紧固相关设备的零部件等全部配套设备和附件的费用。</w:t>
      </w:r>
      <w:bookmarkStart w:id="47" w:name="_Toc32713"/>
      <w:bookmarkStart w:id="48" w:name="_Toc62641450"/>
      <w:bookmarkStart w:id="49" w:name="_Toc12201"/>
    </w:p>
    <w:bookmarkEnd w:id="47"/>
    <w:bookmarkEnd w:id="48"/>
    <w:bookmarkEnd w:id="49"/>
    <w:p w14:paraId="697DB482">
      <w:pPr>
        <w:widowControl w:val="0"/>
        <w:adjustRightInd w:val="0"/>
        <w:snapToGrid w:val="0"/>
        <w:spacing w:line="360" w:lineRule="auto"/>
        <w:jc w:val="center"/>
        <w:rPr>
          <w:rStyle w:val="110"/>
          <w:rFonts w:hint="eastAsia" w:ascii="宋体" w:hAnsi="宋体" w:eastAsia="宋体" w:cs="宋体"/>
          <w:color w:val="auto"/>
        </w:rPr>
      </w:pPr>
      <w:r>
        <w:rPr>
          <w:rStyle w:val="110"/>
          <w:rFonts w:hint="eastAsia" w:ascii="宋体" w:hAnsi="宋体" w:eastAsia="宋体" w:cs="宋体"/>
          <w:color w:val="auto"/>
        </w:rPr>
        <w:t>第四章 合同条款</w:t>
      </w:r>
    </w:p>
    <w:p w14:paraId="28D3284C">
      <w:pPr>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b/>
          <w:color w:val="auto"/>
          <w:sz w:val="28"/>
          <w:szCs w:val="28"/>
        </w:rPr>
        <w:t>（具体以实际签订合同为主）</w:t>
      </w:r>
    </w:p>
    <w:p w14:paraId="7638637C">
      <w:pPr>
        <w:pStyle w:val="3"/>
        <w:jc w:val="center"/>
        <w:rPr>
          <w:rFonts w:hint="eastAsia" w:ascii="宋体" w:hAnsi="宋体" w:eastAsia="宋体" w:cs="宋体"/>
          <w:color w:val="auto"/>
        </w:rPr>
      </w:pPr>
      <w:bookmarkStart w:id="50" w:name="_Toc62641446"/>
      <w:r>
        <w:rPr>
          <w:rFonts w:hint="eastAsia" w:ascii="宋体" w:hAnsi="宋体" w:eastAsia="宋体" w:cs="宋体"/>
          <w:color w:val="auto"/>
        </w:rPr>
        <w:t>一、合同协议书（格式）</w:t>
      </w:r>
      <w:bookmarkEnd w:id="50"/>
    </w:p>
    <w:p w14:paraId="6E630DB3">
      <w:pPr>
        <w:spacing w:line="360" w:lineRule="auto"/>
        <w:ind w:firstLine="480" w:firstLineChars="200"/>
        <w:rPr>
          <w:rFonts w:hint="eastAsia" w:ascii="宋体" w:hAnsi="宋体" w:eastAsia="宋体" w:cs="宋体"/>
          <w:b/>
          <w:color w:val="auto"/>
          <w:spacing w:val="20"/>
          <w:sz w:val="24"/>
          <w:szCs w:val="24"/>
        </w:rPr>
      </w:pPr>
      <w:r>
        <w:rPr>
          <w:rFonts w:hint="eastAsia" w:ascii="宋体" w:hAnsi="宋体" w:eastAsia="宋体" w:cs="宋体"/>
          <w:color w:val="auto"/>
          <w:sz w:val="24"/>
          <w:szCs w:val="24"/>
        </w:rPr>
        <w:t>（本合同格式条款仅作为双方签订合同的参考，为阐明各方的权利和义务，经协商可增加或修改条款，但不得与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的实质性内容相背离。）</w:t>
      </w:r>
    </w:p>
    <w:p w14:paraId="53A4DB2A">
      <w:pPr>
        <w:tabs>
          <w:tab w:val="left" w:pos="850"/>
        </w:tabs>
        <w:autoSpaceDE w:val="0"/>
        <w:autoSpaceDN w:val="0"/>
        <w:spacing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　　采购方作为本合同的需方，成交供应商是本合同的供方，按合同相关条款履行其义务。双方宗旨是严格履行合同。根据《中华人民共和国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及相关文件的有关条款为基础，双方达成如下协议：</w:t>
      </w:r>
    </w:p>
    <w:p w14:paraId="1CDCCBC9">
      <w:pPr>
        <w:spacing w:line="320" w:lineRule="exact"/>
        <w:jc w:val="both"/>
        <w:rPr>
          <w:rFonts w:hint="eastAsia" w:ascii="宋体" w:hAnsi="宋体" w:eastAsia="宋体" w:cs="宋体"/>
          <w:b/>
          <w:color w:val="auto"/>
          <w:sz w:val="24"/>
        </w:rPr>
      </w:pPr>
      <w:r>
        <w:rPr>
          <w:rFonts w:hint="eastAsia" w:ascii="宋体" w:hAnsi="宋体" w:eastAsia="宋体" w:cs="宋体"/>
          <w:b/>
          <w:color w:val="auto"/>
          <w:sz w:val="24"/>
        </w:rPr>
        <w:t>1、合同标的和合同价格</w:t>
      </w:r>
    </w:p>
    <w:tbl>
      <w:tblPr>
        <w:tblStyle w:val="2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343"/>
        <w:gridCol w:w="1343"/>
        <w:gridCol w:w="1343"/>
        <w:gridCol w:w="1343"/>
        <w:gridCol w:w="1343"/>
        <w:gridCol w:w="2002"/>
      </w:tblGrid>
      <w:tr w14:paraId="1E8A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14:paraId="31C33893">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343" w:type="dxa"/>
            <w:tcBorders>
              <w:top w:val="single" w:color="auto" w:sz="4" w:space="0"/>
              <w:left w:val="single" w:color="auto" w:sz="4" w:space="0"/>
              <w:bottom w:val="single" w:color="auto" w:sz="4" w:space="0"/>
              <w:right w:val="single" w:color="auto" w:sz="4" w:space="0"/>
            </w:tcBorders>
            <w:vAlign w:val="center"/>
          </w:tcPr>
          <w:p w14:paraId="4260883B">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343" w:type="dxa"/>
            <w:tcBorders>
              <w:top w:val="single" w:color="auto" w:sz="4" w:space="0"/>
              <w:left w:val="single" w:color="auto" w:sz="4" w:space="0"/>
              <w:bottom w:val="single" w:color="auto" w:sz="4" w:space="0"/>
              <w:right w:val="single" w:color="auto" w:sz="4" w:space="0"/>
            </w:tcBorders>
            <w:vAlign w:val="center"/>
          </w:tcPr>
          <w:p w14:paraId="23C29F77">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1343" w:type="dxa"/>
            <w:tcBorders>
              <w:top w:val="single" w:color="auto" w:sz="4" w:space="0"/>
              <w:left w:val="single" w:color="auto" w:sz="4" w:space="0"/>
              <w:bottom w:val="single" w:color="auto" w:sz="4" w:space="0"/>
              <w:right w:val="single" w:color="auto" w:sz="4" w:space="0"/>
            </w:tcBorders>
            <w:vAlign w:val="center"/>
          </w:tcPr>
          <w:p w14:paraId="2DDDB310">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343" w:type="dxa"/>
            <w:tcBorders>
              <w:top w:val="single" w:color="auto" w:sz="4" w:space="0"/>
              <w:left w:val="single" w:color="auto" w:sz="4" w:space="0"/>
              <w:bottom w:val="single" w:color="auto" w:sz="4" w:space="0"/>
              <w:right w:val="single" w:color="auto" w:sz="4" w:space="0"/>
            </w:tcBorders>
            <w:vAlign w:val="center"/>
          </w:tcPr>
          <w:p w14:paraId="432A11CE">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343" w:type="dxa"/>
            <w:tcBorders>
              <w:top w:val="single" w:color="auto" w:sz="4" w:space="0"/>
              <w:left w:val="single" w:color="auto" w:sz="4" w:space="0"/>
              <w:bottom w:val="single" w:color="auto" w:sz="4" w:space="0"/>
              <w:right w:val="single" w:color="auto" w:sz="4" w:space="0"/>
            </w:tcBorders>
            <w:vAlign w:val="center"/>
          </w:tcPr>
          <w:p w14:paraId="4A81BABA">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2002" w:type="dxa"/>
            <w:tcBorders>
              <w:top w:val="single" w:color="auto" w:sz="4" w:space="0"/>
              <w:left w:val="single" w:color="auto" w:sz="4" w:space="0"/>
              <w:bottom w:val="single" w:color="auto" w:sz="4" w:space="0"/>
              <w:right w:val="single" w:color="auto" w:sz="4" w:space="0"/>
            </w:tcBorders>
            <w:vAlign w:val="center"/>
          </w:tcPr>
          <w:p w14:paraId="747EE33D">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8"/>
                <w:lang w:eastAsia="zh-CN"/>
              </w:rPr>
              <w:t>合同履约期限</w:t>
            </w:r>
          </w:p>
        </w:tc>
      </w:tr>
      <w:tr w14:paraId="2114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A50F838">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22C4442A">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6605EBCB">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267EAA4A">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1A34BD29">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7A13030C">
            <w:pPr>
              <w:spacing w:line="320" w:lineRule="exact"/>
              <w:jc w:val="center"/>
              <w:rPr>
                <w:rFonts w:hint="eastAsia" w:ascii="宋体" w:hAnsi="宋体" w:eastAsia="宋体" w:cs="宋体"/>
                <w:color w:val="auto"/>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1D1CE914">
            <w:pPr>
              <w:spacing w:line="320" w:lineRule="exact"/>
              <w:jc w:val="center"/>
              <w:rPr>
                <w:rFonts w:hint="eastAsia" w:ascii="宋体" w:hAnsi="宋体" w:eastAsia="宋体" w:cs="宋体"/>
                <w:color w:val="auto"/>
                <w:sz w:val="24"/>
                <w:szCs w:val="24"/>
              </w:rPr>
            </w:pPr>
          </w:p>
        </w:tc>
      </w:tr>
      <w:tr w14:paraId="06E8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14:paraId="518A4FBB">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6DBCC4B9">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5279141D">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45FBEAA2">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3438FC28">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590B661C">
            <w:pPr>
              <w:spacing w:line="320" w:lineRule="exact"/>
              <w:jc w:val="center"/>
              <w:rPr>
                <w:rFonts w:hint="eastAsia" w:ascii="宋体" w:hAnsi="宋体" w:eastAsia="宋体" w:cs="宋体"/>
                <w:color w:val="auto"/>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33495E01">
            <w:pPr>
              <w:spacing w:line="320" w:lineRule="exact"/>
              <w:jc w:val="center"/>
              <w:rPr>
                <w:rFonts w:hint="eastAsia" w:ascii="宋体" w:hAnsi="宋体" w:eastAsia="宋体" w:cs="宋体"/>
                <w:color w:val="auto"/>
                <w:sz w:val="24"/>
                <w:szCs w:val="24"/>
              </w:rPr>
            </w:pPr>
          </w:p>
        </w:tc>
      </w:tr>
      <w:tr w14:paraId="30C2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14:paraId="4D649961">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6077EED9">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2C67F0B0">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476FBF4B">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470D3032">
            <w:pPr>
              <w:spacing w:line="320" w:lineRule="exact"/>
              <w:jc w:val="center"/>
              <w:rPr>
                <w:rFonts w:hint="eastAsia" w:ascii="宋体" w:hAnsi="宋体" w:eastAsia="宋体" w:cs="宋体"/>
                <w:color w:val="auto"/>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35A8B97D">
            <w:pPr>
              <w:spacing w:line="320" w:lineRule="exact"/>
              <w:jc w:val="center"/>
              <w:rPr>
                <w:rFonts w:hint="eastAsia" w:ascii="宋体" w:hAnsi="宋体" w:eastAsia="宋体" w:cs="宋体"/>
                <w:color w:val="auto"/>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3420DCFB">
            <w:pPr>
              <w:spacing w:line="320" w:lineRule="exact"/>
              <w:jc w:val="center"/>
              <w:rPr>
                <w:rFonts w:hint="eastAsia" w:ascii="宋体" w:hAnsi="宋体" w:eastAsia="宋体" w:cs="宋体"/>
                <w:color w:val="auto"/>
                <w:sz w:val="24"/>
                <w:szCs w:val="24"/>
              </w:rPr>
            </w:pPr>
          </w:p>
        </w:tc>
      </w:tr>
      <w:tr w14:paraId="6B70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060" w:type="dxa"/>
            <w:gridSpan w:val="7"/>
            <w:tcBorders>
              <w:top w:val="single" w:color="auto" w:sz="4" w:space="0"/>
              <w:left w:val="single" w:color="auto" w:sz="4" w:space="0"/>
              <w:bottom w:val="single" w:color="auto" w:sz="4" w:space="0"/>
              <w:right w:val="single" w:color="auto" w:sz="4" w:space="0"/>
            </w:tcBorders>
          </w:tcPr>
          <w:p w14:paraId="26CD1D73">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合同总金额（大写）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9CA9212">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（合同总金额包含产品、运输、装卸、存放、检验、技术培训及技术资料和运输保险等费用）</w:t>
            </w:r>
          </w:p>
        </w:tc>
      </w:tr>
    </w:tbl>
    <w:p w14:paraId="2E6A68A2">
      <w:pPr>
        <w:spacing w:line="360" w:lineRule="auto"/>
        <w:jc w:val="center"/>
        <w:rPr>
          <w:rFonts w:hint="eastAsia" w:ascii="宋体" w:hAnsi="宋体" w:eastAsia="宋体" w:cs="宋体"/>
          <w:b/>
          <w:color w:val="auto"/>
          <w:sz w:val="24"/>
          <w:szCs w:val="24"/>
        </w:rPr>
      </w:pPr>
    </w:p>
    <w:p w14:paraId="4AAA49E4">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2、交货方式和交货地点</w:t>
      </w:r>
    </w:p>
    <w:p w14:paraId="373EE694">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2.1交货方式：</w:t>
      </w:r>
      <w:r>
        <w:rPr>
          <w:rFonts w:hint="eastAsia" w:ascii="宋体" w:hAnsi="宋体" w:eastAsia="宋体" w:cs="宋体"/>
          <w:color w:val="auto"/>
          <w:sz w:val="24"/>
          <w:szCs w:val="24"/>
          <w:u w:val="single"/>
        </w:rPr>
        <w:t xml:space="preserve">                     </w:t>
      </w:r>
    </w:p>
    <w:p w14:paraId="4967F75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2.2交货地点：</w:t>
      </w:r>
      <w:r>
        <w:rPr>
          <w:rFonts w:hint="eastAsia" w:ascii="宋体" w:hAnsi="宋体" w:eastAsia="宋体" w:cs="宋体"/>
          <w:color w:val="auto"/>
          <w:sz w:val="24"/>
          <w:szCs w:val="24"/>
          <w:u w:val="single"/>
        </w:rPr>
        <w:t xml:space="preserve">                     </w:t>
      </w:r>
    </w:p>
    <w:p w14:paraId="2969EEE1">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3、供货清单</w:t>
      </w:r>
    </w:p>
    <w:p w14:paraId="428F524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3.1供货清单：</w:t>
      </w:r>
      <w:r>
        <w:rPr>
          <w:rFonts w:hint="eastAsia" w:ascii="宋体" w:hAnsi="宋体" w:eastAsia="宋体" w:cs="宋体"/>
          <w:bCs/>
          <w:color w:val="auto"/>
          <w:sz w:val="24"/>
          <w:szCs w:val="24"/>
        </w:rPr>
        <w:t>包括</w:t>
      </w:r>
      <w:r>
        <w:rPr>
          <w:rFonts w:hint="eastAsia" w:ascii="宋体" w:hAnsi="宋体" w:eastAsia="宋体" w:cs="宋体"/>
          <w:b/>
          <w:color w:val="auto"/>
          <w:sz w:val="24"/>
          <w:szCs w:val="24"/>
        </w:rPr>
        <w:t>产品</w:t>
      </w:r>
      <w:r>
        <w:rPr>
          <w:rFonts w:hint="eastAsia" w:ascii="宋体" w:hAnsi="宋体" w:eastAsia="宋体" w:cs="宋体"/>
          <w:color w:val="auto"/>
          <w:sz w:val="24"/>
          <w:szCs w:val="24"/>
        </w:rPr>
        <w:t>的名称及数量。（采购人对包装及运输有特别要求的，应作具体约定。）</w:t>
      </w:r>
    </w:p>
    <w:p w14:paraId="22D7BA13">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4、付款方式与条件</w:t>
      </w:r>
    </w:p>
    <w:p w14:paraId="032B81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4.1货物交货付款</w:t>
      </w:r>
    </w:p>
    <w:p w14:paraId="64FEB07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全部货物交货并经验收合格后，甲方凭收讫货物的验收凭证和货物验收合格文件等材料以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方式向乙方一次性支付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%的货物价款。（若乙方有支付履约保证金的，可在支付货款时予以扣除。）</w:t>
      </w:r>
    </w:p>
    <w:p w14:paraId="55B99E4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4.2现场交货条件下，乙方要求付款应提交下列单证和文件。</w:t>
      </w:r>
    </w:p>
    <w:p w14:paraId="7F354C9F">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（1）金额为有关合同货物价格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%的正式发票。</w:t>
      </w:r>
    </w:p>
    <w:p w14:paraId="31C19EE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（2）制造厂家出具的货物质量合格证书。</w:t>
      </w:r>
    </w:p>
    <w:p w14:paraId="78E7C66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（3）甲方已收讫货物的验收凭证。</w:t>
      </w:r>
    </w:p>
    <w:p w14:paraId="2558619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（4）甲方签发的验收合格文件。</w:t>
      </w:r>
    </w:p>
    <w:p w14:paraId="2B3C1DE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4.3分期支付货款的，余下的货款应于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（时间）支付。</w:t>
      </w:r>
    </w:p>
    <w:p w14:paraId="6E96A3B6">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5、质量要求和技术标准</w:t>
      </w:r>
    </w:p>
    <w:p w14:paraId="68BA71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5.1质量条款可细分为产品质量、包装质量、技术资料质量等内容。</w:t>
      </w:r>
      <w:r>
        <w:rPr>
          <w:rFonts w:hint="eastAsia" w:ascii="宋体" w:hAnsi="宋体" w:eastAsia="宋体" w:cs="宋体"/>
          <w:color w:val="auto"/>
          <w:sz w:val="24"/>
          <w:szCs w:val="24"/>
          <w:u w:val="single"/>
        </w:rPr>
        <w:t>（质量要求和技术标准应按</w:t>
      </w:r>
      <w:r>
        <w:rPr>
          <w:rFonts w:hint="eastAsia" w:ascii="宋体" w:hAnsi="宋体" w:eastAsia="宋体" w:cs="宋体"/>
          <w:color w:val="auto"/>
          <w:sz w:val="24"/>
          <w:szCs w:val="24"/>
          <w:u w:val="single"/>
          <w:lang w:eastAsia="zh-CN"/>
        </w:rPr>
        <w:t>谈判</w:t>
      </w:r>
      <w:r>
        <w:rPr>
          <w:rFonts w:hint="eastAsia" w:ascii="宋体" w:hAnsi="宋体" w:eastAsia="宋体" w:cs="宋体"/>
          <w:color w:val="auto"/>
          <w:sz w:val="24"/>
          <w:szCs w:val="24"/>
          <w:u w:val="single"/>
        </w:rPr>
        <w:t>文件要求进行填列。）</w:t>
      </w:r>
    </w:p>
    <w:p w14:paraId="1B59F5FC">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6、运输、配送、存放、检验等要求</w:t>
      </w:r>
    </w:p>
    <w:p w14:paraId="6E019B70">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6.1运输、配送、存放、检验等要求内容。</w:t>
      </w:r>
      <w:r>
        <w:rPr>
          <w:rFonts w:hint="eastAsia" w:ascii="宋体" w:hAnsi="宋体" w:eastAsia="宋体" w:cs="宋体"/>
          <w:color w:val="auto"/>
          <w:sz w:val="24"/>
          <w:szCs w:val="24"/>
          <w:u w:val="single"/>
        </w:rPr>
        <w:t>（运输、配送、存放、检验等要求应按</w:t>
      </w:r>
      <w:r>
        <w:rPr>
          <w:rFonts w:hint="eastAsia" w:ascii="宋体" w:hAnsi="宋体" w:eastAsia="宋体" w:cs="宋体"/>
          <w:color w:val="auto"/>
          <w:sz w:val="24"/>
          <w:szCs w:val="24"/>
          <w:u w:val="single"/>
          <w:lang w:eastAsia="zh-CN"/>
        </w:rPr>
        <w:t>谈判</w:t>
      </w:r>
      <w:r>
        <w:rPr>
          <w:rFonts w:hint="eastAsia" w:ascii="宋体" w:hAnsi="宋体" w:eastAsia="宋体" w:cs="宋体"/>
          <w:color w:val="auto"/>
          <w:sz w:val="24"/>
          <w:szCs w:val="24"/>
          <w:u w:val="single"/>
        </w:rPr>
        <w:t>文件要求填列。）</w:t>
      </w:r>
    </w:p>
    <w:p w14:paraId="139802F5">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7、验收</w:t>
      </w:r>
    </w:p>
    <w:p w14:paraId="2418678D">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7.1货物验收标准和方法应按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文件要求填列。</w:t>
      </w:r>
      <w:r>
        <w:rPr>
          <w:rFonts w:hint="eastAsia" w:ascii="宋体" w:hAnsi="宋体" w:eastAsia="宋体" w:cs="宋体"/>
          <w:color w:val="auto"/>
          <w:sz w:val="24"/>
          <w:szCs w:val="24"/>
          <w:u w:val="single"/>
        </w:rPr>
        <w:t>（货物验收标准和方法应按</w:t>
      </w:r>
      <w:r>
        <w:rPr>
          <w:rFonts w:hint="eastAsia" w:ascii="宋体" w:hAnsi="宋体" w:eastAsia="宋体" w:cs="宋体"/>
          <w:color w:val="auto"/>
          <w:sz w:val="24"/>
          <w:szCs w:val="24"/>
          <w:u w:val="single"/>
          <w:lang w:eastAsia="zh-CN"/>
        </w:rPr>
        <w:t>谈判</w:t>
      </w:r>
      <w:r>
        <w:rPr>
          <w:rFonts w:hint="eastAsia" w:ascii="宋体" w:hAnsi="宋体" w:eastAsia="宋体" w:cs="宋体"/>
          <w:color w:val="auto"/>
          <w:sz w:val="24"/>
          <w:szCs w:val="24"/>
          <w:u w:val="single"/>
        </w:rPr>
        <w:t>文件要求填列。）</w:t>
      </w:r>
      <w:r>
        <w:rPr>
          <w:rFonts w:hint="eastAsia" w:ascii="宋体" w:hAnsi="宋体" w:eastAsia="宋体" w:cs="宋体"/>
          <w:color w:val="auto"/>
          <w:sz w:val="24"/>
          <w:szCs w:val="24"/>
        </w:rPr>
        <w:t>验收结果经双方确认后，双方代表必须按规定的验收交接单上的项目对照本合同填好验收结果并签名盖章。</w:t>
      </w:r>
    </w:p>
    <w:p w14:paraId="225B611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7.2验收可细分为到货时的外在质量的验收，投产前的质量验收，大型货物可能还存在更多的验收步骤和验收方式，采购人可在合同条款中细化规定。</w:t>
      </w:r>
    </w:p>
    <w:p w14:paraId="1D3900FB">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8、质量保证</w:t>
      </w:r>
    </w:p>
    <w:p w14:paraId="148F458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8.1各合同包货物质保期要求均为货物经最终验收合格后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个月，在质量保证期内货物发生问题时，乙方在接到甲方通知后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小时内应委派专业技术人员到现场免费提供咨询和更换零等服务，并及时填写更换报告（包括原因、处理情况及甲方意见等）报甲方备案，若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小时内无法解决问题，则应先提供同档次备用品供甲方使用。其中发生一切费用由乙方承担。质量保证期内乙方有责任对货物进行不定期的抽样检查。投标供应商视自身能力在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中提供更优、更合理的服务承诺。</w:t>
      </w:r>
    </w:p>
    <w:p w14:paraId="7249C63E">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9、知识产权</w:t>
      </w:r>
    </w:p>
    <w:p w14:paraId="7AFF1D4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9.1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3964380E">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10、违约责任</w:t>
      </w:r>
    </w:p>
    <w:p w14:paraId="73B9BFF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10.1未按期交货的违约责任（在合同中说明）。</w:t>
      </w:r>
    </w:p>
    <w:p w14:paraId="647A38B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10.1.1如果乙方未能按合同规定的时间内足额交货和的（不可抗力除外），在乙方书面同意支付延期交货违约金的条件下，甲方有权选择同意延长</w:t>
      </w:r>
      <w:r>
        <w:rPr>
          <w:rFonts w:hint="eastAsia" w:ascii="宋体" w:hAnsi="宋体" w:eastAsia="宋体" w:cs="宋体"/>
          <w:color w:val="auto"/>
          <w:sz w:val="24"/>
          <w:szCs w:val="28"/>
          <w:lang w:eastAsia="zh-CN"/>
        </w:rPr>
        <w:t>合同履约期限</w:t>
      </w:r>
      <w:r>
        <w:rPr>
          <w:rFonts w:hint="eastAsia" w:ascii="宋体" w:hAnsi="宋体" w:eastAsia="宋体" w:cs="宋体"/>
          <w:color w:val="auto"/>
          <w:sz w:val="24"/>
          <w:szCs w:val="24"/>
        </w:rPr>
        <w:t>还是不予延长</w:t>
      </w:r>
      <w:r>
        <w:rPr>
          <w:rFonts w:hint="eastAsia" w:ascii="宋体" w:hAnsi="宋体" w:eastAsia="宋体" w:cs="宋体"/>
          <w:color w:val="auto"/>
          <w:sz w:val="24"/>
          <w:szCs w:val="28"/>
          <w:lang w:eastAsia="zh-CN"/>
        </w:rPr>
        <w:t>合同履约期限</w:t>
      </w:r>
      <w:r>
        <w:rPr>
          <w:rFonts w:hint="eastAsia" w:ascii="宋体" w:hAnsi="宋体" w:eastAsia="宋体" w:cs="宋体"/>
          <w:color w:val="auto"/>
          <w:sz w:val="24"/>
          <w:szCs w:val="24"/>
        </w:rPr>
        <w:t>，甲方同意延长</w:t>
      </w:r>
      <w:r>
        <w:rPr>
          <w:rFonts w:hint="eastAsia" w:ascii="宋体" w:hAnsi="宋体" w:eastAsia="宋体" w:cs="宋体"/>
          <w:color w:val="auto"/>
          <w:sz w:val="24"/>
          <w:szCs w:val="28"/>
          <w:lang w:eastAsia="zh-CN"/>
        </w:rPr>
        <w:t>合同履约期限</w:t>
      </w:r>
      <w:r>
        <w:rPr>
          <w:rFonts w:hint="eastAsia" w:ascii="宋体" w:hAnsi="宋体" w:eastAsia="宋体" w:cs="宋体"/>
          <w:color w:val="auto"/>
          <w:sz w:val="24"/>
          <w:szCs w:val="24"/>
        </w:rPr>
        <w:t>的，延期交货的时间由双方别行确定。延期交货违约金的支付甲方有权从未付的合同货款中扣除。延期交货违约金比率为每迟交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％。但是，延期交货违约金的支付总额不得超过迟交货物部分合同金额的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8580D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10.1.2如果乙方未能按合同规定的时间或双方另行确定的延期</w:t>
      </w:r>
      <w:r>
        <w:rPr>
          <w:rFonts w:hint="eastAsia" w:ascii="宋体" w:hAnsi="宋体" w:eastAsia="宋体" w:cs="宋体"/>
          <w:color w:val="auto"/>
          <w:sz w:val="24"/>
          <w:szCs w:val="28"/>
          <w:lang w:eastAsia="zh-CN"/>
        </w:rPr>
        <w:t>合同履约期限</w:t>
      </w:r>
      <w:r>
        <w:rPr>
          <w:rFonts w:hint="eastAsia" w:ascii="宋体" w:hAnsi="宋体" w:eastAsia="宋体" w:cs="宋体"/>
          <w:color w:val="auto"/>
          <w:sz w:val="24"/>
          <w:szCs w:val="24"/>
        </w:rPr>
        <w:t>内足额交货的（不可抗力除外），每逾期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天，乙方应按迟交货物金额的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％向甲方支付逾期交货的违约金。逾期交货违约金的支付甲方有权从未付的合同货款中予以扣除。若乙方逾期交货达</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天（含30天）以上的，甲方有权单方解除本合同，乙方仍应按上述约定支付延期交货违约金。若因此给甲方造成损失的，还应赔偿甲方所受的损失。</w:t>
      </w:r>
    </w:p>
    <w:p w14:paraId="39C5742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10.2若乙方不能交货的（逾期</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个工作日视为不能交货，因不可抗拒的因素除外）或交货不合格从而影响甲方正常使用的，乙方应向甲方偿付不能交货部分货款的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％的违约金。违约金不足以补偿损失的，甲方有权要求乙方赔偿损失。</w:t>
      </w:r>
    </w:p>
    <w:p w14:paraId="583295F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10.3如果乙方未能按照合同约定的时间内提供服务的，每逾期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天的，乙方应向甲方支付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元违约金，若因此给甲方造成损失的，乙方还应赔偿甲方所受的损失。</w:t>
      </w:r>
    </w:p>
    <w:p w14:paraId="327938B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10.4甲方逾期付款的（有正当拒付理由的除外）应按照逾期金额的每日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％支付逾期付款违约金。</w:t>
      </w:r>
    </w:p>
    <w:p w14:paraId="799434BD">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11、违约终止合同</w:t>
      </w:r>
    </w:p>
    <w:p w14:paraId="28B9D5B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11.1在补救违约而采取的任何其他措施未能实现的情况下，即在甲方发出的违约通知后</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 xml:space="preserve">天内（或经甲方书面确认的更长时间内）仍未纠正其下述任何一种违约行为，甲方有权向乙方发出书面违约通知，甲方终止本合同：  </w:t>
      </w:r>
    </w:p>
    <w:p w14:paraId="71BA08E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11.1.1如果乙方未能在合同规定的期限内或双方另行确定的延期交货时间内交付合同约定的货物。</w:t>
      </w:r>
    </w:p>
    <w:p w14:paraId="7E95F22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11.1.2乙方未能履行合同项下的任何其它义务。</w:t>
      </w:r>
    </w:p>
    <w:p w14:paraId="486E3C2C">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12、不可抗力</w:t>
      </w:r>
    </w:p>
    <w:p w14:paraId="7DB05F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因不可抗力造成违约的，遭受不可抗力一方应及时向对方通报不能履行或不能完全履行的理由，并在随后取得有关主管机关证明后的</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日内向另一方提供不可抗力发生以及持续期间的充分证据。基本于以上行为，允许遭受不可抗力一方延期履行、部分履行或者不履行合同，并根据情况可部分或全部免于承担违约责任。</w:t>
      </w:r>
    </w:p>
    <w:p w14:paraId="5E9220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合同中的不可抗力指人为不能预见、不能避免并不能克服的客观情况。包括（但不限于）：自然灾害如地震、台风、洪水、火灾；政府行为、法律规定或其适用的变化或者其他任何无法预见、避免或者控制的事件。</w:t>
      </w:r>
    </w:p>
    <w:p w14:paraId="15009CEF">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13、争议的解决</w:t>
      </w:r>
    </w:p>
    <w:p w14:paraId="68BA97B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13.1因本合同或与本合同有关的一切事项发生争议，由双方友好协商解决。协商不成的，任何一方均可选择以下任一方式解决：</w:t>
      </w:r>
    </w:p>
    <w:p w14:paraId="4D8EFCE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（1）向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仲裁委员会申请仲裁；  </w:t>
      </w:r>
    </w:p>
    <w:p w14:paraId="18FD261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（2）向有管辖权的人民法院提起诉讼。</w:t>
      </w:r>
    </w:p>
    <w:p w14:paraId="016D0BBB">
      <w:pPr>
        <w:spacing w:line="360" w:lineRule="auto"/>
        <w:ind w:firstLine="120" w:firstLineChars="50"/>
        <w:jc w:val="both"/>
        <w:rPr>
          <w:rFonts w:hint="eastAsia" w:ascii="宋体" w:hAnsi="宋体" w:eastAsia="宋体" w:cs="宋体"/>
          <w:b/>
          <w:color w:val="auto"/>
          <w:sz w:val="24"/>
          <w:szCs w:val="24"/>
        </w:rPr>
      </w:pPr>
      <w:r>
        <w:rPr>
          <w:rFonts w:hint="eastAsia" w:ascii="宋体" w:hAnsi="宋体" w:eastAsia="宋体" w:cs="宋体"/>
          <w:b/>
          <w:color w:val="auto"/>
          <w:sz w:val="24"/>
          <w:szCs w:val="24"/>
        </w:rPr>
        <w:t>14、其他约定</w:t>
      </w:r>
    </w:p>
    <w:p w14:paraId="7A6CAA4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14.1本采购项目的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文件、成交供应商的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以及相关的澄清确认函（如果有的话）均为本合同不可分割的一部分，与本合同具有同等法律效力。</w:t>
      </w:r>
    </w:p>
    <w:p w14:paraId="2217E23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14.2本合同未尽事宜，双方另行补充。</w:t>
      </w:r>
    </w:p>
    <w:p w14:paraId="33F2391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14.3本合同一式</w:t>
      </w:r>
      <w:r>
        <w:rPr>
          <w:rFonts w:hint="eastAsia" w:ascii="宋体" w:hAnsi="宋体" w:eastAsia="宋体" w:cs="宋体"/>
          <w:color w:val="auto"/>
          <w:sz w:val="24"/>
          <w:szCs w:val="24"/>
          <w:u w:val="single"/>
        </w:rPr>
        <w:t xml:space="preserve"> 肆 </w:t>
      </w:r>
      <w:r>
        <w:rPr>
          <w:rFonts w:hint="eastAsia" w:ascii="宋体" w:hAnsi="宋体" w:eastAsia="宋体" w:cs="宋体"/>
          <w:color w:val="auto"/>
          <w:sz w:val="24"/>
          <w:szCs w:val="24"/>
        </w:rPr>
        <w:t>份，经双方授权代表签字并盖章后生效。甲方、乙方各执贰份，具有同等效力。</w:t>
      </w:r>
    </w:p>
    <w:p w14:paraId="59B1581C">
      <w:pPr>
        <w:spacing w:line="360" w:lineRule="auto"/>
        <w:rPr>
          <w:rFonts w:hint="eastAsia" w:ascii="宋体" w:hAnsi="宋体" w:eastAsia="宋体" w:cs="宋体"/>
          <w:color w:val="auto"/>
          <w:sz w:val="24"/>
          <w:szCs w:val="24"/>
        </w:rPr>
      </w:pPr>
    </w:p>
    <w:p w14:paraId="227E273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    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乙    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92FAB3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单位地址：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单位地址：</w:t>
      </w:r>
      <w:r>
        <w:rPr>
          <w:rFonts w:hint="eastAsia" w:ascii="宋体" w:hAnsi="宋体" w:eastAsia="宋体" w:cs="宋体"/>
          <w:color w:val="auto"/>
          <w:sz w:val="24"/>
          <w:szCs w:val="24"/>
          <w:u w:val="single"/>
        </w:rPr>
        <w:t xml:space="preserve">                         </w:t>
      </w:r>
    </w:p>
    <w:p w14:paraId="41B921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p>
    <w:p w14:paraId="5B7A65F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347B3ED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FA093D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843129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帐    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帐    号：</w:t>
      </w:r>
      <w:r>
        <w:rPr>
          <w:rFonts w:hint="eastAsia" w:ascii="宋体" w:hAnsi="宋体" w:eastAsia="宋体" w:cs="宋体"/>
          <w:color w:val="auto"/>
          <w:sz w:val="24"/>
          <w:szCs w:val="24"/>
          <w:u w:val="single"/>
        </w:rPr>
        <w:t xml:space="preserve">                         </w:t>
      </w:r>
    </w:p>
    <w:p w14:paraId="1C5037F5">
      <w:pPr>
        <w:spacing w:line="360" w:lineRule="auto"/>
        <w:ind w:left="-284"/>
        <w:rPr>
          <w:rFonts w:hint="eastAsia" w:ascii="宋体" w:hAnsi="宋体" w:eastAsia="宋体" w:cs="宋体"/>
          <w:color w:val="auto"/>
          <w:sz w:val="24"/>
          <w:szCs w:val="24"/>
        </w:rPr>
      </w:pPr>
    </w:p>
    <w:p w14:paraId="3E4AFA00">
      <w:pPr>
        <w:spacing w:line="360" w:lineRule="auto"/>
        <w:rPr>
          <w:rFonts w:hint="eastAsia" w:ascii="宋体" w:hAnsi="宋体" w:eastAsia="宋体" w:cs="宋体"/>
          <w:color w:val="auto"/>
          <w:sz w:val="24"/>
          <w:szCs w:val="24"/>
        </w:rPr>
      </w:pPr>
    </w:p>
    <w:p w14:paraId="292B5894">
      <w:pPr>
        <w:jc w:val="center"/>
        <w:rPr>
          <w:rFonts w:hint="eastAsia" w:ascii="宋体" w:hAnsi="宋体" w:eastAsia="宋体" w:cs="宋体"/>
          <w:b/>
          <w:color w:val="auto"/>
          <w:sz w:val="36"/>
          <w:szCs w:val="36"/>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58E10FB">
      <w:pPr>
        <w:jc w:val="center"/>
        <w:rPr>
          <w:rFonts w:hint="eastAsia" w:ascii="宋体" w:hAnsi="宋体" w:eastAsia="宋体" w:cs="宋体"/>
          <w:b/>
          <w:color w:val="auto"/>
          <w:sz w:val="36"/>
          <w:szCs w:val="36"/>
        </w:rPr>
      </w:pPr>
    </w:p>
    <w:p w14:paraId="60951758">
      <w:pPr>
        <w:jc w:val="center"/>
        <w:rPr>
          <w:rFonts w:hint="eastAsia" w:ascii="宋体" w:hAnsi="宋体" w:eastAsia="宋体" w:cs="宋体"/>
          <w:b/>
          <w:color w:val="auto"/>
          <w:sz w:val="36"/>
          <w:szCs w:val="36"/>
        </w:rPr>
      </w:pPr>
    </w:p>
    <w:p w14:paraId="5F6F0E5D">
      <w:pPr>
        <w:jc w:val="center"/>
        <w:rPr>
          <w:rFonts w:hint="eastAsia" w:ascii="宋体" w:hAnsi="宋体" w:eastAsia="宋体" w:cs="宋体"/>
          <w:b/>
          <w:color w:val="auto"/>
          <w:sz w:val="36"/>
          <w:szCs w:val="36"/>
        </w:rPr>
      </w:pPr>
    </w:p>
    <w:p w14:paraId="5808B843">
      <w:pPr>
        <w:jc w:val="center"/>
        <w:rPr>
          <w:rFonts w:hint="eastAsia" w:ascii="宋体" w:hAnsi="宋体" w:eastAsia="宋体" w:cs="宋体"/>
          <w:b/>
          <w:color w:val="auto"/>
          <w:sz w:val="36"/>
          <w:szCs w:val="36"/>
        </w:rPr>
      </w:pPr>
    </w:p>
    <w:p w14:paraId="6B56C161">
      <w:pPr>
        <w:jc w:val="center"/>
        <w:rPr>
          <w:rFonts w:hint="eastAsia" w:ascii="宋体" w:hAnsi="宋体" w:eastAsia="宋体" w:cs="宋体"/>
          <w:b/>
          <w:color w:val="auto"/>
          <w:sz w:val="36"/>
          <w:szCs w:val="36"/>
        </w:rPr>
      </w:pPr>
    </w:p>
    <w:p w14:paraId="1CD446B2">
      <w:pPr>
        <w:pStyle w:val="3"/>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rPr>
      </w:pPr>
      <w:bookmarkStart w:id="51" w:name="_Toc62641447"/>
    </w:p>
    <w:p w14:paraId="75EA1A13">
      <w:pPr>
        <w:pStyle w:val="3"/>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rPr>
      </w:pPr>
    </w:p>
    <w:p w14:paraId="00CAD413">
      <w:pPr>
        <w:pStyle w:val="3"/>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rPr>
      </w:pPr>
    </w:p>
    <w:p w14:paraId="53276217">
      <w:pPr>
        <w:pStyle w:val="3"/>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rPr>
      </w:pPr>
    </w:p>
    <w:p w14:paraId="769DDEF8">
      <w:pPr>
        <w:pStyle w:val="3"/>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rPr>
      </w:pPr>
    </w:p>
    <w:p w14:paraId="5CD9557C">
      <w:pPr>
        <w:pStyle w:val="3"/>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rPr>
      </w:pPr>
    </w:p>
    <w:p w14:paraId="66061810">
      <w:pPr>
        <w:pStyle w:val="3"/>
        <w:rPr>
          <w:rFonts w:hint="eastAsia" w:ascii="宋体" w:hAnsi="宋体" w:eastAsia="宋体" w:cs="宋体"/>
          <w:color w:val="auto"/>
        </w:rPr>
      </w:pPr>
      <w:r>
        <w:rPr>
          <w:rFonts w:hint="eastAsia" w:ascii="宋体" w:hAnsi="宋体" w:eastAsia="宋体" w:cs="宋体"/>
          <w:color w:val="auto"/>
        </w:rPr>
        <w:t>二、通用合同条款</w:t>
      </w:r>
      <w:bookmarkEnd w:id="51"/>
    </w:p>
    <w:p w14:paraId="579E0FC5">
      <w:pPr>
        <w:spacing w:line="360" w:lineRule="auto"/>
        <w:ind w:firstLine="360" w:firstLineChars="150"/>
        <w:rPr>
          <w:rFonts w:hint="eastAsia" w:ascii="宋体" w:hAnsi="宋体" w:eastAsia="宋体" w:cs="宋体"/>
          <w:b/>
          <w:color w:val="auto"/>
          <w:spacing w:val="20"/>
          <w:sz w:val="24"/>
          <w:szCs w:val="24"/>
        </w:rPr>
      </w:pPr>
      <w:r>
        <w:rPr>
          <w:rFonts w:hint="eastAsia" w:ascii="宋体" w:hAnsi="宋体" w:eastAsia="宋体" w:cs="宋体"/>
          <w:color w:val="auto"/>
          <w:sz w:val="24"/>
          <w:szCs w:val="24"/>
        </w:rPr>
        <w:t>（本合同条款仅作为双方签订合同的参考，为阐明各方的权利和义务，经协商可增加或修改条款，但不得与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的实质性内容相背离。）</w:t>
      </w:r>
    </w:p>
    <w:p w14:paraId="5A648457">
      <w:pPr>
        <w:tabs>
          <w:tab w:val="left" w:pos="850"/>
          <w:tab w:val="center" w:pos="4525"/>
          <w:tab w:val="left" w:pos="6345"/>
        </w:tabs>
        <w:autoSpaceDE w:val="0"/>
        <w:autoSpaceDN w:val="0"/>
        <w:spacing w:line="400" w:lineRule="exact"/>
        <w:jc w:val="both"/>
        <w:textAlignment w:val="bottom"/>
        <w:rPr>
          <w:rFonts w:hint="eastAsia" w:ascii="宋体" w:hAnsi="宋体" w:eastAsia="宋体" w:cs="宋体"/>
          <w:b/>
          <w:color w:val="auto"/>
          <w:sz w:val="24"/>
          <w:szCs w:val="28"/>
        </w:rPr>
      </w:pPr>
      <w:r>
        <w:rPr>
          <w:rFonts w:hint="eastAsia" w:ascii="宋体" w:hAnsi="宋体" w:eastAsia="宋体" w:cs="宋体"/>
          <w:b/>
          <w:color w:val="auto"/>
          <w:sz w:val="24"/>
          <w:szCs w:val="28"/>
        </w:rPr>
        <w:t>1、定义</w:t>
      </w:r>
    </w:p>
    <w:p w14:paraId="1F3C03C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1.1合同：</w:t>
      </w:r>
      <w:r>
        <w:rPr>
          <w:rFonts w:hint="eastAsia" w:ascii="宋体" w:hAnsi="宋体" w:eastAsia="宋体" w:cs="宋体"/>
          <w:color w:val="auto"/>
          <w:sz w:val="24"/>
          <w:szCs w:val="24"/>
        </w:rPr>
        <w:t>系指供方（供应商）与需方（采购人）双方签署的、合同格式中载明的供需双方所达成的协议，包括附件、附录和上述所提到的构成合同的所有文件。</w:t>
      </w:r>
    </w:p>
    <w:p w14:paraId="5F3311F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1.2合同价：</w:t>
      </w:r>
      <w:r>
        <w:rPr>
          <w:rFonts w:hint="eastAsia" w:ascii="宋体" w:hAnsi="宋体" w:eastAsia="宋体" w:cs="宋体"/>
          <w:color w:val="auto"/>
          <w:sz w:val="24"/>
          <w:szCs w:val="24"/>
        </w:rPr>
        <w:t>指根据合同写明的（成交价）、由供货人正确地、完全履行合同义务后需方应支付给供应商的款额。</w:t>
      </w:r>
    </w:p>
    <w:p w14:paraId="76C9FFF5">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1.3合同货物：</w:t>
      </w:r>
      <w:r>
        <w:rPr>
          <w:rFonts w:hint="eastAsia" w:ascii="宋体" w:hAnsi="宋体" w:eastAsia="宋体" w:cs="宋体"/>
          <w:color w:val="auto"/>
          <w:sz w:val="24"/>
          <w:szCs w:val="24"/>
        </w:rPr>
        <w:t>合同范围内规定的供货人提供给采购人的所有货物、器械、仪器仪表、备品备件、工具、材料，以及所有合同货物的设计、装配、检验、工厂和现场检验、组装、安装调试指导、试运行、维修等有关技术文件。</w:t>
      </w:r>
    </w:p>
    <w:p w14:paraId="2EA58912">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1.4技术文件：</w:t>
      </w:r>
      <w:r>
        <w:rPr>
          <w:rFonts w:hint="eastAsia" w:ascii="宋体" w:hAnsi="宋体" w:eastAsia="宋体" w:cs="宋体"/>
          <w:color w:val="auto"/>
          <w:sz w:val="24"/>
          <w:szCs w:val="24"/>
        </w:rPr>
        <w:t>根据合同，由供需双方确认的用来解释所有货物或货物的某一部分的一切图纸、图表、设计数据、材料清单、说明书、手册、程序、报告、详细说明、目录和其他递交的资料。</w:t>
      </w:r>
    </w:p>
    <w:p w14:paraId="3AFA6197">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1.5服务：</w:t>
      </w:r>
      <w:r>
        <w:rPr>
          <w:rFonts w:hint="eastAsia" w:ascii="宋体" w:hAnsi="宋体" w:eastAsia="宋体" w:cs="宋体"/>
          <w:color w:val="auto"/>
          <w:sz w:val="24"/>
          <w:szCs w:val="24"/>
        </w:rPr>
        <w:t>根据合同规定供方应承担的所有合同货物的组装、安装、调试、试验、试运行的监督指导、技术服务、工厂检验、培训、售后服务和合同中规定供方应承担的其他责任和义务。</w:t>
      </w:r>
    </w:p>
    <w:p w14:paraId="17DF30D1">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1.6通用条款：</w:t>
      </w:r>
      <w:r>
        <w:rPr>
          <w:rFonts w:hint="eastAsia" w:ascii="宋体" w:hAnsi="宋体" w:eastAsia="宋体" w:cs="宋体"/>
          <w:color w:val="auto"/>
          <w:sz w:val="24"/>
          <w:szCs w:val="24"/>
        </w:rPr>
        <w:t>指本合同条款。</w:t>
      </w:r>
    </w:p>
    <w:p w14:paraId="47D5C587">
      <w:pPr>
        <w:shd w:val="clear" w:color="auto" w:fill="FFFFFF"/>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sz w:val="24"/>
          <w:szCs w:val="24"/>
        </w:rPr>
        <w:t>1.7专用条款：</w:t>
      </w:r>
      <w:r>
        <w:rPr>
          <w:rFonts w:hint="eastAsia" w:ascii="宋体" w:hAnsi="宋体" w:eastAsia="宋体" w:cs="宋体"/>
          <w:color w:val="auto"/>
          <w:sz w:val="24"/>
          <w:szCs w:val="24"/>
        </w:rPr>
        <w:t>专用合同条款。</w:t>
      </w:r>
    </w:p>
    <w:p w14:paraId="0FCA397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1.8项目现场：</w:t>
      </w:r>
      <w:r>
        <w:rPr>
          <w:rFonts w:hint="eastAsia" w:ascii="宋体" w:hAnsi="宋体" w:eastAsia="宋体" w:cs="宋体"/>
          <w:color w:val="auto"/>
          <w:sz w:val="24"/>
          <w:szCs w:val="24"/>
        </w:rPr>
        <w:t>合同货物最终交货的地点。</w:t>
      </w:r>
    </w:p>
    <w:p w14:paraId="4A5A7942">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1.9日：</w:t>
      </w:r>
      <w:r>
        <w:rPr>
          <w:rFonts w:hint="eastAsia" w:ascii="宋体" w:hAnsi="宋体" w:eastAsia="宋体" w:cs="宋体"/>
          <w:color w:val="auto"/>
          <w:sz w:val="24"/>
          <w:szCs w:val="24"/>
        </w:rPr>
        <w:t>指日历天数。</w:t>
      </w:r>
    </w:p>
    <w:p w14:paraId="1DB4BA3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1.10来源地：</w:t>
      </w:r>
      <w:r>
        <w:rPr>
          <w:rFonts w:hint="eastAsia" w:ascii="宋体" w:hAnsi="宋体" w:eastAsia="宋体" w:cs="宋体"/>
          <w:color w:val="auto"/>
          <w:sz w:val="24"/>
          <w:szCs w:val="24"/>
        </w:rPr>
        <w:t>指货物生产地或提供服务的来源地。</w:t>
      </w:r>
    </w:p>
    <w:p w14:paraId="0162F426">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1.11货物：</w:t>
      </w:r>
      <w:r>
        <w:rPr>
          <w:rFonts w:hint="eastAsia" w:ascii="宋体" w:hAnsi="宋体" w:eastAsia="宋体" w:cs="宋体"/>
          <w:color w:val="auto"/>
          <w:sz w:val="24"/>
          <w:szCs w:val="24"/>
        </w:rPr>
        <w:t>指经过制造、加工的产品或经过实质上组装主要元件而形成的产品。</w:t>
      </w:r>
    </w:p>
    <w:p w14:paraId="2E9ACF5B">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2、合同适用性</w:t>
      </w:r>
    </w:p>
    <w:p w14:paraId="0819194C">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2.1</w:t>
      </w:r>
      <w:r>
        <w:rPr>
          <w:rFonts w:hint="eastAsia" w:ascii="宋体" w:hAnsi="宋体" w:eastAsia="宋体" w:cs="宋体"/>
          <w:b/>
          <w:bCs/>
          <w:color w:val="auto"/>
          <w:sz w:val="24"/>
          <w:szCs w:val="24"/>
        </w:rPr>
        <w:t>本通用合同条款适用于没有被本合同其他部分的条款所取代的范围，已被合同所取代或覆盖部分按合同约定的条款执行。</w:t>
      </w:r>
    </w:p>
    <w:p w14:paraId="038AFA27">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3、标准</w:t>
      </w:r>
    </w:p>
    <w:p w14:paraId="73CCE488">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3.1</w:t>
      </w:r>
      <w:r>
        <w:rPr>
          <w:rFonts w:hint="eastAsia" w:ascii="宋体" w:hAnsi="宋体" w:eastAsia="宋体" w:cs="宋体"/>
          <w:color w:val="auto"/>
          <w:sz w:val="24"/>
          <w:szCs w:val="24"/>
        </w:rPr>
        <w:t>合同项下交付货物的技术规格标准见</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文件技术条款。如果没有提及适用标准，则应符合货物适用的官方标准。这些标准必须是有关机构发布的最新版本的标准。或货物能满足设计要求的技术性能和质量标准和货物投入正常运行后发挥预期的作用。</w:t>
      </w:r>
    </w:p>
    <w:p w14:paraId="1D2EB446">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4、知识产权</w:t>
      </w:r>
    </w:p>
    <w:p w14:paraId="2FF6C82D">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4.1</w:t>
      </w:r>
      <w:r>
        <w:rPr>
          <w:rFonts w:hint="eastAsia" w:ascii="宋体" w:hAnsi="宋体" w:eastAsia="宋体" w:cs="宋体"/>
          <w:b/>
          <w:color w:val="auto"/>
          <w:sz w:val="24"/>
          <w:szCs w:val="24"/>
        </w:rPr>
        <w:tab/>
      </w:r>
      <w:r>
        <w:rPr>
          <w:rFonts w:hint="eastAsia" w:ascii="宋体" w:hAnsi="宋体" w:eastAsia="宋体" w:cs="宋体"/>
          <w:color w:val="auto"/>
          <w:sz w:val="24"/>
          <w:szCs w:val="24"/>
        </w:rPr>
        <w:t>供方保证，需方在项目现场使用该货物或货物的任何一部分时，免受第三方提出的侵犯其专利权、商标权或工业设计权等侵权的起诉。当任何第三方提出侵权索赔时，供方应向第三方提出其处理答复，并承担由此引起的一切法律上的和经济上的责任。</w:t>
      </w:r>
    </w:p>
    <w:p w14:paraId="37709489">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5、履约保证金</w:t>
      </w:r>
    </w:p>
    <w:p w14:paraId="681756F2">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5.1</w:t>
      </w:r>
      <w:r>
        <w:rPr>
          <w:rFonts w:hint="eastAsia" w:ascii="宋体" w:hAnsi="宋体" w:eastAsia="宋体" w:cs="宋体"/>
          <w:b/>
          <w:color w:val="auto"/>
          <w:sz w:val="24"/>
          <w:szCs w:val="24"/>
        </w:rPr>
        <w:tab/>
      </w:r>
      <w:r>
        <w:rPr>
          <w:rFonts w:hint="eastAsia" w:ascii="宋体" w:hAnsi="宋体" w:eastAsia="宋体" w:cs="宋体"/>
          <w:color w:val="auto"/>
          <w:sz w:val="24"/>
          <w:szCs w:val="24"/>
        </w:rPr>
        <w:t>如需方要求供方提供履约保证金的，应在合同中约定（如需方有要求执行以下条款）。</w:t>
      </w:r>
    </w:p>
    <w:p w14:paraId="2C61ED2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5.2</w:t>
      </w:r>
      <w:r>
        <w:rPr>
          <w:rFonts w:hint="eastAsia" w:ascii="宋体" w:hAnsi="宋体" w:eastAsia="宋体" w:cs="宋体"/>
          <w:b/>
          <w:color w:val="auto"/>
          <w:sz w:val="24"/>
          <w:szCs w:val="24"/>
        </w:rPr>
        <w:tab/>
      </w:r>
      <w:r>
        <w:rPr>
          <w:rFonts w:hint="eastAsia" w:ascii="宋体" w:hAnsi="宋体" w:eastAsia="宋体" w:cs="宋体"/>
          <w:color w:val="auto"/>
          <w:sz w:val="24"/>
          <w:szCs w:val="24"/>
        </w:rPr>
        <w:t>履约保证金应用本合同货币为：人民币。</w:t>
      </w:r>
    </w:p>
    <w:p w14:paraId="4BF9935C">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5.3</w:t>
      </w:r>
      <w:r>
        <w:rPr>
          <w:rFonts w:hint="eastAsia" w:ascii="宋体" w:hAnsi="宋体" w:eastAsia="宋体" w:cs="宋体"/>
          <w:color w:val="auto"/>
          <w:sz w:val="24"/>
          <w:szCs w:val="24"/>
        </w:rPr>
        <w:tab/>
      </w:r>
      <w:r>
        <w:rPr>
          <w:rFonts w:hint="eastAsia" w:ascii="宋体" w:hAnsi="宋体" w:eastAsia="宋体" w:cs="宋体"/>
          <w:color w:val="auto"/>
          <w:sz w:val="24"/>
          <w:szCs w:val="24"/>
        </w:rPr>
        <w:t>除非专用条款另有规定，在供方完成规定的质保期后</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日内，采购人将履约保证金退还承包人。</w:t>
      </w:r>
    </w:p>
    <w:p w14:paraId="5D983102">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6、安装、调试及检验、验收</w:t>
      </w:r>
    </w:p>
    <w:p w14:paraId="55EC558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6.1</w:t>
      </w:r>
      <w:r>
        <w:rPr>
          <w:rFonts w:hint="eastAsia" w:ascii="宋体" w:hAnsi="宋体" w:eastAsia="宋体" w:cs="宋体"/>
          <w:color w:val="auto"/>
          <w:sz w:val="24"/>
          <w:szCs w:val="24"/>
        </w:rPr>
        <w:t>供方应按设计图纸或安装方案负责合同设备或货物安装、调试、试运行、质量的检测、检验和验收等工作，以及提供为完成上述所需的全部人工、材料、专用工具、交通运输、和一切辅助作业及辅助设施等。</w:t>
      </w:r>
    </w:p>
    <w:p w14:paraId="2970D1B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6.2</w:t>
      </w:r>
      <w:r>
        <w:rPr>
          <w:rFonts w:hint="eastAsia" w:ascii="宋体" w:hAnsi="宋体" w:eastAsia="宋体" w:cs="宋体"/>
          <w:color w:val="auto"/>
          <w:sz w:val="24"/>
          <w:szCs w:val="24"/>
        </w:rPr>
        <w:t>需方或其代表有权要求检验和测试货物，以确认货物能符合合同的要求，且并不承担额外的费用。需方要求进行的检验和测试的内容和地点应在合同中说明。</w:t>
      </w:r>
    </w:p>
    <w:p w14:paraId="3C1B4D69">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6.3</w:t>
      </w:r>
      <w:r>
        <w:rPr>
          <w:rFonts w:hint="eastAsia" w:ascii="宋体" w:hAnsi="宋体" w:eastAsia="宋体" w:cs="宋体"/>
          <w:color w:val="auto"/>
          <w:sz w:val="24"/>
          <w:szCs w:val="24"/>
        </w:rPr>
        <w:t>检验和测试应在供方交货地点、或货物的最终目的地进行。如果在供方的工厂进行，需方检测人员应能得到必要的检测设施和手段，需方不承担任何费用。</w:t>
      </w:r>
    </w:p>
    <w:p w14:paraId="24CC1066">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6.4</w:t>
      </w:r>
      <w:r>
        <w:rPr>
          <w:rFonts w:hint="eastAsia" w:ascii="宋体" w:hAnsi="宋体" w:eastAsia="宋体" w:cs="宋体"/>
          <w:color w:val="auto"/>
          <w:sz w:val="24"/>
          <w:szCs w:val="24"/>
        </w:rPr>
        <w:t>供方有责任对合同货物按合同要求自行进行检验、测试等工作，检验、测试合格报告由供方提交给采购人，这些文件将被视为合同货物的质量保证资料。</w:t>
      </w:r>
    </w:p>
    <w:p w14:paraId="438807BC">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6.5</w:t>
      </w:r>
      <w:r>
        <w:rPr>
          <w:rFonts w:hint="eastAsia" w:ascii="宋体" w:hAnsi="宋体" w:eastAsia="宋体" w:cs="宋体"/>
          <w:color w:val="auto"/>
          <w:sz w:val="24"/>
          <w:szCs w:val="24"/>
        </w:rPr>
        <w:t>如果所检验的货物不能满足合同的要求，需方可以拒绝接受该货物，供方应更换被拒绝的货物，或者免费进行必要的修改以满足规定的要求。</w:t>
      </w:r>
    </w:p>
    <w:p w14:paraId="4AE58EE7">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6.6</w:t>
      </w:r>
      <w:r>
        <w:rPr>
          <w:rFonts w:hint="eastAsia" w:ascii="宋体" w:hAnsi="宋体" w:eastAsia="宋体" w:cs="宋体"/>
          <w:color w:val="auto"/>
          <w:sz w:val="24"/>
          <w:szCs w:val="24"/>
        </w:rPr>
        <w:tab/>
      </w:r>
      <w:r>
        <w:rPr>
          <w:rFonts w:hint="eastAsia" w:ascii="宋体" w:hAnsi="宋体" w:eastAsia="宋体" w:cs="宋体"/>
          <w:color w:val="auto"/>
          <w:sz w:val="24"/>
          <w:szCs w:val="24"/>
        </w:rPr>
        <w:t>供方应在进行检验和测试前</w:t>
      </w:r>
      <w:r>
        <w:rPr>
          <w:rFonts w:hint="eastAsia" w:ascii="宋体" w:hAnsi="宋体" w:eastAsia="宋体" w:cs="宋体"/>
          <w:color w:val="auto"/>
          <w:sz w:val="24"/>
          <w:szCs w:val="24"/>
          <w:u w:val="single"/>
        </w:rPr>
        <w:t xml:space="preserve"> 7</w:t>
      </w:r>
      <w:r>
        <w:rPr>
          <w:rFonts w:hint="eastAsia" w:ascii="宋体" w:hAnsi="宋体" w:eastAsia="宋体" w:cs="宋体"/>
          <w:color w:val="auto"/>
          <w:sz w:val="24"/>
          <w:szCs w:val="24"/>
        </w:rPr>
        <w:t>日通知需方检验和测试货物的相关内容，以便需方能安排人员参加。需方将及时以书面形式把参加检验和测试的代表身份情况通知供方。</w:t>
      </w:r>
    </w:p>
    <w:p w14:paraId="685DAD8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6.7</w:t>
      </w:r>
      <w:r>
        <w:rPr>
          <w:rFonts w:hint="eastAsia" w:ascii="宋体" w:hAnsi="宋体" w:eastAsia="宋体" w:cs="宋体"/>
          <w:b/>
          <w:color w:val="auto"/>
          <w:sz w:val="24"/>
          <w:szCs w:val="24"/>
        </w:rPr>
        <w:tab/>
      </w:r>
      <w:r>
        <w:rPr>
          <w:rFonts w:hint="eastAsia" w:ascii="宋体" w:hAnsi="宋体" w:eastAsia="宋体" w:cs="宋体"/>
          <w:color w:val="auto"/>
          <w:sz w:val="24"/>
          <w:szCs w:val="24"/>
        </w:rPr>
        <w:t>供方有义务提供有关资料和必要的协助，包括合理地中止工作以便需方或其代表在加工过程中对货物的某一部分或元件进行检测。</w:t>
      </w:r>
    </w:p>
    <w:p w14:paraId="28FB9591">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6.8</w:t>
      </w:r>
      <w:r>
        <w:rPr>
          <w:rFonts w:hint="eastAsia" w:ascii="宋体" w:hAnsi="宋体" w:eastAsia="宋体" w:cs="宋体"/>
          <w:color w:val="auto"/>
          <w:sz w:val="24"/>
          <w:szCs w:val="24"/>
        </w:rPr>
        <w:t>本章规定在任何情况下都不能免除供方在本合同项下的保证义务或其他义务。</w:t>
      </w:r>
    </w:p>
    <w:p w14:paraId="588DBC21">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7、包装</w:t>
      </w:r>
    </w:p>
    <w:p w14:paraId="55E93800">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7.1</w:t>
      </w:r>
      <w:r>
        <w:rPr>
          <w:rFonts w:hint="eastAsia" w:ascii="宋体" w:hAnsi="宋体" w:eastAsia="宋体" w:cs="宋体"/>
          <w:color w:val="auto"/>
          <w:sz w:val="24"/>
          <w:szCs w:val="24"/>
        </w:rPr>
        <w:t>供方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14:paraId="3C0331AB">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7.2</w:t>
      </w:r>
      <w:r>
        <w:rPr>
          <w:rFonts w:hint="eastAsia" w:ascii="宋体" w:hAnsi="宋体" w:eastAsia="宋体" w:cs="宋体"/>
          <w:b/>
          <w:color w:val="auto"/>
          <w:sz w:val="24"/>
          <w:szCs w:val="24"/>
        </w:rPr>
        <w:tab/>
      </w:r>
      <w:r>
        <w:rPr>
          <w:rFonts w:hint="eastAsia" w:ascii="宋体" w:hAnsi="宋体" w:eastAsia="宋体" w:cs="宋体"/>
          <w:color w:val="auto"/>
          <w:sz w:val="24"/>
          <w:szCs w:val="24"/>
        </w:rPr>
        <w:t>包装、标记和包装箱内外的单据应严格符合合同的特殊要求，包括专用条款规定的要求以及采购人后来发出的指示。</w:t>
      </w:r>
    </w:p>
    <w:p w14:paraId="1B8A428D">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8、交货（发运）和单据</w:t>
      </w:r>
    </w:p>
    <w:p w14:paraId="624C07F3">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8.1</w:t>
      </w:r>
      <w:r>
        <w:rPr>
          <w:rFonts w:hint="eastAsia" w:ascii="宋体" w:hAnsi="宋体" w:eastAsia="宋体" w:cs="宋体"/>
          <w:color w:val="auto"/>
          <w:sz w:val="24"/>
          <w:szCs w:val="24"/>
        </w:rPr>
        <w:t>供方负责在本合同及附件所规定的</w:t>
      </w:r>
      <w:r>
        <w:rPr>
          <w:rFonts w:hint="eastAsia" w:ascii="宋体" w:hAnsi="宋体" w:eastAsia="宋体" w:cs="宋体"/>
          <w:color w:val="auto"/>
          <w:sz w:val="24"/>
          <w:szCs w:val="28"/>
          <w:lang w:eastAsia="zh-CN"/>
        </w:rPr>
        <w:t>合同履约期限</w:t>
      </w:r>
      <w:r>
        <w:rPr>
          <w:rFonts w:hint="eastAsia" w:ascii="宋体" w:hAnsi="宋体" w:eastAsia="宋体" w:cs="宋体"/>
          <w:color w:val="auto"/>
          <w:sz w:val="24"/>
          <w:szCs w:val="24"/>
        </w:rPr>
        <w:t>内，完成全部合同货物及技术文件发运任务。供方应提供的装运细节和单据在专用条款中有具体规定。</w:t>
      </w:r>
    </w:p>
    <w:p w14:paraId="005A29CA">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9、保险</w:t>
      </w:r>
    </w:p>
    <w:p w14:paraId="4CEC1B00">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9.1</w:t>
      </w:r>
      <w:r>
        <w:rPr>
          <w:rFonts w:hint="eastAsia" w:ascii="宋体" w:hAnsi="宋体" w:eastAsia="宋体" w:cs="宋体"/>
          <w:color w:val="auto"/>
          <w:sz w:val="24"/>
          <w:szCs w:val="24"/>
        </w:rPr>
        <w:tab/>
      </w:r>
      <w:r>
        <w:rPr>
          <w:rFonts w:hint="eastAsia" w:ascii="宋体" w:hAnsi="宋体" w:eastAsia="宋体" w:cs="宋体"/>
          <w:color w:val="auto"/>
          <w:sz w:val="24"/>
          <w:szCs w:val="24"/>
        </w:rPr>
        <w:t>本合同下提供的货物应对其在制造、购置、运输、存放及交货过程中丢失或损坏按专用条款规定的方式，对货物进行全面保险。</w:t>
      </w:r>
    </w:p>
    <w:p w14:paraId="6BCE7363">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10、备品、备件</w:t>
      </w:r>
    </w:p>
    <w:p w14:paraId="30189FA1">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10.1</w:t>
      </w:r>
      <w:r>
        <w:rPr>
          <w:rFonts w:hint="eastAsia" w:ascii="宋体" w:hAnsi="宋体" w:eastAsia="宋体" w:cs="宋体"/>
          <w:color w:val="auto"/>
          <w:sz w:val="24"/>
          <w:szCs w:val="24"/>
        </w:rPr>
        <w:t>在合同货物供货后</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年内，供方应以优惠价格向采购人提供合同货物维修和维护所需要的备品、备件。如果承包人在上述期限前停止生产合同货物，则应事先通知需方，以便需方采购足够的备品、备件。在停止生产后，如果需方要求，供方应免费向需方提供备品、备件的图纸和规格。</w:t>
      </w:r>
    </w:p>
    <w:p w14:paraId="59EBF601">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11、保证</w:t>
      </w:r>
    </w:p>
    <w:p w14:paraId="0DBE3206">
      <w:pPr>
        <w:pStyle w:val="17"/>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11.1</w:t>
      </w:r>
      <w:r>
        <w:rPr>
          <w:rFonts w:hint="eastAsia" w:ascii="宋体" w:hAnsi="宋体" w:eastAsia="宋体" w:cs="宋体"/>
          <w:color w:val="auto"/>
          <w:sz w:val="24"/>
          <w:szCs w:val="24"/>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14:paraId="6C315930">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11.2</w:t>
      </w:r>
      <w:r>
        <w:rPr>
          <w:rFonts w:hint="eastAsia" w:ascii="宋体" w:hAnsi="宋体" w:eastAsia="宋体" w:cs="宋体"/>
          <w:color w:val="auto"/>
          <w:sz w:val="24"/>
          <w:szCs w:val="24"/>
        </w:rPr>
        <w:t>供方应保证提交的技术文件、图纸的完整、清楚和正确，达到合同货物设计、安装、运行和维护要求。技术文件如有不准确或不完整，供方应在接到需方通知后15日内进行更改或重新提供。</w:t>
      </w:r>
    </w:p>
    <w:p w14:paraId="1B93AE3D">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11.3</w:t>
      </w:r>
      <w:r>
        <w:rPr>
          <w:rFonts w:hint="eastAsia" w:ascii="宋体" w:hAnsi="宋体" w:eastAsia="宋体" w:cs="宋体"/>
          <w:color w:val="auto"/>
          <w:sz w:val="24"/>
          <w:szCs w:val="24"/>
        </w:rPr>
        <w:t>供方应保证合同货物在接收试运时各项技术参数满足合同要求。如在合同货物安装、调试、接收、试运期间，如发现因供方原因造成的合同货物的缺陷或损坏，供方应尽快免费更换和修复并补偿由此给需方带来的一切直接损失。供方应承担此项更换和修复工作的一切风险和费用。</w:t>
      </w:r>
    </w:p>
    <w:p w14:paraId="2BB2F589">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11.4</w:t>
      </w:r>
      <w:r>
        <w:rPr>
          <w:rFonts w:hint="eastAsia" w:ascii="宋体" w:hAnsi="宋体" w:eastAsia="宋体" w:cs="宋体"/>
          <w:color w:val="auto"/>
          <w:sz w:val="24"/>
          <w:szCs w:val="24"/>
        </w:rPr>
        <w:t>质量保证期（简称质保期）为：业主签发接收通知书之日起计算。</w:t>
      </w:r>
    </w:p>
    <w:p w14:paraId="28C03DCE">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11.5</w:t>
      </w:r>
      <w:r>
        <w:rPr>
          <w:rFonts w:hint="eastAsia" w:ascii="宋体" w:hAnsi="宋体" w:eastAsia="宋体" w:cs="宋体"/>
          <w:color w:val="auto"/>
          <w:sz w:val="24"/>
          <w:szCs w:val="24"/>
        </w:rPr>
        <w:t>在质保期间，如果因供方原因造成合同货物有缺陷或不能满足合同规定，需方有权提出索赔。</w:t>
      </w:r>
    </w:p>
    <w:p w14:paraId="74034B1E">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11.6</w:t>
      </w:r>
      <w:r>
        <w:rPr>
          <w:rFonts w:hint="eastAsia" w:ascii="宋体" w:hAnsi="宋体" w:eastAsia="宋体" w:cs="宋体"/>
          <w:color w:val="auto"/>
          <w:sz w:val="24"/>
          <w:szCs w:val="24"/>
        </w:rPr>
        <w:t>在需方提出索赔之后，供方应尽快对合同货物进行修复并承担全部费用。</w:t>
      </w:r>
    </w:p>
    <w:p w14:paraId="7BB61412">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11.7</w:t>
      </w:r>
      <w:r>
        <w:rPr>
          <w:rFonts w:hint="eastAsia" w:ascii="宋体" w:hAnsi="宋体" w:eastAsia="宋体" w:cs="宋体"/>
          <w:color w:val="auto"/>
          <w:sz w:val="24"/>
          <w:szCs w:val="24"/>
        </w:rPr>
        <w:t>如果供方对索赔有异议，应在收到需方索赔</w:t>
      </w:r>
      <w:r>
        <w:rPr>
          <w:rFonts w:hint="eastAsia" w:ascii="宋体" w:hAnsi="宋体" w:eastAsia="宋体" w:cs="宋体"/>
          <w:color w:val="auto"/>
          <w:sz w:val="24"/>
          <w:szCs w:val="24"/>
          <w:u w:val="single"/>
        </w:rPr>
        <w:t xml:space="preserve"> 7</w:t>
      </w:r>
      <w:r>
        <w:rPr>
          <w:rFonts w:hint="eastAsia" w:ascii="宋体" w:hAnsi="宋体" w:eastAsia="宋体" w:cs="宋体"/>
          <w:color w:val="auto"/>
          <w:sz w:val="24"/>
          <w:szCs w:val="24"/>
        </w:rPr>
        <w:t>日之内提出，双方进行协商。如供方在此期限之前没有答复则被视为接受索赔要求。</w:t>
      </w:r>
    </w:p>
    <w:p w14:paraId="386563A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11.8</w:t>
      </w:r>
      <w:r>
        <w:rPr>
          <w:rFonts w:hint="eastAsia" w:ascii="宋体" w:hAnsi="宋体" w:eastAsia="宋体" w:cs="宋体"/>
          <w:color w:val="auto"/>
          <w:sz w:val="24"/>
          <w:szCs w:val="24"/>
        </w:rPr>
        <w:t>供方应在接到索赔要求后</w:t>
      </w:r>
      <w:r>
        <w:rPr>
          <w:rFonts w:hint="eastAsia" w:ascii="宋体" w:hAnsi="宋体" w:eastAsia="宋体" w:cs="宋体"/>
          <w:color w:val="auto"/>
          <w:sz w:val="24"/>
          <w:szCs w:val="24"/>
          <w:u w:val="single"/>
        </w:rPr>
        <w:t xml:space="preserve"> 10</w:t>
      </w:r>
      <w:r>
        <w:rPr>
          <w:rFonts w:hint="eastAsia" w:ascii="宋体" w:hAnsi="宋体" w:eastAsia="宋体" w:cs="宋体"/>
          <w:color w:val="auto"/>
          <w:sz w:val="24"/>
          <w:szCs w:val="24"/>
        </w:rPr>
        <w:t>日内对合同货物进行修复或替换。替换和修复工作的期限，除采购人同意的期限外，不得超过</w:t>
      </w:r>
      <w:r>
        <w:rPr>
          <w:rFonts w:hint="eastAsia" w:ascii="宋体" w:hAnsi="宋体" w:eastAsia="宋体" w:cs="宋体"/>
          <w:color w:val="auto"/>
          <w:sz w:val="24"/>
          <w:szCs w:val="24"/>
          <w:u w:val="single"/>
        </w:rPr>
        <w:t xml:space="preserve"> 1</w:t>
      </w:r>
      <w:r>
        <w:rPr>
          <w:rFonts w:hint="eastAsia" w:ascii="宋体" w:hAnsi="宋体" w:eastAsia="宋体" w:cs="宋体"/>
          <w:color w:val="auto"/>
          <w:sz w:val="24"/>
          <w:szCs w:val="24"/>
        </w:rPr>
        <w:t>个月，对于小的缺陷，在供方同意的情况下，可以由需方有关技术人员进行修复，费用由供方承担。</w:t>
      </w:r>
    </w:p>
    <w:p w14:paraId="2CCD6E16">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11.9</w:t>
      </w:r>
      <w:r>
        <w:rPr>
          <w:rFonts w:hint="eastAsia" w:ascii="宋体" w:hAnsi="宋体" w:eastAsia="宋体" w:cs="宋体"/>
          <w:color w:val="auto"/>
          <w:sz w:val="24"/>
          <w:szCs w:val="24"/>
        </w:rPr>
        <w:t>如因供方原因在质保期内因合同货物维修而停止使用，则相应合同货物质保期应根据货物停运时间延长。对于维修量大或重新更换的合同货物，质保期应重新计算，为需方验收接受维修或更换合同货物后原质量保证期。</w:t>
      </w:r>
    </w:p>
    <w:p w14:paraId="2B2AD390">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12、环境、职业健康和安全</w:t>
      </w:r>
    </w:p>
    <w:p w14:paraId="39DD606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12.1</w:t>
      </w:r>
      <w:r>
        <w:rPr>
          <w:rFonts w:hint="eastAsia" w:ascii="宋体" w:hAnsi="宋体" w:eastAsia="宋体" w:cs="宋体"/>
          <w:color w:val="auto"/>
          <w:sz w:val="24"/>
          <w:szCs w:val="24"/>
        </w:rPr>
        <w:t>供方应当确保在产品制造过程中使用的材料和制作工艺符合国家标准，保证安装现场环境、职业健康和安全符合国家法律政策要求。所提供的货物应保证符合国家法律政策对</w:t>
      </w:r>
    </w:p>
    <w:p w14:paraId="195EB106">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使用人员在使用过程中关于</w:t>
      </w:r>
      <w:r>
        <w:rPr>
          <w:rFonts w:hint="eastAsia" w:ascii="宋体" w:hAnsi="宋体" w:eastAsia="宋体" w:cs="宋体"/>
          <w:color w:val="auto"/>
          <w:sz w:val="24"/>
          <w:szCs w:val="24"/>
        </w:rPr>
        <w:t>职业健康的要求。</w:t>
      </w:r>
    </w:p>
    <w:p w14:paraId="48E1B3D1">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12.2</w:t>
      </w:r>
      <w:r>
        <w:rPr>
          <w:rFonts w:hint="eastAsia" w:ascii="宋体" w:hAnsi="宋体" w:eastAsia="宋体" w:cs="宋体"/>
          <w:color w:val="auto"/>
          <w:sz w:val="24"/>
          <w:szCs w:val="24"/>
        </w:rPr>
        <w:t>需方检验员在供方制造场所进行检验时，供方有责任提供给需方检验员一个安全的工作环境，并且告知其潜在的危险。如果检验员认为工作环境不安全，检验员可以不履行其工作。</w:t>
      </w:r>
    </w:p>
    <w:p w14:paraId="2622455B">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12.3</w:t>
      </w:r>
      <w:r>
        <w:rPr>
          <w:rFonts w:hint="eastAsia" w:ascii="宋体" w:hAnsi="宋体" w:eastAsia="宋体" w:cs="宋体"/>
          <w:color w:val="auto"/>
          <w:sz w:val="24"/>
          <w:szCs w:val="24"/>
        </w:rPr>
        <w:t>供方工作人员在需方安装现场进行服务时，应该遵守需方安装现场的“安全/环境管理规定”，服从需方安装现场安全人员的指挥。</w:t>
      </w:r>
    </w:p>
    <w:p w14:paraId="02E1356C">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12.4</w:t>
      </w:r>
      <w:r>
        <w:rPr>
          <w:rFonts w:hint="eastAsia" w:ascii="宋体" w:hAnsi="宋体" w:eastAsia="宋体" w:cs="宋体"/>
          <w:color w:val="auto"/>
          <w:sz w:val="24"/>
          <w:szCs w:val="24"/>
        </w:rPr>
        <w:t>供方用于包装货物的包装材料应是符合环境要求的包装材料。</w:t>
      </w:r>
    </w:p>
    <w:p w14:paraId="46323CDA">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13、索赔</w:t>
      </w:r>
    </w:p>
    <w:p w14:paraId="30A5CA6C">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13.1</w:t>
      </w:r>
      <w:r>
        <w:rPr>
          <w:rFonts w:hint="eastAsia" w:ascii="宋体" w:hAnsi="宋体" w:eastAsia="宋体" w:cs="宋体"/>
          <w:color w:val="auto"/>
          <w:sz w:val="24"/>
          <w:szCs w:val="24"/>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14:paraId="2362308C">
      <w:pPr>
        <w:spacing w:line="360" w:lineRule="auto"/>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（1）同意退货并赔偿需方相应损失，供方赔偿额为相应合同货物价格和已发生的银行利息、手续费用、运输费用、保险费、现场存放费、装卸费、验收费用、已发生的合同货物保管等费用。</w:t>
      </w:r>
    </w:p>
    <w:p w14:paraId="7CEC138A">
      <w:pPr>
        <w:spacing w:line="360" w:lineRule="auto"/>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（2）根据合同货物缺陷程度、损坏程度和损失金额，经双方同意对货物进行折价。</w:t>
      </w:r>
    </w:p>
    <w:p w14:paraId="14B06B96">
      <w:pPr>
        <w:spacing w:line="360" w:lineRule="auto"/>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14:paraId="7D615757">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13.2</w:t>
      </w:r>
      <w:r>
        <w:rPr>
          <w:rFonts w:hint="eastAsia" w:ascii="宋体" w:hAnsi="宋体" w:eastAsia="宋体" w:cs="宋体"/>
          <w:color w:val="auto"/>
          <w:sz w:val="24"/>
          <w:szCs w:val="24"/>
        </w:rPr>
        <w:t>如果供方在接到需方索赔通知单后</w:t>
      </w:r>
      <w:r>
        <w:rPr>
          <w:rFonts w:hint="eastAsia" w:ascii="宋体" w:hAnsi="宋体" w:eastAsia="宋体" w:cs="宋体"/>
          <w:color w:val="auto"/>
          <w:sz w:val="24"/>
          <w:szCs w:val="24"/>
          <w:u w:val="single"/>
        </w:rPr>
        <w:t xml:space="preserve"> 7</w:t>
      </w:r>
      <w:r>
        <w:rPr>
          <w:rFonts w:hint="eastAsia" w:ascii="宋体" w:hAnsi="宋体" w:eastAsia="宋体" w:cs="宋体"/>
          <w:color w:val="auto"/>
          <w:sz w:val="24"/>
          <w:szCs w:val="24"/>
        </w:rPr>
        <w:t>日内没有答复，则视为承包人接受索赔。</w:t>
      </w:r>
    </w:p>
    <w:p w14:paraId="5BA56FB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13.3</w:t>
      </w:r>
      <w:r>
        <w:rPr>
          <w:rFonts w:hint="eastAsia" w:ascii="宋体" w:hAnsi="宋体" w:eastAsia="宋体" w:cs="宋体"/>
          <w:color w:val="auto"/>
          <w:sz w:val="24"/>
          <w:szCs w:val="24"/>
        </w:rPr>
        <w:t>如果供方不能按13.1（3）款完成合同货物的更换、修复或补充发货，供方应按合同有关条款的规定负担迟交货罚款。</w:t>
      </w:r>
    </w:p>
    <w:p w14:paraId="0E24DA1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13.4</w:t>
      </w:r>
      <w:r>
        <w:rPr>
          <w:rFonts w:hint="eastAsia" w:ascii="宋体" w:hAnsi="宋体" w:eastAsia="宋体" w:cs="宋体"/>
          <w:color w:val="auto"/>
          <w:sz w:val="24"/>
          <w:szCs w:val="24"/>
        </w:rPr>
        <w:t>因供方原因而更换急需的合同货物，供方应在需方要求的时间内尽快运到目的现场，费用由供方负担。</w:t>
      </w:r>
    </w:p>
    <w:p w14:paraId="275C423C">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14、付款</w:t>
      </w:r>
    </w:p>
    <w:p w14:paraId="1582DA42">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14.1</w:t>
      </w:r>
      <w:r>
        <w:rPr>
          <w:rFonts w:hint="eastAsia" w:ascii="宋体" w:hAnsi="宋体" w:eastAsia="宋体" w:cs="宋体"/>
          <w:color w:val="auto"/>
          <w:sz w:val="24"/>
          <w:szCs w:val="24"/>
        </w:rPr>
        <w:t>本合同付款条件在专用条款中规定。</w:t>
      </w:r>
    </w:p>
    <w:p w14:paraId="0F95D2DD">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14.2</w:t>
      </w:r>
      <w:r>
        <w:rPr>
          <w:rFonts w:hint="eastAsia" w:ascii="宋体" w:hAnsi="宋体" w:eastAsia="宋体" w:cs="宋体"/>
          <w:color w:val="auto"/>
          <w:sz w:val="24"/>
          <w:szCs w:val="24"/>
        </w:rPr>
        <w:t>供方应书面向需方提出付款要求，并附上对已递交货物和已履行服务的发票和通用条款第8条规定的单据，以及合同规定的其他义务已经履行的证明。</w:t>
      </w:r>
    </w:p>
    <w:p w14:paraId="6DEC7CC9">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14.3</w:t>
      </w:r>
      <w:r>
        <w:rPr>
          <w:rFonts w:hint="eastAsia" w:ascii="宋体" w:hAnsi="宋体" w:eastAsia="宋体" w:cs="宋体"/>
          <w:color w:val="auto"/>
          <w:sz w:val="24"/>
          <w:szCs w:val="24"/>
        </w:rPr>
        <w:t>付款方式：在专用条款中规定。</w:t>
      </w:r>
    </w:p>
    <w:p w14:paraId="49FB26B9">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14.4</w:t>
      </w:r>
      <w:r>
        <w:rPr>
          <w:rFonts w:hint="eastAsia" w:ascii="宋体" w:hAnsi="宋体" w:eastAsia="宋体" w:cs="宋体"/>
          <w:color w:val="auto"/>
          <w:sz w:val="24"/>
          <w:szCs w:val="24"/>
        </w:rPr>
        <w:t>付款比例：在专用条款中规定。</w:t>
      </w:r>
    </w:p>
    <w:p w14:paraId="7473B2CA">
      <w:pPr>
        <w:pStyle w:val="13"/>
        <w:spacing w:line="360" w:lineRule="auto"/>
        <w:jc w:val="both"/>
        <w:rPr>
          <w:rFonts w:hint="eastAsia" w:ascii="宋体" w:hAnsi="宋体" w:eastAsia="宋体" w:cs="宋体"/>
          <w:b/>
          <w:color w:val="auto"/>
        </w:rPr>
      </w:pPr>
      <w:r>
        <w:rPr>
          <w:rFonts w:hint="eastAsia" w:ascii="宋体" w:hAnsi="宋体" w:eastAsia="宋体" w:cs="宋体"/>
          <w:b/>
          <w:color w:val="auto"/>
        </w:rPr>
        <w:t>15、价格</w:t>
      </w:r>
    </w:p>
    <w:p w14:paraId="334790A1">
      <w:pPr>
        <w:pStyle w:val="13"/>
        <w:spacing w:line="360" w:lineRule="auto"/>
        <w:rPr>
          <w:rFonts w:hint="eastAsia" w:ascii="宋体" w:hAnsi="宋体" w:eastAsia="宋体" w:cs="宋体"/>
          <w:color w:val="auto"/>
        </w:rPr>
      </w:pPr>
      <w:r>
        <w:rPr>
          <w:rFonts w:hint="eastAsia" w:ascii="宋体" w:hAnsi="宋体" w:eastAsia="宋体" w:cs="宋体"/>
          <w:b/>
          <w:color w:val="auto"/>
        </w:rPr>
        <w:t>15.1</w:t>
      </w:r>
      <w:r>
        <w:rPr>
          <w:rFonts w:hint="eastAsia" w:ascii="宋体" w:hAnsi="宋体" w:eastAsia="宋体" w:cs="宋体"/>
          <w:color w:val="auto"/>
        </w:rPr>
        <w:t>供方在合同项下提交货物和履行服务收取的价格是</w:t>
      </w:r>
      <w:r>
        <w:rPr>
          <w:rFonts w:hint="eastAsia" w:ascii="宋体" w:hAnsi="宋体" w:eastAsia="宋体" w:cs="宋体"/>
          <w:color w:val="auto"/>
          <w:lang w:eastAsia="zh-CN"/>
        </w:rPr>
        <w:t>谈判</w:t>
      </w:r>
      <w:r>
        <w:rPr>
          <w:rFonts w:hint="eastAsia" w:ascii="宋体" w:hAnsi="宋体" w:eastAsia="宋体" w:cs="宋体"/>
          <w:color w:val="auto"/>
        </w:rPr>
        <w:t>文件中列明的各货物由供方在报价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实施过程中也不会考虑给予供方无论因物价波动、货物按规定运送至需方指定目的地不变但实际运距与供方自行测定的运距发生变化等调整价格的任何因素。</w:t>
      </w:r>
    </w:p>
    <w:p w14:paraId="4B3D0D5F">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16、变更指令和合同修改</w:t>
      </w:r>
    </w:p>
    <w:p w14:paraId="45BD2380">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16.1</w:t>
      </w:r>
      <w:r>
        <w:rPr>
          <w:rFonts w:hint="eastAsia" w:ascii="宋体" w:hAnsi="宋体" w:eastAsia="宋体" w:cs="宋体"/>
          <w:color w:val="auto"/>
          <w:sz w:val="24"/>
          <w:szCs w:val="24"/>
        </w:rPr>
        <w:t>采购人可以在任何时候书面向承包人发出指令，在本合同的一般范围内变更下述一项或几项：</w:t>
      </w:r>
    </w:p>
    <w:p w14:paraId="5AB3BC0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（1）运输或包装的方法、货物数量；（2）交货地点和/或；（3）承包人提供的服务。其条件是：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4BEF29">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16.2</w:t>
      </w:r>
      <w:r>
        <w:rPr>
          <w:rFonts w:hint="eastAsia" w:ascii="宋体" w:hAnsi="宋体" w:eastAsia="宋体" w:cs="宋体"/>
          <w:color w:val="auto"/>
          <w:sz w:val="24"/>
          <w:szCs w:val="24"/>
        </w:rPr>
        <w:t>任何对合同条件的变更或修改均需双方同意并签订书面的修改书。</w:t>
      </w:r>
    </w:p>
    <w:p w14:paraId="00FB0BDC">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17、转让或分包</w:t>
      </w:r>
    </w:p>
    <w:p w14:paraId="50624620">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17.1</w:t>
      </w:r>
      <w:r>
        <w:rPr>
          <w:rFonts w:hint="eastAsia" w:ascii="宋体" w:hAnsi="宋体" w:eastAsia="宋体" w:cs="宋体"/>
          <w:color w:val="auto"/>
          <w:sz w:val="24"/>
          <w:szCs w:val="24"/>
        </w:rPr>
        <w:t>本合同范围的货物，应由供方直接供应，不得转让他人供应。</w:t>
      </w:r>
    </w:p>
    <w:p w14:paraId="45D034F0">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17.2</w:t>
      </w:r>
      <w:r>
        <w:rPr>
          <w:rFonts w:hint="eastAsia" w:ascii="宋体" w:hAnsi="宋体" w:eastAsia="宋体" w:cs="宋体"/>
          <w:color w:val="auto"/>
          <w:sz w:val="24"/>
          <w:szCs w:val="24"/>
        </w:rPr>
        <w:t>除需方事先书面同意外，供方不得部分转让或全部转让其应履行的义务。</w:t>
      </w:r>
    </w:p>
    <w:p w14:paraId="71ACB8A2">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17.3</w:t>
      </w:r>
      <w:r>
        <w:rPr>
          <w:rFonts w:hint="eastAsia" w:ascii="宋体" w:hAnsi="宋体" w:eastAsia="宋体" w:cs="宋体"/>
          <w:color w:val="auto"/>
          <w:sz w:val="24"/>
          <w:szCs w:val="24"/>
        </w:rPr>
        <w:t>供方如有转让和未经甲方同意的分包行为，甲方有权解除合同，没收履约保证金并追究乙方的违约责任。</w:t>
      </w:r>
    </w:p>
    <w:p w14:paraId="05FEC155">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18、履约延误和罚款</w:t>
      </w:r>
    </w:p>
    <w:p w14:paraId="1EFFCCB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18.1</w:t>
      </w:r>
      <w:r>
        <w:rPr>
          <w:rFonts w:hint="eastAsia" w:ascii="宋体" w:hAnsi="宋体" w:eastAsia="宋体" w:cs="宋体"/>
          <w:color w:val="auto"/>
          <w:sz w:val="24"/>
          <w:szCs w:val="24"/>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14:paraId="15A9A993">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18.2</w:t>
      </w:r>
      <w:r>
        <w:rPr>
          <w:rFonts w:hint="eastAsia" w:ascii="宋体" w:hAnsi="宋体" w:eastAsia="宋体" w:cs="宋体"/>
          <w:color w:val="auto"/>
          <w:sz w:val="24"/>
          <w:szCs w:val="24"/>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14:paraId="2B90070F">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19、终止合同</w:t>
      </w:r>
    </w:p>
    <w:p w14:paraId="7902D84D">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19.1</w:t>
      </w:r>
      <w:r>
        <w:rPr>
          <w:rFonts w:hint="eastAsia" w:ascii="宋体" w:hAnsi="宋体" w:eastAsia="宋体" w:cs="宋体"/>
          <w:color w:val="auto"/>
          <w:sz w:val="24"/>
          <w:szCs w:val="24"/>
        </w:rPr>
        <w:t>供方违约终止合同：在供方违约的情况下，需方可向供方发出书面违约的通知书，提出终止部分或全部合同。供方应承担购买类似货物所超出的那部分费用。同时，供方应继续执行合同中未终止的部分。</w:t>
      </w:r>
    </w:p>
    <w:p w14:paraId="3F1B9DC8">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19.2</w:t>
      </w:r>
      <w:r>
        <w:rPr>
          <w:rFonts w:hint="eastAsia" w:ascii="宋体" w:hAnsi="宋体" w:eastAsia="宋体" w:cs="宋体"/>
          <w:color w:val="auto"/>
          <w:sz w:val="24"/>
          <w:szCs w:val="24"/>
        </w:rPr>
        <w:t>供方破产终止合同：如果供方因破产或无清偿能力，需方可在任何时候以书面方式通知供方，提出终止合同而不给需方补偿。该终止合同将不损害或影响需方已采取或将要采取的任何行动或补救措施的权利。</w:t>
      </w:r>
    </w:p>
    <w:p w14:paraId="26F13C19">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19.3</w:t>
      </w:r>
      <w:r>
        <w:rPr>
          <w:rFonts w:hint="eastAsia" w:ascii="宋体" w:hAnsi="宋体" w:eastAsia="宋体" w:cs="宋体"/>
          <w:color w:val="auto"/>
          <w:sz w:val="24"/>
          <w:szCs w:val="24"/>
        </w:rPr>
        <w:t>不可抗力终止合同：如果第20条所述的不可抗力事故发生时间超过</w:t>
      </w:r>
      <w:r>
        <w:rPr>
          <w:rFonts w:hint="eastAsia" w:ascii="宋体" w:hAnsi="宋体" w:eastAsia="宋体" w:cs="宋体"/>
          <w:color w:val="auto"/>
          <w:sz w:val="24"/>
          <w:szCs w:val="24"/>
          <w:u w:val="single"/>
        </w:rPr>
        <w:t xml:space="preserve"> 120</w:t>
      </w:r>
      <w:r>
        <w:rPr>
          <w:rFonts w:hint="eastAsia" w:ascii="宋体" w:hAnsi="宋体" w:eastAsia="宋体" w:cs="宋体"/>
          <w:color w:val="auto"/>
          <w:sz w:val="24"/>
          <w:szCs w:val="24"/>
        </w:rPr>
        <w:t>日，供方仍不能履行合同的，采购人有权终止合同。</w:t>
      </w:r>
    </w:p>
    <w:p w14:paraId="03AA6834">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20、不可抗力</w:t>
      </w:r>
    </w:p>
    <w:p w14:paraId="3FF974B3">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20.1</w:t>
      </w:r>
      <w:r>
        <w:rPr>
          <w:rFonts w:hint="eastAsia" w:ascii="宋体" w:hAnsi="宋体" w:eastAsia="宋体" w:cs="宋体"/>
          <w:color w:val="auto"/>
          <w:sz w:val="24"/>
          <w:szCs w:val="24"/>
        </w:rPr>
        <w:t>双方由于不可抗力因素，如战争、严重的火灾、水灾、台风、地震等事件或双方同意的任何一方都无法控制事件以及其它双方同意的不可抗力事故而影响合同执行时，则合同履行时间可以延迟，延迟履行合同的期限应相当于事故影响的时间。</w:t>
      </w:r>
    </w:p>
    <w:p w14:paraId="3C47F90E">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20.2</w:t>
      </w:r>
      <w:r>
        <w:rPr>
          <w:rFonts w:hint="eastAsia" w:ascii="宋体" w:hAnsi="宋体" w:eastAsia="宋体" w:cs="宋体"/>
          <w:color w:val="auto"/>
          <w:sz w:val="24"/>
          <w:szCs w:val="24"/>
        </w:rPr>
        <w:t>受不可抗力影响的一方应尽快将所发生的不可抗力事故情况以书面方式通知另一方，并在</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日内以最快的专递方式将有关部门出具的证明文件提交给另一方审阅确认。如果不可抗力事故影响本合同执行超过</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日，双方应尽快通过友好协商来解决合同执行问题并达成协议，超过</w:t>
      </w:r>
      <w:r>
        <w:rPr>
          <w:rFonts w:hint="eastAsia" w:ascii="宋体" w:hAnsi="宋体" w:eastAsia="宋体" w:cs="宋体"/>
          <w:color w:val="auto"/>
          <w:sz w:val="24"/>
          <w:szCs w:val="24"/>
          <w:u w:val="single"/>
        </w:rPr>
        <w:t>120</w:t>
      </w:r>
      <w:r>
        <w:rPr>
          <w:rFonts w:hint="eastAsia" w:ascii="宋体" w:hAnsi="宋体" w:eastAsia="宋体" w:cs="宋体"/>
          <w:color w:val="auto"/>
          <w:sz w:val="24"/>
          <w:szCs w:val="24"/>
        </w:rPr>
        <w:t>日，应按上述第19.3款的规定执行。</w:t>
      </w:r>
    </w:p>
    <w:p w14:paraId="36E67D82">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21、争议的解决</w:t>
      </w:r>
    </w:p>
    <w:p w14:paraId="2D37E325">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21.1</w:t>
      </w:r>
      <w:r>
        <w:rPr>
          <w:rFonts w:hint="eastAsia" w:ascii="宋体" w:hAnsi="宋体" w:eastAsia="宋体" w:cs="宋体"/>
          <w:color w:val="auto"/>
          <w:sz w:val="24"/>
          <w:szCs w:val="24"/>
        </w:rPr>
        <w:t>双方应通过直接的友好协商解决本合同中所发生的或与本合同有关的一切争议。如从该协商开始后</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日内供方和需方仍不能友好解决合同争端，合同双方中的任何一方可向需方所在地法院起诉。</w:t>
      </w:r>
    </w:p>
    <w:p w14:paraId="324CEC73">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21.2</w:t>
      </w:r>
      <w:r>
        <w:rPr>
          <w:rFonts w:hint="eastAsia" w:ascii="宋体" w:hAnsi="宋体" w:eastAsia="宋体" w:cs="宋体"/>
          <w:color w:val="auto"/>
          <w:sz w:val="24"/>
          <w:szCs w:val="24"/>
        </w:rPr>
        <w:t>在诉讼期间，除争议部分外，其他合同部分应继续执行。</w:t>
      </w:r>
    </w:p>
    <w:p w14:paraId="79ABBFCA">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22、税费</w:t>
      </w:r>
    </w:p>
    <w:p w14:paraId="59FABD0D">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22.1</w:t>
      </w:r>
      <w:r>
        <w:rPr>
          <w:rFonts w:hint="eastAsia" w:ascii="宋体" w:hAnsi="宋体" w:eastAsia="宋体" w:cs="宋体"/>
          <w:color w:val="auto"/>
          <w:sz w:val="24"/>
          <w:szCs w:val="24"/>
        </w:rPr>
        <w:t>根据国家有关税务的法律、法规和规定，供方应该交纳的与本合同有关的税费，其费用由供方承担。</w:t>
      </w:r>
    </w:p>
    <w:p w14:paraId="690F785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22.2</w:t>
      </w:r>
      <w:r>
        <w:rPr>
          <w:rFonts w:hint="eastAsia" w:ascii="宋体" w:hAnsi="宋体" w:eastAsia="宋体" w:cs="宋体"/>
          <w:color w:val="auto"/>
          <w:sz w:val="24"/>
          <w:szCs w:val="24"/>
        </w:rPr>
        <w:t xml:space="preserve">.本合同价格为含税价。供方提供的货物、技术资料、服务（包括运输）等所有税费（包括保险费）已全部包含在合同价格内，由供方承担。 </w:t>
      </w:r>
    </w:p>
    <w:p w14:paraId="346A88EA">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23、适用法律</w:t>
      </w:r>
    </w:p>
    <w:p w14:paraId="28118E9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23.1</w:t>
      </w:r>
      <w:r>
        <w:rPr>
          <w:rFonts w:hint="eastAsia" w:ascii="宋体" w:hAnsi="宋体" w:eastAsia="宋体" w:cs="宋体"/>
          <w:color w:val="auto"/>
          <w:sz w:val="24"/>
          <w:szCs w:val="24"/>
        </w:rPr>
        <w:t>本合同适用中华人民共和国法律。</w:t>
      </w:r>
    </w:p>
    <w:p w14:paraId="33991742">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24、通知</w:t>
      </w:r>
    </w:p>
    <w:p w14:paraId="2A3D4B93">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24.1</w:t>
      </w:r>
      <w:r>
        <w:rPr>
          <w:rFonts w:hint="eastAsia" w:ascii="宋体" w:hAnsi="宋体" w:eastAsia="宋体" w:cs="宋体"/>
          <w:color w:val="auto"/>
          <w:sz w:val="24"/>
          <w:szCs w:val="24"/>
        </w:rPr>
        <w:t>本合同一方给对方的通知应用书面形式送达到合同规定的对方的地址。</w:t>
      </w:r>
    </w:p>
    <w:p w14:paraId="0D665EE1">
      <w:pPr>
        <w:jc w:val="center"/>
        <w:rPr>
          <w:rFonts w:hint="eastAsia" w:ascii="宋体" w:hAnsi="宋体" w:eastAsia="宋体" w:cs="宋体"/>
          <w:b/>
          <w:color w:val="auto"/>
          <w:sz w:val="36"/>
          <w:szCs w:val="36"/>
        </w:rPr>
      </w:pPr>
    </w:p>
    <w:p w14:paraId="3DF953B5">
      <w:pPr>
        <w:jc w:val="center"/>
        <w:rPr>
          <w:rFonts w:hint="eastAsia" w:ascii="宋体" w:hAnsi="宋体" w:eastAsia="宋体" w:cs="宋体"/>
          <w:b/>
          <w:color w:val="auto"/>
          <w:sz w:val="36"/>
          <w:szCs w:val="36"/>
        </w:rPr>
      </w:pPr>
    </w:p>
    <w:p w14:paraId="19268678">
      <w:pPr>
        <w:jc w:val="center"/>
        <w:rPr>
          <w:rFonts w:hint="eastAsia" w:ascii="宋体" w:hAnsi="宋体" w:eastAsia="宋体" w:cs="宋体"/>
          <w:b/>
          <w:color w:val="auto"/>
          <w:sz w:val="36"/>
          <w:szCs w:val="36"/>
        </w:rPr>
      </w:pPr>
    </w:p>
    <w:p w14:paraId="4BB22CF0">
      <w:pPr>
        <w:jc w:val="center"/>
        <w:rPr>
          <w:rFonts w:hint="eastAsia" w:ascii="宋体" w:hAnsi="宋体" w:eastAsia="宋体" w:cs="宋体"/>
          <w:b/>
          <w:color w:val="auto"/>
          <w:sz w:val="36"/>
          <w:szCs w:val="36"/>
        </w:rPr>
      </w:pPr>
    </w:p>
    <w:p w14:paraId="7901E000">
      <w:pPr>
        <w:jc w:val="center"/>
        <w:rPr>
          <w:rFonts w:hint="eastAsia" w:ascii="宋体" w:hAnsi="宋体" w:eastAsia="宋体" w:cs="宋体"/>
          <w:b/>
          <w:color w:val="auto"/>
          <w:sz w:val="36"/>
          <w:szCs w:val="36"/>
        </w:rPr>
      </w:pPr>
    </w:p>
    <w:p w14:paraId="12F2197B">
      <w:pPr>
        <w:jc w:val="center"/>
        <w:rPr>
          <w:rFonts w:hint="eastAsia" w:ascii="宋体" w:hAnsi="宋体" w:eastAsia="宋体" w:cs="宋体"/>
          <w:b/>
          <w:color w:val="auto"/>
          <w:sz w:val="36"/>
          <w:szCs w:val="36"/>
        </w:rPr>
      </w:pPr>
    </w:p>
    <w:p w14:paraId="599716ED">
      <w:pPr>
        <w:jc w:val="center"/>
        <w:rPr>
          <w:rFonts w:hint="eastAsia" w:ascii="宋体" w:hAnsi="宋体" w:eastAsia="宋体" w:cs="宋体"/>
          <w:b/>
          <w:color w:val="auto"/>
          <w:sz w:val="36"/>
          <w:szCs w:val="36"/>
        </w:rPr>
      </w:pPr>
    </w:p>
    <w:p w14:paraId="02EDFE77">
      <w:pPr>
        <w:jc w:val="center"/>
        <w:rPr>
          <w:rFonts w:hint="eastAsia" w:ascii="宋体" w:hAnsi="宋体" w:eastAsia="宋体" w:cs="宋体"/>
          <w:b/>
          <w:color w:val="auto"/>
          <w:sz w:val="36"/>
          <w:szCs w:val="36"/>
        </w:rPr>
      </w:pPr>
    </w:p>
    <w:p w14:paraId="69783438">
      <w:pPr>
        <w:jc w:val="center"/>
        <w:rPr>
          <w:rFonts w:hint="eastAsia" w:ascii="宋体" w:hAnsi="宋体" w:eastAsia="宋体" w:cs="宋体"/>
          <w:b/>
          <w:color w:val="auto"/>
          <w:sz w:val="36"/>
          <w:szCs w:val="36"/>
        </w:rPr>
      </w:pPr>
    </w:p>
    <w:p w14:paraId="7767732D">
      <w:pPr>
        <w:jc w:val="center"/>
        <w:rPr>
          <w:rFonts w:hint="eastAsia" w:ascii="宋体" w:hAnsi="宋体" w:eastAsia="宋体" w:cs="宋体"/>
          <w:b/>
          <w:color w:val="auto"/>
          <w:sz w:val="36"/>
          <w:szCs w:val="36"/>
        </w:rPr>
      </w:pPr>
    </w:p>
    <w:p w14:paraId="700713AC">
      <w:pPr>
        <w:jc w:val="center"/>
        <w:rPr>
          <w:rFonts w:hint="eastAsia" w:ascii="宋体" w:hAnsi="宋体" w:eastAsia="宋体" w:cs="宋体"/>
          <w:b/>
          <w:color w:val="auto"/>
          <w:sz w:val="36"/>
          <w:szCs w:val="36"/>
        </w:rPr>
      </w:pPr>
    </w:p>
    <w:p w14:paraId="60011E8A">
      <w:pPr>
        <w:jc w:val="center"/>
        <w:rPr>
          <w:rFonts w:hint="eastAsia" w:ascii="宋体" w:hAnsi="宋体" w:eastAsia="宋体" w:cs="宋体"/>
          <w:b/>
          <w:color w:val="auto"/>
          <w:sz w:val="36"/>
          <w:szCs w:val="36"/>
        </w:rPr>
      </w:pPr>
    </w:p>
    <w:p w14:paraId="7AB9FBC3">
      <w:pPr>
        <w:jc w:val="center"/>
        <w:rPr>
          <w:rFonts w:hint="eastAsia" w:ascii="宋体" w:hAnsi="宋体" w:eastAsia="宋体" w:cs="宋体"/>
          <w:b/>
          <w:color w:val="auto"/>
          <w:sz w:val="36"/>
          <w:szCs w:val="36"/>
        </w:rPr>
      </w:pPr>
    </w:p>
    <w:p w14:paraId="7555BFB6">
      <w:pPr>
        <w:jc w:val="center"/>
        <w:rPr>
          <w:rFonts w:hint="eastAsia" w:ascii="宋体" w:hAnsi="宋体" w:eastAsia="宋体" w:cs="宋体"/>
          <w:b/>
          <w:color w:val="auto"/>
          <w:sz w:val="36"/>
          <w:szCs w:val="36"/>
        </w:rPr>
      </w:pPr>
    </w:p>
    <w:p w14:paraId="7B3F3E55">
      <w:pPr>
        <w:jc w:val="center"/>
        <w:rPr>
          <w:rFonts w:hint="eastAsia" w:ascii="宋体" w:hAnsi="宋体" w:eastAsia="宋体" w:cs="宋体"/>
          <w:b/>
          <w:color w:val="auto"/>
          <w:sz w:val="36"/>
          <w:szCs w:val="36"/>
        </w:rPr>
      </w:pPr>
    </w:p>
    <w:p w14:paraId="06E147FC">
      <w:pPr>
        <w:jc w:val="center"/>
        <w:rPr>
          <w:rFonts w:hint="eastAsia" w:ascii="宋体" w:hAnsi="宋体" w:eastAsia="宋体" w:cs="宋体"/>
          <w:b/>
          <w:color w:val="auto"/>
          <w:sz w:val="36"/>
          <w:szCs w:val="36"/>
        </w:rPr>
      </w:pPr>
    </w:p>
    <w:p w14:paraId="6777E326">
      <w:pPr>
        <w:pStyle w:val="3"/>
        <w:rPr>
          <w:rFonts w:hint="eastAsia" w:ascii="宋体" w:hAnsi="宋体" w:eastAsia="宋体" w:cs="宋体"/>
          <w:color w:val="auto"/>
        </w:rPr>
      </w:pPr>
      <w:bookmarkStart w:id="52" w:name="_Toc62641448"/>
      <w:r>
        <w:rPr>
          <w:rFonts w:hint="eastAsia" w:ascii="宋体" w:hAnsi="宋体" w:eastAsia="宋体" w:cs="宋体"/>
          <w:color w:val="auto"/>
        </w:rPr>
        <w:t>三、专用合同条款</w:t>
      </w:r>
      <w:bookmarkEnd w:id="52"/>
    </w:p>
    <w:p w14:paraId="311D02AD">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（专用合同条款是对通用合同条款的补充和解释，应互为使用。本合同条款仅作为双方签订合同的参考，为阐明各方的权利和义务，经协商可增加或修改条款，但不得与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的实质性内容相背离。）</w:t>
      </w:r>
    </w:p>
    <w:p w14:paraId="27F66EA3">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1、定义</w:t>
      </w:r>
    </w:p>
    <w:p w14:paraId="102DA2F2">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1.1、</w:t>
      </w:r>
      <w:r>
        <w:rPr>
          <w:rFonts w:hint="eastAsia" w:ascii="宋体" w:hAnsi="宋体" w:eastAsia="宋体" w:cs="宋体"/>
          <w:color w:val="auto"/>
          <w:sz w:val="24"/>
          <w:szCs w:val="24"/>
        </w:rPr>
        <w:t>补充以下条款</w:t>
      </w:r>
      <w:r>
        <w:rPr>
          <w:rFonts w:hint="eastAsia" w:ascii="宋体" w:hAnsi="宋体" w:eastAsia="宋体" w:cs="宋体"/>
          <w:b/>
          <w:color w:val="auto"/>
          <w:sz w:val="24"/>
          <w:szCs w:val="24"/>
        </w:rPr>
        <w:t>：</w:t>
      </w:r>
    </w:p>
    <w:p w14:paraId="08F3C18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（1）使用范围：仅适用于本</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文件中所叙述项目的货物采购及服务。  </w:t>
      </w:r>
    </w:p>
    <w:p w14:paraId="4D9B4AF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（2）定义：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文件中下列术语应解释为： </w:t>
      </w:r>
    </w:p>
    <w:p w14:paraId="03B630F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“采购方”系指：</w:t>
      </w:r>
      <w:r>
        <w:rPr>
          <w:rFonts w:hint="eastAsia" w:ascii="宋体" w:hAnsi="宋体" w:eastAsia="宋体" w:cs="宋体"/>
          <w:b/>
          <w:bCs/>
          <w:color w:val="auto"/>
          <w:sz w:val="24"/>
          <w:szCs w:val="24"/>
          <w:lang w:eastAsia="zh-CN"/>
        </w:rPr>
        <w:t>伊犁公路事业发展中心</w:t>
      </w:r>
      <w:r>
        <w:rPr>
          <w:rFonts w:hint="eastAsia" w:ascii="宋体" w:hAnsi="宋体" w:eastAsia="宋体" w:cs="宋体"/>
          <w:color w:val="auto"/>
          <w:sz w:val="24"/>
          <w:szCs w:val="24"/>
        </w:rPr>
        <w:t>。</w:t>
      </w:r>
    </w:p>
    <w:p w14:paraId="7D52A3E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“投标供应商”系指向采购方提交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的制造商或供货商。  </w:t>
      </w:r>
    </w:p>
    <w:p w14:paraId="65A4108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“货物”系指供方按合同要求，须向采购人提供的货物、材料、备品备件、工具、成套技术资料及手册等。   </w:t>
      </w:r>
    </w:p>
    <w:p w14:paraId="658E98A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“服务”系指合同规定供方必须承担的货物设计、安装、调试、技术指导及培训、售后服务以及其他类似的承诺义务。    </w:t>
      </w:r>
    </w:p>
    <w:p w14:paraId="39F571F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“需方”系指在合同的采购人（甲方）项下签字的法人单位，即：采购方。  </w:t>
      </w:r>
    </w:p>
    <w:p w14:paraId="10CE5D8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“供方”系指被采购方确定为成交供应商并提供合同货物及服务的投标供应商。</w:t>
      </w:r>
    </w:p>
    <w:p w14:paraId="44272F9E">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5、履约保证金</w:t>
      </w:r>
    </w:p>
    <w:p w14:paraId="2DA3A689">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5.4</w:t>
      </w:r>
      <w:r>
        <w:rPr>
          <w:rFonts w:hint="eastAsia" w:ascii="宋体" w:hAnsi="宋体" w:eastAsia="宋体" w:cs="宋体"/>
          <w:color w:val="auto"/>
          <w:sz w:val="24"/>
          <w:szCs w:val="24"/>
        </w:rPr>
        <w:tab/>
      </w:r>
      <w:r>
        <w:rPr>
          <w:rFonts w:hint="eastAsia" w:ascii="宋体" w:hAnsi="宋体" w:eastAsia="宋体" w:cs="宋体"/>
          <w:color w:val="auto"/>
          <w:sz w:val="24"/>
          <w:szCs w:val="24"/>
        </w:rPr>
        <w:t>如需方与供方在合同中约定要求供方提供履约担保的，履约保证金的金额为</w:t>
      </w:r>
      <w:r>
        <w:rPr>
          <w:rFonts w:hint="eastAsia" w:ascii="宋体" w:hAnsi="宋体" w:eastAsia="宋体" w:cs="宋体"/>
          <w:color w:val="0000FF"/>
          <w:sz w:val="24"/>
          <w:szCs w:val="24"/>
        </w:rPr>
        <w:t>签约合同价的</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rPr>
        <w:t>。</w:t>
      </w:r>
      <w:r>
        <w:rPr>
          <w:rFonts w:hint="eastAsia" w:ascii="宋体" w:hAnsi="宋体" w:eastAsia="宋体" w:cs="宋体"/>
          <w:color w:val="auto"/>
          <w:sz w:val="24"/>
          <w:szCs w:val="24"/>
        </w:rPr>
        <w:t>如合同另有约定的，则，从其约定。</w:t>
      </w:r>
    </w:p>
    <w:p w14:paraId="2E945299">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5.5</w:t>
      </w:r>
      <w:r>
        <w:rPr>
          <w:rFonts w:hint="eastAsia" w:ascii="宋体" w:hAnsi="宋体" w:eastAsia="宋体" w:cs="宋体"/>
          <w:color w:val="auto"/>
          <w:sz w:val="24"/>
          <w:szCs w:val="24"/>
        </w:rPr>
        <w:tab/>
      </w:r>
      <w:r>
        <w:rPr>
          <w:rFonts w:hint="eastAsia" w:ascii="宋体" w:hAnsi="宋体" w:eastAsia="宋体" w:cs="宋体"/>
          <w:color w:val="auto"/>
          <w:sz w:val="24"/>
          <w:szCs w:val="24"/>
        </w:rPr>
        <w:t>履约保证金将以</w:t>
      </w:r>
      <w:r>
        <w:rPr>
          <w:rFonts w:hint="eastAsia" w:ascii="宋体" w:hAnsi="宋体" w:eastAsia="宋体" w:cs="宋体"/>
          <w:color w:val="auto"/>
          <w:sz w:val="24"/>
          <w:szCs w:val="24"/>
          <w:lang w:eastAsia="zh-CN"/>
        </w:rPr>
        <w:t>银行保函</w:t>
      </w:r>
      <w:r>
        <w:rPr>
          <w:rFonts w:hint="eastAsia" w:ascii="宋体" w:hAnsi="宋体" w:eastAsia="宋体" w:cs="宋体"/>
          <w:color w:val="auto"/>
          <w:sz w:val="24"/>
          <w:szCs w:val="24"/>
        </w:rPr>
        <w:t>的方式提交。</w:t>
      </w:r>
    </w:p>
    <w:p w14:paraId="595ACEAF">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6、运输、配送及检验、验收</w:t>
      </w:r>
    </w:p>
    <w:p w14:paraId="769E8076">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6.1</w:t>
      </w:r>
      <w:r>
        <w:rPr>
          <w:rFonts w:hint="eastAsia" w:ascii="宋体" w:hAnsi="宋体" w:eastAsia="宋体" w:cs="宋体"/>
          <w:color w:val="auto"/>
          <w:sz w:val="24"/>
          <w:szCs w:val="24"/>
        </w:rPr>
        <w:t>本款增加：</w:t>
      </w:r>
    </w:p>
    <w:p w14:paraId="6D8E4D84">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（1）需方对供方提交的货物依据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文件上的技术规格要求和国家有关质量标准进行现场初步验收，数量、型号或规格、外观、说明书等符合</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文件技术要求的，给予签收，初步验收不合格的不予签收。货到后，需方在五个工作日内验收。</w:t>
      </w:r>
    </w:p>
    <w:p w14:paraId="68BC2DBA">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（2）供方交货前应对产品作出全面检查和对验收文件进行整理，并列出清单，作为需方收货验收和使用的技术条件依据，检验的结果应随货物交供方。</w:t>
      </w:r>
    </w:p>
    <w:p w14:paraId="5A721DD4">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必须经国家认可的专业检测机构或质量检验、检测机构参与初步验收或最终验收的，应由需方、供方会同专业检测机构或质量检验、检测机构鉴定验收，验收合格后，并由其出具检测验收合格报告，其验收费用由乙方负责。</w:t>
      </w:r>
    </w:p>
    <w:p w14:paraId="789F5FA5">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7、包装</w:t>
      </w:r>
    </w:p>
    <w:p w14:paraId="2B4FD7FF">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7.3</w:t>
      </w:r>
      <w:r>
        <w:rPr>
          <w:rFonts w:hint="eastAsia" w:ascii="宋体" w:hAnsi="宋体" w:eastAsia="宋体" w:cs="宋体"/>
          <w:color w:val="auto"/>
          <w:sz w:val="24"/>
          <w:szCs w:val="24"/>
        </w:rPr>
        <w:t xml:space="preserve"> 供方交付运输的所有合同货物应具有适合长途运输、多次搬运、装卸的坚固包装，并按合同货物的特点和需要，具有防潮、防雨、防锈、防震、防腐蚀、暴露于高温、高盐和降雨等恶劣环境以及露天存放等保护措施，以保证合同货物不受损坏。因包装不良引起合同货物损坏或丢失，供方应负全部责任。</w:t>
      </w:r>
    </w:p>
    <w:p w14:paraId="39ABDC0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7.5</w:t>
      </w:r>
      <w:r>
        <w:rPr>
          <w:rFonts w:hint="eastAsia" w:ascii="宋体" w:hAnsi="宋体" w:eastAsia="宋体" w:cs="宋体"/>
          <w:color w:val="auto"/>
          <w:sz w:val="24"/>
          <w:szCs w:val="24"/>
        </w:rPr>
        <w:tab/>
      </w:r>
      <w:r>
        <w:rPr>
          <w:rFonts w:hint="eastAsia" w:ascii="宋体" w:hAnsi="宋体" w:eastAsia="宋体" w:cs="宋体"/>
          <w:color w:val="auto"/>
          <w:sz w:val="24"/>
          <w:szCs w:val="24"/>
        </w:rPr>
        <w:t>对松散的附件，包装或捆装时供方应注明合同号、主货物名称、附件名称。对备品、备件和工具除上述内容外还应注明备品、备件或工具。</w:t>
      </w:r>
    </w:p>
    <w:p w14:paraId="2FAC8EA0">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7.6</w:t>
      </w:r>
      <w:r>
        <w:rPr>
          <w:rFonts w:hint="eastAsia" w:ascii="宋体" w:hAnsi="宋体" w:eastAsia="宋体" w:cs="宋体"/>
          <w:b/>
          <w:color w:val="auto"/>
          <w:sz w:val="24"/>
          <w:szCs w:val="24"/>
        </w:rPr>
        <w:tab/>
      </w:r>
      <w:r>
        <w:rPr>
          <w:rFonts w:hint="eastAsia" w:ascii="宋体" w:hAnsi="宋体" w:eastAsia="宋体" w:cs="宋体"/>
          <w:color w:val="auto"/>
          <w:sz w:val="24"/>
          <w:szCs w:val="24"/>
        </w:rPr>
        <w:t>以上提到内容对裸装合同货物供方应用金属标签注明。如有大件，应提供足够的支柱和垫木，并应满足国家或行业对运输大件物品的要求。</w:t>
      </w:r>
    </w:p>
    <w:p w14:paraId="3D5B2966">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7.7</w:t>
      </w:r>
      <w:r>
        <w:rPr>
          <w:rFonts w:hint="eastAsia" w:ascii="宋体" w:hAnsi="宋体" w:eastAsia="宋体" w:cs="宋体"/>
          <w:color w:val="auto"/>
          <w:sz w:val="24"/>
          <w:szCs w:val="24"/>
        </w:rPr>
        <w:tab/>
      </w:r>
      <w:r>
        <w:rPr>
          <w:rFonts w:hint="eastAsia" w:ascii="宋体" w:hAnsi="宋体" w:eastAsia="宋体" w:cs="宋体"/>
          <w:color w:val="auto"/>
          <w:sz w:val="24"/>
          <w:szCs w:val="24"/>
        </w:rPr>
        <w:t>供方应将下列文件随同合同货物在包装箱内一起交付：</w:t>
      </w:r>
    </w:p>
    <w:p w14:paraId="1D112B8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（1）详细货物清单</w:t>
      </w:r>
    </w:p>
    <w:p w14:paraId="576F57D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（2）质量合格证书</w:t>
      </w:r>
    </w:p>
    <w:p w14:paraId="35509A41">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7.8</w:t>
      </w:r>
      <w:r>
        <w:rPr>
          <w:rFonts w:hint="eastAsia" w:ascii="宋体" w:hAnsi="宋体" w:eastAsia="宋体" w:cs="宋体"/>
          <w:color w:val="auto"/>
          <w:sz w:val="24"/>
          <w:szCs w:val="24"/>
        </w:rPr>
        <w:tab/>
      </w:r>
      <w:r>
        <w:rPr>
          <w:rFonts w:hint="eastAsia" w:ascii="宋体" w:hAnsi="宋体" w:eastAsia="宋体" w:cs="宋体"/>
          <w:color w:val="auto"/>
          <w:sz w:val="24"/>
          <w:szCs w:val="24"/>
        </w:rPr>
        <w:t>供方每箱中应附有一份技术文件清单，注明技术文件名称和页数。交运的技术文件应</w:t>
      </w:r>
    </w:p>
    <w:p w14:paraId="180BD2B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具有适合长途运输、多次搬运、装卸的坚固包装，并具有防潮、防雨、防腐蚀等保护措施，保证技术文件完好完整的提供需方。</w:t>
      </w:r>
    </w:p>
    <w:p w14:paraId="4159FAA5">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7.9</w:t>
      </w:r>
      <w:r>
        <w:rPr>
          <w:rFonts w:hint="eastAsia" w:ascii="宋体" w:hAnsi="宋体" w:eastAsia="宋体" w:cs="宋体"/>
          <w:color w:val="auto"/>
          <w:sz w:val="24"/>
          <w:szCs w:val="24"/>
        </w:rPr>
        <w:t xml:space="preserve"> 包装、标记和包装箱内外的单据应严格符合合同的特殊要求，包括专用条款规定的要求以及与需方签约后发出的指示。</w:t>
      </w:r>
    </w:p>
    <w:p w14:paraId="0DEE8078">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8、交货（发运）和单据</w:t>
      </w:r>
    </w:p>
    <w:p w14:paraId="04CF07B7">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8.1</w:t>
      </w:r>
      <w:r>
        <w:rPr>
          <w:rFonts w:hint="eastAsia" w:ascii="宋体" w:hAnsi="宋体" w:eastAsia="宋体" w:cs="宋体"/>
          <w:color w:val="auto"/>
          <w:sz w:val="24"/>
          <w:szCs w:val="24"/>
        </w:rPr>
        <w:t>供方负责在本合同及附件所规定的</w:t>
      </w:r>
      <w:r>
        <w:rPr>
          <w:rFonts w:hint="eastAsia" w:ascii="宋体" w:hAnsi="宋体" w:eastAsia="宋体" w:cs="宋体"/>
          <w:color w:val="auto"/>
          <w:sz w:val="24"/>
          <w:szCs w:val="28"/>
          <w:lang w:eastAsia="zh-CN"/>
        </w:rPr>
        <w:t>合同履约期限</w:t>
      </w:r>
      <w:r>
        <w:rPr>
          <w:rFonts w:hint="eastAsia" w:ascii="宋体" w:hAnsi="宋体" w:eastAsia="宋体" w:cs="宋体"/>
          <w:color w:val="auto"/>
          <w:sz w:val="24"/>
          <w:szCs w:val="24"/>
        </w:rPr>
        <w:t>内，完成全部合同货物及技术文件发运、装卸任务，到达的日期以需方签收的日期为准。</w:t>
      </w:r>
    </w:p>
    <w:p w14:paraId="5374441D">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8.2</w:t>
      </w:r>
      <w:r>
        <w:rPr>
          <w:rFonts w:hint="eastAsia" w:ascii="宋体" w:hAnsi="宋体" w:eastAsia="宋体" w:cs="宋体"/>
          <w:color w:val="auto"/>
          <w:sz w:val="24"/>
          <w:szCs w:val="24"/>
        </w:rPr>
        <w:t>供方提供的技术文件应是中文，单位为公制。如技术文件有缺少、丢失或损坏，供方接需方通知后</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日内补发，费用由供方负担。</w:t>
      </w:r>
    </w:p>
    <w:p w14:paraId="0D37B030">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8.3</w:t>
      </w:r>
      <w:r>
        <w:rPr>
          <w:rFonts w:hint="eastAsia" w:ascii="宋体" w:hAnsi="宋体" w:eastAsia="宋体" w:cs="宋体"/>
          <w:color w:val="auto"/>
          <w:sz w:val="24"/>
          <w:szCs w:val="24"/>
        </w:rPr>
        <w:t>供方负责安排合同货物从供方厂家至目的地的运输工作、包括特殊安装工具、安装材料、和随货物备品配件等。</w:t>
      </w:r>
    </w:p>
    <w:p w14:paraId="51FB5F4B">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8.4</w:t>
      </w:r>
      <w:r>
        <w:rPr>
          <w:rFonts w:hint="eastAsia" w:ascii="宋体" w:hAnsi="宋体" w:eastAsia="宋体" w:cs="宋体"/>
          <w:color w:val="auto"/>
          <w:sz w:val="24"/>
          <w:szCs w:val="24"/>
        </w:rPr>
        <w:t>供方应根据本合同规定的交货日期，提前</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日通过传真方式或电子邮件通知供方计划发运日期、计划到达日期、目的地、货物名称、数量和其它事项。</w:t>
      </w:r>
    </w:p>
    <w:p w14:paraId="7835CF03">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8.5</w:t>
      </w:r>
      <w:r>
        <w:rPr>
          <w:rFonts w:hint="eastAsia" w:ascii="宋体" w:hAnsi="宋体" w:eastAsia="宋体" w:cs="宋体"/>
          <w:b/>
          <w:color w:val="auto"/>
          <w:sz w:val="24"/>
          <w:szCs w:val="24"/>
        </w:rPr>
        <w:tab/>
      </w:r>
      <w:r>
        <w:rPr>
          <w:rFonts w:hint="eastAsia" w:ascii="宋体" w:hAnsi="宋体" w:eastAsia="宋体" w:cs="宋体"/>
          <w:color w:val="auto"/>
          <w:sz w:val="24"/>
          <w:szCs w:val="24"/>
        </w:rPr>
        <w:t>如果包装箱重量超过</w:t>
      </w:r>
      <w:r>
        <w:rPr>
          <w:rFonts w:hint="eastAsia" w:ascii="宋体" w:hAnsi="宋体" w:eastAsia="宋体" w:cs="宋体"/>
          <w:color w:val="auto"/>
          <w:sz w:val="24"/>
          <w:szCs w:val="24"/>
          <w:u w:val="single"/>
        </w:rPr>
        <w:t xml:space="preserve"> （交通运管部门的规定）   </w:t>
      </w:r>
      <w:r>
        <w:rPr>
          <w:rFonts w:hint="eastAsia" w:ascii="宋体" w:hAnsi="宋体" w:eastAsia="宋体" w:cs="宋体"/>
          <w:color w:val="auto"/>
          <w:sz w:val="24"/>
          <w:szCs w:val="24"/>
        </w:rPr>
        <w:t>吨、或长度超过</w:t>
      </w:r>
      <w:r>
        <w:rPr>
          <w:rFonts w:hint="eastAsia" w:ascii="宋体" w:hAnsi="宋体" w:eastAsia="宋体" w:cs="宋体"/>
          <w:color w:val="auto"/>
          <w:sz w:val="24"/>
          <w:szCs w:val="24"/>
          <w:u w:val="single"/>
        </w:rPr>
        <w:t xml:space="preserve"> （交通运管部门的规定）   </w:t>
      </w:r>
      <w:r>
        <w:rPr>
          <w:rFonts w:hint="eastAsia" w:ascii="宋体" w:hAnsi="宋体" w:eastAsia="宋体" w:cs="宋体"/>
          <w:color w:val="auto"/>
          <w:sz w:val="24"/>
          <w:szCs w:val="24"/>
        </w:rPr>
        <w:t>米，或宽度超过</w:t>
      </w:r>
      <w:r>
        <w:rPr>
          <w:rFonts w:hint="eastAsia" w:ascii="宋体" w:hAnsi="宋体" w:eastAsia="宋体" w:cs="宋体"/>
          <w:color w:val="auto"/>
          <w:sz w:val="24"/>
          <w:szCs w:val="24"/>
          <w:u w:val="single"/>
        </w:rPr>
        <w:t xml:space="preserve"> （交通运管部门的规定）   </w:t>
      </w:r>
      <w:r>
        <w:rPr>
          <w:rFonts w:hint="eastAsia" w:ascii="宋体" w:hAnsi="宋体" w:eastAsia="宋体" w:cs="宋体"/>
          <w:color w:val="auto"/>
          <w:sz w:val="24"/>
          <w:szCs w:val="24"/>
        </w:rPr>
        <w:t>米， 或高度超过</w:t>
      </w:r>
      <w:r>
        <w:rPr>
          <w:rFonts w:hint="eastAsia" w:ascii="宋体" w:hAnsi="宋体" w:eastAsia="宋体" w:cs="宋体"/>
          <w:color w:val="auto"/>
          <w:sz w:val="24"/>
          <w:szCs w:val="24"/>
          <w:u w:val="single"/>
        </w:rPr>
        <w:t xml:space="preserve"> （交通运管部门的规定）   </w:t>
      </w:r>
      <w:r>
        <w:rPr>
          <w:rFonts w:hint="eastAsia" w:ascii="宋体" w:hAnsi="宋体" w:eastAsia="宋体" w:cs="宋体"/>
          <w:color w:val="auto"/>
          <w:sz w:val="24"/>
          <w:szCs w:val="24"/>
        </w:rPr>
        <w:t>米，或特殊形状的包装，承包人有责任提前</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日给需方及随车提供一份该货物包装的详细尺寸图，注明重心和起吊点，以便在合同货物到达后安排货物的卸车和存放，其费用由供方承担。</w:t>
      </w:r>
    </w:p>
    <w:p w14:paraId="30793C16">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8.6</w:t>
      </w:r>
      <w:r>
        <w:rPr>
          <w:rFonts w:hint="eastAsia" w:ascii="宋体" w:hAnsi="宋体" w:eastAsia="宋体" w:cs="宋体"/>
          <w:color w:val="auto"/>
          <w:sz w:val="24"/>
          <w:szCs w:val="24"/>
        </w:rPr>
        <w:tab/>
      </w:r>
      <w:r>
        <w:rPr>
          <w:rFonts w:hint="eastAsia" w:ascii="宋体" w:hAnsi="宋体" w:eastAsia="宋体" w:cs="宋体"/>
          <w:color w:val="auto"/>
          <w:sz w:val="24"/>
          <w:szCs w:val="24"/>
        </w:rPr>
        <w:t>如果合同货物中有易燃品或危险品，承包人应提前</w:t>
      </w:r>
      <w:r>
        <w:rPr>
          <w:rFonts w:hint="eastAsia" w:ascii="宋体" w:hAnsi="宋体" w:eastAsia="宋体" w:cs="宋体"/>
          <w:color w:val="auto"/>
          <w:sz w:val="24"/>
          <w:szCs w:val="24"/>
          <w:u w:val="single"/>
        </w:rPr>
        <w:t xml:space="preserve"> 5</w:t>
      </w:r>
      <w:r>
        <w:rPr>
          <w:rFonts w:hint="eastAsia" w:ascii="宋体" w:hAnsi="宋体" w:eastAsia="宋体" w:cs="宋体"/>
          <w:color w:val="auto"/>
          <w:sz w:val="24"/>
          <w:szCs w:val="24"/>
        </w:rPr>
        <w:t>日通知需方，说明货物名称、特征、防止事故发生的办法和事故发生后的处理方法。</w:t>
      </w:r>
    </w:p>
    <w:p w14:paraId="190A7EAE">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8.7</w:t>
      </w:r>
      <w:r>
        <w:rPr>
          <w:rFonts w:hint="eastAsia" w:ascii="宋体" w:hAnsi="宋体" w:eastAsia="宋体" w:cs="宋体"/>
          <w:b/>
          <w:color w:val="auto"/>
          <w:sz w:val="24"/>
          <w:szCs w:val="24"/>
        </w:rPr>
        <w:tab/>
      </w:r>
      <w:r>
        <w:rPr>
          <w:rFonts w:hint="eastAsia" w:ascii="宋体" w:hAnsi="宋体" w:eastAsia="宋体" w:cs="宋体"/>
          <w:color w:val="auto"/>
          <w:sz w:val="24"/>
          <w:szCs w:val="24"/>
        </w:rPr>
        <w:t>供方有责任发运全部生效合同货物，包括特殊安装工具、安装材料和随机备品配件。</w:t>
      </w:r>
    </w:p>
    <w:p w14:paraId="74AAC003">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8.8</w:t>
      </w:r>
      <w:r>
        <w:rPr>
          <w:rFonts w:hint="eastAsia" w:ascii="宋体" w:hAnsi="宋体" w:eastAsia="宋体" w:cs="宋体"/>
          <w:color w:val="auto"/>
          <w:sz w:val="24"/>
          <w:szCs w:val="24"/>
        </w:rPr>
        <w:tab/>
      </w:r>
      <w:r>
        <w:rPr>
          <w:rFonts w:hint="eastAsia" w:ascii="宋体" w:hAnsi="宋体" w:eastAsia="宋体" w:cs="宋体"/>
          <w:color w:val="auto"/>
          <w:sz w:val="24"/>
          <w:szCs w:val="24"/>
        </w:rPr>
        <w:t>如因供方原因，合同货物需要补充或更换，供方有责任将所需货物发运至项目现场，并承担一切风险和费用。</w:t>
      </w:r>
    </w:p>
    <w:p w14:paraId="2D36C43D">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8.9</w:t>
      </w:r>
      <w:r>
        <w:rPr>
          <w:rFonts w:hint="eastAsia" w:ascii="宋体" w:hAnsi="宋体" w:eastAsia="宋体" w:cs="宋体"/>
          <w:b/>
          <w:color w:val="auto"/>
          <w:sz w:val="24"/>
          <w:szCs w:val="24"/>
        </w:rPr>
        <w:tab/>
      </w:r>
      <w:r>
        <w:rPr>
          <w:rFonts w:hint="eastAsia" w:ascii="宋体" w:hAnsi="宋体" w:eastAsia="宋体" w:cs="宋体"/>
          <w:color w:val="auto"/>
          <w:sz w:val="24"/>
          <w:szCs w:val="24"/>
        </w:rPr>
        <w:t>在合同货物运输过程中，由于供方原因引起合同货物丢失或损坏，由供方向有关保险部门要求保险赔偿。供方有责任尽快重新供应或修理丢失或损坏的合同货物，因此发生的费用由承包人负担。</w:t>
      </w:r>
      <w:bookmarkStart w:id="53" w:name="_Toc184635104"/>
    </w:p>
    <w:bookmarkEnd w:id="53"/>
    <w:p w14:paraId="65ED6EBC">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8.10</w:t>
      </w:r>
      <w:r>
        <w:rPr>
          <w:rFonts w:hint="eastAsia" w:ascii="宋体" w:hAnsi="宋体" w:eastAsia="宋体" w:cs="宋体"/>
          <w:color w:val="auto"/>
          <w:sz w:val="24"/>
          <w:szCs w:val="24"/>
        </w:rPr>
        <w:t>需方应根据合同项目的需要，负责办理取得出入目的场地的专用或临时道路的通行权，供方应协助采购人办理上述手续。</w:t>
      </w:r>
    </w:p>
    <w:p w14:paraId="4D47A766">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8.11 </w:t>
      </w:r>
      <w:r>
        <w:rPr>
          <w:rFonts w:hint="eastAsia" w:ascii="宋体" w:hAnsi="宋体" w:eastAsia="宋体" w:cs="宋体"/>
          <w:color w:val="auto"/>
          <w:sz w:val="24"/>
          <w:szCs w:val="24"/>
        </w:rPr>
        <w:t>供方运输车辆行驶所需的场外公共道路的通行费、过路费和税款等由承包人承担。</w:t>
      </w:r>
    </w:p>
    <w:p w14:paraId="3BD224F5">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8.12</w:t>
      </w:r>
      <w:r>
        <w:rPr>
          <w:rFonts w:hint="eastAsia" w:ascii="宋体" w:hAnsi="宋体" w:eastAsia="宋体" w:cs="宋体"/>
          <w:color w:val="auto"/>
          <w:sz w:val="24"/>
          <w:szCs w:val="24"/>
        </w:rPr>
        <w:t xml:space="preserve"> 供方运输车辆和人员应遵守有关交通法规，严格按照道路和桥梁的限制荷重安全行驶，并服从交通管理部门的检查和监督。由供方负责运输的超大件或超重件，应由供方负责向交通管理部门办理有关手续。运输超大件或超重件所需的道路和桥梁临时加固改造费用和其他有关费用，由供方承担。因供方运输造成施工场地内外公共道路和桥梁损坏的，由供方承担修复损坏的全部费用和可能引起的赔偿。</w:t>
      </w:r>
    </w:p>
    <w:p w14:paraId="78181D88">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8.13</w:t>
      </w:r>
      <w:r>
        <w:rPr>
          <w:rFonts w:hint="eastAsia" w:ascii="宋体" w:hAnsi="宋体" w:eastAsia="宋体" w:cs="宋体"/>
          <w:color w:val="auto"/>
          <w:sz w:val="24"/>
          <w:szCs w:val="24"/>
        </w:rPr>
        <w:t>货物在交付需方前发生的风险均由供方负责。</w:t>
      </w:r>
    </w:p>
    <w:p w14:paraId="4F6D368D">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11、保证</w:t>
      </w:r>
    </w:p>
    <w:p w14:paraId="1A97DC4D">
      <w:pPr>
        <w:pStyle w:val="17"/>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11.1</w:t>
      </w:r>
      <w:r>
        <w:rPr>
          <w:rFonts w:hint="eastAsia" w:ascii="宋体" w:hAnsi="宋体" w:eastAsia="宋体" w:cs="宋体"/>
          <w:color w:val="auto"/>
          <w:sz w:val="24"/>
          <w:szCs w:val="24"/>
        </w:rPr>
        <w:t>供方应保证提供的货物：</w:t>
      </w:r>
    </w:p>
    <w:p w14:paraId="2F3E6AC1">
      <w:pPr>
        <w:pStyle w:val="17"/>
        <w:numPr>
          <w:ilvl w:val="0"/>
          <w:numId w:val="7"/>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符合国家有关部门颁发的产品正常使用条件（环境温度、相对湿度、材料的物理力学性能）等。</w:t>
      </w:r>
    </w:p>
    <w:p w14:paraId="78239BD6">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14、付款</w:t>
      </w:r>
    </w:p>
    <w:p w14:paraId="345F5F6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14.3</w:t>
      </w:r>
      <w:r>
        <w:rPr>
          <w:rFonts w:hint="eastAsia" w:ascii="宋体" w:hAnsi="宋体" w:eastAsia="宋体" w:cs="宋体"/>
          <w:color w:val="auto"/>
          <w:sz w:val="24"/>
          <w:szCs w:val="24"/>
        </w:rPr>
        <w:t>本款增加：需方负责根据14.4项付款比例和条件将合同价款项通过银行电汇或需方与供方在合同中约定的方式支付供方</w:t>
      </w:r>
    </w:p>
    <w:p w14:paraId="5F9908DD">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14.4</w:t>
      </w:r>
      <w:r>
        <w:rPr>
          <w:rFonts w:hint="eastAsia" w:ascii="宋体" w:hAnsi="宋体" w:eastAsia="宋体" w:cs="宋体"/>
          <w:color w:val="auto"/>
          <w:sz w:val="24"/>
          <w:szCs w:val="24"/>
        </w:rPr>
        <w:t>本款增加：</w:t>
      </w:r>
      <w:r>
        <w:rPr>
          <w:rFonts w:hint="eastAsia" w:ascii="宋体" w:hAnsi="宋体" w:eastAsia="宋体" w:cs="宋体"/>
          <w:color w:val="0000FF"/>
          <w:sz w:val="24"/>
          <w:szCs w:val="24"/>
          <w:lang w:val="en-US" w:eastAsia="zh-CN"/>
        </w:rPr>
        <w:t>甲乙双方签订供货合同后，待全部货物到达甲方指定地点安装调试并验收合格后支付合同价款的100%。</w:t>
      </w:r>
    </w:p>
    <w:p w14:paraId="7F084AD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有可能由供方垫资的需方与供方在合同中另行约定。</w:t>
      </w:r>
    </w:p>
    <w:p w14:paraId="6329AD48">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14.5</w:t>
      </w:r>
      <w:r>
        <w:rPr>
          <w:rFonts w:hint="eastAsia" w:ascii="宋体" w:hAnsi="宋体" w:eastAsia="宋体" w:cs="宋体"/>
          <w:color w:val="auto"/>
          <w:sz w:val="24"/>
          <w:szCs w:val="24"/>
        </w:rPr>
        <w:t>由于供方原因发生的银行费用全部由供方承担，由于需方发生的银行费用全部由需方承担。</w:t>
      </w:r>
    </w:p>
    <w:p w14:paraId="109851BF">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16、变更指令和合同修改</w:t>
      </w:r>
    </w:p>
    <w:p w14:paraId="679B3334">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16.1</w:t>
      </w:r>
      <w:r>
        <w:rPr>
          <w:rFonts w:hint="eastAsia" w:ascii="宋体" w:hAnsi="宋体" w:eastAsia="宋体" w:cs="宋体"/>
          <w:color w:val="auto"/>
          <w:sz w:val="24"/>
          <w:szCs w:val="24"/>
        </w:rPr>
        <w:t>本款增加：</w:t>
      </w:r>
    </w:p>
    <w:p w14:paraId="56A9E6E8">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采购人可以在任何时候可以根据项目实施的具体情况，就采购设备（或产品）数量的减少书面向供应商发出指令，但前提条件是：应在不改变合同其他条款的前提下，并在采购人要求供应商提供采购设备（或产品）供货的7天前书面通知供应商，以免对供应商造成不必要的损失。</w:t>
      </w:r>
    </w:p>
    <w:p w14:paraId="70060AF5">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在采购合同履行中，采购人需追加与合同标的相同的货物、工程或者服务的，在不改变合同其他条款的前提下，可与供应商协商签订补充合同，但所有补充合同的采购金额不得超过原合同采购金额的百分之十。</w:t>
      </w:r>
    </w:p>
    <w:p w14:paraId="11DD813B">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18、履约延误和罚款</w:t>
      </w:r>
    </w:p>
    <w:p w14:paraId="23246640">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18.2 </w:t>
      </w:r>
      <w:r>
        <w:rPr>
          <w:rFonts w:hint="eastAsia" w:ascii="宋体" w:hAnsi="宋体" w:eastAsia="宋体" w:cs="宋体"/>
          <w:color w:val="auto"/>
          <w:sz w:val="24"/>
          <w:szCs w:val="24"/>
        </w:rPr>
        <w:t>供方有责任并保证按合同规定的货物</w:t>
      </w:r>
      <w:r>
        <w:rPr>
          <w:rFonts w:hint="eastAsia" w:ascii="宋体" w:hAnsi="宋体" w:eastAsia="宋体" w:cs="宋体"/>
          <w:color w:val="auto"/>
          <w:sz w:val="24"/>
          <w:szCs w:val="28"/>
          <w:lang w:eastAsia="zh-CN"/>
        </w:rPr>
        <w:t>合同履约期限</w:t>
      </w:r>
      <w:r>
        <w:rPr>
          <w:rFonts w:hint="eastAsia" w:ascii="宋体" w:hAnsi="宋体" w:eastAsia="宋体" w:cs="宋体"/>
          <w:color w:val="auto"/>
          <w:sz w:val="24"/>
          <w:szCs w:val="24"/>
        </w:rPr>
        <w:t>如期交货，如果因为供方原因使合同货物不能按期交货，承包人应按下列比例和数额支付采购人违约金。</w:t>
      </w:r>
    </w:p>
    <w:p w14:paraId="09330001">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（1）每延期</w:t>
      </w:r>
      <w:r>
        <w:rPr>
          <w:rFonts w:hint="eastAsia" w:ascii="宋体" w:hAnsi="宋体" w:eastAsia="宋体" w:cs="宋体"/>
          <w:color w:val="auto"/>
          <w:sz w:val="24"/>
          <w:szCs w:val="24"/>
          <w:u w:val="single"/>
        </w:rPr>
        <w:t xml:space="preserve"> 7</w:t>
      </w:r>
      <w:r>
        <w:rPr>
          <w:rFonts w:hint="eastAsia" w:ascii="宋体" w:hAnsi="宋体" w:eastAsia="宋体" w:cs="宋体"/>
          <w:color w:val="auto"/>
          <w:sz w:val="24"/>
          <w:szCs w:val="24"/>
        </w:rPr>
        <w:t>天，违约金额为应发运合同货物价格的</w:t>
      </w:r>
      <w:r>
        <w:rPr>
          <w:rFonts w:hint="eastAsia" w:ascii="宋体" w:hAnsi="宋体" w:eastAsia="宋体" w:cs="宋体"/>
          <w:color w:val="auto"/>
          <w:sz w:val="24"/>
          <w:szCs w:val="24"/>
          <w:u w:val="single"/>
        </w:rPr>
        <w:t xml:space="preserve"> 1.0 </w:t>
      </w:r>
      <w:r>
        <w:rPr>
          <w:rFonts w:hint="eastAsia" w:ascii="宋体" w:hAnsi="宋体" w:eastAsia="宋体" w:cs="宋体"/>
          <w:color w:val="auto"/>
          <w:sz w:val="24"/>
          <w:szCs w:val="24"/>
        </w:rPr>
        <w:t>%。</w:t>
      </w:r>
    </w:p>
    <w:p w14:paraId="19EA8923">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（2）从第</w:t>
      </w:r>
      <w:r>
        <w:rPr>
          <w:rFonts w:hint="eastAsia" w:ascii="宋体" w:hAnsi="宋体" w:eastAsia="宋体" w:cs="宋体"/>
          <w:color w:val="auto"/>
          <w:sz w:val="24"/>
          <w:szCs w:val="24"/>
          <w:u w:val="single"/>
        </w:rPr>
        <w:t xml:space="preserve"> 21</w:t>
      </w:r>
      <w:r>
        <w:rPr>
          <w:rFonts w:hint="eastAsia" w:ascii="宋体" w:hAnsi="宋体" w:eastAsia="宋体" w:cs="宋体"/>
          <w:color w:val="auto"/>
          <w:sz w:val="24"/>
          <w:szCs w:val="24"/>
        </w:rPr>
        <w:t>天起算，每延期</w:t>
      </w:r>
      <w:r>
        <w:rPr>
          <w:rFonts w:hint="eastAsia" w:ascii="宋体" w:hAnsi="宋体" w:eastAsia="宋体" w:cs="宋体"/>
          <w:color w:val="auto"/>
          <w:sz w:val="24"/>
          <w:szCs w:val="24"/>
          <w:u w:val="single"/>
        </w:rPr>
        <w:t xml:space="preserve"> 7</w:t>
      </w:r>
      <w:r>
        <w:rPr>
          <w:rFonts w:hint="eastAsia" w:ascii="宋体" w:hAnsi="宋体" w:eastAsia="宋体" w:cs="宋体"/>
          <w:color w:val="auto"/>
          <w:sz w:val="24"/>
          <w:szCs w:val="24"/>
        </w:rPr>
        <w:t>天违约金额为应发运合同货物价格的</w:t>
      </w:r>
      <w:r>
        <w:rPr>
          <w:rFonts w:hint="eastAsia" w:ascii="宋体" w:hAnsi="宋体" w:eastAsia="宋体" w:cs="宋体"/>
          <w:color w:val="auto"/>
          <w:sz w:val="24"/>
          <w:szCs w:val="24"/>
          <w:u w:val="single"/>
        </w:rPr>
        <w:t xml:space="preserve"> 1.5 </w:t>
      </w:r>
      <w:r>
        <w:rPr>
          <w:rFonts w:hint="eastAsia" w:ascii="宋体" w:hAnsi="宋体" w:eastAsia="宋体" w:cs="宋体"/>
          <w:color w:val="auto"/>
          <w:sz w:val="24"/>
          <w:szCs w:val="24"/>
        </w:rPr>
        <w:t>%。</w:t>
      </w:r>
    </w:p>
    <w:p w14:paraId="7523F8C9">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（3）从第</w:t>
      </w:r>
      <w:r>
        <w:rPr>
          <w:rFonts w:hint="eastAsia" w:ascii="宋体" w:hAnsi="宋体" w:eastAsia="宋体" w:cs="宋体"/>
          <w:color w:val="auto"/>
          <w:sz w:val="24"/>
          <w:szCs w:val="24"/>
          <w:u w:val="single"/>
        </w:rPr>
        <w:t xml:space="preserve"> 28</w:t>
      </w:r>
      <w:r>
        <w:rPr>
          <w:rFonts w:hint="eastAsia" w:ascii="宋体" w:hAnsi="宋体" w:eastAsia="宋体" w:cs="宋体"/>
          <w:color w:val="auto"/>
          <w:sz w:val="24"/>
          <w:szCs w:val="24"/>
        </w:rPr>
        <w:t>天起算，每延期</w:t>
      </w:r>
      <w:r>
        <w:rPr>
          <w:rFonts w:hint="eastAsia" w:ascii="宋体" w:hAnsi="宋体" w:eastAsia="宋体" w:cs="宋体"/>
          <w:color w:val="auto"/>
          <w:sz w:val="24"/>
          <w:szCs w:val="24"/>
          <w:u w:val="single"/>
        </w:rPr>
        <w:t xml:space="preserve"> 7</w:t>
      </w:r>
      <w:r>
        <w:rPr>
          <w:rFonts w:hint="eastAsia" w:ascii="宋体" w:hAnsi="宋体" w:eastAsia="宋体" w:cs="宋体"/>
          <w:color w:val="auto"/>
          <w:sz w:val="24"/>
          <w:szCs w:val="24"/>
        </w:rPr>
        <w:t>天违约金额为应发运合同货物价格的</w:t>
      </w:r>
      <w:r>
        <w:rPr>
          <w:rFonts w:hint="eastAsia" w:ascii="宋体" w:hAnsi="宋体" w:eastAsia="宋体" w:cs="宋体"/>
          <w:color w:val="auto"/>
          <w:sz w:val="24"/>
          <w:szCs w:val="24"/>
          <w:u w:val="single"/>
        </w:rPr>
        <w:t xml:space="preserve"> 2.0 </w:t>
      </w:r>
      <w:r>
        <w:rPr>
          <w:rFonts w:hint="eastAsia" w:ascii="宋体" w:hAnsi="宋体" w:eastAsia="宋体" w:cs="宋体"/>
          <w:color w:val="auto"/>
          <w:sz w:val="24"/>
          <w:szCs w:val="24"/>
        </w:rPr>
        <w:t>%。</w:t>
      </w:r>
    </w:p>
    <w:p w14:paraId="1EC9878C">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（4）根据以上计算方法，如不足七日按</w:t>
      </w:r>
      <w:r>
        <w:rPr>
          <w:rFonts w:hint="eastAsia" w:ascii="宋体" w:hAnsi="宋体" w:eastAsia="宋体" w:cs="宋体"/>
          <w:color w:val="auto"/>
          <w:sz w:val="24"/>
          <w:szCs w:val="24"/>
          <w:u w:val="single"/>
        </w:rPr>
        <w:t xml:space="preserve"> 7</w:t>
      </w:r>
      <w:r>
        <w:rPr>
          <w:rFonts w:hint="eastAsia" w:ascii="宋体" w:hAnsi="宋体" w:eastAsia="宋体" w:cs="宋体"/>
          <w:color w:val="auto"/>
          <w:sz w:val="24"/>
          <w:szCs w:val="24"/>
        </w:rPr>
        <w:t>天计。</w:t>
      </w:r>
    </w:p>
    <w:p w14:paraId="0711E623">
      <w:pPr>
        <w:pStyle w:val="17"/>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18.3</w:t>
      </w:r>
      <w:r>
        <w:rPr>
          <w:rFonts w:hint="eastAsia" w:ascii="宋体" w:hAnsi="宋体" w:eastAsia="宋体" w:cs="宋体"/>
          <w:color w:val="auto"/>
          <w:sz w:val="24"/>
          <w:szCs w:val="24"/>
        </w:rPr>
        <w:t>供方支付违约金并不排除供方继续供货的责任。如果合同货物延期超过</w:t>
      </w:r>
      <w:r>
        <w:rPr>
          <w:rFonts w:hint="eastAsia" w:ascii="宋体" w:hAnsi="宋体" w:eastAsia="宋体" w:cs="宋体"/>
          <w:color w:val="auto"/>
          <w:sz w:val="24"/>
          <w:szCs w:val="24"/>
          <w:u w:val="single"/>
        </w:rPr>
        <w:t xml:space="preserve"> 30 </w:t>
      </w:r>
      <w:r>
        <w:rPr>
          <w:rFonts w:hint="eastAsia" w:ascii="宋体" w:hAnsi="宋体" w:eastAsia="宋体" w:cs="宋体"/>
          <w:color w:val="auto"/>
          <w:sz w:val="24"/>
          <w:szCs w:val="24"/>
        </w:rPr>
        <w:t>天的，采购人可以根据自己认为合适的方式另行采购相同的货物或零部件。因此发生的费用和责任由供方承担，同时供方应继续执行没有终止的合同部分。</w:t>
      </w:r>
    </w:p>
    <w:p w14:paraId="780C7CEC">
      <w:pPr>
        <w:pStyle w:val="17"/>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18.4</w:t>
      </w:r>
      <w:r>
        <w:rPr>
          <w:rFonts w:hint="eastAsia" w:ascii="宋体" w:hAnsi="宋体" w:eastAsia="宋体" w:cs="宋体"/>
          <w:color w:val="auto"/>
          <w:sz w:val="24"/>
          <w:szCs w:val="24"/>
        </w:rPr>
        <w:t>供需双方对履约延误的赔偿和罚款在合同中另行约定的，则从其约定。</w:t>
      </w:r>
    </w:p>
    <w:p w14:paraId="7622ED91">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18.5</w:t>
      </w:r>
      <w:r>
        <w:rPr>
          <w:rFonts w:hint="eastAsia" w:ascii="宋体" w:hAnsi="宋体" w:eastAsia="宋体" w:cs="宋体"/>
          <w:color w:val="auto"/>
          <w:sz w:val="24"/>
          <w:szCs w:val="24"/>
        </w:rPr>
        <w:t>供方根据以上条款承担的合同违约金总额不论单项或多项累计不得超过合同总价的</w:t>
      </w:r>
      <w:r>
        <w:rPr>
          <w:rFonts w:hint="eastAsia" w:ascii="宋体" w:hAnsi="宋体" w:eastAsia="宋体" w:cs="宋体"/>
          <w:color w:val="auto"/>
          <w:sz w:val="24"/>
          <w:szCs w:val="24"/>
          <w:u w:val="single"/>
        </w:rPr>
        <w:t xml:space="preserve"> 10 </w:t>
      </w:r>
      <w:r>
        <w:rPr>
          <w:rFonts w:hint="eastAsia" w:ascii="宋体" w:hAnsi="宋体" w:eastAsia="宋体" w:cs="宋体"/>
          <w:color w:val="auto"/>
          <w:sz w:val="24"/>
          <w:szCs w:val="24"/>
        </w:rPr>
        <w:t>%。</w:t>
      </w:r>
    </w:p>
    <w:p w14:paraId="4D810DAD">
      <w:pPr>
        <w:jc w:val="center"/>
        <w:rPr>
          <w:rFonts w:ascii="仿宋" w:hAnsi="仿宋" w:eastAsia="仿宋" w:cs="Tahoma"/>
          <w:b/>
          <w:color w:val="auto"/>
          <w:sz w:val="36"/>
          <w:szCs w:val="36"/>
        </w:rPr>
      </w:pPr>
    </w:p>
    <w:p w14:paraId="2390BE28">
      <w:pPr>
        <w:jc w:val="center"/>
        <w:rPr>
          <w:rFonts w:ascii="仿宋" w:hAnsi="仿宋" w:eastAsia="仿宋" w:cs="Tahoma"/>
          <w:b/>
          <w:color w:val="auto"/>
          <w:sz w:val="36"/>
          <w:szCs w:val="36"/>
        </w:rPr>
      </w:pPr>
    </w:p>
    <w:p w14:paraId="3E756F25">
      <w:pPr>
        <w:jc w:val="center"/>
        <w:rPr>
          <w:rFonts w:ascii="仿宋" w:hAnsi="仿宋" w:eastAsia="仿宋" w:cs="Tahoma"/>
          <w:b/>
          <w:color w:val="auto"/>
          <w:sz w:val="36"/>
          <w:szCs w:val="36"/>
        </w:rPr>
      </w:pPr>
    </w:p>
    <w:p w14:paraId="43E19143">
      <w:pPr>
        <w:jc w:val="center"/>
        <w:rPr>
          <w:rFonts w:ascii="仿宋" w:hAnsi="仿宋" w:eastAsia="仿宋" w:cs="Tahoma"/>
          <w:b/>
          <w:color w:val="auto"/>
          <w:sz w:val="36"/>
          <w:szCs w:val="36"/>
        </w:rPr>
      </w:pPr>
    </w:p>
    <w:p w14:paraId="75ED9513">
      <w:pPr>
        <w:jc w:val="center"/>
        <w:rPr>
          <w:rFonts w:ascii="仿宋" w:hAnsi="仿宋" w:eastAsia="仿宋" w:cs="Tahoma"/>
          <w:b/>
          <w:color w:val="auto"/>
          <w:sz w:val="36"/>
          <w:szCs w:val="36"/>
        </w:rPr>
      </w:pPr>
    </w:p>
    <w:p w14:paraId="675E7BB4">
      <w:pPr>
        <w:jc w:val="center"/>
        <w:rPr>
          <w:rFonts w:ascii="仿宋" w:hAnsi="仿宋" w:eastAsia="仿宋" w:cs="Tahoma"/>
          <w:b/>
          <w:color w:val="auto"/>
          <w:sz w:val="36"/>
          <w:szCs w:val="36"/>
        </w:rPr>
      </w:pPr>
    </w:p>
    <w:p w14:paraId="519E8F12">
      <w:pPr>
        <w:jc w:val="center"/>
        <w:rPr>
          <w:rFonts w:ascii="仿宋" w:hAnsi="仿宋" w:eastAsia="仿宋" w:cs="Tahoma"/>
          <w:b/>
          <w:color w:val="auto"/>
          <w:sz w:val="36"/>
          <w:szCs w:val="36"/>
        </w:rPr>
      </w:pPr>
    </w:p>
    <w:p w14:paraId="2EEDAC62">
      <w:pPr>
        <w:jc w:val="center"/>
        <w:rPr>
          <w:rFonts w:ascii="仿宋" w:hAnsi="仿宋" w:eastAsia="仿宋" w:cs="Tahoma"/>
          <w:b/>
          <w:color w:val="auto"/>
          <w:sz w:val="36"/>
          <w:szCs w:val="36"/>
        </w:rPr>
      </w:pPr>
    </w:p>
    <w:p w14:paraId="0941913B">
      <w:pPr>
        <w:jc w:val="center"/>
        <w:rPr>
          <w:rFonts w:ascii="仿宋" w:hAnsi="仿宋" w:eastAsia="仿宋" w:cs="Tahoma"/>
          <w:b/>
          <w:color w:val="auto"/>
          <w:sz w:val="36"/>
          <w:szCs w:val="36"/>
        </w:rPr>
      </w:pPr>
    </w:p>
    <w:p w14:paraId="2099287C">
      <w:pPr>
        <w:jc w:val="center"/>
        <w:rPr>
          <w:rFonts w:ascii="仿宋" w:hAnsi="仿宋" w:eastAsia="仿宋" w:cs="Tahoma"/>
          <w:b/>
          <w:color w:val="auto"/>
          <w:sz w:val="36"/>
          <w:szCs w:val="36"/>
        </w:rPr>
      </w:pPr>
    </w:p>
    <w:p w14:paraId="46311F46">
      <w:pPr>
        <w:jc w:val="center"/>
        <w:rPr>
          <w:rFonts w:ascii="仿宋" w:hAnsi="仿宋" w:eastAsia="仿宋" w:cs="Tahoma"/>
          <w:b/>
          <w:color w:val="auto"/>
          <w:sz w:val="36"/>
          <w:szCs w:val="36"/>
        </w:rPr>
      </w:pPr>
    </w:p>
    <w:p w14:paraId="10409BEF">
      <w:pPr>
        <w:jc w:val="center"/>
        <w:rPr>
          <w:rFonts w:ascii="仿宋" w:hAnsi="仿宋" w:eastAsia="仿宋" w:cs="Tahoma"/>
          <w:b/>
          <w:color w:val="auto"/>
          <w:sz w:val="36"/>
          <w:szCs w:val="36"/>
        </w:rPr>
      </w:pPr>
    </w:p>
    <w:p w14:paraId="13A6DF43">
      <w:pPr>
        <w:jc w:val="center"/>
        <w:rPr>
          <w:rFonts w:ascii="仿宋" w:hAnsi="仿宋" w:eastAsia="仿宋" w:cs="Tahoma"/>
          <w:b/>
          <w:color w:val="auto"/>
          <w:sz w:val="36"/>
          <w:szCs w:val="36"/>
        </w:rPr>
      </w:pPr>
    </w:p>
    <w:p w14:paraId="2C20D352">
      <w:pPr>
        <w:jc w:val="center"/>
        <w:rPr>
          <w:rFonts w:ascii="仿宋" w:hAnsi="仿宋" w:eastAsia="仿宋" w:cs="Tahoma"/>
          <w:b/>
          <w:color w:val="auto"/>
          <w:sz w:val="36"/>
          <w:szCs w:val="36"/>
        </w:rPr>
      </w:pPr>
    </w:p>
    <w:p w14:paraId="447C818D">
      <w:pPr>
        <w:jc w:val="center"/>
        <w:rPr>
          <w:rFonts w:ascii="仿宋" w:hAnsi="仿宋" w:eastAsia="仿宋" w:cs="Tahoma"/>
          <w:b/>
          <w:color w:val="auto"/>
          <w:sz w:val="36"/>
          <w:szCs w:val="36"/>
        </w:rPr>
      </w:pPr>
    </w:p>
    <w:p w14:paraId="1D29961A">
      <w:pPr>
        <w:jc w:val="center"/>
        <w:rPr>
          <w:rFonts w:ascii="仿宋" w:hAnsi="仿宋" w:eastAsia="仿宋" w:cs="Tahoma"/>
          <w:b/>
          <w:color w:val="auto"/>
          <w:sz w:val="36"/>
          <w:szCs w:val="36"/>
        </w:rPr>
      </w:pPr>
    </w:p>
    <w:p w14:paraId="3291024B">
      <w:pPr>
        <w:spacing w:line="360" w:lineRule="atLeast"/>
        <w:jc w:val="both"/>
        <w:rPr>
          <w:rFonts w:hint="eastAsia" w:ascii="宋体" w:hAnsi="宋体" w:eastAsia="宋体" w:cs="宋体"/>
          <w:b/>
          <w:color w:val="auto"/>
        </w:rPr>
      </w:pPr>
      <w:r>
        <w:rPr>
          <w:rFonts w:hint="eastAsia" w:ascii="宋体" w:hAnsi="宋体" w:eastAsia="宋体" w:cs="宋体"/>
          <w:b/>
          <w:color w:val="auto"/>
          <w:sz w:val="36"/>
        </w:rPr>
        <w:t>附件：响应书格式</w:t>
      </w:r>
    </w:p>
    <w:p w14:paraId="41CF20F9">
      <w:pPr>
        <w:pStyle w:val="105"/>
        <w:spacing w:line="360" w:lineRule="auto"/>
        <w:ind w:firstLine="1400" w:firstLineChars="200"/>
        <w:jc w:val="both"/>
        <w:rPr>
          <w:rFonts w:hint="eastAsia" w:ascii="宋体" w:hAnsi="宋体" w:eastAsia="宋体" w:cs="宋体"/>
          <w:color w:val="auto"/>
          <w:sz w:val="70"/>
        </w:rPr>
      </w:pPr>
    </w:p>
    <w:p w14:paraId="7C686297">
      <w:pPr>
        <w:spacing w:line="360" w:lineRule="atLeast"/>
        <w:jc w:val="center"/>
        <w:rPr>
          <w:rFonts w:hint="eastAsia" w:ascii="宋体" w:hAnsi="宋体" w:eastAsia="宋体" w:cs="宋体"/>
          <w:b/>
          <w:color w:val="auto"/>
          <w:sz w:val="72"/>
        </w:rPr>
      </w:pPr>
      <w:r>
        <w:rPr>
          <w:rFonts w:hint="eastAsia" w:ascii="宋体" w:hAnsi="宋体" w:eastAsia="宋体" w:cs="宋体"/>
          <w:b/>
          <w:color w:val="auto"/>
          <w:sz w:val="52"/>
          <w:szCs w:val="52"/>
          <w:u w:val="single"/>
        </w:rPr>
        <w:t xml:space="preserve"> </w:t>
      </w:r>
      <w:r>
        <w:rPr>
          <w:rFonts w:hint="eastAsia" w:ascii="宋体" w:hAnsi="宋体" w:eastAsia="宋体" w:cs="宋体"/>
          <w:b/>
          <w:color w:val="auto"/>
          <w:sz w:val="72"/>
          <w:u w:val="single"/>
        </w:rPr>
        <w:t xml:space="preserve">              </w:t>
      </w:r>
      <w:r>
        <w:rPr>
          <w:rFonts w:hint="eastAsia" w:ascii="宋体" w:hAnsi="宋体" w:eastAsia="宋体" w:cs="宋体"/>
          <w:b/>
          <w:color w:val="auto"/>
          <w:sz w:val="72"/>
        </w:rPr>
        <w:t>项目</w:t>
      </w:r>
    </w:p>
    <w:p w14:paraId="56B6FAEA">
      <w:pPr>
        <w:spacing w:line="360" w:lineRule="atLeast"/>
        <w:jc w:val="center"/>
        <w:rPr>
          <w:rFonts w:hint="eastAsia" w:ascii="宋体" w:hAnsi="宋体" w:eastAsia="宋体" w:cs="宋体"/>
          <w:b/>
          <w:color w:val="auto"/>
          <w:sz w:val="72"/>
        </w:rPr>
      </w:pPr>
    </w:p>
    <w:p w14:paraId="20BD91FF">
      <w:pPr>
        <w:spacing w:line="360" w:lineRule="atLeast"/>
        <w:jc w:val="center"/>
        <w:rPr>
          <w:rFonts w:hint="eastAsia" w:ascii="宋体" w:hAnsi="宋体" w:eastAsia="宋体" w:cs="宋体"/>
          <w:color w:val="auto"/>
        </w:rPr>
      </w:pPr>
      <w:r>
        <w:rPr>
          <w:rFonts w:hint="eastAsia" w:ascii="宋体" w:hAnsi="宋体" w:eastAsia="宋体" w:cs="宋体"/>
          <w:b/>
          <w:color w:val="auto"/>
          <w:sz w:val="72"/>
        </w:rPr>
        <w:t>响应书</w:t>
      </w:r>
    </w:p>
    <w:p w14:paraId="35B1762F">
      <w:pPr>
        <w:spacing w:line="360" w:lineRule="atLeast"/>
        <w:rPr>
          <w:rFonts w:hint="eastAsia" w:ascii="宋体" w:hAnsi="宋体" w:eastAsia="宋体" w:cs="宋体"/>
          <w:color w:val="auto"/>
        </w:rPr>
      </w:pPr>
    </w:p>
    <w:p w14:paraId="7348D7E2">
      <w:pPr>
        <w:spacing w:line="360" w:lineRule="atLeast"/>
        <w:ind w:firstLine="420"/>
        <w:rPr>
          <w:rFonts w:hint="eastAsia" w:ascii="宋体" w:hAnsi="宋体" w:eastAsia="宋体" w:cs="宋体"/>
          <w:color w:val="auto"/>
        </w:rPr>
      </w:pPr>
    </w:p>
    <w:p w14:paraId="071F4E2A">
      <w:pPr>
        <w:spacing w:line="360" w:lineRule="atLeast"/>
        <w:ind w:firstLine="880"/>
        <w:rPr>
          <w:rFonts w:hint="eastAsia" w:ascii="宋体" w:hAnsi="宋体" w:eastAsia="宋体" w:cs="宋体"/>
          <w:color w:val="auto"/>
          <w:sz w:val="44"/>
        </w:rPr>
      </w:pPr>
    </w:p>
    <w:p w14:paraId="5FC13494">
      <w:pPr>
        <w:pStyle w:val="7"/>
        <w:ind w:left="0" w:leftChars="0"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项目名称：</w:t>
      </w:r>
      <w:r>
        <w:rPr>
          <w:rFonts w:hint="eastAsia" w:ascii="宋体" w:hAnsi="宋体" w:cs="宋体"/>
          <w:color w:val="auto"/>
          <w:sz w:val="32"/>
          <w:szCs w:val="32"/>
          <w:lang w:eastAsia="zh-CN"/>
        </w:rPr>
        <w:t>伊犁公路事业发展中心2025年除雪刀片采购项目</w:t>
      </w:r>
    </w:p>
    <w:p w14:paraId="5FF782F5">
      <w:pPr>
        <w:spacing w:line="360" w:lineRule="atLeast"/>
        <w:ind w:firstLine="640" w:firstLineChars="200"/>
        <w:rPr>
          <w:rFonts w:hint="eastAsia" w:ascii="宋体" w:hAnsi="宋体" w:eastAsia="宋体" w:cs="宋体"/>
          <w:color w:val="auto"/>
          <w:sz w:val="32"/>
          <w:szCs w:val="32"/>
        </w:rPr>
      </w:pPr>
    </w:p>
    <w:p w14:paraId="704D2F71">
      <w:pPr>
        <w:spacing w:line="360" w:lineRule="atLeas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供应商名称：</w:t>
      </w:r>
    </w:p>
    <w:p w14:paraId="6C8F1C0D">
      <w:pPr>
        <w:spacing w:line="360" w:lineRule="atLeast"/>
        <w:ind w:firstLine="880"/>
        <w:rPr>
          <w:rFonts w:hint="eastAsia" w:ascii="宋体" w:hAnsi="宋体" w:eastAsia="宋体" w:cs="宋体"/>
          <w:color w:val="auto"/>
          <w:sz w:val="32"/>
          <w:szCs w:val="32"/>
        </w:rPr>
      </w:pPr>
    </w:p>
    <w:p w14:paraId="2C061099">
      <w:pPr>
        <w:spacing w:line="360" w:lineRule="atLeas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供应商全权代表：</w:t>
      </w:r>
    </w:p>
    <w:p w14:paraId="6F957FB1">
      <w:pPr>
        <w:spacing w:line="360" w:lineRule="atLeast"/>
        <w:rPr>
          <w:rFonts w:hint="eastAsia" w:ascii="宋体" w:hAnsi="宋体" w:eastAsia="宋体" w:cs="宋体"/>
          <w:color w:val="auto"/>
          <w:sz w:val="32"/>
        </w:rPr>
      </w:pPr>
    </w:p>
    <w:p w14:paraId="298AD9BA">
      <w:pPr>
        <w:spacing w:line="360" w:lineRule="atLeast"/>
        <w:ind w:firstLine="720"/>
        <w:jc w:val="center"/>
        <w:rPr>
          <w:rFonts w:hint="eastAsia" w:ascii="宋体" w:hAnsi="宋体" w:eastAsia="宋体" w:cs="宋体"/>
          <w:color w:val="auto"/>
          <w:sz w:val="36"/>
        </w:rPr>
      </w:pPr>
      <w:r>
        <w:rPr>
          <w:rFonts w:hint="eastAsia" w:ascii="宋体" w:hAnsi="宋体" w:eastAsia="宋体" w:cs="宋体"/>
          <w:color w:val="auto"/>
          <w:sz w:val="36"/>
        </w:rPr>
        <w:t>年  月  日</w:t>
      </w:r>
    </w:p>
    <w:p w14:paraId="29E22F67">
      <w:pPr>
        <w:widowControl w:val="0"/>
        <w:adjustRightInd w:val="0"/>
        <w:snapToGrid w:val="0"/>
        <w:spacing w:line="460" w:lineRule="exact"/>
        <w:jc w:val="both"/>
        <w:rPr>
          <w:rFonts w:hint="eastAsia" w:ascii="宋体" w:hAnsi="宋体" w:eastAsia="宋体" w:cs="宋体"/>
          <w:color w:val="auto"/>
          <w:kern w:val="2"/>
          <w:sz w:val="24"/>
          <w:szCs w:val="24"/>
        </w:rPr>
      </w:pPr>
      <w:r>
        <w:rPr>
          <w:rFonts w:hint="eastAsia" w:ascii="宋体" w:hAnsi="宋体" w:eastAsia="宋体" w:cs="宋体"/>
          <w:color w:val="auto"/>
          <w:sz w:val="24"/>
          <w:szCs w:val="24"/>
        </w:rPr>
        <w:br w:type="page"/>
      </w:r>
      <w:r>
        <w:rPr>
          <w:rFonts w:hint="eastAsia" w:ascii="宋体" w:hAnsi="宋体" w:eastAsia="宋体" w:cs="宋体"/>
          <w:color w:val="auto"/>
          <w:kern w:val="2"/>
          <w:sz w:val="24"/>
          <w:szCs w:val="24"/>
        </w:rPr>
        <w:t>附件一</w:t>
      </w:r>
    </w:p>
    <w:p w14:paraId="188801A3">
      <w:pPr>
        <w:pStyle w:val="3"/>
        <w:widowControl w:val="0"/>
        <w:adjustRightInd w:val="0"/>
        <w:snapToGrid w:val="0"/>
        <w:spacing w:before="326" w:beforeLines="100" w:beforeAutospacing="0" w:after="163" w:afterLines="50" w:afterAutospacing="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响应书</w:t>
      </w:r>
    </w:p>
    <w:p w14:paraId="4C689BEA">
      <w:pPr>
        <w:widowControl w:val="0"/>
        <w:adjustRightInd w:val="0"/>
        <w:snapToGri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新疆惠合正德工程管理有限公司</w:t>
      </w:r>
      <w:r>
        <w:rPr>
          <w:rFonts w:hint="eastAsia" w:ascii="宋体" w:hAnsi="宋体" w:eastAsia="宋体" w:cs="宋体"/>
          <w:color w:val="auto"/>
          <w:sz w:val="24"/>
          <w:szCs w:val="24"/>
        </w:rPr>
        <w:t>：</w:t>
      </w:r>
    </w:p>
    <w:p w14:paraId="68D0ABC5">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我们收到贵公司谈判编号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的谈判文件，经认真研究，我们决定参加此次谈判。</w:t>
      </w:r>
    </w:p>
    <w:p w14:paraId="09680279">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⒈ 按照谈判文件中的一切要求，提供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 xml:space="preserve">响应文件总报价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元（用阿拉伯数字书写）人民币，明细见谈判明细报价表。</w:t>
      </w:r>
    </w:p>
    <w:p w14:paraId="3A148047">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⒉ 如果我们的响应文件被接受，我们将履行响应文件中规定的每一项要求，保质保量按期完工。</w:t>
      </w:r>
    </w:p>
    <w:p w14:paraId="53F0B6A2">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 xml:space="preserve">⒊ </w:t>
      </w:r>
      <w:r>
        <w:rPr>
          <w:rFonts w:hint="eastAsia" w:ascii="宋体" w:hAnsi="宋体" w:eastAsia="宋体" w:cs="宋体"/>
          <w:color w:val="auto"/>
          <w:spacing w:val="-8"/>
          <w:sz w:val="24"/>
          <w:szCs w:val="24"/>
        </w:rPr>
        <w:t>我们同意按谈判文件的规定，本响应文件的有效期为谈判截止期后</w:t>
      </w:r>
      <w:r>
        <w:rPr>
          <w:rFonts w:hint="eastAsia" w:ascii="宋体" w:hAnsi="宋体" w:eastAsia="宋体" w:cs="宋体"/>
          <w:color w:val="auto"/>
          <w:spacing w:val="-8"/>
          <w:sz w:val="24"/>
          <w:szCs w:val="24"/>
          <w:u w:val="single"/>
        </w:rPr>
        <w:t>90</w:t>
      </w:r>
      <w:r>
        <w:rPr>
          <w:rFonts w:hint="eastAsia" w:ascii="宋体" w:hAnsi="宋体" w:eastAsia="宋体" w:cs="宋体"/>
          <w:color w:val="auto"/>
          <w:spacing w:val="-8"/>
          <w:sz w:val="24"/>
          <w:szCs w:val="24"/>
        </w:rPr>
        <w:t>日历天。</w:t>
      </w:r>
    </w:p>
    <w:p w14:paraId="08811428">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⒋ 我们愿意提供采购人在谈判文件中要求的所有资料。</w:t>
      </w:r>
    </w:p>
    <w:p w14:paraId="70C2F887">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⒌ 我们认为采购人有选择或拒绝任何供应商的权力。</w:t>
      </w:r>
    </w:p>
    <w:p w14:paraId="2F0067F1">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⒍ 我们愿按合同法履行自己的全部责任。</w:t>
      </w:r>
    </w:p>
    <w:p w14:paraId="57E49273">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⒎ 我方愿意遵守国家有关规定及谈判文件中规定的收费标准，承付成交服务费。</w:t>
      </w:r>
    </w:p>
    <w:p w14:paraId="247F2E73">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⒏ 本响应文件在谈判截止期后的有效期内保持有效，不作任何更改和变动。</w:t>
      </w:r>
    </w:p>
    <w:p w14:paraId="566D17E3">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9.我们理解并认可，最低报价不是成交的唯一条件。</w:t>
      </w:r>
    </w:p>
    <w:p w14:paraId="7C226DDD">
      <w:pPr>
        <w:widowControl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10.所有有关本响应文件的函电，请按下列地址联系：</w:t>
      </w:r>
    </w:p>
    <w:p w14:paraId="72B11731">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单       位：</w:t>
      </w:r>
    </w:p>
    <w:p w14:paraId="7EE758E9">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地       址：</w:t>
      </w:r>
    </w:p>
    <w:p w14:paraId="0E3CBF06">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电       话：</w:t>
      </w:r>
    </w:p>
    <w:p w14:paraId="147D9FA3">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传       真：</w:t>
      </w:r>
    </w:p>
    <w:p w14:paraId="72A7BF81">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邮 政 编 码：</w:t>
      </w:r>
    </w:p>
    <w:p w14:paraId="2CE63C71">
      <w:pPr>
        <w:widowControl w:val="0"/>
        <w:adjustRightInd w:val="0"/>
        <w:snapToGrid w:val="0"/>
        <w:spacing w:line="46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p w14:paraId="46937121">
      <w:pPr>
        <w:widowControl w:val="0"/>
        <w:adjustRightInd w:val="0"/>
        <w:snapToGrid w:val="0"/>
        <w:spacing w:line="460" w:lineRule="exact"/>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p>
    <w:p w14:paraId="5A47F759">
      <w:pPr>
        <w:widowControl w:val="0"/>
        <w:adjustRightInd w:val="0"/>
        <w:snapToGrid w:val="0"/>
        <w:spacing w:line="460" w:lineRule="exact"/>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授权代表签字：               年  月  日</w:t>
      </w:r>
    </w:p>
    <w:p w14:paraId="146B7256">
      <w:pPr>
        <w:adjustRightInd w:val="0"/>
        <w:snapToGrid w:val="0"/>
        <w:spacing w:line="360" w:lineRule="auto"/>
        <w:ind w:firstLine="562"/>
        <w:jc w:val="right"/>
        <w:rPr>
          <w:rFonts w:hint="eastAsia" w:ascii="宋体" w:hAnsi="宋体" w:eastAsia="宋体" w:cs="宋体"/>
          <w:color w:val="auto"/>
          <w:sz w:val="24"/>
          <w:szCs w:val="24"/>
        </w:rPr>
      </w:pPr>
    </w:p>
    <w:p w14:paraId="438C9AF1">
      <w:pPr>
        <w:adjustRightInd w:val="0"/>
        <w:snapToGrid w:val="0"/>
        <w:spacing w:line="360" w:lineRule="auto"/>
        <w:jc w:val="both"/>
        <w:rPr>
          <w:rFonts w:hint="eastAsia" w:ascii="宋体" w:hAnsi="宋体" w:eastAsia="宋体" w:cs="宋体"/>
          <w:b/>
          <w:color w:val="auto"/>
          <w:sz w:val="24"/>
          <w:szCs w:val="24"/>
        </w:rPr>
      </w:pPr>
      <w:r>
        <w:rPr>
          <w:rFonts w:hint="eastAsia" w:ascii="宋体" w:hAnsi="宋体" w:eastAsia="宋体" w:cs="宋体"/>
          <w:color w:val="auto"/>
          <w:sz w:val="24"/>
          <w:szCs w:val="24"/>
        </w:rPr>
        <w:t>附件二</w:t>
      </w:r>
    </w:p>
    <w:p w14:paraId="1B2E0925">
      <w:pPr>
        <w:pStyle w:val="3"/>
        <w:widowControl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法定代表人资格证明书（格式）</w:t>
      </w:r>
    </w:p>
    <w:p w14:paraId="267DCEAC">
      <w:pPr>
        <w:widowControl w:val="0"/>
        <w:adjustRightInd w:val="0"/>
        <w:snapToGrid w:val="0"/>
        <w:spacing w:line="360" w:lineRule="auto"/>
        <w:rPr>
          <w:rFonts w:hint="eastAsia" w:ascii="宋体" w:hAnsi="宋体" w:eastAsia="宋体" w:cs="宋体"/>
          <w:color w:val="auto"/>
          <w:sz w:val="24"/>
          <w:szCs w:val="24"/>
        </w:rPr>
      </w:pPr>
    </w:p>
    <w:p w14:paraId="79B10121">
      <w:pPr>
        <w:pStyle w:val="104"/>
        <w:widowControl w:val="0"/>
        <w:adjustRightInd w:val="0"/>
        <w:snapToGrid w:val="0"/>
        <w:spacing w:line="360" w:lineRule="auto"/>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48BBF2C">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27D8B39">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A0C2C11">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该同志系</w:t>
      </w:r>
      <w:r>
        <w:rPr>
          <w:rFonts w:hint="eastAsia" w:ascii="宋体" w:hAnsi="宋体" w:eastAsia="宋体" w:cs="宋体"/>
          <w:color w:val="auto"/>
          <w:sz w:val="24"/>
          <w:szCs w:val="24"/>
          <w:u w:val="single"/>
        </w:rPr>
        <w:t xml:space="preserve">                                  公司</w:t>
      </w:r>
      <w:r>
        <w:rPr>
          <w:rFonts w:hint="eastAsia" w:ascii="宋体" w:hAnsi="宋体" w:eastAsia="宋体" w:cs="宋体"/>
          <w:color w:val="auto"/>
          <w:sz w:val="24"/>
          <w:szCs w:val="24"/>
        </w:rPr>
        <w:t>的法定代表人。为参加本项目，签署上述的响应文件、进行合同谈判、签署合同和处理与之有关的一切事务。</w:t>
      </w:r>
    </w:p>
    <w:p w14:paraId="6394E6A2">
      <w:pPr>
        <w:pStyle w:val="104"/>
        <w:widowControl w:val="0"/>
        <w:adjustRightInd w:val="0"/>
        <w:snapToGrid w:val="0"/>
        <w:spacing w:line="360" w:lineRule="auto"/>
        <w:ind w:firstLine="480"/>
        <w:rPr>
          <w:rFonts w:hint="eastAsia" w:ascii="宋体" w:hAnsi="宋体" w:eastAsia="宋体" w:cs="宋体"/>
          <w:color w:val="auto"/>
          <w:sz w:val="24"/>
          <w:szCs w:val="24"/>
        </w:rPr>
      </w:pPr>
    </w:p>
    <w:p w14:paraId="43D546AB">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1263C80A">
      <w:pPr>
        <w:pStyle w:val="104"/>
        <w:widowControl w:val="0"/>
        <w:adjustRightInd w:val="0"/>
        <w:snapToGrid w:val="0"/>
        <w:spacing w:line="360" w:lineRule="auto"/>
        <w:ind w:firstLine="480"/>
        <w:rPr>
          <w:rFonts w:hint="eastAsia" w:ascii="宋体" w:hAnsi="宋体" w:eastAsia="宋体" w:cs="宋体"/>
          <w:color w:val="auto"/>
          <w:sz w:val="24"/>
          <w:szCs w:val="24"/>
        </w:rPr>
      </w:pPr>
    </w:p>
    <w:p w14:paraId="536F26D6">
      <w:pPr>
        <w:pStyle w:val="104"/>
        <w:widowControl w:val="0"/>
        <w:adjustRightInd w:val="0"/>
        <w:snapToGrid w:val="0"/>
        <w:spacing w:line="360" w:lineRule="auto"/>
        <w:ind w:firstLine="480"/>
        <w:rPr>
          <w:rFonts w:hint="eastAsia" w:ascii="宋体" w:hAnsi="宋体" w:eastAsia="宋体" w:cs="宋体"/>
          <w:color w:val="auto"/>
          <w:sz w:val="24"/>
          <w:szCs w:val="24"/>
        </w:rPr>
      </w:pPr>
    </w:p>
    <w:p w14:paraId="0616209A">
      <w:pPr>
        <w:pStyle w:val="104"/>
        <w:widowControl w:val="0"/>
        <w:adjustRightInd w:val="0"/>
        <w:snapToGrid w:val="0"/>
        <w:spacing w:line="360" w:lineRule="auto"/>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p>
    <w:p w14:paraId="23A7DB5E">
      <w:pPr>
        <w:pStyle w:val="104"/>
        <w:widowControl w:val="0"/>
        <w:adjustRightInd w:val="0"/>
        <w:snapToGrid w:val="0"/>
        <w:spacing w:line="360" w:lineRule="auto"/>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法定代表人签名：</w:t>
      </w:r>
      <w:r>
        <w:rPr>
          <w:rFonts w:hint="eastAsia" w:ascii="宋体" w:hAnsi="宋体" w:eastAsia="宋体" w:cs="宋体"/>
          <w:color w:val="auto"/>
          <w:sz w:val="24"/>
          <w:szCs w:val="24"/>
          <w:u w:val="single"/>
        </w:rPr>
        <w:t xml:space="preserve">              </w:t>
      </w:r>
    </w:p>
    <w:p w14:paraId="01E290C2">
      <w:pPr>
        <w:pStyle w:val="104"/>
        <w:widowControl w:val="0"/>
        <w:adjustRightInd w:val="0"/>
        <w:snapToGrid w:val="0"/>
        <w:spacing w:line="360" w:lineRule="auto"/>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7EA53C3">
      <w:pPr>
        <w:pStyle w:val="3"/>
        <w:widowControl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rPr>
        <w:br w:type="page"/>
      </w:r>
      <w:r>
        <w:rPr>
          <w:rFonts w:hint="eastAsia" w:ascii="宋体" w:hAnsi="宋体" w:eastAsia="宋体" w:cs="宋体"/>
          <w:color w:val="auto"/>
          <w:sz w:val="24"/>
          <w:szCs w:val="24"/>
        </w:rPr>
        <w:t>法定代表人授权委托书（格式）</w:t>
      </w:r>
    </w:p>
    <w:p w14:paraId="0DD28EA7">
      <w:pPr>
        <w:widowControl w:val="0"/>
        <w:adjustRightInd w:val="0"/>
        <w:snapToGrid w:val="0"/>
        <w:spacing w:line="360" w:lineRule="auto"/>
        <w:rPr>
          <w:rFonts w:hint="eastAsia" w:ascii="宋体" w:hAnsi="宋体" w:eastAsia="宋体" w:cs="宋体"/>
          <w:color w:val="auto"/>
          <w:sz w:val="24"/>
          <w:szCs w:val="24"/>
        </w:rPr>
      </w:pPr>
    </w:p>
    <w:p w14:paraId="1C724D64">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（供应商名称）的法定代表人，现授权委托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（单位名称）的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（姓名）为我公司签署本项目响应文件的法定代表人授权委托代理人，全权代表我单位处理本次谈判的有关事宜。代理人所签署的一切有关文件，我单位均予承认。</w:t>
      </w:r>
    </w:p>
    <w:p w14:paraId="61B2481D">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040D718">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代理人无转委托权，特此声明！</w:t>
      </w:r>
    </w:p>
    <w:p w14:paraId="62F22868">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附：法定代表人和授权人的身份证复印件正反面</w:t>
      </w:r>
    </w:p>
    <w:p w14:paraId="13E23180">
      <w:pPr>
        <w:pStyle w:val="104"/>
        <w:widowControl w:val="0"/>
        <w:adjustRightInd w:val="0"/>
        <w:snapToGrid w:val="0"/>
        <w:spacing w:line="360" w:lineRule="auto"/>
        <w:ind w:firstLine="480"/>
        <w:rPr>
          <w:rFonts w:hint="eastAsia" w:ascii="宋体" w:hAnsi="宋体" w:eastAsia="宋体" w:cs="宋体"/>
          <w:color w:val="auto"/>
          <w:sz w:val="24"/>
          <w:szCs w:val="24"/>
        </w:rPr>
      </w:pPr>
    </w:p>
    <w:p w14:paraId="16B5D34D">
      <w:pPr>
        <w:pStyle w:val="104"/>
        <w:widowControl w:val="0"/>
        <w:adjustRightInd w:val="0"/>
        <w:snapToGrid w:val="0"/>
        <w:spacing w:line="360" w:lineRule="auto"/>
        <w:ind w:firstLine="480"/>
        <w:rPr>
          <w:rFonts w:hint="eastAsia" w:ascii="宋体" w:hAnsi="宋体" w:eastAsia="宋体" w:cs="宋体"/>
          <w:color w:val="auto"/>
          <w:sz w:val="24"/>
          <w:szCs w:val="24"/>
        </w:rPr>
      </w:pPr>
    </w:p>
    <w:p w14:paraId="45D2C346">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代理人：姓名：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1F0A9FF">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685277">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14:paraId="2A98A1CC">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0E07B643">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授权委托日期：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943C501">
      <w:pPr>
        <w:widowControl w:val="0"/>
        <w:adjustRightInd w:val="0"/>
        <w:snapToGrid w:val="0"/>
        <w:spacing w:line="360" w:lineRule="auto"/>
        <w:jc w:val="both"/>
        <w:rPr>
          <w:rFonts w:hint="eastAsia" w:ascii="宋体" w:hAnsi="宋体" w:eastAsia="宋体" w:cs="宋体"/>
          <w:color w:val="auto"/>
          <w:kern w:val="2"/>
          <w:sz w:val="24"/>
          <w:szCs w:val="24"/>
        </w:rPr>
      </w:pPr>
      <w:r>
        <w:rPr>
          <w:rFonts w:hint="eastAsia" w:ascii="宋体" w:hAnsi="宋体" w:eastAsia="宋体" w:cs="宋体"/>
          <w:color w:val="auto"/>
          <w:sz w:val="24"/>
          <w:szCs w:val="24"/>
        </w:rPr>
        <w:br w:type="page"/>
      </w:r>
      <w:r>
        <w:rPr>
          <w:rFonts w:hint="eastAsia" w:ascii="宋体" w:hAnsi="宋体" w:eastAsia="宋体" w:cs="宋体"/>
          <w:color w:val="auto"/>
          <w:kern w:val="2"/>
          <w:sz w:val="24"/>
          <w:szCs w:val="24"/>
        </w:rPr>
        <w:t>附件三</w:t>
      </w:r>
    </w:p>
    <w:p w14:paraId="433FA757">
      <w:pPr>
        <w:pStyle w:val="3"/>
        <w:widowControl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供应商关于响应文件的声明函</w:t>
      </w:r>
    </w:p>
    <w:p w14:paraId="7A00D1E8">
      <w:pPr>
        <w:pStyle w:val="104"/>
        <w:widowControl w:val="0"/>
        <w:adjustRightInd w:val="0"/>
        <w:snapToGrid w:val="0"/>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新疆惠合正德工程管理有限公司</w:t>
      </w:r>
    </w:p>
    <w:p w14:paraId="4D42C138">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为响应你方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投标邀请，下述签字人自愿参与投标，提供谈判文件技术须求书中规定的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项目，提交下述文件并声明全部说明是真实的和正确的。下述签字人将就下述文件中存在的虚假或不真实内容对招标代理机构和采购人承担法律责任。</w:t>
      </w:r>
    </w:p>
    <w:p w14:paraId="0C58D088">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下述签字人证明本资格文件中的内容是真实的和正确的。</w:t>
      </w:r>
    </w:p>
    <w:p w14:paraId="5A488943">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公司签署下述声明函，证明响应文件中的全部内容是真实的和正确的，无虚假内容，如有虚假或违反承诺，愿意接受取消投标人资格、成交资格及没收投标保证金、履约保证金的决定同时愿意接受行政主管部门依法作出的处罚决定及因此产生的法律问题。</w:t>
      </w:r>
    </w:p>
    <w:p w14:paraId="4C7524C4">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下述签字人知道，采购人可能要求其提供进一步的资格材料并同意按采购人的要求提交。</w:t>
      </w:r>
    </w:p>
    <w:p w14:paraId="10AAD675">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0C144183">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法人代表或其被授权人：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r>
        <w:rPr>
          <w:rFonts w:hint="eastAsia" w:ascii="宋体" w:hAnsi="宋体" w:eastAsia="宋体" w:cs="宋体"/>
          <w:color w:val="auto"/>
          <w:sz w:val="24"/>
          <w:szCs w:val="24"/>
          <w:u w:val="single"/>
        </w:rPr>
        <w:t xml:space="preserve">       </w:t>
      </w:r>
    </w:p>
    <w:p w14:paraId="74F85854">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519C8128">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5336E2BF">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0C330411">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33EB0EBD">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6783AE54">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52128B15">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47DA8122">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59370710">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2AD99C47">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36478D77">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66EC1118">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686103BD">
      <w:pPr>
        <w:widowControl w:val="0"/>
        <w:adjustRightInd w:val="0"/>
        <w:snapToGrid w:val="0"/>
        <w:spacing w:line="360" w:lineRule="auto"/>
        <w:ind w:firstLine="562"/>
        <w:jc w:val="right"/>
        <w:rPr>
          <w:rFonts w:hint="eastAsia" w:ascii="宋体" w:hAnsi="宋体" w:eastAsia="宋体" w:cs="宋体"/>
          <w:color w:val="auto"/>
          <w:kern w:val="2"/>
          <w:sz w:val="24"/>
          <w:szCs w:val="24"/>
        </w:rPr>
      </w:pPr>
    </w:p>
    <w:p w14:paraId="4174CB2D">
      <w:pPr>
        <w:widowControl w:val="0"/>
        <w:adjustRightInd w:val="0"/>
        <w:snapToGrid w:val="0"/>
        <w:spacing w:line="36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附件四</w:t>
      </w:r>
    </w:p>
    <w:p w14:paraId="691C8390">
      <w:pPr>
        <w:pStyle w:val="3"/>
        <w:widowControl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供应商诚信谈判承诺书</w:t>
      </w:r>
    </w:p>
    <w:p w14:paraId="0DD834E4">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本人以企业法定代表人的身份郑重承诺：</w:t>
      </w:r>
    </w:p>
    <w:p w14:paraId="2F1AB4E1">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一、响应文件中所提供的一切材料都是真实、有效、合法的；</w:t>
      </w:r>
    </w:p>
    <w:p w14:paraId="037A5943">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二、不以他人名义投标或者以其他方式弄虚作假，骗取中标；</w:t>
      </w:r>
    </w:p>
    <w:p w14:paraId="0C72CA0B">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三、不与其他供应商互相串通投标，不排挤其他供应商的公平竞争，不损害采购人的合法权益；</w:t>
      </w:r>
    </w:p>
    <w:p w14:paraId="56035B64">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四、不与采购人或者招标代理机构串通投标，损害国家利益、社会公共利益或者他人的合法权益；</w:t>
      </w:r>
    </w:p>
    <w:p w14:paraId="2D191E47">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五、不向采购人或者评标委员会成员行贿以牟取中标；</w:t>
      </w:r>
    </w:p>
    <w:p w14:paraId="6C3E79A3">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六、如在投标过程和公示期间须要投诉，则保证按照《中华人民共和国招标投标法》的要求进行。投诉的内容和程序符合法律法规的规定，投诉材料加盖企业公章或由法定代表人或授权委托人签字，并附有相关身份证明复印件；</w:t>
      </w:r>
    </w:p>
    <w:p w14:paraId="0CEBC6F5">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七、遵守《中华人民共和国政府采购法》、《政府采购货物和服务招标投标管理办法》（财政部87号令）和《政府采购非招标采购方式管理办法》（财政部74号令）的规定，保证不进行恶意投诉。</w:t>
      </w:r>
    </w:p>
    <w:p w14:paraId="02BC487F">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47E19976">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p>
    <w:p w14:paraId="2E81455A">
      <w:pPr>
        <w:pStyle w:val="104"/>
        <w:widowControl w:val="0"/>
        <w:adjustRightInd w:val="0"/>
        <w:snapToGrid w:val="0"/>
        <w:spacing w:line="360" w:lineRule="auto"/>
        <w:ind w:firstLine="480"/>
        <w:rPr>
          <w:rFonts w:hint="eastAsia" w:ascii="宋体" w:hAnsi="宋体" w:eastAsia="宋体" w:cs="宋体"/>
          <w:color w:val="auto"/>
          <w:sz w:val="24"/>
          <w:szCs w:val="24"/>
        </w:rPr>
      </w:pPr>
    </w:p>
    <w:p w14:paraId="05BDA430">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       法定代表授权委托人：（签字）</w:t>
      </w:r>
    </w:p>
    <w:p w14:paraId="5F35ED4B">
      <w:pPr>
        <w:pStyle w:val="104"/>
        <w:widowControl w:val="0"/>
        <w:adjustRightInd w:val="0"/>
        <w:snapToGrid w:val="0"/>
        <w:spacing w:line="360" w:lineRule="auto"/>
        <w:ind w:firstLine="480"/>
        <w:rPr>
          <w:rFonts w:hint="eastAsia" w:ascii="宋体" w:hAnsi="宋体" w:eastAsia="宋体" w:cs="宋体"/>
          <w:color w:val="auto"/>
          <w:sz w:val="24"/>
          <w:szCs w:val="24"/>
        </w:rPr>
      </w:pPr>
    </w:p>
    <w:p w14:paraId="31B5D69D">
      <w:pPr>
        <w:pStyle w:val="104"/>
        <w:widowControl w:val="0"/>
        <w:adjustRightInd w:val="0"/>
        <w:snapToGrid w:val="0"/>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p>
    <w:p w14:paraId="69A1AA94">
      <w:pPr>
        <w:widowControl w:val="0"/>
        <w:adjustRightInd w:val="0"/>
        <w:snapToGrid w:val="0"/>
        <w:spacing w:line="360" w:lineRule="auto"/>
        <w:jc w:val="both"/>
        <w:rPr>
          <w:rFonts w:hint="eastAsia" w:ascii="宋体" w:hAnsi="宋体" w:eastAsia="宋体" w:cs="宋体"/>
          <w:color w:val="auto"/>
          <w:kern w:val="2"/>
          <w:sz w:val="24"/>
          <w:szCs w:val="24"/>
        </w:rPr>
      </w:pPr>
      <w:r>
        <w:rPr>
          <w:rFonts w:hint="eastAsia" w:ascii="宋体" w:hAnsi="宋体" w:eastAsia="宋体" w:cs="宋体"/>
          <w:color w:val="auto"/>
          <w:sz w:val="24"/>
          <w:szCs w:val="24"/>
        </w:rPr>
        <w:br w:type="page"/>
      </w:r>
      <w:bookmarkStart w:id="54" w:name="_Toc435087575"/>
      <w:r>
        <w:rPr>
          <w:rFonts w:hint="eastAsia" w:ascii="宋体" w:hAnsi="宋体" w:eastAsia="宋体" w:cs="宋体"/>
          <w:color w:val="auto"/>
          <w:kern w:val="2"/>
          <w:sz w:val="24"/>
          <w:szCs w:val="24"/>
        </w:rPr>
        <w:t>附件</w:t>
      </w:r>
      <w:bookmarkEnd w:id="54"/>
      <w:r>
        <w:rPr>
          <w:rFonts w:hint="eastAsia" w:ascii="宋体" w:hAnsi="宋体" w:eastAsia="宋体" w:cs="宋体"/>
          <w:color w:val="auto"/>
          <w:kern w:val="2"/>
          <w:sz w:val="24"/>
          <w:szCs w:val="24"/>
        </w:rPr>
        <w:t>五</w:t>
      </w:r>
    </w:p>
    <w:p w14:paraId="315DCB93">
      <w:pPr>
        <w:pStyle w:val="3"/>
        <w:widowControl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供应商反商业贿赂承诺书</w:t>
      </w:r>
    </w:p>
    <w:p w14:paraId="668F4227">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我公司承诺在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项目编号）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284306A1">
      <w:pPr>
        <w:pStyle w:val="104"/>
        <w:widowControl w:val="0"/>
        <w:adjustRightInd w:val="0"/>
        <w:snapToGrid w:val="0"/>
        <w:spacing w:line="360" w:lineRule="auto"/>
        <w:ind w:firstLine="480"/>
        <w:rPr>
          <w:rFonts w:hint="eastAsia" w:ascii="宋体" w:hAnsi="宋体" w:eastAsia="宋体" w:cs="宋体"/>
          <w:color w:val="auto"/>
          <w:sz w:val="24"/>
          <w:szCs w:val="24"/>
        </w:rPr>
      </w:pPr>
    </w:p>
    <w:p w14:paraId="410BBC7D">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公司法人代表：</w:t>
      </w:r>
    </w:p>
    <w:p w14:paraId="4A93B8E4">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法人授权代表：</w:t>
      </w:r>
    </w:p>
    <w:p w14:paraId="0E78EA39">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项目经办人：</w:t>
      </w:r>
    </w:p>
    <w:p w14:paraId="767B342B">
      <w:pPr>
        <w:pStyle w:val="104"/>
        <w:widowControl w:val="0"/>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1454830E">
      <w:pPr>
        <w:pStyle w:val="14"/>
        <w:ind w:firstLine="210"/>
        <w:rPr>
          <w:rFonts w:hint="eastAsia" w:ascii="宋体" w:hAnsi="宋体" w:eastAsia="宋体" w:cs="宋体"/>
          <w:color w:val="auto"/>
          <w:sz w:val="24"/>
          <w:szCs w:val="24"/>
        </w:rPr>
      </w:pPr>
    </w:p>
    <w:p w14:paraId="773F2E56">
      <w:pPr>
        <w:pStyle w:val="14"/>
        <w:ind w:firstLine="210"/>
        <w:rPr>
          <w:rFonts w:hint="eastAsia" w:ascii="宋体" w:hAnsi="宋体" w:eastAsia="宋体" w:cs="宋体"/>
          <w:color w:val="auto"/>
          <w:sz w:val="24"/>
          <w:szCs w:val="24"/>
        </w:rPr>
      </w:pPr>
    </w:p>
    <w:p w14:paraId="63E6FCDB">
      <w:pPr>
        <w:pStyle w:val="14"/>
        <w:ind w:firstLine="210"/>
        <w:rPr>
          <w:rFonts w:hint="eastAsia" w:ascii="宋体" w:hAnsi="宋体" w:eastAsia="宋体" w:cs="宋体"/>
          <w:color w:val="auto"/>
          <w:sz w:val="24"/>
          <w:szCs w:val="24"/>
        </w:rPr>
      </w:pPr>
    </w:p>
    <w:p w14:paraId="247A5B84">
      <w:pPr>
        <w:pStyle w:val="14"/>
        <w:ind w:firstLine="210"/>
        <w:rPr>
          <w:rFonts w:hint="eastAsia" w:ascii="宋体" w:hAnsi="宋体" w:eastAsia="宋体" w:cs="宋体"/>
          <w:color w:val="auto"/>
          <w:sz w:val="24"/>
          <w:szCs w:val="24"/>
        </w:rPr>
      </w:pPr>
    </w:p>
    <w:p w14:paraId="1CE7248E">
      <w:pPr>
        <w:pStyle w:val="14"/>
        <w:ind w:firstLine="210"/>
        <w:rPr>
          <w:rFonts w:hint="eastAsia" w:ascii="宋体" w:hAnsi="宋体" w:eastAsia="宋体" w:cs="宋体"/>
          <w:color w:val="auto"/>
          <w:sz w:val="24"/>
          <w:szCs w:val="24"/>
        </w:rPr>
      </w:pPr>
    </w:p>
    <w:p w14:paraId="6F069818">
      <w:pPr>
        <w:pStyle w:val="14"/>
        <w:ind w:firstLine="210"/>
        <w:rPr>
          <w:rFonts w:hint="eastAsia" w:ascii="宋体" w:hAnsi="宋体" w:eastAsia="宋体" w:cs="宋体"/>
          <w:color w:val="auto"/>
          <w:sz w:val="24"/>
          <w:szCs w:val="24"/>
        </w:rPr>
      </w:pPr>
    </w:p>
    <w:p w14:paraId="4575BDA3">
      <w:pPr>
        <w:pStyle w:val="14"/>
        <w:ind w:firstLine="210"/>
        <w:rPr>
          <w:rFonts w:hint="eastAsia" w:ascii="宋体" w:hAnsi="宋体" w:eastAsia="宋体" w:cs="宋体"/>
          <w:color w:val="auto"/>
          <w:sz w:val="24"/>
          <w:szCs w:val="24"/>
        </w:rPr>
      </w:pPr>
    </w:p>
    <w:p w14:paraId="3705BBEA">
      <w:pPr>
        <w:pStyle w:val="14"/>
        <w:ind w:firstLine="210"/>
        <w:rPr>
          <w:rFonts w:hint="eastAsia" w:ascii="宋体" w:hAnsi="宋体" w:eastAsia="宋体" w:cs="宋体"/>
          <w:color w:val="auto"/>
          <w:sz w:val="24"/>
          <w:szCs w:val="24"/>
        </w:rPr>
      </w:pPr>
    </w:p>
    <w:p w14:paraId="5BA78EB9">
      <w:pPr>
        <w:pStyle w:val="14"/>
        <w:ind w:firstLine="210"/>
        <w:rPr>
          <w:rFonts w:hint="eastAsia" w:ascii="宋体" w:hAnsi="宋体" w:eastAsia="宋体" w:cs="宋体"/>
          <w:color w:val="auto"/>
          <w:sz w:val="24"/>
          <w:szCs w:val="24"/>
        </w:rPr>
      </w:pPr>
    </w:p>
    <w:p w14:paraId="0946D721">
      <w:pPr>
        <w:pStyle w:val="14"/>
        <w:ind w:firstLine="210"/>
        <w:rPr>
          <w:rFonts w:hint="eastAsia" w:ascii="宋体" w:hAnsi="宋体" w:eastAsia="宋体" w:cs="宋体"/>
          <w:color w:val="auto"/>
          <w:sz w:val="24"/>
          <w:szCs w:val="24"/>
        </w:rPr>
      </w:pPr>
    </w:p>
    <w:p w14:paraId="6FBE4D61">
      <w:pPr>
        <w:pStyle w:val="14"/>
        <w:ind w:firstLine="210"/>
        <w:rPr>
          <w:rFonts w:hint="eastAsia" w:ascii="宋体" w:hAnsi="宋体" w:eastAsia="宋体" w:cs="宋体"/>
          <w:color w:val="auto"/>
          <w:sz w:val="24"/>
          <w:szCs w:val="24"/>
        </w:rPr>
      </w:pPr>
    </w:p>
    <w:p w14:paraId="3E1191B4">
      <w:pPr>
        <w:pStyle w:val="14"/>
        <w:ind w:firstLine="210"/>
        <w:rPr>
          <w:rFonts w:hint="eastAsia" w:ascii="宋体" w:hAnsi="宋体" w:eastAsia="宋体" w:cs="宋体"/>
          <w:color w:val="auto"/>
          <w:sz w:val="24"/>
          <w:szCs w:val="24"/>
        </w:rPr>
      </w:pPr>
    </w:p>
    <w:p w14:paraId="446DE7FC">
      <w:pPr>
        <w:pStyle w:val="14"/>
        <w:ind w:firstLine="210"/>
        <w:rPr>
          <w:rFonts w:hint="eastAsia" w:ascii="宋体" w:hAnsi="宋体" w:eastAsia="宋体" w:cs="宋体"/>
          <w:color w:val="auto"/>
          <w:sz w:val="24"/>
          <w:szCs w:val="24"/>
        </w:rPr>
      </w:pPr>
    </w:p>
    <w:p w14:paraId="4A08B397">
      <w:pPr>
        <w:pStyle w:val="14"/>
        <w:ind w:firstLine="210"/>
        <w:rPr>
          <w:rFonts w:hint="eastAsia" w:ascii="宋体" w:hAnsi="宋体" w:eastAsia="宋体" w:cs="宋体"/>
          <w:color w:val="auto"/>
          <w:sz w:val="24"/>
          <w:szCs w:val="24"/>
        </w:rPr>
      </w:pPr>
    </w:p>
    <w:p w14:paraId="2DBD84F0">
      <w:pPr>
        <w:pStyle w:val="14"/>
        <w:ind w:firstLine="210"/>
        <w:rPr>
          <w:rFonts w:hint="eastAsia" w:ascii="宋体" w:hAnsi="宋体" w:eastAsia="宋体" w:cs="宋体"/>
          <w:color w:val="auto"/>
          <w:sz w:val="24"/>
          <w:szCs w:val="24"/>
        </w:rPr>
      </w:pPr>
    </w:p>
    <w:p w14:paraId="65D55B48">
      <w:pPr>
        <w:pStyle w:val="14"/>
        <w:ind w:left="0" w:leftChars="0" w:firstLine="0" w:firstLineChars="0"/>
        <w:jc w:val="left"/>
        <w:rPr>
          <w:rFonts w:hint="eastAsia" w:ascii="宋体" w:hAnsi="宋体" w:eastAsia="宋体" w:cs="宋体"/>
          <w:b/>
          <w:color w:val="auto"/>
          <w:sz w:val="24"/>
          <w:szCs w:val="24"/>
        </w:rPr>
      </w:pPr>
      <w:r>
        <w:rPr>
          <w:rFonts w:hint="eastAsia" w:ascii="宋体" w:hAnsi="宋体" w:eastAsia="宋体" w:cs="宋体"/>
          <w:color w:val="auto"/>
          <w:sz w:val="24"/>
          <w:szCs w:val="24"/>
        </w:rPr>
        <w:t>附件六</w:t>
      </w:r>
    </w:p>
    <w:p w14:paraId="7A971671">
      <w:pPr>
        <w:pStyle w:val="14"/>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b/>
          <w:color w:val="auto"/>
          <w:sz w:val="24"/>
          <w:szCs w:val="24"/>
        </w:rPr>
        <w:t>响应文件报价一览表</w:t>
      </w:r>
    </w:p>
    <w:p w14:paraId="2EBFADBB">
      <w:pPr>
        <w:spacing w:line="380" w:lineRule="exact"/>
        <w:jc w:val="left"/>
        <w:rPr>
          <w:rFonts w:hint="eastAsia" w:ascii="宋体" w:hAnsi="宋体" w:eastAsia="宋体" w:cs="宋体"/>
          <w:color w:val="auto"/>
          <w:sz w:val="24"/>
          <w:szCs w:val="24"/>
        </w:rPr>
      </w:pPr>
      <w:r>
        <w:rPr>
          <w:rFonts w:hint="eastAsia" w:ascii="宋体" w:hAnsi="宋体" w:eastAsia="宋体" w:cs="宋体"/>
          <w:bCs/>
          <w:color w:val="auto"/>
          <w:sz w:val="24"/>
          <w:szCs w:val="24"/>
        </w:rPr>
        <w:t>项目</w:t>
      </w:r>
      <w:r>
        <w:rPr>
          <w:rFonts w:hint="eastAsia" w:ascii="宋体" w:hAnsi="宋体" w:eastAsia="宋体" w:cs="宋体"/>
          <w:color w:val="auto"/>
          <w:sz w:val="24"/>
          <w:szCs w:val="24"/>
        </w:rPr>
        <w:t>名称：</w:t>
      </w:r>
    </w:p>
    <w:p w14:paraId="6146E3D6">
      <w:pPr>
        <w:spacing w:line="3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货币单位：人民币元</w:t>
      </w:r>
    </w:p>
    <w:p w14:paraId="2CD7AD60">
      <w:pPr>
        <w:spacing w:line="320" w:lineRule="atLeast"/>
        <w:ind w:firstLine="361" w:firstLineChars="150"/>
        <w:rPr>
          <w:rFonts w:hint="eastAsia" w:ascii="宋体" w:hAnsi="宋体" w:eastAsia="宋体" w:cs="宋体"/>
          <w:b/>
          <w:color w:val="auto"/>
          <w:sz w:val="24"/>
          <w:szCs w:val="28"/>
        </w:rPr>
      </w:pP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6191"/>
      </w:tblGrid>
      <w:tr w14:paraId="54B6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95" w:type="dxa"/>
            <w:vAlign w:val="center"/>
          </w:tcPr>
          <w:p w14:paraId="5FCC5809">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总报价</w:t>
            </w:r>
          </w:p>
        </w:tc>
        <w:tc>
          <w:tcPr>
            <w:tcW w:w="6191" w:type="dxa"/>
            <w:vAlign w:val="center"/>
          </w:tcPr>
          <w:p w14:paraId="178E34ED">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大写：</w:t>
            </w:r>
          </w:p>
          <w:p w14:paraId="3BCF6E6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小写：</w:t>
            </w:r>
          </w:p>
        </w:tc>
      </w:tr>
      <w:tr w14:paraId="3521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095" w:type="dxa"/>
            <w:vAlign w:val="center"/>
          </w:tcPr>
          <w:p w14:paraId="28058494">
            <w:pPr>
              <w:spacing w:line="360" w:lineRule="auto"/>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合同履约期限</w:t>
            </w:r>
          </w:p>
        </w:tc>
        <w:tc>
          <w:tcPr>
            <w:tcW w:w="6191" w:type="dxa"/>
          </w:tcPr>
          <w:p w14:paraId="53144E79">
            <w:pPr>
              <w:spacing w:line="360" w:lineRule="auto"/>
              <w:jc w:val="left"/>
              <w:rPr>
                <w:rFonts w:hint="eastAsia" w:ascii="宋体" w:hAnsi="宋体" w:eastAsia="宋体" w:cs="宋体"/>
                <w:b/>
                <w:color w:val="auto"/>
                <w:kern w:val="0"/>
                <w:sz w:val="24"/>
                <w:szCs w:val="24"/>
              </w:rPr>
            </w:pPr>
          </w:p>
        </w:tc>
      </w:tr>
      <w:tr w14:paraId="6239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095" w:type="dxa"/>
            <w:vAlign w:val="center"/>
          </w:tcPr>
          <w:p w14:paraId="02B9F8C1">
            <w:pPr>
              <w:spacing w:line="360" w:lineRule="auto"/>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质保期</w:t>
            </w:r>
          </w:p>
        </w:tc>
        <w:tc>
          <w:tcPr>
            <w:tcW w:w="6191" w:type="dxa"/>
          </w:tcPr>
          <w:p w14:paraId="2A01E94D">
            <w:pPr>
              <w:spacing w:line="360" w:lineRule="auto"/>
              <w:jc w:val="left"/>
              <w:rPr>
                <w:rFonts w:hint="eastAsia" w:ascii="宋体" w:hAnsi="宋体" w:eastAsia="宋体" w:cs="宋体"/>
                <w:b/>
                <w:color w:val="auto"/>
                <w:kern w:val="0"/>
                <w:sz w:val="24"/>
                <w:szCs w:val="24"/>
              </w:rPr>
            </w:pPr>
          </w:p>
        </w:tc>
      </w:tr>
      <w:tr w14:paraId="6019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095" w:type="dxa"/>
            <w:vAlign w:val="center"/>
          </w:tcPr>
          <w:p w14:paraId="22213537">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备注</w:t>
            </w:r>
          </w:p>
        </w:tc>
        <w:tc>
          <w:tcPr>
            <w:tcW w:w="6191" w:type="dxa"/>
          </w:tcPr>
          <w:p w14:paraId="30D99B2C">
            <w:pPr>
              <w:spacing w:line="360" w:lineRule="auto"/>
              <w:jc w:val="left"/>
              <w:rPr>
                <w:rFonts w:hint="eastAsia" w:ascii="宋体" w:hAnsi="宋体" w:eastAsia="宋体" w:cs="宋体"/>
                <w:b/>
                <w:color w:val="auto"/>
                <w:kern w:val="0"/>
                <w:sz w:val="24"/>
                <w:szCs w:val="24"/>
              </w:rPr>
            </w:pPr>
          </w:p>
        </w:tc>
      </w:tr>
    </w:tbl>
    <w:p w14:paraId="0F476702">
      <w:pPr>
        <w:spacing w:line="320" w:lineRule="atLeast"/>
        <w:ind w:firstLine="361" w:firstLineChars="150"/>
        <w:rPr>
          <w:rFonts w:hint="eastAsia" w:ascii="宋体" w:hAnsi="宋体" w:eastAsia="宋体" w:cs="宋体"/>
          <w:b/>
          <w:color w:val="auto"/>
          <w:sz w:val="24"/>
          <w:szCs w:val="28"/>
        </w:rPr>
      </w:pPr>
    </w:p>
    <w:p w14:paraId="66369866">
      <w:pPr>
        <w:spacing w:line="320" w:lineRule="atLeast"/>
        <w:ind w:firstLine="361" w:firstLineChars="150"/>
        <w:rPr>
          <w:rFonts w:hint="eastAsia" w:ascii="宋体" w:hAnsi="宋体" w:eastAsia="宋体" w:cs="宋体"/>
          <w:b/>
          <w:color w:val="auto"/>
          <w:sz w:val="24"/>
          <w:szCs w:val="28"/>
        </w:rPr>
      </w:pPr>
    </w:p>
    <w:p w14:paraId="7E473944">
      <w:pPr>
        <w:spacing w:line="320" w:lineRule="atLeast"/>
        <w:ind w:firstLine="359" w:firstLineChars="149"/>
        <w:rPr>
          <w:rFonts w:hint="eastAsia" w:ascii="宋体" w:hAnsi="宋体" w:eastAsia="宋体" w:cs="宋体"/>
          <w:b/>
          <w:color w:val="auto"/>
          <w:sz w:val="24"/>
          <w:szCs w:val="28"/>
        </w:rPr>
      </w:pPr>
      <w:r>
        <w:rPr>
          <w:rFonts w:hint="eastAsia" w:ascii="宋体" w:hAnsi="宋体" w:eastAsia="宋体" w:cs="宋体"/>
          <w:b/>
          <w:color w:val="auto"/>
          <w:sz w:val="24"/>
          <w:szCs w:val="28"/>
        </w:rPr>
        <w:t>1、每一设备或产品的详细报价清单应按《谈判报价明细表》另表详列，且标明所报各种设备或产品的数量、品牌和金额，货物设备或产品的型号规格，并应与</w:t>
      </w:r>
      <w:r>
        <w:rPr>
          <w:rFonts w:hint="eastAsia" w:ascii="宋体" w:hAnsi="宋体" w:eastAsia="宋体" w:cs="宋体"/>
          <w:b/>
          <w:color w:val="auto"/>
          <w:sz w:val="24"/>
          <w:szCs w:val="28"/>
          <w:lang w:eastAsia="zh-CN"/>
        </w:rPr>
        <w:t>谈判</w:t>
      </w:r>
      <w:r>
        <w:rPr>
          <w:rFonts w:hint="eastAsia" w:ascii="宋体" w:hAnsi="宋体" w:eastAsia="宋体" w:cs="宋体"/>
          <w:b/>
          <w:color w:val="auto"/>
          <w:sz w:val="24"/>
          <w:szCs w:val="28"/>
        </w:rPr>
        <w:t>文件中一致。否则，给供应商带来的不利由供应商自行承担！</w:t>
      </w:r>
      <w:r>
        <w:rPr>
          <w:rFonts w:hint="eastAsia" w:ascii="宋体" w:hAnsi="宋体" w:eastAsia="宋体" w:cs="宋体"/>
          <w:b/>
          <w:color w:val="auto"/>
          <w:sz w:val="24"/>
          <w:szCs w:val="28"/>
        </w:rPr>
        <w:tab/>
      </w:r>
    </w:p>
    <w:p w14:paraId="4C9A227C">
      <w:pPr>
        <w:spacing w:line="320" w:lineRule="atLeast"/>
        <w:ind w:firstLine="359" w:firstLineChars="149"/>
        <w:rPr>
          <w:rFonts w:hint="eastAsia" w:ascii="宋体" w:hAnsi="宋体" w:eastAsia="宋体" w:cs="宋体"/>
          <w:b/>
          <w:color w:val="auto"/>
          <w:sz w:val="24"/>
          <w:szCs w:val="28"/>
        </w:rPr>
      </w:pPr>
      <w:r>
        <w:rPr>
          <w:rFonts w:hint="eastAsia" w:ascii="宋体" w:hAnsi="宋体" w:eastAsia="宋体" w:cs="宋体"/>
          <w:b/>
          <w:color w:val="auto"/>
          <w:sz w:val="24"/>
          <w:szCs w:val="28"/>
        </w:rPr>
        <w:t>2、若投标函中的投标总价与《响应文件报价一览表》不一致的，以《响应文件报价一览表》中的投标总报价大写为准。</w:t>
      </w:r>
    </w:p>
    <w:p w14:paraId="2BBB5F32">
      <w:pPr>
        <w:spacing w:line="320" w:lineRule="atLeast"/>
        <w:ind w:firstLine="359" w:firstLineChars="149"/>
        <w:rPr>
          <w:rFonts w:hint="eastAsia" w:ascii="宋体" w:hAnsi="宋体" w:eastAsia="宋体" w:cs="宋体"/>
          <w:b/>
          <w:color w:val="auto"/>
          <w:sz w:val="24"/>
          <w:szCs w:val="28"/>
        </w:rPr>
      </w:pPr>
      <w:r>
        <w:rPr>
          <w:rFonts w:hint="eastAsia" w:ascii="宋体" w:hAnsi="宋体" w:eastAsia="宋体" w:cs="宋体"/>
          <w:b/>
          <w:color w:val="auto"/>
          <w:sz w:val="24"/>
          <w:szCs w:val="28"/>
        </w:rPr>
        <w:t>3、</w:t>
      </w:r>
      <w:r>
        <w:rPr>
          <w:rFonts w:hint="eastAsia" w:ascii="宋体" w:hAnsi="宋体" w:eastAsia="宋体" w:cs="宋体"/>
          <w:b/>
          <w:color w:val="auto"/>
          <w:sz w:val="24"/>
          <w:szCs w:val="28"/>
          <w:lang w:eastAsia="zh-CN"/>
        </w:rPr>
        <w:t>合同履约期限</w:t>
      </w:r>
      <w:r>
        <w:rPr>
          <w:rFonts w:hint="eastAsia" w:ascii="宋体" w:hAnsi="宋体" w:eastAsia="宋体" w:cs="宋体"/>
          <w:b/>
          <w:color w:val="auto"/>
          <w:sz w:val="24"/>
          <w:szCs w:val="28"/>
        </w:rPr>
        <w:t>：是指开始供货直至验收合格交付使用的期限。供应商必须对本表中的“</w:t>
      </w:r>
      <w:r>
        <w:rPr>
          <w:rFonts w:hint="eastAsia" w:ascii="宋体" w:hAnsi="宋体" w:eastAsia="宋体" w:cs="宋体"/>
          <w:b/>
          <w:color w:val="auto"/>
          <w:sz w:val="24"/>
          <w:szCs w:val="28"/>
          <w:lang w:eastAsia="zh-CN"/>
        </w:rPr>
        <w:t>合同履约期限</w:t>
      </w:r>
      <w:r>
        <w:rPr>
          <w:rFonts w:hint="eastAsia" w:ascii="宋体" w:hAnsi="宋体" w:eastAsia="宋体" w:cs="宋体"/>
          <w:b/>
          <w:color w:val="auto"/>
          <w:sz w:val="24"/>
          <w:szCs w:val="28"/>
        </w:rPr>
        <w:t>”作出实质性响应并满足</w:t>
      </w:r>
      <w:r>
        <w:rPr>
          <w:rFonts w:hint="eastAsia" w:ascii="宋体" w:hAnsi="宋体" w:eastAsia="宋体" w:cs="宋体"/>
          <w:b/>
          <w:color w:val="auto"/>
          <w:sz w:val="24"/>
          <w:szCs w:val="28"/>
          <w:lang w:val="en-US" w:eastAsia="zh-CN"/>
        </w:rPr>
        <w:t>谈判</w:t>
      </w:r>
      <w:r>
        <w:rPr>
          <w:rFonts w:hint="eastAsia" w:ascii="宋体" w:hAnsi="宋体" w:eastAsia="宋体" w:cs="宋体"/>
          <w:b/>
          <w:color w:val="auto"/>
          <w:sz w:val="24"/>
          <w:szCs w:val="28"/>
        </w:rPr>
        <w:t>文件的规定，不得简单的以“响应</w:t>
      </w:r>
      <w:r>
        <w:rPr>
          <w:rFonts w:hint="eastAsia" w:ascii="宋体" w:hAnsi="宋体" w:eastAsia="宋体" w:cs="宋体"/>
          <w:b/>
          <w:color w:val="auto"/>
          <w:sz w:val="24"/>
          <w:szCs w:val="28"/>
          <w:lang w:val="en-US" w:eastAsia="zh-CN"/>
        </w:rPr>
        <w:t>谈判</w:t>
      </w:r>
      <w:r>
        <w:rPr>
          <w:rFonts w:hint="eastAsia" w:ascii="宋体" w:hAnsi="宋体" w:eastAsia="宋体" w:cs="宋体"/>
          <w:b/>
          <w:color w:val="auto"/>
          <w:sz w:val="24"/>
          <w:szCs w:val="28"/>
        </w:rPr>
        <w:t>文件要求”或 “按合同约定”等类似内容填报，否则给供应商带来的不利</w:t>
      </w:r>
      <w:r>
        <w:rPr>
          <w:rFonts w:hint="eastAsia" w:ascii="宋体" w:hAnsi="宋体" w:eastAsia="宋体" w:cs="宋体"/>
          <w:b/>
          <w:color w:val="auto"/>
          <w:sz w:val="24"/>
          <w:szCs w:val="24"/>
        </w:rPr>
        <w:t>或导致投标被拒绝</w:t>
      </w:r>
      <w:r>
        <w:rPr>
          <w:rFonts w:hint="eastAsia" w:ascii="宋体" w:hAnsi="宋体" w:eastAsia="宋体" w:cs="宋体"/>
          <w:b/>
          <w:color w:val="auto"/>
          <w:sz w:val="24"/>
          <w:szCs w:val="28"/>
        </w:rPr>
        <w:t>，由供应商自行承担。</w:t>
      </w:r>
    </w:p>
    <w:p w14:paraId="4BC5B4E1">
      <w:pPr>
        <w:spacing w:line="380" w:lineRule="exact"/>
        <w:rPr>
          <w:rFonts w:hint="eastAsia" w:ascii="宋体" w:hAnsi="宋体" w:eastAsia="宋体" w:cs="宋体"/>
          <w:color w:val="auto"/>
          <w:sz w:val="24"/>
          <w:szCs w:val="24"/>
        </w:rPr>
      </w:pPr>
    </w:p>
    <w:p w14:paraId="141D694B">
      <w:p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投标供应商名称：</w:t>
      </w:r>
    </w:p>
    <w:p w14:paraId="6B9A7D00">
      <w:pPr>
        <w:spacing w:line="380" w:lineRule="exact"/>
        <w:rPr>
          <w:rFonts w:hint="eastAsia" w:ascii="宋体" w:hAnsi="宋体" w:eastAsia="宋体" w:cs="宋体"/>
          <w:color w:val="auto"/>
          <w:sz w:val="24"/>
          <w:szCs w:val="24"/>
        </w:rPr>
      </w:pPr>
    </w:p>
    <w:p w14:paraId="38D175F4">
      <w:pPr>
        <w:spacing w:line="380" w:lineRule="exact"/>
        <w:rPr>
          <w:rFonts w:hint="eastAsia" w:ascii="宋体" w:hAnsi="宋体" w:eastAsia="宋体" w:cs="宋体"/>
          <w:color w:val="auto"/>
          <w:sz w:val="32"/>
          <w:szCs w:val="28"/>
        </w:rPr>
      </w:pPr>
      <w:r>
        <w:rPr>
          <w:rFonts w:hint="eastAsia" w:ascii="宋体" w:hAnsi="宋体" w:eastAsia="宋体" w:cs="宋体"/>
          <w:color w:val="auto"/>
          <w:sz w:val="24"/>
          <w:szCs w:val="24"/>
        </w:rPr>
        <w:t>投标供应商代表签名：</w:t>
      </w:r>
    </w:p>
    <w:p w14:paraId="35C6089E">
      <w:pPr>
        <w:spacing w:line="380" w:lineRule="exact"/>
        <w:rPr>
          <w:rFonts w:hint="eastAsia" w:ascii="宋体" w:hAnsi="宋体" w:eastAsia="宋体" w:cs="宋体"/>
          <w:color w:val="auto"/>
          <w:sz w:val="24"/>
          <w:szCs w:val="24"/>
        </w:rPr>
      </w:pPr>
    </w:p>
    <w:p w14:paraId="0008B2AC">
      <w:pPr>
        <w:spacing w:line="380" w:lineRule="exact"/>
        <w:rPr>
          <w:rFonts w:hint="eastAsia" w:ascii="宋体" w:hAnsi="宋体" w:eastAsia="宋体" w:cs="宋体"/>
          <w:color w:val="auto"/>
          <w:sz w:val="24"/>
          <w:szCs w:val="24"/>
        </w:rPr>
      </w:pPr>
    </w:p>
    <w:p w14:paraId="240DC18F">
      <w:pPr>
        <w:spacing w:line="380" w:lineRule="exact"/>
        <w:jc w:val="right"/>
        <w:rPr>
          <w:rFonts w:ascii="仿宋" w:hAnsi="仿宋" w:eastAsia="仿宋" w:cs="Tahoma"/>
          <w:color w:val="auto"/>
          <w:sz w:val="24"/>
          <w:szCs w:val="24"/>
        </w:rPr>
      </w:pPr>
      <w:r>
        <w:rPr>
          <w:rFonts w:hint="eastAsia" w:ascii="仿宋" w:hAnsi="仿宋" w:eastAsia="仿宋" w:cs="Tahoma"/>
          <w:color w:val="auto"/>
          <w:sz w:val="24"/>
          <w:szCs w:val="24"/>
        </w:rPr>
        <w:t xml:space="preserve">日期： </w:t>
      </w:r>
      <w:r>
        <w:rPr>
          <w:rFonts w:ascii="仿宋" w:hAnsi="仿宋" w:eastAsia="仿宋" w:cs="Tahoma"/>
          <w:color w:val="auto"/>
          <w:sz w:val="24"/>
          <w:szCs w:val="24"/>
        </w:rPr>
        <w:t xml:space="preserve">     </w:t>
      </w:r>
      <w:r>
        <w:rPr>
          <w:rFonts w:hint="eastAsia" w:ascii="仿宋" w:hAnsi="仿宋" w:eastAsia="仿宋" w:cs="Tahoma"/>
          <w:color w:val="auto"/>
          <w:sz w:val="24"/>
          <w:szCs w:val="24"/>
        </w:rPr>
        <w:t xml:space="preserve">年 </w:t>
      </w:r>
      <w:r>
        <w:rPr>
          <w:rFonts w:ascii="仿宋" w:hAnsi="仿宋" w:eastAsia="仿宋" w:cs="Tahoma"/>
          <w:color w:val="auto"/>
          <w:sz w:val="24"/>
          <w:szCs w:val="24"/>
        </w:rPr>
        <w:t xml:space="preserve">   </w:t>
      </w:r>
      <w:r>
        <w:rPr>
          <w:rFonts w:hint="eastAsia" w:ascii="仿宋" w:hAnsi="仿宋" w:eastAsia="仿宋" w:cs="Tahoma"/>
          <w:color w:val="auto"/>
          <w:sz w:val="24"/>
          <w:szCs w:val="24"/>
        </w:rPr>
        <w:t xml:space="preserve">月 </w:t>
      </w:r>
      <w:r>
        <w:rPr>
          <w:rFonts w:ascii="仿宋" w:hAnsi="仿宋" w:eastAsia="仿宋" w:cs="Tahoma"/>
          <w:color w:val="auto"/>
          <w:sz w:val="24"/>
          <w:szCs w:val="24"/>
        </w:rPr>
        <w:t xml:space="preserve">   </w:t>
      </w:r>
      <w:r>
        <w:rPr>
          <w:rFonts w:hint="eastAsia" w:ascii="仿宋" w:hAnsi="仿宋" w:eastAsia="仿宋" w:cs="Tahoma"/>
          <w:color w:val="auto"/>
          <w:sz w:val="24"/>
          <w:szCs w:val="24"/>
        </w:rPr>
        <w:t>日</w:t>
      </w:r>
    </w:p>
    <w:p w14:paraId="11A0EED7">
      <w:pPr>
        <w:pStyle w:val="14"/>
        <w:ind w:firstLine="210"/>
        <w:rPr>
          <w:rFonts w:hint="eastAsia" w:ascii="宋体" w:hAnsi="宋体" w:eastAsia="宋体" w:cs="宋体"/>
          <w:color w:val="auto"/>
          <w:sz w:val="24"/>
          <w:szCs w:val="24"/>
        </w:rPr>
      </w:pPr>
    </w:p>
    <w:p w14:paraId="0444721F">
      <w:pPr>
        <w:pStyle w:val="14"/>
        <w:ind w:firstLine="210"/>
        <w:rPr>
          <w:rFonts w:hint="eastAsia" w:ascii="宋体" w:hAnsi="宋体" w:eastAsia="宋体" w:cs="宋体"/>
          <w:color w:val="auto"/>
          <w:sz w:val="24"/>
          <w:szCs w:val="24"/>
        </w:rPr>
      </w:pPr>
    </w:p>
    <w:p w14:paraId="662152CD">
      <w:pPr>
        <w:pStyle w:val="14"/>
        <w:ind w:firstLine="210"/>
        <w:rPr>
          <w:rFonts w:hint="eastAsia" w:ascii="宋体" w:hAnsi="宋体" w:eastAsia="宋体" w:cs="宋体"/>
          <w:color w:val="auto"/>
          <w:sz w:val="24"/>
          <w:szCs w:val="24"/>
        </w:rPr>
      </w:pPr>
    </w:p>
    <w:p w14:paraId="46A3A35A">
      <w:pPr>
        <w:pStyle w:val="14"/>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eastAsia="zh-CN"/>
        </w:rPr>
        <w:t>七</w:t>
      </w:r>
    </w:p>
    <w:p w14:paraId="48B396E3">
      <w:pPr>
        <w:pStyle w:val="14"/>
        <w:ind w:left="0" w:leftChars="0"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谈判报价明细表</w:t>
      </w:r>
    </w:p>
    <w:p w14:paraId="1FA28FF0">
      <w:pPr>
        <w:spacing w:line="380" w:lineRule="exact"/>
        <w:jc w:val="left"/>
        <w:rPr>
          <w:rFonts w:hint="eastAsia" w:ascii="宋体" w:hAnsi="宋体" w:eastAsia="宋体" w:cs="宋体"/>
          <w:color w:val="auto"/>
          <w:sz w:val="24"/>
          <w:szCs w:val="24"/>
        </w:rPr>
      </w:pPr>
      <w:r>
        <w:rPr>
          <w:rFonts w:hint="eastAsia" w:ascii="宋体" w:hAnsi="宋体" w:eastAsia="宋体" w:cs="宋体"/>
          <w:bCs/>
          <w:color w:val="auto"/>
          <w:sz w:val="24"/>
          <w:szCs w:val="24"/>
        </w:rPr>
        <w:t>项目</w:t>
      </w:r>
      <w:r>
        <w:rPr>
          <w:rFonts w:hint="eastAsia" w:ascii="宋体" w:hAnsi="宋体" w:eastAsia="宋体" w:cs="宋体"/>
          <w:color w:val="auto"/>
          <w:sz w:val="24"/>
          <w:szCs w:val="24"/>
        </w:rPr>
        <w:t>名称：</w:t>
      </w:r>
    </w:p>
    <w:p w14:paraId="210A65CA">
      <w:pPr>
        <w:spacing w:line="3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货币单位：人民币元</w:t>
      </w:r>
    </w:p>
    <w:tbl>
      <w:tblPr>
        <w:tblStyle w:val="27"/>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567"/>
        <w:gridCol w:w="1146"/>
        <w:gridCol w:w="1180"/>
        <w:gridCol w:w="704"/>
        <w:gridCol w:w="1030"/>
        <w:gridCol w:w="1122"/>
        <w:gridCol w:w="1125"/>
      </w:tblGrid>
      <w:tr w14:paraId="3C91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05B469C">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356" w:type="pct"/>
            <w:tcBorders>
              <w:top w:val="single" w:color="auto" w:sz="4" w:space="0"/>
              <w:left w:val="single" w:color="auto" w:sz="4" w:space="0"/>
              <w:bottom w:val="single" w:color="auto" w:sz="4" w:space="0"/>
              <w:right w:val="single" w:color="auto" w:sz="4" w:space="0"/>
            </w:tcBorders>
            <w:vAlign w:val="center"/>
          </w:tcPr>
          <w:p w14:paraId="065A6E09">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设备或产品名称</w:t>
            </w:r>
          </w:p>
        </w:tc>
        <w:tc>
          <w:tcPr>
            <w:tcW w:w="605" w:type="pct"/>
            <w:tcBorders>
              <w:top w:val="single" w:color="auto" w:sz="4" w:space="0"/>
              <w:left w:val="single" w:color="auto" w:sz="4" w:space="0"/>
              <w:bottom w:val="single" w:color="auto" w:sz="4" w:space="0"/>
              <w:right w:val="single" w:color="auto" w:sz="4" w:space="0"/>
            </w:tcBorders>
            <w:vAlign w:val="center"/>
          </w:tcPr>
          <w:p w14:paraId="6BD4F4AF">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原产地及品牌</w:t>
            </w:r>
          </w:p>
        </w:tc>
        <w:tc>
          <w:tcPr>
            <w:tcW w:w="623" w:type="pct"/>
            <w:tcBorders>
              <w:top w:val="single" w:color="auto" w:sz="4" w:space="0"/>
              <w:left w:val="single" w:color="auto" w:sz="4" w:space="0"/>
              <w:bottom w:val="single" w:color="auto" w:sz="4" w:space="0"/>
              <w:right w:val="single" w:color="auto" w:sz="4" w:space="0"/>
            </w:tcBorders>
            <w:vAlign w:val="center"/>
          </w:tcPr>
          <w:p w14:paraId="7F2721ED">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型号规格</w:t>
            </w:r>
          </w:p>
        </w:tc>
        <w:tc>
          <w:tcPr>
            <w:tcW w:w="371" w:type="pct"/>
            <w:tcBorders>
              <w:top w:val="single" w:color="auto" w:sz="4" w:space="0"/>
              <w:left w:val="single" w:color="auto" w:sz="4" w:space="0"/>
              <w:bottom w:val="single" w:color="auto" w:sz="4" w:space="0"/>
              <w:right w:val="single" w:color="auto" w:sz="4" w:space="0"/>
            </w:tcBorders>
            <w:vAlign w:val="center"/>
          </w:tcPr>
          <w:p w14:paraId="3A2F9CAE">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544" w:type="pct"/>
            <w:tcBorders>
              <w:top w:val="single" w:color="auto" w:sz="4" w:space="0"/>
              <w:left w:val="single" w:color="auto" w:sz="4" w:space="0"/>
              <w:bottom w:val="single" w:color="auto" w:sz="4" w:space="0"/>
              <w:right w:val="single" w:color="auto" w:sz="4" w:space="0"/>
            </w:tcBorders>
            <w:vAlign w:val="center"/>
          </w:tcPr>
          <w:p w14:paraId="03E9E05C">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lang w:eastAsia="zh-CN"/>
              </w:rPr>
              <w:t>单价</w:t>
            </w:r>
          </w:p>
        </w:tc>
        <w:tc>
          <w:tcPr>
            <w:tcW w:w="592" w:type="pct"/>
            <w:tcBorders>
              <w:top w:val="single" w:color="auto" w:sz="4" w:space="0"/>
              <w:left w:val="single" w:color="auto" w:sz="4" w:space="0"/>
              <w:bottom w:val="single" w:color="auto" w:sz="4" w:space="0"/>
              <w:right w:val="single" w:color="auto" w:sz="4" w:space="0"/>
            </w:tcBorders>
            <w:vAlign w:val="center"/>
          </w:tcPr>
          <w:p w14:paraId="5D195324">
            <w:pPr>
              <w:spacing w:line="3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总价</w:t>
            </w:r>
          </w:p>
        </w:tc>
        <w:tc>
          <w:tcPr>
            <w:tcW w:w="594" w:type="pct"/>
            <w:tcBorders>
              <w:top w:val="single" w:color="auto" w:sz="4" w:space="0"/>
              <w:left w:val="single" w:color="auto" w:sz="4" w:space="0"/>
              <w:bottom w:val="single" w:color="auto" w:sz="4" w:space="0"/>
              <w:right w:val="single" w:color="auto" w:sz="4" w:space="0"/>
            </w:tcBorders>
            <w:vAlign w:val="center"/>
          </w:tcPr>
          <w:p w14:paraId="34C0C2B0">
            <w:pPr>
              <w:spacing w:line="3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w:t>
            </w:r>
          </w:p>
        </w:tc>
      </w:tr>
      <w:tr w14:paraId="4FBE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4651912">
            <w:pPr>
              <w:spacing w:line="380" w:lineRule="exact"/>
              <w:jc w:val="center"/>
              <w:rPr>
                <w:rFonts w:hint="eastAsia" w:ascii="宋体" w:hAnsi="宋体" w:eastAsia="宋体" w:cs="宋体"/>
                <w:color w:val="auto"/>
                <w:szCs w:val="21"/>
              </w:rPr>
            </w:pPr>
          </w:p>
        </w:tc>
        <w:tc>
          <w:tcPr>
            <w:tcW w:w="1356" w:type="pct"/>
            <w:tcBorders>
              <w:top w:val="single" w:color="auto" w:sz="4" w:space="0"/>
              <w:left w:val="single" w:color="auto" w:sz="4" w:space="0"/>
              <w:bottom w:val="single" w:color="auto" w:sz="4" w:space="0"/>
              <w:right w:val="single" w:color="auto" w:sz="4" w:space="0"/>
            </w:tcBorders>
            <w:vAlign w:val="center"/>
          </w:tcPr>
          <w:p w14:paraId="6AD11575">
            <w:pPr>
              <w:spacing w:line="380" w:lineRule="exact"/>
              <w:jc w:val="center"/>
              <w:rPr>
                <w:rFonts w:hint="eastAsia" w:ascii="宋体" w:hAnsi="宋体" w:eastAsia="宋体" w:cs="宋体"/>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6ED6056">
            <w:pPr>
              <w:spacing w:line="380" w:lineRule="exact"/>
              <w:jc w:val="center"/>
              <w:rPr>
                <w:rFonts w:hint="eastAsia" w:ascii="宋体" w:hAnsi="宋体" w:eastAsia="宋体" w:cs="宋体"/>
                <w:color w:val="auto"/>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48428120">
            <w:pPr>
              <w:spacing w:line="380" w:lineRule="exact"/>
              <w:jc w:val="center"/>
              <w:rPr>
                <w:rFonts w:hint="eastAsia" w:ascii="宋体" w:hAnsi="宋体" w:eastAsia="宋体" w:cs="宋体"/>
                <w:color w:val="auto"/>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216B554E">
            <w:pPr>
              <w:spacing w:line="380" w:lineRule="exact"/>
              <w:jc w:val="center"/>
              <w:rPr>
                <w:rFonts w:hint="eastAsia" w:ascii="宋体" w:hAnsi="宋体" w:eastAsia="宋体" w:cs="宋体"/>
                <w:color w:val="auto"/>
                <w:szCs w:val="21"/>
              </w:rPr>
            </w:pPr>
          </w:p>
        </w:tc>
        <w:tc>
          <w:tcPr>
            <w:tcW w:w="544" w:type="pct"/>
            <w:tcBorders>
              <w:top w:val="single" w:color="auto" w:sz="4" w:space="0"/>
              <w:left w:val="single" w:color="auto" w:sz="4" w:space="0"/>
              <w:bottom w:val="single" w:color="auto" w:sz="4" w:space="0"/>
              <w:right w:val="single" w:color="auto" w:sz="4" w:space="0"/>
            </w:tcBorders>
            <w:vAlign w:val="center"/>
          </w:tcPr>
          <w:p w14:paraId="5C9E9AA6">
            <w:pPr>
              <w:spacing w:line="380" w:lineRule="exact"/>
              <w:jc w:val="center"/>
              <w:rPr>
                <w:rFonts w:hint="eastAsia" w:ascii="宋体" w:hAnsi="宋体" w:eastAsia="宋体" w:cs="宋体"/>
                <w:color w:val="auto"/>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3E20720D">
            <w:pPr>
              <w:spacing w:line="380" w:lineRule="exact"/>
              <w:jc w:val="center"/>
              <w:rPr>
                <w:rFonts w:hint="eastAsia"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26173576">
            <w:pPr>
              <w:spacing w:line="380" w:lineRule="exact"/>
              <w:jc w:val="center"/>
              <w:rPr>
                <w:rFonts w:hint="eastAsia" w:ascii="宋体" w:hAnsi="宋体" w:eastAsia="宋体" w:cs="宋体"/>
                <w:color w:val="auto"/>
                <w:szCs w:val="21"/>
              </w:rPr>
            </w:pPr>
          </w:p>
        </w:tc>
      </w:tr>
      <w:tr w14:paraId="2CD9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E67AD42">
            <w:pPr>
              <w:spacing w:line="380" w:lineRule="exact"/>
              <w:jc w:val="center"/>
              <w:rPr>
                <w:rFonts w:hint="eastAsia" w:ascii="宋体" w:hAnsi="宋体" w:eastAsia="宋体" w:cs="宋体"/>
                <w:color w:val="auto"/>
                <w:szCs w:val="21"/>
              </w:rPr>
            </w:pPr>
          </w:p>
        </w:tc>
        <w:tc>
          <w:tcPr>
            <w:tcW w:w="1356" w:type="pct"/>
            <w:tcBorders>
              <w:top w:val="single" w:color="auto" w:sz="4" w:space="0"/>
              <w:left w:val="single" w:color="auto" w:sz="4" w:space="0"/>
              <w:bottom w:val="single" w:color="auto" w:sz="4" w:space="0"/>
              <w:right w:val="single" w:color="auto" w:sz="4" w:space="0"/>
            </w:tcBorders>
            <w:vAlign w:val="center"/>
          </w:tcPr>
          <w:p w14:paraId="513C21EC">
            <w:pPr>
              <w:spacing w:line="380" w:lineRule="exact"/>
              <w:jc w:val="center"/>
              <w:rPr>
                <w:rFonts w:hint="eastAsia" w:ascii="宋体" w:hAnsi="宋体" w:eastAsia="宋体" w:cs="宋体"/>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34CEA902">
            <w:pPr>
              <w:spacing w:line="380" w:lineRule="exact"/>
              <w:jc w:val="center"/>
              <w:rPr>
                <w:rFonts w:hint="eastAsia" w:ascii="宋体" w:hAnsi="宋体" w:eastAsia="宋体" w:cs="宋体"/>
                <w:color w:val="auto"/>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6E312BF9">
            <w:pPr>
              <w:spacing w:line="380" w:lineRule="exact"/>
              <w:jc w:val="center"/>
              <w:rPr>
                <w:rFonts w:hint="eastAsia" w:ascii="宋体" w:hAnsi="宋体" w:eastAsia="宋体" w:cs="宋体"/>
                <w:color w:val="auto"/>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16DBD2FD">
            <w:pPr>
              <w:spacing w:line="380" w:lineRule="exact"/>
              <w:jc w:val="center"/>
              <w:rPr>
                <w:rFonts w:hint="eastAsia" w:ascii="宋体" w:hAnsi="宋体" w:eastAsia="宋体" w:cs="宋体"/>
                <w:color w:val="auto"/>
                <w:szCs w:val="21"/>
              </w:rPr>
            </w:pPr>
          </w:p>
        </w:tc>
        <w:tc>
          <w:tcPr>
            <w:tcW w:w="544" w:type="pct"/>
            <w:tcBorders>
              <w:top w:val="single" w:color="auto" w:sz="4" w:space="0"/>
              <w:left w:val="single" w:color="auto" w:sz="4" w:space="0"/>
              <w:bottom w:val="single" w:color="auto" w:sz="4" w:space="0"/>
              <w:right w:val="single" w:color="auto" w:sz="4" w:space="0"/>
            </w:tcBorders>
            <w:vAlign w:val="center"/>
          </w:tcPr>
          <w:p w14:paraId="16E12056">
            <w:pPr>
              <w:spacing w:line="380" w:lineRule="exact"/>
              <w:jc w:val="center"/>
              <w:rPr>
                <w:rFonts w:hint="eastAsia" w:ascii="宋体" w:hAnsi="宋体" w:eastAsia="宋体" w:cs="宋体"/>
                <w:color w:val="auto"/>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1B5C14D5">
            <w:pPr>
              <w:spacing w:line="380" w:lineRule="exact"/>
              <w:jc w:val="center"/>
              <w:rPr>
                <w:rFonts w:hint="eastAsia"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26AD6807">
            <w:pPr>
              <w:spacing w:line="380" w:lineRule="exact"/>
              <w:jc w:val="center"/>
              <w:rPr>
                <w:rFonts w:hint="eastAsia" w:ascii="宋体" w:hAnsi="宋体" w:eastAsia="宋体" w:cs="宋体"/>
                <w:color w:val="auto"/>
                <w:szCs w:val="21"/>
              </w:rPr>
            </w:pPr>
          </w:p>
        </w:tc>
      </w:tr>
      <w:tr w14:paraId="367D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744A1B4">
            <w:pPr>
              <w:spacing w:line="380" w:lineRule="exact"/>
              <w:jc w:val="center"/>
              <w:rPr>
                <w:rFonts w:hint="eastAsia" w:ascii="宋体" w:hAnsi="宋体" w:eastAsia="宋体" w:cs="宋体"/>
                <w:color w:val="auto"/>
                <w:szCs w:val="21"/>
              </w:rPr>
            </w:pPr>
          </w:p>
        </w:tc>
        <w:tc>
          <w:tcPr>
            <w:tcW w:w="1356" w:type="pct"/>
            <w:tcBorders>
              <w:top w:val="single" w:color="auto" w:sz="4" w:space="0"/>
              <w:left w:val="single" w:color="auto" w:sz="4" w:space="0"/>
              <w:bottom w:val="single" w:color="auto" w:sz="4" w:space="0"/>
              <w:right w:val="single" w:color="auto" w:sz="4" w:space="0"/>
            </w:tcBorders>
            <w:vAlign w:val="center"/>
          </w:tcPr>
          <w:p w14:paraId="29A0B91B">
            <w:pPr>
              <w:spacing w:line="380" w:lineRule="exact"/>
              <w:jc w:val="center"/>
              <w:rPr>
                <w:rFonts w:hint="eastAsia" w:ascii="宋体" w:hAnsi="宋体" w:eastAsia="宋体" w:cs="宋体"/>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3F662178">
            <w:pPr>
              <w:spacing w:line="380" w:lineRule="exact"/>
              <w:jc w:val="center"/>
              <w:rPr>
                <w:rFonts w:hint="eastAsia" w:ascii="宋体" w:hAnsi="宋体" w:eastAsia="宋体" w:cs="宋体"/>
                <w:color w:val="auto"/>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559B3EC6">
            <w:pPr>
              <w:spacing w:line="380" w:lineRule="exact"/>
              <w:jc w:val="center"/>
              <w:rPr>
                <w:rFonts w:hint="eastAsia" w:ascii="宋体" w:hAnsi="宋体" w:eastAsia="宋体" w:cs="宋体"/>
                <w:color w:val="auto"/>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5554ACF3">
            <w:pPr>
              <w:spacing w:line="380" w:lineRule="exact"/>
              <w:jc w:val="center"/>
              <w:rPr>
                <w:rFonts w:hint="eastAsia" w:ascii="宋体" w:hAnsi="宋体" w:eastAsia="宋体" w:cs="宋体"/>
                <w:color w:val="auto"/>
                <w:szCs w:val="21"/>
              </w:rPr>
            </w:pPr>
          </w:p>
        </w:tc>
        <w:tc>
          <w:tcPr>
            <w:tcW w:w="544" w:type="pct"/>
            <w:tcBorders>
              <w:top w:val="single" w:color="auto" w:sz="4" w:space="0"/>
              <w:left w:val="single" w:color="auto" w:sz="4" w:space="0"/>
              <w:bottom w:val="single" w:color="auto" w:sz="4" w:space="0"/>
              <w:right w:val="single" w:color="auto" w:sz="4" w:space="0"/>
            </w:tcBorders>
            <w:vAlign w:val="center"/>
          </w:tcPr>
          <w:p w14:paraId="6A55D0F1">
            <w:pPr>
              <w:spacing w:line="380" w:lineRule="exact"/>
              <w:jc w:val="center"/>
              <w:rPr>
                <w:rFonts w:hint="eastAsia" w:ascii="宋体" w:hAnsi="宋体" w:eastAsia="宋体" w:cs="宋体"/>
                <w:color w:val="auto"/>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01721E79">
            <w:pPr>
              <w:spacing w:line="380" w:lineRule="exact"/>
              <w:jc w:val="center"/>
              <w:rPr>
                <w:rFonts w:hint="eastAsia"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476898BE">
            <w:pPr>
              <w:spacing w:line="380" w:lineRule="exact"/>
              <w:jc w:val="center"/>
              <w:rPr>
                <w:rFonts w:hint="eastAsia" w:ascii="宋体" w:hAnsi="宋体" w:eastAsia="宋体" w:cs="宋体"/>
                <w:color w:val="auto"/>
                <w:szCs w:val="21"/>
              </w:rPr>
            </w:pPr>
          </w:p>
        </w:tc>
      </w:tr>
      <w:tr w14:paraId="4F19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3316EA0">
            <w:pPr>
              <w:spacing w:line="380" w:lineRule="exact"/>
              <w:jc w:val="center"/>
              <w:rPr>
                <w:rFonts w:hint="eastAsia" w:ascii="宋体" w:hAnsi="宋体" w:eastAsia="宋体" w:cs="宋体"/>
                <w:color w:val="auto"/>
                <w:szCs w:val="21"/>
              </w:rPr>
            </w:pPr>
          </w:p>
        </w:tc>
        <w:tc>
          <w:tcPr>
            <w:tcW w:w="1356" w:type="pct"/>
            <w:tcBorders>
              <w:top w:val="single" w:color="auto" w:sz="4" w:space="0"/>
              <w:left w:val="single" w:color="auto" w:sz="4" w:space="0"/>
              <w:bottom w:val="single" w:color="auto" w:sz="4" w:space="0"/>
              <w:right w:val="single" w:color="auto" w:sz="4" w:space="0"/>
            </w:tcBorders>
            <w:vAlign w:val="center"/>
          </w:tcPr>
          <w:p w14:paraId="2CE935D2">
            <w:pPr>
              <w:spacing w:line="380" w:lineRule="exact"/>
              <w:jc w:val="center"/>
              <w:rPr>
                <w:rFonts w:hint="eastAsia" w:ascii="宋体" w:hAnsi="宋体" w:eastAsia="宋体" w:cs="宋体"/>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42F0D3CB">
            <w:pPr>
              <w:spacing w:line="380" w:lineRule="exact"/>
              <w:jc w:val="center"/>
              <w:rPr>
                <w:rFonts w:hint="eastAsia" w:ascii="宋体" w:hAnsi="宋体" w:eastAsia="宋体" w:cs="宋体"/>
                <w:color w:val="auto"/>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242D0C59">
            <w:pPr>
              <w:spacing w:line="380" w:lineRule="exact"/>
              <w:jc w:val="center"/>
              <w:rPr>
                <w:rFonts w:hint="eastAsia" w:ascii="宋体" w:hAnsi="宋体" w:eastAsia="宋体" w:cs="宋体"/>
                <w:color w:val="auto"/>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7403830E">
            <w:pPr>
              <w:spacing w:line="380" w:lineRule="exact"/>
              <w:jc w:val="center"/>
              <w:rPr>
                <w:rFonts w:hint="eastAsia" w:ascii="宋体" w:hAnsi="宋体" w:eastAsia="宋体" w:cs="宋体"/>
                <w:color w:val="auto"/>
                <w:szCs w:val="21"/>
              </w:rPr>
            </w:pPr>
          </w:p>
        </w:tc>
        <w:tc>
          <w:tcPr>
            <w:tcW w:w="544" w:type="pct"/>
            <w:tcBorders>
              <w:top w:val="single" w:color="auto" w:sz="4" w:space="0"/>
              <w:left w:val="single" w:color="auto" w:sz="4" w:space="0"/>
              <w:bottom w:val="single" w:color="auto" w:sz="4" w:space="0"/>
              <w:right w:val="single" w:color="auto" w:sz="4" w:space="0"/>
            </w:tcBorders>
            <w:vAlign w:val="center"/>
          </w:tcPr>
          <w:p w14:paraId="24323E98">
            <w:pPr>
              <w:spacing w:line="380" w:lineRule="exact"/>
              <w:jc w:val="center"/>
              <w:rPr>
                <w:rFonts w:hint="eastAsia" w:ascii="宋体" w:hAnsi="宋体" w:eastAsia="宋体" w:cs="宋体"/>
                <w:color w:val="auto"/>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68B45D83">
            <w:pPr>
              <w:spacing w:line="380" w:lineRule="exact"/>
              <w:jc w:val="center"/>
              <w:rPr>
                <w:rFonts w:hint="eastAsia"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46C786D3">
            <w:pPr>
              <w:spacing w:line="380" w:lineRule="exact"/>
              <w:jc w:val="center"/>
              <w:rPr>
                <w:rFonts w:hint="eastAsia" w:ascii="宋体" w:hAnsi="宋体" w:eastAsia="宋体" w:cs="宋体"/>
                <w:color w:val="auto"/>
                <w:szCs w:val="21"/>
              </w:rPr>
            </w:pPr>
          </w:p>
        </w:tc>
      </w:tr>
      <w:tr w14:paraId="745A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F0D06BD">
            <w:pPr>
              <w:spacing w:line="380" w:lineRule="exact"/>
              <w:jc w:val="center"/>
              <w:rPr>
                <w:rFonts w:hint="eastAsia" w:ascii="宋体" w:hAnsi="宋体" w:eastAsia="宋体" w:cs="宋体"/>
                <w:color w:val="auto"/>
                <w:szCs w:val="21"/>
              </w:rPr>
            </w:pPr>
          </w:p>
        </w:tc>
        <w:tc>
          <w:tcPr>
            <w:tcW w:w="1356" w:type="pct"/>
            <w:tcBorders>
              <w:top w:val="single" w:color="auto" w:sz="4" w:space="0"/>
              <w:left w:val="single" w:color="auto" w:sz="4" w:space="0"/>
              <w:bottom w:val="single" w:color="auto" w:sz="4" w:space="0"/>
              <w:right w:val="single" w:color="auto" w:sz="4" w:space="0"/>
            </w:tcBorders>
            <w:vAlign w:val="center"/>
          </w:tcPr>
          <w:p w14:paraId="79C31120">
            <w:pPr>
              <w:spacing w:line="380" w:lineRule="exact"/>
              <w:jc w:val="center"/>
              <w:rPr>
                <w:rFonts w:hint="eastAsia" w:ascii="宋体" w:hAnsi="宋体" w:eastAsia="宋体" w:cs="宋体"/>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042ACD6C">
            <w:pPr>
              <w:spacing w:line="380" w:lineRule="exact"/>
              <w:jc w:val="center"/>
              <w:rPr>
                <w:rFonts w:hint="eastAsia" w:ascii="宋体" w:hAnsi="宋体" w:eastAsia="宋体" w:cs="宋体"/>
                <w:color w:val="auto"/>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65BBD63B">
            <w:pPr>
              <w:spacing w:line="380" w:lineRule="exact"/>
              <w:jc w:val="center"/>
              <w:rPr>
                <w:rFonts w:hint="eastAsia" w:ascii="宋体" w:hAnsi="宋体" w:eastAsia="宋体" w:cs="宋体"/>
                <w:color w:val="auto"/>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1864C619">
            <w:pPr>
              <w:spacing w:line="380" w:lineRule="exact"/>
              <w:jc w:val="center"/>
              <w:rPr>
                <w:rFonts w:hint="eastAsia" w:ascii="宋体" w:hAnsi="宋体" w:eastAsia="宋体" w:cs="宋体"/>
                <w:color w:val="auto"/>
                <w:szCs w:val="21"/>
              </w:rPr>
            </w:pPr>
          </w:p>
        </w:tc>
        <w:tc>
          <w:tcPr>
            <w:tcW w:w="544" w:type="pct"/>
            <w:tcBorders>
              <w:top w:val="single" w:color="auto" w:sz="4" w:space="0"/>
              <w:left w:val="single" w:color="auto" w:sz="4" w:space="0"/>
              <w:bottom w:val="single" w:color="auto" w:sz="4" w:space="0"/>
              <w:right w:val="single" w:color="auto" w:sz="4" w:space="0"/>
            </w:tcBorders>
            <w:vAlign w:val="center"/>
          </w:tcPr>
          <w:p w14:paraId="5CAF8045">
            <w:pPr>
              <w:spacing w:line="380" w:lineRule="exact"/>
              <w:jc w:val="center"/>
              <w:rPr>
                <w:rFonts w:hint="eastAsia" w:ascii="宋体" w:hAnsi="宋体" w:eastAsia="宋体" w:cs="宋体"/>
                <w:color w:val="auto"/>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67A6B73E">
            <w:pPr>
              <w:spacing w:line="380" w:lineRule="exact"/>
              <w:jc w:val="center"/>
              <w:rPr>
                <w:rFonts w:hint="eastAsia"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5A79C2C2">
            <w:pPr>
              <w:spacing w:line="380" w:lineRule="exact"/>
              <w:jc w:val="center"/>
              <w:rPr>
                <w:rFonts w:hint="eastAsia" w:ascii="宋体" w:hAnsi="宋体" w:eastAsia="宋体" w:cs="宋体"/>
                <w:color w:val="auto"/>
                <w:szCs w:val="21"/>
              </w:rPr>
            </w:pPr>
          </w:p>
        </w:tc>
      </w:tr>
      <w:tr w14:paraId="1DB1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2EA582B">
            <w:pPr>
              <w:spacing w:line="380" w:lineRule="exact"/>
              <w:jc w:val="center"/>
              <w:rPr>
                <w:rFonts w:hint="eastAsia" w:ascii="宋体" w:hAnsi="宋体" w:eastAsia="宋体" w:cs="宋体"/>
                <w:color w:val="auto"/>
                <w:szCs w:val="21"/>
              </w:rPr>
            </w:pPr>
          </w:p>
        </w:tc>
        <w:tc>
          <w:tcPr>
            <w:tcW w:w="1356" w:type="pct"/>
            <w:tcBorders>
              <w:top w:val="single" w:color="auto" w:sz="4" w:space="0"/>
              <w:left w:val="single" w:color="auto" w:sz="4" w:space="0"/>
              <w:bottom w:val="single" w:color="auto" w:sz="4" w:space="0"/>
              <w:right w:val="single" w:color="auto" w:sz="4" w:space="0"/>
            </w:tcBorders>
            <w:vAlign w:val="center"/>
          </w:tcPr>
          <w:p w14:paraId="0EFD0BCC">
            <w:pPr>
              <w:spacing w:line="380" w:lineRule="exact"/>
              <w:jc w:val="center"/>
              <w:rPr>
                <w:rFonts w:hint="eastAsia" w:ascii="宋体" w:hAnsi="宋体" w:eastAsia="宋体" w:cs="宋体"/>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74D2EFF5">
            <w:pPr>
              <w:spacing w:line="380" w:lineRule="exact"/>
              <w:jc w:val="center"/>
              <w:rPr>
                <w:rFonts w:hint="eastAsia" w:ascii="宋体" w:hAnsi="宋体" w:eastAsia="宋体" w:cs="宋体"/>
                <w:color w:val="auto"/>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003D2A58">
            <w:pPr>
              <w:spacing w:line="380" w:lineRule="exact"/>
              <w:jc w:val="center"/>
              <w:rPr>
                <w:rFonts w:hint="eastAsia" w:ascii="宋体" w:hAnsi="宋体" w:eastAsia="宋体" w:cs="宋体"/>
                <w:color w:val="auto"/>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0B74FB20">
            <w:pPr>
              <w:spacing w:line="380" w:lineRule="exact"/>
              <w:jc w:val="center"/>
              <w:rPr>
                <w:rFonts w:hint="eastAsia" w:ascii="宋体" w:hAnsi="宋体" w:eastAsia="宋体" w:cs="宋体"/>
                <w:color w:val="auto"/>
                <w:szCs w:val="21"/>
              </w:rPr>
            </w:pPr>
          </w:p>
        </w:tc>
        <w:tc>
          <w:tcPr>
            <w:tcW w:w="544" w:type="pct"/>
            <w:tcBorders>
              <w:top w:val="single" w:color="auto" w:sz="4" w:space="0"/>
              <w:left w:val="single" w:color="auto" w:sz="4" w:space="0"/>
              <w:bottom w:val="single" w:color="auto" w:sz="4" w:space="0"/>
              <w:right w:val="single" w:color="auto" w:sz="4" w:space="0"/>
            </w:tcBorders>
            <w:vAlign w:val="center"/>
          </w:tcPr>
          <w:p w14:paraId="15CC79E7">
            <w:pPr>
              <w:spacing w:line="380" w:lineRule="exact"/>
              <w:jc w:val="center"/>
              <w:rPr>
                <w:rFonts w:hint="eastAsia" w:ascii="宋体" w:hAnsi="宋体" w:eastAsia="宋体" w:cs="宋体"/>
                <w:color w:val="auto"/>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45C79F9E">
            <w:pPr>
              <w:spacing w:line="380" w:lineRule="exact"/>
              <w:jc w:val="center"/>
              <w:rPr>
                <w:rFonts w:hint="eastAsia"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572394A4">
            <w:pPr>
              <w:spacing w:line="380" w:lineRule="exact"/>
              <w:jc w:val="center"/>
              <w:rPr>
                <w:rFonts w:hint="eastAsia" w:ascii="宋体" w:hAnsi="宋体" w:eastAsia="宋体" w:cs="宋体"/>
                <w:color w:val="auto"/>
                <w:szCs w:val="21"/>
              </w:rPr>
            </w:pPr>
          </w:p>
        </w:tc>
      </w:tr>
      <w:tr w14:paraId="0691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8FA677E">
            <w:pPr>
              <w:spacing w:line="380" w:lineRule="exact"/>
              <w:jc w:val="center"/>
              <w:rPr>
                <w:rFonts w:hint="eastAsia" w:ascii="宋体" w:hAnsi="宋体" w:eastAsia="宋体" w:cs="宋体"/>
                <w:color w:val="auto"/>
                <w:szCs w:val="21"/>
              </w:rPr>
            </w:pPr>
          </w:p>
        </w:tc>
        <w:tc>
          <w:tcPr>
            <w:tcW w:w="1356" w:type="pct"/>
            <w:tcBorders>
              <w:top w:val="single" w:color="auto" w:sz="4" w:space="0"/>
              <w:left w:val="single" w:color="auto" w:sz="4" w:space="0"/>
              <w:bottom w:val="single" w:color="auto" w:sz="4" w:space="0"/>
              <w:right w:val="single" w:color="auto" w:sz="4" w:space="0"/>
            </w:tcBorders>
            <w:vAlign w:val="center"/>
          </w:tcPr>
          <w:p w14:paraId="4CDA7BE0">
            <w:pPr>
              <w:spacing w:line="380" w:lineRule="exact"/>
              <w:jc w:val="center"/>
              <w:rPr>
                <w:rFonts w:hint="eastAsia" w:ascii="宋体" w:hAnsi="宋体" w:eastAsia="宋体" w:cs="宋体"/>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3D35E004">
            <w:pPr>
              <w:spacing w:line="380" w:lineRule="exact"/>
              <w:jc w:val="center"/>
              <w:rPr>
                <w:rFonts w:hint="eastAsia" w:ascii="宋体" w:hAnsi="宋体" w:eastAsia="宋体" w:cs="宋体"/>
                <w:color w:val="auto"/>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28160F38">
            <w:pPr>
              <w:spacing w:line="380" w:lineRule="exact"/>
              <w:jc w:val="center"/>
              <w:rPr>
                <w:rFonts w:hint="eastAsia" w:ascii="宋体" w:hAnsi="宋体" w:eastAsia="宋体" w:cs="宋体"/>
                <w:color w:val="auto"/>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69F37CCF">
            <w:pPr>
              <w:spacing w:line="380" w:lineRule="exact"/>
              <w:jc w:val="center"/>
              <w:rPr>
                <w:rFonts w:hint="eastAsia" w:ascii="宋体" w:hAnsi="宋体" w:eastAsia="宋体" w:cs="宋体"/>
                <w:color w:val="auto"/>
                <w:szCs w:val="21"/>
              </w:rPr>
            </w:pPr>
          </w:p>
        </w:tc>
        <w:tc>
          <w:tcPr>
            <w:tcW w:w="544" w:type="pct"/>
            <w:tcBorders>
              <w:top w:val="single" w:color="auto" w:sz="4" w:space="0"/>
              <w:left w:val="single" w:color="auto" w:sz="4" w:space="0"/>
              <w:bottom w:val="single" w:color="auto" w:sz="4" w:space="0"/>
              <w:right w:val="single" w:color="auto" w:sz="4" w:space="0"/>
            </w:tcBorders>
            <w:vAlign w:val="center"/>
          </w:tcPr>
          <w:p w14:paraId="01889153">
            <w:pPr>
              <w:spacing w:line="380" w:lineRule="exact"/>
              <w:jc w:val="center"/>
              <w:rPr>
                <w:rFonts w:hint="eastAsia" w:ascii="宋体" w:hAnsi="宋体" w:eastAsia="宋体" w:cs="宋体"/>
                <w:color w:val="auto"/>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242E3B26">
            <w:pPr>
              <w:spacing w:line="380" w:lineRule="exact"/>
              <w:jc w:val="center"/>
              <w:rPr>
                <w:rFonts w:hint="eastAsia"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54B2A24D">
            <w:pPr>
              <w:spacing w:line="380" w:lineRule="exact"/>
              <w:jc w:val="center"/>
              <w:rPr>
                <w:rFonts w:hint="eastAsia" w:ascii="宋体" w:hAnsi="宋体" w:eastAsia="宋体" w:cs="宋体"/>
                <w:color w:val="auto"/>
                <w:szCs w:val="21"/>
              </w:rPr>
            </w:pPr>
          </w:p>
        </w:tc>
      </w:tr>
      <w:tr w14:paraId="3717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C5535CA">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356" w:type="pct"/>
            <w:tcBorders>
              <w:top w:val="single" w:color="auto" w:sz="4" w:space="0"/>
              <w:left w:val="single" w:color="auto" w:sz="4" w:space="0"/>
              <w:bottom w:val="single" w:color="auto" w:sz="4" w:space="0"/>
              <w:right w:val="single" w:color="auto" w:sz="4" w:space="0"/>
            </w:tcBorders>
            <w:vAlign w:val="center"/>
          </w:tcPr>
          <w:p w14:paraId="3998A037">
            <w:pPr>
              <w:spacing w:line="380" w:lineRule="exact"/>
              <w:jc w:val="center"/>
              <w:rPr>
                <w:rFonts w:hint="eastAsia" w:ascii="宋体" w:hAnsi="宋体" w:eastAsia="宋体" w:cs="宋体"/>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12D54621">
            <w:pPr>
              <w:spacing w:line="380" w:lineRule="exact"/>
              <w:jc w:val="center"/>
              <w:rPr>
                <w:rFonts w:hint="eastAsia" w:ascii="宋体" w:hAnsi="宋体" w:eastAsia="宋体" w:cs="宋体"/>
                <w:color w:val="auto"/>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2D61470B">
            <w:pPr>
              <w:spacing w:line="380" w:lineRule="exact"/>
              <w:jc w:val="center"/>
              <w:rPr>
                <w:rFonts w:hint="eastAsia" w:ascii="宋体" w:hAnsi="宋体" w:eastAsia="宋体" w:cs="宋体"/>
                <w:color w:val="auto"/>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1FE46D9C">
            <w:pPr>
              <w:spacing w:line="380" w:lineRule="exact"/>
              <w:jc w:val="center"/>
              <w:rPr>
                <w:rFonts w:hint="eastAsia" w:ascii="宋体" w:hAnsi="宋体" w:eastAsia="宋体" w:cs="宋体"/>
                <w:color w:val="auto"/>
                <w:szCs w:val="21"/>
              </w:rPr>
            </w:pPr>
          </w:p>
        </w:tc>
        <w:tc>
          <w:tcPr>
            <w:tcW w:w="544" w:type="pct"/>
            <w:tcBorders>
              <w:top w:val="single" w:color="auto" w:sz="4" w:space="0"/>
              <w:left w:val="single" w:color="auto" w:sz="4" w:space="0"/>
              <w:bottom w:val="single" w:color="auto" w:sz="4" w:space="0"/>
              <w:right w:val="single" w:color="auto" w:sz="4" w:space="0"/>
            </w:tcBorders>
            <w:vAlign w:val="center"/>
          </w:tcPr>
          <w:p w14:paraId="5F2E4DB6">
            <w:pPr>
              <w:spacing w:line="380" w:lineRule="exact"/>
              <w:jc w:val="center"/>
              <w:rPr>
                <w:rFonts w:hint="eastAsia" w:ascii="宋体" w:hAnsi="宋体" w:eastAsia="宋体" w:cs="宋体"/>
                <w:color w:val="auto"/>
                <w:szCs w:val="21"/>
              </w:rPr>
            </w:pPr>
          </w:p>
        </w:tc>
        <w:tc>
          <w:tcPr>
            <w:tcW w:w="592" w:type="pct"/>
            <w:tcBorders>
              <w:top w:val="single" w:color="auto" w:sz="4" w:space="0"/>
              <w:left w:val="single" w:color="auto" w:sz="4" w:space="0"/>
              <w:bottom w:val="single" w:color="auto" w:sz="4" w:space="0"/>
              <w:right w:val="single" w:color="auto" w:sz="4" w:space="0"/>
            </w:tcBorders>
            <w:vAlign w:val="center"/>
          </w:tcPr>
          <w:p w14:paraId="4BADF0A6">
            <w:pPr>
              <w:spacing w:line="380" w:lineRule="exact"/>
              <w:jc w:val="center"/>
              <w:rPr>
                <w:rFonts w:hint="eastAsia"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2EFA919E">
            <w:pPr>
              <w:spacing w:line="380" w:lineRule="exact"/>
              <w:jc w:val="center"/>
              <w:rPr>
                <w:rFonts w:hint="eastAsia" w:ascii="宋体" w:hAnsi="宋体" w:eastAsia="宋体" w:cs="宋体"/>
                <w:color w:val="auto"/>
                <w:szCs w:val="21"/>
              </w:rPr>
            </w:pPr>
          </w:p>
        </w:tc>
      </w:tr>
    </w:tbl>
    <w:p w14:paraId="0785642E">
      <w:pPr>
        <w:spacing w:line="320" w:lineRule="exact"/>
        <w:rPr>
          <w:rFonts w:hint="eastAsia" w:ascii="宋体" w:hAnsi="宋体" w:eastAsia="宋体" w:cs="宋体"/>
          <w:b/>
          <w:color w:val="auto"/>
          <w:szCs w:val="21"/>
        </w:rPr>
      </w:pPr>
    </w:p>
    <w:p w14:paraId="71F29A6A">
      <w:pPr>
        <w:spacing w:line="320" w:lineRule="exact"/>
        <w:rPr>
          <w:rFonts w:hint="eastAsia" w:ascii="宋体" w:hAnsi="宋体" w:eastAsia="宋体" w:cs="宋体"/>
          <w:b/>
          <w:color w:val="auto"/>
          <w:szCs w:val="21"/>
        </w:rPr>
      </w:pPr>
      <w:r>
        <w:rPr>
          <w:rFonts w:hint="eastAsia" w:ascii="宋体" w:hAnsi="宋体" w:eastAsia="宋体" w:cs="宋体"/>
          <w:b/>
          <w:color w:val="auto"/>
          <w:szCs w:val="21"/>
        </w:rPr>
        <w:t>注：</w:t>
      </w:r>
    </w:p>
    <w:p w14:paraId="407BB460">
      <w:pPr>
        <w:spacing w:line="320" w:lineRule="exact"/>
        <w:ind w:firstLine="211" w:firstLineChars="100"/>
        <w:rPr>
          <w:rFonts w:hint="eastAsia" w:ascii="宋体" w:hAnsi="宋体" w:eastAsia="宋体" w:cs="宋体"/>
          <w:b/>
          <w:color w:val="auto"/>
          <w:szCs w:val="21"/>
        </w:rPr>
      </w:pP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、供应商应根据所供产品的具体情况</w:t>
      </w:r>
      <w:r>
        <w:rPr>
          <w:rFonts w:hint="eastAsia" w:ascii="宋体" w:hAnsi="宋体" w:eastAsia="宋体" w:cs="宋体"/>
          <w:b/>
          <w:color w:val="auto"/>
          <w:szCs w:val="21"/>
          <w:lang w:eastAsia="zh-CN"/>
        </w:rPr>
        <w:t>进行</w:t>
      </w:r>
      <w:r>
        <w:rPr>
          <w:rFonts w:hint="eastAsia" w:ascii="宋体" w:hAnsi="宋体" w:eastAsia="宋体" w:cs="宋体"/>
          <w:b/>
          <w:color w:val="auto"/>
          <w:szCs w:val="21"/>
        </w:rPr>
        <w:t>分项</w:t>
      </w:r>
      <w:r>
        <w:rPr>
          <w:rFonts w:hint="eastAsia" w:ascii="宋体" w:hAnsi="宋体" w:eastAsia="宋体" w:cs="宋体"/>
          <w:b/>
          <w:color w:val="auto"/>
          <w:szCs w:val="21"/>
          <w:lang w:eastAsia="zh-CN"/>
        </w:rPr>
        <w:t>报价，分项报价</w:t>
      </w:r>
      <w:r>
        <w:rPr>
          <w:rFonts w:hint="eastAsia" w:ascii="宋体" w:hAnsi="宋体" w:eastAsia="宋体" w:cs="宋体"/>
          <w:b/>
          <w:color w:val="auto"/>
          <w:szCs w:val="21"/>
        </w:rPr>
        <w:t>包括：产品价格，标准附件费、附属产品费、专用工具费、技术服务费、安装调试费、检验检测或费、培训费、运输费用、装卸费、保险费等一切费用）。</w:t>
      </w:r>
    </w:p>
    <w:p w14:paraId="32ACF1A7">
      <w:pPr>
        <w:spacing w:line="320" w:lineRule="exact"/>
        <w:ind w:firstLine="211" w:firstLineChars="100"/>
        <w:rPr>
          <w:rFonts w:hint="eastAsia" w:ascii="宋体" w:hAnsi="宋体" w:eastAsia="宋体" w:cs="宋体"/>
          <w:b/>
          <w:color w:val="auto"/>
          <w:szCs w:val="21"/>
        </w:rPr>
      </w:pP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、供应商未进行分项报价或分项报价未能准确全部反映产品价格构成或有所隐含，有可能致使在合同履行过程中引起纠纷（非正常的追加或索赔等）或不能诚信履约的，可作无效投标处理。</w:t>
      </w:r>
    </w:p>
    <w:p w14:paraId="140A8C7B">
      <w:pPr>
        <w:spacing w:line="320" w:lineRule="exact"/>
        <w:ind w:firstLine="211" w:firstLineChars="100"/>
        <w:rPr>
          <w:rFonts w:hint="eastAsia" w:ascii="宋体" w:hAnsi="宋体" w:eastAsia="宋体" w:cs="宋体"/>
          <w:b/>
          <w:color w:val="auto"/>
          <w:szCs w:val="21"/>
        </w:rPr>
      </w:pPr>
      <w:r>
        <w:rPr>
          <w:rFonts w:hint="eastAsia" w:ascii="宋体" w:hAnsi="宋体" w:eastAsia="宋体" w:cs="宋体"/>
          <w:b/>
          <w:color w:val="auto"/>
          <w:szCs w:val="21"/>
          <w:lang w:val="en-US" w:eastAsia="zh-CN"/>
        </w:rPr>
        <w:t>3</w:t>
      </w:r>
      <w:r>
        <w:rPr>
          <w:rFonts w:hint="eastAsia" w:ascii="宋体" w:hAnsi="宋体" w:eastAsia="宋体" w:cs="宋体"/>
          <w:b/>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27ECB7">
      <w:pPr>
        <w:spacing w:line="380" w:lineRule="exact"/>
        <w:rPr>
          <w:rFonts w:hint="eastAsia" w:ascii="宋体" w:hAnsi="宋体" w:eastAsia="宋体" w:cs="宋体"/>
          <w:color w:val="auto"/>
          <w:sz w:val="24"/>
          <w:szCs w:val="24"/>
        </w:rPr>
      </w:pPr>
    </w:p>
    <w:p w14:paraId="1A580731">
      <w:p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投标供应商名称：</w:t>
      </w:r>
    </w:p>
    <w:p w14:paraId="1A84291C">
      <w:pPr>
        <w:spacing w:line="380" w:lineRule="exact"/>
        <w:rPr>
          <w:rFonts w:hint="eastAsia" w:ascii="宋体" w:hAnsi="宋体" w:eastAsia="宋体" w:cs="宋体"/>
          <w:color w:val="auto"/>
          <w:sz w:val="32"/>
          <w:szCs w:val="28"/>
        </w:rPr>
      </w:pPr>
      <w:r>
        <w:rPr>
          <w:rFonts w:hint="eastAsia" w:ascii="宋体" w:hAnsi="宋体" w:eastAsia="宋体" w:cs="宋体"/>
          <w:color w:val="auto"/>
          <w:sz w:val="24"/>
          <w:szCs w:val="24"/>
        </w:rPr>
        <w:t>投标供应商代表签名：</w:t>
      </w:r>
    </w:p>
    <w:p w14:paraId="49B6E82E">
      <w:pPr>
        <w:spacing w:line="3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6EC46198">
      <w:pPr>
        <w:pStyle w:val="4"/>
        <w:rPr>
          <w:rFonts w:hint="eastAsia" w:ascii="宋体" w:hAnsi="宋体" w:eastAsia="宋体" w:cs="宋体"/>
          <w:color w:val="auto"/>
        </w:rPr>
      </w:pPr>
      <w:bookmarkStart w:id="55" w:name="_Toc62641458"/>
    </w:p>
    <w:bookmarkEnd w:id="55"/>
    <w:p w14:paraId="40798988">
      <w:pPr>
        <w:pStyle w:val="14"/>
        <w:ind w:left="0" w:leftChars="0" w:firstLine="0" w:firstLineChars="0"/>
        <w:jc w:val="left"/>
        <w:rPr>
          <w:rFonts w:hint="eastAsia" w:ascii="宋体" w:hAnsi="宋体" w:eastAsia="宋体" w:cs="宋体"/>
          <w:color w:val="auto"/>
          <w:sz w:val="24"/>
          <w:szCs w:val="24"/>
          <w:lang w:eastAsia="zh-CN"/>
        </w:rPr>
      </w:pPr>
    </w:p>
    <w:p w14:paraId="32EFEAC0">
      <w:pPr>
        <w:widowControl w:val="0"/>
        <w:adjustRightInd w:val="0"/>
        <w:snapToGrid w:val="0"/>
        <w:spacing w:before="312" w:beforeLines="100" w:after="156" w:afterLines="5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附件八</w:t>
      </w:r>
    </w:p>
    <w:p w14:paraId="5A494A63">
      <w:pPr>
        <w:spacing w:line="3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技术规格和商务偏离表</w:t>
      </w:r>
    </w:p>
    <w:p w14:paraId="0E023D28">
      <w:pPr>
        <w:spacing w:line="380" w:lineRule="exact"/>
        <w:jc w:val="left"/>
        <w:rPr>
          <w:rFonts w:hint="eastAsia" w:ascii="宋体" w:hAnsi="宋体" w:eastAsia="宋体" w:cs="宋体"/>
          <w:bCs/>
          <w:color w:val="auto"/>
          <w:sz w:val="24"/>
          <w:szCs w:val="24"/>
        </w:rPr>
      </w:pPr>
    </w:p>
    <w:p w14:paraId="46BFAD9D">
      <w:pPr>
        <w:spacing w:line="380" w:lineRule="exact"/>
        <w:jc w:val="left"/>
        <w:rPr>
          <w:rFonts w:hint="eastAsia" w:ascii="宋体" w:hAnsi="宋体" w:eastAsia="宋体" w:cs="宋体"/>
          <w:color w:val="auto"/>
          <w:sz w:val="24"/>
          <w:szCs w:val="24"/>
        </w:rPr>
      </w:pPr>
      <w:r>
        <w:rPr>
          <w:rFonts w:hint="eastAsia" w:ascii="宋体" w:hAnsi="宋体" w:eastAsia="宋体" w:cs="宋体"/>
          <w:bCs/>
          <w:color w:val="auto"/>
          <w:sz w:val="24"/>
          <w:szCs w:val="24"/>
        </w:rPr>
        <w:t>项目</w:t>
      </w:r>
      <w:r>
        <w:rPr>
          <w:rFonts w:hint="eastAsia" w:ascii="宋体" w:hAnsi="宋体" w:eastAsia="宋体" w:cs="宋体"/>
          <w:color w:val="auto"/>
          <w:sz w:val="24"/>
          <w:szCs w:val="24"/>
        </w:rPr>
        <w:t>名称：</w:t>
      </w:r>
    </w:p>
    <w:p w14:paraId="152ADD80">
      <w:pPr>
        <w:spacing w:line="3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第  页，共  页</w:t>
      </w:r>
    </w:p>
    <w:tbl>
      <w:tblPr>
        <w:tblStyle w:val="2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01"/>
        <w:gridCol w:w="2429"/>
        <w:gridCol w:w="2557"/>
        <w:gridCol w:w="1192"/>
      </w:tblGrid>
      <w:tr w14:paraId="250D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97BC27B">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2401" w:type="dxa"/>
            <w:tcBorders>
              <w:top w:val="single" w:color="auto" w:sz="4" w:space="0"/>
              <w:left w:val="single" w:color="auto" w:sz="4" w:space="0"/>
              <w:bottom w:val="single" w:color="auto" w:sz="4" w:space="0"/>
              <w:right w:val="single" w:color="auto" w:sz="4" w:space="0"/>
            </w:tcBorders>
            <w:vAlign w:val="center"/>
          </w:tcPr>
          <w:p w14:paraId="2E350E3E">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2429" w:type="dxa"/>
            <w:tcBorders>
              <w:top w:val="single" w:color="auto" w:sz="4" w:space="0"/>
              <w:left w:val="single" w:color="auto" w:sz="4" w:space="0"/>
              <w:bottom w:val="single" w:color="auto" w:sz="4" w:space="0"/>
              <w:right w:val="single" w:color="auto" w:sz="4" w:space="0"/>
            </w:tcBorders>
            <w:vAlign w:val="center"/>
          </w:tcPr>
          <w:p w14:paraId="4DABF7BB">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谈判</w:t>
            </w:r>
            <w:r>
              <w:rPr>
                <w:rFonts w:hint="eastAsia" w:ascii="宋体" w:hAnsi="宋体" w:eastAsia="宋体" w:cs="宋体"/>
                <w:color w:val="auto"/>
                <w:szCs w:val="21"/>
              </w:rPr>
              <w:t>文件要求</w:t>
            </w:r>
          </w:p>
        </w:tc>
        <w:tc>
          <w:tcPr>
            <w:tcW w:w="2557" w:type="dxa"/>
            <w:tcBorders>
              <w:top w:val="single" w:color="auto" w:sz="4" w:space="0"/>
              <w:left w:val="single" w:color="auto" w:sz="4" w:space="0"/>
              <w:bottom w:val="single" w:color="auto" w:sz="4" w:space="0"/>
              <w:right w:val="single" w:color="auto" w:sz="4" w:space="0"/>
            </w:tcBorders>
            <w:vAlign w:val="center"/>
          </w:tcPr>
          <w:p w14:paraId="3B84743D">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响应程度</w:t>
            </w:r>
          </w:p>
        </w:tc>
        <w:tc>
          <w:tcPr>
            <w:tcW w:w="1192" w:type="dxa"/>
            <w:tcBorders>
              <w:top w:val="single" w:color="auto" w:sz="4" w:space="0"/>
              <w:left w:val="single" w:color="auto" w:sz="4" w:space="0"/>
              <w:bottom w:val="single" w:color="auto" w:sz="4" w:space="0"/>
              <w:right w:val="single" w:color="auto" w:sz="4" w:space="0"/>
            </w:tcBorders>
            <w:vAlign w:val="center"/>
          </w:tcPr>
          <w:p w14:paraId="1A30E568">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4878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01136E94">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736D0C27">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7F7C9630">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489FF0CB">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0DEF8459">
            <w:pPr>
              <w:spacing w:line="380" w:lineRule="exact"/>
              <w:rPr>
                <w:rFonts w:hint="eastAsia" w:ascii="宋体" w:hAnsi="宋体" w:eastAsia="宋体" w:cs="宋体"/>
                <w:color w:val="auto"/>
                <w:szCs w:val="21"/>
              </w:rPr>
            </w:pPr>
          </w:p>
        </w:tc>
      </w:tr>
      <w:tr w14:paraId="57AA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656E8C86">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0F4D95C3">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6149C9BD">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24F163EB">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521E1504">
            <w:pPr>
              <w:spacing w:line="380" w:lineRule="exact"/>
              <w:rPr>
                <w:rFonts w:hint="eastAsia" w:ascii="宋体" w:hAnsi="宋体" w:eastAsia="宋体" w:cs="宋体"/>
                <w:color w:val="auto"/>
                <w:szCs w:val="21"/>
              </w:rPr>
            </w:pPr>
          </w:p>
        </w:tc>
      </w:tr>
      <w:tr w14:paraId="4738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340BCB12">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432FFE03">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0589BBCF">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17E1AA46">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263AE4C0">
            <w:pPr>
              <w:spacing w:line="380" w:lineRule="exact"/>
              <w:rPr>
                <w:rFonts w:hint="eastAsia" w:ascii="宋体" w:hAnsi="宋体" w:eastAsia="宋体" w:cs="宋体"/>
                <w:color w:val="auto"/>
                <w:szCs w:val="21"/>
              </w:rPr>
            </w:pPr>
          </w:p>
        </w:tc>
      </w:tr>
      <w:tr w14:paraId="5B3B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229BA89F">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1CB5F6DC">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52EE238F">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3E52C25B">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69EA3552">
            <w:pPr>
              <w:spacing w:line="380" w:lineRule="exact"/>
              <w:rPr>
                <w:rFonts w:hint="eastAsia" w:ascii="宋体" w:hAnsi="宋体" w:eastAsia="宋体" w:cs="宋体"/>
                <w:color w:val="auto"/>
                <w:szCs w:val="21"/>
              </w:rPr>
            </w:pPr>
          </w:p>
        </w:tc>
      </w:tr>
      <w:tr w14:paraId="2CBE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0297F0D4">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6A231F56">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464553B3">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7DA1E7E2">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5991A437">
            <w:pPr>
              <w:spacing w:line="380" w:lineRule="exact"/>
              <w:rPr>
                <w:rFonts w:hint="eastAsia" w:ascii="宋体" w:hAnsi="宋体" w:eastAsia="宋体" w:cs="宋体"/>
                <w:color w:val="auto"/>
                <w:szCs w:val="21"/>
              </w:rPr>
            </w:pPr>
          </w:p>
        </w:tc>
      </w:tr>
      <w:tr w14:paraId="4F17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1024D19C">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4717F743">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59A57DC3">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5537A7AB">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216D20FD">
            <w:pPr>
              <w:spacing w:line="380" w:lineRule="exact"/>
              <w:rPr>
                <w:rFonts w:hint="eastAsia" w:ascii="宋体" w:hAnsi="宋体" w:eastAsia="宋体" w:cs="宋体"/>
                <w:color w:val="auto"/>
                <w:szCs w:val="21"/>
              </w:rPr>
            </w:pPr>
          </w:p>
        </w:tc>
      </w:tr>
      <w:tr w14:paraId="5DB5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1EFF33E5">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57104625">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2DCFA2A6">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01BCFF7E">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78756053">
            <w:pPr>
              <w:spacing w:line="380" w:lineRule="exact"/>
              <w:rPr>
                <w:rFonts w:hint="eastAsia" w:ascii="宋体" w:hAnsi="宋体" w:eastAsia="宋体" w:cs="宋体"/>
                <w:color w:val="auto"/>
                <w:szCs w:val="21"/>
              </w:rPr>
            </w:pPr>
          </w:p>
        </w:tc>
      </w:tr>
      <w:tr w14:paraId="5050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425566DB">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6B333E56">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77CD6B41">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04D66B47">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3FD408E6">
            <w:pPr>
              <w:spacing w:line="380" w:lineRule="exact"/>
              <w:rPr>
                <w:rFonts w:hint="eastAsia" w:ascii="宋体" w:hAnsi="宋体" w:eastAsia="宋体" w:cs="宋体"/>
                <w:color w:val="auto"/>
                <w:szCs w:val="21"/>
              </w:rPr>
            </w:pPr>
          </w:p>
        </w:tc>
      </w:tr>
      <w:tr w14:paraId="5692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1ECB408C">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76485A0B">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031F996D">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0E9CDE3E">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034DD285">
            <w:pPr>
              <w:spacing w:line="380" w:lineRule="exact"/>
              <w:rPr>
                <w:rFonts w:hint="eastAsia" w:ascii="宋体" w:hAnsi="宋体" w:eastAsia="宋体" w:cs="宋体"/>
                <w:color w:val="auto"/>
                <w:szCs w:val="21"/>
              </w:rPr>
            </w:pPr>
          </w:p>
        </w:tc>
      </w:tr>
      <w:tr w14:paraId="1D00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14:paraId="44B7DC4D">
            <w:pPr>
              <w:spacing w:line="380" w:lineRule="exact"/>
              <w:rPr>
                <w:rFonts w:hint="eastAsia" w:ascii="宋体" w:hAnsi="宋体" w:eastAsia="宋体" w:cs="宋体"/>
                <w:color w:val="auto"/>
                <w:szCs w:val="21"/>
              </w:rPr>
            </w:pPr>
          </w:p>
        </w:tc>
        <w:tc>
          <w:tcPr>
            <w:tcW w:w="2401" w:type="dxa"/>
            <w:tcBorders>
              <w:top w:val="single" w:color="auto" w:sz="4" w:space="0"/>
              <w:left w:val="single" w:color="auto" w:sz="4" w:space="0"/>
              <w:bottom w:val="single" w:color="auto" w:sz="4" w:space="0"/>
              <w:right w:val="single" w:color="auto" w:sz="4" w:space="0"/>
            </w:tcBorders>
          </w:tcPr>
          <w:p w14:paraId="7FDF9382">
            <w:pPr>
              <w:spacing w:line="380" w:lineRule="exact"/>
              <w:rPr>
                <w:rFonts w:hint="eastAsia" w:ascii="宋体" w:hAnsi="宋体" w:eastAsia="宋体" w:cs="宋体"/>
                <w:color w:val="auto"/>
                <w:szCs w:val="21"/>
              </w:rPr>
            </w:pPr>
          </w:p>
        </w:tc>
        <w:tc>
          <w:tcPr>
            <w:tcW w:w="2429" w:type="dxa"/>
            <w:tcBorders>
              <w:top w:val="single" w:color="auto" w:sz="4" w:space="0"/>
              <w:left w:val="single" w:color="auto" w:sz="4" w:space="0"/>
              <w:bottom w:val="single" w:color="auto" w:sz="4" w:space="0"/>
              <w:right w:val="single" w:color="auto" w:sz="4" w:space="0"/>
            </w:tcBorders>
          </w:tcPr>
          <w:p w14:paraId="7E121A28">
            <w:pPr>
              <w:spacing w:line="380" w:lineRule="exact"/>
              <w:rPr>
                <w:rFonts w:hint="eastAsia" w:ascii="宋体" w:hAnsi="宋体" w:eastAsia="宋体" w:cs="宋体"/>
                <w:color w:val="auto"/>
                <w:szCs w:val="21"/>
              </w:rPr>
            </w:pPr>
          </w:p>
        </w:tc>
        <w:tc>
          <w:tcPr>
            <w:tcW w:w="2557" w:type="dxa"/>
            <w:tcBorders>
              <w:top w:val="single" w:color="auto" w:sz="4" w:space="0"/>
              <w:left w:val="single" w:color="auto" w:sz="4" w:space="0"/>
              <w:bottom w:val="single" w:color="auto" w:sz="4" w:space="0"/>
              <w:right w:val="single" w:color="auto" w:sz="4" w:space="0"/>
            </w:tcBorders>
          </w:tcPr>
          <w:p w14:paraId="7C18DECD">
            <w:pPr>
              <w:spacing w:line="380" w:lineRule="exact"/>
              <w:rPr>
                <w:rFonts w:hint="eastAsia" w:ascii="宋体" w:hAnsi="宋体" w:eastAsia="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tcPr>
          <w:p w14:paraId="67298CA2">
            <w:pPr>
              <w:spacing w:line="380" w:lineRule="exact"/>
              <w:rPr>
                <w:rFonts w:hint="eastAsia" w:ascii="宋体" w:hAnsi="宋体" w:eastAsia="宋体" w:cs="宋体"/>
                <w:color w:val="auto"/>
                <w:szCs w:val="21"/>
              </w:rPr>
            </w:pPr>
          </w:p>
        </w:tc>
      </w:tr>
    </w:tbl>
    <w:p w14:paraId="6BAA8E90">
      <w:pPr>
        <w:spacing w:line="380" w:lineRule="exact"/>
        <w:rPr>
          <w:rFonts w:hint="eastAsia" w:ascii="宋体" w:hAnsi="宋体" w:eastAsia="宋体" w:cs="宋体"/>
          <w:b/>
          <w:color w:val="auto"/>
          <w:szCs w:val="21"/>
        </w:rPr>
      </w:pPr>
      <w:r>
        <w:rPr>
          <w:rFonts w:hint="eastAsia" w:ascii="宋体" w:hAnsi="宋体" w:eastAsia="宋体" w:cs="宋体"/>
          <w:b/>
          <w:color w:val="auto"/>
          <w:szCs w:val="21"/>
        </w:rPr>
        <w:t>注：为使评标委员会准确理解及保证评审工作顺利进行，请供应商针对</w:t>
      </w:r>
      <w:r>
        <w:rPr>
          <w:rFonts w:hint="eastAsia" w:ascii="宋体" w:hAnsi="宋体" w:eastAsia="宋体" w:cs="宋体"/>
          <w:b/>
          <w:color w:val="auto"/>
          <w:szCs w:val="21"/>
          <w:lang w:val="en-US" w:eastAsia="zh-CN"/>
        </w:rPr>
        <w:t>谈判</w:t>
      </w:r>
      <w:r>
        <w:rPr>
          <w:rFonts w:hint="eastAsia" w:ascii="宋体" w:hAnsi="宋体" w:eastAsia="宋体" w:cs="宋体"/>
          <w:b/>
          <w:color w:val="auto"/>
          <w:szCs w:val="21"/>
        </w:rPr>
        <w:t>文件的要求，结合所供货物的实际性能、技术指标、采用的质量标准等逐条进行说明，说明货物或产品的实际响应程度。如简单的以“无偏离、完全响应”等类似表述，有可能给投标供应商带来的不利或导致投标被否决，将由供应商自行承担，敬请供应商注意！</w:t>
      </w:r>
    </w:p>
    <w:p w14:paraId="76C00E9E">
      <w:pPr>
        <w:jc w:val="center"/>
        <w:rPr>
          <w:rFonts w:hint="eastAsia" w:ascii="宋体" w:hAnsi="宋体" w:eastAsia="宋体" w:cs="宋体"/>
          <w:b/>
          <w:color w:val="auto"/>
          <w:sz w:val="36"/>
          <w:szCs w:val="36"/>
        </w:rPr>
      </w:pPr>
    </w:p>
    <w:p w14:paraId="68633AC2">
      <w:pPr>
        <w:jc w:val="center"/>
        <w:rPr>
          <w:rFonts w:hint="eastAsia" w:ascii="宋体" w:hAnsi="宋体" w:eastAsia="宋体" w:cs="宋体"/>
          <w:b/>
          <w:color w:val="auto"/>
          <w:sz w:val="36"/>
          <w:szCs w:val="36"/>
        </w:rPr>
      </w:pPr>
    </w:p>
    <w:p w14:paraId="6A4C4518">
      <w:pPr>
        <w:jc w:val="center"/>
        <w:rPr>
          <w:rFonts w:hint="eastAsia" w:ascii="宋体" w:hAnsi="宋体" w:eastAsia="宋体" w:cs="宋体"/>
          <w:b/>
          <w:color w:val="auto"/>
          <w:sz w:val="36"/>
          <w:szCs w:val="36"/>
        </w:rPr>
      </w:pPr>
    </w:p>
    <w:p w14:paraId="742594B4">
      <w:p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投标供应商名称：</w:t>
      </w:r>
    </w:p>
    <w:p w14:paraId="72ED2B01">
      <w:pPr>
        <w:spacing w:line="380" w:lineRule="exact"/>
        <w:rPr>
          <w:rFonts w:hint="eastAsia" w:ascii="宋体" w:hAnsi="宋体" w:eastAsia="宋体" w:cs="宋体"/>
          <w:color w:val="auto"/>
          <w:sz w:val="24"/>
          <w:szCs w:val="24"/>
        </w:rPr>
      </w:pPr>
    </w:p>
    <w:p w14:paraId="3A80E576">
      <w:pPr>
        <w:spacing w:line="380" w:lineRule="exact"/>
        <w:rPr>
          <w:rFonts w:hint="eastAsia" w:ascii="宋体" w:hAnsi="宋体" w:eastAsia="宋体" w:cs="宋体"/>
          <w:color w:val="auto"/>
          <w:sz w:val="32"/>
          <w:szCs w:val="28"/>
        </w:rPr>
      </w:pPr>
      <w:r>
        <w:rPr>
          <w:rFonts w:hint="eastAsia" w:ascii="宋体" w:hAnsi="宋体" w:eastAsia="宋体" w:cs="宋体"/>
          <w:color w:val="auto"/>
          <w:sz w:val="24"/>
          <w:szCs w:val="24"/>
        </w:rPr>
        <w:t>投标供应商代表签名：</w:t>
      </w:r>
    </w:p>
    <w:p w14:paraId="79925956">
      <w:pPr>
        <w:spacing w:line="380" w:lineRule="exact"/>
        <w:rPr>
          <w:rFonts w:hint="eastAsia" w:ascii="宋体" w:hAnsi="宋体" w:eastAsia="宋体" w:cs="宋体"/>
          <w:color w:val="auto"/>
          <w:sz w:val="24"/>
          <w:szCs w:val="24"/>
        </w:rPr>
      </w:pPr>
    </w:p>
    <w:p w14:paraId="5621C38F">
      <w:pPr>
        <w:spacing w:line="3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44D3114F">
      <w:pPr>
        <w:pStyle w:val="14"/>
        <w:ind w:left="0" w:leftChars="0" w:firstLine="0" w:firstLineChars="0"/>
        <w:jc w:val="left"/>
        <w:rPr>
          <w:rFonts w:hint="eastAsia" w:ascii="宋体" w:hAnsi="宋体" w:eastAsia="宋体" w:cs="宋体"/>
          <w:color w:val="auto"/>
          <w:sz w:val="24"/>
          <w:szCs w:val="24"/>
          <w:lang w:eastAsia="zh-CN"/>
        </w:rPr>
        <w:sectPr>
          <w:footerReference r:id="rId5" w:type="default"/>
          <w:pgSz w:w="11907" w:h="16840"/>
          <w:pgMar w:top="1440" w:right="1800" w:bottom="1440" w:left="1800" w:header="851" w:footer="851" w:gutter="0"/>
          <w:cols w:space="720" w:num="1"/>
          <w:docGrid w:type="lines" w:linePitch="326" w:charSpace="0"/>
        </w:sectPr>
      </w:pPr>
    </w:p>
    <w:p w14:paraId="04E8B9C6">
      <w:pPr>
        <w:pStyle w:val="13"/>
        <w:adjustRightInd w:val="0"/>
        <w:snapToGrid w:val="0"/>
        <w:spacing w:line="360" w:lineRule="auto"/>
        <w:jc w:val="both"/>
        <w:rPr>
          <w:rFonts w:hint="eastAsia" w:ascii="宋体" w:hAnsi="宋体" w:eastAsia="宋体" w:cs="宋体"/>
          <w:color w:val="auto"/>
          <w:lang w:eastAsia="zh-CN"/>
        </w:rPr>
      </w:pPr>
      <w:r>
        <w:rPr>
          <w:rFonts w:hint="eastAsia" w:ascii="宋体" w:hAnsi="宋体" w:eastAsia="宋体" w:cs="宋体"/>
          <w:color w:val="auto"/>
        </w:rPr>
        <w:t>附件</w:t>
      </w:r>
      <w:r>
        <w:rPr>
          <w:rFonts w:hint="eastAsia" w:ascii="宋体" w:hAnsi="宋体" w:eastAsia="宋体" w:cs="宋体"/>
          <w:color w:val="auto"/>
          <w:lang w:eastAsia="zh-CN"/>
        </w:rPr>
        <w:t>九</w:t>
      </w:r>
    </w:p>
    <w:p w14:paraId="76B80F66">
      <w:pPr>
        <w:adjustRightInd w:val="0"/>
        <w:snapToGrid w:val="0"/>
        <w:spacing w:line="360" w:lineRule="auto"/>
        <w:ind w:firstLine="72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中小企业声明函(货物)</w:t>
      </w:r>
    </w:p>
    <w:p w14:paraId="60D6CB3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418BBD0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BBF7E7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A24813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356E04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423F5A9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48BF4E5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595A99F">
      <w:pPr>
        <w:adjustRightInd w:val="0"/>
        <w:snapToGrid w:val="0"/>
        <w:spacing w:line="36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企业名称（盖章）：</w:t>
      </w:r>
    </w:p>
    <w:p w14:paraId="29798430">
      <w:pPr>
        <w:pStyle w:val="13"/>
        <w:adjustRightInd w:val="0"/>
        <w:snapToGrid w:val="0"/>
        <w:spacing w:line="360" w:lineRule="auto"/>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 xml:space="preserve">                      </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lang w:val="en-US" w:bidi="ar-SA"/>
        </w:rPr>
        <w:t xml:space="preserve"> 日期：</w:t>
      </w:r>
    </w:p>
    <w:p w14:paraId="07BBB0E4">
      <w:pPr>
        <w:jc w:val="center"/>
        <w:rPr>
          <w:rFonts w:hint="eastAsia" w:ascii="宋体" w:hAnsi="宋体" w:eastAsia="宋体" w:cs="宋体"/>
          <w:b/>
          <w:color w:val="auto"/>
          <w:sz w:val="24"/>
          <w:szCs w:val="24"/>
        </w:rPr>
      </w:pPr>
    </w:p>
    <w:p w14:paraId="37CE2E45">
      <w:pPr>
        <w:jc w:val="center"/>
        <w:rPr>
          <w:rFonts w:hint="eastAsia" w:ascii="宋体" w:hAnsi="宋体" w:eastAsia="宋体" w:cs="宋体"/>
          <w:b/>
          <w:color w:val="auto"/>
          <w:sz w:val="24"/>
          <w:szCs w:val="24"/>
        </w:rPr>
      </w:pPr>
    </w:p>
    <w:p w14:paraId="18867A45">
      <w:pPr>
        <w:jc w:val="center"/>
        <w:rPr>
          <w:rFonts w:hint="eastAsia" w:ascii="宋体" w:hAnsi="宋体" w:eastAsia="宋体" w:cs="宋体"/>
          <w:b/>
          <w:color w:val="auto"/>
          <w:sz w:val="36"/>
          <w:szCs w:val="36"/>
        </w:rPr>
      </w:pPr>
    </w:p>
    <w:p w14:paraId="4A2B5B25">
      <w:pPr>
        <w:jc w:val="center"/>
        <w:rPr>
          <w:rFonts w:hint="eastAsia" w:ascii="宋体" w:hAnsi="宋体" w:eastAsia="宋体" w:cs="宋体"/>
          <w:b/>
          <w:color w:val="auto"/>
          <w:sz w:val="36"/>
          <w:szCs w:val="36"/>
        </w:rPr>
      </w:pPr>
    </w:p>
    <w:p w14:paraId="16B3648F">
      <w:pPr>
        <w:jc w:val="center"/>
        <w:rPr>
          <w:rFonts w:hint="eastAsia" w:ascii="宋体" w:hAnsi="宋体" w:eastAsia="宋体" w:cs="宋体"/>
          <w:b/>
          <w:color w:val="auto"/>
          <w:sz w:val="36"/>
          <w:szCs w:val="36"/>
        </w:rPr>
      </w:pPr>
    </w:p>
    <w:p w14:paraId="015A1109">
      <w:pPr>
        <w:spacing w:line="480" w:lineRule="auto"/>
        <w:rPr>
          <w:rFonts w:hint="eastAsia" w:ascii="宋体" w:hAnsi="宋体" w:eastAsia="宋体" w:cs="宋体"/>
          <w:b/>
          <w:color w:val="auto"/>
          <w:sz w:val="24"/>
          <w:szCs w:val="24"/>
        </w:rPr>
      </w:pPr>
    </w:p>
    <w:p w14:paraId="27E8C26D">
      <w:pPr>
        <w:spacing w:line="480" w:lineRule="auto"/>
        <w:rPr>
          <w:rFonts w:hint="eastAsia" w:ascii="宋体" w:hAnsi="宋体" w:eastAsia="宋体" w:cs="宋体"/>
          <w:b/>
          <w:color w:val="auto"/>
          <w:sz w:val="24"/>
          <w:szCs w:val="24"/>
        </w:rPr>
      </w:pPr>
    </w:p>
    <w:p w14:paraId="03B5068A">
      <w:pPr>
        <w:spacing w:line="480" w:lineRule="auto"/>
        <w:rPr>
          <w:rFonts w:hint="eastAsia" w:ascii="宋体" w:hAnsi="宋体" w:eastAsia="宋体" w:cs="宋体"/>
          <w:b/>
          <w:color w:val="auto"/>
          <w:sz w:val="24"/>
          <w:szCs w:val="24"/>
        </w:rPr>
      </w:pPr>
    </w:p>
    <w:p w14:paraId="39140F51">
      <w:pPr>
        <w:spacing w:line="480" w:lineRule="auto"/>
        <w:rPr>
          <w:rFonts w:hint="eastAsia" w:ascii="宋体" w:hAnsi="宋体" w:eastAsia="宋体" w:cs="宋体"/>
          <w:b/>
          <w:color w:val="auto"/>
          <w:sz w:val="24"/>
          <w:szCs w:val="24"/>
        </w:rPr>
      </w:pPr>
    </w:p>
    <w:p w14:paraId="16B0AC76">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bCs/>
          <w:color w:val="auto"/>
          <w:kern w:val="0"/>
          <w:sz w:val="28"/>
          <w:szCs w:val="28"/>
          <w:lang w:val="en-US" w:eastAsia="zh-CN" w:bidi="ar"/>
        </w:rPr>
        <w:t>第五章 评审标准</w:t>
      </w:r>
    </w:p>
    <w:p w14:paraId="1CECA192">
      <w:pPr>
        <w:spacing w:line="360" w:lineRule="auto"/>
        <w:jc w:val="center"/>
        <w:rPr>
          <w:rFonts w:hint="eastAsia" w:ascii="宋体" w:hAnsi="宋体" w:eastAsia="宋体" w:cs="宋体"/>
          <w:b/>
          <w:bCs/>
          <w:color w:val="auto"/>
          <w:sz w:val="24"/>
          <w:szCs w:val="28"/>
        </w:rPr>
      </w:pPr>
      <w:r>
        <w:rPr>
          <w:rFonts w:hint="eastAsia" w:ascii="宋体" w:hAnsi="宋体" w:eastAsia="宋体" w:cs="宋体"/>
          <w:b/>
          <w:bCs/>
          <w:color w:val="auto"/>
          <w:sz w:val="24"/>
          <w:szCs w:val="28"/>
        </w:rPr>
        <w:t>《资格审查标准》</w:t>
      </w:r>
    </w:p>
    <w:tbl>
      <w:tblPr>
        <w:tblStyle w:val="27"/>
        <w:tblW w:w="8089" w:type="dxa"/>
        <w:jc w:val="center"/>
        <w:tblLayout w:type="fixed"/>
        <w:tblCellMar>
          <w:top w:w="0" w:type="dxa"/>
          <w:left w:w="108" w:type="dxa"/>
          <w:bottom w:w="0" w:type="dxa"/>
          <w:right w:w="108" w:type="dxa"/>
        </w:tblCellMar>
      </w:tblPr>
      <w:tblGrid>
        <w:gridCol w:w="1280"/>
        <w:gridCol w:w="6809"/>
      </w:tblGrid>
      <w:tr w14:paraId="197F4ABC">
        <w:tblPrEx>
          <w:tblCellMar>
            <w:top w:w="0" w:type="dxa"/>
            <w:left w:w="108" w:type="dxa"/>
            <w:bottom w:w="0" w:type="dxa"/>
            <w:right w:w="108" w:type="dxa"/>
          </w:tblCellMar>
        </w:tblPrEx>
        <w:trPr>
          <w:trHeight w:val="590"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14:paraId="2D5E30CC">
            <w:pPr>
              <w:jc w:val="center"/>
              <w:rPr>
                <w:rFonts w:hint="eastAsia" w:ascii="宋体" w:hAnsi="宋体" w:eastAsia="宋体" w:cs="宋体"/>
                <w:color w:val="auto"/>
                <w:sz w:val="24"/>
                <w:szCs w:val="28"/>
              </w:rPr>
            </w:pPr>
            <w:r>
              <w:rPr>
                <w:rFonts w:hint="eastAsia" w:ascii="宋体" w:hAnsi="宋体" w:eastAsia="宋体" w:cs="宋体"/>
                <w:color w:val="auto"/>
                <w:sz w:val="24"/>
                <w:szCs w:val="28"/>
              </w:rPr>
              <w:t>序号</w:t>
            </w:r>
          </w:p>
        </w:tc>
        <w:tc>
          <w:tcPr>
            <w:tcW w:w="6809" w:type="dxa"/>
            <w:tcBorders>
              <w:top w:val="single" w:color="auto" w:sz="4" w:space="0"/>
              <w:left w:val="nil"/>
              <w:bottom w:val="single" w:color="auto" w:sz="4" w:space="0"/>
              <w:right w:val="single" w:color="auto" w:sz="4" w:space="0"/>
            </w:tcBorders>
            <w:vAlign w:val="center"/>
          </w:tcPr>
          <w:p w14:paraId="1C416603">
            <w:pPr>
              <w:jc w:val="center"/>
              <w:rPr>
                <w:rFonts w:hint="eastAsia" w:ascii="宋体" w:hAnsi="宋体" w:eastAsia="宋体" w:cs="宋体"/>
                <w:color w:val="auto"/>
                <w:sz w:val="24"/>
                <w:szCs w:val="28"/>
              </w:rPr>
            </w:pPr>
            <w:r>
              <w:rPr>
                <w:rFonts w:hint="eastAsia" w:ascii="宋体" w:hAnsi="宋体" w:eastAsia="宋体" w:cs="宋体"/>
                <w:color w:val="auto"/>
                <w:sz w:val="24"/>
                <w:szCs w:val="28"/>
              </w:rPr>
              <w:t>资格审查标准</w:t>
            </w:r>
          </w:p>
        </w:tc>
      </w:tr>
      <w:tr w14:paraId="4731E7C3">
        <w:tblPrEx>
          <w:tblCellMar>
            <w:top w:w="0" w:type="dxa"/>
            <w:left w:w="108" w:type="dxa"/>
            <w:bottom w:w="0" w:type="dxa"/>
            <w:right w:w="108" w:type="dxa"/>
          </w:tblCellMar>
        </w:tblPrEx>
        <w:trPr>
          <w:trHeight w:val="612" w:hRule="atLeast"/>
          <w:jc w:val="center"/>
        </w:trPr>
        <w:tc>
          <w:tcPr>
            <w:tcW w:w="1280" w:type="dxa"/>
            <w:tcBorders>
              <w:top w:val="nil"/>
              <w:left w:val="single" w:color="auto" w:sz="4" w:space="0"/>
              <w:bottom w:val="single" w:color="auto" w:sz="4" w:space="0"/>
              <w:right w:val="single" w:color="auto" w:sz="4" w:space="0"/>
            </w:tcBorders>
            <w:vAlign w:val="center"/>
          </w:tcPr>
          <w:p w14:paraId="1C2FA32E">
            <w:pPr>
              <w:jc w:val="center"/>
              <w:rPr>
                <w:rFonts w:hint="eastAsia" w:ascii="宋体" w:hAnsi="宋体" w:eastAsia="宋体" w:cs="宋体"/>
                <w:color w:val="auto"/>
                <w:sz w:val="24"/>
                <w:szCs w:val="28"/>
              </w:rPr>
            </w:pPr>
            <w:r>
              <w:rPr>
                <w:rFonts w:hint="eastAsia" w:ascii="宋体" w:hAnsi="宋体" w:eastAsia="宋体" w:cs="宋体"/>
                <w:color w:val="auto"/>
                <w:sz w:val="24"/>
                <w:szCs w:val="28"/>
              </w:rPr>
              <w:t>1</w:t>
            </w:r>
          </w:p>
        </w:tc>
        <w:tc>
          <w:tcPr>
            <w:tcW w:w="6809" w:type="dxa"/>
            <w:tcBorders>
              <w:top w:val="nil"/>
              <w:left w:val="nil"/>
              <w:bottom w:val="single" w:color="auto" w:sz="4" w:space="0"/>
              <w:right w:val="single" w:color="auto" w:sz="4" w:space="0"/>
            </w:tcBorders>
            <w:vAlign w:val="center"/>
          </w:tcPr>
          <w:p w14:paraId="12BCD192">
            <w:pPr>
              <w:rPr>
                <w:rFonts w:hint="eastAsia" w:ascii="宋体" w:hAnsi="宋体" w:eastAsia="宋体" w:cs="宋体"/>
                <w:color w:val="auto"/>
                <w:sz w:val="24"/>
                <w:szCs w:val="28"/>
              </w:rPr>
            </w:pPr>
            <w:r>
              <w:rPr>
                <w:rFonts w:hint="eastAsia" w:ascii="宋体" w:hAnsi="宋体" w:eastAsia="宋体" w:cs="宋体"/>
                <w:color w:val="auto"/>
                <w:sz w:val="24"/>
                <w:szCs w:val="28"/>
              </w:rPr>
              <w:t>在中华人民共和国境内注册具有独立法人资格；</w:t>
            </w:r>
          </w:p>
        </w:tc>
      </w:tr>
      <w:tr w14:paraId="4C055C81">
        <w:tblPrEx>
          <w:tblCellMar>
            <w:top w:w="0" w:type="dxa"/>
            <w:left w:w="108" w:type="dxa"/>
            <w:bottom w:w="0" w:type="dxa"/>
            <w:right w:w="108" w:type="dxa"/>
          </w:tblCellMar>
        </w:tblPrEx>
        <w:trPr>
          <w:trHeight w:val="849" w:hRule="atLeast"/>
          <w:jc w:val="center"/>
        </w:trPr>
        <w:tc>
          <w:tcPr>
            <w:tcW w:w="1280" w:type="dxa"/>
            <w:tcBorders>
              <w:top w:val="nil"/>
              <w:left w:val="single" w:color="auto" w:sz="4" w:space="0"/>
              <w:bottom w:val="single" w:color="auto" w:sz="4" w:space="0"/>
              <w:right w:val="single" w:color="auto" w:sz="4" w:space="0"/>
            </w:tcBorders>
            <w:vAlign w:val="center"/>
          </w:tcPr>
          <w:p w14:paraId="2BFFFF9D">
            <w:pPr>
              <w:jc w:val="center"/>
              <w:rPr>
                <w:rFonts w:hint="eastAsia" w:ascii="宋体" w:hAnsi="宋体" w:eastAsia="宋体" w:cs="宋体"/>
                <w:color w:val="auto"/>
                <w:sz w:val="24"/>
                <w:szCs w:val="28"/>
              </w:rPr>
            </w:pPr>
            <w:r>
              <w:rPr>
                <w:rFonts w:hint="eastAsia" w:ascii="宋体" w:hAnsi="宋体" w:eastAsia="宋体" w:cs="宋体"/>
                <w:color w:val="auto"/>
                <w:sz w:val="24"/>
                <w:szCs w:val="28"/>
              </w:rPr>
              <w:t>2</w:t>
            </w:r>
          </w:p>
        </w:tc>
        <w:tc>
          <w:tcPr>
            <w:tcW w:w="6809" w:type="dxa"/>
            <w:tcBorders>
              <w:top w:val="nil"/>
              <w:left w:val="nil"/>
              <w:bottom w:val="single" w:color="auto" w:sz="4" w:space="0"/>
              <w:right w:val="single" w:color="auto" w:sz="4" w:space="0"/>
            </w:tcBorders>
            <w:vAlign w:val="center"/>
          </w:tcPr>
          <w:p w14:paraId="6CA7C801">
            <w:pPr>
              <w:rPr>
                <w:rFonts w:hint="eastAsia" w:ascii="宋体" w:hAnsi="宋体" w:eastAsia="宋体" w:cs="宋体"/>
                <w:color w:val="auto"/>
                <w:sz w:val="24"/>
                <w:szCs w:val="28"/>
              </w:rPr>
            </w:pPr>
            <w:r>
              <w:rPr>
                <w:rFonts w:hint="eastAsia" w:ascii="宋体" w:hAnsi="宋体" w:eastAsia="宋体" w:cs="宋体"/>
                <w:color w:val="auto"/>
                <w:sz w:val="24"/>
                <w:szCs w:val="28"/>
              </w:rPr>
              <w:t>具有有效的营业执照，有能力提供本项目全部采购内容及服务能力的投标人。</w:t>
            </w:r>
          </w:p>
        </w:tc>
      </w:tr>
      <w:tr w14:paraId="2D1DA943">
        <w:tblPrEx>
          <w:tblCellMar>
            <w:top w:w="0" w:type="dxa"/>
            <w:left w:w="108" w:type="dxa"/>
            <w:bottom w:w="0" w:type="dxa"/>
            <w:right w:w="108" w:type="dxa"/>
          </w:tblCellMar>
        </w:tblPrEx>
        <w:trPr>
          <w:trHeight w:val="912" w:hRule="atLeast"/>
          <w:jc w:val="center"/>
        </w:trPr>
        <w:tc>
          <w:tcPr>
            <w:tcW w:w="1280" w:type="dxa"/>
            <w:tcBorders>
              <w:top w:val="nil"/>
              <w:left w:val="single" w:color="auto" w:sz="4" w:space="0"/>
              <w:bottom w:val="single" w:color="auto" w:sz="4" w:space="0"/>
              <w:right w:val="single" w:color="auto" w:sz="4" w:space="0"/>
            </w:tcBorders>
            <w:vAlign w:val="center"/>
          </w:tcPr>
          <w:p w14:paraId="4212842A">
            <w:pPr>
              <w:jc w:val="center"/>
              <w:rPr>
                <w:rFonts w:hint="eastAsia" w:ascii="宋体" w:hAnsi="宋体" w:eastAsia="宋体" w:cs="宋体"/>
                <w:color w:val="auto"/>
                <w:sz w:val="24"/>
                <w:szCs w:val="28"/>
              </w:rPr>
            </w:pPr>
            <w:r>
              <w:rPr>
                <w:rFonts w:hint="eastAsia" w:ascii="宋体" w:hAnsi="宋体" w:eastAsia="宋体" w:cs="宋体"/>
                <w:color w:val="auto"/>
                <w:sz w:val="24"/>
                <w:szCs w:val="28"/>
              </w:rPr>
              <w:t>3</w:t>
            </w:r>
          </w:p>
        </w:tc>
        <w:tc>
          <w:tcPr>
            <w:tcW w:w="6809" w:type="dxa"/>
            <w:tcBorders>
              <w:top w:val="nil"/>
              <w:left w:val="nil"/>
              <w:bottom w:val="single" w:color="auto" w:sz="4" w:space="0"/>
              <w:right w:val="single" w:color="auto" w:sz="4" w:space="0"/>
            </w:tcBorders>
            <w:vAlign w:val="center"/>
          </w:tcPr>
          <w:p w14:paraId="41C288A3">
            <w:pPr>
              <w:rPr>
                <w:rFonts w:hint="eastAsia" w:ascii="宋体" w:hAnsi="宋体" w:eastAsia="宋体" w:cs="宋体"/>
                <w:color w:val="auto"/>
                <w:sz w:val="24"/>
                <w:szCs w:val="28"/>
              </w:rPr>
            </w:pPr>
            <w:r>
              <w:rPr>
                <w:rFonts w:hint="eastAsia" w:ascii="宋体" w:hAnsi="宋体" w:eastAsia="宋体" w:cs="宋体"/>
                <w:color w:val="auto"/>
                <w:sz w:val="24"/>
                <w:szCs w:val="28"/>
              </w:rPr>
              <w:t xml:space="preserve">提供法定代表人身份证明书和法定代表人身份证或者法定代表人授权委托书及被授权人身份证明； </w:t>
            </w:r>
          </w:p>
        </w:tc>
      </w:tr>
      <w:tr w14:paraId="70E98CF9">
        <w:tblPrEx>
          <w:tblCellMar>
            <w:top w:w="0" w:type="dxa"/>
            <w:left w:w="108" w:type="dxa"/>
            <w:bottom w:w="0" w:type="dxa"/>
            <w:right w:w="108" w:type="dxa"/>
          </w:tblCellMar>
        </w:tblPrEx>
        <w:trPr>
          <w:trHeight w:val="839"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14:paraId="376D9CDE">
            <w:pPr>
              <w:jc w:val="center"/>
              <w:rPr>
                <w:rFonts w:hint="eastAsia" w:ascii="宋体" w:hAnsi="宋体" w:eastAsia="宋体" w:cs="宋体"/>
                <w:color w:val="auto"/>
                <w:sz w:val="24"/>
                <w:szCs w:val="28"/>
              </w:rPr>
            </w:pPr>
            <w:r>
              <w:rPr>
                <w:rFonts w:hint="eastAsia" w:ascii="宋体" w:hAnsi="宋体" w:eastAsia="宋体" w:cs="宋体"/>
                <w:color w:val="auto"/>
                <w:sz w:val="24"/>
                <w:szCs w:val="28"/>
              </w:rPr>
              <w:t>4</w:t>
            </w:r>
          </w:p>
        </w:tc>
        <w:tc>
          <w:tcPr>
            <w:tcW w:w="6809" w:type="dxa"/>
            <w:tcBorders>
              <w:top w:val="single" w:color="auto" w:sz="4" w:space="0"/>
              <w:left w:val="nil"/>
              <w:bottom w:val="single" w:color="auto" w:sz="4" w:space="0"/>
              <w:right w:val="single" w:color="auto" w:sz="4" w:space="0"/>
            </w:tcBorders>
            <w:vAlign w:val="center"/>
          </w:tcPr>
          <w:p w14:paraId="07F8DB6D">
            <w:pPr>
              <w:rPr>
                <w:rFonts w:hint="eastAsia" w:ascii="宋体" w:hAnsi="宋体" w:eastAsia="宋体" w:cs="宋体"/>
                <w:color w:val="auto"/>
                <w:sz w:val="24"/>
                <w:szCs w:val="28"/>
              </w:rPr>
            </w:pPr>
            <w:r>
              <w:rPr>
                <w:rFonts w:hint="eastAsia" w:ascii="宋体" w:hAnsi="宋体" w:eastAsia="宋体" w:cs="宋体"/>
                <w:color w:val="auto"/>
                <w:sz w:val="24"/>
                <w:szCs w:val="28"/>
              </w:rPr>
              <w:t>法定代表人</w:t>
            </w:r>
            <w:r>
              <w:rPr>
                <w:rFonts w:hint="eastAsia" w:ascii="宋体" w:hAnsi="宋体" w:eastAsia="宋体" w:cs="宋体"/>
                <w:color w:val="auto"/>
                <w:sz w:val="24"/>
                <w:szCs w:val="28"/>
                <w:lang w:eastAsia="zh-CN"/>
              </w:rPr>
              <w:t>或</w:t>
            </w:r>
            <w:r>
              <w:rPr>
                <w:rFonts w:hint="eastAsia" w:ascii="宋体" w:hAnsi="宋体" w:eastAsia="宋体" w:cs="宋体"/>
                <w:color w:val="auto"/>
                <w:sz w:val="24"/>
                <w:szCs w:val="28"/>
              </w:rPr>
              <w:t>被委托人需提供所在公司社保局缴纳社保的证明（最近三个月，新成立时间少于三个月的公司，按实际发生提供）；</w:t>
            </w:r>
          </w:p>
        </w:tc>
      </w:tr>
      <w:tr w14:paraId="666484CF">
        <w:tblPrEx>
          <w:tblCellMar>
            <w:top w:w="0" w:type="dxa"/>
            <w:left w:w="108" w:type="dxa"/>
            <w:bottom w:w="0" w:type="dxa"/>
            <w:right w:w="108" w:type="dxa"/>
          </w:tblCellMar>
        </w:tblPrEx>
        <w:trPr>
          <w:trHeight w:val="2174"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14:paraId="316CF750">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5</w:t>
            </w:r>
          </w:p>
        </w:tc>
        <w:tc>
          <w:tcPr>
            <w:tcW w:w="6809" w:type="dxa"/>
            <w:tcBorders>
              <w:top w:val="single" w:color="auto" w:sz="4" w:space="0"/>
              <w:left w:val="nil"/>
              <w:bottom w:val="single" w:color="auto" w:sz="4" w:space="0"/>
              <w:right w:val="single" w:color="auto" w:sz="4" w:space="0"/>
            </w:tcBorders>
            <w:vAlign w:val="center"/>
          </w:tcPr>
          <w:p w14:paraId="29C7070B">
            <w:pPr>
              <w:rPr>
                <w:rFonts w:hint="eastAsia" w:ascii="宋体" w:hAnsi="宋体" w:eastAsia="宋体" w:cs="宋体"/>
                <w:color w:val="auto"/>
                <w:sz w:val="24"/>
                <w:szCs w:val="28"/>
              </w:rPr>
            </w:pPr>
            <w:r>
              <w:rPr>
                <w:rFonts w:hint="eastAsia" w:ascii="宋体" w:hAnsi="宋体" w:eastAsia="宋体" w:cs="宋体"/>
                <w:color w:val="auto"/>
                <w:sz w:val="24"/>
                <w:szCs w:val="28"/>
              </w:rPr>
              <w:t>近</w:t>
            </w:r>
            <w:r>
              <w:rPr>
                <w:rFonts w:hint="eastAsia" w:ascii="宋体" w:hAnsi="宋体" w:eastAsia="宋体" w:cs="宋体"/>
                <w:color w:val="auto"/>
                <w:sz w:val="24"/>
                <w:szCs w:val="28"/>
                <w:lang w:eastAsia="zh-CN"/>
              </w:rPr>
              <w:t>一</w:t>
            </w:r>
            <w:r>
              <w:rPr>
                <w:rFonts w:hint="eastAsia" w:ascii="宋体" w:hAnsi="宋体" w:eastAsia="宋体" w:cs="宋体"/>
                <w:color w:val="auto"/>
                <w:sz w:val="24"/>
                <w:szCs w:val="28"/>
              </w:rPr>
              <w:t>年（202</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rPr>
              <w:t>年</w:t>
            </w:r>
            <w:r>
              <w:rPr>
                <w:rFonts w:hint="eastAsia" w:ascii="宋体" w:hAnsi="宋体" w:eastAsia="宋体" w:cs="宋体"/>
                <w:color w:val="auto"/>
                <w:sz w:val="24"/>
                <w:szCs w:val="28"/>
                <w:lang w:eastAsia="zh-CN"/>
              </w:rPr>
              <w:t>或</w:t>
            </w:r>
            <w:r>
              <w:rPr>
                <w:rFonts w:hint="eastAsia" w:ascii="宋体" w:hAnsi="宋体" w:eastAsia="宋体" w:cs="宋体"/>
                <w:color w:val="auto"/>
                <w:sz w:val="24"/>
                <w:szCs w:val="28"/>
                <w:lang w:val="en-US" w:eastAsia="zh-CN"/>
              </w:rPr>
              <w:t>2024年</w:t>
            </w:r>
            <w:r>
              <w:rPr>
                <w:rFonts w:hint="eastAsia" w:ascii="宋体" w:hAnsi="宋体" w:eastAsia="宋体" w:cs="宋体"/>
                <w:color w:val="auto"/>
                <w:sz w:val="24"/>
                <w:szCs w:val="28"/>
              </w:rPr>
              <w:t>）财务状况表，应附经会计师事务所或审计机构盖章的审计报告，包括资产负债表、现金流量表、利润表和财务情况说明书的复印件：无2023年度</w:t>
            </w:r>
            <w:r>
              <w:rPr>
                <w:rFonts w:hint="eastAsia" w:ascii="宋体" w:hAnsi="宋体" w:eastAsia="宋体" w:cs="宋体"/>
                <w:color w:val="auto"/>
                <w:sz w:val="24"/>
                <w:szCs w:val="28"/>
                <w:lang w:eastAsia="zh-CN"/>
              </w:rPr>
              <w:t>或</w:t>
            </w:r>
            <w:r>
              <w:rPr>
                <w:rFonts w:hint="eastAsia" w:ascii="宋体" w:hAnsi="宋体" w:eastAsia="宋体" w:cs="宋体"/>
                <w:color w:val="auto"/>
                <w:sz w:val="24"/>
                <w:szCs w:val="28"/>
                <w:lang w:val="en-US" w:eastAsia="zh-CN"/>
              </w:rPr>
              <w:t>2024年度</w:t>
            </w:r>
            <w:r>
              <w:rPr>
                <w:rFonts w:hint="eastAsia" w:ascii="宋体" w:hAnsi="宋体" w:eastAsia="宋体" w:cs="宋体"/>
                <w:color w:val="auto"/>
                <w:sz w:val="24"/>
                <w:szCs w:val="28"/>
              </w:rPr>
              <w:t>审计报告的可提供2023年度</w:t>
            </w:r>
            <w:r>
              <w:rPr>
                <w:rFonts w:hint="eastAsia" w:ascii="宋体" w:hAnsi="宋体" w:eastAsia="宋体" w:cs="宋体"/>
                <w:color w:val="auto"/>
                <w:sz w:val="24"/>
                <w:szCs w:val="28"/>
                <w:lang w:eastAsia="zh-CN"/>
              </w:rPr>
              <w:t>或</w:t>
            </w:r>
            <w:r>
              <w:rPr>
                <w:rFonts w:hint="eastAsia" w:ascii="宋体" w:hAnsi="宋体" w:eastAsia="宋体" w:cs="宋体"/>
                <w:color w:val="auto"/>
                <w:sz w:val="24"/>
                <w:szCs w:val="28"/>
                <w:lang w:val="en-US" w:eastAsia="zh-CN"/>
              </w:rPr>
              <w:t>2024年度</w:t>
            </w:r>
            <w:r>
              <w:rPr>
                <w:rFonts w:hint="eastAsia" w:ascii="宋体" w:hAnsi="宋体" w:eastAsia="宋体" w:cs="宋体"/>
                <w:color w:val="auto"/>
                <w:sz w:val="24"/>
                <w:szCs w:val="28"/>
              </w:rPr>
              <w:t>财务状况表（包括资产负债表、现金流量表、利润表），新成立公司需要提供银行资信证明文件。</w:t>
            </w:r>
          </w:p>
        </w:tc>
      </w:tr>
      <w:tr w14:paraId="505818A1">
        <w:tblPrEx>
          <w:tblCellMar>
            <w:top w:w="0" w:type="dxa"/>
            <w:left w:w="108" w:type="dxa"/>
            <w:bottom w:w="0" w:type="dxa"/>
            <w:right w:w="108" w:type="dxa"/>
          </w:tblCellMar>
        </w:tblPrEx>
        <w:trPr>
          <w:trHeight w:val="1775"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14:paraId="4C97D355">
            <w:pPr>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6</w:t>
            </w:r>
          </w:p>
        </w:tc>
        <w:tc>
          <w:tcPr>
            <w:tcW w:w="6809" w:type="dxa"/>
            <w:tcBorders>
              <w:top w:val="single" w:color="auto" w:sz="4" w:space="0"/>
              <w:left w:val="nil"/>
              <w:bottom w:val="single" w:color="auto" w:sz="4" w:space="0"/>
              <w:right w:val="single" w:color="auto" w:sz="4" w:space="0"/>
            </w:tcBorders>
            <w:vAlign w:val="center"/>
          </w:tcPr>
          <w:p w14:paraId="6DC3BF54">
            <w:pPr>
              <w:rPr>
                <w:rFonts w:hint="eastAsia" w:ascii="宋体" w:hAnsi="宋体" w:eastAsia="宋体" w:cs="宋体"/>
                <w:color w:val="auto"/>
                <w:sz w:val="24"/>
                <w:szCs w:val="28"/>
              </w:rPr>
            </w:pPr>
            <w:r>
              <w:rPr>
                <w:rFonts w:hint="eastAsia" w:ascii="宋体" w:hAnsi="宋体" w:eastAsia="宋体" w:cs="宋体"/>
                <w:bCs/>
                <w:color w:val="auto"/>
                <w:sz w:val="24"/>
                <w:szCs w:val="28"/>
              </w:rPr>
              <w:t>供应商“信用中国”网站(www.creditchina.gov.cn)未被列入重大税收违法失信主体、“中国执行信息公开网”（http://zxgk.court.gov.cn/）未被列入失信被执行人、“中国政府采购网”网站（www.ccgp.gov.cn）未被列入政府采购严重违法失信行为记录名单。</w:t>
            </w:r>
          </w:p>
        </w:tc>
      </w:tr>
      <w:tr w14:paraId="527C04FF">
        <w:tblPrEx>
          <w:tblCellMar>
            <w:top w:w="0" w:type="dxa"/>
            <w:left w:w="108" w:type="dxa"/>
            <w:bottom w:w="0" w:type="dxa"/>
            <w:right w:w="108" w:type="dxa"/>
          </w:tblCellMar>
        </w:tblPrEx>
        <w:trPr>
          <w:trHeight w:val="654"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14:paraId="5A597A4B">
            <w:pPr>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7</w:t>
            </w:r>
          </w:p>
        </w:tc>
        <w:tc>
          <w:tcPr>
            <w:tcW w:w="6809" w:type="dxa"/>
            <w:tcBorders>
              <w:top w:val="single" w:color="auto" w:sz="4" w:space="0"/>
              <w:left w:val="nil"/>
              <w:bottom w:val="single" w:color="auto" w:sz="4" w:space="0"/>
              <w:right w:val="single" w:color="auto" w:sz="4" w:space="0"/>
            </w:tcBorders>
            <w:vAlign w:val="center"/>
          </w:tcPr>
          <w:p w14:paraId="08672281">
            <w:pPr>
              <w:rPr>
                <w:rFonts w:hint="eastAsia" w:ascii="宋体" w:hAnsi="宋体" w:eastAsia="宋体" w:cs="宋体"/>
                <w:color w:val="auto"/>
                <w:sz w:val="24"/>
                <w:szCs w:val="28"/>
                <w:lang w:eastAsia="zh-CN"/>
              </w:rPr>
            </w:pPr>
            <w:r>
              <w:rPr>
                <w:rFonts w:hint="eastAsia" w:ascii="宋体" w:hAnsi="宋体" w:eastAsia="宋体" w:cs="宋体"/>
                <w:color w:val="auto"/>
                <w:sz w:val="24"/>
                <w:szCs w:val="28"/>
              </w:rPr>
              <w:t>投标保证金的有效凭证</w:t>
            </w:r>
            <w:r>
              <w:rPr>
                <w:rFonts w:hint="eastAsia" w:ascii="宋体" w:hAnsi="宋体" w:eastAsia="宋体" w:cs="宋体"/>
                <w:color w:val="auto"/>
                <w:sz w:val="24"/>
                <w:szCs w:val="28"/>
                <w:lang w:eastAsia="zh-CN"/>
              </w:rPr>
              <w:t>。</w:t>
            </w:r>
          </w:p>
        </w:tc>
      </w:tr>
      <w:tr w14:paraId="70D1E319">
        <w:tblPrEx>
          <w:tblCellMar>
            <w:top w:w="0" w:type="dxa"/>
            <w:left w:w="108" w:type="dxa"/>
            <w:bottom w:w="0" w:type="dxa"/>
            <w:right w:w="108" w:type="dxa"/>
          </w:tblCellMar>
        </w:tblPrEx>
        <w:trPr>
          <w:trHeight w:val="654"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14:paraId="4728D202">
            <w:pPr>
              <w:jc w:val="center"/>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8</w:t>
            </w:r>
          </w:p>
        </w:tc>
        <w:tc>
          <w:tcPr>
            <w:tcW w:w="6809" w:type="dxa"/>
            <w:tcBorders>
              <w:top w:val="single" w:color="auto" w:sz="4" w:space="0"/>
              <w:left w:val="nil"/>
              <w:bottom w:val="single" w:color="auto" w:sz="4" w:space="0"/>
              <w:right w:val="single" w:color="auto" w:sz="4" w:space="0"/>
            </w:tcBorders>
            <w:vAlign w:val="center"/>
          </w:tcPr>
          <w:p w14:paraId="140356C7">
            <w:pPr>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rPr>
              <w:t>供应商应为中小企业</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须出具《中小企业声明函》。</w:t>
            </w:r>
          </w:p>
        </w:tc>
      </w:tr>
      <w:tr w14:paraId="78F33ACF">
        <w:tblPrEx>
          <w:tblCellMar>
            <w:top w:w="0" w:type="dxa"/>
            <w:left w:w="108" w:type="dxa"/>
            <w:bottom w:w="0" w:type="dxa"/>
            <w:right w:w="108" w:type="dxa"/>
          </w:tblCellMar>
        </w:tblPrEx>
        <w:trPr>
          <w:trHeight w:val="599" w:hRule="atLeast"/>
          <w:jc w:val="center"/>
        </w:trPr>
        <w:tc>
          <w:tcPr>
            <w:tcW w:w="8089" w:type="dxa"/>
            <w:gridSpan w:val="2"/>
            <w:tcBorders>
              <w:top w:val="single" w:color="auto" w:sz="4" w:space="0"/>
              <w:left w:val="single" w:color="auto" w:sz="4" w:space="0"/>
              <w:bottom w:val="single" w:color="auto" w:sz="4" w:space="0"/>
              <w:right w:val="single" w:color="auto" w:sz="4" w:space="0"/>
            </w:tcBorders>
            <w:vAlign w:val="center"/>
          </w:tcPr>
          <w:p w14:paraId="4C8F0089">
            <w:pPr>
              <w:rPr>
                <w:rFonts w:hint="eastAsia" w:ascii="宋体" w:hAnsi="宋体" w:eastAsia="宋体" w:cs="宋体"/>
                <w:color w:val="auto"/>
                <w:sz w:val="24"/>
                <w:szCs w:val="28"/>
              </w:rPr>
            </w:pPr>
            <w:r>
              <w:rPr>
                <w:rFonts w:hint="eastAsia" w:ascii="宋体" w:hAnsi="宋体" w:eastAsia="宋体" w:cs="宋体"/>
                <w:b/>
                <w:bCs/>
                <w:color w:val="auto"/>
                <w:sz w:val="24"/>
                <w:szCs w:val="28"/>
              </w:rPr>
              <w:t>结论：（通过/不通过）</w:t>
            </w:r>
          </w:p>
        </w:tc>
      </w:tr>
    </w:tbl>
    <w:p w14:paraId="4249397B">
      <w:pPr>
        <w:rPr>
          <w:rFonts w:hint="eastAsia" w:ascii="宋体" w:hAnsi="宋体" w:eastAsia="宋体" w:cs="宋体"/>
          <w:b/>
          <w:bCs/>
          <w:color w:val="auto"/>
          <w:sz w:val="24"/>
          <w:szCs w:val="28"/>
          <w:lang w:val="en-US" w:eastAsia="zh-CN"/>
        </w:rPr>
      </w:pPr>
    </w:p>
    <w:p w14:paraId="550C3861">
      <w:pPr>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资格性审查不通过，不进行下面的评审。</w:t>
      </w:r>
    </w:p>
    <w:p w14:paraId="7DCA2C3B">
      <w:pPr>
        <w:spacing w:line="480" w:lineRule="auto"/>
        <w:rPr>
          <w:rFonts w:hint="eastAsia" w:ascii="宋体" w:hAnsi="宋体" w:eastAsia="宋体" w:cs="宋体"/>
          <w:b/>
          <w:color w:val="auto"/>
          <w:sz w:val="24"/>
          <w:szCs w:val="24"/>
          <w:lang w:val="en-US" w:eastAsia="zh-CN"/>
        </w:rPr>
      </w:pPr>
    </w:p>
    <w:p w14:paraId="2BC315EB">
      <w:pPr>
        <w:spacing w:line="480" w:lineRule="auto"/>
        <w:rPr>
          <w:rFonts w:hint="eastAsia" w:ascii="宋体" w:hAnsi="宋体" w:eastAsia="宋体" w:cs="宋体"/>
          <w:b/>
          <w:color w:val="auto"/>
          <w:sz w:val="24"/>
          <w:szCs w:val="24"/>
          <w:lang w:val="en-US" w:eastAsia="zh-CN"/>
        </w:rPr>
      </w:pPr>
    </w:p>
    <w:p w14:paraId="3504DABF">
      <w:pPr>
        <w:spacing w:line="480" w:lineRule="auto"/>
        <w:rPr>
          <w:rFonts w:hint="eastAsia" w:ascii="宋体" w:hAnsi="宋体" w:eastAsia="宋体" w:cs="宋体"/>
          <w:b/>
          <w:color w:val="auto"/>
          <w:sz w:val="24"/>
          <w:szCs w:val="24"/>
          <w:lang w:val="en-US" w:eastAsia="zh-CN"/>
        </w:rPr>
      </w:pPr>
    </w:p>
    <w:p w14:paraId="1870F340">
      <w:pPr>
        <w:spacing w:line="480" w:lineRule="auto"/>
        <w:rPr>
          <w:rFonts w:hint="eastAsia" w:ascii="宋体" w:hAnsi="宋体" w:eastAsia="宋体" w:cs="宋体"/>
          <w:b/>
          <w:color w:val="auto"/>
          <w:sz w:val="24"/>
          <w:szCs w:val="24"/>
          <w:lang w:val="en-US" w:eastAsia="zh-CN"/>
        </w:rPr>
      </w:pPr>
    </w:p>
    <w:p w14:paraId="37C87933">
      <w:pPr>
        <w:spacing w:line="480" w:lineRule="auto"/>
        <w:rPr>
          <w:rFonts w:hint="eastAsia" w:ascii="宋体" w:hAnsi="宋体" w:eastAsia="宋体" w:cs="宋体"/>
          <w:b/>
          <w:color w:val="auto"/>
          <w:sz w:val="24"/>
          <w:szCs w:val="24"/>
          <w:lang w:val="en-US" w:eastAsia="zh-CN"/>
        </w:rPr>
      </w:pPr>
    </w:p>
    <w:p w14:paraId="396133F6">
      <w:pPr>
        <w:spacing w:line="480" w:lineRule="auto"/>
        <w:rPr>
          <w:rFonts w:hint="eastAsia" w:ascii="宋体" w:hAnsi="宋体" w:eastAsia="宋体" w:cs="宋体"/>
          <w:b/>
          <w:color w:val="auto"/>
          <w:sz w:val="24"/>
          <w:szCs w:val="24"/>
          <w:lang w:val="en-US" w:eastAsia="zh-CN"/>
        </w:rPr>
      </w:pPr>
    </w:p>
    <w:p w14:paraId="4C4B33BC">
      <w:pPr>
        <w:spacing w:line="360" w:lineRule="auto"/>
        <w:jc w:val="center"/>
        <w:rPr>
          <w:rFonts w:hint="eastAsia" w:ascii="宋体" w:hAnsi="宋体" w:eastAsia="宋体" w:cs="宋体"/>
          <w:b/>
          <w:bCs/>
          <w:color w:val="auto"/>
          <w:sz w:val="24"/>
          <w:szCs w:val="28"/>
        </w:rPr>
      </w:pPr>
      <w:r>
        <w:rPr>
          <w:rFonts w:hint="eastAsia" w:ascii="宋体" w:hAnsi="宋体" w:eastAsia="宋体" w:cs="宋体"/>
          <w:b/>
          <w:bCs/>
          <w:color w:val="auto"/>
          <w:sz w:val="24"/>
          <w:szCs w:val="28"/>
        </w:rPr>
        <w:t>《符合性检查标准》</w:t>
      </w:r>
    </w:p>
    <w:tbl>
      <w:tblPr>
        <w:tblStyle w:val="27"/>
        <w:tblW w:w="8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327"/>
      </w:tblGrid>
      <w:tr w14:paraId="200C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vMerge w:val="restart"/>
            <w:vAlign w:val="center"/>
          </w:tcPr>
          <w:p w14:paraId="53FC2E27">
            <w:pPr>
              <w:jc w:val="center"/>
              <w:rPr>
                <w:rFonts w:hint="eastAsia" w:ascii="宋体" w:hAnsi="宋体" w:eastAsia="宋体" w:cs="宋体"/>
                <w:color w:val="auto"/>
                <w:sz w:val="24"/>
                <w:szCs w:val="28"/>
              </w:rPr>
            </w:pPr>
            <w:r>
              <w:rPr>
                <w:rFonts w:hint="eastAsia" w:ascii="宋体" w:hAnsi="宋体" w:eastAsia="宋体" w:cs="宋体"/>
                <w:color w:val="auto"/>
                <w:sz w:val="24"/>
                <w:szCs w:val="28"/>
              </w:rPr>
              <w:t>序号</w:t>
            </w:r>
          </w:p>
        </w:tc>
        <w:tc>
          <w:tcPr>
            <w:tcW w:w="7327" w:type="dxa"/>
            <w:vMerge w:val="restart"/>
            <w:vAlign w:val="center"/>
          </w:tcPr>
          <w:p w14:paraId="3A9971E3">
            <w:pPr>
              <w:jc w:val="center"/>
              <w:rPr>
                <w:rFonts w:hint="eastAsia" w:ascii="宋体" w:hAnsi="宋体" w:eastAsia="宋体" w:cs="宋体"/>
                <w:color w:val="auto"/>
                <w:sz w:val="24"/>
                <w:szCs w:val="28"/>
              </w:rPr>
            </w:pPr>
            <w:r>
              <w:rPr>
                <w:rFonts w:hint="eastAsia" w:ascii="宋体" w:hAnsi="宋体" w:eastAsia="宋体" w:cs="宋体"/>
                <w:color w:val="auto"/>
                <w:sz w:val="24"/>
                <w:szCs w:val="28"/>
              </w:rPr>
              <w:t>评审内容</w:t>
            </w:r>
          </w:p>
        </w:tc>
      </w:tr>
      <w:tr w14:paraId="1F9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4" w:type="dxa"/>
            <w:vMerge w:val="continue"/>
            <w:vAlign w:val="center"/>
          </w:tcPr>
          <w:p w14:paraId="46200D47">
            <w:pPr>
              <w:jc w:val="center"/>
              <w:rPr>
                <w:rFonts w:hint="eastAsia" w:ascii="宋体" w:hAnsi="宋体" w:eastAsia="宋体" w:cs="宋体"/>
                <w:color w:val="auto"/>
                <w:sz w:val="24"/>
                <w:szCs w:val="28"/>
              </w:rPr>
            </w:pPr>
          </w:p>
        </w:tc>
        <w:tc>
          <w:tcPr>
            <w:tcW w:w="7327" w:type="dxa"/>
            <w:vMerge w:val="continue"/>
            <w:vAlign w:val="center"/>
          </w:tcPr>
          <w:p w14:paraId="1B3048F3">
            <w:pPr>
              <w:rPr>
                <w:rFonts w:hint="eastAsia" w:ascii="宋体" w:hAnsi="宋体" w:eastAsia="宋体" w:cs="宋体"/>
                <w:color w:val="auto"/>
                <w:sz w:val="24"/>
                <w:szCs w:val="28"/>
              </w:rPr>
            </w:pPr>
          </w:p>
        </w:tc>
      </w:tr>
      <w:tr w14:paraId="2D6C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vAlign w:val="center"/>
          </w:tcPr>
          <w:p w14:paraId="64883BE5">
            <w:pPr>
              <w:jc w:val="center"/>
              <w:rPr>
                <w:rFonts w:hint="eastAsia" w:ascii="宋体" w:hAnsi="宋体" w:eastAsia="宋体" w:cs="宋体"/>
                <w:color w:val="auto"/>
                <w:sz w:val="24"/>
                <w:szCs w:val="28"/>
              </w:rPr>
            </w:pPr>
            <w:r>
              <w:rPr>
                <w:rFonts w:hint="eastAsia" w:ascii="宋体" w:hAnsi="宋体" w:eastAsia="宋体" w:cs="宋体"/>
                <w:color w:val="auto"/>
                <w:sz w:val="24"/>
                <w:szCs w:val="28"/>
              </w:rPr>
              <w:t>1</w:t>
            </w:r>
          </w:p>
        </w:tc>
        <w:tc>
          <w:tcPr>
            <w:tcW w:w="7327" w:type="dxa"/>
            <w:vAlign w:val="center"/>
          </w:tcPr>
          <w:p w14:paraId="56A2C71C">
            <w:pP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rPr>
              <w:t>不具备</w:t>
            </w:r>
            <w:r>
              <w:rPr>
                <w:rFonts w:hint="eastAsia" w:ascii="宋体" w:hAnsi="宋体" w:eastAsia="宋体" w:cs="宋体"/>
                <w:color w:val="auto"/>
                <w:sz w:val="24"/>
                <w:szCs w:val="28"/>
                <w:lang w:eastAsia="zh-CN"/>
              </w:rPr>
              <w:t>谈判文件</w:t>
            </w:r>
            <w:r>
              <w:rPr>
                <w:rFonts w:hint="eastAsia" w:ascii="宋体" w:hAnsi="宋体" w:eastAsia="宋体" w:cs="宋体"/>
                <w:color w:val="auto"/>
                <w:sz w:val="24"/>
                <w:szCs w:val="28"/>
              </w:rPr>
              <w:t>中规定的资格要求的</w:t>
            </w:r>
            <w:r>
              <w:rPr>
                <w:rFonts w:hint="eastAsia" w:ascii="宋体" w:hAnsi="宋体" w:eastAsia="宋体" w:cs="宋体"/>
                <w:color w:val="auto"/>
                <w:sz w:val="24"/>
                <w:szCs w:val="28"/>
                <w:lang w:val="en-US" w:eastAsia="zh-CN"/>
              </w:rPr>
              <w:t>;</w:t>
            </w:r>
          </w:p>
        </w:tc>
      </w:tr>
      <w:tr w14:paraId="2420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4" w:type="dxa"/>
            <w:vAlign w:val="center"/>
          </w:tcPr>
          <w:p w14:paraId="0B138DA5">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w:t>
            </w:r>
          </w:p>
        </w:tc>
        <w:tc>
          <w:tcPr>
            <w:tcW w:w="7327" w:type="dxa"/>
            <w:vAlign w:val="center"/>
          </w:tcPr>
          <w:p w14:paraId="7BDC9C4C">
            <w:pPr>
              <w:rPr>
                <w:rFonts w:hint="eastAsia" w:ascii="宋体" w:hAnsi="宋体" w:eastAsia="宋体" w:cs="宋体"/>
                <w:color w:val="auto"/>
                <w:sz w:val="24"/>
                <w:szCs w:val="28"/>
              </w:rPr>
            </w:pP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未按</w:t>
            </w:r>
            <w:r>
              <w:rPr>
                <w:rFonts w:hint="eastAsia" w:ascii="宋体" w:hAnsi="宋体" w:eastAsia="宋体" w:cs="宋体"/>
                <w:color w:val="auto"/>
                <w:sz w:val="24"/>
                <w:szCs w:val="28"/>
                <w:lang w:eastAsia="zh-CN"/>
              </w:rPr>
              <w:t>谈判文件</w:t>
            </w:r>
            <w:r>
              <w:rPr>
                <w:rFonts w:hint="eastAsia" w:ascii="宋体" w:hAnsi="宋体" w:eastAsia="宋体" w:cs="宋体"/>
                <w:color w:val="auto"/>
                <w:sz w:val="24"/>
                <w:szCs w:val="28"/>
              </w:rPr>
              <w:t>要求签署、盖章的；</w:t>
            </w:r>
          </w:p>
        </w:tc>
      </w:tr>
      <w:tr w14:paraId="03D6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vAlign w:val="center"/>
          </w:tcPr>
          <w:p w14:paraId="11458446">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w:t>
            </w:r>
          </w:p>
        </w:tc>
        <w:tc>
          <w:tcPr>
            <w:tcW w:w="7327" w:type="dxa"/>
            <w:vAlign w:val="center"/>
          </w:tcPr>
          <w:p w14:paraId="5FEB2AF8">
            <w:pPr>
              <w:rPr>
                <w:rFonts w:hint="eastAsia" w:ascii="宋体" w:hAnsi="宋体" w:eastAsia="宋体" w:cs="宋体"/>
                <w:color w:val="auto"/>
                <w:sz w:val="24"/>
                <w:szCs w:val="28"/>
              </w:rPr>
            </w:pP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含有采购人不能接受的附加条件的；</w:t>
            </w:r>
          </w:p>
        </w:tc>
      </w:tr>
      <w:tr w14:paraId="0AF5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4" w:type="dxa"/>
            <w:vAlign w:val="center"/>
          </w:tcPr>
          <w:p w14:paraId="50EA1A00">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4</w:t>
            </w:r>
          </w:p>
        </w:tc>
        <w:tc>
          <w:tcPr>
            <w:tcW w:w="7327" w:type="dxa"/>
            <w:vAlign w:val="center"/>
          </w:tcPr>
          <w:p w14:paraId="7DAC1FCB">
            <w:pPr>
              <w:rPr>
                <w:rFonts w:hint="eastAsia" w:ascii="宋体" w:hAnsi="宋体" w:eastAsia="宋体" w:cs="宋体"/>
                <w:color w:val="auto"/>
                <w:sz w:val="24"/>
                <w:szCs w:val="28"/>
              </w:rPr>
            </w:pPr>
            <w:r>
              <w:rPr>
                <w:rFonts w:hint="eastAsia" w:ascii="宋体" w:hAnsi="宋体" w:eastAsia="宋体" w:cs="宋体"/>
                <w:color w:val="auto"/>
                <w:sz w:val="24"/>
                <w:szCs w:val="28"/>
              </w:rPr>
              <w:t>投标有效期不满足</w:t>
            </w:r>
            <w:r>
              <w:rPr>
                <w:rFonts w:hint="eastAsia" w:ascii="宋体" w:hAnsi="宋体" w:eastAsia="宋体" w:cs="宋体"/>
                <w:color w:val="auto"/>
                <w:sz w:val="24"/>
                <w:szCs w:val="28"/>
                <w:lang w:eastAsia="zh-CN"/>
              </w:rPr>
              <w:t>谈判文件</w:t>
            </w:r>
            <w:r>
              <w:rPr>
                <w:rFonts w:hint="eastAsia" w:ascii="宋体" w:hAnsi="宋体" w:eastAsia="宋体" w:cs="宋体"/>
                <w:color w:val="auto"/>
                <w:sz w:val="24"/>
                <w:szCs w:val="28"/>
              </w:rPr>
              <w:t>要求的；</w:t>
            </w:r>
          </w:p>
        </w:tc>
      </w:tr>
      <w:tr w14:paraId="6229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4" w:type="dxa"/>
            <w:vAlign w:val="center"/>
          </w:tcPr>
          <w:p w14:paraId="4B19A3B5">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5</w:t>
            </w:r>
          </w:p>
        </w:tc>
        <w:tc>
          <w:tcPr>
            <w:tcW w:w="7327" w:type="dxa"/>
            <w:vAlign w:val="center"/>
          </w:tcPr>
          <w:p w14:paraId="61F31D46">
            <w:pPr>
              <w:rPr>
                <w:rFonts w:hint="eastAsia" w:ascii="宋体" w:hAnsi="宋体" w:eastAsia="宋体" w:cs="宋体"/>
                <w:color w:val="auto"/>
                <w:sz w:val="24"/>
                <w:szCs w:val="28"/>
              </w:rPr>
            </w:pPr>
            <w:r>
              <w:rPr>
                <w:rFonts w:hint="eastAsia" w:ascii="宋体" w:hAnsi="宋体" w:eastAsia="宋体" w:cs="宋体"/>
                <w:color w:val="auto"/>
                <w:sz w:val="24"/>
                <w:szCs w:val="28"/>
              </w:rPr>
              <w:t>报价超过</w:t>
            </w:r>
            <w:r>
              <w:rPr>
                <w:rFonts w:hint="eastAsia" w:ascii="宋体" w:hAnsi="宋体" w:eastAsia="宋体" w:cs="宋体"/>
                <w:color w:val="auto"/>
                <w:sz w:val="24"/>
                <w:szCs w:val="28"/>
                <w:lang w:eastAsia="zh-CN"/>
              </w:rPr>
              <w:t>谈判文件</w:t>
            </w:r>
            <w:r>
              <w:rPr>
                <w:rFonts w:hint="eastAsia" w:ascii="宋体" w:hAnsi="宋体" w:eastAsia="宋体" w:cs="宋体"/>
                <w:color w:val="auto"/>
                <w:sz w:val="24"/>
                <w:szCs w:val="28"/>
              </w:rPr>
              <w:t>中规定的预算金额或者最高限价的；或提供的报价是可供选择的（不是唯一报价）；</w:t>
            </w:r>
          </w:p>
        </w:tc>
      </w:tr>
      <w:tr w14:paraId="3043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04" w:type="dxa"/>
            <w:vAlign w:val="center"/>
          </w:tcPr>
          <w:p w14:paraId="1FED36F2">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w:t>
            </w:r>
          </w:p>
        </w:tc>
        <w:tc>
          <w:tcPr>
            <w:tcW w:w="7327" w:type="dxa"/>
            <w:vAlign w:val="center"/>
          </w:tcPr>
          <w:p w14:paraId="0EBF9402">
            <w:pPr>
              <w:rPr>
                <w:rFonts w:hint="eastAsia" w:ascii="宋体" w:hAnsi="宋体" w:eastAsia="宋体" w:cs="宋体"/>
                <w:color w:val="auto"/>
                <w:sz w:val="24"/>
                <w:szCs w:val="28"/>
              </w:rPr>
            </w:pPr>
            <w:r>
              <w:rPr>
                <w:rFonts w:hint="eastAsia" w:ascii="宋体" w:hAnsi="宋体" w:eastAsia="宋体" w:cs="宋体"/>
                <w:color w:val="auto"/>
                <w:sz w:val="24"/>
                <w:szCs w:val="28"/>
              </w:rPr>
              <w:t>投标人未进行分项报价或分项报价的构成未能准确全部反映所投产品价格组成或有所隐含，有可能致使在合同履行过程中引起纠纷（非正常追加或索赔等）或不能诚信履约的；</w:t>
            </w:r>
          </w:p>
        </w:tc>
      </w:tr>
      <w:tr w14:paraId="1E7A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4" w:type="dxa"/>
            <w:vAlign w:val="center"/>
          </w:tcPr>
          <w:p w14:paraId="33732D37">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7</w:t>
            </w:r>
          </w:p>
        </w:tc>
        <w:tc>
          <w:tcPr>
            <w:tcW w:w="7327" w:type="dxa"/>
            <w:vAlign w:val="center"/>
          </w:tcPr>
          <w:p w14:paraId="01915462">
            <w:pPr>
              <w:rPr>
                <w:rFonts w:hint="eastAsia" w:ascii="宋体" w:hAnsi="宋体" w:eastAsia="宋体" w:cs="宋体"/>
                <w:color w:val="auto"/>
                <w:sz w:val="24"/>
                <w:szCs w:val="28"/>
              </w:rPr>
            </w:pP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的内容与采购内容及要求（质量、</w:t>
            </w:r>
            <w:r>
              <w:rPr>
                <w:rFonts w:hint="eastAsia" w:ascii="宋体" w:hAnsi="宋体" w:eastAsia="宋体" w:cs="宋体"/>
                <w:color w:val="auto"/>
                <w:sz w:val="24"/>
                <w:szCs w:val="28"/>
                <w:lang w:val="en-US" w:eastAsia="zh-CN"/>
              </w:rPr>
              <w:t>商务及</w:t>
            </w:r>
            <w:r>
              <w:rPr>
                <w:rFonts w:hint="eastAsia" w:ascii="宋体" w:hAnsi="宋体" w:eastAsia="宋体" w:cs="宋体"/>
                <w:color w:val="auto"/>
                <w:sz w:val="24"/>
                <w:szCs w:val="28"/>
              </w:rPr>
              <w:t>技术要求，</w:t>
            </w:r>
            <w:r>
              <w:rPr>
                <w:rFonts w:hint="eastAsia" w:ascii="宋体" w:hAnsi="宋体" w:eastAsia="宋体" w:cs="宋体"/>
                <w:color w:val="auto"/>
                <w:sz w:val="24"/>
                <w:szCs w:val="28"/>
                <w:lang w:eastAsia="zh-CN"/>
              </w:rPr>
              <w:t>合同履约期限</w:t>
            </w:r>
            <w:r>
              <w:rPr>
                <w:rFonts w:hint="eastAsia" w:ascii="宋体" w:hAnsi="宋体" w:eastAsia="宋体" w:cs="宋体"/>
                <w:color w:val="auto"/>
                <w:sz w:val="24"/>
                <w:szCs w:val="28"/>
              </w:rPr>
              <w:t>、付款方式等）有重大偏离或保留的；</w:t>
            </w:r>
          </w:p>
        </w:tc>
      </w:tr>
      <w:tr w14:paraId="5D73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41379F3D">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8</w:t>
            </w:r>
          </w:p>
        </w:tc>
        <w:tc>
          <w:tcPr>
            <w:tcW w:w="7327" w:type="dxa"/>
            <w:vAlign w:val="center"/>
          </w:tcPr>
          <w:p w14:paraId="668288A5">
            <w:pPr>
              <w:rPr>
                <w:rFonts w:hint="eastAsia" w:ascii="宋体" w:hAnsi="宋体" w:eastAsia="宋体" w:cs="宋体"/>
                <w:color w:val="auto"/>
                <w:sz w:val="24"/>
                <w:szCs w:val="28"/>
              </w:rPr>
            </w:pPr>
            <w:r>
              <w:rPr>
                <w:rFonts w:hint="eastAsia" w:ascii="宋体" w:hAnsi="宋体" w:eastAsia="宋体" w:cs="宋体"/>
                <w:color w:val="auto"/>
                <w:sz w:val="24"/>
                <w:szCs w:val="28"/>
              </w:rPr>
              <w:t>存在财政部令第87号文第三十七条规定串通投标的情形之一的；</w:t>
            </w:r>
          </w:p>
        </w:tc>
      </w:tr>
      <w:tr w14:paraId="2BF5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0E702955">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9</w:t>
            </w:r>
          </w:p>
        </w:tc>
        <w:tc>
          <w:tcPr>
            <w:tcW w:w="7327" w:type="dxa"/>
            <w:vAlign w:val="center"/>
          </w:tcPr>
          <w:p w14:paraId="61BE0089">
            <w:pPr>
              <w:rPr>
                <w:rFonts w:hint="eastAsia" w:ascii="宋体" w:hAnsi="宋体" w:eastAsia="宋体" w:cs="宋体"/>
                <w:color w:val="auto"/>
                <w:sz w:val="24"/>
                <w:szCs w:val="28"/>
              </w:rPr>
            </w:pP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的内容组成不符合</w:t>
            </w:r>
            <w:r>
              <w:rPr>
                <w:rFonts w:hint="eastAsia" w:ascii="宋体" w:hAnsi="宋体" w:eastAsia="宋体" w:cs="宋体"/>
                <w:color w:val="auto"/>
                <w:sz w:val="24"/>
                <w:szCs w:val="28"/>
                <w:lang w:eastAsia="zh-CN"/>
              </w:rPr>
              <w:t>谈判文件</w:t>
            </w:r>
            <w:r>
              <w:rPr>
                <w:rFonts w:hint="eastAsia" w:ascii="宋体" w:hAnsi="宋体" w:eastAsia="宋体" w:cs="宋体"/>
                <w:color w:val="auto"/>
                <w:sz w:val="24"/>
                <w:szCs w:val="28"/>
              </w:rPr>
              <w:t>要求的；</w:t>
            </w:r>
          </w:p>
        </w:tc>
      </w:tr>
      <w:tr w14:paraId="0101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04" w:type="dxa"/>
            <w:vAlign w:val="center"/>
          </w:tcPr>
          <w:p w14:paraId="09BEC911">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10</w:t>
            </w:r>
          </w:p>
        </w:tc>
        <w:tc>
          <w:tcPr>
            <w:tcW w:w="7327" w:type="dxa"/>
            <w:vAlign w:val="center"/>
          </w:tcPr>
          <w:p w14:paraId="083B8A8F">
            <w:pPr>
              <w:rPr>
                <w:rFonts w:hint="eastAsia" w:ascii="宋体" w:hAnsi="宋体" w:eastAsia="宋体" w:cs="宋体"/>
                <w:color w:val="auto"/>
                <w:sz w:val="24"/>
                <w:szCs w:val="28"/>
              </w:rPr>
            </w:pP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中提供虚假或失实资料的，骗取中标的；</w:t>
            </w:r>
          </w:p>
        </w:tc>
      </w:tr>
      <w:tr w14:paraId="7D74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376678BE">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11</w:t>
            </w:r>
          </w:p>
        </w:tc>
        <w:tc>
          <w:tcPr>
            <w:tcW w:w="7327" w:type="dxa"/>
            <w:vAlign w:val="center"/>
          </w:tcPr>
          <w:p w14:paraId="52F643E9">
            <w:pPr>
              <w:rPr>
                <w:rFonts w:hint="eastAsia" w:ascii="宋体" w:hAnsi="宋体" w:eastAsia="宋体" w:cs="宋体"/>
                <w:color w:val="auto"/>
                <w:sz w:val="24"/>
                <w:szCs w:val="28"/>
              </w:rPr>
            </w:pPr>
            <w:r>
              <w:rPr>
                <w:rFonts w:hint="eastAsia" w:ascii="宋体" w:hAnsi="宋体" w:eastAsia="宋体" w:cs="宋体"/>
                <w:color w:val="auto"/>
                <w:sz w:val="24"/>
                <w:szCs w:val="28"/>
              </w:rPr>
              <w:t>法律、法规和</w:t>
            </w:r>
            <w:r>
              <w:rPr>
                <w:rFonts w:hint="eastAsia" w:ascii="宋体" w:hAnsi="宋体" w:eastAsia="宋体" w:cs="宋体"/>
                <w:color w:val="auto"/>
                <w:sz w:val="24"/>
                <w:szCs w:val="28"/>
                <w:lang w:eastAsia="zh-CN"/>
              </w:rPr>
              <w:t>谈判文件</w:t>
            </w:r>
            <w:r>
              <w:rPr>
                <w:rFonts w:hint="eastAsia" w:ascii="宋体" w:hAnsi="宋体" w:eastAsia="宋体" w:cs="宋体"/>
                <w:color w:val="auto"/>
                <w:sz w:val="24"/>
                <w:szCs w:val="28"/>
              </w:rPr>
              <w:t>规定的其他无效情形；</w:t>
            </w:r>
          </w:p>
        </w:tc>
      </w:tr>
      <w:tr w14:paraId="093D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1" w:type="dxa"/>
            <w:gridSpan w:val="2"/>
            <w:vAlign w:val="center"/>
          </w:tcPr>
          <w:p w14:paraId="52FD4E6B">
            <w:pPr>
              <w:rPr>
                <w:rFonts w:hint="eastAsia" w:ascii="宋体" w:hAnsi="宋体" w:eastAsia="宋体" w:cs="宋体"/>
                <w:color w:val="auto"/>
                <w:sz w:val="24"/>
                <w:szCs w:val="28"/>
              </w:rPr>
            </w:pPr>
            <w:r>
              <w:rPr>
                <w:rFonts w:hint="eastAsia" w:ascii="宋体" w:hAnsi="宋体" w:eastAsia="宋体" w:cs="宋体"/>
                <w:b/>
                <w:bCs/>
                <w:color w:val="auto"/>
                <w:sz w:val="24"/>
                <w:szCs w:val="28"/>
              </w:rPr>
              <w:t>结论：（通过/不通过）</w:t>
            </w:r>
          </w:p>
        </w:tc>
      </w:tr>
    </w:tbl>
    <w:p w14:paraId="33A3D323">
      <w:pPr>
        <w:rPr>
          <w:rFonts w:hint="eastAsia" w:ascii="宋体" w:hAnsi="宋体" w:eastAsia="宋体" w:cs="宋体"/>
          <w:b/>
          <w:bCs/>
          <w:color w:val="auto"/>
          <w:sz w:val="24"/>
          <w:szCs w:val="28"/>
          <w:lang w:val="en-US" w:eastAsia="zh-CN"/>
        </w:rPr>
      </w:pPr>
    </w:p>
    <w:p w14:paraId="17E865A3">
      <w:pPr>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响应性文件符合性审查通过的投标企业，进入下一步(商务标)详细评审阶段，未通过响应文件响应程度符合性审查的企业，其投标作为无效标，不进入后期评审阶段。</w:t>
      </w:r>
    </w:p>
    <w:p w14:paraId="2232E5F0">
      <w:pPr>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备注:为方便评标专家的比对，请投标企业在技术参数及技术规格偏离表中对所投产品进行详细描述。</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G Times">
    <w:altName w:val="Times New Roman"/>
    <w:panose1 w:val="02020603050405020304"/>
    <w:charset w:val="00"/>
    <w:family w:val="roman"/>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271576"/>
      <w:docPartObj>
        <w:docPartGallery w:val="autotext"/>
      </w:docPartObj>
    </w:sdtPr>
    <w:sdtContent>
      <w:p w14:paraId="296C0136">
        <w:pPr>
          <w:pStyle w:val="20"/>
          <w:jc w:val="center"/>
        </w:pPr>
        <w:r>
          <w:fldChar w:fldCharType="begin"/>
        </w:r>
        <w:r>
          <w:instrText xml:space="preserve">PAGE   \* MERGEFORMAT</w:instrText>
        </w:r>
        <w:r>
          <w:fldChar w:fldCharType="separate"/>
        </w:r>
        <w:r>
          <w:rPr>
            <w:lang w:val="zh-CN"/>
          </w:rPr>
          <w:t>2</w:t>
        </w:r>
        <w:r>
          <w:fldChar w:fldCharType="end"/>
        </w:r>
      </w:p>
    </w:sdtContent>
  </w:sdt>
  <w:p w14:paraId="05953D9C">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6057">
    <w:pPr>
      <w:ind w:right="-92"/>
      <w:rPr>
        <w:rFonts w:hint="eastAsia"/>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14" name="文本框 15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D81309">
                          <w:pPr>
                            <w:pStyle w:val="20"/>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wnQLWzAEAAKEDAAAOAAAAAAAAAAEAIAAAAB4BAABkcnMvZTJv&#10;RG9jLnhtbFBLBQYAAAAABgAGAFkBAABcBQAAAAA=&#10;">
              <v:fill on="f" focussize="0,0"/>
              <v:stroke on="f"/>
              <v:imagedata o:title=""/>
              <o:lock v:ext="edit" aspectratio="f"/>
              <v:textbox inset="0mm,0mm,0mm,0mm" style="mso-fit-shape-to-text:t;">
                <w:txbxContent>
                  <w:p w14:paraId="3ED81309">
                    <w:pPr>
                      <w:pStyle w:val="2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BD808">
    <w:r>
      <w:pict>
        <v:shape id="文本框 3"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963EF97">
                <w:pPr>
                  <w:pStyle w:val="20"/>
                </w:pPr>
                <w:r>
                  <w:rPr>
                    <w:rFonts w:ascii="Tahoma" w:hAnsi="Tahoma" w:cs="Tahoma"/>
                    <w:kern w:val="0"/>
                    <w:szCs w:val="21"/>
                  </w:rPr>
                  <w:fldChar w:fldCharType="begin"/>
                </w:r>
                <w:r>
                  <w:rPr>
                    <w:rStyle w:val="31"/>
                    <w:rFonts w:ascii="Tahoma" w:hAnsi="Tahoma" w:cs="Tahoma"/>
                    <w:kern w:val="0"/>
                    <w:szCs w:val="21"/>
                  </w:rPr>
                  <w:instrText xml:space="preserve"> PAGE  </w:instrText>
                </w:r>
                <w:r>
                  <w:rPr>
                    <w:rFonts w:ascii="Tahoma" w:hAnsi="Tahoma" w:cs="Tahoma"/>
                    <w:kern w:val="0"/>
                    <w:szCs w:val="21"/>
                  </w:rPr>
                  <w:fldChar w:fldCharType="separate"/>
                </w:r>
                <w:r>
                  <w:rPr>
                    <w:rStyle w:val="31"/>
                    <w:rFonts w:ascii="Tahoma" w:hAnsi="Tahoma" w:cs="Tahoma"/>
                    <w:kern w:val="0"/>
                    <w:szCs w:val="21"/>
                  </w:rPr>
                  <w:t>54</w:t>
                </w:r>
                <w:r>
                  <w:rPr>
                    <w:rFonts w:ascii="Tahoma" w:hAnsi="Tahoma" w:cs="Tahoma"/>
                    <w:kern w:val="0"/>
                    <w:szCs w:val="21"/>
                  </w:rPr>
                  <w:fldChar w:fldCharType="end"/>
                </w:r>
                <w:r>
                  <w:rPr>
                    <w:kern w:val="0"/>
                    <w:szCs w:val="21"/>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C272">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2B32">
    <w:pPr>
      <w:pStyle w:val="2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587BB"/>
    <w:multiLevelType w:val="singleLevel"/>
    <w:tmpl w:val="CA0587BB"/>
    <w:lvl w:ilvl="0" w:tentative="0">
      <w:start w:val="1"/>
      <w:numFmt w:val="decimal"/>
      <w:suff w:val="nothing"/>
      <w:lvlText w:val="（%1）"/>
      <w:lvlJc w:val="left"/>
    </w:lvl>
  </w:abstractNum>
  <w:abstractNum w:abstractNumId="1">
    <w:nsid w:val="E38B009A"/>
    <w:multiLevelType w:val="singleLevel"/>
    <w:tmpl w:val="E38B009A"/>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tabs>
          <w:tab w:val="left" w:pos="425"/>
        </w:tabs>
        <w:ind w:left="425" w:hanging="425"/>
      </w:pPr>
      <w:rPr>
        <w:rFonts w:hint="eastAsia"/>
      </w:rPr>
    </w:lvl>
  </w:abstractNum>
  <w:abstractNum w:abstractNumId="3">
    <w:nsid w:val="00000004"/>
    <w:multiLevelType w:val="multilevel"/>
    <w:tmpl w:val="00000004"/>
    <w:lvl w:ilvl="0" w:tentative="0">
      <w:start w:val="1"/>
      <w:numFmt w:val="chineseCountingThousand"/>
      <w:pStyle w:val="5"/>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3"/>
    <w:multiLevelType w:val="singleLevel"/>
    <w:tmpl w:val="00000013"/>
    <w:lvl w:ilvl="0" w:tentative="0">
      <w:start w:val="18"/>
      <w:numFmt w:val="decimal"/>
      <w:suff w:val="nothing"/>
      <w:lvlText w:val="%1、"/>
      <w:lvlJc w:val="left"/>
    </w:lvl>
  </w:abstractNum>
  <w:abstractNum w:abstractNumId="5">
    <w:nsid w:val="402B9E85"/>
    <w:multiLevelType w:val="singleLevel"/>
    <w:tmpl w:val="402B9E85"/>
    <w:lvl w:ilvl="0" w:tentative="0">
      <w:start w:val="2"/>
      <w:numFmt w:val="chineseCounting"/>
      <w:suff w:val="space"/>
      <w:lvlText w:val="第%1章"/>
      <w:lvlJc w:val="left"/>
      <w:rPr>
        <w:rFonts w:hint="eastAsia"/>
      </w:rPr>
    </w:lvl>
  </w:abstractNum>
  <w:abstractNum w:abstractNumId="6">
    <w:nsid w:val="40A13695"/>
    <w:multiLevelType w:val="singleLevel"/>
    <w:tmpl w:val="40A13695"/>
    <w:lvl w:ilvl="0" w:tentative="0">
      <w:start w:val="1"/>
      <w:numFmt w:val="decimal"/>
      <w:suff w:val="nothing"/>
      <w:lvlText w:val="（%1）"/>
      <w:lvlJc w:val="left"/>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MWJiNmU2ODQ0NmM1ZGI4MDg4NmFlZmI2MTU1YmQifQ=="/>
  </w:docVars>
  <w:rsids>
    <w:rsidRoot w:val="00AC2925"/>
    <w:rsid w:val="00002F29"/>
    <w:rsid w:val="000115CF"/>
    <w:rsid w:val="00040823"/>
    <w:rsid w:val="00060EE2"/>
    <w:rsid w:val="00096B7A"/>
    <w:rsid w:val="000A146F"/>
    <w:rsid w:val="000B4CAF"/>
    <w:rsid w:val="000C120F"/>
    <w:rsid w:val="000D32AC"/>
    <w:rsid w:val="00196F69"/>
    <w:rsid w:val="001B126E"/>
    <w:rsid w:val="001C6DB0"/>
    <w:rsid w:val="00212FF0"/>
    <w:rsid w:val="0021477E"/>
    <w:rsid w:val="00217CFA"/>
    <w:rsid w:val="00223F82"/>
    <w:rsid w:val="00232AC4"/>
    <w:rsid w:val="00240D21"/>
    <w:rsid w:val="0026420C"/>
    <w:rsid w:val="002725F6"/>
    <w:rsid w:val="00273B49"/>
    <w:rsid w:val="0029404D"/>
    <w:rsid w:val="00313669"/>
    <w:rsid w:val="00314AF5"/>
    <w:rsid w:val="00377076"/>
    <w:rsid w:val="00394C9A"/>
    <w:rsid w:val="00397E09"/>
    <w:rsid w:val="003A762C"/>
    <w:rsid w:val="003C264B"/>
    <w:rsid w:val="003C473A"/>
    <w:rsid w:val="003D0CDA"/>
    <w:rsid w:val="00404750"/>
    <w:rsid w:val="00414F31"/>
    <w:rsid w:val="00436E3B"/>
    <w:rsid w:val="004400E9"/>
    <w:rsid w:val="004A4511"/>
    <w:rsid w:val="004A4F5B"/>
    <w:rsid w:val="004B6452"/>
    <w:rsid w:val="004C5BED"/>
    <w:rsid w:val="0051068B"/>
    <w:rsid w:val="005134F7"/>
    <w:rsid w:val="00535AF7"/>
    <w:rsid w:val="00572421"/>
    <w:rsid w:val="0058209E"/>
    <w:rsid w:val="00585E92"/>
    <w:rsid w:val="005A0EB5"/>
    <w:rsid w:val="005C2062"/>
    <w:rsid w:val="005C2D6C"/>
    <w:rsid w:val="00615564"/>
    <w:rsid w:val="006361CE"/>
    <w:rsid w:val="00661916"/>
    <w:rsid w:val="006C0A5B"/>
    <w:rsid w:val="006C58B4"/>
    <w:rsid w:val="007043C0"/>
    <w:rsid w:val="00706E08"/>
    <w:rsid w:val="007103B0"/>
    <w:rsid w:val="00711A95"/>
    <w:rsid w:val="007167A8"/>
    <w:rsid w:val="007366E6"/>
    <w:rsid w:val="007615A7"/>
    <w:rsid w:val="007645E6"/>
    <w:rsid w:val="0077018F"/>
    <w:rsid w:val="007A1084"/>
    <w:rsid w:val="007A7D2B"/>
    <w:rsid w:val="007B1E34"/>
    <w:rsid w:val="007F44C3"/>
    <w:rsid w:val="00813C39"/>
    <w:rsid w:val="00830F91"/>
    <w:rsid w:val="00845237"/>
    <w:rsid w:val="00852E7D"/>
    <w:rsid w:val="00870434"/>
    <w:rsid w:val="008D6682"/>
    <w:rsid w:val="008F53E8"/>
    <w:rsid w:val="008F576F"/>
    <w:rsid w:val="0090334E"/>
    <w:rsid w:val="0090736A"/>
    <w:rsid w:val="0095410E"/>
    <w:rsid w:val="00956A08"/>
    <w:rsid w:val="00961144"/>
    <w:rsid w:val="00970B2F"/>
    <w:rsid w:val="009A4869"/>
    <w:rsid w:val="009C3030"/>
    <w:rsid w:val="009C75D2"/>
    <w:rsid w:val="009D3C04"/>
    <w:rsid w:val="00A00A38"/>
    <w:rsid w:val="00A06D0C"/>
    <w:rsid w:val="00A20833"/>
    <w:rsid w:val="00A42A22"/>
    <w:rsid w:val="00A44C1E"/>
    <w:rsid w:val="00A52B60"/>
    <w:rsid w:val="00A54A09"/>
    <w:rsid w:val="00A60C3F"/>
    <w:rsid w:val="00A7598E"/>
    <w:rsid w:val="00A77EB0"/>
    <w:rsid w:val="00A84824"/>
    <w:rsid w:val="00AA2FA7"/>
    <w:rsid w:val="00AC2925"/>
    <w:rsid w:val="00AC31A7"/>
    <w:rsid w:val="00AC707D"/>
    <w:rsid w:val="00B20A74"/>
    <w:rsid w:val="00B32AD8"/>
    <w:rsid w:val="00B37008"/>
    <w:rsid w:val="00BC672F"/>
    <w:rsid w:val="00BD4713"/>
    <w:rsid w:val="00BD6A9D"/>
    <w:rsid w:val="00BE146A"/>
    <w:rsid w:val="00BE6D66"/>
    <w:rsid w:val="00C062C1"/>
    <w:rsid w:val="00C24F4B"/>
    <w:rsid w:val="00C70209"/>
    <w:rsid w:val="00CA4D47"/>
    <w:rsid w:val="00CB20E1"/>
    <w:rsid w:val="00CD3D3B"/>
    <w:rsid w:val="00CD526B"/>
    <w:rsid w:val="00D011D6"/>
    <w:rsid w:val="00D15C26"/>
    <w:rsid w:val="00D2641D"/>
    <w:rsid w:val="00D42107"/>
    <w:rsid w:val="00D608D8"/>
    <w:rsid w:val="00D73919"/>
    <w:rsid w:val="00D80F5D"/>
    <w:rsid w:val="00D934F8"/>
    <w:rsid w:val="00DB56BB"/>
    <w:rsid w:val="00DE2BBE"/>
    <w:rsid w:val="00DE5AA9"/>
    <w:rsid w:val="00DE7517"/>
    <w:rsid w:val="00E06B68"/>
    <w:rsid w:val="00E22B27"/>
    <w:rsid w:val="00E47876"/>
    <w:rsid w:val="00E54E0A"/>
    <w:rsid w:val="00E7537B"/>
    <w:rsid w:val="00EB2ACC"/>
    <w:rsid w:val="00EE1FAF"/>
    <w:rsid w:val="00F16D6D"/>
    <w:rsid w:val="00F63028"/>
    <w:rsid w:val="00F64E30"/>
    <w:rsid w:val="00F84E4E"/>
    <w:rsid w:val="00FA094E"/>
    <w:rsid w:val="00FE22A2"/>
    <w:rsid w:val="00FE71D4"/>
    <w:rsid w:val="022A49B8"/>
    <w:rsid w:val="023F2212"/>
    <w:rsid w:val="028231EB"/>
    <w:rsid w:val="02A84121"/>
    <w:rsid w:val="04CE5ACF"/>
    <w:rsid w:val="051536FE"/>
    <w:rsid w:val="054C0D3C"/>
    <w:rsid w:val="07D67769"/>
    <w:rsid w:val="07E73150"/>
    <w:rsid w:val="081128F0"/>
    <w:rsid w:val="08D3254A"/>
    <w:rsid w:val="09870374"/>
    <w:rsid w:val="0A78795B"/>
    <w:rsid w:val="0B57681E"/>
    <w:rsid w:val="0BA62E75"/>
    <w:rsid w:val="109D14EB"/>
    <w:rsid w:val="129775D0"/>
    <w:rsid w:val="12AE38A2"/>
    <w:rsid w:val="132000C8"/>
    <w:rsid w:val="136E2BCD"/>
    <w:rsid w:val="13A86397"/>
    <w:rsid w:val="14257900"/>
    <w:rsid w:val="14997296"/>
    <w:rsid w:val="150E1B9B"/>
    <w:rsid w:val="15315ABA"/>
    <w:rsid w:val="164735F9"/>
    <w:rsid w:val="16CE2483"/>
    <w:rsid w:val="17332945"/>
    <w:rsid w:val="1756228D"/>
    <w:rsid w:val="175711CB"/>
    <w:rsid w:val="175F7544"/>
    <w:rsid w:val="17CF21D7"/>
    <w:rsid w:val="18A15A72"/>
    <w:rsid w:val="18B76B4E"/>
    <w:rsid w:val="18E81049"/>
    <w:rsid w:val="1A2C356C"/>
    <w:rsid w:val="1AEF468E"/>
    <w:rsid w:val="1B121353"/>
    <w:rsid w:val="1B6925D9"/>
    <w:rsid w:val="1B9727BD"/>
    <w:rsid w:val="1C344C48"/>
    <w:rsid w:val="1C953EB4"/>
    <w:rsid w:val="1C960761"/>
    <w:rsid w:val="1ED81A83"/>
    <w:rsid w:val="1F6234AA"/>
    <w:rsid w:val="1F6D44C5"/>
    <w:rsid w:val="1F8D23B7"/>
    <w:rsid w:val="1FE76814"/>
    <w:rsid w:val="1FFC4969"/>
    <w:rsid w:val="202A22FB"/>
    <w:rsid w:val="215F38F2"/>
    <w:rsid w:val="2378512C"/>
    <w:rsid w:val="23AB3BDD"/>
    <w:rsid w:val="242D672A"/>
    <w:rsid w:val="2465315D"/>
    <w:rsid w:val="24683927"/>
    <w:rsid w:val="246851A0"/>
    <w:rsid w:val="24B228BF"/>
    <w:rsid w:val="264458BD"/>
    <w:rsid w:val="26600825"/>
    <w:rsid w:val="26A20C72"/>
    <w:rsid w:val="27026AF1"/>
    <w:rsid w:val="278877A2"/>
    <w:rsid w:val="279D7758"/>
    <w:rsid w:val="28CB1816"/>
    <w:rsid w:val="28F61A63"/>
    <w:rsid w:val="2CB257AD"/>
    <w:rsid w:val="2CF663EA"/>
    <w:rsid w:val="2D0A5122"/>
    <w:rsid w:val="2D8868A3"/>
    <w:rsid w:val="2E3A29B3"/>
    <w:rsid w:val="2F2B230B"/>
    <w:rsid w:val="2FB614B6"/>
    <w:rsid w:val="30874C00"/>
    <w:rsid w:val="309E2DC2"/>
    <w:rsid w:val="31A65C05"/>
    <w:rsid w:val="31C854D0"/>
    <w:rsid w:val="32DE750E"/>
    <w:rsid w:val="35A63D7A"/>
    <w:rsid w:val="35DF3090"/>
    <w:rsid w:val="37542028"/>
    <w:rsid w:val="38A5656B"/>
    <w:rsid w:val="392E6561"/>
    <w:rsid w:val="395C7EC9"/>
    <w:rsid w:val="39650B88"/>
    <w:rsid w:val="3A3C6A5B"/>
    <w:rsid w:val="3A75606D"/>
    <w:rsid w:val="3ADB44C6"/>
    <w:rsid w:val="3AFA5CF4"/>
    <w:rsid w:val="3BF96E49"/>
    <w:rsid w:val="3C66356C"/>
    <w:rsid w:val="3CA31014"/>
    <w:rsid w:val="3D0D146E"/>
    <w:rsid w:val="3DC05072"/>
    <w:rsid w:val="3E5A656F"/>
    <w:rsid w:val="3F3D5750"/>
    <w:rsid w:val="3F4E170B"/>
    <w:rsid w:val="3F7B3DF9"/>
    <w:rsid w:val="3FD236ED"/>
    <w:rsid w:val="40201003"/>
    <w:rsid w:val="40323F56"/>
    <w:rsid w:val="41C5086E"/>
    <w:rsid w:val="42DB7E1A"/>
    <w:rsid w:val="43FD2DE3"/>
    <w:rsid w:val="449A71A0"/>
    <w:rsid w:val="458539AC"/>
    <w:rsid w:val="45F078E3"/>
    <w:rsid w:val="47280097"/>
    <w:rsid w:val="48CD5C54"/>
    <w:rsid w:val="497C4C4C"/>
    <w:rsid w:val="49E331CE"/>
    <w:rsid w:val="4B571496"/>
    <w:rsid w:val="4C796109"/>
    <w:rsid w:val="4F1801C5"/>
    <w:rsid w:val="4F3D01D6"/>
    <w:rsid w:val="4FDE6738"/>
    <w:rsid w:val="4FF7452D"/>
    <w:rsid w:val="50550202"/>
    <w:rsid w:val="505E1343"/>
    <w:rsid w:val="50690566"/>
    <w:rsid w:val="50882EE7"/>
    <w:rsid w:val="532F31A9"/>
    <w:rsid w:val="546A54F8"/>
    <w:rsid w:val="54AF45A2"/>
    <w:rsid w:val="556A671B"/>
    <w:rsid w:val="55AD03B6"/>
    <w:rsid w:val="567B7416"/>
    <w:rsid w:val="577E46FF"/>
    <w:rsid w:val="5822508B"/>
    <w:rsid w:val="584B45E2"/>
    <w:rsid w:val="58EE6A20"/>
    <w:rsid w:val="59030C3A"/>
    <w:rsid w:val="599D4BCB"/>
    <w:rsid w:val="5A0E2010"/>
    <w:rsid w:val="5BB9060B"/>
    <w:rsid w:val="5C5252D9"/>
    <w:rsid w:val="5D3E5EBD"/>
    <w:rsid w:val="5D414F02"/>
    <w:rsid w:val="5D783061"/>
    <w:rsid w:val="5E631301"/>
    <w:rsid w:val="5FE67264"/>
    <w:rsid w:val="60A522C5"/>
    <w:rsid w:val="61CD2C9F"/>
    <w:rsid w:val="622F287E"/>
    <w:rsid w:val="627C73C6"/>
    <w:rsid w:val="63041F5D"/>
    <w:rsid w:val="63793DAF"/>
    <w:rsid w:val="63F13045"/>
    <w:rsid w:val="64173683"/>
    <w:rsid w:val="64254456"/>
    <w:rsid w:val="655C5A01"/>
    <w:rsid w:val="656F4510"/>
    <w:rsid w:val="657B5DDA"/>
    <w:rsid w:val="667C79E9"/>
    <w:rsid w:val="668138C4"/>
    <w:rsid w:val="66932E05"/>
    <w:rsid w:val="669E2C60"/>
    <w:rsid w:val="66C31D8B"/>
    <w:rsid w:val="675E59B4"/>
    <w:rsid w:val="67F81964"/>
    <w:rsid w:val="6827588E"/>
    <w:rsid w:val="68300420"/>
    <w:rsid w:val="683E7D72"/>
    <w:rsid w:val="691C5545"/>
    <w:rsid w:val="692C3FBB"/>
    <w:rsid w:val="69822C46"/>
    <w:rsid w:val="69A25E03"/>
    <w:rsid w:val="6A4E644F"/>
    <w:rsid w:val="6ACC07FB"/>
    <w:rsid w:val="6B970455"/>
    <w:rsid w:val="6BAA566B"/>
    <w:rsid w:val="6BFE6F43"/>
    <w:rsid w:val="6C411B7B"/>
    <w:rsid w:val="6CFE2AEF"/>
    <w:rsid w:val="6EEF1D13"/>
    <w:rsid w:val="700C6B99"/>
    <w:rsid w:val="70230F58"/>
    <w:rsid w:val="70960D72"/>
    <w:rsid w:val="71F10796"/>
    <w:rsid w:val="7243561D"/>
    <w:rsid w:val="725D51E5"/>
    <w:rsid w:val="72BF37AA"/>
    <w:rsid w:val="73616BB3"/>
    <w:rsid w:val="737E7B41"/>
    <w:rsid w:val="741861E9"/>
    <w:rsid w:val="74D60E53"/>
    <w:rsid w:val="74D94FB4"/>
    <w:rsid w:val="75587C99"/>
    <w:rsid w:val="764741E2"/>
    <w:rsid w:val="77D575CC"/>
    <w:rsid w:val="780453FB"/>
    <w:rsid w:val="78B46971"/>
    <w:rsid w:val="7BAD5FB2"/>
    <w:rsid w:val="7FE4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40"/>
    <w:autoRedefine/>
    <w:qFormat/>
    <w:uiPriority w:val="0"/>
    <w:pPr>
      <w:keepNext/>
      <w:keepLines/>
      <w:spacing w:before="340" w:after="330"/>
      <w:jc w:val="center"/>
      <w:outlineLvl w:val="0"/>
    </w:pPr>
    <w:rPr>
      <w:rFonts w:eastAsia="仿宋"/>
      <w:b/>
      <w:bCs/>
      <w:kern w:val="44"/>
      <w:sz w:val="44"/>
      <w:szCs w:val="44"/>
    </w:rPr>
  </w:style>
  <w:style w:type="paragraph" w:styleId="3">
    <w:name w:val="heading 2"/>
    <w:basedOn w:val="1"/>
    <w:next w:val="1"/>
    <w:link w:val="41"/>
    <w:autoRedefine/>
    <w:unhideWhenUsed/>
    <w:qFormat/>
    <w:uiPriority w:val="0"/>
    <w:pPr>
      <w:keepNext/>
      <w:keepLines/>
      <w:spacing w:before="260" w:after="260"/>
      <w:jc w:val="center"/>
      <w:outlineLvl w:val="1"/>
    </w:pPr>
    <w:rPr>
      <w:rFonts w:eastAsia="仿宋" w:asciiTheme="majorHAnsi" w:hAnsiTheme="majorHAnsi" w:cstheme="majorBidi"/>
      <w:b/>
      <w:bCs/>
      <w:sz w:val="28"/>
      <w:szCs w:val="32"/>
    </w:rPr>
  </w:style>
  <w:style w:type="paragraph" w:styleId="4">
    <w:name w:val="heading 3"/>
    <w:basedOn w:val="1"/>
    <w:next w:val="1"/>
    <w:link w:val="44"/>
    <w:autoRedefine/>
    <w:unhideWhenUsed/>
    <w:qFormat/>
    <w:uiPriority w:val="0"/>
    <w:pPr>
      <w:keepNext/>
      <w:keepLines/>
      <w:spacing w:before="120" w:after="120"/>
      <w:jc w:val="center"/>
      <w:outlineLvl w:val="2"/>
    </w:pPr>
    <w:rPr>
      <w:rFonts w:eastAsia="仿宋"/>
      <w:b/>
      <w:bCs/>
      <w:sz w:val="28"/>
      <w:szCs w:val="32"/>
    </w:rPr>
  </w:style>
  <w:style w:type="paragraph" w:styleId="5">
    <w:name w:val="heading 4"/>
    <w:basedOn w:val="1"/>
    <w:next w:val="1"/>
    <w:link w:val="45"/>
    <w:autoRedefine/>
    <w:qFormat/>
    <w:uiPriority w:val="0"/>
    <w:pPr>
      <w:keepNext/>
      <w:keepLines/>
      <w:widowControl/>
      <w:numPr>
        <w:ilvl w:val="0"/>
        <w:numId w:val="1"/>
      </w:numPr>
      <w:tabs>
        <w:tab w:val="left" w:pos="425"/>
      </w:tabs>
      <w:spacing w:before="360" w:line="240" w:lineRule="exact"/>
      <w:jc w:val="left"/>
      <w:outlineLvl w:val="3"/>
    </w:pPr>
    <w:rPr>
      <w:rFonts w:ascii="宋体" w:hAnsi="Times New Roman" w:eastAsia="宋体" w:cs="Times New Roman"/>
      <w:b/>
      <w:sz w:val="28"/>
      <w:szCs w:val="20"/>
    </w:rPr>
  </w:style>
  <w:style w:type="paragraph" w:styleId="6">
    <w:name w:val="heading 5"/>
    <w:basedOn w:val="1"/>
    <w:next w:val="7"/>
    <w:link w:val="46"/>
    <w:autoRedefine/>
    <w:qFormat/>
    <w:uiPriority w:val="0"/>
    <w:pPr>
      <w:keepNext/>
      <w:keepLines/>
      <w:widowControl/>
      <w:numPr>
        <w:ilvl w:val="4"/>
        <w:numId w:val="2"/>
      </w:numPr>
      <w:spacing w:before="280" w:after="290" w:line="372" w:lineRule="auto"/>
      <w:jc w:val="left"/>
      <w:outlineLvl w:val="4"/>
    </w:pPr>
    <w:rPr>
      <w:rFonts w:ascii="Times New Roman" w:hAnsi="Times New Roman" w:eastAsia="宋体" w:cs="Times New Roman"/>
      <w:b/>
      <w:sz w:val="28"/>
      <w:szCs w:val="20"/>
    </w:rPr>
  </w:style>
  <w:style w:type="paragraph" w:styleId="8">
    <w:name w:val="heading 6"/>
    <w:basedOn w:val="1"/>
    <w:next w:val="7"/>
    <w:link w:val="47"/>
    <w:autoRedefine/>
    <w:qFormat/>
    <w:uiPriority w:val="0"/>
    <w:pPr>
      <w:keepNext/>
      <w:keepLines/>
      <w:widowControl/>
      <w:numPr>
        <w:ilvl w:val="5"/>
        <w:numId w:val="2"/>
      </w:numPr>
      <w:spacing w:before="240" w:after="64" w:line="317" w:lineRule="auto"/>
      <w:jc w:val="left"/>
      <w:outlineLvl w:val="5"/>
    </w:pPr>
    <w:rPr>
      <w:rFonts w:ascii="Arial" w:hAnsi="Arial" w:eastAsia="黑体" w:cs="Times New Roman"/>
      <w:b/>
      <w:sz w:val="24"/>
      <w:szCs w:val="20"/>
    </w:rPr>
  </w:style>
  <w:style w:type="paragraph" w:styleId="9">
    <w:name w:val="heading 7"/>
    <w:basedOn w:val="1"/>
    <w:next w:val="7"/>
    <w:link w:val="48"/>
    <w:autoRedefine/>
    <w:qFormat/>
    <w:uiPriority w:val="0"/>
    <w:pPr>
      <w:keepNext/>
      <w:keepLines/>
      <w:widowControl/>
      <w:numPr>
        <w:ilvl w:val="6"/>
        <w:numId w:val="2"/>
      </w:numPr>
      <w:spacing w:before="240" w:after="64" w:line="317" w:lineRule="auto"/>
      <w:jc w:val="left"/>
      <w:outlineLvl w:val="6"/>
    </w:pPr>
    <w:rPr>
      <w:rFonts w:ascii="Times New Roman" w:hAnsi="Times New Roman" w:eastAsia="宋体" w:cs="Times New Roman"/>
      <w:b/>
      <w:sz w:val="24"/>
      <w:szCs w:val="20"/>
    </w:rPr>
  </w:style>
  <w:style w:type="paragraph" w:styleId="10">
    <w:name w:val="heading 8"/>
    <w:basedOn w:val="1"/>
    <w:next w:val="7"/>
    <w:link w:val="49"/>
    <w:autoRedefine/>
    <w:qFormat/>
    <w:uiPriority w:val="0"/>
    <w:pPr>
      <w:keepNext/>
      <w:keepLines/>
      <w:widowControl/>
      <w:numPr>
        <w:ilvl w:val="7"/>
        <w:numId w:val="2"/>
      </w:numPr>
      <w:spacing w:before="240" w:after="64" w:line="317" w:lineRule="auto"/>
      <w:jc w:val="left"/>
      <w:outlineLvl w:val="7"/>
    </w:pPr>
    <w:rPr>
      <w:rFonts w:ascii="Arial" w:hAnsi="Arial" w:eastAsia="黑体" w:cs="Times New Roman"/>
      <w:sz w:val="24"/>
      <w:szCs w:val="20"/>
    </w:rPr>
  </w:style>
  <w:style w:type="paragraph" w:styleId="11">
    <w:name w:val="heading 9"/>
    <w:basedOn w:val="1"/>
    <w:next w:val="7"/>
    <w:link w:val="50"/>
    <w:autoRedefine/>
    <w:qFormat/>
    <w:uiPriority w:val="0"/>
    <w:pPr>
      <w:keepNext/>
      <w:keepLines/>
      <w:widowControl/>
      <w:numPr>
        <w:ilvl w:val="8"/>
        <w:numId w:val="2"/>
      </w:numPr>
      <w:spacing w:before="240" w:after="64" w:line="317" w:lineRule="auto"/>
      <w:jc w:val="left"/>
      <w:outlineLvl w:val="8"/>
    </w:pPr>
    <w:rPr>
      <w:rFonts w:ascii="Arial" w:hAnsi="Arial" w:eastAsia="黑体" w:cs="Times New Roman"/>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39"/>
    <w:autoRedefine/>
    <w:unhideWhenUsed/>
    <w:qFormat/>
    <w:uiPriority w:val="0"/>
    <w:pPr>
      <w:ind w:firstLine="420"/>
    </w:pPr>
    <w:rPr>
      <w:rFonts w:ascii="Times New Roman" w:hAnsi="Times New Roman" w:eastAsia="宋体" w:cs="Times New Roman"/>
      <w:szCs w:val="20"/>
    </w:rPr>
  </w:style>
  <w:style w:type="paragraph" w:styleId="12">
    <w:name w:val="Salutation"/>
    <w:basedOn w:val="1"/>
    <w:next w:val="1"/>
    <w:link w:val="65"/>
    <w:autoRedefine/>
    <w:unhideWhenUsed/>
    <w:qFormat/>
    <w:uiPriority w:val="0"/>
    <w:pPr>
      <w:widowControl/>
      <w:jc w:val="left"/>
    </w:pPr>
    <w:rPr>
      <w:szCs w:val="24"/>
    </w:rPr>
  </w:style>
  <w:style w:type="paragraph" w:styleId="13">
    <w:name w:val="Body Text"/>
    <w:basedOn w:val="1"/>
    <w:next w:val="14"/>
    <w:link w:val="71"/>
    <w:autoRedefine/>
    <w:qFormat/>
    <w:uiPriority w:val="0"/>
    <w:pPr>
      <w:widowControl/>
      <w:spacing w:line="380" w:lineRule="exact"/>
      <w:jc w:val="left"/>
    </w:pPr>
    <w:rPr>
      <w:rFonts w:ascii="Times New Roman" w:hAnsi="Times New Roman" w:eastAsia="宋体" w:cs="Times New Roman"/>
      <w:sz w:val="24"/>
      <w:szCs w:val="24"/>
    </w:rPr>
  </w:style>
  <w:style w:type="paragraph" w:styleId="14">
    <w:name w:val="Body Text First Indent"/>
    <w:basedOn w:val="13"/>
    <w:link w:val="74"/>
    <w:autoRedefine/>
    <w:qFormat/>
    <w:uiPriority w:val="99"/>
    <w:pPr>
      <w:spacing w:after="120"/>
      <w:ind w:firstLine="420" w:firstLineChars="100"/>
    </w:pPr>
  </w:style>
  <w:style w:type="paragraph" w:styleId="15">
    <w:name w:val="Body Text Indent"/>
    <w:basedOn w:val="1"/>
    <w:link w:val="69"/>
    <w:autoRedefine/>
    <w:qFormat/>
    <w:uiPriority w:val="0"/>
    <w:pPr>
      <w:widowControl/>
      <w:spacing w:after="120"/>
      <w:ind w:left="420" w:leftChars="200"/>
      <w:jc w:val="left"/>
    </w:pPr>
    <w:rPr>
      <w:rFonts w:ascii="Times New Roman" w:hAnsi="Times New Roman" w:eastAsia="宋体" w:cs="Times New Roman"/>
      <w:szCs w:val="24"/>
    </w:rPr>
  </w:style>
  <w:style w:type="paragraph" w:styleId="16">
    <w:name w:val="toc 3"/>
    <w:basedOn w:val="1"/>
    <w:next w:val="1"/>
    <w:autoRedefine/>
    <w:unhideWhenUsed/>
    <w:qFormat/>
    <w:uiPriority w:val="39"/>
    <w:pPr>
      <w:ind w:left="840" w:leftChars="400"/>
    </w:pPr>
  </w:style>
  <w:style w:type="paragraph" w:styleId="17">
    <w:name w:val="Plain Text"/>
    <w:basedOn w:val="1"/>
    <w:link w:val="66"/>
    <w:autoRedefine/>
    <w:qFormat/>
    <w:uiPriority w:val="0"/>
    <w:pPr>
      <w:widowControl/>
      <w:jc w:val="left"/>
    </w:pPr>
    <w:rPr>
      <w:rFonts w:ascii="宋体" w:hAnsi="Courier New" w:eastAsia="宋体"/>
    </w:rPr>
  </w:style>
  <w:style w:type="paragraph" w:styleId="18">
    <w:name w:val="Date"/>
    <w:basedOn w:val="1"/>
    <w:next w:val="1"/>
    <w:link w:val="72"/>
    <w:autoRedefine/>
    <w:qFormat/>
    <w:uiPriority w:val="0"/>
    <w:pPr>
      <w:widowControl/>
      <w:ind w:left="100" w:leftChars="2500"/>
      <w:jc w:val="left"/>
    </w:pPr>
    <w:rPr>
      <w:rFonts w:ascii="Times New Roman" w:hAnsi="Times New Roman" w:eastAsia="宋体" w:cs="Times New Roman"/>
      <w:szCs w:val="24"/>
    </w:rPr>
  </w:style>
  <w:style w:type="paragraph" w:styleId="19">
    <w:name w:val="Balloon Text"/>
    <w:basedOn w:val="1"/>
    <w:link w:val="70"/>
    <w:autoRedefine/>
    <w:qFormat/>
    <w:uiPriority w:val="0"/>
    <w:pPr>
      <w:widowControl/>
      <w:jc w:val="left"/>
    </w:pPr>
    <w:rPr>
      <w:rFonts w:ascii="Times New Roman" w:hAnsi="Times New Roman" w:eastAsia="宋体" w:cs="Times New Roman"/>
      <w:sz w:val="18"/>
      <w:szCs w:val="18"/>
    </w:rPr>
  </w:style>
  <w:style w:type="paragraph" w:styleId="20">
    <w:name w:val="footer"/>
    <w:basedOn w:val="1"/>
    <w:link w:val="42"/>
    <w:autoRedefine/>
    <w:qFormat/>
    <w:uiPriority w:val="99"/>
    <w:pPr>
      <w:widowControl/>
      <w:tabs>
        <w:tab w:val="center" w:pos="4153"/>
        <w:tab w:val="right" w:pos="8306"/>
      </w:tabs>
      <w:snapToGrid w:val="0"/>
      <w:jc w:val="left"/>
    </w:pPr>
    <w:rPr>
      <w:rFonts w:ascii="Times New Roman" w:hAnsi="Times New Roman" w:eastAsia="宋体" w:cs="Times New Roman"/>
      <w:sz w:val="18"/>
      <w:szCs w:val="20"/>
    </w:rPr>
  </w:style>
  <w:style w:type="paragraph" w:styleId="21">
    <w:name w:val="header"/>
    <w:basedOn w:val="1"/>
    <w:link w:val="43"/>
    <w:autoRedefine/>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2">
    <w:name w:val="toc 1"/>
    <w:basedOn w:val="1"/>
    <w:next w:val="1"/>
    <w:autoRedefine/>
    <w:unhideWhenUsed/>
    <w:qFormat/>
    <w:uiPriority w:val="39"/>
    <w:pPr>
      <w:widowControl/>
      <w:jc w:val="left"/>
    </w:pPr>
    <w:rPr>
      <w:rFonts w:ascii="Times New Roman" w:hAnsi="Times New Roman" w:eastAsia="宋体" w:cs="Times New Roman"/>
      <w:szCs w:val="24"/>
    </w:rPr>
  </w:style>
  <w:style w:type="paragraph" w:styleId="23">
    <w:name w:val="toc 2"/>
    <w:basedOn w:val="1"/>
    <w:next w:val="1"/>
    <w:autoRedefine/>
    <w:unhideWhenUsed/>
    <w:qFormat/>
    <w:uiPriority w:val="39"/>
    <w:pPr>
      <w:ind w:left="420" w:leftChars="200"/>
    </w:pPr>
  </w:style>
  <w:style w:type="paragraph" w:styleId="24">
    <w:name w:val="HTML Preformatted"/>
    <w:basedOn w:val="1"/>
    <w:link w:val="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6">
    <w:name w:val="Title"/>
    <w:basedOn w:val="1"/>
    <w:next w:val="1"/>
    <w:link w:val="110"/>
    <w:qFormat/>
    <w:uiPriority w:val="0"/>
    <w:pPr>
      <w:widowControl w:val="0"/>
      <w:spacing w:before="240" w:after="60"/>
      <w:ind w:left="425" w:hanging="425"/>
      <w:jc w:val="center"/>
      <w:outlineLvl w:val="0"/>
    </w:pPr>
    <w:rPr>
      <w:rFonts w:ascii="Arial" w:hAnsi="Arial" w:cs="Times New Roman"/>
      <w:b/>
      <w:bCs/>
      <w:kern w:val="2"/>
      <w:sz w:val="32"/>
      <w:szCs w:val="32"/>
    </w:rPr>
  </w:style>
  <w:style w:type="table" w:styleId="28">
    <w:name w:val="Table Grid"/>
    <w:basedOn w:val="2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style>
  <w:style w:type="character" w:styleId="32">
    <w:name w:val="FollowedHyperlink"/>
    <w:basedOn w:val="29"/>
    <w:semiHidden/>
    <w:unhideWhenUsed/>
    <w:qFormat/>
    <w:uiPriority w:val="99"/>
    <w:rPr>
      <w:color w:val="191919"/>
      <w:u w:val="none"/>
    </w:rPr>
  </w:style>
  <w:style w:type="character" w:styleId="33">
    <w:name w:val="Emphasis"/>
    <w:autoRedefine/>
    <w:qFormat/>
    <w:uiPriority w:val="20"/>
    <w:rPr>
      <w:color w:val="CC0000"/>
    </w:rPr>
  </w:style>
  <w:style w:type="character" w:styleId="34">
    <w:name w:val="HTML Definition"/>
    <w:basedOn w:val="29"/>
    <w:autoRedefine/>
    <w:semiHidden/>
    <w:unhideWhenUsed/>
    <w:qFormat/>
    <w:uiPriority w:val="99"/>
    <w:rPr>
      <w:i/>
      <w:iCs/>
    </w:rPr>
  </w:style>
  <w:style w:type="character" w:styleId="35">
    <w:name w:val="Hyperlink"/>
    <w:autoRedefine/>
    <w:qFormat/>
    <w:uiPriority w:val="99"/>
    <w:rPr>
      <w:color w:val="0000FF"/>
      <w:u w:val="single"/>
    </w:rPr>
  </w:style>
  <w:style w:type="character" w:styleId="36">
    <w:name w:val="HTML Code"/>
    <w:basedOn w:val="29"/>
    <w:semiHidden/>
    <w:unhideWhenUsed/>
    <w:qFormat/>
    <w:uiPriority w:val="99"/>
    <w:rPr>
      <w:rFonts w:hint="default" w:ascii="monospace" w:hAnsi="monospace" w:eastAsia="monospace" w:cs="monospace"/>
      <w:sz w:val="21"/>
      <w:szCs w:val="21"/>
    </w:rPr>
  </w:style>
  <w:style w:type="character" w:styleId="37">
    <w:name w:val="HTML Keyboard"/>
    <w:basedOn w:val="29"/>
    <w:semiHidden/>
    <w:unhideWhenUsed/>
    <w:qFormat/>
    <w:uiPriority w:val="99"/>
    <w:rPr>
      <w:rFonts w:hint="default" w:ascii="monospace" w:hAnsi="monospace" w:eastAsia="monospace" w:cs="monospace"/>
      <w:sz w:val="21"/>
      <w:szCs w:val="21"/>
    </w:rPr>
  </w:style>
  <w:style w:type="character" w:styleId="38">
    <w:name w:val="HTML Sample"/>
    <w:basedOn w:val="29"/>
    <w:autoRedefine/>
    <w:semiHidden/>
    <w:unhideWhenUsed/>
    <w:qFormat/>
    <w:uiPriority w:val="99"/>
    <w:rPr>
      <w:rFonts w:ascii="monospace" w:hAnsi="monospace" w:eastAsia="monospace" w:cs="monospace"/>
      <w:sz w:val="21"/>
      <w:szCs w:val="21"/>
    </w:rPr>
  </w:style>
  <w:style w:type="character" w:customStyle="1" w:styleId="39">
    <w:name w:val="正文缩进 字符"/>
    <w:link w:val="7"/>
    <w:autoRedefine/>
    <w:qFormat/>
    <w:locked/>
    <w:uiPriority w:val="0"/>
    <w:rPr>
      <w:rFonts w:ascii="Times New Roman" w:hAnsi="Times New Roman" w:eastAsia="宋体" w:cs="Times New Roman"/>
      <w:szCs w:val="20"/>
    </w:rPr>
  </w:style>
  <w:style w:type="character" w:customStyle="1" w:styleId="40">
    <w:name w:val="标题 1 字符"/>
    <w:basedOn w:val="29"/>
    <w:link w:val="2"/>
    <w:autoRedefine/>
    <w:qFormat/>
    <w:uiPriority w:val="9"/>
    <w:rPr>
      <w:rFonts w:eastAsia="仿宋"/>
      <w:b/>
      <w:bCs/>
      <w:kern w:val="44"/>
      <w:sz w:val="44"/>
      <w:szCs w:val="44"/>
    </w:rPr>
  </w:style>
  <w:style w:type="character" w:customStyle="1" w:styleId="41">
    <w:name w:val="标题 2 字符"/>
    <w:basedOn w:val="29"/>
    <w:link w:val="3"/>
    <w:autoRedefine/>
    <w:qFormat/>
    <w:uiPriority w:val="9"/>
    <w:rPr>
      <w:rFonts w:eastAsia="仿宋" w:asciiTheme="majorHAnsi" w:hAnsiTheme="majorHAnsi" w:cstheme="majorBidi"/>
      <w:b/>
      <w:bCs/>
      <w:sz w:val="28"/>
      <w:szCs w:val="32"/>
    </w:rPr>
  </w:style>
  <w:style w:type="character" w:customStyle="1" w:styleId="42">
    <w:name w:val="页脚 字符"/>
    <w:basedOn w:val="29"/>
    <w:link w:val="20"/>
    <w:autoRedefine/>
    <w:qFormat/>
    <w:uiPriority w:val="99"/>
    <w:rPr>
      <w:rFonts w:ascii="Times New Roman" w:hAnsi="Times New Roman" w:eastAsia="宋体" w:cs="Times New Roman"/>
      <w:sz w:val="18"/>
      <w:szCs w:val="20"/>
    </w:rPr>
  </w:style>
  <w:style w:type="character" w:customStyle="1" w:styleId="43">
    <w:name w:val="页眉 字符"/>
    <w:basedOn w:val="29"/>
    <w:link w:val="21"/>
    <w:autoRedefine/>
    <w:qFormat/>
    <w:uiPriority w:val="0"/>
    <w:rPr>
      <w:rFonts w:ascii="Times New Roman" w:hAnsi="Times New Roman" w:eastAsia="宋体" w:cs="Times New Roman"/>
      <w:sz w:val="18"/>
      <w:szCs w:val="20"/>
    </w:rPr>
  </w:style>
  <w:style w:type="character" w:customStyle="1" w:styleId="44">
    <w:name w:val="标题 3 字符"/>
    <w:basedOn w:val="29"/>
    <w:link w:val="4"/>
    <w:autoRedefine/>
    <w:qFormat/>
    <w:uiPriority w:val="0"/>
    <w:rPr>
      <w:rFonts w:eastAsia="仿宋"/>
      <w:b/>
      <w:bCs/>
      <w:sz w:val="28"/>
      <w:szCs w:val="32"/>
    </w:rPr>
  </w:style>
  <w:style w:type="character" w:customStyle="1" w:styleId="45">
    <w:name w:val="标题 4 字符"/>
    <w:basedOn w:val="29"/>
    <w:link w:val="5"/>
    <w:autoRedefine/>
    <w:qFormat/>
    <w:uiPriority w:val="0"/>
    <w:rPr>
      <w:rFonts w:ascii="宋体" w:hAnsi="Times New Roman" w:eastAsia="宋体" w:cs="Times New Roman"/>
      <w:b/>
      <w:sz w:val="28"/>
      <w:szCs w:val="20"/>
    </w:rPr>
  </w:style>
  <w:style w:type="character" w:customStyle="1" w:styleId="46">
    <w:name w:val="标题 5 字符"/>
    <w:basedOn w:val="29"/>
    <w:link w:val="6"/>
    <w:autoRedefine/>
    <w:qFormat/>
    <w:uiPriority w:val="0"/>
    <w:rPr>
      <w:rFonts w:ascii="Times New Roman" w:hAnsi="Times New Roman" w:eastAsia="宋体" w:cs="Times New Roman"/>
      <w:b/>
      <w:sz w:val="28"/>
      <w:szCs w:val="20"/>
    </w:rPr>
  </w:style>
  <w:style w:type="character" w:customStyle="1" w:styleId="47">
    <w:name w:val="标题 6 字符"/>
    <w:basedOn w:val="29"/>
    <w:link w:val="8"/>
    <w:autoRedefine/>
    <w:qFormat/>
    <w:uiPriority w:val="0"/>
    <w:rPr>
      <w:rFonts w:ascii="Arial" w:hAnsi="Arial" w:eastAsia="黑体" w:cs="Times New Roman"/>
      <w:b/>
      <w:sz w:val="24"/>
      <w:szCs w:val="20"/>
    </w:rPr>
  </w:style>
  <w:style w:type="character" w:customStyle="1" w:styleId="48">
    <w:name w:val="标题 7 字符"/>
    <w:basedOn w:val="29"/>
    <w:link w:val="9"/>
    <w:autoRedefine/>
    <w:qFormat/>
    <w:uiPriority w:val="0"/>
    <w:rPr>
      <w:rFonts w:ascii="Times New Roman" w:hAnsi="Times New Roman" w:eastAsia="宋体" w:cs="Times New Roman"/>
      <w:b/>
      <w:sz w:val="24"/>
      <w:szCs w:val="20"/>
    </w:rPr>
  </w:style>
  <w:style w:type="character" w:customStyle="1" w:styleId="49">
    <w:name w:val="标题 8 字符"/>
    <w:basedOn w:val="29"/>
    <w:link w:val="10"/>
    <w:autoRedefine/>
    <w:qFormat/>
    <w:uiPriority w:val="0"/>
    <w:rPr>
      <w:rFonts w:ascii="Arial" w:hAnsi="Arial" w:eastAsia="黑体" w:cs="Times New Roman"/>
      <w:sz w:val="24"/>
      <w:szCs w:val="20"/>
    </w:rPr>
  </w:style>
  <w:style w:type="character" w:customStyle="1" w:styleId="50">
    <w:name w:val="标题 9 字符"/>
    <w:basedOn w:val="29"/>
    <w:link w:val="11"/>
    <w:autoRedefine/>
    <w:qFormat/>
    <w:uiPriority w:val="0"/>
    <w:rPr>
      <w:rFonts w:ascii="Arial" w:hAnsi="Arial" w:eastAsia="黑体" w:cs="Times New Roman"/>
      <w:szCs w:val="20"/>
    </w:rPr>
  </w:style>
  <w:style w:type="character" w:customStyle="1" w:styleId="51">
    <w:name w:val="apple-style-span"/>
    <w:basedOn w:val="29"/>
    <w:autoRedefine/>
    <w:qFormat/>
    <w:uiPriority w:val="0"/>
  </w:style>
  <w:style w:type="character" w:customStyle="1" w:styleId="52">
    <w:name w:val="apple-converted-space"/>
    <w:basedOn w:val="29"/>
    <w:autoRedefine/>
    <w:qFormat/>
    <w:uiPriority w:val="0"/>
  </w:style>
  <w:style w:type="character" w:customStyle="1" w:styleId="53">
    <w:name w:val="question-title2"/>
    <w:basedOn w:val="29"/>
    <w:autoRedefine/>
    <w:qFormat/>
    <w:uiPriority w:val="0"/>
  </w:style>
  <w:style w:type="character" w:customStyle="1" w:styleId="54">
    <w:name w:val="font01"/>
    <w:basedOn w:val="29"/>
    <w:autoRedefine/>
    <w:qFormat/>
    <w:uiPriority w:val="0"/>
    <w:rPr>
      <w:rFonts w:ascii="Courier New" w:hAnsi="Courier New" w:cs="Courier New"/>
      <w:color w:val="000000"/>
      <w:sz w:val="22"/>
      <w:szCs w:val="22"/>
      <w:u w:val="none"/>
    </w:rPr>
  </w:style>
  <w:style w:type="character" w:customStyle="1" w:styleId="55">
    <w:name w:val="纯文本 Char1"/>
    <w:autoRedefine/>
    <w:semiHidden/>
    <w:qFormat/>
    <w:locked/>
    <w:uiPriority w:val="0"/>
    <w:rPr>
      <w:rFonts w:ascii="宋体" w:hAnsi="Courier New"/>
      <w:kern w:val="2"/>
      <w:sz w:val="21"/>
    </w:rPr>
  </w:style>
  <w:style w:type="character" w:customStyle="1" w:styleId="56">
    <w:name w:val="font11"/>
    <w:basedOn w:val="29"/>
    <w:autoRedefine/>
    <w:qFormat/>
    <w:uiPriority w:val="0"/>
    <w:rPr>
      <w:rFonts w:hint="eastAsia" w:ascii="等线" w:hAnsi="等线" w:eastAsia="等线" w:cs="等线"/>
      <w:color w:val="000000"/>
      <w:sz w:val="22"/>
      <w:szCs w:val="22"/>
      <w:u w:val="none"/>
    </w:rPr>
  </w:style>
  <w:style w:type="character" w:customStyle="1" w:styleId="57">
    <w:name w:val="newsfont1"/>
    <w:autoRedefine/>
    <w:qFormat/>
    <w:uiPriority w:val="0"/>
    <w:rPr>
      <w:sz w:val="21"/>
      <w:szCs w:val="21"/>
    </w:rPr>
  </w:style>
  <w:style w:type="character" w:customStyle="1" w:styleId="58">
    <w:name w:val="font31"/>
    <w:basedOn w:val="29"/>
    <w:autoRedefine/>
    <w:qFormat/>
    <w:uiPriority w:val="0"/>
    <w:rPr>
      <w:rFonts w:hint="eastAsia" w:ascii="等线" w:hAnsi="等线" w:eastAsia="等线" w:cs="等线"/>
      <w:color w:val="000000"/>
      <w:sz w:val="20"/>
      <w:szCs w:val="20"/>
      <w:u w:val="none"/>
    </w:rPr>
  </w:style>
  <w:style w:type="character" w:customStyle="1" w:styleId="59">
    <w:name w:val="font91"/>
    <w:basedOn w:val="29"/>
    <w:autoRedefine/>
    <w:qFormat/>
    <w:uiPriority w:val="0"/>
    <w:rPr>
      <w:rFonts w:hint="eastAsia" w:ascii="宋体" w:hAnsi="宋体" w:eastAsia="宋体" w:cs="宋体"/>
      <w:color w:val="000000"/>
      <w:sz w:val="20"/>
      <w:szCs w:val="20"/>
      <w:u w:val="none"/>
    </w:rPr>
  </w:style>
  <w:style w:type="character" w:customStyle="1" w:styleId="60">
    <w:name w:val="font61"/>
    <w:basedOn w:val="29"/>
    <w:autoRedefine/>
    <w:qFormat/>
    <w:uiPriority w:val="0"/>
    <w:rPr>
      <w:rFonts w:ascii="Symbol" w:hAnsi="Symbol" w:cs="Symbol"/>
      <w:color w:val="000000"/>
      <w:sz w:val="20"/>
      <w:szCs w:val="20"/>
      <w:u w:val="none"/>
    </w:rPr>
  </w:style>
  <w:style w:type="character" w:customStyle="1" w:styleId="61">
    <w:name w:val="color_huei1"/>
    <w:autoRedefine/>
    <w:qFormat/>
    <w:uiPriority w:val="0"/>
    <w:rPr>
      <w:color w:val="666666"/>
    </w:rPr>
  </w:style>
  <w:style w:type="character" w:customStyle="1" w:styleId="62">
    <w:name w:val="font21"/>
    <w:basedOn w:val="29"/>
    <w:autoRedefine/>
    <w:qFormat/>
    <w:uiPriority w:val="0"/>
    <w:rPr>
      <w:rFonts w:hint="eastAsia" w:ascii="宋体" w:hAnsi="宋体" w:eastAsia="宋体" w:cs="宋体"/>
      <w:color w:val="000000"/>
      <w:sz w:val="18"/>
      <w:szCs w:val="18"/>
      <w:u w:val="none"/>
    </w:rPr>
  </w:style>
  <w:style w:type="character" w:customStyle="1" w:styleId="63">
    <w:name w:val="font121"/>
    <w:basedOn w:val="29"/>
    <w:autoRedefine/>
    <w:qFormat/>
    <w:uiPriority w:val="0"/>
    <w:rPr>
      <w:rFonts w:hint="eastAsia" w:ascii="等线" w:hAnsi="等线" w:eastAsia="等线" w:cs="等线"/>
      <w:b/>
      <w:color w:val="000000"/>
      <w:sz w:val="20"/>
      <w:szCs w:val="20"/>
      <w:u w:val="none"/>
    </w:rPr>
  </w:style>
  <w:style w:type="character" w:customStyle="1" w:styleId="64">
    <w:name w:val="font111"/>
    <w:basedOn w:val="29"/>
    <w:autoRedefine/>
    <w:qFormat/>
    <w:uiPriority w:val="0"/>
    <w:rPr>
      <w:rFonts w:hint="eastAsia" w:ascii="等线" w:hAnsi="等线" w:eastAsia="等线" w:cs="等线"/>
      <w:color w:val="000000"/>
      <w:sz w:val="20"/>
      <w:szCs w:val="20"/>
      <w:u w:val="none"/>
      <w:vertAlign w:val="superscript"/>
    </w:rPr>
  </w:style>
  <w:style w:type="character" w:customStyle="1" w:styleId="65">
    <w:name w:val="称呼 字符"/>
    <w:link w:val="12"/>
    <w:autoRedefine/>
    <w:qFormat/>
    <w:uiPriority w:val="0"/>
    <w:rPr>
      <w:szCs w:val="24"/>
    </w:rPr>
  </w:style>
  <w:style w:type="character" w:customStyle="1" w:styleId="66">
    <w:name w:val="纯文本 字符"/>
    <w:link w:val="17"/>
    <w:autoRedefine/>
    <w:qFormat/>
    <w:uiPriority w:val="0"/>
    <w:rPr>
      <w:rFonts w:ascii="宋体" w:hAnsi="Courier New" w:eastAsia="宋体"/>
    </w:rPr>
  </w:style>
  <w:style w:type="character" w:customStyle="1" w:styleId="67">
    <w:name w:val="breakword"/>
    <w:basedOn w:val="29"/>
    <w:autoRedefine/>
    <w:qFormat/>
    <w:uiPriority w:val="0"/>
  </w:style>
  <w:style w:type="character" w:customStyle="1" w:styleId="68">
    <w:name w:val="称呼 字符1"/>
    <w:basedOn w:val="29"/>
    <w:autoRedefine/>
    <w:semiHidden/>
    <w:qFormat/>
    <w:uiPriority w:val="99"/>
  </w:style>
  <w:style w:type="character" w:customStyle="1" w:styleId="69">
    <w:name w:val="正文文本缩进 字符"/>
    <w:basedOn w:val="29"/>
    <w:link w:val="15"/>
    <w:autoRedefine/>
    <w:qFormat/>
    <w:uiPriority w:val="0"/>
    <w:rPr>
      <w:rFonts w:ascii="Times New Roman" w:hAnsi="Times New Roman" w:eastAsia="宋体" w:cs="Times New Roman"/>
      <w:szCs w:val="24"/>
    </w:rPr>
  </w:style>
  <w:style w:type="character" w:customStyle="1" w:styleId="70">
    <w:name w:val="批注框文本 字符"/>
    <w:basedOn w:val="29"/>
    <w:link w:val="19"/>
    <w:autoRedefine/>
    <w:qFormat/>
    <w:uiPriority w:val="0"/>
    <w:rPr>
      <w:rFonts w:ascii="Times New Roman" w:hAnsi="Times New Roman" w:eastAsia="宋体" w:cs="Times New Roman"/>
      <w:sz w:val="18"/>
      <w:szCs w:val="18"/>
    </w:rPr>
  </w:style>
  <w:style w:type="character" w:customStyle="1" w:styleId="71">
    <w:name w:val="正文文本 字符"/>
    <w:basedOn w:val="29"/>
    <w:link w:val="13"/>
    <w:autoRedefine/>
    <w:qFormat/>
    <w:uiPriority w:val="0"/>
    <w:rPr>
      <w:rFonts w:ascii="Times New Roman" w:hAnsi="Times New Roman" w:eastAsia="宋体" w:cs="Times New Roman"/>
      <w:sz w:val="24"/>
      <w:szCs w:val="24"/>
    </w:rPr>
  </w:style>
  <w:style w:type="character" w:customStyle="1" w:styleId="72">
    <w:name w:val="日期 字符"/>
    <w:basedOn w:val="29"/>
    <w:link w:val="18"/>
    <w:autoRedefine/>
    <w:qFormat/>
    <w:uiPriority w:val="0"/>
    <w:rPr>
      <w:rFonts w:ascii="Times New Roman" w:hAnsi="Times New Roman" w:eastAsia="宋体" w:cs="Times New Roman"/>
      <w:szCs w:val="24"/>
    </w:rPr>
  </w:style>
  <w:style w:type="character" w:customStyle="1" w:styleId="73">
    <w:name w:val="纯文本 字符1"/>
    <w:basedOn w:val="29"/>
    <w:autoRedefine/>
    <w:semiHidden/>
    <w:qFormat/>
    <w:uiPriority w:val="99"/>
    <w:rPr>
      <w:rFonts w:hAnsi="Courier New" w:cs="Courier New" w:asciiTheme="minorEastAsia"/>
    </w:rPr>
  </w:style>
  <w:style w:type="character" w:customStyle="1" w:styleId="74">
    <w:name w:val="正文文本首行缩进 字符"/>
    <w:basedOn w:val="71"/>
    <w:link w:val="14"/>
    <w:autoRedefine/>
    <w:qFormat/>
    <w:uiPriority w:val="99"/>
    <w:rPr>
      <w:rFonts w:ascii="Times New Roman" w:hAnsi="Times New Roman" w:eastAsia="宋体" w:cs="Times New Roman"/>
      <w:sz w:val="24"/>
      <w:szCs w:val="24"/>
    </w:rPr>
  </w:style>
  <w:style w:type="character" w:customStyle="1" w:styleId="75">
    <w:name w:val="HTML 预设格式 字符"/>
    <w:basedOn w:val="29"/>
    <w:link w:val="24"/>
    <w:autoRedefine/>
    <w:qFormat/>
    <w:uiPriority w:val="0"/>
    <w:rPr>
      <w:rFonts w:ascii="Arial" w:hAnsi="Arial" w:eastAsia="宋体" w:cs="Arial"/>
      <w:kern w:val="0"/>
      <w:sz w:val="24"/>
      <w:szCs w:val="24"/>
    </w:rPr>
  </w:style>
  <w:style w:type="paragraph" w:customStyle="1" w:styleId="76">
    <w:name w:val="p16"/>
    <w:basedOn w:val="1"/>
    <w:autoRedefine/>
    <w:qFormat/>
    <w:uiPriority w:val="0"/>
    <w:pPr>
      <w:widowControl/>
      <w:spacing w:line="360" w:lineRule="auto"/>
      <w:ind w:left="980" w:hanging="420"/>
      <w:jc w:val="left"/>
    </w:pPr>
    <w:rPr>
      <w:rFonts w:ascii="Times New Roman" w:hAnsi="Times New Roman" w:eastAsia="宋体" w:cs="Times New Roman"/>
      <w:kern w:val="0"/>
      <w:sz w:val="24"/>
      <w:szCs w:val="24"/>
    </w:rPr>
  </w:style>
  <w:style w:type="paragraph" w:customStyle="1" w:styleId="77">
    <w:name w:val="样式3"/>
    <w:basedOn w:val="17"/>
    <w:autoRedefine/>
    <w:qFormat/>
    <w:uiPriority w:val="0"/>
    <w:pPr>
      <w:spacing w:line="0" w:lineRule="atLeast"/>
      <w:outlineLvl w:val="0"/>
    </w:pPr>
    <w:rPr>
      <w:sz w:val="28"/>
    </w:rPr>
  </w:style>
  <w:style w:type="paragraph" w:customStyle="1" w:styleId="78">
    <w:name w:val="Default"/>
    <w:autoRedefine/>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kern w:val="0"/>
      <w:sz w:val="24"/>
      <w:szCs w:val="24"/>
      <w:lang w:val="en-US" w:eastAsia="zh-CN" w:bidi="ar-SA"/>
    </w:rPr>
  </w:style>
  <w:style w:type="paragraph" w:customStyle="1" w:styleId="79">
    <w:name w:val="标3"/>
    <w:basedOn w:val="1"/>
    <w:autoRedefine/>
    <w:qFormat/>
    <w:uiPriority w:val="0"/>
    <w:pPr>
      <w:widowControl/>
      <w:numPr>
        <w:ilvl w:val="2"/>
        <w:numId w:val="3"/>
      </w:numPr>
      <w:tabs>
        <w:tab w:val="left" w:pos="425"/>
        <w:tab w:val="left" w:pos="1800"/>
      </w:tabs>
      <w:snapToGrid w:val="0"/>
      <w:spacing w:before="50"/>
      <w:jc w:val="left"/>
      <w:outlineLvl w:val="2"/>
    </w:pPr>
    <w:rPr>
      <w:rFonts w:ascii="Arial Narrow" w:hAnsi="Arial Narrow" w:eastAsia="仿宋_GB2312" w:cs="Times New Roman"/>
      <w:sz w:val="28"/>
      <w:szCs w:val="20"/>
    </w:rPr>
  </w:style>
  <w:style w:type="paragraph" w:customStyle="1" w:styleId="80">
    <w:name w:val="Char"/>
    <w:basedOn w:val="1"/>
    <w:autoRedefine/>
    <w:qFormat/>
    <w:uiPriority w:val="0"/>
    <w:pPr>
      <w:widowControl/>
      <w:tabs>
        <w:tab w:val="left" w:pos="360"/>
      </w:tabs>
      <w:ind w:firstLine="420"/>
      <w:jc w:val="left"/>
    </w:pPr>
    <w:rPr>
      <w:rFonts w:ascii="宋体" w:hAnsi="宋体" w:eastAsia="宋体" w:cs="Times New Roman"/>
      <w:b/>
      <w:szCs w:val="21"/>
    </w:rPr>
  </w:style>
  <w:style w:type="paragraph" w:customStyle="1" w:styleId="81">
    <w:name w:val="默认段落字体 Para Char Char Char1 Char"/>
    <w:basedOn w:val="1"/>
    <w:autoRedefine/>
    <w:qFormat/>
    <w:uiPriority w:val="0"/>
    <w:pPr>
      <w:widowControl/>
      <w:spacing w:line="240" w:lineRule="atLeast"/>
      <w:ind w:left="420" w:firstLine="420"/>
      <w:jc w:val="left"/>
    </w:pPr>
    <w:rPr>
      <w:rFonts w:ascii="Times New Roman" w:hAnsi="Times New Roman" w:eastAsia="宋体" w:cs="Times New Roman"/>
      <w:szCs w:val="24"/>
    </w:rPr>
  </w:style>
  <w:style w:type="paragraph" w:customStyle="1" w:styleId="82">
    <w:name w:val="列出段落1"/>
    <w:basedOn w:val="1"/>
    <w:autoRedefine/>
    <w:qFormat/>
    <w:uiPriority w:val="0"/>
    <w:pPr>
      <w:widowControl/>
      <w:ind w:firstLine="420" w:firstLineChars="200"/>
      <w:jc w:val="left"/>
    </w:pPr>
    <w:rPr>
      <w:rFonts w:ascii="Calibri" w:hAnsi="Calibri" w:eastAsia="宋体" w:cs="Times New Roman"/>
    </w:rPr>
  </w:style>
  <w:style w:type="paragraph" w:customStyle="1" w:styleId="83">
    <w:name w:val="正文缩进1"/>
    <w:basedOn w:val="1"/>
    <w:autoRedefine/>
    <w:qFormat/>
    <w:uiPriority w:val="0"/>
    <w:pPr>
      <w:widowControl/>
      <w:ind w:firstLine="420" w:firstLineChars="200"/>
      <w:jc w:val="left"/>
    </w:pPr>
    <w:rPr>
      <w:rFonts w:ascii="Times New Roman" w:hAnsi="Times New Roman" w:eastAsia="宋体" w:cs="Times New Roman"/>
      <w:szCs w:val="20"/>
    </w:rPr>
  </w:style>
  <w:style w:type="paragraph" w:customStyle="1" w:styleId="84">
    <w:name w:val="列表段落1"/>
    <w:basedOn w:val="1"/>
    <w:autoRedefine/>
    <w:qFormat/>
    <w:uiPriority w:val="0"/>
    <w:pPr>
      <w:widowControl/>
      <w:ind w:firstLine="420" w:firstLineChars="200"/>
      <w:jc w:val="left"/>
    </w:pPr>
    <w:rPr>
      <w:rFonts w:ascii="Times New Roman" w:hAnsi="Times New Roman" w:eastAsia="宋体" w:cs="Times New Roman"/>
      <w:szCs w:val="20"/>
    </w:rPr>
  </w:style>
  <w:style w:type="paragraph" w:customStyle="1" w:styleId="85">
    <w:name w:val="p0"/>
    <w:basedOn w:val="1"/>
    <w:autoRedefine/>
    <w:qFormat/>
    <w:uiPriority w:val="0"/>
    <w:pPr>
      <w:widowControl/>
      <w:jc w:val="left"/>
    </w:pPr>
    <w:rPr>
      <w:rFonts w:ascii="Times New Roman" w:hAnsi="Times New Roman" w:eastAsia="宋体" w:cs="Times New Roman"/>
      <w:kern w:val="0"/>
      <w:szCs w:val="21"/>
    </w:rPr>
  </w:style>
  <w:style w:type="paragraph" w:customStyle="1" w:styleId="86">
    <w:name w:val="Char Char Char Char Char Char Char Char Char Char"/>
    <w:basedOn w:val="1"/>
    <w:autoRedefine/>
    <w:qFormat/>
    <w:uiPriority w:val="0"/>
    <w:pPr>
      <w:widowControl/>
      <w:spacing w:line="360" w:lineRule="auto"/>
      <w:jc w:val="left"/>
    </w:pPr>
    <w:rPr>
      <w:rFonts w:ascii="Times New Roman" w:hAnsi="Times New Roman" w:eastAsia="宋体" w:cs="Times New Roman"/>
      <w:szCs w:val="24"/>
    </w:rPr>
  </w:style>
  <w:style w:type="paragraph" w:customStyle="1" w:styleId="87">
    <w:name w:val="Char1"/>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88">
    <w:name w:val="List Paragraph"/>
    <w:basedOn w:val="1"/>
    <w:autoRedefine/>
    <w:qFormat/>
    <w:uiPriority w:val="0"/>
    <w:pPr>
      <w:widowControl/>
      <w:ind w:firstLine="420" w:firstLineChars="200"/>
      <w:jc w:val="left"/>
    </w:pPr>
    <w:rPr>
      <w:rFonts w:ascii="Calibri" w:hAnsi="Calibri" w:eastAsia="宋体" w:cs="Times New Roman"/>
    </w:rPr>
  </w:style>
  <w:style w:type="paragraph" w:customStyle="1" w:styleId="89">
    <w:name w:val="正文 New New New New"/>
    <w:autoRedefine/>
    <w:qFormat/>
    <w:uiPriority w:val="0"/>
    <w:pPr>
      <w:widowControl w:val="0"/>
      <w:jc w:val="both"/>
    </w:pPr>
    <w:rPr>
      <w:rFonts w:ascii="Times New Roman" w:hAnsi="Times New Roman" w:eastAsia="宋体" w:cs="Times New Roman"/>
      <w:kern w:val="0"/>
      <w:sz w:val="21"/>
      <w:szCs w:val="22"/>
      <w:lang w:val="en-US" w:eastAsia="zh-CN" w:bidi="ar-SA"/>
    </w:rPr>
  </w:style>
  <w:style w:type="paragraph" w:styleId="9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1">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92">
    <w:name w:val="Õý"/>
    <w:autoRedefine/>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0"/>
      <w:lang w:val="en-US" w:eastAsia="zh-CN" w:bidi="ar-SA"/>
    </w:rPr>
  </w:style>
  <w:style w:type="paragraph" w:customStyle="1" w:styleId="93">
    <w:name w:val="正文1"/>
    <w:autoRedefine/>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94">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95">
    <w:name w:val="正文_2_0"/>
    <w:basedOn w:val="96"/>
    <w:autoRedefine/>
    <w:qFormat/>
    <w:uiPriority w:val="0"/>
    <w:rPr>
      <w:rFonts w:ascii="Calibri" w:hAnsi="Calibri"/>
      <w:szCs w:val="21"/>
      <w:lang w:bidi="ug-CN"/>
    </w:rPr>
  </w:style>
  <w:style w:type="paragraph" w:customStyle="1" w:styleId="96">
    <w:name w:val="正文_1_1"/>
    <w:basedOn w:val="97"/>
    <w:autoRedefine/>
    <w:qFormat/>
    <w:uiPriority w:val="0"/>
    <w:pPr>
      <w:widowControl w:val="0"/>
      <w:jc w:val="both"/>
    </w:pPr>
    <w:rPr>
      <w:kern w:val="2"/>
      <w:sz w:val="21"/>
      <w:szCs w:val="22"/>
      <w:lang w:val="en-US" w:eastAsia="zh-CN" w:bidi="ar-SA"/>
    </w:rPr>
  </w:style>
  <w:style w:type="paragraph" w:customStyle="1" w:styleId="97">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Table Paragraph"/>
    <w:basedOn w:val="99"/>
    <w:autoRedefine/>
    <w:qFormat/>
    <w:uiPriority w:val="0"/>
    <w:rPr>
      <w:rFonts w:ascii="宋体" w:hAnsi="宋体" w:cs="Times New Roman"/>
      <w:lang w:bidi="ar-SA"/>
    </w:rPr>
  </w:style>
  <w:style w:type="paragraph" w:customStyle="1" w:styleId="99">
    <w:name w:val="正文_1_0"/>
    <w:basedOn w:val="96"/>
    <w:autoRedefine/>
    <w:qFormat/>
    <w:uiPriority w:val="0"/>
    <w:rPr>
      <w:rFonts w:ascii="Calibri" w:hAnsi="Calibri" w:cs="Calibri"/>
      <w:szCs w:val="21"/>
      <w:lang w:bidi="ug-CN"/>
    </w:rPr>
  </w:style>
  <w:style w:type="paragraph" w:customStyle="1" w:styleId="10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3）三级标题 与下段同页"/>
    <w:basedOn w:val="1"/>
    <w:qFormat/>
    <w:uiPriority w:val="0"/>
    <w:pPr>
      <w:keepNext/>
      <w:spacing w:before="156" w:beforeLines="50" w:after="156" w:afterLines="50"/>
      <w:jc w:val="center"/>
      <w:outlineLvl w:val="2"/>
    </w:pPr>
    <w:rPr>
      <w:rFonts w:eastAsia="仿宋_GB2312"/>
      <w:b/>
      <w:sz w:val="32"/>
      <w:szCs w:val="24"/>
    </w:rPr>
  </w:style>
  <w:style w:type="paragraph" w:customStyle="1" w:styleId="103">
    <w:name w:val="4）小标题 加黑 左对齐"/>
    <w:basedOn w:val="1"/>
    <w:next w:val="104"/>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104">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105">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06">
    <w:name w:val="UserStyle_5"/>
    <w:qFormat/>
    <w:uiPriority w:val="0"/>
    <w:pPr>
      <w:textAlignment w:val="baseline"/>
    </w:pPr>
    <w:rPr>
      <w:rFonts w:ascii="Times New Roman" w:hAnsi="Times New Roman" w:eastAsia="宋体" w:cs="Times New Roman"/>
      <w:color w:val="000000"/>
      <w:sz w:val="24"/>
      <w:lang w:val="en-US" w:eastAsia="zh-CN" w:bidi="ar-SA"/>
    </w:rPr>
  </w:style>
  <w:style w:type="character" w:customStyle="1" w:styleId="107">
    <w:name w:val="NormalCharacter"/>
    <w:link w:val="108"/>
    <w:qFormat/>
    <w:uiPriority w:val="0"/>
    <w:rPr>
      <w:rFonts w:ascii="Times New Roman" w:hAnsi="Times New Roman" w:eastAsia="宋体"/>
      <w:kern w:val="2"/>
      <w:sz w:val="21"/>
      <w:szCs w:val="24"/>
      <w:lang w:val="en-US" w:eastAsia="zh-CN" w:bidi="ar-SA"/>
    </w:rPr>
  </w:style>
  <w:style w:type="paragraph" w:customStyle="1" w:styleId="108">
    <w:name w:val="UserStyle_2"/>
    <w:basedOn w:val="1"/>
    <w:link w:val="107"/>
    <w:qFormat/>
    <w:uiPriority w:val="0"/>
    <w:pPr>
      <w:jc w:val="both"/>
      <w:textAlignment w:val="baseline"/>
    </w:pPr>
    <w:rPr>
      <w:rFonts w:ascii="Times New Roman" w:hAnsi="Times New Roman" w:eastAsia="宋体"/>
      <w:kern w:val="2"/>
      <w:sz w:val="21"/>
      <w:szCs w:val="24"/>
      <w:lang w:val="en-US" w:eastAsia="zh-CN" w:bidi="ar-SA"/>
    </w:rPr>
  </w:style>
  <w:style w:type="paragraph" w:customStyle="1" w:styleId="109">
    <w:name w:val="标书正文"/>
    <w:basedOn w:val="1"/>
    <w:qFormat/>
    <w:uiPriority w:val="0"/>
    <w:pPr>
      <w:spacing w:line="560" w:lineRule="exact"/>
      <w:ind w:firstLine="723" w:firstLineChars="200"/>
      <w:jc w:val="center"/>
    </w:pPr>
    <w:rPr>
      <w:rFonts w:ascii="仿宋_GB2312" w:eastAsia="仿宋_GB2312"/>
      <w:b/>
      <w:bCs/>
      <w:sz w:val="36"/>
      <w:szCs w:val="24"/>
    </w:rPr>
  </w:style>
  <w:style w:type="character" w:customStyle="1" w:styleId="110">
    <w:name w:val="标题 Char1"/>
    <w:link w:val="26"/>
    <w:qFormat/>
    <w:uiPriority w:val="0"/>
    <w:rPr>
      <w:rFonts w:ascii="Arial" w:hAnsi="Arial" w:cs="Times New Roman"/>
      <w:b/>
      <w:bCs/>
      <w:kern w:val="2"/>
      <w:sz w:val="32"/>
      <w:szCs w:val="32"/>
    </w:rPr>
  </w:style>
  <w:style w:type="paragraph" w:customStyle="1" w:styleId="111">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D544B1-E402-4FC5-99D3-ABF319845134}">
  <ds:schemaRefs/>
</ds:datastoreItem>
</file>

<file path=docProps/app.xml><?xml version="1.0" encoding="utf-8"?>
<Properties xmlns="http://schemas.openxmlformats.org/officeDocument/2006/extended-properties" xmlns:vt="http://schemas.openxmlformats.org/officeDocument/2006/docPropsVTypes">
  <Template>Normal</Template>
  <Pages>59</Pages>
  <Words>13847</Words>
  <Characters>16133</Characters>
  <Lines>469</Lines>
  <Paragraphs>132</Paragraphs>
  <TotalTime>30</TotalTime>
  <ScaleCrop>false</ScaleCrop>
  <LinksUpToDate>false</LinksUpToDate>
  <CharactersWithSpaces>16437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2021-01-26T10:24:00Z</dcterms:created>
  <dc:creator>俊哲</dc:creator>
  <cp:lastModifiedBy>猫猫晒太阳哦</cp:lastModifiedBy>
  <cp:lastPrinted>2025-04-07T06:49:00Z</cp:lastPrinted>
  <dcterms:modified xsi:type="dcterms:W3CDTF">2025-04-14T11:22:55Z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5E29B4044958434C8A2642B2955EFCA4_13</vt:lpwstr>
  </property>
  <property fmtid="{D5CDD505-2E9C-101B-9397-08002B2CF9AE}" pid="4" name="KSOTemplateDocerSaveRecord">
    <vt:lpwstr>eyJoZGlkIjoiM2RkMWJiNmU2ODQ0NmM1ZGI4MDg4NmFlZmI2MTU1YmQiLCJ1c2VySWQiOiI1Nzk5ODg4NzYifQ==</vt:lpwstr>
  </property>
</Properties>
</file>