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keepNext w:val="0"/>
        <w:keepLines w:val="0"/>
        <w:pageBreakBefore w:val="0"/>
        <w:widowControl/>
        <w:suppressLineNumbers w:val="0"/>
        <w:kinsoku/>
        <w:wordWrap/>
        <w:overflowPunct/>
        <w:topLinePunct w:val="0"/>
        <w:autoSpaceDE/>
        <w:autoSpaceDN/>
        <w:bidi w:val="0"/>
        <w:adjustRightInd/>
        <w:snapToGrid/>
        <w:spacing w:line="360" w:lineRule="exact"/>
        <w:ind w:firstLine="1044" w:firstLineChars="200"/>
        <w:jc w:val="right"/>
        <w:textAlignment w:val="auto"/>
        <w:rPr>
          <w:rFonts w:hint="eastAsia" w:ascii="宋体" w:hAnsi="宋体" w:cs="宋体"/>
          <w:b/>
          <w:color w:val="auto"/>
          <w:sz w:val="44"/>
          <w:szCs w:val="44"/>
          <w:lang w:val="en-US" w:eastAsia="zh-CN"/>
        </w:rPr>
      </w:pPr>
      <w:r>
        <w:rPr>
          <w:rFonts w:hint="eastAsia" w:ascii="宋体" w:hAnsi="宋体" w:cs="方正小标宋简体"/>
          <w:b/>
          <w:color w:val="auto"/>
          <w:kern w:val="0"/>
          <w:sz w:val="52"/>
          <w:szCs w:val="52"/>
          <w:highlight w:val="none"/>
          <w:lang w:val="en-US" w:eastAsia="zh-CN" w:bidi="ar"/>
        </w:rPr>
        <w:t xml:space="preserve"> </w:t>
      </w:r>
      <w:r>
        <w:rPr>
          <w:rFonts w:hint="eastAsia" w:ascii="宋体" w:hAnsi="宋体" w:cs="宋体"/>
          <w:b/>
          <w:color w:val="auto"/>
          <w:sz w:val="24"/>
          <w:szCs w:val="24"/>
        </w:rPr>
        <w:t>项目编码：</w:t>
      </w:r>
      <w:r>
        <w:rPr>
          <w:rFonts w:hint="eastAsia" w:cs="宋体"/>
          <w:b/>
          <w:color w:val="auto"/>
          <w:sz w:val="24"/>
          <w:szCs w:val="24"/>
          <w:lang w:eastAsia="zh-CN"/>
        </w:rPr>
        <w:t>XJXS-2025-006</w:t>
      </w:r>
    </w:p>
    <w:p>
      <w:pPr>
        <w:pStyle w:val="41"/>
        <w:spacing w:line="360" w:lineRule="auto"/>
        <w:ind w:left="0" w:leftChars="0" w:firstLine="0" w:firstLineChars="0"/>
        <w:rPr>
          <w:rFonts w:hint="eastAsia" w:ascii="宋体" w:hAnsi="宋体" w:cs="宋体"/>
          <w:b/>
          <w:color w:val="auto"/>
          <w:sz w:val="44"/>
          <w:szCs w:val="44"/>
          <w:lang w:val="en-US" w:eastAsia="zh-CN"/>
        </w:rPr>
      </w:pPr>
    </w:p>
    <w:p>
      <w:pPr>
        <w:pStyle w:val="41"/>
        <w:spacing w:line="360" w:lineRule="auto"/>
        <w:ind w:left="0" w:leftChars="0" w:firstLine="0" w:firstLineChars="0"/>
        <w:jc w:val="center"/>
        <w:rPr>
          <w:rFonts w:hint="eastAsia" w:ascii="宋体" w:hAnsi="宋体" w:cs="宋体"/>
          <w:b/>
          <w:color w:val="auto"/>
          <w:sz w:val="52"/>
          <w:szCs w:val="52"/>
          <w:highlight w:val="yellow"/>
          <w:lang w:val="en-US" w:eastAsia="zh-CN"/>
        </w:rPr>
      </w:pPr>
      <w:r>
        <w:rPr>
          <w:rFonts w:hint="eastAsia" w:ascii="宋体" w:hAnsi="宋体" w:cs="宋体"/>
          <w:b/>
          <w:color w:val="auto"/>
          <w:sz w:val="52"/>
          <w:szCs w:val="52"/>
          <w:highlight w:val="none"/>
          <w:lang w:val="en-US" w:eastAsia="zh-CN"/>
        </w:rPr>
        <w:t>2025年粮食产能提升小麦专家服务</w:t>
      </w:r>
    </w:p>
    <w:p>
      <w:pPr>
        <w:pStyle w:val="41"/>
        <w:spacing w:line="360" w:lineRule="auto"/>
        <w:ind w:left="0" w:leftChars="0" w:firstLine="0" w:firstLineChars="0"/>
        <w:jc w:val="center"/>
        <w:rPr>
          <w:rFonts w:ascii="宋体"/>
          <w:b/>
          <w:color w:val="auto"/>
          <w:sz w:val="36"/>
          <w:szCs w:val="36"/>
          <w:lang w:val="en-US"/>
        </w:rPr>
      </w:pPr>
      <w:r>
        <w:rPr>
          <w:rFonts w:hint="eastAsia" w:ascii="宋体" w:hAnsi="宋体" w:cs="宋体"/>
          <w:b/>
          <w:color w:val="auto"/>
          <w:sz w:val="52"/>
          <w:szCs w:val="52"/>
          <w:lang w:val="en-US" w:eastAsia="zh-CN"/>
        </w:rPr>
        <w:t>项目</w:t>
      </w:r>
    </w:p>
    <w:p>
      <w:pPr>
        <w:pStyle w:val="41"/>
        <w:spacing w:line="360" w:lineRule="auto"/>
        <w:ind w:firstLine="723"/>
        <w:rPr>
          <w:rFonts w:ascii="宋体"/>
          <w:b/>
          <w:color w:val="auto"/>
          <w:sz w:val="36"/>
          <w:szCs w:val="36"/>
          <w:lang w:val="en-US"/>
        </w:rPr>
      </w:pPr>
    </w:p>
    <w:p>
      <w:pPr>
        <w:pStyle w:val="41"/>
        <w:spacing w:line="360" w:lineRule="auto"/>
        <w:ind w:firstLine="723"/>
        <w:rPr>
          <w:rFonts w:ascii="宋体"/>
          <w:b/>
          <w:color w:val="auto"/>
          <w:sz w:val="36"/>
          <w:szCs w:val="36"/>
          <w:lang w:val="en-US"/>
        </w:rPr>
      </w:pPr>
    </w:p>
    <w:p>
      <w:pPr>
        <w:pStyle w:val="41"/>
        <w:spacing w:line="360" w:lineRule="auto"/>
        <w:ind w:left="0" w:leftChars="0" w:firstLine="0" w:firstLineChars="0"/>
        <w:rPr>
          <w:rFonts w:ascii="宋体"/>
          <w:b/>
          <w:color w:val="auto"/>
          <w:sz w:val="36"/>
          <w:szCs w:val="36"/>
          <w:lang w:val="en-US"/>
        </w:rPr>
      </w:pPr>
    </w:p>
    <w:p>
      <w:pPr>
        <w:autoSpaceDE w:val="0"/>
        <w:autoSpaceDN w:val="0"/>
        <w:adjustRightInd w:val="0"/>
        <w:spacing w:line="360" w:lineRule="auto"/>
        <w:jc w:val="center"/>
        <w:rPr>
          <w:rFonts w:hint="eastAsia" w:ascii="宋体" w:hAnsi="宋体" w:cs="宋体"/>
          <w:b/>
          <w:color w:val="auto"/>
          <w:sz w:val="84"/>
          <w:szCs w:val="84"/>
        </w:rPr>
      </w:pPr>
      <w:r>
        <w:rPr>
          <w:rFonts w:ascii="宋体" w:hAnsi="宋体" w:cs="宋体"/>
          <w:b/>
          <w:color w:val="auto"/>
          <w:sz w:val="84"/>
          <w:szCs w:val="84"/>
        </w:rPr>
        <w:t xml:space="preserve"> </w:t>
      </w:r>
      <w:r>
        <w:rPr>
          <w:rFonts w:hint="eastAsia" w:ascii="宋体" w:hAnsi="宋体" w:cs="宋体"/>
          <w:b/>
          <w:color w:val="auto"/>
          <w:sz w:val="84"/>
          <w:szCs w:val="84"/>
        </w:rPr>
        <w:t>招</w:t>
      </w:r>
      <w:r>
        <w:rPr>
          <w:rFonts w:ascii="宋体" w:hAnsi="宋体" w:cs="宋体"/>
          <w:b/>
          <w:color w:val="auto"/>
          <w:sz w:val="84"/>
          <w:szCs w:val="84"/>
        </w:rPr>
        <w:t xml:space="preserve"> </w:t>
      </w:r>
      <w:r>
        <w:rPr>
          <w:rFonts w:hint="eastAsia" w:ascii="宋体" w:hAnsi="宋体" w:cs="宋体"/>
          <w:b/>
          <w:color w:val="auto"/>
          <w:sz w:val="84"/>
          <w:szCs w:val="84"/>
        </w:rPr>
        <w:t>标</w:t>
      </w:r>
      <w:r>
        <w:rPr>
          <w:rFonts w:ascii="宋体" w:hAnsi="宋体" w:cs="宋体"/>
          <w:b/>
          <w:color w:val="auto"/>
          <w:sz w:val="84"/>
          <w:szCs w:val="84"/>
        </w:rPr>
        <w:t xml:space="preserve"> </w:t>
      </w:r>
      <w:r>
        <w:rPr>
          <w:rFonts w:hint="eastAsia" w:ascii="宋体" w:hAnsi="宋体" w:cs="宋体"/>
          <w:b/>
          <w:color w:val="auto"/>
          <w:sz w:val="84"/>
          <w:szCs w:val="84"/>
        </w:rPr>
        <w:t>文</w:t>
      </w:r>
      <w:r>
        <w:rPr>
          <w:rFonts w:ascii="宋体" w:hAnsi="宋体" w:cs="宋体"/>
          <w:b/>
          <w:color w:val="auto"/>
          <w:sz w:val="84"/>
          <w:szCs w:val="84"/>
        </w:rPr>
        <w:t xml:space="preserve"> </w:t>
      </w:r>
      <w:r>
        <w:rPr>
          <w:rFonts w:hint="eastAsia" w:ascii="宋体" w:hAnsi="宋体" w:cs="宋体"/>
          <w:b/>
          <w:color w:val="auto"/>
          <w:sz w:val="84"/>
          <w:szCs w:val="84"/>
        </w:rPr>
        <w:t>件</w:t>
      </w:r>
    </w:p>
    <w:p>
      <w:pPr>
        <w:pStyle w:val="5"/>
        <w:rPr>
          <w:rFonts w:hint="eastAsia"/>
        </w:rPr>
      </w:pPr>
    </w:p>
    <w:p>
      <w:pPr>
        <w:pStyle w:val="16"/>
        <w:rPr>
          <w:rFonts w:hint="eastAsia" w:ascii="宋体" w:hAnsi="宋体" w:cs="宋体"/>
          <w:b/>
          <w:color w:val="auto"/>
          <w:sz w:val="84"/>
          <w:szCs w:val="84"/>
        </w:rPr>
      </w:pPr>
    </w:p>
    <w:p>
      <w:pPr>
        <w:autoSpaceDN w:val="0"/>
        <w:spacing w:before="100" w:beforeLines="0" w:beforeAutospacing="1" w:after="100" w:afterLines="0" w:afterAutospacing="1" w:line="360" w:lineRule="auto"/>
        <w:ind w:firstLine="562" w:firstLineChars="200"/>
        <w:rPr>
          <w:rFonts w:hint="eastAsia" w:ascii="宋体" w:hAnsi="宋体"/>
          <w:b/>
          <w:sz w:val="28"/>
          <w:szCs w:val="28"/>
          <w:u w:val="single"/>
        </w:rPr>
      </w:pPr>
      <w:r>
        <w:rPr>
          <w:rFonts w:hint="eastAsia"/>
          <w:b/>
          <w:sz w:val="28"/>
          <w:szCs w:val="28"/>
        </w:rPr>
        <w:t>采购</w:t>
      </w:r>
      <w:r>
        <w:rPr>
          <w:rFonts w:hint="eastAsia" w:ascii="宋体" w:hAnsi="宋体"/>
          <w:b/>
          <w:sz w:val="28"/>
          <w:szCs w:val="28"/>
        </w:rPr>
        <w:t>人:</w:t>
      </w:r>
      <w:r>
        <w:rPr>
          <w:rFonts w:hint="eastAsia" w:ascii="宋体" w:hAnsi="宋体" w:eastAsia="宋体" w:cs="Times New Roman"/>
          <w:b/>
          <w:sz w:val="28"/>
          <w:szCs w:val="28"/>
          <w:u w:val="single"/>
          <w:lang w:val="en-US" w:eastAsia="zh-CN"/>
        </w:rPr>
        <w:t xml:space="preserve"> </w:t>
      </w:r>
      <w:r>
        <w:rPr>
          <w:rFonts w:hint="eastAsia" w:ascii="宋体" w:hAnsi="宋体" w:cs="Times New Roman"/>
          <w:b/>
          <w:sz w:val="28"/>
          <w:szCs w:val="28"/>
          <w:u w:val="single"/>
          <w:lang w:val="en-US" w:eastAsia="zh-CN"/>
        </w:rPr>
        <w:t>伊犁哈萨克自治州农业技术推广总站</w:t>
      </w:r>
      <w:r>
        <w:rPr>
          <w:rFonts w:hint="eastAsia" w:ascii="宋体" w:hAnsi="宋体" w:eastAsia="宋体" w:cs="Times New Roman"/>
          <w:b/>
          <w:sz w:val="28"/>
          <w:szCs w:val="28"/>
          <w:u w:val="single"/>
          <w:lang w:val="en-US" w:eastAsia="zh-CN"/>
        </w:rPr>
        <w:t xml:space="preserve"> </w:t>
      </w:r>
      <w:r>
        <w:rPr>
          <w:rFonts w:hint="eastAsia" w:ascii="宋体" w:hAnsi="宋体"/>
          <w:b/>
          <w:sz w:val="28"/>
          <w:szCs w:val="28"/>
        </w:rPr>
        <w:t>（盖章）</w:t>
      </w:r>
    </w:p>
    <w:p>
      <w:pPr>
        <w:autoSpaceDN w:val="0"/>
        <w:spacing w:before="100" w:beforeLines="0" w:beforeAutospacing="1" w:after="100" w:afterLines="0" w:afterAutospacing="1" w:line="360" w:lineRule="auto"/>
        <w:ind w:firstLine="562" w:firstLineChars="200"/>
        <w:rPr>
          <w:rFonts w:hint="default" w:ascii="宋体" w:hAnsi="宋体" w:eastAsia="宋体"/>
          <w:b/>
          <w:sz w:val="28"/>
          <w:szCs w:val="28"/>
          <w:u w:val="single" w:color="auto"/>
          <w:lang w:val="en-US" w:eastAsia="zh-CN"/>
        </w:rPr>
      </w:pPr>
      <w:r>
        <w:rPr>
          <w:rFonts w:hint="eastAsia" w:ascii="宋体" w:hAnsi="宋体"/>
          <w:b/>
          <w:sz w:val="28"/>
          <w:szCs w:val="28"/>
        </w:rPr>
        <w:t>联系人：</w:t>
      </w:r>
      <w:r>
        <w:rPr>
          <w:rFonts w:hint="eastAsia" w:ascii="宋体" w:hAnsi="宋体" w:eastAsia="宋体" w:cs="Times New Roman"/>
          <w:b/>
          <w:sz w:val="28"/>
          <w:szCs w:val="28"/>
          <w:u w:val="single"/>
          <w:lang w:val="en-US" w:eastAsia="zh-CN"/>
        </w:rPr>
        <w:t xml:space="preserve"> </w:t>
      </w:r>
      <w:r>
        <w:rPr>
          <w:rFonts w:hint="eastAsia" w:ascii="宋体" w:hAnsi="宋体" w:cs="Times New Roman"/>
          <w:b/>
          <w:sz w:val="28"/>
          <w:szCs w:val="28"/>
          <w:u w:val="single"/>
          <w:lang w:val="en-US" w:eastAsia="zh-CN"/>
        </w:rPr>
        <w:t>张冬梅</w:t>
      </w:r>
      <w:r>
        <w:rPr>
          <w:rFonts w:hint="eastAsia" w:ascii="宋体" w:hAnsi="宋体" w:eastAsia="宋体" w:cs="Times New Roman"/>
          <w:b/>
          <w:sz w:val="28"/>
          <w:szCs w:val="28"/>
          <w:u w:val="single"/>
          <w:lang w:val="en-US" w:eastAsia="zh-CN"/>
        </w:rPr>
        <w:t xml:space="preserve"> </w:t>
      </w:r>
      <w:r>
        <w:rPr>
          <w:rFonts w:hint="eastAsia" w:ascii="宋体" w:hAnsi="宋体"/>
          <w:b/>
          <w:sz w:val="28"/>
          <w:szCs w:val="28"/>
        </w:rPr>
        <w:t xml:space="preserve"> </w:t>
      </w:r>
      <w:r>
        <w:rPr>
          <w:rFonts w:hint="eastAsia"/>
          <w:b/>
          <w:sz w:val="28"/>
          <w:szCs w:val="28"/>
        </w:rPr>
        <w:t xml:space="preserve"> </w:t>
      </w:r>
      <w:r>
        <w:rPr>
          <w:rFonts w:hint="eastAsia"/>
          <w:b/>
          <w:sz w:val="28"/>
          <w:szCs w:val="28"/>
          <w:lang w:val="en-US" w:eastAsia="zh-CN"/>
        </w:rPr>
        <w:t xml:space="preserve">      </w:t>
      </w:r>
      <w:r>
        <w:rPr>
          <w:rFonts w:hint="eastAsia" w:ascii="宋体" w:hAnsi="宋体"/>
          <w:b/>
          <w:sz w:val="28"/>
          <w:szCs w:val="28"/>
        </w:rPr>
        <w:t>联系电话：</w:t>
      </w:r>
      <w:r>
        <w:rPr>
          <w:rFonts w:hint="eastAsia" w:ascii="宋体" w:hAnsi="宋体"/>
          <w:b/>
          <w:sz w:val="28"/>
          <w:szCs w:val="28"/>
          <w:u w:val="single"/>
        </w:rPr>
        <w:t>13309998200</w:t>
      </w:r>
    </w:p>
    <w:p>
      <w:pPr>
        <w:autoSpaceDN w:val="0"/>
        <w:spacing w:before="100" w:beforeLines="0" w:beforeAutospacing="1" w:after="100" w:afterLines="0" w:afterAutospacing="1" w:line="360" w:lineRule="auto"/>
        <w:ind w:firstLine="562" w:firstLineChars="200"/>
        <w:rPr>
          <w:rFonts w:hint="eastAsia" w:ascii="宋体" w:hAnsi="宋体"/>
          <w:b/>
          <w:sz w:val="28"/>
          <w:szCs w:val="28"/>
          <w:u w:val="thick"/>
        </w:rPr>
      </w:pPr>
      <w:r>
        <w:rPr>
          <w:rFonts w:hint="eastAsia"/>
          <w:b/>
          <w:sz w:val="28"/>
          <w:szCs w:val="28"/>
        </w:rPr>
        <w:t>采购</w:t>
      </w:r>
      <w:r>
        <w:rPr>
          <w:rFonts w:hint="eastAsia" w:ascii="宋体" w:hAnsi="宋体"/>
          <w:b/>
          <w:sz w:val="28"/>
          <w:szCs w:val="28"/>
        </w:rPr>
        <w:t>代理机构:</w:t>
      </w:r>
      <w:r>
        <w:rPr>
          <w:rFonts w:hint="eastAsia" w:ascii="宋体" w:hAnsi="宋体" w:cs="Times New Roman"/>
          <w:b/>
          <w:sz w:val="28"/>
          <w:szCs w:val="28"/>
          <w:u w:val="single"/>
          <w:lang w:val="en-US" w:eastAsia="zh-CN"/>
        </w:rPr>
        <w:t>新疆翔实工程项目管理有限公司</w:t>
      </w:r>
      <w:r>
        <w:rPr>
          <w:rFonts w:hint="eastAsia" w:ascii="宋体" w:hAnsi="宋体" w:eastAsia="宋体" w:cs="Times New Roman"/>
          <w:b/>
          <w:sz w:val="28"/>
          <w:szCs w:val="28"/>
          <w:u w:val="single"/>
          <w:lang w:val="en-US" w:eastAsia="zh-CN"/>
        </w:rPr>
        <w:t>（</w:t>
      </w:r>
      <w:r>
        <w:rPr>
          <w:rFonts w:hint="eastAsia" w:ascii="宋体" w:hAnsi="宋体"/>
          <w:b/>
          <w:sz w:val="28"/>
          <w:szCs w:val="28"/>
        </w:rPr>
        <w:t>盖章）</w:t>
      </w:r>
    </w:p>
    <w:p>
      <w:pPr>
        <w:pStyle w:val="18"/>
        <w:ind w:firstLine="562" w:firstLineChars="200"/>
        <w:jc w:val="both"/>
        <w:rPr>
          <w:rFonts w:hint="eastAsia"/>
          <w:b/>
          <w:sz w:val="28"/>
          <w:szCs w:val="28"/>
          <w:u w:val="single" w:color="auto"/>
        </w:rPr>
      </w:pPr>
      <w:r>
        <w:rPr>
          <w:rFonts w:hint="eastAsia"/>
          <w:b/>
          <w:sz w:val="28"/>
          <w:szCs w:val="28"/>
        </w:rPr>
        <w:t>联系人</w:t>
      </w:r>
      <w:r>
        <w:rPr>
          <w:rFonts w:hint="eastAsia" w:ascii="宋体" w:hAnsi="宋体"/>
          <w:b/>
          <w:sz w:val="28"/>
          <w:szCs w:val="28"/>
        </w:rPr>
        <w:t>：</w:t>
      </w:r>
      <w:r>
        <w:rPr>
          <w:rFonts w:hint="eastAsia" w:hAnsi="宋体"/>
          <w:b/>
          <w:sz w:val="28"/>
          <w:szCs w:val="28"/>
          <w:u w:val="single"/>
          <w:lang w:val="en-US" w:eastAsia="zh-CN"/>
        </w:rPr>
        <w:t xml:space="preserve"> 李秀娟</w:t>
      </w:r>
      <w:r>
        <w:rPr>
          <w:rFonts w:hint="eastAsia" w:ascii="宋体" w:hAnsi="宋体"/>
          <w:b/>
          <w:sz w:val="28"/>
          <w:szCs w:val="28"/>
          <w:u w:val="single"/>
        </w:rPr>
        <w:t xml:space="preserve">   </w:t>
      </w:r>
      <w:r>
        <w:rPr>
          <w:rFonts w:hint="eastAsia" w:ascii="宋体" w:hAnsi="宋体"/>
          <w:b/>
          <w:sz w:val="28"/>
          <w:szCs w:val="28"/>
        </w:rPr>
        <w:t xml:space="preserve"> </w:t>
      </w:r>
      <w:r>
        <w:rPr>
          <w:rFonts w:hint="eastAsia" w:ascii="宋体" w:hAnsi="宋体"/>
          <w:b/>
          <w:sz w:val="28"/>
          <w:szCs w:val="28"/>
          <w:lang w:val="en-US" w:eastAsia="zh-CN"/>
        </w:rPr>
        <w:t xml:space="preserve">     </w:t>
      </w:r>
      <w:r>
        <w:rPr>
          <w:rFonts w:hint="eastAsia"/>
          <w:b/>
          <w:sz w:val="28"/>
          <w:szCs w:val="28"/>
        </w:rPr>
        <w:t xml:space="preserve"> </w:t>
      </w:r>
      <w:r>
        <w:rPr>
          <w:rFonts w:hint="eastAsia" w:ascii="宋体" w:hAnsi="宋体"/>
          <w:b/>
          <w:sz w:val="28"/>
          <w:szCs w:val="28"/>
        </w:rPr>
        <w:t>联系电话：</w:t>
      </w:r>
      <w:r>
        <w:rPr>
          <w:rFonts w:hint="eastAsia" w:hAnsi="宋体"/>
          <w:b/>
          <w:sz w:val="28"/>
          <w:szCs w:val="28"/>
          <w:u w:val="single" w:color="auto"/>
          <w:lang w:eastAsia="zh-CN"/>
        </w:rPr>
        <w:t>15099597071</w:t>
      </w:r>
    </w:p>
    <w:p>
      <w:pPr>
        <w:pStyle w:val="18"/>
        <w:jc w:val="center"/>
        <w:rPr>
          <w:rFonts w:hint="eastAsia"/>
          <w:b/>
          <w:sz w:val="36"/>
          <w:szCs w:val="36"/>
          <w:lang w:val="en-US" w:eastAsia="zh-CN"/>
        </w:rPr>
      </w:pPr>
    </w:p>
    <w:p>
      <w:pPr>
        <w:pStyle w:val="18"/>
        <w:jc w:val="center"/>
        <w:rPr>
          <w:b/>
          <w:color w:val="auto"/>
          <w:sz w:val="20"/>
          <w:szCs w:val="18"/>
          <w:highlight w:val="none"/>
          <w:lang w:val="zh-CN"/>
        </w:rPr>
      </w:pPr>
      <w:r>
        <w:rPr>
          <w:rFonts w:hint="eastAsia"/>
          <w:b/>
          <w:sz w:val="32"/>
          <w:szCs w:val="32"/>
          <w:lang w:val="en-US" w:eastAsia="zh-CN"/>
        </w:rPr>
        <w:t>2025</w:t>
      </w:r>
      <w:r>
        <w:rPr>
          <w:rFonts w:hint="eastAsia"/>
          <w:b/>
          <w:sz w:val="32"/>
          <w:szCs w:val="32"/>
          <w:lang w:eastAsia="zh-CN"/>
        </w:rPr>
        <w:t>年</w:t>
      </w:r>
      <w:r>
        <w:rPr>
          <w:rFonts w:hint="eastAsia"/>
          <w:b/>
          <w:sz w:val="32"/>
          <w:szCs w:val="32"/>
          <w:lang w:val="en-US" w:eastAsia="zh-CN"/>
        </w:rPr>
        <w:t>04</w:t>
      </w:r>
      <w:r>
        <w:rPr>
          <w:rFonts w:hint="eastAsia"/>
          <w:b/>
          <w:sz w:val="32"/>
          <w:szCs w:val="32"/>
          <w:lang w:eastAsia="zh-CN"/>
        </w:rPr>
        <w:t>月</w:t>
      </w:r>
      <w:bookmarkStart w:id="510" w:name="_GoBack"/>
      <w:bookmarkEnd w:id="510"/>
    </w:p>
    <w:p>
      <w:pPr>
        <w:pStyle w:val="66"/>
        <w:adjustRightInd w:val="0"/>
        <w:snapToGrid w:val="0"/>
        <w:jc w:val="center"/>
        <w:rPr>
          <w:b/>
          <w:color w:val="auto"/>
          <w:highlight w:val="none"/>
        </w:rPr>
      </w:pPr>
      <w:r>
        <w:rPr>
          <w:b/>
          <w:color w:val="auto"/>
          <w:highlight w:val="none"/>
          <w:lang w:val="zh-CN"/>
        </w:rPr>
        <w:t>目</w:t>
      </w:r>
      <w:r>
        <w:rPr>
          <w:rFonts w:hint="eastAsia"/>
          <w:b/>
          <w:color w:val="auto"/>
          <w:highlight w:val="none"/>
          <w:lang w:val="zh-CN"/>
        </w:rPr>
        <w:t xml:space="preserve">  </w:t>
      </w:r>
      <w:r>
        <w:rPr>
          <w:b/>
          <w:color w:val="auto"/>
          <w:highlight w:val="none"/>
          <w:lang w:val="zh-CN"/>
        </w:rPr>
        <w:t>录</w:t>
      </w:r>
    </w:p>
    <w:p>
      <w:pPr>
        <w:pStyle w:val="41"/>
        <w:spacing w:line="360" w:lineRule="auto"/>
        <w:ind w:left="0" w:leftChars="0" w:firstLine="0" w:firstLineChars="0"/>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_Toc20454 </w:instrText>
      </w:r>
      <w:r>
        <w:rPr>
          <w:rFonts w:hint="eastAsia" w:asciiTheme="minorEastAsia" w:hAnsiTheme="minorEastAsia" w:eastAsiaTheme="minorEastAsia" w:cstheme="minorEastAsia"/>
          <w:szCs w:val="28"/>
          <w:highlight w:val="none"/>
        </w:rPr>
        <w:fldChar w:fldCharType="separate"/>
      </w:r>
      <w:r>
        <w:rPr>
          <w:rFonts w:hint="eastAsia"/>
          <w:szCs w:val="44"/>
          <w:highlight w:val="none"/>
        </w:rPr>
        <w:t xml:space="preserve">第一章 </w:t>
      </w:r>
      <w:r>
        <w:rPr>
          <w:rFonts w:hint="eastAsia" w:cs="Times New Roman"/>
          <w:kern w:val="2"/>
          <w:sz w:val="21"/>
          <w:szCs w:val="24"/>
          <w:highlight w:val="none"/>
          <w:lang w:val="en-US" w:eastAsia="zh-CN" w:bidi="ar-SA"/>
        </w:rPr>
        <w:t>招标公告</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ascii="Times New Roman" w:hAnsi="Times New Roman" w:eastAsia="宋体" w:cs="Times New Roman"/>
          <w:kern w:val="2"/>
          <w:sz w:val="21"/>
          <w:szCs w:val="24"/>
          <w:highlight w:val="none"/>
          <w:lang w:val="en-US" w:eastAsia="zh-CN" w:bidi="ar-SA"/>
        </w:rPr>
        <w:t>.</w:t>
      </w:r>
      <w:r>
        <w:rPr>
          <w:rFonts w:hint="eastAsia"/>
          <w:szCs w:val="44"/>
          <w:highlight w:val="none"/>
          <w:lang w:val="en-US" w:eastAsia="zh-CN"/>
        </w:rPr>
        <w:t>...............</w:t>
      </w:r>
      <w:r>
        <w:rPr>
          <w:rFonts w:hint="eastAsia"/>
          <w:lang w:val="en-US" w:eastAsia="zh-CN"/>
        </w:rPr>
        <w:t>5</w:t>
      </w:r>
      <w:r>
        <w:rPr>
          <w:rFonts w:hint="eastAsia" w:asciiTheme="minorEastAsia" w:hAnsiTheme="minorEastAsia" w:eastAsia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_Toc22786 </w:instrText>
      </w:r>
      <w:r>
        <w:rPr>
          <w:rFonts w:hint="eastAsia" w:asciiTheme="minorEastAsia" w:hAnsiTheme="minorEastAsia" w:cstheme="minorEastAsia"/>
          <w:szCs w:val="28"/>
          <w:highlight w:val="none"/>
        </w:rPr>
        <w:fldChar w:fldCharType="separate"/>
      </w:r>
      <w:r>
        <w:rPr>
          <w:rFonts w:hint="eastAsia"/>
          <w:highlight w:val="none"/>
        </w:rPr>
        <w:t>第二章 投标须知前附表</w:t>
      </w:r>
      <w:r>
        <w:tab/>
      </w:r>
      <w:r>
        <w:fldChar w:fldCharType="begin"/>
      </w:r>
      <w:r>
        <w:instrText xml:space="preserve"> PAGEREF _Toc22786 \h </w:instrText>
      </w:r>
      <w:r>
        <w:fldChar w:fldCharType="separate"/>
      </w:r>
      <w:r>
        <w:t>8</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_Toc3096 </w:instrText>
      </w:r>
      <w:r>
        <w:rPr>
          <w:rFonts w:hint="eastAsia" w:asciiTheme="minorEastAsia" w:hAnsiTheme="minorEastAsia" w:cstheme="minorEastAsia"/>
          <w:szCs w:val="28"/>
          <w:highlight w:val="none"/>
        </w:rPr>
        <w:fldChar w:fldCharType="separate"/>
      </w:r>
      <w:r>
        <w:rPr>
          <w:rFonts w:hint="eastAsia" w:cs="黑体" w:asciiTheme="minorEastAsia" w:hAnsiTheme="minorEastAsia" w:eastAsiaTheme="minorEastAsia"/>
          <w:kern w:val="44"/>
          <w:szCs w:val="44"/>
          <w:highlight w:val="none"/>
        </w:rPr>
        <w:t>第三章　投标人须知</w:t>
      </w:r>
      <w:r>
        <w:tab/>
      </w:r>
      <w:r>
        <w:fldChar w:fldCharType="begin"/>
      </w:r>
      <w:r>
        <w:instrText xml:space="preserve"> PAGEREF _Toc3096 \h </w:instrText>
      </w:r>
      <w:r>
        <w:fldChar w:fldCharType="separate"/>
      </w:r>
      <w:r>
        <w:t>13</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_Toc26890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szCs w:val="32"/>
          <w:highlight w:val="none"/>
        </w:rPr>
        <w:t>一、说明</w:t>
      </w:r>
      <w:r>
        <w:tab/>
      </w:r>
      <w:r>
        <w:fldChar w:fldCharType="begin"/>
      </w:r>
      <w:r>
        <w:instrText xml:space="preserve"> PAGEREF _Toc26890 \h </w:instrText>
      </w:r>
      <w:r>
        <w:fldChar w:fldCharType="separate"/>
      </w:r>
      <w:r>
        <w:t>13</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_Toc2890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 </w:t>
      </w:r>
      <w:r>
        <w:rPr>
          <w:rFonts w:hint="eastAsia" w:ascii="宋体" w:hAnsi="宋体"/>
          <w:bCs/>
          <w:kern w:val="44"/>
          <w:szCs w:val="24"/>
          <w:highlight w:val="none"/>
        </w:rPr>
        <w:t>说明：本</w:t>
      </w:r>
      <w:r>
        <w:rPr>
          <w:rFonts w:hint="eastAsia" w:ascii="宋体" w:hAnsi="宋体"/>
          <w:bCs/>
          <w:kern w:val="44"/>
          <w:szCs w:val="24"/>
          <w:highlight w:val="none"/>
          <w:lang w:eastAsia="zh-CN"/>
        </w:rPr>
        <w:t>招标文件</w:t>
      </w:r>
      <w:r>
        <w:rPr>
          <w:rFonts w:hint="eastAsia" w:ascii="宋体" w:hAnsi="宋体"/>
          <w:bCs/>
          <w:kern w:val="44"/>
          <w:szCs w:val="24"/>
          <w:highlight w:val="none"/>
        </w:rPr>
        <w:t>使用的词语有如下定义</w:t>
      </w:r>
      <w:r>
        <w:tab/>
      </w:r>
      <w:r>
        <w:fldChar w:fldCharType="begin"/>
      </w:r>
      <w:r>
        <w:instrText xml:space="preserve"> PAGEREF _Toc2890 \h </w:instrText>
      </w:r>
      <w:r>
        <w:fldChar w:fldCharType="separate"/>
      </w:r>
      <w:r>
        <w:t>13</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_Toc26165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 </w:t>
      </w:r>
      <w:r>
        <w:rPr>
          <w:rFonts w:hint="eastAsia" w:ascii="宋体" w:hAnsi="宋体"/>
          <w:bCs/>
          <w:kern w:val="44"/>
          <w:szCs w:val="24"/>
          <w:highlight w:val="none"/>
        </w:rPr>
        <w:t>合格的投标人</w:t>
      </w:r>
      <w:r>
        <w:tab/>
      </w:r>
      <w:r>
        <w:fldChar w:fldCharType="begin"/>
      </w:r>
      <w:r>
        <w:instrText xml:space="preserve"> PAGEREF _Toc26165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_Toc2463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bCs/>
          <w:szCs w:val="24"/>
        </w:rPr>
        <w:t xml:space="preserve">3. </w:t>
      </w:r>
      <w:r>
        <w:rPr>
          <w:rFonts w:hint="eastAsia" w:asciiTheme="minorEastAsia" w:hAnsiTheme="minorEastAsia" w:eastAsiaTheme="minorEastAsia"/>
          <w:bCs/>
          <w:szCs w:val="24"/>
          <w:highlight w:val="none"/>
        </w:rPr>
        <w:t>投标费用</w:t>
      </w:r>
      <w:r>
        <w:tab/>
      </w:r>
      <w:r>
        <w:fldChar w:fldCharType="begin"/>
      </w:r>
      <w:r>
        <w:instrText xml:space="preserve"> PAGEREF _Toc2463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_Toc22355 </w:instrText>
      </w:r>
      <w:r>
        <w:rPr>
          <w:rFonts w:hint="eastAsia" w:asciiTheme="minorEastAsia" w:hAnsiTheme="minorEastAsia" w:cstheme="minorEastAsia"/>
          <w:szCs w:val="28"/>
          <w:highlight w:val="none"/>
        </w:rPr>
        <w:fldChar w:fldCharType="separate"/>
      </w:r>
      <w:r>
        <w:rPr>
          <w:rFonts w:hint="eastAsia" w:ascii="宋体" w:hAnsi="宋体" w:cs="宋体"/>
          <w:szCs w:val="24"/>
        </w:rPr>
        <w:t xml:space="preserve">4. </w:t>
      </w:r>
      <w:r>
        <w:rPr>
          <w:rFonts w:hint="eastAsia" w:asciiTheme="minorEastAsia" w:hAnsiTheme="minorEastAsia" w:eastAsiaTheme="minorEastAsia"/>
          <w:bCs w:val="0"/>
          <w:highlight w:val="none"/>
        </w:rPr>
        <w:t>现场考察或者召开开标前答疑会</w:t>
      </w:r>
      <w:r>
        <w:tab/>
      </w:r>
      <w:r>
        <w:fldChar w:fldCharType="begin"/>
      </w:r>
      <w:r>
        <w:instrText xml:space="preserve"> PAGEREF _Toc22355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_Toc2323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5. </w:t>
      </w:r>
      <w:r>
        <w:rPr>
          <w:rFonts w:hint="eastAsia" w:ascii="宋体" w:hAnsi="宋体"/>
          <w:bCs/>
          <w:kern w:val="44"/>
          <w:szCs w:val="24"/>
          <w:highlight w:val="none"/>
        </w:rPr>
        <w:t>开标的资质要求、时间及地点</w:t>
      </w:r>
      <w:r>
        <w:tab/>
      </w:r>
      <w:r>
        <w:fldChar w:fldCharType="begin"/>
      </w:r>
      <w:r>
        <w:instrText xml:space="preserve"> PAGEREF _Toc2323 \h </w:instrText>
      </w:r>
      <w:r>
        <w:fldChar w:fldCharType="separate"/>
      </w:r>
      <w:r>
        <w:t>14</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_Toc6954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6. </w:t>
      </w:r>
      <w:r>
        <w:rPr>
          <w:rFonts w:hint="eastAsia" w:ascii="宋体" w:hAnsi="宋体"/>
          <w:bCs/>
          <w:kern w:val="44"/>
          <w:szCs w:val="24"/>
          <w:highlight w:val="none"/>
        </w:rPr>
        <w:t>纪律与保密事项</w:t>
      </w:r>
      <w:r>
        <w:tab/>
      </w:r>
      <w:r>
        <w:fldChar w:fldCharType="begin"/>
      </w:r>
      <w:r>
        <w:instrText xml:space="preserve"> PAGEREF _Toc6954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_Toc18189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7. </w:t>
      </w:r>
      <w:r>
        <w:rPr>
          <w:rFonts w:hint="eastAsia" w:ascii="宋体" w:hAnsi="宋体"/>
          <w:bCs/>
          <w:kern w:val="44"/>
          <w:szCs w:val="24"/>
          <w:highlight w:val="none"/>
        </w:rPr>
        <w:t>保证</w:t>
      </w:r>
      <w:r>
        <w:tab/>
      </w:r>
      <w:r>
        <w:fldChar w:fldCharType="begin"/>
      </w:r>
      <w:r>
        <w:instrText xml:space="preserve"> PAGEREF _Toc18189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_Toc21599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二、招标文件</w:t>
      </w:r>
      <w:r>
        <w:tab/>
      </w:r>
      <w:r>
        <w:fldChar w:fldCharType="begin"/>
      </w:r>
      <w:r>
        <w:instrText xml:space="preserve"> PAGEREF _Toc21599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_Toc4904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8. </w:t>
      </w:r>
      <w:r>
        <w:rPr>
          <w:rFonts w:hint="eastAsia" w:ascii="宋体" w:hAnsi="宋体"/>
          <w:bCs/>
          <w:kern w:val="44"/>
          <w:szCs w:val="24"/>
          <w:highlight w:val="none"/>
        </w:rPr>
        <w:t>招标文件的编制依据与构成</w:t>
      </w:r>
      <w:r>
        <w:tab/>
      </w:r>
      <w:r>
        <w:fldChar w:fldCharType="begin"/>
      </w:r>
      <w:r>
        <w:instrText xml:space="preserve"> PAGEREF _Toc4904 \h </w:instrText>
      </w:r>
      <w:r>
        <w:fldChar w:fldCharType="separate"/>
      </w:r>
      <w:r>
        <w:t>15</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_Toc5501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9. </w:t>
      </w:r>
      <w:r>
        <w:rPr>
          <w:rFonts w:hint="eastAsia" w:ascii="宋体" w:hAnsi="宋体"/>
          <w:kern w:val="44"/>
          <w:szCs w:val="24"/>
          <w:highlight w:val="none"/>
        </w:rPr>
        <w:t>招标文件的澄清或修改</w:t>
      </w:r>
      <w:r>
        <w:tab/>
      </w:r>
      <w:r>
        <w:fldChar w:fldCharType="begin"/>
      </w:r>
      <w:r>
        <w:instrText xml:space="preserve"> PAGEREF _Toc5501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_Toc14750 </w:instrText>
      </w:r>
      <w:r>
        <w:rPr>
          <w:rFonts w:hint="eastAsia" w:asciiTheme="minorEastAsia" w:hAnsiTheme="minorEastAsia" w:cstheme="minorEastAsia"/>
          <w:szCs w:val="28"/>
          <w:highlight w:val="none"/>
        </w:rPr>
        <w:fldChar w:fldCharType="separate"/>
      </w:r>
      <w:r>
        <w:rPr>
          <w:rFonts w:hint="eastAsia" w:ascii="宋体" w:hAnsi="宋体" w:eastAsia="宋体"/>
          <w:highlight w:val="none"/>
        </w:rPr>
        <w:t>三、投标文件的编制</w:t>
      </w:r>
      <w:r>
        <w:tab/>
      </w:r>
      <w:r>
        <w:fldChar w:fldCharType="begin"/>
      </w:r>
      <w:r>
        <w:instrText xml:space="preserve"> PAGEREF _Toc14750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_Toc22093 </w:instrText>
      </w:r>
      <w:r>
        <w:rPr>
          <w:rFonts w:hint="eastAsia" w:asciiTheme="minorEastAsia" w:hAnsiTheme="minorEastAsia" w:cstheme="minorEastAsia"/>
          <w:szCs w:val="28"/>
          <w:highlight w:val="none"/>
        </w:rPr>
        <w:fldChar w:fldCharType="separate"/>
      </w:r>
      <w:r>
        <w:rPr>
          <w:rFonts w:hint="eastAsia" w:ascii="宋体" w:hAnsi="宋体"/>
          <w:bCs/>
          <w:szCs w:val="24"/>
        </w:rPr>
        <w:t xml:space="preserve">10. </w:t>
      </w:r>
      <w:r>
        <w:rPr>
          <w:rFonts w:hint="eastAsia" w:ascii="宋体" w:hAnsi="宋体"/>
          <w:bCs/>
          <w:szCs w:val="24"/>
          <w:highlight w:val="none"/>
        </w:rPr>
        <w:t>投标的语言</w:t>
      </w:r>
      <w:r>
        <w:tab/>
      </w:r>
      <w:r>
        <w:fldChar w:fldCharType="begin"/>
      </w:r>
      <w:r>
        <w:instrText xml:space="preserve"> PAGEREF _Toc22093 \h </w:instrText>
      </w:r>
      <w:r>
        <w:fldChar w:fldCharType="separate"/>
      </w:r>
      <w:r>
        <w:t>16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_Toc1469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11. </w:t>
      </w:r>
      <w:r>
        <w:rPr>
          <w:rFonts w:hint="eastAsia" w:ascii="宋体" w:hAnsi="宋体"/>
          <w:bCs/>
          <w:kern w:val="44"/>
          <w:szCs w:val="24"/>
          <w:highlight w:val="none"/>
        </w:rPr>
        <w:t>投标文件的构成</w:t>
      </w:r>
      <w:r>
        <w:tab/>
      </w:r>
      <w:r>
        <w:fldChar w:fldCharType="begin"/>
      </w:r>
      <w:r>
        <w:instrText xml:space="preserve"> PAGEREF _Toc1469 \h </w:instrText>
      </w:r>
      <w:r>
        <w:fldChar w:fldCharType="separate"/>
      </w:r>
      <w:r>
        <w:t>17</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_Toc17632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12. </w:t>
      </w:r>
      <w:r>
        <w:rPr>
          <w:rFonts w:hint="eastAsia" w:ascii="宋体" w:hAnsi="宋体"/>
          <w:bCs/>
          <w:kern w:val="44"/>
          <w:szCs w:val="24"/>
          <w:highlight w:val="none"/>
        </w:rPr>
        <w:t>投标文件电子文档</w:t>
      </w:r>
      <w:r>
        <w:tab/>
      </w:r>
      <w:r>
        <w:fldChar w:fldCharType="begin"/>
      </w:r>
      <w:r>
        <w:instrText xml:space="preserve"> PAGEREF _Toc17632 \h </w:instrText>
      </w:r>
      <w:r>
        <w:fldChar w:fldCharType="separate"/>
      </w:r>
      <w:r>
        <w:t>17</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_Toc17740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13. </w:t>
      </w:r>
      <w:r>
        <w:rPr>
          <w:rFonts w:hint="eastAsia" w:ascii="宋体" w:hAnsi="宋体"/>
          <w:bCs/>
          <w:kern w:val="44"/>
          <w:szCs w:val="24"/>
          <w:highlight w:val="none"/>
        </w:rPr>
        <w:t>投标文件的编写</w:t>
      </w:r>
      <w:r>
        <w:tab/>
      </w:r>
      <w:r>
        <w:fldChar w:fldCharType="begin"/>
      </w:r>
      <w:r>
        <w:instrText xml:space="preserve"> PAGEREF _Toc17740 \h </w:instrText>
      </w:r>
      <w:r>
        <w:fldChar w:fldCharType="separate"/>
      </w:r>
      <w:r>
        <w:t>17</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_Toc22522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14. </w:t>
      </w:r>
      <w:r>
        <w:rPr>
          <w:rFonts w:hint="eastAsia" w:ascii="宋体" w:hAnsi="宋体"/>
          <w:bCs/>
          <w:kern w:val="44"/>
          <w:szCs w:val="24"/>
          <w:highlight w:val="none"/>
        </w:rPr>
        <w:t>投标报价</w:t>
      </w:r>
      <w:r>
        <w:tab/>
      </w:r>
      <w:r>
        <w:fldChar w:fldCharType="begin"/>
      </w:r>
      <w:r>
        <w:instrText xml:space="preserve"> PAGEREF _Toc22522 \h </w:instrText>
      </w:r>
      <w:r>
        <w:fldChar w:fldCharType="separate"/>
      </w:r>
      <w:r>
        <w:t>18</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_Toc15306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15. </w:t>
      </w:r>
      <w:r>
        <w:rPr>
          <w:rFonts w:hint="eastAsia" w:ascii="宋体" w:hAnsi="宋体"/>
          <w:bCs/>
          <w:kern w:val="44"/>
          <w:szCs w:val="24"/>
          <w:highlight w:val="none"/>
        </w:rPr>
        <w:t>投标保证金</w:t>
      </w:r>
      <w:r>
        <w:tab/>
      </w:r>
      <w:r>
        <w:fldChar w:fldCharType="begin"/>
      </w:r>
      <w:r>
        <w:instrText xml:space="preserve"> PAGEREF _Toc15306 \h </w:instrText>
      </w:r>
      <w:r>
        <w:fldChar w:fldCharType="separate"/>
      </w:r>
      <w:r>
        <w:t>18</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_Toc30142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16. </w:t>
      </w:r>
      <w:r>
        <w:rPr>
          <w:rFonts w:hint="eastAsia" w:ascii="宋体" w:hAnsi="宋体"/>
          <w:bCs/>
          <w:kern w:val="44"/>
          <w:szCs w:val="24"/>
          <w:highlight w:val="none"/>
        </w:rPr>
        <w:t>投标有效期</w:t>
      </w:r>
      <w:r>
        <w:tab/>
      </w:r>
      <w:r>
        <w:fldChar w:fldCharType="begin"/>
      </w:r>
      <w:r>
        <w:instrText xml:space="preserve"> PAGEREF _Toc30142 \h </w:instrText>
      </w:r>
      <w:r>
        <w:fldChar w:fldCharType="separate"/>
      </w:r>
      <w:r>
        <w:t>19</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_Toc11497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17. </w:t>
      </w:r>
      <w:r>
        <w:rPr>
          <w:rFonts w:hint="eastAsia" w:ascii="宋体" w:hAnsi="宋体"/>
          <w:bCs/>
          <w:kern w:val="44"/>
          <w:szCs w:val="24"/>
          <w:highlight w:val="none"/>
        </w:rPr>
        <w:t>投标文件的式样和签署、密封</w:t>
      </w:r>
      <w:r>
        <w:tab/>
      </w:r>
      <w:r>
        <w:fldChar w:fldCharType="begin"/>
      </w:r>
      <w:r>
        <w:instrText xml:space="preserve"> PAGEREF _Toc11497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_Toc22727 </w:instrText>
      </w:r>
      <w:r>
        <w:rPr>
          <w:rFonts w:hint="eastAsia" w:asciiTheme="minorEastAsia" w:hAnsiTheme="minorEastAsia" w:cstheme="minorEastAsia"/>
          <w:szCs w:val="28"/>
          <w:highlight w:val="none"/>
        </w:rPr>
        <w:fldChar w:fldCharType="separate"/>
      </w:r>
      <w:r>
        <w:rPr>
          <w:rFonts w:hint="eastAsia"/>
          <w:szCs w:val="32"/>
          <w:highlight w:val="none"/>
        </w:rPr>
        <w:t>四、投标文件的递交</w:t>
      </w:r>
      <w:r>
        <w:tab/>
      </w:r>
      <w:r>
        <w:fldChar w:fldCharType="begin"/>
      </w:r>
      <w:r>
        <w:instrText xml:space="preserve"> PAGEREF _Toc22727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_Toc8124 </w:instrText>
      </w:r>
      <w:r>
        <w:rPr>
          <w:rFonts w:hint="eastAsia" w:asciiTheme="minorEastAsia" w:hAnsiTheme="minorEastAsia" w:cstheme="minorEastAsia"/>
          <w:szCs w:val="28"/>
          <w:highlight w:val="none"/>
        </w:rPr>
        <w:fldChar w:fldCharType="separate"/>
      </w:r>
      <w:r>
        <w:rPr>
          <w:rFonts w:hint="eastAsia" w:ascii="宋体" w:hAnsi="宋体"/>
          <w:kern w:val="44"/>
          <w:szCs w:val="24"/>
        </w:rPr>
        <w:t xml:space="preserve">18. </w:t>
      </w:r>
      <w:r>
        <w:rPr>
          <w:rFonts w:hint="eastAsia" w:ascii="宋体" w:hAnsi="宋体"/>
          <w:kern w:val="44"/>
          <w:szCs w:val="24"/>
          <w:highlight w:val="none"/>
        </w:rPr>
        <w:t>投标文件递交</w:t>
      </w:r>
      <w:r>
        <w:tab/>
      </w:r>
      <w:r>
        <w:fldChar w:fldCharType="begin"/>
      </w:r>
      <w:r>
        <w:instrText xml:space="preserve"> PAGEREF _Toc8124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_Toc28446 </w:instrText>
      </w:r>
      <w:r>
        <w:rPr>
          <w:rFonts w:hint="eastAsia" w:asciiTheme="minorEastAsia" w:hAnsiTheme="minorEastAsia" w:cstheme="minorEastAsia"/>
          <w:szCs w:val="28"/>
          <w:highlight w:val="none"/>
        </w:rPr>
        <w:fldChar w:fldCharType="separate"/>
      </w:r>
      <w:r>
        <w:rPr>
          <w:rFonts w:hint="eastAsia" w:ascii="宋体" w:hAnsi="宋体"/>
          <w:kern w:val="44"/>
          <w:szCs w:val="24"/>
        </w:rPr>
        <w:t xml:space="preserve">19. </w:t>
      </w:r>
      <w:r>
        <w:rPr>
          <w:rFonts w:hint="eastAsia" w:ascii="宋体" w:hAnsi="宋体"/>
          <w:kern w:val="44"/>
          <w:szCs w:val="24"/>
          <w:highlight w:val="none"/>
        </w:rPr>
        <w:t>投标截止时间</w:t>
      </w:r>
      <w:r>
        <w:tab/>
      </w:r>
      <w:r>
        <w:fldChar w:fldCharType="begin"/>
      </w:r>
      <w:r>
        <w:instrText xml:space="preserve"> PAGEREF _Toc28446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_Toc2461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20. </w:t>
      </w:r>
      <w:r>
        <w:rPr>
          <w:rFonts w:hint="eastAsia" w:ascii="宋体" w:hAnsi="宋体"/>
          <w:kern w:val="44"/>
          <w:szCs w:val="24"/>
          <w:highlight w:val="none"/>
        </w:rPr>
        <w:t>迟交的投标文件</w:t>
      </w:r>
      <w:r>
        <w:tab/>
      </w:r>
      <w:r>
        <w:fldChar w:fldCharType="begin"/>
      </w:r>
      <w:r>
        <w:instrText xml:space="preserve"> PAGEREF _Toc2461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_Toc10185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21. </w:t>
      </w:r>
      <w:r>
        <w:rPr>
          <w:rFonts w:hint="eastAsia" w:ascii="宋体" w:hAnsi="宋体"/>
          <w:bCs/>
          <w:kern w:val="44"/>
          <w:szCs w:val="24"/>
          <w:highlight w:val="none"/>
        </w:rPr>
        <w:t>投标文件的修改和撤回、撤销</w:t>
      </w:r>
      <w:r>
        <w:tab/>
      </w:r>
      <w:r>
        <w:fldChar w:fldCharType="begin"/>
      </w:r>
      <w:r>
        <w:instrText xml:space="preserve"> PAGEREF _Toc10185 \h </w:instrText>
      </w:r>
      <w:r>
        <w:fldChar w:fldCharType="separate"/>
      </w:r>
      <w:r>
        <w:t>20</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_Toc30087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五、开标与评标</w:t>
      </w:r>
      <w:r>
        <w:tab/>
      </w:r>
      <w:r>
        <w:fldChar w:fldCharType="begin"/>
      </w:r>
      <w:r>
        <w:instrText xml:space="preserve"> PAGEREF _Toc30087 \h </w:instrText>
      </w:r>
      <w:r>
        <w:fldChar w:fldCharType="separate"/>
      </w:r>
      <w:r>
        <w:t>21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_Toc19246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22. </w:t>
      </w:r>
      <w:r>
        <w:rPr>
          <w:rFonts w:hint="eastAsia" w:ascii="宋体" w:hAnsi="宋体"/>
          <w:bCs/>
          <w:kern w:val="44"/>
          <w:szCs w:val="24"/>
          <w:highlight w:val="none"/>
        </w:rPr>
        <w:t>开标</w:t>
      </w:r>
      <w:r>
        <w:tab/>
      </w:r>
      <w:r>
        <w:fldChar w:fldCharType="begin"/>
      </w:r>
      <w:r>
        <w:instrText xml:space="preserve"> PAGEREF _Toc19246 \h </w:instrText>
      </w:r>
      <w:r>
        <w:fldChar w:fldCharType="separate"/>
      </w:r>
      <w:r>
        <w:t>21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_Toc10826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23. </w:t>
      </w:r>
      <w:r>
        <w:rPr>
          <w:rFonts w:hint="eastAsia" w:ascii="宋体" w:hAnsi="宋体"/>
          <w:kern w:val="44"/>
          <w:szCs w:val="24"/>
          <w:highlight w:val="none"/>
        </w:rPr>
        <w:t>公开招标失败后的处理</w:t>
      </w:r>
      <w:r>
        <w:tab/>
      </w:r>
      <w:r>
        <w:fldChar w:fldCharType="begin"/>
      </w:r>
      <w:r>
        <w:instrText xml:space="preserve"> PAGEREF _Toc10826 \h </w:instrText>
      </w:r>
      <w:r>
        <w:fldChar w:fldCharType="separate"/>
      </w:r>
      <w:r>
        <w:t>21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_Toc22191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24. </w:t>
      </w:r>
      <w:r>
        <w:rPr>
          <w:rFonts w:hint="eastAsia" w:ascii="宋体" w:hAnsi="宋体"/>
          <w:bCs/>
          <w:kern w:val="44"/>
          <w:szCs w:val="24"/>
          <w:highlight w:val="none"/>
        </w:rPr>
        <w:t>评标小组</w:t>
      </w:r>
      <w:r>
        <w:tab/>
      </w:r>
      <w:r>
        <w:fldChar w:fldCharType="begin"/>
      </w:r>
      <w:r>
        <w:instrText xml:space="preserve"> PAGEREF _Toc22191 \h </w:instrText>
      </w:r>
      <w:r>
        <w:fldChar w:fldCharType="separate"/>
      </w:r>
      <w:r>
        <w:t>21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_Toc30337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25. </w:t>
      </w:r>
      <w:r>
        <w:rPr>
          <w:rFonts w:hint="eastAsia" w:ascii="宋体" w:hAnsi="宋体"/>
          <w:kern w:val="44"/>
          <w:szCs w:val="24"/>
          <w:highlight w:val="none"/>
        </w:rPr>
        <w:t>评标原则及评标方法</w:t>
      </w:r>
      <w:r>
        <w:tab/>
      </w:r>
      <w:r>
        <w:fldChar w:fldCharType="begin"/>
      </w:r>
      <w:r>
        <w:instrText xml:space="preserve"> PAGEREF _Toc30337 \h </w:instrText>
      </w:r>
      <w:r>
        <w:fldChar w:fldCharType="separate"/>
      </w:r>
      <w:r>
        <w:t>22</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_Toc24957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26. </w:t>
      </w:r>
      <w:r>
        <w:rPr>
          <w:rFonts w:hint="eastAsia" w:ascii="宋体" w:hAnsi="宋体"/>
          <w:kern w:val="44"/>
          <w:szCs w:val="24"/>
          <w:highlight w:val="none"/>
        </w:rPr>
        <w:t>初步评审</w:t>
      </w:r>
      <w:r>
        <w:tab/>
      </w:r>
      <w:r>
        <w:fldChar w:fldCharType="begin"/>
      </w:r>
      <w:r>
        <w:instrText xml:space="preserve"> PAGEREF _Toc24957 \h </w:instrText>
      </w:r>
      <w:r>
        <w:fldChar w:fldCharType="separate"/>
      </w:r>
      <w:r>
        <w:t>23</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_Toc21733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27. </w:t>
      </w:r>
      <w:r>
        <w:rPr>
          <w:rFonts w:hint="eastAsia" w:ascii="宋体" w:hAnsi="宋体"/>
          <w:bCs/>
          <w:kern w:val="44"/>
          <w:szCs w:val="24"/>
          <w:highlight w:val="none"/>
        </w:rPr>
        <w:t>详细评审</w:t>
      </w:r>
      <w:r>
        <w:tab/>
      </w:r>
      <w:r>
        <w:fldChar w:fldCharType="begin"/>
      </w:r>
      <w:r>
        <w:instrText xml:space="preserve"> PAGEREF _Toc21733 \h </w:instrText>
      </w:r>
      <w:r>
        <w:fldChar w:fldCharType="separate"/>
      </w:r>
      <w:r>
        <w:t>23</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_Toc25223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28. </w:t>
      </w:r>
      <w:r>
        <w:rPr>
          <w:rFonts w:hint="eastAsia" w:ascii="宋体" w:hAnsi="宋体"/>
          <w:kern w:val="44"/>
          <w:szCs w:val="24"/>
          <w:highlight w:val="none"/>
        </w:rPr>
        <w:t>投标文件的修正和澄清</w:t>
      </w:r>
      <w:r>
        <w:tab/>
      </w:r>
      <w:r>
        <w:fldChar w:fldCharType="begin"/>
      </w:r>
      <w:r>
        <w:instrText xml:space="preserve"> PAGEREF _Toc25223 \h </w:instrText>
      </w:r>
      <w:r>
        <w:fldChar w:fldCharType="separate"/>
      </w:r>
      <w:r>
        <w:t>26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_Toc13122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29. </w:t>
      </w:r>
      <w:r>
        <w:rPr>
          <w:rFonts w:hint="eastAsia" w:ascii="宋体" w:hAnsi="宋体"/>
          <w:bCs/>
          <w:kern w:val="44"/>
          <w:szCs w:val="24"/>
          <w:highlight w:val="none"/>
        </w:rPr>
        <w:t>评标总得分统计及推荐</w:t>
      </w:r>
      <w:r>
        <w:tab/>
      </w:r>
      <w:r>
        <w:fldChar w:fldCharType="begin"/>
      </w:r>
      <w:r>
        <w:instrText xml:space="preserve"> PAGEREF _Toc13122 \h </w:instrText>
      </w:r>
      <w:r>
        <w:fldChar w:fldCharType="separate"/>
      </w:r>
      <w:r>
        <w:t>26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_Toc160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30. </w:t>
      </w:r>
      <w:r>
        <w:rPr>
          <w:rFonts w:hint="eastAsia" w:ascii="宋体" w:hAnsi="宋体"/>
          <w:kern w:val="44"/>
          <w:szCs w:val="24"/>
          <w:highlight w:val="none"/>
        </w:rPr>
        <w:t>定标</w:t>
      </w:r>
      <w:r>
        <w:tab/>
      </w:r>
      <w:r>
        <w:fldChar w:fldCharType="begin"/>
      </w:r>
      <w:r>
        <w:instrText xml:space="preserve"> PAGEREF _Toc160 \h </w:instrText>
      </w:r>
      <w:r>
        <w:fldChar w:fldCharType="separate"/>
      </w:r>
      <w:r>
        <w:t>26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_Toc5256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31. </w:t>
      </w:r>
      <w:r>
        <w:rPr>
          <w:rFonts w:hint="eastAsia" w:ascii="宋体" w:hAnsi="宋体"/>
          <w:bCs/>
          <w:kern w:val="44"/>
          <w:szCs w:val="24"/>
          <w:highlight w:val="none"/>
        </w:rPr>
        <w:t>特别说明</w:t>
      </w:r>
      <w:r>
        <w:tab/>
      </w:r>
      <w:r>
        <w:fldChar w:fldCharType="begin"/>
      </w:r>
      <w:r>
        <w:instrText xml:space="preserve"> PAGEREF _Toc5256 \h </w:instrText>
      </w:r>
      <w:r>
        <w:fldChar w:fldCharType="separate"/>
      </w:r>
      <w:r>
        <w:t>27</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_Toc29878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32. </w:t>
      </w:r>
      <w:r>
        <w:rPr>
          <w:rFonts w:hint="eastAsia" w:ascii="宋体" w:hAnsi="宋体"/>
          <w:bCs/>
          <w:kern w:val="44"/>
          <w:szCs w:val="24"/>
          <w:highlight w:val="none"/>
        </w:rPr>
        <w:t>与采购代理机构和采购人的接触</w:t>
      </w:r>
      <w:r>
        <w:tab/>
      </w:r>
      <w:r>
        <w:fldChar w:fldCharType="begin"/>
      </w:r>
      <w:r>
        <w:instrText xml:space="preserve"> PAGEREF _Toc29878 \h </w:instrText>
      </w:r>
      <w:r>
        <w:fldChar w:fldCharType="separate"/>
      </w:r>
      <w:r>
        <w:t>27</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_Toc4267 </w:instrText>
      </w:r>
      <w:r>
        <w:rPr>
          <w:rFonts w:hint="eastAsia" w:asciiTheme="minorEastAsia" w:hAnsiTheme="minorEastAsia" w:cstheme="minorEastAsia"/>
          <w:szCs w:val="28"/>
          <w:highlight w:val="none"/>
        </w:rPr>
        <w:fldChar w:fldCharType="separate"/>
      </w:r>
      <w:r>
        <w:rPr>
          <w:rFonts w:hint="eastAsia" w:ascii="宋体" w:hAnsi="宋体"/>
          <w:bCs/>
          <w:szCs w:val="24"/>
          <w:highlight w:val="none"/>
        </w:rPr>
        <w:t>六、质疑与投诉</w:t>
      </w:r>
      <w:r>
        <w:tab/>
      </w:r>
      <w:r>
        <w:rPr>
          <w:rFonts w:hint="eastAsia"/>
          <w:lang w:val="en-US" w:eastAsia="zh-CN"/>
        </w:rPr>
        <w:t>2</w:t>
      </w:r>
      <w:r>
        <w:rPr>
          <w:rFonts w:hint="eastAsia" w:asciiTheme="minorEastAsia" w:hAnsiTheme="minorEastAsia" w:cstheme="minorEastAsia"/>
          <w:color w:val="auto"/>
          <w:szCs w:val="28"/>
          <w:highlight w:val="none"/>
        </w:rPr>
        <w:fldChar w:fldCharType="end"/>
      </w:r>
      <w:r>
        <w:rPr>
          <w:rFonts w:hint="eastAsia" w:ascii="Times New Roman" w:hAnsi="Times New Roman" w:eastAsia="宋体" w:cs="Times New Roman"/>
          <w:smallCaps w:val="0"/>
          <w:kern w:val="2"/>
          <w:sz w:val="21"/>
          <w:szCs w:val="24"/>
          <w:lang w:val="en-US" w:eastAsia="zh-CN" w:bidi="ar-SA"/>
        </w:rPr>
        <w:t>7</w:t>
      </w:r>
    </w:p>
    <w:p>
      <w:pPr>
        <w:pStyle w:val="23"/>
        <w:tabs>
          <w:tab w:val="right" w:leader="dot" w:pos="8306"/>
          <w:tab w:val="clear" w:pos="9628"/>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_Toc5828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33. </w:t>
      </w:r>
      <w:r>
        <w:rPr>
          <w:rFonts w:hint="eastAsia" w:ascii="宋体" w:hAnsi="宋体"/>
          <w:bCs/>
          <w:kern w:val="44"/>
          <w:szCs w:val="24"/>
          <w:highlight w:val="none"/>
        </w:rPr>
        <w:t>询问</w:t>
      </w:r>
      <w:r>
        <w:tab/>
      </w:r>
      <w:r>
        <w:rPr>
          <w:rFonts w:hint="eastAsia"/>
          <w:lang w:val="en-US" w:eastAsia="zh-CN"/>
        </w:rPr>
        <w:t>2</w:t>
      </w:r>
      <w:r>
        <w:rPr>
          <w:rFonts w:hint="eastAsia" w:asciiTheme="minorEastAsia" w:hAnsiTheme="minorEastAsia" w:cstheme="minorEastAsia"/>
          <w:color w:val="auto"/>
          <w:szCs w:val="28"/>
          <w:highlight w:val="none"/>
        </w:rPr>
        <w:fldChar w:fldCharType="end"/>
      </w:r>
      <w:r>
        <w:rPr>
          <w:rFonts w:hint="eastAsia"/>
          <w:lang w:val="en-US" w:eastAsia="zh-CN"/>
        </w:rPr>
        <w:t>7</w:t>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_Toc2109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34. </w:t>
      </w:r>
      <w:r>
        <w:rPr>
          <w:rFonts w:hint="eastAsia" w:ascii="宋体" w:hAnsi="宋体"/>
          <w:bCs/>
          <w:kern w:val="44"/>
          <w:szCs w:val="24"/>
          <w:highlight w:val="none"/>
        </w:rPr>
        <w:t>质疑</w:t>
      </w:r>
      <w:r>
        <w:tab/>
      </w:r>
      <w:r>
        <w:fldChar w:fldCharType="begin"/>
      </w:r>
      <w:r>
        <w:instrText xml:space="preserve"> PAGEREF _Toc2109 \h </w:instrText>
      </w:r>
      <w:r>
        <w:fldChar w:fldCharType="separate"/>
      </w:r>
      <w:r>
        <w:t>28</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_Toc13170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35. </w:t>
      </w:r>
      <w:r>
        <w:rPr>
          <w:rFonts w:hint="eastAsia" w:ascii="宋体" w:hAnsi="宋体"/>
          <w:bCs/>
          <w:kern w:val="44"/>
          <w:szCs w:val="24"/>
          <w:highlight w:val="none"/>
        </w:rPr>
        <w:t>投诉</w:t>
      </w:r>
      <w:r>
        <w:tab/>
      </w:r>
      <w:r>
        <w:fldChar w:fldCharType="begin"/>
      </w:r>
      <w:r>
        <w:instrText xml:space="preserve"> PAGEREF _Toc13170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6"/>
        <w:tabs>
          <w:tab w:val="right" w:leader="dot" w:pos="8306"/>
        </w:tabs>
        <w:spacing w:line="360" w:lineRule="auto"/>
        <w:ind w:left="0" w:leftChars="0" w:firstLine="0" w:firstLineChars="0"/>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_Toc21033 </w:instrText>
      </w:r>
      <w:r>
        <w:rPr>
          <w:rFonts w:hint="eastAsia" w:asciiTheme="minorEastAsia" w:hAnsiTheme="minorEastAsia" w:cstheme="minorEastAsia"/>
          <w:szCs w:val="28"/>
          <w:highlight w:val="none"/>
        </w:rPr>
        <w:fldChar w:fldCharType="separate"/>
      </w:r>
      <w:r>
        <w:rPr>
          <w:rFonts w:hint="eastAsia" w:ascii="宋体" w:hAnsi="宋体"/>
          <w:bCs/>
          <w:szCs w:val="32"/>
          <w:highlight w:val="none"/>
        </w:rPr>
        <w:t>七、授予合同</w:t>
      </w:r>
      <w:r>
        <w:tab/>
      </w:r>
      <w:r>
        <w:fldChar w:fldCharType="begin"/>
      </w:r>
      <w:r>
        <w:instrText xml:space="preserve"> PAGEREF _Toc21033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_Toc30579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36. </w:t>
      </w:r>
      <w:r>
        <w:rPr>
          <w:rFonts w:hint="eastAsia" w:ascii="宋体" w:hAnsi="宋体"/>
          <w:bCs/>
          <w:kern w:val="44"/>
          <w:szCs w:val="24"/>
          <w:highlight w:val="none"/>
        </w:rPr>
        <w:t>确定中标人</w:t>
      </w:r>
      <w:r>
        <w:tab/>
      </w:r>
      <w:r>
        <w:fldChar w:fldCharType="begin"/>
      </w:r>
      <w:r>
        <w:instrText xml:space="preserve"> PAGEREF _Toc30579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_Toc7161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37. </w:t>
      </w:r>
      <w:r>
        <w:rPr>
          <w:rFonts w:hint="eastAsia" w:ascii="宋体" w:hAnsi="宋体"/>
          <w:bCs/>
          <w:kern w:val="44"/>
          <w:szCs w:val="24"/>
          <w:highlight w:val="none"/>
        </w:rPr>
        <w:t>接受和拒绝任何或所有投标的权力</w:t>
      </w:r>
      <w:r>
        <w:tab/>
      </w:r>
      <w:r>
        <w:fldChar w:fldCharType="begin"/>
      </w:r>
      <w:r>
        <w:instrText xml:space="preserve"> PAGEREF _Toc7161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_Toc26407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38. </w:t>
      </w:r>
      <w:r>
        <w:rPr>
          <w:rFonts w:hint="eastAsia" w:ascii="宋体" w:hAnsi="宋体"/>
          <w:bCs/>
          <w:kern w:val="44"/>
          <w:szCs w:val="24"/>
          <w:highlight w:val="none"/>
        </w:rPr>
        <w:t>中标通知书</w:t>
      </w:r>
      <w:r>
        <w:tab/>
      </w:r>
      <w:r>
        <w:fldChar w:fldCharType="begin"/>
      </w:r>
      <w:r>
        <w:instrText xml:space="preserve"> PAGEREF _Toc26407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_Toc14729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39. </w:t>
      </w:r>
      <w:r>
        <w:rPr>
          <w:rFonts w:hint="eastAsia" w:ascii="宋体" w:hAnsi="宋体"/>
          <w:bCs/>
          <w:kern w:val="44"/>
          <w:szCs w:val="24"/>
          <w:highlight w:val="none"/>
        </w:rPr>
        <w:t>合同的订立</w:t>
      </w:r>
      <w:r>
        <w:tab/>
      </w:r>
      <w:r>
        <w:fldChar w:fldCharType="begin"/>
      </w:r>
      <w:r>
        <w:instrText xml:space="preserve"> PAGEREF _Toc14729 \h </w:instrText>
      </w:r>
      <w:r>
        <w:fldChar w:fldCharType="separate"/>
      </w:r>
      <w:r>
        <w:t>31</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_Toc19474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40. </w:t>
      </w:r>
      <w:r>
        <w:rPr>
          <w:rFonts w:hint="eastAsia" w:ascii="宋体" w:hAnsi="宋体"/>
          <w:bCs/>
          <w:kern w:val="44"/>
          <w:szCs w:val="24"/>
          <w:highlight w:val="none"/>
        </w:rPr>
        <w:t>合同的履行</w:t>
      </w:r>
      <w:r>
        <w:tab/>
      </w:r>
      <w:r>
        <w:fldChar w:fldCharType="begin"/>
      </w:r>
      <w:r>
        <w:instrText xml:space="preserve"> PAGEREF _Toc19474 \h </w:instrText>
      </w:r>
      <w:r>
        <w:fldChar w:fldCharType="separate"/>
      </w:r>
      <w:r>
        <w:t>32</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_Toc18199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41. </w:t>
      </w:r>
      <w:r>
        <w:rPr>
          <w:rFonts w:hint="eastAsia" w:ascii="宋体" w:hAnsi="宋体"/>
          <w:bCs/>
          <w:kern w:val="44"/>
          <w:szCs w:val="24"/>
          <w:highlight w:val="none"/>
        </w:rPr>
        <w:t>采购代理服务费</w:t>
      </w:r>
      <w:r>
        <w:tab/>
      </w:r>
      <w:r>
        <w:fldChar w:fldCharType="begin"/>
      </w:r>
      <w:r>
        <w:instrText xml:space="preserve"> PAGEREF _Toc18199 \h </w:instrText>
      </w:r>
      <w:r>
        <w:fldChar w:fldCharType="separate"/>
      </w:r>
      <w:r>
        <w:t>32</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_Toc3865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42. </w:t>
      </w:r>
      <w:r>
        <w:rPr>
          <w:rFonts w:hint="eastAsia" w:ascii="宋体" w:hAnsi="宋体"/>
          <w:bCs/>
          <w:kern w:val="44"/>
          <w:szCs w:val="24"/>
          <w:highlight w:val="none"/>
        </w:rPr>
        <w:t>适用法律</w:t>
      </w:r>
      <w:r>
        <w:tab/>
      </w:r>
      <w:r>
        <w:fldChar w:fldCharType="begin"/>
      </w:r>
      <w:r>
        <w:instrText xml:space="preserve"> PAGEREF _Toc3865 \h </w:instrText>
      </w:r>
      <w:r>
        <w:fldChar w:fldCharType="separate"/>
      </w:r>
      <w:r>
        <w:t>32</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_Toc22798 </w:instrText>
      </w:r>
      <w:r>
        <w:rPr>
          <w:rFonts w:hint="eastAsia" w:asciiTheme="minorEastAsia" w:hAnsiTheme="minorEastAsia" w:cstheme="minorEastAsia"/>
          <w:szCs w:val="28"/>
          <w:highlight w:val="none"/>
        </w:rPr>
        <w:fldChar w:fldCharType="separate"/>
      </w:r>
      <w:r>
        <w:rPr>
          <w:rFonts w:hint="eastAsia" w:ascii="宋体" w:hAnsi="宋体"/>
          <w:bCs/>
          <w:kern w:val="44"/>
          <w:szCs w:val="24"/>
        </w:rPr>
        <w:t xml:space="preserve">43. </w:t>
      </w:r>
      <w:r>
        <w:rPr>
          <w:rFonts w:hint="eastAsia" w:ascii="宋体" w:hAnsi="宋体"/>
          <w:bCs/>
          <w:kern w:val="44"/>
          <w:szCs w:val="24"/>
          <w:highlight w:val="none"/>
        </w:rPr>
        <w:t>政府采购政策</w:t>
      </w:r>
      <w:r>
        <w:tab/>
      </w:r>
      <w:r>
        <w:fldChar w:fldCharType="begin"/>
      </w:r>
      <w:r>
        <w:instrText xml:space="preserve"> PAGEREF _Toc22798 \h </w:instrText>
      </w:r>
      <w:r>
        <w:fldChar w:fldCharType="separate"/>
      </w:r>
      <w:r>
        <w:t>32</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_Toc28078 </w:instrText>
      </w:r>
      <w:r>
        <w:rPr>
          <w:rFonts w:hint="eastAsia" w:asciiTheme="minorEastAsia" w:hAnsiTheme="minorEastAsia" w:cstheme="minorEastAsia"/>
          <w:szCs w:val="28"/>
          <w:highlight w:val="none"/>
        </w:rPr>
        <w:fldChar w:fldCharType="separate"/>
      </w:r>
      <w:r>
        <w:rPr>
          <w:rFonts w:hint="eastAsia" w:ascii="宋体" w:hAnsi="宋体"/>
          <w:bCs/>
          <w:kern w:val="44"/>
          <w:szCs w:val="24"/>
          <w:highlight w:val="none"/>
        </w:rPr>
        <w:t>第四章 合同格式</w:t>
      </w:r>
      <w:r>
        <w:tab/>
      </w:r>
      <w:r>
        <w:fldChar w:fldCharType="begin"/>
      </w:r>
      <w:r>
        <w:instrText xml:space="preserve"> PAGEREF _Toc28078 \h </w:instrText>
      </w:r>
      <w:r>
        <w:fldChar w:fldCharType="separate"/>
      </w:r>
      <w:r>
        <w:t>35</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_Toc3845 </w:instrText>
      </w:r>
      <w:r>
        <w:rPr>
          <w:rFonts w:hint="eastAsia" w:asciiTheme="minorEastAsia" w:hAnsiTheme="minorEastAsia" w:cstheme="minorEastAsia"/>
          <w:szCs w:val="28"/>
          <w:highlight w:val="none"/>
        </w:rPr>
        <w:fldChar w:fldCharType="separate"/>
      </w:r>
      <w:r>
        <w:rPr>
          <w:szCs w:val="44"/>
        </w:rPr>
        <w:t xml:space="preserve">第五章 </w:t>
      </w:r>
      <w:r>
        <w:rPr>
          <w:rFonts w:hint="eastAsia"/>
          <w:szCs w:val="44"/>
          <w:highlight w:val="none"/>
        </w:rPr>
        <w:t>采购需求</w:t>
      </w:r>
      <w:r>
        <w:tab/>
      </w:r>
      <w:r>
        <w:fldChar w:fldCharType="begin"/>
      </w:r>
      <w:r>
        <w:instrText xml:space="preserve"> PAGEREF _Toc3845 \h </w:instrText>
      </w:r>
      <w:r>
        <w:fldChar w:fldCharType="separate"/>
      </w:r>
      <w:r>
        <w:t>4</w:t>
      </w:r>
      <w:r>
        <w:rPr>
          <w:rFonts w:hint="eastAsia"/>
          <w:lang w:val="en-US" w:eastAsia="zh-CN"/>
        </w:rPr>
        <w:t>6</w:t>
      </w:r>
      <w:r>
        <w:fldChar w:fldCharType="end"/>
      </w:r>
      <w:r>
        <w:rPr>
          <w:rFonts w:hint="eastAsia" w:asciiTheme="minorEastAsia" w:hAnsiTheme="minorEastAsia" w:cstheme="minorEastAsia"/>
          <w:color w:val="auto"/>
          <w:szCs w:val="28"/>
          <w:highlight w:val="none"/>
        </w:rPr>
        <w:fldChar w:fldCharType="end"/>
      </w:r>
    </w:p>
    <w:p>
      <w:pPr>
        <w:pStyle w:val="23"/>
        <w:tabs>
          <w:tab w:val="right" w:leader="dot" w:pos="8306"/>
          <w:tab w:val="clear" w:pos="9628"/>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_Toc10572 </w:instrText>
      </w:r>
      <w:r>
        <w:rPr>
          <w:rFonts w:hint="eastAsia" w:asciiTheme="minorEastAsia" w:hAnsiTheme="minorEastAsia" w:cstheme="minorEastAsia"/>
          <w:szCs w:val="28"/>
          <w:highlight w:val="none"/>
        </w:rPr>
        <w:fldChar w:fldCharType="separate"/>
      </w:r>
      <w:r>
        <w:rPr>
          <w:rFonts w:hint="eastAsia"/>
          <w:highlight w:val="none"/>
        </w:rPr>
        <w:t>第六章</w:t>
      </w:r>
      <w:r>
        <w:rPr>
          <w:highlight w:val="none"/>
        </w:rPr>
        <w:t xml:space="preserve">   </w:t>
      </w:r>
      <w:r>
        <w:rPr>
          <w:rFonts w:hint="eastAsia"/>
          <w:highlight w:val="none"/>
        </w:rPr>
        <w:t>投标文件部分格式</w:t>
      </w:r>
      <w:r>
        <w:tab/>
      </w:r>
      <w:r>
        <w:rPr>
          <w:rFonts w:hint="eastAsia"/>
          <w:lang w:val="en-US" w:eastAsia="zh-CN"/>
        </w:rPr>
        <w:t>7</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4</w:t>
      </w:r>
    </w:p>
    <w:p>
      <w:pPr>
        <w:pStyle w:val="26"/>
        <w:tabs>
          <w:tab w:val="right" w:leader="dot" w:pos="8306"/>
        </w:tabs>
        <w:spacing w:line="360" w:lineRule="auto"/>
        <w:rPr>
          <w:rFonts w:hint="default"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_Toc19393 </w:instrText>
      </w:r>
      <w:r>
        <w:rPr>
          <w:rFonts w:hint="eastAsia" w:asciiTheme="minorEastAsia" w:hAnsiTheme="minorEastAsia" w:cstheme="minorEastAsia"/>
          <w:szCs w:val="28"/>
          <w:highlight w:val="none"/>
        </w:rPr>
        <w:fldChar w:fldCharType="separate"/>
      </w:r>
      <w:r>
        <w:rPr>
          <w:rFonts w:ascii="宋体" w:hAnsi="宋体"/>
          <w:bCs w:val="0"/>
          <w:highlight w:val="none"/>
        </w:rPr>
        <w:t>1</w:t>
      </w:r>
      <w:r>
        <w:rPr>
          <w:rFonts w:hint="eastAsia" w:ascii="宋体" w:hAnsi="宋体"/>
          <w:bCs w:val="0"/>
          <w:highlight w:val="none"/>
        </w:rPr>
        <w:t>、投标承诺书</w:t>
      </w:r>
      <w:r>
        <w:tab/>
      </w:r>
      <w:r>
        <w:rPr>
          <w:rFonts w:hint="eastAsia"/>
          <w:lang w:val="en-US" w:eastAsia="zh-CN"/>
        </w:rPr>
        <w:t>7</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6</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_Toc3064 </w:instrText>
      </w:r>
      <w:r>
        <w:rPr>
          <w:rFonts w:hint="eastAsia" w:asciiTheme="minorEastAsia" w:hAnsiTheme="minorEastAsia" w:cstheme="minorEastAsia"/>
          <w:szCs w:val="28"/>
          <w:highlight w:val="none"/>
        </w:rPr>
        <w:fldChar w:fldCharType="separate"/>
      </w:r>
      <w:r>
        <w:rPr>
          <w:rFonts w:hint="eastAsia" w:ascii="宋体" w:hAnsi="宋体"/>
          <w:bCs w:val="0"/>
          <w:highlight w:val="none"/>
        </w:rPr>
        <w:t>2、报价一览表</w:t>
      </w:r>
      <w:r>
        <w:tab/>
      </w:r>
      <w:r>
        <w:rPr>
          <w:rFonts w:hint="eastAsia"/>
          <w:lang w:val="en-US" w:eastAsia="zh-CN"/>
        </w:rPr>
        <w:t>7</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7</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_Toc8766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3、</w:t>
      </w:r>
      <w:r>
        <w:rPr>
          <w:rFonts w:hint="eastAsia" w:ascii="宋体" w:hAnsi="宋体"/>
          <w:bCs w:val="0"/>
          <w:highlight w:val="none"/>
        </w:rPr>
        <w:t>报价一览明细表</w:t>
      </w:r>
      <w:r>
        <w:tab/>
      </w:r>
      <w:r>
        <w:rPr>
          <w:rFonts w:hint="eastAsia"/>
          <w:lang w:val="en-US" w:eastAsia="zh-CN"/>
        </w:rPr>
        <w:t>7</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8</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_Toc12705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4、法定代表人（负责人）身份证明</w:t>
      </w:r>
      <w:r>
        <w:tab/>
      </w:r>
      <w:r>
        <w:rPr>
          <w:rFonts w:hint="eastAsia"/>
          <w:lang w:val="en-US" w:eastAsia="zh-CN"/>
        </w:rPr>
        <w:t>7</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9</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_Toc18441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5、法定代表人（负责人）授权委托书</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0</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_Toc17805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6、保证金汇入情况说明</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1</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_Toc8056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7、技术条件响应/偏离表</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2</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_Toc7233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8、商务条件响应/偏离表</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3</w:t>
      </w:r>
    </w:p>
    <w:p>
      <w:pPr>
        <w:pStyle w:val="26"/>
        <w:tabs>
          <w:tab w:val="right" w:leader="dot" w:pos="8306"/>
        </w:tabs>
        <w:spacing w:line="360" w:lineRule="auto"/>
        <w:ind w:left="638" w:leftChars="304" w:firstLine="2" w:firstLineChars="1"/>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_Toc16507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9、投标人法人营业执照的证明材料、相关资质证书副本等材料的复印件以及商务因素、技术因素、服务因素所需证明资料（格式自拟）</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4</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_Toc5499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10、投标人近三年（2022年1月1日至今）类似项目业绩</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5</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_Toc23838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11、项目策划实施服务方案、质量控制方案、前期调研考察、技术保障方案、工作进度控制措施、售后服务方案等内容</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6</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_Toc1779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12、投标人基本情况说明</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7</w:t>
      </w:r>
    </w:p>
    <w:p>
      <w:pPr>
        <w:pStyle w:val="26"/>
        <w:tabs>
          <w:tab w:val="right" w:leader="dot" w:pos="8306"/>
        </w:tabs>
        <w:spacing w:line="360" w:lineRule="auto"/>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_Toc14849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13、项目人员配置情况表</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8</w:t>
      </w:r>
    </w:p>
    <w:p>
      <w:pPr>
        <w:pStyle w:val="26"/>
        <w:tabs>
          <w:tab w:val="right" w:leader="dot" w:pos="8306"/>
        </w:tabs>
        <w:spacing w:line="360" w:lineRule="auto"/>
        <w:rPr>
          <w:rFonts w:hint="eastAsia"/>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_Toc17664 </w:instrText>
      </w:r>
      <w:r>
        <w:rPr>
          <w:rFonts w:hint="eastAsia" w:asciiTheme="minorEastAsia" w:hAnsiTheme="minorEastAsia" w:cstheme="minorEastAsia"/>
          <w:szCs w:val="28"/>
          <w:highlight w:val="none"/>
        </w:rPr>
        <w:fldChar w:fldCharType="separate"/>
      </w:r>
      <w:r>
        <w:rPr>
          <w:rFonts w:hint="eastAsia" w:ascii="宋体" w:hAnsi="宋体"/>
          <w:bCs w:val="0"/>
          <w:highlight w:val="none"/>
          <w:lang w:val="en-US" w:eastAsia="zh-CN"/>
        </w:rPr>
        <w:t>14、投标人认为需要提供的其他材料说明</w:t>
      </w:r>
      <w:r>
        <w:tab/>
      </w:r>
      <w:r>
        <w:rPr>
          <w:rFonts w:hint="eastAsia"/>
          <w:lang w:val="en-US" w:eastAsia="zh-CN"/>
        </w:rPr>
        <w:t>8</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9</w:t>
      </w:r>
    </w:p>
    <w:p>
      <w:pPr>
        <w:pStyle w:val="23"/>
        <w:tabs>
          <w:tab w:val="right" w:leader="dot" w:pos="8306"/>
          <w:tab w:val="clear" w:pos="9628"/>
        </w:tabs>
        <w:spacing w:line="360" w:lineRule="auto"/>
        <w:ind w:firstLine="630" w:firstLineChars="300"/>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_Toc24440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cstheme="minorEastAsia"/>
          <w:szCs w:val="52"/>
          <w:highlight w:val="none"/>
        </w:rPr>
        <w:t>附表1</w:t>
      </w:r>
      <w:r>
        <w:rPr>
          <w:rFonts w:hint="eastAsia"/>
          <w:highlight w:val="none"/>
          <w:lang w:val="en-US" w:eastAsia="zh-CN"/>
        </w:rPr>
        <w:t xml:space="preserve"> </w:t>
      </w:r>
      <w:r>
        <w:rPr>
          <w:rFonts w:hint="eastAsia"/>
          <w:highlight w:val="none"/>
        </w:rPr>
        <w:t>初步评审标准表</w:t>
      </w:r>
      <w:r>
        <w:tab/>
      </w:r>
      <w:r>
        <w:rPr>
          <w:rFonts w:hint="eastAsia"/>
          <w:lang w:val="en-US" w:eastAsia="zh-CN"/>
        </w:rPr>
        <w:t>9</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4</w:t>
      </w:r>
    </w:p>
    <w:p>
      <w:pPr>
        <w:pStyle w:val="23"/>
        <w:tabs>
          <w:tab w:val="right" w:leader="dot" w:pos="8306"/>
          <w:tab w:val="clear" w:pos="9628"/>
        </w:tabs>
        <w:spacing w:line="360" w:lineRule="auto"/>
        <w:ind w:firstLine="630" w:firstLineChars="300"/>
        <w:rPr>
          <w:rFonts w:hint="eastAsia" w:eastAsia="宋体"/>
          <w:lang w:val="en-US" w:eastAsia="zh-CN"/>
        </w:rPr>
      </w:pPr>
      <w:r>
        <w:rPr>
          <w:rFonts w:hint="eastAsia" w:asciiTheme="minorEastAsia" w:hAnsiTheme="minorEastAsia" w:cstheme="minorEastAsia"/>
          <w:color w:val="auto"/>
          <w:szCs w:val="28"/>
          <w:highlight w:val="none"/>
        </w:rPr>
        <w:fldChar w:fldCharType="begin"/>
      </w:r>
      <w:r>
        <w:rPr>
          <w:rFonts w:hint="eastAsia" w:asciiTheme="minorEastAsia" w:hAnsiTheme="minorEastAsia" w:cstheme="minorEastAsia"/>
          <w:szCs w:val="28"/>
          <w:highlight w:val="none"/>
        </w:rPr>
        <w:instrText xml:space="preserve"> HYPERLINK \l _Toc9700 </w:instrText>
      </w:r>
      <w:r>
        <w:rPr>
          <w:rFonts w:hint="eastAsia" w:asciiTheme="minorEastAsia" w:hAnsiTheme="minorEastAsia" w:cstheme="minorEastAsia"/>
          <w:szCs w:val="28"/>
          <w:highlight w:val="none"/>
        </w:rPr>
        <w:fldChar w:fldCharType="separate"/>
      </w:r>
      <w:r>
        <w:rPr>
          <w:rFonts w:hint="eastAsia" w:asciiTheme="minorEastAsia" w:hAnsiTheme="minorEastAsia" w:eastAsiaTheme="minorEastAsia" w:cstheme="minorEastAsia"/>
          <w:szCs w:val="36"/>
          <w:highlight w:val="none"/>
        </w:rPr>
        <w:t xml:space="preserve">附表2 </w:t>
      </w:r>
      <w:r>
        <w:rPr>
          <w:rFonts w:hint="eastAsia" w:asciiTheme="minorEastAsia" w:hAnsiTheme="minorEastAsia" w:eastAsiaTheme="minorEastAsia" w:cstheme="minorEastAsia"/>
          <w:bCs w:val="0"/>
          <w:szCs w:val="36"/>
          <w:highlight w:val="none"/>
        </w:rPr>
        <w:t>评 分 细 则</w:t>
      </w:r>
      <w:r>
        <w:tab/>
      </w:r>
      <w:r>
        <w:rPr>
          <w:rFonts w:hint="eastAsia"/>
          <w:lang w:val="en-US" w:eastAsia="zh-CN"/>
        </w:rPr>
        <w:t>9</w:t>
      </w:r>
      <w:r>
        <w:rPr>
          <w:rFonts w:hint="eastAsia" w:asciiTheme="minorEastAsia" w:hAnsiTheme="minorEastAsia" w:cstheme="minorEastAsia"/>
          <w:color w:val="auto"/>
          <w:szCs w:val="28"/>
          <w:highlight w:val="none"/>
        </w:rPr>
        <w:fldChar w:fldCharType="end"/>
      </w:r>
      <w:r>
        <w:rPr>
          <w:rFonts w:hint="eastAsia" w:asciiTheme="minorEastAsia" w:hAnsiTheme="minorEastAsia" w:cstheme="minorEastAsia"/>
          <w:color w:val="auto"/>
          <w:szCs w:val="28"/>
          <w:highlight w:val="none"/>
          <w:lang w:val="en-US" w:eastAsia="zh-CN"/>
        </w:rPr>
        <w:t>6</w:t>
      </w:r>
    </w:p>
    <w:p>
      <w:r>
        <w:rPr>
          <w:rFonts w:hint="eastAsia" w:asciiTheme="minorEastAsia" w:hAnsiTheme="minorEastAsia" w:cstheme="minorEastAsia"/>
          <w:color w:val="auto"/>
          <w:szCs w:val="28"/>
          <w:highlight w:val="none"/>
        </w:rPr>
        <w:fldChar w:fldCharType="end"/>
      </w:r>
    </w:p>
    <w:p>
      <w:pPr>
        <w:pStyle w:val="25"/>
        <w:rPr>
          <w:rFonts w:asciiTheme="minorEastAsia" w:hAnsiTheme="minorEastAsia" w:cstheme="minorEastAsia"/>
          <w:color w:val="auto"/>
          <w:sz w:val="28"/>
          <w:szCs w:val="28"/>
          <w:highlight w:val="none"/>
        </w:rPr>
      </w:pPr>
    </w:p>
    <w:p>
      <w:pPr>
        <w:pStyle w:val="30"/>
        <w:spacing w:line="276" w:lineRule="auto"/>
        <w:rPr>
          <w:rFonts w:asciiTheme="minorEastAsia" w:hAnsiTheme="minorEastAsia" w:cstheme="minorEastAsia"/>
          <w:color w:val="auto"/>
          <w:sz w:val="28"/>
          <w:szCs w:val="28"/>
          <w:highlight w:val="none"/>
        </w:rPr>
      </w:pPr>
    </w:p>
    <w:p>
      <w:pPr>
        <w:rPr>
          <w:color w:val="auto"/>
          <w:highlight w:val="none"/>
        </w:rPr>
      </w:pPr>
    </w:p>
    <w:p>
      <w:pPr>
        <w:pStyle w:val="30"/>
        <w:spacing w:line="276" w:lineRule="auto"/>
        <w:rPr>
          <w:rFonts w:asciiTheme="minorEastAsia" w:hAnsiTheme="minorEastAsia" w:cstheme="minorEastAsia"/>
          <w:color w:val="auto"/>
          <w:sz w:val="28"/>
          <w:szCs w:val="28"/>
          <w:highlight w:val="none"/>
        </w:rPr>
      </w:pPr>
    </w:p>
    <w:p>
      <w:pPr>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41"/>
        <w:rPr>
          <w:rFonts w:asciiTheme="minorEastAsia" w:hAnsiTheme="minorEastAsia" w:cstheme="minorEastAsia"/>
          <w:color w:val="auto"/>
          <w:sz w:val="28"/>
          <w:szCs w:val="28"/>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25"/>
        <w:rPr>
          <w:color w:val="auto"/>
          <w:szCs w:val="44"/>
          <w:highlight w:val="none"/>
        </w:rPr>
      </w:pPr>
    </w:p>
    <w:p>
      <w:pPr>
        <w:pStyle w:val="30"/>
        <w:spacing w:line="276" w:lineRule="auto"/>
        <w:jc w:val="both"/>
        <w:rPr>
          <w:rFonts w:hint="eastAsia"/>
          <w:color w:val="auto"/>
          <w:szCs w:val="44"/>
          <w:highlight w:val="none"/>
        </w:rPr>
      </w:pPr>
    </w:p>
    <w:p>
      <w:pPr>
        <w:pStyle w:val="41"/>
        <w:rPr>
          <w:rFonts w:hint="eastAsia"/>
          <w:color w:val="auto"/>
          <w:szCs w:val="44"/>
          <w:highlight w:val="none"/>
        </w:rPr>
      </w:pPr>
      <w:bookmarkStart w:id="0" w:name="_Toc20454"/>
    </w:p>
    <w:p>
      <w:pPr>
        <w:pStyle w:val="41"/>
        <w:rPr>
          <w:rFonts w:hint="eastAsia"/>
          <w:color w:val="auto"/>
          <w:szCs w:val="44"/>
          <w:highlight w:val="none"/>
        </w:rPr>
      </w:pPr>
    </w:p>
    <w:p>
      <w:pPr>
        <w:pStyle w:val="41"/>
        <w:rPr>
          <w:rFonts w:hint="eastAsia"/>
          <w:color w:val="auto"/>
          <w:szCs w:val="44"/>
          <w:highlight w:val="none"/>
        </w:rPr>
      </w:pPr>
    </w:p>
    <w:p>
      <w:pPr>
        <w:widowControl w:val="0"/>
        <w:numPr>
          <w:ilvl w:val="0"/>
          <w:numId w:val="2"/>
        </w:numPr>
        <w:snapToGrid w:val="0"/>
        <w:spacing w:beforeLines="100" w:afterLines="50" w:line="240" w:lineRule="auto"/>
        <w:jc w:val="center"/>
        <w:textAlignment w:val="baseline"/>
        <w:outlineLvl w:val="0"/>
        <w:rPr>
          <w:rFonts w:hint="eastAsia" w:ascii="仿宋" w:hAnsi="仿宋" w:eastAsia="仿宋" w:cs="仿宋"/>
          <w:b/>
          <w:bCs/>
          <w:color w:val="auto"/>
          <w:kern w:val="0"/>
          <w:sz w:val="32"/>
          <w:szCs w:val="32"/>
          <w:u w:color="000000"/>
        </w:rPr>
      </w:pPr>
      <w:r>
        <w:rPr>
          <w:rFonts w:hint="eastAsia" w:ascii="仿宋" w:hAnsi="仿宋" w:eastAsia="仿宋" w:cs="仿宋"/>
          <w:b/>
          <w:bCs/>
          <w:color w:val="auto"/>
          <w:kern w:val="0"/>
          <w:sz w:val="32"/>
          <w:szCs w:val="32"/>
          <w:u w:color="000000"/>
          <w:lang w:eastAsia="zh-CN"/>
        </w:rPr>
        <w:t>招标公告</w:t>
      </w:r>
      <w:r>
        <w:rPr>
          <w:rFonts w:hint="eastAsia" w:ascii="仿宋" w:hAnsi="仿宋" w:eastAsia="仿宋" w:cs="仿宋"/>
          <w:b/>
          <w:bCs/>
          <w:color w:val="auto"/>
          <w:kern w:val="0"/>
          <w:sz w:val="32"/>
          <w:szCs w:val="32"/>
          <w:u w:color="000000"/>
        </w:rPr>
        <w:t xml:space="preserve"> </w:t>
      </w:r>
    </w:p>
    <w:bookmarkEnd w:id="0"/>
    <w:p>
      <w:pPr>
        <w:pStyle w:val="41"/>
        <w:spacing w:line="360" w:lineRule="auto"/>
        <w:ind w:left="0" w:leftChars="0" w:firstLine="0" w:firstLineChars="0"/>
        <w:jc w:val="center"/>
        <w:rPr>
          <w:rFonts w:hint="eastAsia" w:ascii="Times New Roman" w:hAnsi="Times New Roman" w:eastAsia="宋体" w:cs="Times New Roman"/>
          <w:b/>
          <w:bCs/>
          <w:sz w:val="24"/>
          <w:szCs w:val="32"/>
        </w:rPr>
      </w:pPr>
      <w:r>
        <w:rPr>
          <w:rFonts w:hint="eastAsia" w:cs="Times New Roman"/>
          <w:b/>
          <w:bCs/>
          <w:sz w:val="24"/>
          <w:szCs w:val="32"/>
          <w:highlight w:val="none"/>
          <w:lang w:val="en-US" w:eastAsia="zh-CN"/>
        </w:rPr>
        <w:t>2025年粮食产能提升小麦专家服务</w:t>
      </w:r>
      <w:r>
        <w:rPr>
          <w:rFonts w:hint="eastAsia" w:cs="Times New Roman"/>
          <w:b/>
          <w:bCs/>
          <w:sz w:val="24"/>
          <w:szCs w:val="32"/>
          <w:lang w:val="en-US" w:eastAsia="zh-CN"/>
        </w:rPr>
        <w:t>项目</w:t>
      </w:r>
    </w:p>
    <w:p>
      <w:pPr>
        <w:spacing w:line="360" w:lineRule="auto"/>
        <w:jc w:val="center"/>
        <w:rPr>
          <w:rFonts w:hint="eastAsia" w:ascii="Times New Roman" w:hAnsi="Times New Roman" w:eastAsia="宋体" w:cs="Times New Roman"/>
          <w:b/>
          <w:bCs/>
          <w:sz w:val="24"/>
          <w:szCs w:val="32"/>
          <w:lang w:eastAsia="zh-CN"/>
        </w:rPr>
      </w:pPr>
      <w:r>
        <w:rPr>
          <w:rFonts w:ascii="Times New Roman" w:hAnsi="Times New Roman" w:eastAsia="宋体" w:cs="Times New Roman"/>
          <w:b/>
          <w:bCs/>
          <w:sz w:val="24"/>
          <w:szCs w:val="3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259715</wp:posOffset>
                </wp:positionV>
                <wp:extent cx="5840095" cy="909955"/>
                <wp:effectExtent l="12700" t="12700" r="14605" b="17145"/>
                <wp:wrapNone/>
                <wp:docPr id="5" name="矩形 5"/>
                <wp:cNvGraphicFramePr/>
                <a:graphic xmlns:a="http://schemas.openxmlformats.org/drawingml/2006/main">
                  <a:graphicData uri="http://schemas.microsoft.com/office/word/2010/wordprocessingShape">
                    <wps:wsp>
                      <wps:cNvSpPr/>
                      <wps:spPr>
                        <a:xfrm>
                          <a:off x="1048385" y="2022475"/>
                          <a:ext cx="5840095" cy="90995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20.45pt;height:71.65pt;width:459.85pt;z-index:251662336;v-text-anchor:middle;mso-width-relative:page;mso-height-relative:page;" filled="f" stroked="t" coordsize="21600,21600" o:gfxdata="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4mNZTZAAAACQEAAA8AAAAAAAAAAQAgAAAAIgAAAGRycy9kb3ducmV2&#10;LnhtbFBLAQIUABQAAAAIAIdO4kAdxD+WbQIAAM4EAAAOAAAAAAAAAAEAIAAAACgBAABkcnMvZTJv&#10;RG9jLnhtbFBLBQYAAAAABgAGAFkBAAAHBgAAAAA=&#10;">
                <v:fill on="f" focussize="0,0"/>
                <v:stroke weight="2pt" color="#000000" joinstyle="round"/>
                <v:imagedata o:title=""/>
                <o:lock v:ext="edit" aspectratio="f"/>
              </v:rect>
            </w:pict>
          </mc:Fallback>
        </mc:AlternateContent>
      </w:r>
      <w:r>
        <w:rPr>
          <w:rFonts w:ascii="Times New Roman" w:hAnsi="Times New Roman" w:eastAsia="宋体" w:cs="Times New Roman"/>
          <w:b/>
          <w:bCs/>
          <w:sz w:val="24"/>
          <w:szCs w:val="32"/>
        </w:rPr>
        <w:t>公开招标公告</w:t>
      </w:r>
    </w:p>
    <w:p>
      <w:pPr>
        <w:spacing w:line="360" w:lineRule="auto"/>
        <w:rPr>
          <w:rFonts w:hint="eastAsia"/>
        </w:rPr>
      </w:pPr>
      <w:r>
        <w:rPr>
          <w:rFonts w:hint="eastAsia"/>
        </w:rPr>
        <w:t>项目概况</w:t>
      </w:r>
    </w:p>
    <w:p>
      <w:pPr>
        <w:spacing w:line="360" w:lineRule="auto"/>
        <w:ind w:firstLine="420" w:firstLineChars="200"/>
      </w:pPr>
      <w:r>
        <w:rPr>
          <w:rFonts w:hint="eastAsia"/>
          <w:highlight w:val="none"/>
          <w:lang w:eastAsia="zh-CN"/>
        </w:rPr>
        <w:t>2025年粮食产能提升小麦专家服务项目采购</w:t>
      </w:r>
      <w:r>
        <w:rPr>
          <w:rFonts w:hint="eastAsia"/>
          <w:highlight w:val="none"/>
        </w:rPr>
        <w:t>招标项目</w:t>
      </w:r>
      <w:r>
        <w:rPr>
          <w:rFonts w:hint="eastAsia"/>
        </w:rPr>
        <w:t>的</w:t>
      </w:r>
      <w:r>
        <w:rPr>
          <w:rFonts w:hint="eastAsia"/>
          <w:lang w:eastAsia="zh-CN"/>
        </w:rPr>
        <w:t>潜在投标人应在政采云平台线上获取获取招标文件，</w:t>
      </w:r>
      <w:r>
        <w:rPr>
          <w:rFonts w:hint="eastAsia"/>
        </w:rPr>
        <w:t>并于202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23</w:t>
      </w:r>
      <w:r>
        <w:rPr>
          <w:rFonts w:hint="eastAsia"/>
        </w:rPr>
        <w:t>日</w:t>
      </w:r>
      <w:r>
        <w:rPr>
          <w:rFonts w:hint="eastAsia"/>
          <w:lang w:val="en-US" w:eastAsia="zh-CN"/>
        </w:rPr>
        <w:t>11</w:t>
      </w:r>
      <w:r>
        <w:rPr>
          <w:rFonts w:hint="eastAsia"/>
        </w:rPr>
        <w:t>:</w:t>
      </w:r>
      <w:r>
        <w:rPr>
          <w:rFonts w:hint="eastAsia"/>
          <w:lang w:val="en-US" w:eastAsia="zh-CN"/>
        </w:rPr>
        <w:t>00</w:t>
      </w:r>
      <w:r>
        <w:rPr>
          <w:rFonts w:hint="eastAsia"/>
        </w:rPr>
        <w:t>（北京时间）前递交投标文件。</w:t>
      </w:r>
    </w:p>
    <w:p>
      <w:pPr>
        <w:spacing w:line="360" w:lineRule="auto"/>
        <w:rPr>
          <w:b/>
          <w:bCs/>
        </w:rPr>
      </w:pPr>
    </w:p>
    <w:p>
      <w:pPr>
        <w:spacing w:line="360" w:lineRule="auto"/>
        <w:rPr>
          <w:b/>
          <w:bCs/>
        </w:rPr>
      </w:pPr>
      <w:r>
        <w:rPr>
          <w:b/>
          <w:bCs/>
        </w:rPr>
        <w:t>一、项目基本情况</w:t>
      </w:r>
    </w:p>
    <w:p>
      <w:pPr>
        <w:spacing w:line="360" w:lineRule="auto"/>
        <w:rPr>
          <w:rFonts w:hint="eastAsia" w:eastAsia="宋体"/>
          <w:lang w:val="en-US" w:eastAsia="zh-CN"/>
        </w:rPr>
      </w:pPr>
      <w:r>
        <w:rPr>
          <w:rFonts w:hint="eastAsia"/>
        </w:rPr>
        <w:t>项目编号：</w:t>
      </w:r>
      <w:r>
        <w:rPr>
          <w:rFonts w:hint="eastAsia"/>
          <w:lang w:eastAsia="zh-CN"/>
        </w:rPr>
        <w:t>XJXS-2025-006</w:t>
      </w:r>
    </w:p>
    <w:p>
      <w:pPr>
        <w:spacing w:line="360" w:lineRule="auto"/>
        <w:rPr>
          <w:rFonts w:hint="eastAsia" w:eastAsia="宋体"/>
          <w:lang w:eastAsia="zh-CN"/>
        </w:rPr>
      </w:pPr>
      <w:r>
        <w:rPr>
          <w:rFonts w:hint="eastAsia"/>
        </w:rPr>
        <w:t>项目名称：</w:t>
      </w:r>
      <w:r>
        <w:rPr>
          <w:rFonts w:hint="eastAsia"/>
          <w:lang w:eastAsia="zh-CN"/>
        </w:rPr>
        <w:t>2025年粮食产能提升小麦专家服务项目</w:t>
      </w:r>
    </w:p>
    <w:p>
      <w:pPr>
        <w:spacing w:line="360" w:lineRule="auto"/>
      </w:pPr>
      <w:r>
        <w:rPr>
          <w:rFonts w:hint="eastAsia"/>
        </w:rPr>
        <w:t>采购方式：公开招标</w:t>
      </w:r>
    </w:p>
    <w:p>
      <w:pPr>
        <w:spacing w:line="360" w:lineRule="auto"/>
        <w:rPr>
          <w:rFonts w:hint="default" w:eastAsia="宋体"/>
          <w:lang w:val="en-US" w:eastAsia="zh-CN"/>
        </w:rPr>
      </w:pPr>
      <w:r>
        <w:rPr>
          <w:rFonts w:hint="eastAsia"/>
        </w:rPr>
        <w:t>预算金额（元）：</w:t>
      </w:r>
      <w:r>
        <w:rPr>
          <w:rFonts w:hint="eastAsia"/>
          <w:lang w:val="en-US" w:eastAsia="zh-CN"/>
        </w:rPr>
        <w:t>490000.00</w:t>
      </w:r>
    </w:p>
    <w:p>
      <w:pPr>
        <w:spacing w:line="360" w:lineRule="auto"/>
        <w:rPr>
          <w:rFonts w:hint="default" w:eastAsia="宋体"/>
          <w:lang w:val="en-US" w:eastAsia="zh-CN"/>
        </w:rPr>
      </w:pPr>
      <w:r>
        <w:rPr>
          <w:rFonts w:hint="eastAsia"/>
        </w:rPr>
        <w:t>最高限价（元）：</w:t>
      </w:r>
      <w:r>
        <w:rPr>
          <w:rFonts w:hint="eastAsia"/>
          <w:lang w:val="en-US" w:eastAsia="zh-CN"/>
        </w:rPr>
        <w:t>490000.00</w:t>
      </w:r>
    </w:p>
    <w:p>
      <w:pPr>
        <w:spacing w:line="360" w:lineRule="auto"/>
        <w:rPr>
          <w:rFonts w:hint="default" w:eastAsia="宋体"/>
          <w:lang w:val="en-US" w:eastAsia="zh-CN"/>
        </w:rPr>
      </w:pPr>
      <w:r>
        <w:rPr>
          <w:rFonts w:hint="eastAsia"/>
        </w:rPr>
        <w:t>采购需求：</w:t>
      </w:r>
      <w:r>
        <w:rPr>
          <w:rFonts w:hint="eastAsia"/>
          <w:lang w:val="en-US" w:eastAsia="zh-CN"/>
        </w:rPr>
        <w:t xml:space="preserve">     </w:t>
      </w:r>
    </w:p>
    <w:p>
      <w:pPr>
        <w:spacing w:line="360" w:lineRule="auto"/>
        <w:rPr>
          <w:rFonts w:hint="eastAsia" w:eastAsia="宋体"/>
          <w:lang w:eastAsia="zh-CN"/>
        </w:rPr>
      </w:pPr>
      <w:r>
        <w:rPr>
          <w:rFonts w:hint="eastAsia"/>
        </w:rPr>
        <w:t>标项名称</w:t>
      </w:r>
      <w:r>
        <w:rPr>
          <w:rFonts w:hint="eastAsia"/>
          <w:lang w:eastAsia="zh-CN"/>
        </w:rPr>
        <w:t>：2025年粮食产能提升小麦专家服务项目</w:t>
      </w:r>
    </w:p>
    <w:p>
      <w:pPr>
        <w:spacing w:line="360" w:lineRule="auto"/>
        <w:rPr>
          <w:rFonts w:hint="eastAsia"/>
          <w:lang w:val="en-US" w:eastAsia="zh-CN"/>
        </w:rPr>
      </w:pPr>
      <w:r>
        <w:rPr>
          <w:rFonts w:hint="eastAsia"/>
        </w:rPr>
        <w:t>数量:</w:t>
      </w:r>
      <w:r>
        <w:rPr>
          <w:rFonts w:hint="eastAsia"/>
          <w:lang w:val="en-US" w:eastAsia="zh-CN"/>
        </w:rPr>
        <w:t>1</w:t>
      </w:r>
    </w:p>
    <w:p>
      <w:pPr>
        <w:spacing w:line="360" w:lineRule="auto"/>
        <w:rPr>
          <w:rFonts w:hint="default" w:eastAsia="宋体"/>
          <w:lang w:val="en-US" w:eastAsia="zh-CN"/>
        </w:rPr>
      </w:pPr>
      <w:r>
        <w:rPr>
          <w:rFonts w:hint="eastAsia"/>
        </w:rPr>
        <w:t>预算金额（元）:</w:t>
      </w:r>
      <w:r>
        <w:rPr>
          <w:rFonts w:hint="eastAsia"/>
          <w:lang w:val="en-US" w:eastAsia="zh-CN"/>
        </w:rPr>
        <w:t>490000.00</w:t>
      </w:r>
    </w:p>
    <w:p>
      <w:pPr>
        <w:spacing w:line="360" w:lineRule="auto"/>
        <w:rPr>
          <w:rFonts w:hint="eastAsia"/>
        </w:rPr>
      </w:pPr>
      <w:r>
        <w:rPr>
          <w:rFonts w:hint="eastAsia"/>
        </w:rPr>
        <w:t>简要规格描述或项目基本概况介绍、用途：为推进伊犁州小麦产业向高产、高效、现代化方向升级，全面提升粮食综合生产能力和种植效益，本项目聚焦小麦高产技术攻关、品种优化与示范推广，力争在单产水平上实现新突破，带动全州小麦产能跃升。通过科技创新、技术集成和全产业链服务，构建小麦绿色高产高效生产体系，助力乡村振兴与粮食安全</w:t>
      </w:r>
      <w:r>
        <w:rPr>
          <w:rFonts w:hint="eastAsia"/>
          <w:lang w:eastAsia="zh-CN"/>
        </w:rPr>
        <w:t>，</w:t>
      </w:r>
      <w:r>
        <w:rPr>
          <w:rFonts w:hint="eastAsia"/>
        </w:rPr>
        <w:t>具体详见招标文件。</w:t>
      </w:r>
    </w:p>
    <w:p>
      <w:pPr>
        <w:spacing w:line="360" w:lineRule="auto"/>
        <w:rPr>
          <w:rFonts w:hint="eastAsia"/>
        </w:rPr>
      </w:pPr>
      <w:r>
        <w:rPr>
          <w:rFonts w:hint="eastAsia"/>
        </w:rPr>
        <w:t>备注：</w:t>
      </w:r>
    </w:p>
    <w:p>
      <w:pPr>
        <w:spacing w:line="360" w:lineRule="auto"/>
        <w:rPr>
          <w:rFonts w:hint="default"/>
          <w:lang w:val="en-US"/>
        </w:rPr>
      </w:pPr>
      <w:r>
        <w:rPr>
          <w:rFonts w:hint="eastAsia"/>
        </w:rPr>
        <w:t>合同履约期限：</w:t>
      </w:r>
      <w:r>
        <w:rPr>
          <w:rFonts w:hint="eastAsia"/>
          <w:lang w:val="en-US" w:eastAsia="zh-CN"/>
        </w:rPr>
        <w:t>1年</w:t>
      </w:r>
      <w:r>
        <w:rPr>
          <w:rFonts w:hint="eastAsia"/>
          <w:lang w:eastAsia="zh-CN"/>
        </w:rPr>
        <w:t>。</w:t>
      </w:r>
    </w:p>
    <w:p>
      <w:pPr>
        <w:spacing w:line="360" w:lineRule="auto"/>
      </w:pPr>
      <w:r>
        <w:rPr>
          <w:rFonts w:hint="eastAsia"/>
        </w:rPr>
        <w:t>本项目（否）接受联合体投标。</w:t>
      </w:r>
    </w:p>
    <w:p>
      <w:pPr>
        <w:spacing w:line="360" w:lineRule="auto"/>
        <w:rPr>
          <w:b/>
          <w:bCs/>
        </w:rPr>
      </w:pPr>
      <w:r>
        <w:rPr>
          <w:rFonts w:hint="eastAsia"/>
          <w:b/>
          <w:bCs/>
          <w:lang w:val="en-US" w:eastAsia="zh-CN"/>
        </w:rPr>
        <w:t>二、</w:t>
      </w:r>
      <w:r>
        <w:rPr>
          <w:b/>
          <w:bCs/>
        </w:rPr>
        <w:t>申请人的资格要求：</w:t>
      </w:r>
    </w:p>
    <w:p>
      <w:pPr>
        <w:spacing w:line="360" w:lineRule="auto"/>
        <w:rPr>
          <w:rFonts w:hint="eastAsia"/>
          <w:lang w:val="en-US" w:eastAsia="zh-CN"/>
        </w:rPr>
      </w:pPr>
      <w:r>
        <w:rPr>
          <w:rFonts w:hint="eastAsia"/>
          <w:lang w:val="en-US" w:eastAsia="zh-CN"/>
        </w:rPr>
        <w:t>1.满足《中华人民共和国政府采购法》第二十二条规定；服务商未列入失信被执行人、重大税收违法失信主体、政府采购严重违法失信行为记录名单。</w:t>
      </w:r>
    </w:p>
    <w:p>
      <w:pPr>
        <w:spacing w:line="360" w:lineRule="auto"/>
        <w:rPr>
          <w:rFonts w:hint="default" w:ascii="Times New Roman" w:hAnsi="Times New Roman" w:eastAsia="宋体" w:cs="Times New Roman"/>
          <w:highlight w:val="none"/>
          <w:lang w:val="en-US" w:eastAsia="zh-CN"/>
        </w:rPr>
      </w:pPr>
      <w:r>
        <w:rPr>
          <w:rFonts w:hint="eastAsia"/>
          <w:highlight w:val="none"/>
          <w:lang w:val="en-US" w:eastAsia="zh-CN"/>
        </w:rPr>
        <w:t>2.落实政府采购政策需满足的资格要求：供应商为中小微企业。</w:t>
      </w:r>
    </w:p>
    <w:p>
      <w:pPr>
        <w:spacing w:line="360" w:lineRule="auto"/>
        <w:rPr>
          <w:rFonts w:hint="eastAsia"/>
          <w:lang w:val="en-US" w:eastAsia="zh-CN"/>
        </w:rPr>
      </w:pPr>
      <w:r>
        <w:rPr>
          <w:rFonts w:hint="eastAsia"/>
          <w:lang w:val="en-US" w:eastAsia="zh-CN"/>
        </w:rPr>
        <w:t>3.本项目的特定资格要求：</w:t>
      </w:r>
    </w:p>
    <w:p>
      <w:pPr>
        <w:spacing w:line="360" w:lineRule="auto"/>
        <w:rPr>
          <w:rFonts w:hint="eastAsia"/>
          <w:lang w:val="en-US" w:eastAsia="zh-CN"/>
        </w:rPr>
      </w:pPr>
      <w:r>
        <w:rPr>
          <w:rFonts w:hint="eastAsia"/>
          <w:lang w:val="en-US" w:eastAsia="zh-CN"/>
        </w:rPr>
        <w:t>【标项1】</w:t>
      </w:r>
    </w:p>
    <w:p>
      <w:pPr>
        <w:spacing w:line="360" w:lineRule="auto"/>
        <w:rPr>
          <w:rFonts w:hint="default" w:ascii="Times New Roman" w:hAnsi="Times New Roman" w:eastAsia="宋体" w:cs="Times New Roman"/>
          <w:lang w:val="en-US" w:eastAsia="zh-CN"/>
        </w:rPr>
      </w:pPr>
      <w:r>
        <w:rPr>
          <w:rFonts w:hint="eastAsia" w:cs="Times New Roman"/>
          <w:lang w:val="en-US" w:eastAsia="zh-CN"/>
        </w:rPr>
        <w:t>无。</w:t>
      </w:r>
    </w:p>
    <w:p>
      <w:pPr>
        <w:numPr>
          <w:ilvl w:val="0"/>
          <w:numId w:val="0"/>
        </w:numPr>
        <w:spacing w:line="360" w:lineRule="auto"/>
        <w:rPr>
          <w:b/>
          <w:bCs/>
        </w:rPr>
      </w:pPr>
      <w:r>
        <w:rPr>
          <w:b/>
          <w:bCs/>
        </w:rPr>
        <w:t>三、获取招标文件</w:t>
      </w:r>
    </w:p>
    <w:p>
      <w:pPr>
        <w:spacing w:line="360" w:lineRule="auto"/>
        <w:rPr>
          <w:rFonts w:hint="eastAsia"/>
          <w:highlight w:val="none"/>
          <w:lang w:val="en-US" w:eastAsia="zh-CN"/>
        </w:rPr>
      </w:pPr>
      <w:r>
        <w:rPr>
          <w:rFonts w:hint="eastAsia"/>
          <w:highlight w:val="none"/>
          <w:lang w:val="en-US" w:eastAsia="zh-CN"/>
        </w:rPr>
        <w:t>时间：2025年4月03日至2025年4月11日，每天上午10:00至14:00，下午15:30至19:30（北京时间，法定节假日除外）；</w:t>
      </w:r>
    </w:p>
    <w:p>
      <w:pPr>
        <w:spacing w:line="360" w:lineRule="auto"/>
        <w:rPr>
          <w:rFonts w:hint="eastAsia"/>
          <w:highlight w:val="none"/>
          <w:lang w:val="en-US" w:eastAsia="zh-CN"/>
        </w:rPr>
      </w:pPr>
      <w:r>
        <w:rPr>
          <w:rFonts w:hint="eastAsia"/>
          <w:highlight w:val="none"/>
          <w:lang w:val="en-US" w:eastAsia="zh-CN"/>
        </w:rPr>
        <w:t>地点：政采云系统平台（https://www.zcygov.cn/）；</w:t>
      </w:r>
    </w:p>
    <w:p>
      <w:pPr>
        <w:spacing w:line="360" w:lineRule="auto"/>
        <w:rPr>
          <w:rFonts w:hint="eastAsia"/>
          <w:highlight w:val="none"/>
          <w:lang w:val="en-US" w:eastAsia="zh-CN"/>
        </w:rPr>
      </w:pPr>
      <w:r>
        <w:rPr>
          <w:rFonts w:hint="eastAsia"/>
          <w:highlight w:val="none"/>
          <w:lang w:val="en-US" w:eastAsia="zh-CN"/>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pPr>
        <w:spacing w:line="360" w:lineRule="auto"/>
        <w:rPr>
          <w:rFonts w:hint="eastAsia"/>
          <w:highlight w:val="none"/>
          <w:lang w:val="en-US" w:eastAsia="zh-CN"/>
        </w:rPr>
      </w:pPr>
      <w:r>
        <w:rPr>
          <w:rFonts w:hint="eastAsia"/>
          <w:highlight w:val="none"/>
          <w:lang w:val="en-US" w:eastAsia="zh-CN"/>
        </w:rPr>
        <w:t>售价（元）：0</w:t>
      </w:r>
    </w:p>
    <w:p>
      <w:pPr>
        <w:spacing w:line="360" w:lineRule="auto"/>
        <w:rPr>
          <w:b/>
          <w:bCs/>
          <w:highlight w:val="none"/>
        </w:rPr>
      </w:pPr>
      <w:r>
        <w:rPr>
          <w:b/>
          <w:bCs/>
          <w:highlight w:val="none"/>
        </w:rPr>
        <w:t>四、提交投标文件截止时间、开标时间和地点</w:t>
      </w:r>
    </w:p>
    <w:p>
      <w:pPr>
        <w:spacing w:line="360" w:lineRule="auto"/>
        <w:rPr>
          <w:rFonts w:hint="eastAsia"/>
          <w:highlight w:val="none"/>
          <w:lang w:val="en-US" w:eastAsia="zh-CN"/>
        </w:rPr>
      </w:pPr>
      <w:r>
        <w:rPr>
          <w:rFonts w:hint="eastAsia"/>
          <w:highlight w:val="none"/>
          <w:lang w:val="en-US" w:eastAsia="zh-CN"/>
        </w:rPr>
        <w:t>提交投标文件截止时间：2025年4月23日11点00分（北京时间）</w:t>
      </w:r>
    </w:p>
    <w:p>
      <w:pPr>
        <w:spacing w:line="360" w:lineRule="auto"/>
        <w:rPr>
          <w:rFonts w:hint="eastAsia"/>
          <w:highlight w:val="none"/>
          <w:lang w:val="en-US" w:eastAsia="zh-CN"/>
        </w:rPr>
      </w:pPr>
      <w:r>
        <w:rPr>
          <w:rFonts w:hint="eastAsia"/>
          <w:highlight w:val="none"/>
          <w:lang w:val="en-US" w:eastAsia="zh-CN"/>
        </w:rPr>
        <w:t>地点：政采云平台客户端投标（逾期上传或者未上传指定地点的投标文件，采购人不予受理）。</w:t>
      </w:r>
    </w:p>
    <w:p>
      <w:pPr>
        <w:spacing w:line="360" w:lineRule="auto"/>
        <w:rPr>
          <w:rFonts w:hint="eastAsia"/>
          <w:highlight w:val="none"/>
          <w:lang w:val="en-US" w:eastAsia="zh-CN"/>
        </w:rPr>
      </w:pPr>
      <w:r>
        <w:rPr>
          <w:rFonts w:hint="eastAsia"/>
          <w:highlight w:val="none"/>
          <w:lang w:val="en-US" w:eastAsia="zh-CN"/>
        </w:rPr>
        <w:t>开标时间：2025年4月23日11点00分（北京时间）</w:t>
      </w:r>
    </w:p>
    <w:p>
      <w:pPr>
        <w:spacing w:line="360" w:lineRule="auto"/>
        <w:rPr>
          <w:rFonts w:hint="eastAsia"/>
          <w:lang w:val="en-US" w:eastAsia="zh-CN"/>
        </w:rPr>
      </w:pPr>
      <w:r>
        <w:rPr>
          <w:rFonts w:hint="eastAsia"/>
          <w:lang w:val="en-US" w:eastAsia="zh-CN"/>
        </w:rPr>
        <w:t>开标地点：政采云电子开标大厅</w:t>
      </w:r>
    </w:p>
    <w:p>
      <w:pPr>
        <w:spacing w:line="360" w:lineRule="auto"/>
        <w:rPr>
          <w:b/>
          <w:bCs/>
        </w:rPr>
      </w:pPr>
      <w:r>
        <w:rPr>
          <w:b/>
          <w:bCs/>
        </w:rPr>
        <w:t>五、公告期限</w:t>
      </w:r>
    </w:p>
    <w:p>
      <w:pPr>
        <w:spacing w:line="360" w:lineRule="auto"/>
      </w:pPr>
      <w:r>
        <w:rPr>
          <w:rFonts w:hint="eastAsia"/>
        </w:rPr>
        <w:t>自本公告发布之日起5个工作日。</w:t>
      </w:r>
    </w:p>
    <w:p>
      <w:pPr>
        <w:spacing w:line="360" w:lineRule="auto"/>
        <w:rPr>
          <w:rFonts w:hint="eastAsia"/>
          <w:b/>
          <w:bCs/>
          <w:lang w:eastAsia="zh-CN"/>
        </w:rPr>
      </w:pPr>
      <w:r>
        <w:rPr>
          <w:rFonts w:hint="eastAsia"/>
          <w:b/>
          <w:bCs/>
          <w:lang w:val="en-US" w:eastAsia="zh-CN"/>
        </w:rPr>
        <w:t>六、</w:t>
      </w:r>
      <w:r>
        <w:rPr>
          <w:b/>
          <w:bCs/>
        </w:rPr>
        <w:t>其他补充事宜</w:t>
      </w:r>
    </w:p>
    <w:p>
      <w:pPr>
        <w:spacing w:line="360" w:lineRule="auto"/>
        <w:ind w:firstLine="420" w:firstLineChars="200"/>
        <w:rPr>
          <w:rFonts w:hint="eastAsia"/>
          <w:lang w:val="en-US" w:eastAsia="zh-CN"/>
        </w:rPr>
      </w:pPr>
      <w:r>
        <w:rPr>
          <w:rFonts w:hint="eastAsia"/>
          <w:lang w:val="en-US" w:eastAsia="zh-CN"/>
        </w:rPr>
        <w:t>1、本次采购采用电子交易方式，电子交易平台为“政府采购云平台 (www.zcygov.cn) ”。供应商参与本项目电子交易活动前，应注册成为政府采购云平台供应商。编制电子投标文件 前 还 需 申 领 CA 证 书 并 绑 定 帐 号 ， CA 申 领 地 址 查 看 网 址 https://www.xjca.com.cn/article/content/201802/582/1.html ， CA 服 务 电 话 ： 0991-281-9290。</w:t>
      </w:r>
    </w:p>
    <w:p>
      <w:pPr>
        <w:spacing w:line="360" w:lineRule="auto"/>
        <w:rPr>
          <w:rFonts w:hint="eastAsia"/>
          <w:lang w:val="en-US" w:eastAsia="zh-CN"/>
        </w:rPr>
      </w:pPr>
      <w:r>
        <w:rPr>
          <w:rFonts w:hint="eastAsia"/>
          <w:lang w:val="en-US" w:eastAsia="zh-CN"/>
        </w:rPr>
        <w:t>2、供应商编制电子投标文件应安装“电子招投标供应商客户端”软件，并按照本采购文 件和电子招投标供应商客户端的要求编制并加密投标文件。未按规定加密的投标文件，将被 电子招投标供应商客户端拒收。“电子招投标供应商客户端”请供应商自行前往“新疆政府 采购网—下载专区—新疆维吾尔自治区全流程电子招投标项目管理系统--电子招投标供应商 客户端”版块获取。</w:t>
      </w:r>
    </w:p>
    <w:p>
      <w:pPr>
        <w:spacing w:line="360" w:lineRule="auto"/>
        <w:rPr>
          <w:rFonts w:hint="eastAsia"/>
          <w:lang w:val="en-US" w:eastAsia="zh-CN"/>
        </w:rPr>
      </w:pPr>
      <w:r>
        <w:rPr>
          <w:rFonts w:hint="eastAsia"/>
          <w:lang w:val="en-US" w:eastAsia="zh-CN"/>
        </w:rPr>
        <w:t>3、供应商应当在投标截止时间前，将“电子招投标供应商客户端”生成的“电子加密投 标文件”上传电子交易平台。</w:t>
      </w:r>
    </w:p>
    <w:p>
      <w:pPr>
        <w:spacing w:line="360" w:lineRule="auto"/>
        <w:rPr>
          <w:rFonts w:hint="eastAsia"/>
          <w:lang w:val="en-US" w:eastAsia="zh-CN"/>
        </w:rPr>
      </w:pPr>
      <w:r>
        <w:rPr>
          <w:rFonts w:hint="eastAsia"/>
          <w:lang w:val="en-US" w:eastAsia="zh-CN"/>
        </w:rPr>
        <w:t>4、服务与支持。各政府采购代理机构 (含集采机构) 及供应商对不见面开评标系统的技 术操作咨询，可通过 https://edu.zcygov.cn/luban/xinjiang-e-biding 自助查询，也可在 政 采 云 帮 助 中 心 常 见 问 题 解 答 和 操 作 流 程 讲 解 视 频 中 自 助 查 询 ， 网 址 为 ： https://service.zcygov.cn/#/help，“项目采购”—“操作流程-电子招投标”—“政府采 购项目电子交易管理操作指南-供应商”版面获取操作指南，同时对自助查询无法解决的问题 可通过钉钉群及政采云在线客服获取服务支持。政采云热线人工号码：400-881-7190 (工作 时间：工作日 08:00~20：00) 。</w:t>
      </w:r>
    </w:p>
    <w:p>
      <w:pPr>
        <w:spacing w:line="360" w:lineRule="auto"/>
        <w:rPr>
          <w:b/>
          <w:bCs/>
        </w:rPr>
      </w:pPr>
      <w:r>
        <w:rPr>
          <w:b/>
          <w:bCs/>
        </w:rPr>
        <w:t>七、对本次采购提出询问，请按以下方式联系</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1.采购人信息</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名 称：</w:t>
      </w:r>
      <w:r>
        <w:rPr>
          <w:rFonts w:hint="eastAsia" w:ascii="宋体" w:hAnsi="宋体" w:cs="宋体"/>
          <w:i w:val="0"/>
          <w:iCs w:val="0"/>
          <w:sz w:val="21"/>
          <w:szCs w:val="21"/>
          <w:highlight w:val="none"/>
          <w:u w:val="none"/>
          <w:lang w:eastAsia="zh-CN"/>
        </w:rPr>
        <w:t>伊犁哈萨克自治州农业技术推广总站</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地 址：</w:t>
      </w:r>
      <w:r>
        <w:rPr>
          <w:rFonts w:hint="eastAsia" w:ascii="宋体" w:hAnsi="宋体" w:cs="宋体"/>
          <w:i w:val="0"/>
          <w:iCs w:val="0"/>
          <w:sz w:val="21"/>
          <w:szCs w:val="21"/>
          <w:highlight w:val="none"/>
          <w:u w:val="none"/>
          <w:lang w:eastAsia="zh-CN"/>
        </w:rPr>
        <w:t>伊宁市花果山路007号</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联系方式：13309998200</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2.采购代理机构信息</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名 称：</w:t>
      </w:r>
      <w:r>
        <w:rPr>
          <w:rFonts w:hint="eastAsia" w:ascii="宋体" w:hAnsi="宋体" w:cs="宋体"/>
          <w:i w:val="0"/>
          <w:iCs w:val="0"/>
          <w:sz w:val="21"/>
          <w:szCs w:val="21"/>
          <w:highlight w:val="none"/>
          <w:u w:val="none"/>
          <w:lang w:eastAsia="zh-CN"/>
        </w:rPr>
        <w:t>新疆翔实工程项目管理有限公司</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地 址：伊宁市经济合作区北京路一品墅新房大厦10楼</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rPr>
        <w:t>3.项目联系方式</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项目联系人：</w:t>
      </w:r>
      <w:r>
        <w:rPr>
          <w:rFonts w:hint="eastAsia" w:ascii="宋体" w:hAnsi="宋体" w:cs="宋体"/>
          <w:i w:val="0"/>
          <w:iCs w:val="0"/>
          <w:sz w:val="21"/>
          <w:szCs w:val="21"/>
          <w:highlight w:val="none"/>
          <w:u w:val="none"/>
          <w:lang w:eastAsia="zh-CN"/>
        </w:rPr>
        <w:t>李秀娟</w:t>
      </w:r>
    </w:p>
    <w:p>
      <w:pPr>
        <w:pageBreakBefore w:val="0"/>
        <w:widowControl w:val="0"/>
        <w:kinsoku/>
        <w:wordWrap/>
        <w:overflowPunct/>
        <w:topLinePunct w:val="0"/>
        <w:autoSpaceDE/>
        <w:autoSpaceDN/>
        <w:bidi w:val="0"/>
        <w:adjustRightInd/>
        <w:snapToGrid w:val="0"/>
        <w:spacing w:beforeAutospacing="0" w:afterAutospacing="0" w:line="560" w:lineRule="exact"/>
        <w:ind w:left="0" w:leftChars="0" w:firstLine="420" w:firstLineChars="200"/>
        <w:jc w:val="left"/>
        <w:textAlignment w:val="auto"/>
        <w:rPr>
          <w:rFonts w:hint="eastAsia" w:ascii="宋体" w:hAnsi="宋体" w:eastAsia="宋体" w:cs="宋体"/>
          <w:i w:val="0"/>
          <w:iCs w:val="0"/>
          <w:sz w:val="21"/>
          <w:szCs w:val="21"/>
          <w:highlight w:val="none"/>
          <w:u w:val="none"/>
          <w:lang w:eastAsia="zh-CN"/>
        </w:rPr>
      </w:pPr>
      <w:r>
        <w:rPr>
          <w:rFonts w:hint="eastAsia" w:ascii="宋体" w:hAnsi="宋体" w:eastAsia="宋体" w:cs="宋体"/>
          <w:i w:val="0"/>
          <w:iCs w:val="0"/>
          <w:sz w:val="21"/>
          <w:szCs w:val="21"/>
          <w:highlight w:val="none"/>
          <w:u w:val="none"/>
        </w:rPr>
        <w:t>电 话：</w:t>
      </w:r>
      <w:r>
        <w:rPr>
          <w:rFonts w:hint="eastAsia" w:ascii="宋体" w:hAnsi="宋体" w:cs="宋体"/>
          <w:i w:val="0"/>
          <w:iCs w:val="0"/>
          <w:sz w:val="21"/>
          <w:szCs w:val="21"/>
          <w:highlight w:val="none"/>
          <w:u w:val="none"/>
          <w:lang w:eastAsia="zh-CN"/>
        </w:rPr>
        <w:t>15099597071</w:t>
      </w:r>
    </w:p>
    <w:p>
      <w:pPr>
        <w:pStyle w:val="30"/>
        <w:jc w:val="center"/>
        <w:rPr>
          <w:rFonts w:hint="eastAsia" w:ascii="仿宋" w:hAnsi="仿宋" w:eastAsia="仿宋" w:cs="仿宋"/>
          <w:color w:val="auto"/>
          <w:sz w:val="32"/>
          <w:szCs w:val="32"/>
          <w:highlight w:val="none"/>
        </w:rPr>
      </w:pPr>
      <w:bookmarkStart w:id="1" w:name="_Toc22786"/>
      <w:bookmarkStart w:id="2" w:name="_Toc3096"/>
    </w:p>
    <w:p>
      <w:pPr>
        <w:pStyle w:val="30"/>
        <w:jc w:val="cente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pStyle w:val="3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第二章 </w:t>
      </w:r>
      <w:bookmarkStart w:id="3" w:name="_Toc5345_WPSOffice_Level1"/>
      <w:r>
        <w:rPr>
          <w:rFonts w:hint="eastAsia" w:ascii="仿宋" w:hAnsi="仿宋" w:eastAsia="仿宋" w:cs="仿宋"/>
          <w:color w:val="auto"/>
          <w:sz w:val="32"/>
          <w:szCs w:val="32"/>
          <w:highlight w:val="none"/>
        </w:rPr>
        <w:t>投标须知前附表</w:t>
      </w:r>
      <w:bookmarkEnd w:id="1"/>
      <w:bookmarkEnd w:id="3"/>
    </w:p>
    <w:tbl>
      <w:tblPr>
        <w:tblStyle w:val="32"/>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1664"/>
        <w:gridCol w:w="1293"/>
        <w:gridCol w:w="454"/>
        <w:gridCol w:w="2204"/>
        <w:gridCol w:w="186"/>
        <w:gridCol w:w="1703"/>
        <w:gridCol w:w="2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条款名称</w:t>
            </w:r>
          </w:p>
        </w:tc>
        <w:tc>
          <w:tcPr>
            <w:tcW w:w="8337" w:type="dxa"/>
            <w:gridSpan w:val="6"/>
            <w:tcBorders>
              <w:bottom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p>
        </w:tc>
        <w:tc>
          <w:tcPr>
            <w:tcW w:w="1664"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项目名称</w:t>
            </w:r>
          </w:p>
        </w:tc>
        <w:tc>
          <w:tcPr>
            <w:tcW w:w="1293"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5"/>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7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2025年粮食产能提升小麦专家服务项目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编号</w:t>
            </w:r>
          </w:p>
        </w:tc>
        <w:tc>
          <w:tcPr>
            <w:tcW w:w="7044" w:type="dxa"/>
            <w:gridSpan w:val="5"/>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line="37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XJXS-2025-006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664"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采购人</w:t>
            </w:r>
          </w:p>
        </w:tc>
        <w:tc>
          <w:tcPr>
            <w:tcW w:w="1293" w:type="dxa"/>
            <w:tcBorders>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5"/>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7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伊犁哈萨克自治州农业技术推广总站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联系人</w:t>
            </w:r>
          </w:p>
        </w:tc>
        <w:tc>
          <w:tcPr>
            <w:tcW w:w="26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7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张冬梅</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7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联系电话</w:t>
            </w:r>
          </w:p>
        </w:tc>
        <w:tc>
          <w:tcPr>
            <w:tcW w:w="2497"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7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13309998200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地址</w:t>
            </w:r>
          </w:p>
        </w:tc>
        <w:tc>
          <w:tcPr>
            <w:tcW w:w="7044" w:type="dxa"/>
            <w:gridSpan w:val="5"/>
            <w:tcBorders>
              <w:top w:val="single" w:color="auto" w:sz="4" w:space="0"/>
              <w:left w:val="single" w:color="auto" w:sz="4" w:space="0"/>
            </w:tcBorders>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伊宁市花果山路007号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p>
        </w:tc>
        <w:tc>
          <w:tcPr>
            <w:tcW w:w="1664"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采购代理机构</w:t>
            </w:r>
          </w:p>
        </w:tc>
        <w:tc>
          <w:tcPr>
            <w:tcW w:w="1293" w:type="dxa"/>
            <w:tcBorders>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7044" w:type="dxa"/>
            <w:gridSpan w:val="5"/>
            <w:tcBorders>
              <w:left w:val="single" w:color="auto" w:sz="4" w:space="0"/>
              <w:bottom w:val="single" w:color="auto" w:sz="4" w:space="0"/>
            </w:tcBorders>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宋体"/>
                <w:sz w:val="24"/>
                <w:szCs w:val="24"/>
                <w:u w:val="none"/>
                <w:lang w:val="zh-CN" w:eastAsia="zh-CN"/>
              </w:rPr>
              <w:t>新疆翔实工程项目管理有限公司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联系人</w:t>
            </w:r>
          </w:p>
        </w:tc>
        <w:tc>
          <w:tcPr>
            <w:tcW w:w="26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李秀娟</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497" w:type="dxa"/>
            <w:tcBorders>
              <w:top w:val="single" w:color="auto" w:sz="4" w:space="0"/>
              <w:left w:val="single" w:color="auto" w:sz="4" w:space="0"/>
              <w:bottom w:val="single" w:color="auto" w:sz="4" w:space="0"/>
            </w:tcBorders>
            <w:vAlign w:val="center"/>
          </w:tcPr>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15099597071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293" w:type="dxa"/>
            <w:tcBorders>
              <w:top w:val="single" w:color="auto" w:sz="4" w:space="0"/>
              <w:right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地址</w:t>
            </w:r>
          </w:p>
        </w:tc>
        <w:tc>
          <w:tcPr>
            <w:tcW w:w="7044" w:type="dxa"/>
            <w:gridSpan w:val="5"/>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伊宁市经济合作区北京路一品墅新房大厦10楼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采购内容</w:t>
            </w:r>
          </w:p>
        </w:tc>
        <w:tc>
          <w:tcPr>
            <w:tcW w:w="833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推进伊犁州小麦产业向高产、高效、现代化方向升级，全面提升粮食综合生产能力和种植效益，本项目聚焦小麦高产技术攻关、品种优化与示范推广，力争在单产水平上实现新突破，带动全州小麦产能跃升。通过科技创新、技术集成和全产业链服务，构建小麦绿色高产高效生产体系，助力乡村振兴与粮食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w:t>
            </w:r>
          </w:p>
        </w:tc>
        <w:tc>
          <w:tcPr>
            <w:tcW w:w="1664" w:type="dxa"/>
            <w:vMerge w:val="restart"/>
            <w:vAlign w:val="center"/>
          </w:tcPr>
          <w:p>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最高限价金额</w:t>
            </w:r>
          </w:p>
        </w:tc>
        <w:tc>
          <w:tcPr>
            <w:tcW w:w="4137" w:type="dxa"/>
            <w:gridSpan w:val="4"/>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小写（元）：490000.00</w:t>
            </w:r>
          </w:p>
        </w:tc>
        <w:tc>
          <w:tcPr>
            <w:tcW w:w="4200"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大写： 肆拾玖万元整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vAlign w:val="center"/>
          </w:tcPr>
          <w:p>
            <w:pPr>
              <w:widowControl/>
              <w:adjustRightInd w:val="0"/>
              <w:snapToGrid w:val="0"/>
              <w:spacing w:before="100" w:beforeAutospacing="1" w:after="100" w:afterAutospacing="1" w:line="360" w:lineRule="auto"/>
              <w:jc w:val="center"/>
              <w:rPr>
                <w:rFonts w:hint="eastAsia" w:ascii="仿宋" w:hAnsi="仿宋" w:eastAsia="仿宋" w:cs="仿宋"/>
                <w:b/>
                <w:color w:val="auto"/>
                <w:kern w:val="0"/>
                <w:sz w:val="24"/>
                <w:szCs w:val="24"/>
                <w:highlight w:val="none"/>
              </w:rPr>
            </w:pPr>
          </w:p>
        </w:tc>
        <w:tc>
          <w:tcPr>
            <w:tcW w:w="8337" w:type="dxa"/>
            <w:gridSpan w:val="6"/>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各投标人的投标总报价不得高于最高限价金额，否则将否决其投标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shd w:val="clear" w:color="auto" w:fill="FFFFFF"/>
              </w:rPr>
            </w:pPr>
            <w:r>
              <w:rPr>
                <w:rFonts w:hint="eastAsia" w:ascii="仿宋" w:hAnsi="仿宋" w:eastAsia="仿宋" w:cs="仿宋"/>
                <w:b/>
                <w:color w:val="auto"/>
                <w:kern w:val="0"/>
                <w:sz w:val="24"/>
                <w:szCs w:val="24"/>
                <w:highlight w:val="none"/>
                <w:shd w:val="clear" w:color="auto" w:fill="FFFFFF"/>
              </w:rPr>
              <w:t>资金来源</w:t>
            </w:r>
          </w:p>
        </w:tc>
        <w:tc>
          <w:tcPr>
            <w:tcW w:w="833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shd w:val="clear" w:color="auto" w:fill="FFFFFF"/>
              </w:rPr>
            </w:pPr>
            <w:r>
              <w:rPr>
                <w:rFonts w:hint="eastAsia" w:ascii="仿宋" w:hAnsi="仿宋" w:eastAsia="仿宋" w:cs="仿宋"/>
                <w:b/>
                <w:color w:val="auto"/>
                <w:kern w:val="0"/>
                <w:sz w:val="24"/>
                <w:szCs w:val="24"/>
                <w:highlight w:val="none"/>
                <w:shd w:val="clear" w:color="auto" w:fill="FFFFFF"/>
              </w:rPr>
              <w:t>采购方式</w:t>
            </w:r>
          </w:p>
        </w:tc>
        <w:tc>
          <w:tcPr>
            <w:tcW w:w="833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shd w:val="clear" w:color="auto" w:fill="FFFFFF"/>
              </w:rPr>
              <w:t>服务期限</w:t>
            </w:r>
          </w:p>
        </w:tc>
        <w:tc>
          <w:tcPr>
            <w:tcW w:w="833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服务地点</w:t>
            </w:r>
          </w:p>
        </w:tc>
        <w:tc>
          <w:tcPr>
            <w:tcW w:w="833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付款方式</w:t>
            </w:r>
          </w:p>
        </w:tc>
        <w:tc>
          <w:tcPr>
            <w:tcW w:w="8337" w:type="dxa"/>
            <w:gridSpan w:val="6"/>
            <w:vAlign w:val="center"/>
          </w:tcPr>
          <w:p>
            <w:pPr>
              <w:pStyle w:val="10"/>
              <w:ind w:firstLine="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以甲乙双方合同约定执行。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采购</w:t>
            </w:r>
            <w:r>
              <w:rPr>
                <w:rFonts w:hint="eastAsia" w:ascii="仿宋" w:hAnsi="仿宋" w:eastAsia="仿宋" w:cs="仿宋"/>
                <w:b/>
                <w:color w:val="auto"/>
                <w:kern w:val="0"/>
                <w:sz w:val="24"/>
                <w:szCs w:val="24"/>
                <w:highlight w:val="none"/>
              </w:rPr>
              <w:t>要求</w:t>
            </w:r>
          </w:p>
        </w:tc>
        <w:tc>
          <w:tcPr>
            <w:tcW w:w="8337" w:type="dxa"/>
            <w:gridSpan w:val="6"/>
            <w:vAlign w:val="center"/>
          </w:tcPr>
          <w:p>
            <w:pPr>
              <w:widowControl/>
              <w:spacing w:line="360" w:lineRule="auto"/>
              <w:ind w:hanging="10"/>
              <w:jc w:val="left"/>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具体详见第五章采购需求。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投标人</w:t>
            </w:r>
            <w:r>
              <w:rPr>
                <w:rFonts w:hint="eastAsia" w:ascii="仿宋" w:hAnsi="仿宋" w:eastAsia="仿宋" w:cs="仿宋"/>
                <w:b/>
                <w:color w:val="auto"/>
                <w:kern w:val="0"/>
                <w:sz w:val="24"/>
                <w:szCs w:val="24"/>
                <w:highlight w:val="none"/>
              </w:rPr>
              <w:t>资格</w:t>
            </w:r>
          </w:p>
        </w:tc>
        <w:tc>
          <w:tcPr>
            <w:tcW w:w="8337" w:type="dxa"/>
            <w:gridSpan w:val="6"/>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详见第一章 采购公告，第二条申请人的资格要求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缴纳投标</w:t>
            </w:r>
          </w:p>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保证金</w:t>
            </w:r>
          </w:p>
        </w:tc>
        <w:tc>
          <w:tcPr>
            <w:tcW w:w="8337"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投标保证金的缴纳形式</w:t>
            </w:r>
            <w:r>
              <w:rPr>
                <w:rFonts w:hint="eastAsia" w:ascii="仿宋" w:hAnsi="仿宋" w:eastAsia="仿宋" w:cs="仿宋"/>
                <w:color w:val="auto"/>
                <w:kern w:val="0"/>
                <w:sz w:val="24"/>
                <w:szCs w:val="24"/>
                <w:highlight w:val="none"/>
                <w:lang w:eastAsia="zh-CN"/>
              </w:rPr>
              <w:t>：投标人必须以</w:t>
            </w:r>
            <w:r>
              <w:rPr>
                <w:rFonts w:hint="eastAsia" w:ascii="仿宋" w:hAnsi="仿宋" w:eastAsia="仿宋" w:cs="仿宋"/>
                <w:b/>
                <w:bCs/>
                <w:color w:val="auto"/>
                <w:kern w:val="0"/>
                <w:sz w:val="24"/>
                <w:szCs w:val="24"/>
                <w:highlight w:val="none"/>
                <w:lang w:eastAsia="zh-CN"/>
              </w:rPr>
              <w:t>支票、汇票、本票或者金融机构、担保机构出具的保函（电子保函、保险保函、银行保函等）</w:t>
            </w:r>
            <w:r>
              <w:rPr>
                <w:rFonts w:hint="eastAsia" w:ascii="仿宋" w:hAnsi="仿宋" w:eastAsia="仿宋" w:cs="仿宋"/>
                <w:color w:val="auto"/>
                <w:kern w:val="0"/>
                <w:sz w:val="24"/>
                <w:szCs w:val="24"/>
                <w:highlight w:val="none"/>
                <w:lang w:eastAsia="zh-CN"/>
              </w:rPr>
              <w:t>等非现金形式提交。投标保证金必须以投标人名义缴纳。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4"/>
                <w:lang w:eastAsia="zh-CN"/>
              </w:rPr>
            </w:pPr>
            <w:r>
              <w:rPr>
                <w:rFonts w:hint="eastAsia" w:ascii="仿宋" w:hAnsi="仿宋" w:eastAsia="仿宋" w:cs="仿宋"/>
                <w:color w:val="auto"/>
                <w:kern w:val="0"/>
                <w:sz w:val="24"/>
                <w:szCs w:val="24"/>
                <w:highlight w:val="none"/>
                <w:lang w:eastAsia="zh-CN"/>
              </w:rPr>
              <w:t>投标保证金的金额：</w:t>
            </w:r>
            <w:r>
              <w:rPr>
                <w:rFonts w:hint="eastAsia" w:ascii="仿宋" w:hAnsi="仿宋" w:eastAsia="仿宋" w:cs="仿宋"/>
                <w:b/>
                <w:bCs/>
                <w:color w:val="auto"/>
                <w:kern w:val="0"/>
                <w:sz w:val="24"/>
                <w:szCs w:val="24"/>
                <w:highlight w:val="none"/>
                <w:lang w:val="en-US" w:eastAsia="zh-CN"/>
              </w:rPr>
              <w:t>8000.00</w:t>
            </w:r>
            <w:r>
              <w:rPr>
                <w:rFonts w:hint="eastAsia" w:ascii="仿宋" w:hAnsi="仿宋" w:eastAsia="仿宋" w:cs="仿宋"/>
                <w:color w:val="auto"/>
                <w:kern w:val="0"/>
                <w:sz w:val="24"/>
                <w:szCs w:val="24"/>
                <w:highlight w:val="none"/>
                <w:lang w:eastAsia="zh-CN"/>
              </w:rPr>
              <w:t>元人民币（大写：</w:t>
            </w:r>
            <w:r>
              <w:rPr>
                <w:rFonts w:hint="eastAsia" w:ascii="仿宋" w:hAnsi="仿宋" w:eastAsia="仿宋" w:cs="仿宋"/>
                <w:color w:val="auto"/>
                <w:kern w:val="0"/>
                <w:sz w:val="24"/>
                <w:szCs w:val="24"/>
                <w:highlight w:val="none"/>
                <w:lang w:val="en-US" w:eastAsia="zh-CN"/>
              </w:rPr>
              <w:t>捌仟元整</w:t>
            </w:r>
            <w:r>
              <w:rPr>
                <w:rFonts w:hint="eastAsia" w:ascii="仿宋" w:hAnsi="仿宋" w:eastAsia="仿宋" w:cs="仿宋"/>
                <w:color w:val="auto"/>
                <w:kern w:val="0"/>
                <w:sz w:val="24"/>
                <w:szCs w:val="24"/>
                <w:highlight w:val="none"/>
                <w:lang w:eastAsia="zh-CN"/>
              </w:rPr>
              <w:t>）；</w:t>
            </w:r>
          </w:p>
          <w:p>
            <w:pPr>
              <w:snapToGrid w:val="0"/>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在递交投标文件截止时间前必须从单位基本账户支付至以下账户上；</w:t>
            </w:r>
          </w:p>
          <w:p>
            <w:pPr>
              <w:autoSpaceDE w:val="0"/>
              <w:autoSpaceDN w:val="0"/>
              <w:adjustRightInd w:val="0"/>
              <w:snapToGrid w:val="0"/>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单位名称：新疆翔实工程项目管理有限公司  </w:t>
            </w:r>
          </w:p>
          <w:p>
            <w:pPr>
              <w:autoSpaceDE w:val="0"/>
              <w:autoSpaceDN w:val="0"/>
              <w:adjustRightInd w:val="0"/>
              <w:snapToGrid w:val="0"/>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开户银行：中国建设银行股份有限公司伊犁哈萨克自治州分行解放路支行</w:t>
            </w:r>
          </w:p>
          <w:p>
            <w:pPr>
              <w:autoSpaceDE w:val="0"/>
              <w:autoSpaceDN w:val="0"/>
              <w:adjustRightInd w:val="0"/>
              <w:snapToGrid w:val="0"/>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银行账号：65050165603800000088</w:t>
            </w:r>
          </w:p>
          <w:p>
            <w:pPr>
              <w:autoSpaceDE w:val="0"/>
              <w:autoSpaceDN w:val="0"/>
              <w:adjustRightInd w:val="0"/>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递交时间：投标截止时间之前</w:t>
            </w:r>
            <w:r>
              <w:rPr>
                <w:rFonts w:hint="eastAsia" w:ascii="仿宋" w:hAnsi="仿宋" w:eastAsia="仿宋" w:cs="仿宋"/>
                <w:color w:val="auto"/>
                <w:kern w:val="0"/>
                <w:sz w:val="24"/>
                <w:szCs w:val="24"/>
                <w:highlight w:val="none"/>
              </w:rPr>
              <w:t>（提交投标保证金应充分考虑资金在途时间、跨行等因素导致的延迟到账情况，</w:t>
            </w:r>
            <w:r>
              <w:rPr>
                <w:rFonts w:hint="eastAsia" w:ascii="仿宋" w:hAnsi="仿宋" w:eastAsia="仿宋" w:cs="仿宋"/>
                <w:color w:val="auto"/>
                <w:kern w:val="0"/>
                <w:sz w:val="24"/>
                <w:szCs w:val="24"/>
                <w:highlight w:val="none"/>
                <w:lang w:val="zh-CN"/>
              </w:rPr>
              <w:t>由此导致的保证金不能按时到账其责任由投标人单位自行承担。</w:t>
            </w:r>
            <w:r>
              <w:rPr>
                <w:rFonts w:hint="eastAsia" w:ascii="仿宋" w:hAnsi="仿宋" w:eastAsia="仿宋" w:cs="仿宋"/>
                <w:color w:val="auto"/>
                <w:kern w:val="0"/>
                <w:sz w:val="24"/>
                <w:szCs w:val="24"/>
                <w:highlight w:val="none"/>
              </w:rPr>
              <w:t>各投标人缴纳投标保证金时需在附加信息及用途栏内注明“投标保证金、项目名称”，以投标保证金接收方银行到账信息为准）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友情提示：银行法定节假日不办理公对公账户电汇业务，请提前办理。投标保证金是否在规定截止时间前到户的风险由投标单位承担，投标保证金在银行的划转需要一定时间，望投标单位尽早缴纳！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5"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投标保证金</w:t>
            </w:r>
          </w:p>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退付</w:t>
            </w:r>
          </w:p>
        </w:tc>
        <w:tc>
          <w:tcPr>
            <w:tcW w:w="8337" w:type="dxa"/>
            <w:gridSpan w:val="6"/>
            <w:tcBorders>
              <w:top w:val="single" w:color="auto" w:sz="4" w:space="0"/>
            </w:tcBorders>
            <w:vAlign w:val="center"/>
          </w:tcPr>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在中标（成交）通知书发出后5个工作日退还；</w:t>
            </w:r>
          </w:p>
          <w:p>
            <w:pPr>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在合同签订后5个工作日退还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投标有</w:t>
            </w:r>
          </w:p>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效期</w:t>
            </w:r>
          </w:p>
        </w:tc>
        <w:tc>
          <w:tcPr>
            <w:tcW w:w="8337" w:type="dxa"/>
            <w:gridSpan w:val="6"/>
            <w:vAlign w:val="center"/>
          </w:tcPr>
          <w:p>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90日历日（自投标截止时间起开始计算）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评标办法</w:t>
            </w:r>
          </w:p>
        </w:tc>
        <w:tc>
          <w:tcPr>
            <w:tcW w:w="8337" w:type="dxa"/>
            <w:gridSpan w:val="6"/>
            <w:vAlign w:val="center"/>
          </w:tcPr>
          <w:p>
            <w:pPr>
              <w:autoSpaceDE w:val="0"/>
              <w:autoSpaceDN w:val="0"/>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投标文件份数</w:t>
            </w:r>
          </w:p>
        </w:tc>
        <w:tc>
          <w:tcPr>
            <w:tcW w:w="8337" w:type="dxa"/>
            <w:gridSpan w:val="6"/>
            <w:vAlign w:val="center"/>
          </w:tcPr>
          <w:p>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bCs/>
                <w:sz w:val="24"/>
                <w:szCs w:val="24"/>
              </w:rPr>
              <w:t>加密的电子投标文件壹份(.jmbs格式)在</w:t>
            </w:r>
            <w:r>
              <w:rPr>
                <w:rFonts w:hint="eastAsia" w:ascii="仿宋" w:hAnsi="仿宋" w:eastAsia="仿宋" w:cs="仿宋"/>
                <w:bCs/>
                <w:sz w:val="24"/>
                <w:szCs w:val="24"/>
                <w:lang w:val="en-US" w:eastAsia="zh-CN"/>
              </w:rPr>
              <w:t>新疆政府</w:t>
            </w:r>
            <w:r>
              <w:rPr>
                <w:rFonts w:hint="eastAsia" w:ascii="仿宋" w:hAnsi="仿宋" w:eastAsia="仿宋" w:cs="仿宋"/>
                <w:bCs/>
                <w:sz w:val="24"/>
                <w:szCs w:val="24"/>
              </w:rPr>
              <w:t>采购网指定位置上传</w:t>
            </w:r>
            <w:r>
              <w:rPr>
                <w:rFonts w:hint="eastAsia" w:ascii="仿宋" w:hAnsi="仿宋" w:eastAsia="仿宋" w:cs="仿宋"/>
                <w:bCs/>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532" w:type="dxa"/>
            <w:vAlign w:val="center"/>
          </w:tcPr>
          <w:p>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18</w:t>
            </w:r>
          </w:p>
        </w:tc>
        <w:tc>
          <w:tcPr>
            <w:tcW w:w="1664" w:type="dxa"/>
            <w:vAlign w:val="center"/>
          </w:tcPr>
          <w:p>
            <w:pPr>
              <w:jc w:val="center"/>
              <w:rPr>
                <w:rFonts w:hint="eastAsia" w:ascii="仿宋" w:hAnsi="仿宋" w:eastAsia="仿宋" w:cs="仿宋"/>
                <w:b/>
                <w:color w:val="auto"/>
                <w:kern w:val="0"/>
                <w:sz w:val="24"/>
                <w:szCs w:val="24"/>
                <w:highlight w:val="none"/>
              </w:rPr>
            </w:pPr>
            <w:r>
              <w:rPr>
                <w:rFonts w:hint="eastAsia" w:ascii="仿宋" w:hAnsi="仿宋" w:eastAsia="仿宋" w:cs="仿宋"/>
                <w:b/>
                <w:bCs/>
                <w:sz w:val="24"/>
                <w:szCs w:val="24"/>
              </w:rPr>
              <w:t>投标文件解密时间</w:t>
            </w:r>
          </w:p>
        </w:tc>
        <w:tc>
          <w:tcPr>
            <w:tcW w:w="8337" w:type="dxa"/>
            <w:gridSpan w:val="6"/>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rPr>
              <w:t>开标时间后</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分钟内投标人可以登录“政采云”平台，用“项目采购-开标评标”功能进行解密投标文件。若投标人在规定时间内未按时解密的，视为无效投标。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532" w:type="dxa"/>
            <w:vAlign w:val="center"/>
          </w:tcPr>
          <w:p>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19</w:t>
            </w:r>
          </w:p>
        </w:tc>
        <w:tc>
          <w:tcPr>
            <w:tcW w:w="1664" w:type="dxa"/>
            <w:vAlign w:val="center"/>
          </w:tcPr>
          <w:p>
            <w:pPr>
              <w:overflowPunct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政府采购政策</w:t>
            </w:r>
          </w:p>
        </w:tc>
        <w:tc>
          <w:tcPr>
            <w:tcW w:w="8337" w:type="dxa"/>
            <w:gridSpan w:val="6"/>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财政部、工业和信息化部《关于印发《政府采购促进中小企业发展管理办法》（财库[2020]46号文）、《关于落实好政府采购支持中小企业发展的通知》（新财购 〔2022〕22号）；</w:t>
            </w:r>
          </w:p>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财政部、民政部、中国残疾人联合会《关于促进残疾人就业政府采购政策的通知》（财库[2017]141号）；</w:t>
            </w:r>
          </w:p>
          <w:p>
            <w:pPr>
              <w:rPr>
                <w:rFonts w:hint="eastAsia" w:ascii="仿宋" w:hAnsi="仿宋" w:eastAsia="仿宋" w:cs="仿宋"/>
                <w:color w:val="auto"/>
                <w:sz w:val="24"/>
                <w:szCs w:val="24"/>
                <w:highlight w:val="none"/>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财政部、司法部《关于政府采购支持监狱企业发展有关问题的通知》（财库[2014]68号文）。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20</w:t>
            </w:r>
          </w:p>
        </w:tc>
        <w:tc>
          <w:tcPr>
            <w:tcW w:w="1664"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评标小组组成</w:t>
            </w:r>
          </w:p>
        </w:tc>
        <w:tc>
          <w:tcPr>
            <w:tcW w:w="8337" w:type="dxa"/>
            <w:gridSpan w:val="6"/>
            <w:vAlign w:val="center"/>
          </w:tcPr>
          <w:p>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小组成员由</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b/>
                <w:color w:val="auto"/>
                <w:kern w:val="0"/>
                <w:sz w:val="24"/>
                <w:szCs w:val="24"/>
                <w:highlight w:val="none"/>
                <w:u w:val="single"/>
              </w:rPr>
              <w:t xml:space="preserve">5 </w:t>
            </w:r>
            <w:r>
              <w:rPr>
                <w:rFonts w:hint="eastAsia" w:ascii="仿宋" w:hAnsi="仿宋" w:eastAsia="仿宋" w:cs="仿宋"/>
                <w:color w:val="auto"/>
                <w:kern w:val="0"/>
                <w:sz w:val="24"/>
                <w:szCs w:val="24"/>
                <w:highlight w:val="none"/>
              </w:rPr>
              <w:t>人组成，其中采购方代表</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val="en-US" w:eastAsia="zh-CN"/>
              </w:rPr>
              <w:t>1</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人，从</w:t>
            </w:r>
            <w:r>
              <w:rPr>
                <w:rFonts w:hint="eastAsia" w:ascii="仿宋" w:hAnsi="仿宋" w:eastAsia="仿宋" w:cs="仿宋"/>
                <w:color w:val="auto"/>
                <w:kern w:val="0"/>
                <w:sz w:val="24"/>
                <w:szCs w:val="24"/>
                <w:highlight w:val="none"/>
                <w:lang w:eastAsia="zh-CN"/>
              </w:rPr>
              <w:t>新疆政采云</w:t>
            </w:r>
            <w:r>
              <w:rPr>
                <w:rFonts w:hint="eastAsia" w:ascii="仿宋" w:hAnsi="仿宋" w:eastAsia="仿宋" w:cs="仿宋"/>
                <w:color w:val="auto"/>
                <w:kern w:val="0"/>
                <w:sz w:val="24"/>
                <w:szCs w:val="24"/>
                <w:highlight w:val="none"/>
              </w:rPr>
              <w:t>专家库中随机抽取的方式确定</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val="en-US" w:eastAsia="zh-CN"/>
              </w:rPr>
              <w:t>4</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1</w:t>
            </w:r>
          </w:p>
        </w:tc>
        <w:tc>
          <w:tcPr>
            <w:tcW w:w="3411" w:type="dxa"/>
            <w:gridSpan w:val="3"/>
            <w:vMerge w:val="restart"/>
            <w:tcBorders>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投标截止（开标）时间及地点</w:t>
            </w:r>
          </w:p>
        </w:tc>
        <w:tc>
          <w:tcPr>
            <w:tcW w:w="6590" w:type="dxa"/>
            <w:gridSpan w:val="4"/>
            <w:tcBorders>
              <w:left w:val="single" w:color="auto" w:sz="4" w:space="0"/>
              <w:bottom w:val="single" w:color="auto" w:sz="4" w:space="0"/>
            </w:tcBorders>
            <w:vAlign w:val="center"/>
          </w:tcPr>
          <w:p>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color w:val="auto"/>
                <w:kern w:val="0"/>
                <w:sz w:val="24"/>
                <w:szCs w:val="24"/>
                <w:highlight w:val="none"/>
              </w:rPr>
              <w:t>投标截止（开标）时间：</w:t>
            </w:r>
            <w:r>
              <w:rPr>
                <w:rFonts w:hint="eastAsia" w:ascii="仿宋" w:hAnsi="仿宋" w:eastAsia="仿宋" w:cs="仿宋"/>
                <w:b/>
                <w:color w:val="auto"/>
                <w:kern w:val="0"/>
                <w:sz w:val="24"/>
                <w:szCs w:val="24"/>
                <w:highlight w:val="none"/>
                <w:u w:val="none"/>
                <w:lang w:val="en-US" w:eastAsia="zh-CN"/>
              </w:rPr>
              <w:t>2025</w:t>
            </w:r>
            <w:r>
              <w:rPr>
                <w:rFonts w:hint="eastAsia" w:ascii="仿宋" w:hAnsi="仿宋" w:eastAsia="仿宋" w:cs="仿宋"/>
                <w:b/>
                <w:bCs/>
                <w:color w:val="auto"/>
                <w:kern w:val="0"/>
                <w:sz w:val="24"/>
                <w:szCs w:val="24"/>
                <w:highlight w:val="none"/>
                <w:u w:val="none"/>
              </w:rPr>
              <w:t>年</w:t>
            </w:r>
            <w:r>
              <w:rPr>
                <w:rFonts w:hint="eastAsia" w:ascii="仿宋" w:hAnsi="仿宋" w:eastAsia="仿宋" w:cs="仿宋"/>
                <w:b/>
                <w:bCs/>
                <w:color w:val="auto"/>
                <w:kern w:val="0"/>
                <w:sz w:val="24"/>
                <w:szCs w:val="24"/>
                <w:highlight w:val="none"/>
                <w:u w:val="none"/>
                <w:lang w:val="en-US" w:eastAsia="zh-CN"/>
              </w:rPr>
              <w:t>4</w:t>
            </w:r>
            <w:r>
              <w:rPr>
                <w:rFonts w:hint="eastAsia" w:ascii="仿宋" w:hAnsi="仿宋" w:eastAsia="仿宋" w:cs="仿宋"/>
                <w:b/>
                <w:bCs/>
                <w:color w:val="auto"/>
                <w:kern w:val="0"/>
                <w:sz w:val="24"/>
                <w:szCs w:val="24"/>
                <w:highlight w:val="none"/>
                <w:u w:val="none"/>
              </w:rPr>
              <w:t>月</w:t>
            </w:r>
            <w:r>
              <w:rPr>
                <w:rFonts w:hint="eastAsia" w:ascii="仿宋" w:hAnsi="仿宋" w:eastAsia="仿宋" w:cs="仿宋"/>
                <w:b/>
                <w:bCs/>
                <w:color w:val="auto"/>
                <w:kern w:val="0"/>
                <w:sz w:val="24"/>
                <w:szCs w:val="24"/>
                <w:highlight w:val="none"/>
                <w:u w:val="none"/>
                <w:lang w:val="en-US" w:eastAsia="zh-CN"/>
              </w:rPr>
              <w:t>23</w:t>
            </w:r>
            <w:r>
              <w:rPr>
                <w:rFonts w:hint="eastAsia" w:ascii="仿宋" w:hAnsi="仿宋" w:eastAsia="仿宋" w:cs="仿宋"/>
                <w:b/>
                <w:bCs/>
                <w:color w:val="auto"/>
                <w:kern w:val="0"/>
                <w:sz w:val="24"/>
                <w:szCs w:val="24"/>
                <w:highlight w:val="none"/>
                <w:u w:val="none"/>
              </w:rPr>
              <w:t>日</w:t>
            </w:r>
            <w:r>
              <w:rPr>
                <w:rFonts w:hint="eastAsia" w:ascii="仿宋" w:hAnsi="仿宋" w:eastAsia="仿宋" w:cs="仿宋"/>
                <w:b/>
                <w:bCs/>
                <w:color w:val="auto"/>
                <w:kern w:val="0"/>
                <w:sz w:val="24"/>
                <w:szCs w:val="24"/>
                <w:highlight w:val="none"/>
                <w:u w:val="none"/>
                <w:lang w:val="en-US" w:eastAsia="zh-CN"/>
              </w:rPr>
              <w:t>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3411" w:type="dxa"/>
            <w:gridSpan w:val="3"/>
            <w:vMerge w:val="continue"/>
            <w:tcBorders>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6590" w:type="dxa"/>
            <w:gridSpan w:val="4"/>
            <w:tcBorders>
              <w:top w:val="single" w:color="auto" w:sz="4" w:space="0"/>
              <w:left w:val="single" w:color="auto" w:sz="4" w:space="0"/>
            </w:tcBorders>
            <w:vAlign w:val="center"/>
          </w:tcPr>
          <w:p>
            <w:pPr>
              <w:autoSpaceDE w:val="0"/>
              <w:autoSpaceDN w:val="0"/>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地点:</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000000"/>
                <w:sz w:val="24"/>
                <w:szCs w:val="24"/>
              </w:rPr>
              <w:t>请登录政采云投标客户端，在截止时间前将加密的电子</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文件（.jmbs）上传到新疆政府采购网对应的位置（逾期上传或者未上传指定地点的</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文件，采购人不予受理）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2</w:t>
            </w:r>
          </w:p>
        </w:tc>
        <w:tc>
          <w:tcPr>
            <w:tcW w:w="1664" w:type="dxa"/>
            <w:tcBorders>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eastAsia="zh-CN"/>
              </w:rPr>
              <w:t>投标人资格</w:t>
            </w:r>
          </w:p>
        </w:tc>
        <w:tc>
          <w:tcPr>
            <w:tcW w:w="8337" w:type="dxa"/>
            <w:gridSpan w:val="6"/>
            <w:tcBorders>
              <w:left w:val="single" w:color="auto" w:sz="4" w:space="0"/>
            </w:tcBorders>
            <w:vAlign w:val="center"/>
          </w:tcPr>
          <w:p>
            <w:pPr>
              <w:pStyle w:val="29"/>
              <w:keepNext w:val="0"/>
              <w:keepLines w:val="0"/>
              <w:pageBreakBefore w:val="0"/>
              <w:widowControl/>
              <w:numPr>
                <w:ilvl w:val="0"/>
                <w:numId w:val="0"/>
              </w:numPr>
              <w:suppressLineNumbers w:val="0"/>
              <w:kinsoku/>
              <w:wordWrap/>
              <w:overflowPunct/>
              <w:topLinePunct w:val="0"/>
              <w:bidi w:val="0"/>
              <w:spacing w:before="75" w:beforeAutospacing="0" w:after="75" w:afterAutospacing="0" w:line="300" w:lineRule="atLeast"/>
              <w:ind w:right="0" w:rightChars="0"/>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满足《中华人民共和国政府采购法》第二十二条规定；</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（1）投标人为企业法人应提供合法有效的标识有统一社会信用代码的营业执照；事业法人应提供事业单位法人证书；其他组织应提供合法登记证明文件；</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（2）法定代表人（负责人）参加提供法定代表人（负责人）身份证明书及身份证（授权委托人参加提供法定代表人（负责人）授权委托书及被委托人身份证）；</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（4）投标人提供近半年内已缴存的至少一个月的社保机构开具的社会保险参保缴费情况证明，依法不需要缴纳社会保障资金的投标人应提供相关文件证明；</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5）投标人提供2023年的财务审计报告（成立时间至提交投标文件截止时间不足一年的可提供成立后任意时段的资产负债表），或其开标前三个月内基本存款账户开户银行出具的资信证明及基本存款账户开户证明；</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（6）投标人提供近半年内已缴纳的至少一个月的纳税证明或完税证明，纳税证明或完税证明上应有代收机构或税务机关的公章，依法免税的投标人应提供相关文件证明；</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（7）投标人应具备良好的商业信誉，提供参加政府采购活动前3年内在经营活动中没有重大违法记录的书面声明；</w:t>
            </w:r>
          </w:p>
          <w:p>
            <w:pPr>
              <w:pStyle w:val="9"/>
              <w:ind w:left="0" w:leftChars="0" w:firstLine="0" w:firstLineChars="0"/>
              <w:rPr>
                <w:rFonts w:hint="eastAsia"/>
                <w:lang w:val="en-US" w:eastAsia="zh-CN"/>
              </w:rPr>
            </w:pPr>
            <w:r>
              <w:rPr>
                <w:rFonts w:hint="eastAsia" w:ascii="仿宋" w:hAnsi="仿宋" w:eastAsia="仿宋" w:cs="仿宋"/>
                <w:i w:val="0"/>
                <w:iCs w:val="0"/>
                <w:caps w:val="0"/>
                <w:color w:val="000000"/>
                <w:spacing w:val="0"/>
                <w:sz w:val="24"/>
                <w:szCs w:val="24"/>
                <w:highlight w:val="none"/>
                <w:lang w:val="en-US" w:eastAsia="zh-CN" w:bidi="ar-SA"/>
              </w:rPr>
              <w:t>（8）供应商应为中小企业，需提供有效的《中小企业声明函》。格式以采购文件要求为准。</w:t>
            </w:r>
          </w:p>
          <w:p>
            <w:pPr>
              <w:pStyle w:val="28"/>
              <w:rPr>
                <w:rFonts w:hint="eastAsia" w:ascii="仿宋" w:hAnsi="仿宋" w:eastAsia="仿宋" w:cs="仿宋"/>
                <w:i w:val="0"/>
                <w:iCs w:val="0"/>
                <w:caps w:val="0"/>
                <w:color w:val="000000"/>
                <w:spacing w:val="0"/>
                <w:sz w:val="24"/>
                <w:szCs w:val="24"/>
                <w:highlight w:val="yellow"/>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（9）保证金汇款凭证或保函；</w:t>
            </w:r>
          </w:p>
          <w:p>
            <w:pPr>
              <w:pStyle w:val="28"/>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10）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kinsoku/>
              <w:wordWrap/>
              <w:overflowPunct/>
              <w:topLinePunct w:val="0"/>
              <w:bidi w:val="0"/>
              <w:adjustRightInd w:val="0"/>
              <w:snapToGrid w:val="0"/>
              <w:spacing w:line="240" w:lineRule="atLeast"/>
              <w:textAlignment w:val="auto"/>
              <w:rPr>
                <w:rFonts w:hint="eastAsia" w:ascii="仿宋" w:hAnsi="仿宋" w:eastAsia="仿宋" w:cs="仿宋"/>
                <w:i w:val="0"/>
                <w:iCs w:val="0"/>
                <w:caps w:val="0"/>
                <w:color w:val="000000"/>
                <w:spacing w:val="0"/>
                <w:sz w:val="24"/>
                <w:szCs w:val="24"/>
                <w:highlight w:val="none"/>
                <w:lang w:val="en-US" w:eastAsia="zh-CN" w:bidi="ar-SA"/>
              </w:rPr>
            </w:pPr>
            <w:r>
              <w:rPr>
                <w:rFonts w:hint="eastAsia" w:ascii="仿宋" w:hAnsi="仿宋" w:eastAsia="仿宋" w:cs="仿宋"/>
                <w:i w:val="0"/>
                <w:iCs w:val="0"/>
                <w:caps w:val="0"/>
                <w:color w:val="000000"/>
                <w:spacing w:val="0"/>
                <w:sz w:val="24"/>
                <w:szCs w:val="24"/>
                <w:highlight w:val="none"/>
                <w:lang w:val="en-US" w:eastAsia="zh-CN" w:bidi="ar-SA"/>
              </w:rPr>
              <w:t>（11）本项目不接受联合体投标。</w:t>
            </w:r>
          </w:p>
          <w:p>
            <w:pPr>
              <w:keepNext w:val="0"/>
              <w:keepLines w:val="0"/>
              <w:pageBreakBefore w:val="0"/>
              <w:kinsoku/>
              <w:wordWrap/>
              <w:overflowPunct/>
              <w:topLinePunct w:val="0"/>
              <w:bidi w:val="0"/>
              <w:spacing w:line="360" w:lineRule="exact"/>
              <w:ind w:firstLine="442" w:firstLineChars="200"/>
              <w:textAlignment w:val="auto"/>
              <w:rPr>
                <w:rFonts w:hint="eastAsia" w:ascii="宋体" w:hAnsi="宋体" w:eastAsia="宋体" w:cs="Times New Roman"/>
                <w:b/>
                <w:sz w:val="22"/>
                <w:szCs w:val="22"/>
                <w:lang w:val="en-US" w:eastAsia="zh-CN"/>
              </w:rPr>
            </w:pPr>
            <w:r>
              <w:rPr>
                <w:rFonts w:hint="eastAsia" w:ascii="宋体" w:hAnsi="宋体"/>
                <w:b/>
                <w:sz w:val="22"/>
                <w:szCs w:val="22"/>
              </w:rPr>
              <w:t>说明：1、上述1-</w:t>
            </w:r>
            <w:r>
              <w:rPr>
                <w:rFonts w:hint="eastAsia" w:ascii="宋体" w:hAnsi="宋体"/>
                <w:b/>
                <w:sz w:val="22"/>
                <w:szCs w:val="22"/>
                <w:lang w:val="en-US" w:eastAsia="zh-CN"/>
              </w:rPr>
              <w:t>9</w:t>
            </w:r>
            <w:r>
              <w:rPr>
                <w:rFonts w:hint="eastAsia" w:ascii="宋体" w:hAnsi="宋体"/>
                <w:b/>
                <w:sz w:val="22"/>
                <w:szCs w:val="22"/>
              </w:rPr>
              <w:t>条资料为开标时资格审查的必备条件，如果缺项或不符合要求则视为对招标文件资格审查内容的不响应，投标将被拒绝（电子版投标文件内所有资格</w:t>
            </w:r>
            <w:r>
              <w:rPr>
                <w:rFonts w:hint="eastAsia" w:ascii="仿宋" w:hAnsi="仿宋" w:eastAsia="仿宋" w:cs="仿宋"/>
                <w:b/>
                <w:color w:val="auto"/>
                <w:kern w:val="0"/>
                <w:sz w:val="24"/>
                <w:szCs w:val="24"/>
                <w:highlight w:val="none"/>
              </w:rPr>
              <w:t>证</w:t>
            </w:r>
            <w:r>
              <w:rPr>
                <w:rFonts w:hint="eastAsia" w:ascii="宋体" w:hAnsi="宋体" w:eastAsia="宋体" w:cs="Times New Roman"/>
                <w:b/>
                <w:sz w:val="22"/>
                <w:szCs w:val="22"/>
                <w:lang w:val="en-US" w:eastAsia="zh-CN"/>
              </w:rPr>
              <w:t>明文件，投标人须逐页加盖电子签章）。</w:t>
            </w:r>
          </w:p>
          <w:p>
            <w:pPr>
              <w:keepNext w:val="0"/>
              <w:keepLines w:val="0"/>
              <w:pageBreakBefore w:val="0"/>
              <w:kinsoku/>
              <w:wordWrap/>
              <w:overflowPunct/>
              <w:topLinePunct w:val="0"/>
              <w:bidi w:val="0"/>
              <w:spacing w:line="360" w:lineRule="exact"/>
              <w:ind w:firstLine="1104" w:firstLineChars="500"/>
              <w:textAlignment w:val="auto"/>
              <w:rPr>
                <w:rFonts w:hint="eastAsia"/>
              </w:rPr>
            </w:pPr>
            <w:r>
              <w:rPr>
                <w:rFonts w:hint="eastAsia" w:ascii="宋体" w:hAnsi="宋体" w:eastAsia="宋体" w:cs="Times New Roman"/>
                <w:b/>
                <w:sz w:val="22"/>
                <w:szCs w:val="22"/>
                <w:lang w:val="en-US" w:eastAsia="zh-CN"/>
              </w:rPr>
              <w:t>2、开标前，请各投标人将上述有效证件的扫描件上传到“政采云”平台待开标时查验，上述证件的公证件本次采购不予认可。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532" w:type="dxa"/>
            <w:vMerge w:val="restart"/>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3</w:t>
            </w:r>
          </w:p>
        </w:tc>
        <w:tc>
          <w:tcPr>
            <w:tcW w:w="1664" w:type="dxa"/>
            <w:vMerge w:val="restart"/>
            <w:tcBorders>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公告及</w:t>
            </w:r>
            <w:r>
              <w:rPr>
                <w:rFonts w:hint="eastAsia" w:ascii="仿宋" w:hAnsi="仿宋" w:eastAsia="仿宋" w:cs="仿宋"/>
                <w:b/>
                <w:color w:val="auto"/>
                <w:kern w:val="0"/>
                <w:sz w:val="24"/>
                <w:szCs w:val="24"/>
                <w:highlight w:val="none"/>
                <w:lang w:eastAsia="zh-CN"/>
              </w:rPr>
              <w:t>中标</w:t>
            </w:r>
            <w:r>
              <w:rPr>
                <w:rFonts w:hint="eastAsia" w:ascii="仿宋" w:hAnsi="仿宋" w:eastAsia="仿宋" w:cs="仿宋"/>
                <w:b/>
                <w:color w:val="auto"/>
                <w:kern w:val="0"/>
                <w:sz w:val="24"/>
                <w:szCs w:val="24"/>
                <w:highlight w:val="none"/>
              </w:rPr>
              <w:t>公示发布媒介</w:t>
            </w:r>
          </w:p>
        </w:tc>
        <w:tc>
          <w:tcPr>
            <w:tcW w:w="8337" w:type="dxa"/>
            <w:gridSpan w:val="6"/>
            <w:tcBorders>
              <w:left w:val="single" w:color="auto" w:sz="4" w:space="0"/>
              <w:bottom w:val="single" w:color="auto" w:sz="4" w:space="0"/>
            </w:tcBorders>
            <w:vAlign w:val="center"/>
          </w:tcPr>
          <w:p>
            <w:pPr>
              <w:adjustRightInd w:val="0"/>
              <w:snapToGrid w:val="0"/>
              <w:spacing w:line="360" w:lineRule="auto"/>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新疆政府采购网（http://www.ccgp-xinjiang.gov.cn/）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532" w:type="dxa"/>
            <w:vMerge w:val="continue"/>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1664" w:type="dxa"/>
            <w:vMerge w:val="continue"/>
            <w:tcBorders>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rPr>
            </w:pPr>
          </w:p>
        </w:tc>
        <w:tc>
          <w:tcPr>
            <w:tcW w:w="8337" w:type="dxa"/>
            <w:gridSpan w:val="6"/>
            <w:tcBorders>
              <w:top w:val="single" w:color="auto" w:sz="4" w:space="0"/>
              <w:left w:val="single" w:color="auto" w:sz="4" w:space="0"/>
            </w:tcBorders>
            <w:vAlign w:val="center"/>
          </w:tcPr>
          <w:p>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公示期不少于1工作日，公示期内无异议将向第一中标候选人发出</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4</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w:t>
            </w:r>
          </w:p>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通知书</w:t>
            </w:r>
          </w:p>
        </w:tc>
        <w:tc>
          <w:tcPr>
            <w:tcW w:w="8337" w:type="dxa"/>
            <w:gridSpan w:val="6"/>
            <w:vAlign w:val="center"/>
          </w:tcPr>
          <w:p>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中标公示</w:t>
            </w: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工作日无异议后发放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5</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签订合同时间</w:t>
            </w:r>
          </w:p>
        </w:tc>
        <w:tc>
          <w:tcPr>
            <w:tcW w:w="8337" w:type="dxa"/>
            <w:gridSpan w:val="6"/>
            <w:vAlign w:val="center"/>
          </w:tcPr>
          <w:p>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中标通知书发出之日起</w:t>
            </w:r>
            <w:r>
              <w:rPr>
                <w:rFonts w:hint="eastAsia" w:ascii="仿宋" w:hAnsi="仿宋" w:eastAsia="仿宋" w:cs="仿宋"/>
                <w:b/>
                <w:color w:val="auto"/>
                <w:sz w:val="24"/>
                <w:szCs w:val="24"/>
                <w:highlight w:val="none"/>
              </w:rPr>
              <w:t>30</w:t>
            </w:r>
            <w:r>
              <w:rPr>
                <w:rFonts w:hint="eastAsia" w:ascii="仿宋" w:hAnsi="仿宋" w:eastAsia="仿宋" w:cs="仿宋"/>
                <w:color w:val="auto"/>
                <w:sz w:val="24"/>
                <w:szCs w:val="24"/>
                <w:highlight w:val="none"/>
              </w:rPr>
              <w:t>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0"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6</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代理</w:t>
            </w:r>
          </w:p>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服务费</w:t>
            </w:r>
          </w:p>
        </w:tc>
        <w:tc>
          <w:tcPr>
            <w:tcW w:w="8337" w:type="dxa"/>
            <w:gridSpan w:val="6"/>
            <w:vAlign w:val="center"/>
          </w:tcPr>
          <w:p>
            <w:pPr>
              <w:widowControl/>
              <w:spacing w:line="360" w:lineRule="auto"/>
              <w:ind w:left="14" w:leftChars="-45" w:hanging="108" w:hangingChars="4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服务商在收到</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通知书后，须支付代理服务费，参照《国家发展改革委关于进一步放开建设项目专业服务价格的通知》(发改价格〔2015〕299号)文件规定标按标（包）计取</w:t>
            </w:r>
            <w:r>
              <w:rPr>
                <w:rFonts w:hint="eastAsia" w:ascii="仿宋" w:hAnsi="仿宋" w:eastAsia="仿宋" w:cs="仿宋"/>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7</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文件</w:t>
            </w:r>
          </w:p>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p>
        </w:tc>
        <w:tc>
          <w:tcPr>
            <w:tcW w:w="8337" w:type="dxa"/>
            <w:gridSpan w:val="6"/>
            <w:vAlign w:val="center"/>
          </w:tcPr>
          <w:p>
            <w:pPr>
              <w:widowControl/>
              <w:spacing w:line="360" w:lineRule="auto"/>
              <w:ind w:left="14" w:leftChars="-45" w:hanging="108" w:hangingChars="4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的解释权归</w:t>
            </w:r>
            <w:r>
              <w:rPr>
                <w:rFonts w:hint="eastAsia" w:ascii="仿宋" w:hAnsi="仿宋" w:eastAsia="仿宋" w:cs="仿宋"/>
                <w:b/>
                <w:color w:val="auto"/>
                <w:sz w:val="24"/>
                <w:szCs w:val="24"/>
                <w:highlight w:val="none"/>
                <w:lang w:eastAsia="zh-CN"/>
              </w:rPr>
              <w:t>伊犁哈萨克自治州农业技术推广总站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32" w:type="dxa"/>
            <w:vAlign w:val="center"/>
          </w:tcPr>
          <w:p>
            <w:pPr>
              <w:autoSpaceDE w:val="0"/>
              <w:autoSpaceDN w:val="0"/>
              <w:adjustRightInd w:val="0"/>
              <w:snapToGrid w:val="0"/>
              <w:spacing w:line="360"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2</w:t>
            </w:r>
            <w:r>
              <w:rPr>
                <w:rFonts w:hint="eastAsia" w:ascii="仿宋" w:hAnsi="仿宋" w:eastAsia="仿宋" w:cs="仿宋"/>
                <w:b/>
                <w:color w:val="auto"/>
                <w:kern w:val="0"/>
                <w:sz w:val="24"/>
                <w:szCs w:val="24"/>
                <w:highlight w:val="none"/>
                <w:lang w:val="en-US" w:eastAsia="zh-CN"/>
              </w:rPr>
              <w:t>8</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其他要求</w:t>
            </w:r>
          </w:p>
        </w:tc>
        <w:tc>
          <w:tcPr>
            <w:tcW w:w="8337" w:type="dxa"/>
            <w:gridSpan w:val="6"/>
            <w:vAlign w:val="center"/>
          </w:tcPr>
          <w:p>
            <w:pPr>
              <w:widowControl/>
              <w:spacing w:line="360" w:lineRule="auto"/>
              <w:ind w:left="14" w:leftChars="-45" w:hanging="108" w:hangingChars="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承担所有相关责任的同时不得耽误本项目</w:t>
            </w:r>
            <w:r>
              <w:rPr>
                <w:rFonts w:hint="eastAsia" w:ascii="仿宋" w:hAnsi="仿宋" w:eastAsia="仿宋" w:cs="仿宋"/>
                <w:color w:val="auto"/>
                <w:sz w:val="24"/>
                <w:szCs w:val="24"/>
                <w:highlight w:val="none"/>
                <w:lang w:val="en-US" w:eastAsia="zh-CN"/>
              </w:rPr>
              <w:t>的服务</w:t>
            </w:r>
            <w:r>
              <w:rPr>
                <w:rFonts w:hint="eastAsia" w:ascii="仿宋" w:hAnsi="仿宋" w:eastAsia="仿宋" w:cs="仿宋"/>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4" w:hRule="atLeast"/>
        </w:trPr>
        <w:tc>
          <w:tcPr>
            <w:tcW w:w="532" w:type="dxa"/>
            <w:vAlign w:val="center"/>
          </w:tcPr>
          <w:p>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29</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8337" w:type="dxa"/>
            <w:gridSpan w:val="6"/>
            <w:vAlign w:val="center"/>
          </w:tcPr>
          <w:p>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Times New Roman"/>
                <w:sz w:val="24"/>
                <w:lang w:val="en-US" w:eastAsia="zh-CN"/>
              </w:rPr>
            </w:pPr>
            <w:r>
              <w:rPr>
                <w:rFonts w:hint="eastAsia" w:ascii="仿宋" w:hAnsi="仿宋" w:eastAsia="仿宋" w:cs="Times New Roman"/>
                <w:b w:val="0"/>
                <w:bCs w:val="0"/>
                <w:sz w:val="24"/>
                <w:lang w:val="en-US" w:eastAsia="zh-CN"/>
              </w:rPr>
              <w:t>本项目采用电子招标投标：</w:t>
            </w:r>
            <w:r>
              <w:rPr>
                <w:rFonts w:hint="eastAsia" w:ascii="仿宋" w:hAnsi="仿宋" w:eastAsia="仿宋" w:cs="Times New Roman"/>
                <w:sz w:val="24"/>
                <w:lang w:val="en-US" w:eastAsia="zh-CN"/>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numPr>
                <w:ilvl w:val="0"/>
                <w:numId w:val="3"/>
              </w:numPr>
              <w:kinsoku/>
              <w:wordWrap/>
              <w:overflowPunct/>
              <w:topLinePunct w:val="0"/>
              <w:autoSpaceDE/>
              <w:autoSpaceDN/>
              <w:bidi w:val="0"/>
              <w:spacing w:line="440" w:lineRule="exact"/>
              <w:ind w:right="105" w:rightChars="5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供应商报价CA签字确认：报价文件开启后将开启签字时段，供应商须在20分钟内用CA证书对报价进行签字确认。</w:t>
            </w:r>
          </w:p>
          <w:p>
            <w:pPr>
              <w:keepNext w:val="0"/>
              <w:keepLines w:val="0"/>
              <w:pageBreakBefore w:val="0"/>
              <w:numPr>
                <w:ilvl w:val="0"/>
                <w:numId w:val="0"/>
              </w:numPr>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lang w:val="en-US" w:eastAsia="zh-CN"/>
              </w:rPr>
              <w:t>备注：</w:t>
            </w:r>
            <w:r>
              <w:rPr>
                <w:rFonts w:hint="eastAsia" w:ascii="仿宋" w:hAnsi="仿宋" w:eastAsia="仿宋"/>
                <w:sz w:val="24"/>
              </w:rPr>
              <w:t>1、本次采购采用电子交易方式，电子交易平台为“</w:t>
            </w:r>
            <w:r>
              <w:rPr>
                <w:rFonts w:hint="eastAsia" w:ascii="仿宋" w:hAnsi="仿宋" w:eastAsia="仿宋" w:cs="仿宋"/>
                <w:color w:val="000000"/>
                <w:kern w:val="2"/>
                <w:sz w:val="24"/>
                <w:szCs w:val="24"/>
                <w:lang w:val="en-US" w:eastAsia="zh-CN" w:bidi="ar-SA"/>
              </w:rPr>
              <w:t>政府采购云平台（www.zcygov.cn）</w:t>
            </w:r>
            <w:r>
              <w:rPr>
                <w:rFonts w:hint="eastAsia" w:ascii="仿宋" w:hAnsi="仿宋" w:eastAsia="仿宋"/>
                <w:sz w:val="24"/>
              </w:rPr>
              <w:t>”。供应商参与本项目电子交易活动前，应注册成为</w:t>
            </w:r>
            <w:r>
              <w:rPr>
                <w:rFonts w:hint="eastAsia" w:ascii="仿宋" w:hAnsi="仿宋" w:eastAsia="仿宋" w:cs="仿宋"/>
                <w:color w:val="000000"/>
                <w:kern w:val="2"/>
                <w:sz w:val="24"/>
                <w:szCs w:val="24"/>
                <w:lang w:val="en-US" w:eastAsia="zh-CN" w:bidi="ar-SA"/>
              </w:rPr>
              <w:t>政府采购云平台供应商</w:t>
            </w:r>
            <w:r>
              <w:rPr>
                <w:rFonts w:hint="eastAsia" w:ascii="仿宋" w:hAnsi="仿宋" w:eastAsia="仿宋"/>
                <w:sz w:val="24"/>
              </w:rPr>
              <w:t>。编制电子投标文件前还需申领CA证书并绑定帐号。供应商应充分考虑完成平台注册、申领CA证书等所需的时间。因未注册入库、未办理CA数字证书等原因造成无法投标或投标失败等后果由供应商自行承担。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rPr>
            </w:pPr>
            <w:r>
              <w:rPr>
                <w:rFonts w:hint="eastAsia" w:ascii="仿宋" w:hAnsi="仿宋" w:eastAsia="仿宋"/>
                <w:sz w:val="24"/>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w:t>
            </w:r>
            <w:r>
              <w:rPr>
                <w:rFonts w:hint="eastAsia" w:ascii="仿宋" w:hAnsi="仿宋" w:eastAsia="仿宋"/>
                <w:sz w:val="24"/>
                <w:lang w:val="en-US" w:eastAsia="zh-CN"/>
              </w:rPr>
              <w:t>30</w:t>
            </w:r>
            <w:r>
              <w:rPr>
                <w:rFonts w:hint="eastAsia" w:ascii="仿宋" w:hAnsi="仿宋" w:eastAsia="仿宋"/>
                <w:sz w:val="24"/>
              </w:rPr>
              <w:t>分钟，如因供应商自身原因导致无法正常解密，后果由供应商自行承担。</w:t>
            </w:r>
          </w:p>
          <w:p>
            <w:pPr>
              <w:pStyle w:val="2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sz w:val="24"/>
              </w:rPr>
            </w:pPr>
            <w:r>
              <w:rPr>
                <w:rFonts w:hint="eastAsia" w:ascii="仿宋" w:hAnsi="仿宋" w:eastAsia="仿宋"/>
                <w:sz w:val="24"/>
              </w:rPr>
              <w:t>3、</w:t>
            </w:r>
            <w:r>
              <w:rPr>
                <w:rFonts w:hint="eastAsia" w:ascii="仿宋" w:hAnsi="仿宋" w:eastAsia="仿宋" w:cs="Times New Roman"/>
                <w:kern w:val="2"/>
                <w:sz w:val="24"/>
                <w:szCs w:val="22"/>
                <w:lang w:val="en-US" w:eastAsia="zh-CN" w:bidi="ar-SA"/>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仿宋" w:hAnsi="仿宋" w:eastAsia="仿宋" w:cs="仿宋"/>
                <w:color w:val="000000"/>
                <w:sz w:val="24"/>
                <w:szCs w:val="24"/>
                <w:lang w:val="en-US" w:eastAsia="zh-CN"/>
              </w:rPr>
              <w:t>95763</w:t>
            </w:r>
            <w:r>
              <w:rPr>
                <w:rFonts w:hint="eastAsia" w:ascii="仿宋" w:hAnsi="仿宋" w:eastAsia="仿宋" w:cs="Times New Roman"/>
                <w:kern w:val="2"/>
                <w:sz w:val="24"/>
                <w:szCs w:val="22"/>
                <w:lang w:val="en-US" w:eastAsia="zh-CN" w:bidi="ar-SA"/>
              </w:rPr>
              <w:t>（工作时间：工作日08:00~20：00）   。</w:t>
            </w:r>
          </w:p>
          <w:p>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cs="仿宋"/>
                <w:kern w:val="2"/>
                <w:sz w:val="24"/>
                <w:szCs w:val="24"/>
                <w:lang w:val="en-US" w:eastAsia="zh-CN" w:bidi="ar-SA"/>
              </w:rPr>
            </w:pPr>
            <w:r>
              <w:rPr>
                <w:rFonts w:hint="eastAsia" w:ascii="仿宋" w:hAnsi="仿宋" w:eastAsia="仿宋"/>
                <w:sz w:val="24"/>
                <w:lang w:val="en-US" w:eastAsia="zh-CN"/>
              </w:rPr>
              <w:t>4、</w:t>
            </w:r>
            <w:r>
              <w:rPr>
                <w:rFonts w:hint="eastAsia" w:ascii="仿宋" w:hAnsi="仿宋" w:eastAsia="仿宋"/>
                <w:sz w:val="24"/>
              </w:rPr>
              <w:t>须知前附表与正文描述不一致时，以须知前附表中为主。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7" w:hRule="atLeast"/>
        </w:trPr>
        <w:tc>
          <w:tcPr>
            <w:tcW w:w="532" w:type="dxa"/>
            <w:vAlign w:val="center"/>
          </w:tcPr>
          <w:p>
            <w:pPr>
              <w:autoSpaceDE w:val="0"/>
              <w:autoSpaceDN w:val="0"/>
              <w:adjustRightInd w:val="0"/>
              <w:snapToGrid w:val="0"/>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30</w:t>
            </w:r>
          </w:p>
        </w:tc>
        <w:tc>
          <w:tcPr>
            <w:tcW w:w="1664" w:type="dxa"/>
            <w:vAlign w:val="center"/>
          </w:tcPr>
          <w:p>
            <w:pPr>
              <w:overflowPunct w:val="0"/>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所属行业</w:t>
            </w:r>
          </w:p>
        </w:tc>
        <w:tc>
          <w:tcPr>
            <w:tcW w:w="8337" w:type="dxa"/>
            <w:gridSpan w:val="6"/>
            <w:vAlign w:val="center"/>
          </w:tcPr>
          <w:p>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b/>
                <w:bCs/>
                <w:sz w:val="24"/>
                <w:highlight w:val="none"/>
                <w:u w:val="single"/>
                <w:lang w:val="en-US" w:eastAsia="zh-CN"/>
              </w:rPr>
            </w:pPr>
            <w:r>
              <w:rPr>
                <w:rFonts w:hint="eastAsia" w:ascii="仿宋" w:hAnsi="仿宋" w:eastAsia="仿宋"/>
                <w:sz w:val="24"/>
                <w:highlight w:val="none"/>
                <w:lang w:val="en-US" w:eastAsia="zh-CN"/>
              </w:rPr>
              <w:t>本项目采购标的所属行业为：</w:t>
            </w:r>
            <w:r>
              <w:rPr>
                <w:rFonts w:hint="eastAsia" w:ascii="仿宋" w:hAnsi="仿宋" w:eastAsia="仿宋"/>
                <w:b/>
                <w:bCs/>
                <w:sz w:val="24"/>
                <w:highlight w:val="none"/>
                <w:u w:val="single"/>
                <w:lang w:val="en-US" w:eastAsia="zh-CN"/>
              </w:rPr>
              <w:t>其他未列明行业；</w:t>
            </w:r>
          </w:p>
          <w:p>
            <w:pPr>
              <w:keepNext w:val="0"/>
              <w:keepLines w:val="0"/>
              <w:pageBreakBefore w:val="0"/>
              <w:kinsoku/>
              <w:wordWrap/>
              <w:overflowPunct/>
              <w:topLinePunct w:val="0"/>
              <w:autoSpaceDE/>
              <w:autoSpaceDN/>
              <w:bidi w:val="0"/>
              <w:spacing w:line="440" w:lineRule="exact"/>
              <w:ind w:right="105" w:rightChars="50"/>
              <w:textAlignment w:val="auto"/>
              <w:rPr>
                <w:rFonts w:hint="eastAsia" w:ascii="仿宋" w:hAnsi="仿宋" w:eastAsia="仿宋"/>
                <w:sz w:val="24"/>
                <w:lang w:val="en-US" w:eastAsia="zh-CN"/>
              </w:rPr>
            </w:pPr>
            <w:r>
              <w:rPr>
                <w:rFonts w:hint="eastAsia" w:ascii="仿宋" w:hAnsi="仿宋" w:eastAsia="仿宋"/>
                <w:b w:val="0"/>
                <w:bCs w:val="0"/>
                <w:sz w:val="24"/>
                <w:highlight w:val="none"/>
                <w:u w:val="none"/>
                <w:lang w:val="en-US" w:eastAsia="zh-CN"/>
              </w:rPr>
              <w:t>从业人员300人以下的为中小微型企业。其中，从业人员100人及以上的为中型企业；从业人员10人及以上的为小型企业；从业人员10人以下的为微型企业。</w:t>
            </w:r>
          </w:p>
        </w:tc>
      </w:tr>
    </w:tbl>
    <w:p>
      <w:pPr>
        <w:rPr>
          <w:rFonts w:hint="eastAsia" w:ascii="仿宋" w:hAnsi="仿宋" w:eastAsia="仿宋" w:cs="仿宋"/>
          <w:b/>
          <w:color w:val="auto"/>
          <w:kern w:val="44"/>
          <w:sz w:val="32"/>
          <w:szCs w:val="32"/>
          <w:highlight w:val="none"/>
        </w:rPr>
      </w:pPr>
      <w:r>
        <w:rPr>
          <w:rFonts w:hint="eastAsia" w:ascii="仿宋" w:hAnsi="仿宋" w:eastAsia="仿宋" w:cs="仿宋"/>
          <w:b/>
          <w:color w:val="auto"/>
          <w:kern w:val="44"/>
          <w:sz w:val="32"/>
          <w:szCs w:val="32"/>
          <w:highlight w:val="none"/>
        </w:rPr>
        <w:br w:type="page"/>
      </w:r>
    </w:p>
    <w:p>
      <w:pPr>
        <w:spacing w:line="360" w:lineRule="auto"/>
        <w:jc w:val="center"/>
        <w:outlineLvl w:val="0"/>
        <w:rPr>
          <w:rFonts w:hint="eastAsia" w:ascii="仿宋" w:hAnsi="仿宋" w:eastAsia="仿宋" w:cs="仿宋"/>
          <w:b/>
          <w:color w:val="auto"/>
          <w:kern w:val="44"/>
          <w:sz w:val="32"/>
          <w:szCs w:val="32"/>
          <w:highlight w:val="none"/>
        </w:rPr>
      </w:pPr>
      <w:r>
        <w:rPr>
          <w:rFonts w:hint="eastAsia" w:ascii="仿宋" w:hAnsi="仿宋" w:eastAsia="仿宋" w:cs="仿宋"/>
          <w:b/>
          <w:color w:val="auto"/>
          <w:kern w:val="44"/>
          <w:sz w:val="32"/>
          <w:szCs w:val="32"/>
          <w:highlight w:val="none"/>
        </w:rPr>
        <w:t>第三章　投标人须知</w:t>
      </w:r>
      <w:bookmarkEnd w:id="2"/>
    </w:p>
    <w:p>
      <w:pPr>
        <w:spacing w:line="360" w:lineRule="auto"/>
        <w:jc w:val="center"/>
        <w:outlineLvl w:val="1"/>
        <w:rPr>
          <w:rFonts w:hint="eastAsia" w:ascii="仿宋" w:hAnsi="仿宋" w:eastAsia="仿宋" w:cs="仿宋"/>
          <w:b/>
          <w:color w:val="auto"/>
          <w:sz w:val="24"/>
          <w:szCs w:val="24"/>
          <w:highlight w:val="none"/>
        </w:rPr>
      </w:pPr>
      <w:bookmarkStart w:id="4" w:name="_Toc737"/>
      <w:bookmarkStart w:id="5" w:name="_Toc26890"/>
      <w:bookmarkStart w:id="6" w:name="_Toc18475"/>
      <w:r>
        <w:rPr>
          <w:rFonts w:hint="eastAsia" w:ascii="仿宋" w:hAnsi="仿宋" w:eastAsia="仿宋" w:cs="仿宋"/>
          <w:b/>
          <w:color w:val="auto"/>
          <w:sz w:val="24"/>
          <w:szCs w:val="24"/>
          <w:highlight w:val="none"/>
        </w:rPr>
        <w:t>一、说明</w:t>
      </w:r>
      <w:bookmarkEnd w:id="4"/>
      <w:bookmarkEnd w:id="5"/>
      <w:bookmarkEnd w:id="6"/>
    </w:p>
    <w:p>
      <w:pPr>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7" w:name="_Toc19092"/>
      <w:bookmarkStart w:id="8" w:name="_Toc2890"/>
      <w:bookmarkStart w:id="9" w:name="_Toc11143"/>
      <w:bookmarkStart w:id="10" w:name="_Toc32718"/>
      <w:bookmarkStart w:id="11" w:name="_Toc28947"/>
      <w:r>
        <w:rPr>
          <w:rFonts w:hint="eastAsia" w:ascii="仿宋" w:hAnsi="仿宋" w:eastAsia="仿宋" w:cs="仿宋"/>
          <w:b/>
          <w:bCs/>
          <w:color w:val="auto"/>
          <w:kern w:val="44"/>
          <w:sz w:val="24"/>
          <w:szCs w:val="24"/>
          <w:highlight w:val="none"/>
        </w:rPr>
        <w:t>说明：本</w:t>
      </w:r>
      <w:r>
        <w:rPr>
          <w:rFonts w:hint="eastAsia" w:ascii="仿宋" w:hAnsi="仿宋" w:eastAsia="仿宋" w:cs="仿宋"/>
          <w:b/>
          <w:bCs/>
          <w:color w:val="auto"/>
          <w:kern w:val="44"/>
          <w:sz w:val="24"/>
          <w:szCs w:val="24"/>
          <w:highlight w:val="none"/>
          <w:lang w:eastAsia="zh-CN"/>
        </w:rPr>
        <w:t>招标文件</w:t>
      </w:r>
      <w:r>
        <w:rPr>
          <w:rFonts w:hint="eastAsia" w:ascii="仿宋" w:hAnsi="仿宋" w:eastAsia="仿宋" w:cs="仿宋"/>
          <w:b/>
          <w:bCs/>
          <w:color w:val="auto"/>
          <w:kern w:val="44"/>
          <w:sz w:val="24"/>
          <w:szCs w:val="24"/>
          <w:highlight w:val="none"/>
        </w:rPr>
        <w:t>使用的词语有如下定义</w:t>
      </w:r>
      <w:bookmarkEnd w:id="7"/>
      <w:bookmarkEnd w:id="8"/>
      <w:bookmarkEnd w:id="9"/>
      <w:bookmarkEnd w:id="10"/>
      <w:bookmarkEnd w:id="11"/>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“采购人”系指依法进行政府采购的国家机关、事业单位、团体组织。系指： </w:t>
      </w:r>
      <w:r>
        <w:rPr>
          <w:rFonts w:hint="eastAsia" w:ascii="仿宋" w:hAnsi="仿宋" w:eastAsia="仿宋" w:cs="仿宋"/>
          <w:color w:val="auto"/>
          <w:sz w:val="24"/>
          <w:szCs w:val="24"/>
          <w:highlight w:val="none"/>
          <w:u w:val="single"/>
          <w:lang w:val="zh-CN"/>
        </w:rPr>
        <w:t xml:space="preserve">伊犁哈萨克自治州农业技术推广总站 </w:t>
      </w:r>
      <w:r>
        <w:rPr>
          <w:rFonts w:hint="eastAsia" w:ascii="仿宋" w:hAnsi="仿宋" w:eastAsia="仿宋" w:cs="仿宋"/>
          <w:color w:val="auto"/>
          <w:sz w:val="24"/>
          <w:szCs w:val="24"/>
          <w:highlight w:val="none"/>
          <w:lang w:val="zh-CN"/>
        </w:rPr>
        <w:t>。</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“采购代理机构”系指： </w:t>
      </w:r>
      <w:r>
        <w:rPr>
          <w:rFonts w:hint="eastAsia" w:ascii="仿宋" w:hAnsi="仿宋" w:eastAsia="仿宋" w:cs="仿宋"/>
          <w:color w:val="auto"/>
          <w:sz w:val="24"/>
          <w:szCs w:val="24"/>
          <w:highlight w:val="none"/>
          <w:u w:val="single"/>
          <w:lang w:val="zh-CN"/>
        </w:rPr>
        <w:t>新疆翔实工程项目管理有限公司</w:t>
      </w:r>
      <w:r>
        <w:rPr>
          <w:rFonts w:hint="eastAsia" w:ascii="仿宋" w:hAnsi="仿宋" w:eastAsia="仿宋" w:cs="仿宋"/>
          <w:color w:val="auto"/>
          <w:sz w:val="24"/>
          <w:szCs w:val="24"/>
          <w:highlight w:val="none"/>
          <w:lang w:val="zh-CN"/>
        </w:rPr>
        <w:t>。</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“投标人”系指响应采购、参加投标竞争的当事人。</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“成交人”系指由评标小组评审推荐，经法定程序确定获得本项目中标资格的投标人。</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“评标小组” 系指依法组建，负责本次采购的评标工作机构。</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“甲方”系指在合同条款中指明的采购人。</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“乙方”系指在合同条款中指明的本合同项下提供服务的公司或实体。</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“招标文件”系指由采购代理机构发出的本招标文件，包括全部章节和附件。</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“投标文件”系指投标人根据本招标文件向采购代理机构提交的全部文件。</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“书面函件” 系指手写、打字或印刷的函件，包括电传、电报和传真。</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 系指由本次采购所产生的合同或合约文件。</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“日期”系指公历日。</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“时间”系指北京时间。</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“货物”系指投标人须向采购人提供的符合招标文件要求的货。</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“服务”系指投标人须向采购人提供的符合招标文件要求的服务。</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“实质性响应”系指符合招标文件的所有要求、条款、条件和规定，且没有不利于项目实施质量效果和服务保障的重大偏离或保留。</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“重大偏离或保留”系指影响到招标文件规定的范围、质量和性能或限制了采购人的权力和投标人义务的规定，而纠正这些偏离将影响到其它投标人的公平竞争地位。</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盖章：一般情况指盖投标人的法定公章，除招标文件特别说明外，使用财务专用章、合同章、投标专用章等非公章的盖章，均作无效盖章处理。</w:t>
      </w:r>
    </w:p>
    <w:p>
      <w:pPr>
        <w:numPr>
          <w:ilvl w:val="0"/>
          <w:numId w:val="5"/>
        </w:numPr>
        <w:autoSpaceDE w:val="0"/>
        <w:autoSpaceDN w:val="0"/>
        <w:adjustRightInd w:val="0"/>
        <w:snapToGrid w:val="0"/>
        <w:spacing w:line="360" w:lineRule="auto"/>
        <w:ind w:left="794" w:hanging="794"/>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签署：一般情况指亲笔签字或使用盖私章方式，除招标文件特别说明外，其他方式均作无效签署处理。</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2" w:name="_Toc55778675"/>
      <w:r>
        <w:rPr>
          <w:rFonts w:hint="eastAsia" w:ascii="仿宋" w:hAnsi="仿宋" w:eastAsia="仿宋" w:cs="仿宋"/>
          <w:b/>
          <w:bCs/>
          <w:color w:val="auto"/>
          <w:kern w:val="44"/>
          <w:sz w:val="24"/>
          <w:szCs w:val="24"/>
          <w:highlight w:val="none"/>
        </w:rPr>
        <w:t xml:space="preserve">    </w:t>
      </w:r>
      <w:bookmarkStart w:id="13" w:name="_Toc19223"/>
      <w:bookmarkStart w:id="14" w:name="_Toc10541"/>
      <w:bookmarkStart w:id="15" w:name="_Toc30404"/>
      <w:bookmarkStart w:id="16" w:name="_Toc26165"/>
      <w:bookmarkStart w:id="17" w:name="_Toc2235"/>
      <w:r>
        <w:rPr>
          <w:rFonts w:hint="eastAsia" w:ascii="仿宋" w:hAnsi="仿宋" w:eastAsia="仿宋" w:cs="仿宋"/>
          <w:b/>
          <w:bCs/>
          <w:color w:val="auto"/>
          <w:kern w:val="44"/>
          <w:sz w:val="24"/>
          <w:szCs w:val="24"/>
          <w:highlight w:val="none"/>
        </w:rPr>
        <w:t>合格的投标人</w:t>
      </w:r>
      <w:bookmarkEnd w:id="12"/>
      <w:bookmarkEnd w:id="13"/>
      <w:bookmarkEnd w:id="14"/>
      <w:bookmarkEnd w:id="15"/>
      <w:bookmarkEnd w:id="16"/>
      <w:bookmarkEnd w:id="17"/>
    </w:p>
    <w:p>
      <w:pPr>
        <w:numPr>
          <w:ilvl w:val="1"/>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除非另有规定，凡是在中华人民共和国境内注册且为人民币流通区域内的供货人均可投标。</w:t>
      </w:r>
    </w:p>
    <w:p>
      <w:pPr>
        <w:numPr>
          <w:ilvl w:val="1"/>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投标人符合《中华人民共和国政府采购法》第22条和《中华人民共和国政府采购法实施条例》第17条规定的条件。</w:t>
      </w:r>
    </w:p>
    <w:p>
      <w:pPr>
        <w:numPr>
          <w:ilvl w:val="1"/>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1"/>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与采购人存在利害关系可能影响公正性的法人或其他组织或自然人不得参加投标。</w:t>
      </w:r>
    </w:p>
    <w:p>
      <w:pPr>
        <w:numPr>
          <w:ilvl w:val="1"/>
          <w:numId w:val="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招标文件要求的其他条件。</w:t>
      </w:r>
    </w:p>
    <w:p>
      <w:pPr>
        <w:pStyle w:val="2"/>
        <w:numPr>
          <w:ilvl w:val="0"/>
          <w:numId w:val="4"/>
        </w:numPr>
        <w:tabs>
          <w:tab w:val="left" w:pos="900"/>
          <w:tab w:val="clear" w:pos="425"/>
        </w:tabs>
        <w:spacing w:before="0" w:after="0" w:line="360" w:lineRule="auto"/>
        <w:ind w:left="924" w:hanging="924"/>
        <w:rPr>
          <w:rStyle w:val="61"/>
          <w:rFonts w:hint="eastAsia" w:ascii="仿宋" w:hAnsi="仿宋" w:eastAsia="仿宋" w:cs="仿宋"/>
          <w:bCs/>
          <w:color w:val="auto"/>
          <w:sz w:val="24"/>
          <w:szCs w:val="24"/>
          <w:highlight w:val="none"/>
        </w:rPr>
      </w:pPr>
      <w:bookmarkStart w:id="18" w:name="_Toc2463"/>
      <w:bookmarkStart w:id="19" w:name="_Toc25107"/>
      <w:bookmarkStart w:id="20" w:name="_Toc2653"/>
      <w:bookmarkStart w:id="21" w:name="_Toc55778677"/>
      <w:bookmarkStart w:id="22" w:name="_Toc15216"/>
      <w:bookmarkStart w:id="23" w:name="_Toc28554"/>
      <w:bookmarkStart w:id="24" w:name="_Toc20782"/>
      <w:r>
        <w:rPr>
          <w:rStyle w:val="61"/>
          <w:rFonts w:hint="eastAsia" w:ascii="仿宋" w:hAnsi="仿宋" w:eastAsia="仿宋" w:cs="仿宋"/>
          <w:bCs/>
          <w:color w:val="auto"/>
          <w:sz w:val="24"/>
          <w:szCs w:val="24"/>
          <w:highlight w:val="none"/>
        </w:rPr>
        <w:t>投标费用</w:t>
      </w:r>
      <w:bookmarkEnd w:id="18"/>
      <w:bookmarkEnd w:id="19"/>
      <w:bookmarkEnd w:id="20"/>
      <w:bookmarkEnd w:id="21"/>
      <w:bookmarkEnd w:id="22"/>
      <w:bookmarkEnd w:id="23"/>
      <w:bookmarkEnd w:id="24"/>
    </w:p>
    <w:p>
      <w:pPr>
        <w:pStyle w:val="64"/>
        <w:numPr>
          <w:ilvl w:val="0"/>
          <w:numId w:val="7"/>
        </w:numPr>
        <w:spacing w:line="360" w:lineRule="auto"/>
        <w:ind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投标人应承担所有与准备和参加投标有关的费用。不论投标的结果如何，采购代理机构和采购人均无义务和责任承担这些费用。</w:t>
      </w:r>
    </w:p>
    <w:p>
      <w:pPr>
        <w:pStyle w:val="2"/>
        <w:numPr>
          <w:ilvl w:val="0"/>
          <w:numId w:val="4"/>
        </w:numPr>
        <w:tabs>
          <w:tab w:val="left" w:pos="900"/>
          <w:tab w:val="clear" w:pos="425"/>
        </w:tabs>
        <w:spacing w:before="0" w:after="0" w:line="360" w:lineRule="auto"/>
        <w:ind w:left="924" w:hanging="924"/>
        <w:rPr>
          <w:rFonts w:hint="eastAsia" w:ascii="仿宋" w:hAnsi="仿宋" w:eastAsia="仿宋" w:cs="仿宋"/>
          <w:color w:val="auto"/>
          <w:sz w:val="24"/>
          <w:szCs w:val="24"/>
          <w:highlight w:val="none"/>
        </w:rPr>
      </w:pPr>
      <w:bookmarkStart w:id="25" w:name="_Toc55778678"/>
      <w:bookmarkStart w:id="26" w:name="_Toc9407"/>
      <w:bookmarkStart w:id="27" w:name="_Toc19746"/>
      <w:bookmarkStart w:id="28" w:name="_Toc2722"/>
      <w:bookmarkStart w:id="29" w:name="_Toc14265"/>
      <w:bookmarkStart w:id="30" w:name="_Toc22355"/>
      <w:r>
        <w:rPr>
          <w:rStyle w:val="61"/>
          <w:rFonts w:hint="eastAsia" w:ascii="仿宋" w:hAnsi="仿宋" w:eastAsia="仿宋" w:cs="仿宋"/>
          <w:bCs w:val="0"/>
          <w:color w:val="auto"/>
          <w:sz w:val="24"/>
          <w:szCs w:val="24"/>
          <w:highlight w:val="none"/>
        </w:rPr>
        <w:t>现场考察或者召开开标前答疑会</w:t>
      </w:r>
      <w:bookmarkEnd w:id="25"/>
      <w:bookmarkEnd w:id="26"/>
      <w:bookmarkEnd w:id="27"/>
      <w:bookmarkEnd w:id="28"/>
      <w:bookmarkEnd w:id="29"/>
      <w:bookmarkEnd w:id="30"/>
    </w:p>
    <w:p>
      <w:pPr>
        <w:numPr>
          <w:ilvl w:val="1"/>
          <w:numId w:val="8"/>
        </w:numPr>
        <w:spacing w:line="360" w:lineRule="auto"/>
        <w:rPr>
          <w:rFonts w:hint="eastAsia" w:ascii="仿宋" w:hAnsi="仿宋" w:eastAsia="仿宋" w:cs="仿宋"/>
          <w:color w:val="auto"/>
          <w:sz w:val="24"/>
          <w:szCs w:val="24"/>
          <w:highlight w:val="none"/>
        </w:rPr>
      </w:pPr>
      <w:bookmarkStart w:id="31" w:name="_Ref179620557"/>
      <w:r>
        <w:rPr>
          <w:rFonts w:hint="eastAsia" w:ascii="仿宋" w:hAnsi="仿宋" w:eastAsia="仿宋" w:cs="仿宋"/>
          <w:color w:val="auto"/>
          <w:sz w:val="24"/>
          <w:szCs w:val="24"/>
          <w:highlight w:val="none"/>
        </w:rPr>
        <w:t>除非另有规定，不举行项目现场考察或者召开开标前答疑会，如举行现场考察或者召开开标前答疑会的，则按以下规定</w:t>
      </w:r>
      <w:bookmarkEnd w:id="31"/>
      <w:r>
        <w:rPr>
          <w:rFonts w:hint="eastAsia" w:ascii="仿宋" w:hAnsi="仿宋" w:eastAsia="仿宋" w:cs="仿宋"/>
          <w:color w:val="auto"/>
          <w:sz w:val="24"/>
          <w:szCs w:val="24"/>
          <w:highlight w:val="none"/>
        </w:rPr>
        <w:t>：</w:t>
      </w:r>
    </w:p>
    <w:p>
      <w:pPr>
        <w:numPr>
          <w:ilvl w:val="0"/>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pPr>
        <w:numPr>
          <w:ilvl w:val="0"/>
          <w:numId w:val="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对本项目提出的疑问，可在现场考察或者召开开标前答疑会召开日前至少一个工作日将问题清单以书面形式（加盖公章）提交至采购代理机构。</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32" w:name="_Toc55778679"/>
      <w:r>
        <w:rPr>
          <w:rFonts w:hint="eastAsia" w:ascii="仿宋" w:hAnsi="仿宋" w:eastAsia="仿宋" w:cs="仿宋"/>
          <w:b/>
          <w:bCs/>
          <w:color w:val="auto"/>
          <w:kern w:val="44"/>
          <w:sz w:val="24"/>
          <w:szCs w:val="24"/>
          <w:highlight w:val="none"/>
        </w:rPr>
        <w:t xml:space="preserve">    </w:t>
      </w:r>
      <w:bookmarkStart w:id="33" w:name="_Toc15619"/>
      <w:bookmarkStart w:id="34" w:name="_Toc16839"/>
      <w:bookmarkStart w:id="35" w:name="_Toc10763"/>
      <w:bookmarkStart w:id="36" w:name="_Toc27748"/>
      <w:bookmarkStart w:id="37" w:name="_Toc2323"/>
      <w:r>
        <w:rPr>
          <w:rFonts w:hint="eastAsia" w:ascii="仿宋" w:hAnsi="仿宋" w:eastAsia="仿宋" w:cs="仿宋"/>
          <w:b/>
          <w:bCs/>
          <w:color w:val="auto"/>
          <w:kern w:val="44"/>
          <w:sz w:val="24"/>
          <w:szCs w:val="24"/>
          <w:highlight w:val="none"/>
        </w:rPr>
        <w:t>开标的资质要求、时间及地点</w:t>
      </w:r>
      <w:bookmarkEnd w:id="32"/>
      <w:bookmarkEnd w:id="33"/>
      <w:bookmarkEnd w:id="34"/>
      <w:bookmarkEnd w:id="35"/>
      <w:bookmarkEnd w:id="36"/>
      <w:bookmarkEnd w:id="37"/>
    </w:p>
    <w:p>
      <w:pPr>
        <w:numPr>
          <w:ilvl w:val="1"/>
          <w:numId w:val="4"/>
        </w:numPr>
        <w:tabs>
          <w:tab w:val="left" w:pos="907"/>
          <w:tab w:val="clear" w:pos="992"/>
        </w:tabs>
        <w:spacing w:line="360" w:lineRule="auto"/>
        <w:ind w:left="992" w:leftChars="0" w:hanging="567" w:firstLineChars="0"/>
        <w:rPr>
          <w:rFonts w:hint="eastAsia" w:ascii="仿宋" w:hAnsi="仿宋" w:eastAsia="仿宋" w:cs="仿宋"/>
          <w:color w:val="auto"/>
          <w:sz w:val="24"/>
          <w:szCs w:val="24"/>
          <w:highlight w:val="none"/>
        </w:rPr>
      </w:pPr>
      <w:bookmarkStart w:id="38" w:name="_Toc55778680"/>
      <w:r>
        <w:rPr>
          <w:rFonts w:hint="eastAsia" w:ascii="仿宋" w:hAnsi="仿宋" w:eastAsia="仿宋" w:cs="仿宋"/>
          <w:color w:val="auto"/>
          <w:sz w:val="24"/>
          <w:szCs w:val="24"/>
          <w:highlight w:val="none"/>
        </w:rPr>
        <w:t xml:space="preserve"> 本项目开标的时间、地点已在第二章《投标须知前附表》列清。</w:t>
      </w:r>
    </w:p>
    <w:p>
      <w:pPr>
        <w:numPr>
          <w:ilvl w:val="1"/>
          <w:numId w:val="4"/>
        </w:numPr>
        <w:tabs>
          <w:tab w:val="left" w:pos="907"/>
          <w:tab w:val="clear" w:pos="992"/>
        </w:tabs>
        <w:spacing w:line="360" w:lineRule="auto"/>
        <w:ind w:left="992" w:leftChars="0" w:hanging="567"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政采云平台发生故障，导致无法按时完成投标文件解密或开、评标工作无法进行的，可根据实际情况相应延迟解密时间或调整开、评标时间。</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39" w:name="_Toc18733"/>
      <w:bookmarkStart w:id="40" w:name="_Toc12859"/>
      <w:bookmarkStart w:id="41" w:name="_Toc23617"/>
      <w:bookmarkStart w:id="42" w:name="_Toc6954"/>
      <w:bookmarkStart w:id="43" w:name="_Toc2052"/>
      <w:r>
        <w:rPr>
          <w:rFonts w:hint="eastAsia" w:ascii="仿宋" w:hAnsi="仿宋" w:eastAsia="仿宋" w:cs="仿宋"/>
          <w:b/>
          <w:bCs/>
          <w:color w:val="auto"/>
          <w:kern w:val="44"/>
          <w:sz w:val="24"/>
          <w:szCs w:val="24"/>
          <w:highlight w:val="none"/>
        </w:rPr>
        <w:t>纪律与保密事项</w:t>
      </w:r>
      <w:bookmarkEnd w:id="38"/>
      <w:bookmarkEnd w:id="39"/>
      <w:bookmarkEnd w:id="40"/>
      <w:bookmarkEnd w:id="41"/>
      <w:bookmarkEnd w:id="42"/>
      <w:bookmarkEnd w:id="43"/>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凡参与招标工作的有关人员均应自觉接受有关主管部门的监督，不得向他人透露已获得招标文件的潜在投标人的名称、数量以及可能影响公平竞争的有关招标投标的其他情况。</w:t>
      </w:r>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开标后，直至向中标的投标人发出《中标通知书》时止，凡与审查、澄清、评价和比较投标的有关资料以及授标意见等，均不得向投标人及与评标无关的其他人透露。</w:t>
      </w:r>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除投标人被要求对投标文件进行澄清外，从开标至签订合同期间，投标人不得就与其投标文件有关的事项主动与评标小组、采购代理机构以及采购人联系。</w:t>
      </w:r>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从开标至签订合同期间，投标人试图在投标文件审查、澄清、比较和评价时对评标小组和招标机构施加任何影响或对采购人的比较及授予合同的决定进行影响，都可能导致其投标文件被拒绝。</w:t>
      </w:r>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投标人不得串通作弊，以不正当的手段妨碍、排挤其他投标人，扰乱招标市场，破坏公平竞争原则。</w:t>
      </w:r>
    </w:p>
    <w:p>
      <w:pPr>
        <w:numPr>
          <w:ilvl w:val="1"/>
          <w:numId w:val="1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获得本招标文件者，应对文件进行保密，不得用作本次投标以外的任何用途。若有要求，开标后，投标人应归还招标文件中的保密的文件和资料。</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44" w:name="_Toc55778681"/>
      <w:r>
        <w:rPr>
          <w:rFonts w:hint="eastAsia" w:ascii="仿宋" w:hAnsi="仿宋" w:eastAsia="仿宋" w:cs="仿宋"/>
          <w:b/>
          <w:bCs/>
          <w:color w:val="auto"/>
          <w:kern w:val="44"/>
          <w:sz w:val="24"/>
          <w:szCs w:val="24"/>
          <w:highlight w:val="none"/>
        </w:rPr>
        <w:t xml:space="preserve">    </w:t>
      </w:r>
      <w:bookmarkStart w:id="45" w:name="_Toc18189"/>
      <w:bookmarkStart w:id="46" w:name="_Toc5873"/>
      <w:bookmarkStart w:id="47" w:name="_Toc17472"/>
      <w:bookmarkStart w:id="48" w:name="_Toc20913"/>
      <w:bookmarkStart w:id="49" w:name="_Toc20462"/>
      <w:r>
        <w:rPr>
          <w:rFonts w:hint="eastAsia" w:ascii="仿宋" w:hAnsi="仿宋" w:eastAsia="仿宋" w:cs="仿宋"/>
          <w:b/>
          <w:bCs/>
          <w:color w:val="auto"/>
          <w:kern w:val="44"/>
          <w:sz w:val="24"/>
          <w:szCs w:val="24"/>
          <w:highlight w:val="none"/>
        </w:rPr>
        <w:t>保证</w:t>
      </w:r>
      <w:bookmarkEnd w:id="44"/>
      <w:bookmarkEnd w:id="45"/>
      <w:bookmarkEnd w:id="46"/>
      <w:bookmarkEnd w:id="47"/>
      <w:bookmarkEnd w:id="48"/>
      <w:bookmarkEnd w:id="49"/>
    </w:p>
    <w:p>
      <w:pPr>
        <w:numPr>
          <w:ilvl w:val="1"/>
          <w:numId w:val="1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投标人必须保证所提交给采购代理机构、采购人的资料和数据是真实的，并承担相应的法律责任。</w:t>
      </w:r>
    </w:p>
    <w:p>
      <w:pPr>
        <w:pStyle w:val="20"/>
        <w:jc w:val="center"/>
        <w:rPr>
          <w:rFonts w:hint="eastAsia" w:ascii="仿宋" w:hAnsi="仿宋" w:eastAsia="仿宋" w:cs="仿宋"/>
          <w:b/>
          <w:bCs/>
          <w:color w:val="auto"/>
          <w:sz w:val="24"/>
          <w:szCs w:val="24"/>
          <w:highlight w:val="none"/>
        </w:rPr>
      </w:pPr>
      <w:bookmarkStart w:id="50" w:name="_Toc30778"/>
      <w:bookmarkStart w:id="51" w:name="_Toc21599"/>
      <w:bookmarkStart w:id="52" w:name="_Toc55778682"/>
      <w:r>
        <w:rPr>
          <w:rFonts w:hint="eastAsia" w:ascii="仿宋" w:hAnsi="仿宋" w:eastAsia="仿宋" w:cs="仿宋"/>
          <w:b/>
          <w:bCs/>
          <w:color w:val="auto"/>
          <w:sz w:val="24"/>
          <w:szCs w:val="24"/>
          <w:highlight w:val="none"/>
        </w:rPr>
        <w:t>二、招标文件</w:t>
      </w:r>
      <w:bookmarkEnd w:id="50"/>
      <w:bookmarkEnd w:id="51"/>
      <w:bookmarkEnd w:id="52"/>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53" w:name="_Toc55778683"/>
      <w:bookmarkStart w:id="54" w:name="_Toc25851"/>
      <w:r>
        <w:rPr>
          <w:rFonts w:hint="eastAsia" w:ascii="仿宋" w:hAnsi="仿宋" w:eastAsia="仿宋" w:cs="仿宋"/>
          <w:b/>
          <w:bCs/>
          <w:color w:val="auto"/>
          <w:kern w:val="44"/>
          <w:sz w:val="24"/>
          <w:szCs w:val="24"/>
          <w:highlight w:val="none"/>
        </w:rPr>
        <w:t xml:space="preserve">   </w:t>
      </w:r>
      <w:bookmarkStart w:id="55" w:name="_Toc6970"/>
      <w:bookmarkStart w:id="56" w:name="_Toc7611"/>
      <w:bookmarkStart w:id="57" w:name="_Toc6842"/>
      <w:bookmarkStart w:id="58" w:name="_Toc5513"/>
      <w:bookmarkStart w:id="59" w:name="_Toc4904"/>
      <w:r>
        <w:rPr>
          <w:rFonts w:hint="eastAsia" w:ascii="仿宋" w:hAnsi="仿宋" w:eastAsia="仿宋" w:cs="仿宋"/>
          <w:b/>
          <w:bCs/>
          <w:color w:val="auto"/>
          <w:kern w:val="44"/>
          <w:sz w:val="24"/>
          <w:szCs w:val="24"/>
          <w:highlight w:val="none"/>
        </w:rPr>
        <w:t>招标文件的编制依据与构成</w:t>
      </w:r>
      <w:bookmarkEnd w:id="53"/>
      <w:bookmarkEnd w:id="54"/>
      <w:bookmarkEnd w:id="55"/>
      <w:bookmarkEnd w:id="56"/>
      <w:bookmarkEnd w:id="57"/>
      <w:bookmarkEnd w:id="58"/>
      <w:bookmarkEnd w:id="59"/>
    </w:p>
    <w:p>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本招标文件的编制依据是《中华人民共和国政府采购法》、《中华人民共和国政府采购法实施条例》、《政府采购货物和服务招标投标管理办法》及其配套的法规、规章、政策等。</w:t>
      </w:r>
    </w:p>
    <w:p>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招标文件以中文文字编写。招标文件共六章。招标文件由下列文件以及在招标过程中发出的澄清、修改和补充文件组成，内容如下：</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公告</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投标须知前附表</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投标人须知</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合同格式</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采购需求</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w:t>
      </w:r>
    </w:p>
    <w:p>
      <w:pPr>
        <w:tabs>
          <w:tab w:val="left" w:pos="907"/>
        </w:tabs>
        <w:spacing w:line="360" w:lineRule="auto"/>
        <w:ind w:left="720" w:hanging="720" w:hanging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政采云平台查看答疑文件或澄清文件。投标人应及时注意</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政采云发布的澄清或修改通知并下载，因投标人原因未及时获知澄清、修改或补充内容而导致的任何后果将由投标人自行承担。</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60" w:name="_Toc55778684"/>
      <w:r>
        <w:rPr>
          <w:rFonts w:hint="eastAsia" w:ascii="仿宋" w:hAnsi="仿宋" w:eastAsia="仿宋" w:cs="仿宋"/>
          <w:b/>
          <w:color w:val="auto"/>
          <w:kern w:val="44"/>
          <w:sz w:val="24"/>
          <w:szCs w:val="24"/>
          <w:highlight w:val="none"/>
        </w:rPr>
        <w:t xml:space="preserve">   </w:t>
      </w:r>
      <w:bookmarkStart w:id="61" w:name="_Toc22484"/>
      <w:bookmarkStart w:id="62" w:name="_Toc18515"/>
      <w:bookmarkStart w:id="63" w:name="_Toc24522"/>
      <w:bookmarkStart w:id="64" w:name="_Toc5501"/>
      <w:bookmarkStart w:id="65" w:name="_Toc28706"/>
      <w:r>
        <w:rPr>
          <w:rFonts w:hint="eastAsia" w:ascii="仿宋" w:hAnsi="仿宋" w:eastAsia="仿宋" w:cs="仿宋"/>
          <w:b/>
          <w:color w:val="auto"/>
          <w:kern w:val="44"/>
          <w:sz w:val="24"/>
          <w:szCs w:val="24"/>
          <w:highlight w:val="none"/>
        </w:rPr>
        <w:t>招标文件的澄清或修改</w:t>
      </w:r>
      <w:bookmarkEnd w:id="60"/>
      <w:bookmarkEnd w:id="61"/>
      <w:bookmarkEnd w:id="62"/>
      <w:bookmarkEnd w:id="63"/>
      <w:bookmarkEnd w:id="64"/>
      <w:bookmarkEnd w:id="65"/>
    </w:p>
    <w:p>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投标人应仔细阅读和检查招标文件的全部内容。投标人若对招标文件有任何疑问，应按照招标文件</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向采购代理机构提出。提出后，请投标人及时通过</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政采云平台查看答疑文件或澄清文件。必要时，采购代理机构将组织相关专家召开答疑会，如召开，答疑会安排另行通知。并在</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政采云平台发布更正公告。</w:t>
      </w:r>
      <w:r>
        <w:rPr>
          <w:rFonts w:hint="eastAsia" w:ascii="仿宋" w:hAnsi="仿宋" w:eastAsia="仿宋" w:cs="仿宋"/>
          <w:color w:val="auto"/>
          <w:sz w:val="24"/>
          <w:szCs w:val="24"/>
          <w:highlight w:val="none"/>
          <w:lang w:val="en-US" w:eastAsia="zh-CN"/>
        </w:rPr>
        <w:t>投标人在规定的时间内未对招标文件提出疑问或要求澄清的，采购代理机构将视其为同意，对在“答疑接受时间”后就招标文件内容提出的疑问及澄清要求将不予受理。</w:t>
      </w:r>
    </w:p>
    <w:p>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　如果澄清或者修改时间距本章投标人须知前附表规定的投标截止时间不足15日，将相应顺延提交投标文件的截止时间，澄清或者修改时间具体见投标人须知前附表。</w:t>
      </w:r>
    </w:p>
    <w:p>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　澄清或者修改内容为招标文件的组成部分，对所有领取了招标文件的潜在投标人均具有约束力。</w:t>
      </w:r>
    </w:p>
    <w:p>
      <w:pPr>
        <w:tabs>
          <w:tab w:val="left" w:pos="907"/>
        </w:tabs>
        <w:spacing w:line="360" w:lineRule="auto"/>
        <w:ind w:left="720" w:hanging="720" w:hanging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9.4  投标人应注意及时新疆政采云发布的澄清或修改通知并下载，因投标人原因未及时获知澄清、修改或补充内容而导致的任何后果将由投标人自行承担。</w:t>
      </w:r>
    </w:p>
    <w:p>
      <w:pPr>
        <w:tabs>
          <w:tab w:val="left" w:pos="907"/>
        </w:tabs>
        <w:spacing w:line="360" w:lineRule="auto"/>
        <w:ind w:left="720" w:hanging="720" w:hangingChars="300"/>
        <w:rPr>
          <w:rFonts w:hint="eastAsia" w:ascii="仿宋" w:hAnsi="仿宋" w:eastAsia="仿宋" w:cs="仿宋"/>
          <w:color w:val="auto"/>
          <w:sz w:val="24"/>
          <w:szCs w:val="24"/>
          <w:highlight w:val="none"/>
        </w:rPr>
      </w:pPr>
    </w:p>
    <w:p>
      <w:pPr>
        <w:pStyle w:val="3"/>
        <w:spacing w:before="0" w:after="0" w:line="360" w:lineRule="auto"/>
        <w:jc w:val="center"/>
        <w:rPr>
          <w:rFonts w:hint="eastAsia" w:ascii="仿宋" w:hAnsi="仿宋" w:eastAsia="仿宋" w:cs="仿宋"/>
          <w:color w:val="auto"/>
          <w:sz w:val="24"/>
          <w:szCs w:val="24"/>
          <w:highlight w:val="none"/>
        </w:rPr>
      </w:pPr>
      <w:bookmarkStart w:id="66" w:name="_Toc55778685"/>
      <w:bookmarkStart w:id="67" w:name="_Toc14750"/>
      <w:r>
        <w:rPr>
          <w:rFonts w:hint="eastAsia" w:ascii="仿宋" w:hAnsi="仿宋" w:eastAsia="仿宋" w:cs="仿宋"/>
          <w:color w:val="auto"/>
          <w:sz w:val="24"/>
          <w:szCs w:val="24"/>
          <w:highlight w:val="none"/>
        </w:rPr>
        <w:t>三、投标文件的编制</w:t>
      </w:r>
      <w:bookmarkEnd w:id="66"/>
      <w:bookmarkEnd w:id="67"/>
    </w:p>
    <w:p>
      <w:pPr>
        <w:pStyle w:val="2"/>
        <w:numPr>
          <w:ilvl w:val="0"/>
          <w:numId w:val="4"/>
        </w:numPr>
        <w:tabs>
          <w:tab w:val="left" w:pos="900"/>
          <w:tab w:val="clear" w:pos="425"/>
        </w:tabs>
        <w:spacing w:before="0" w:after="0" w:line="360" w:lineRule="auto"/>
        <w:ind w:left="924" w:hanging="924"/>
        <w:rPr>
          <w:rStyle w:val="61"/>
          <w:rFonts w:hint="eastAsia" w:ascii="仿宋" w:hAnsi="仿宋" w:eastAsia="仿宋" w:cs="仿宋"/>
          <w:bCs/>
          <w:color w:val="auto"/>
          <w:sz w:val="24"/>
          <w:szCs w:val="24"/>
          <w:highlight w:val="none"/>
        </w:rPr>
      </w:pPr>
      <w:bookmarkStart w:id="68" w:name="_Toc19464"/>
      <w:bookmarkStart w:id="69" w:name="_Toc887"/>
      <w:bookmarkStart w:id="70" w:name="_Toc4795"/>
      <w:bookmarkStart w:id="71" w:name="_Toc25330"/>
      <w:bookmarkStart w:id="72" w:name="_Toc55778686"/>
      <w:bookmarkStart w:id="73" w:name="_Toc22093"/>
      <w:r>
        <w:rPr>
          <w:rStyle w:val="61"/>
          <w:rFonts w:hint="eastAsia" w:ascii="仿宋" w:hAnsi="仿宋" w:eastAsia="仿宋" w:cs="仿宋"/>
          <w:bCs/>
          <w:color w:val="auto"/>
          <w:sz w:val="24"/>
          <w:szCs w:val="24"/>
          <w:highlight w:val="none"/>
        </w:rPr>
        <w:t>投标的语言</w:t>
      </w:r>
      <w:bookmarkEnd w:id="68"/>
      <w:bookmarkEnd w:id="69"/>
      <w:bookmarkEnd w:id="70"/>
      <w:bookmarkEnd w:id="71"/>
      <w:bookmarkEnd w:id="72"/>
      <w:bookmarkEnd w:id="73"/>
    </w:p>
    <w:p>
      <w:pPr>
        <w:numPr>
          <w:ilvl w:val="1"/>
          <w:numId w:val="12"/>
        </w:numPr>
        <w:spacing w:line="360" w:lineRule="auto"/>
        <w:rPr>
          <w:rFonts w:hint="eastAsia" w:ascii="仿宋" w:hAnsi="仿宋" w:eastAsia="仿宋" w:cs="仿宋"/>
          <w:color w:val="auto"/>
          <w:sz w:val="24"/>
          <w:szCs w:val="24"/>
          <w:highlight w:val="none"/>
        </w:rPr>
      </w:pPr>
      <w:bookmarkStart w:id="74" w:name="_Ref179620571"/>
      <w:r>
        <w:rPr>
          <w:rFonts w:hint="eastAsia" w:ascii="仿宋" w:hAnsi="仿宋" w:eastAsia="仿宋" w:cs="仿宋"/>
          <w:color w:val="auto"/>
          <w:sz w:val="24"/>
          <w:szCs w:val="24"/>
          <w:highlight w:val="none"/>
        </w:rPr>
        <w:t>投标人提交的投标文件以及投标人与采购代理机构和采购人就有关投标的所有来往函电均应使用</w:t>
      </w:r>
      <w:r>
        <w:rPr>
          <w:rFonts w:hint="eastAsia" w:ascii="仿宋" w:hAnsi="仿宋" w:eastAsia="仿宋" w:cs="仿宋"/>
          <w:bCs/>
          <w:color w:val="auto"/>
          <w:sz w:val="24"/>
          <w:szCs w:val="24"/>
          <w:highlight w:val="none"/>
        </w:rPr>
        <w:t>中文书写。投标人提交的支持文件或印刷的资料可以用另一种语言，但相应内容应附有中文翻译本</w:t>
      </w:r>
      <w:r>
        <w:rPr>
          <w:rFonts w:hint="eastAsia" w:ascii="仿宋" w:hAnsi="仿宋" w:eastAsia="仿宋" w:cs="仿宋"/>
          <w:color w:val="auto"/>
          <w:sz w:val="24"/>
          <w:szCs w:val="24"/>
          <w:highlight w:val="none"/>
        </w:rPr>
        <w:t>，在解释投标文件时以翻译本为准。</w:t>
      </w:r>
      <w:bookmarkEnd w:id="74"/>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75" w:name="_Toc15173"/>
      <w:bookmarkStart w:id="76" w:name="_Toc55778688"/>
      <w:r>
        <w:rPr>
          <w:rFonts w:hint="eastAsia" w:ascii="仿宋" w:hAnsi="仿宋" w:eastAsia="仿宋" w:cs="仿宋"/>
          <w:b/>
          <w:bCs/>
          <w:color w:val="auto"/>
          <w:kern w:val="44"/>
          <w:sz w:val="24"/>
          <w:szCs w:val="24"/>
          <w:highlight w:val="none"/>
        </w:rPr>
        <w:t xml:space="preserve">    </w:t>
      </w:r>
      <w:bookmarkStart w:id="77" w:name="_Toc21704"/>
      <w:bookmarkStart w:id="78" w:name="_Toc23086"/>
      <w:bookmarkStart w:id="79" w:name="_Toc1469"/>
      <w:bookmarkStart w:id="80" w:name="_Toc2079"/>
      <w:r>
        <w:rPr>
          <w:rFonts w:hint="eastAsia" w:ascii="仿宋" w:hAnsi="仿宋" w:eastAsia="仿宋" w:cs="仿宋"/>
          <w:b/>
          <w:bCs/>
          <w:color w:val="auto"/>
          <w:kern w:val="44"/>
          <w:sz w:val="24"/>
          <w:szCs w:val="24"/>
          <w:highlight w:val="none"/>
        </w:rPr>
        <w:t>投标文件的构成</w:t>
      </w:r>
      <w:bookmarkEnd w:id="75"/>
      <w:bookmarkEnd w:id="76"/>
      <w:bookmarkEnd w:id="77"/>
      <w:bookmarkEnd w:id="78"/>
      <w:bookmarkEnd w:id="79"/>
      <w:bookmarkEnd w:id="80"/>
    </w:p>
    <w:p>
      <w:pPr>
        <w:numPr>
          <w:ilvl w:val="1"/>
          <w:numId w:val="1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详见招标文件第六章《投标文件格式》</w:t>
      </w:r>
    </w:p>
    <w:p>
      <w:pPr>
        <w:numPr>
          <w:ilvl w:val="1"/>
          <w:numId w:val="1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投标人有义务按照以上构成要求将投标文件编上唯一的页码并装订成册，不可出现缺页或重页的现象。</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81" w:name="_Toc55778689"/>
      <w:bookmarkStart w:id="82" w:name="_Toc30134"/>
      <w:r>
        <w:rPr>
          <w:rFonts w:hint="eastAsia" w:ascii="仿宋" w:hAnsi="仿宋" w:eastAsia="仿宋" w:cs="仿宋"/>
          <w:b/>
          <w:bCs/>
          <w:color w:val="auto"/>
          <w:kern w:val="44"/>
          <w:sz w:val="24"/>
          <w:szCs w:val="24"/>
          <w:highlight w:val="none"/>
        </w:rPr>
        <w:t xml:space="preserve">    </w:t>
      </w:r>
      <w:bookmarkStart w:id="83" w:name="_Toc23426"/>
      <w:bookmarkStart w:id="84" w:name="_Toc24782"/>
      <w:bookmarkStart w:id="85" w:name="_Toc17632"/>
      <w:bookmarkStart w:id="86" w:name="_Toc24925"/>
      <w:r>
        <w:rPr>
          <w:rFonts w:hint="eastAsia" w:ascii="仿宋" w:hAnsi="仿宋" w:eastAsia="仿宋" w:cs="仿宋"/>
          <w:b/>
          <w:bCs/>
          <w:color w:val="auto"/>
          <w:kern w:val="44"/>
          <w:sz w:val="24"/>
          <w:szCs w:val="24"/>
          <w:highlight w:val="none"/>
        </w:rPr>
        <w:t>投标文件电子文档</w:t>
      </w:r>
      <w:bookmarkEnd w:id="81"/>
      <w:bookmarkEnd w:id="82"/>
      <w:bookmarkEnd w:id="83"/>
      <w:bookmarkEnd w:id="84"/>
      <w:bookmarkEnd w:id="85"/>
      <w:bookmarkEnd w:id="86"/>
    </w:p>
    <w:p>
      <w:pPr>
        <w:numPr>
          <w:ilvl w:val="1"/>
          <w:numId w:val="14"/>
        </w:numPr>
        <w:spacing w:line="360" w:lineRule="auto"/>
        <w:rPr>
          <w:rFonts w:hint="eastAsia" w:ascii="仿宋" w:hAnsi="仿宋" w:eastAsia="仿宋" w:cs="仿宋"/>
          <w:kern w:val="0"/>
          <w:sz w:val="24"/>
          <w:szCs w:val="24"/>
        </w:rPr>
      </w:pPr>
      <w:bookmarkStart w:id="87" w:name="_Toc55778690"/>
      <w:bookmarkStart w:id="88" w:name="_Toc22266"/>
      <w:r>
        <w:rPr>
          <w:rFonts w:hint="eastAsia" w:ascii="仿宋" w:hAnsi="仿宋" w:eastAsia="仿宋" w:cs="仿宋"/>
          <w:sz w:val="24"/>
          <w:szCs w:val="24"/>
        </w:rPr>
        <w:t>投标文件应采用电子形式</w:t>
      </w:r>
      <w:r>
        <w:rPr>
          <w:rFonts w:hint="eastAsia" w:ascii="仿宋" w:hAnsi="仿宋" w:eastAsia="仿宋" w:cs="仿宋"/>
          <w:color w:val="000000"/>
          <w:sz w:val="24"/>
          <w:szCs w:val="24"/>
        </w:rPr>
        <w:t>。</w:t>
      </w:r>
    </w:p>
    <w:p>
      <w:pPr>
        <w:numPr>
          <w:ilvl w:val="1"/>
          <w:numId w:val="14"/>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电子投标文件制作时，应按照统一的“投标文件制作工具”和招标文件中明确的投标文件目录和投标技术规格、参数及相关要求格式进行编制，保证目录清晰、内容完整。</w:t>
      </w:r>
    </w:p>
    <w:p>
      <w:pPr>
        <w:numPr>
          <w:ilvl w:val="1"/>
          <w:numId w:val="14"/>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投标人因自身原因导致电子投标文件无法导入电子评标系统的，该投标文件视为无效文件。 </w:t>
      </w:r>
    </w:p>
    <w:p>
      <w:pPr>
        <w:numPr>
          <w:ilvl w:val="1"/>
          <w:numId w:val="14"/>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电子投标文件具有法律效力,与其他形式的投标文件在内容和格式上等同，若投标文件与招标文件要求不一致，其内容影响成交结果时，责任由投标人自行承担。 </w:t>
      </w:r>
    </w:p>
    <w:p>
      <w:pPr>
        <w:numPr>
          <w:ilvl w:val="1"/>
          <w:numId w:val="14"/>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4"/>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投标人应完整地填写招标文件中提供的《</w:t>
      </w:r>
      <w:r>
        <w:rPr>
          <w:rFonts w:hint="eastAsia" w:ascii="仿宋" w:hAnsi="仿宋" w:eastAsia="仿宋" w:cs="仿宋"/>
          <w:kern w:val="0"/>
          <w:sz w:val="24"/>
          <w:szCs w:val="24"/>
          <w:lang w:val="en-US" w:eastAsia="zh-CN"/>
        </w:rPr>
        <w:t>投标承诺书</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一览表》、《报价</w:t>
      </w:r>
      <w:r>
        <w:rPr>
          <w:rFonts w:hint="eastAsia" w:ascii="仿宋" w:hAnsi="仿宋" w:eastAsia="仿宋" w:cs="仿宋"/>
          <w:kern w:val="0"/>
          <w:sz w:val="24"/>
          <w:szCs w:val="24"/>
          <w:lang w:val="en-US" w:eastAsia="zh-CN"/>
        </w:rPr>
        <w:t>一览</w:t>
      </w:r>
      <w:r>
        <w:rPr>
          <w:rFonts w:hint="eastAsia" w:ascii="仿宋" w:hAnsi="仿宋" w:eastAsia="仿宋" w:cs="仿宋"/>
          <w:kern w:val="0"/>
          <w:sz w:val="24"/>
          <w:szCs w:val="24"/>
        </w:rPr>
        <w:t xml:space="preserve">明细表》等招标文件中规定的所有内容。 </w:t>
      </w:r>
    </w:p>
    <w:p>
      <w:pPr>
        <w:numPr>
          <w:ilvl w:val="1"/>
          <w:numId w:val="14"/>
        </w:numPr>
        <w:spacing w:line="360" w:lineRule="auto"/>
        <w:rPr>
          <w:rFonts w:ascii="宋体" w:hAnsi="宋体"/>
          <w:kern w:val="0"/>
          <w:sz w:val="24"/>
          <w:szCs w:val="24"/>
        </w:rPr>
      </w:pPr>
      <w:r>
        <w:rPr>
          <w:rFonts w:hint="eastAsia" w:ascii="仿宋" w:hAnsi="仿宋" w:eastAsia="仿宋" w:cs="仿宋"/>
          <w:kern w:val="0"/>
          <w:sz w:val="24"/>
          <w:szCs w:val="24"/>
        </w:rPr>
        <w:t xml:space="preserve">投标人必须保证投标人文件所提供的全部资料真实可靠，并接受采购单位对其中任何资料进一步核实的要求。 </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89" w:name="_Toc30931"/>
      <w:bookmarkStart w:id="90" w:name="_Toc17740"/>
      <w:bookmarkStart w:id="91" w:name="_Toc17013"/>
      <w:bookmarkStart w:id="92" w:name="_Toc16689"/>
      <w:r>
        <w:rPr>
          <w:rFonts w:hint="eastAsia" w:ascii="仿宋" w:hAnsi="仿宋" w:eastAsia="仿宋" w:cs="仿宋"/>
          <w:b/>
          <w:bCs/>
          <w:color w:val="auto"/>
          <w:kern w:val="44"/>
          <w:sz w:val="24"/>
          <w:szCs w:val="24"/>
          <w:highlight w:val="none"/>
        </w:rPr>
        <w:t>投标文件的编写</w:t>
      </w:r>
      <w:bookmarkEnd w:id="87"/>
      <w:bookmarkEnd w:id="88"/>
      <w:bookmarkEnd w:id="89"/>
      <w:bookmarkEnd w:id="90"/>
      <w:bookmarkEnd w:id="91"/>
      <w:bookmarkEnd w:id="92"/>
    </w:p>
    <w:p>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投标人应按招标文件的规定，及附件要求的内容和格式完整地填写和提供资料，并保证所提供的全部资料的真实性。</w:t>
      </w:r>
    </w:p>
    <w:p>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投标人应当按照招标文件要求编制投标文件，并根据自已的商务能力、技术水平等对招标文件提出的要求和条件作出真实的响应。</w:t>
      </w:r>
    </w:p>
    <w:p>
      <w:pPr>
        <w:numPr>
          <w:ilvl w:val="1"/>
          <w:numId w:val="1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本项目只允许投标人提供一个投标方案，否则，其投标将被拒绝。</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93" w:name="_Toc55778691"/>
      <w:bookmarkStart w:id="94" w:name="_Toc11544"/>
      <w:r>
        <w:rPr>
          <w:rFonts w:hint="eastAsia" w:ascii="仿宋" w:hAnsi="仿宋" w:eastAsia="仿宋" w:cs="仿宋"/>
          <w:b/>
          <w:bCs/>
          <w:color w:val="auto"/>
          <w:kern w:val="44"/>
          <w:sz w:val="24"/>
          <w:szCs w:val="24"/>
          <w:highlight w:val="none"/>
        </w:rPr>
        <w:t xml:space="preserve">    </w:t>
      </w:r>
      <w:bookmarkStart w:id="95" w:name="_Toc3854"/>
      <w:bookmarkStart w:id="96" w:name="_Toc22522"/>
      <w:bookmarkStart w:id="97" w:name="_Toc22427"/>
      <w:bookmarkStart w:id="98" w:name="_Toc15231"/>
      <w:r>
        <w:rPr>
          <w:rFonts w:hint="eastAsia" w:ascii="仿宋" w:hAnsi="仿宋" w:eastAsia="仿宋" w:cs="仿宋"/>
          <w:b/>
          <w:bCs/>
          <w:color w:val="auto"/>
          <w:kern w:val="44"/>
          <w:sz w:val="24"/>
          <w:szCs w:val="24"/>
          <w:highlight w:val="none"/>
        </w:rPr>
        <w:t>投标报价</w:t>
      </w:r>
      <w:bookmarkEnd w:id="93"/>
      <w:bookmarkEnd w:id="94"/>
      <w:bookmarkEnd w:id="95"/>
      <w:bookmarkEnd w:id="96"/>
      <w:bookmarkEnd w:id="97"/>
      <w:bookmarkEnd w:id="98"/>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投标人的投标报价应符合《中华人民共和国价格法》的有关规定。</w:t>
      </w:r>
    </w:p>
    <w:p>
      <w:pPr>
        <w:numPr>
          <w:ilvl w:val="1"/>
          <w:numId w:val="16"/>
        </w:numPr>
        <w:spacing w:line="360" w:lineRule="auto"/>
        <w:rPr>
          <w:rFonts w:hint="eastAsia" w:ascii="仿宋" w:hAnsi="仿宋" w:eastAsia="仿宋" w:cs="仿宋"/>
          <w:color w:val="auto"/>
          <w:sz w:val="24"/>
          <w:szCs w:val="24"/>
          <w:highlight w:val="none"/>
        </w:rPr>
      </w:pPr>
      <w:bookmarkStart w:id="99" w:name="_Ref179619251"/>
      <w:r>
        <w:rPr>
          <w:rFonts w:hint="eastAsia" w:ascii="仿宋" w:hAnsi="仿宋" w:eastAsia="仿宋" w:cs="仿宋"/>
          <w:color w:val="auto"/>
          <w:sz w:val="24"/>
          <w:szCs w:val="24"/>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w:t>
      </w:r>
      <w:r>
        <w:rPr>
          <w:rFonts w:hint="eastAsia" w:ascii="仿宋" w:hAnsi="仿宋" w:eastAsia="仿宋" w:cs="仿宋"/>
          <w:color w:val="auto"/>
          <w:sz w:val="24"/>
          <w:szCs w:val="24"/>
          <w:highlight w:val="none"/>
          <w:lang w:val="en-US" w:eastAsia="zh-CN"/>
        </w:rPr>
        <w:t>报价一览明细表</w:t>
      </w:r>
      <w:r>
        <w:rPr>
          <w:rFonts w:hint="eastAsia" w:ascii="仿宋" w:hAnsi="仿宋" w:eastAsia="仿宋" w:cs="仿宋"/>
          <w:color w:val="auto"/>
          <w:sz w:val="24"/>
          <w:szCs w:val="24"/>
          <w:highlight w:val="none"/>
        </w:rPr>
        <w:t>》（如适用）的要求报出总价和分项价格。投标总价中不得包含招标文件要求以外的内容，否则，在评标时不予核减。投标总价中也不得缺漏招标文件所要求的内容，否则，被视为包含在投标报价中。</w:t>
      </w:r>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投标明细报价表内容应包含：</w:t>
      </w:r>
    </w:p>
    <w:p>
      <w:pPr>
        <w:numPr>
          <w:ilvl w:val="2"/>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按招标文件的要求全部服务内容所需的所有费用；</w:t>
      </w:r>
    </w:p>
    <w:p>
      <w:pPr>
        <w:numPr>
          <w:ilvl w:val="2"/>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对于报价免费的内容须标明“免费”；</w:t>
      </w:r>
    </w:p>
    <w:p>
      <w:pPr>
        <w:numPr>
          <w:ilvl w:val="2"/>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投标报价均应包含所有的税费；</w:t>
      </w:r>
    </w:p>
    <w:p>
      <w:pPr>
        <w:numPr>
          <w:ilvl w:val="2"/>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其他一切隐含及不可预见的费用。</w:t>
      </w:r>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另有规定，投标人所报的投标价在合同执行过程中是固定不变的，不得以任何理由予以变更。任何包含价格调整要求的投标被认为是非实质性响应投标而予以拒绝。</w:t>
      </w:r>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投标文件中的总价金额与单价计算出的结果不一致的，以单价金额为准修正总价，但单价金额小数点有明显错误的除外。</w:t>
      </w:r>
    </w:p>
    <w:bookmarkEnd w:id="99"/>
    <w:p>
      <w:pPr>
        <w:numPr>
          <w:ilvl w:val="1"/>
          <w:numId w:val="16"/>
        </w:numPr>
        <w:spacing w:line="360" w:lineRule="auto"/>
        <w:rPr>
          <w:rFonts w:hint="eastAsia" w:ascii="仿宋" w:hAnsi="仿宋" w:eastAsia="仿宋" w:cs="仿宋"/>
          <w:color w:val="auto"/>
          <w:sz w:val="24"/>
          <w:szCs w:val="24"/>
          <w:highlight w:val="none"/>
        </w:rPr>
      </w:pPr>
      <w:bookmarkStart w:id="100" w:name="_Ref179620595"/>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允许有备选方案外，本次招标不接受选择性报价，否则将被视为无效投标。</w:t>
      </w:r>
      <w:bookmarkEnd w:id="100"/>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b/>
          <w:bCs/>
          <w:color w:val="auto"/>
          <w:sz w:val="24"/>
          <w:szCs w:val="24"/>
          <w:highlight w:val="none"/>
        </w:rPr>
        <w:t>招标文件</w:t>
      </w:r>
      <w:r>
        <w:rPr>
          <w:rFonts w:hint="eastAsia" w:ascii="仿宋" w:hAnsi="仿宋" w:eastAsia="仿宋" w:cs="仿宋"/>
          <w:color w:val="auto"/>
          <w:sz w:val="24"/>
          <w:szCs w:val="24"/>
          <w:highlight w:val="none"/>
        </w:rPr>
        <w:t xml:space="preserve">另有规定外，本次招标不接受具有附加条件的报价，否则将被视为无效投标。 </w:t>
      </w:r>
    </w:p>
    <w:p>
      <w:pPr>
        <w:numPr>
          <w:ilvl w:val="1"/>
          <w:numId w:val="1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投标人应以人民币为单位进行报价。</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01" w:name="_Toc24908"/>
      <w:bookmarkStart w:id="102" w:name="_Toc55778694"/>
      <w:r>
        <w:rPr>
          <w:rFonts w:hint="eastAsia" w:ascii="仿宋" w:hAnsi="仿宋" w:eastAsia="仿宋" w:cs="仿宋"/>
          <w:b/>
          <w:bCs/>
          <w:color w:val="auto"/>
          <w:kern w:val="44"/>
          <w:sz w:val="24"/>
          <w:szCs w:val="24"/>
          <w:highlight w:val="none"/>
        </w:rPr>
        <w:t xml:space="preserve">    </w:t>
      </w:r>
      <w:bookmarkStart w:id="103" w:name="_Toc15306"/>
      <w:bookmarkStart w:id="104" w:name="_Toc14790"/>
      <w:bookmarkStart w:id="105" w:name="_Toc22983"/>
      <w:bookmarkStart w:id="106" w:name="_Toc10724"/>
      <w:r>
        <w:rPr>
          <w:rFonts w:hint="eastAsia" w:ascii="仿宋" w:hAnsi="仿宋" w:eastAsia="仿宋" w:cs="仿宋"/>
          <w:b/>
          <w:bCs/>
          <w:color w:val="auto"/>
          <w:kern w:val="44"/>
          <w:sz w:val="24"/>
          <w:szCs w:val="24"/>
          <w:highlight w:val="none"/>
        </w:rPr>
        <w:t>投标保证金</w:t>
      </w:r>
      <w:bookmarkEnd w:id="101"/>
      <w:bookmarkEnd w:id="102"/>
      <w:bookmarkEnd w:id="103"/>
      <w:bookmarkEnd w:id="104"/>
      <w:bookmarkEnd w:id="105"/>
      <w:bookmarkEnd w:id="106"/>
    </w:p>
    <w:p>
      <w:pPr>
        <w:numPr>
          <w:ilvl w:val="1"/>
          <w:numId w:val="17"/>
        </w:numPr>
        <w:spacing w:line="360" w:lineRule="auto"/>
        <w:rPr>
          <w:rFonts w:hint="eastAsia" w:ascii="仿宋" w:hAnsi="仿宋" w:eastAsia="仿宋" w:cs="仿宋"/>
          <w:color w:val="auto"/>
          <w:sz w:val="24"/>
          <w:szCs w:val="24"/>
          <w:highlight w:val="none"/>
        </w:rPr>
      </w:pPr>
      <w:bookmarkStart w:id="107" w:name="_Ref179619405"/>
      <w:r>
        <w:rPr>
          <w:rFonts w:hint="eastAsia" w:ascii="仿宋" w:hAnsi="仿宋" w:eastAsia="仿宋" w:cs="仿宋"/>
          <w:color w:val="auto"/>
          <w:sz w:val="24"/>
          <w:szCs w:val="24"/>
          <w:highlight w:val="none"/>
        </w:rPr>
        <w:t>投标人必须按招标文件的规定缴纳投标保证金，并作为其投标文件的组成部分。</w:t>
      </w:r>
      <w:bookmarkEnd w:id="107"/>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投标保证金是为了保护采购代理机构和采购人免遭因投标人的行为而蒙受损失。采购代理机构和采购人在因投标人的行为受到损害时可根据本须知的规定没收投标人的投标保证金。</w:t>
      </w:r>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投标保证金必须以投标人名义汇出，采用银行转账形式提交，同时满足下列规定：</w:t>
      </w:r>
    </w:p>
    <w:p>
      <w:pPr>
        <w:spacing w:line="360" w:lineRule="auto"/>
        <w:ind w:left="840" w:leftChars="4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为保证本采购工作的顺利进行，各投标人应向采购人缴纳不少于</w:t>
      </w:r>
      <w:r>
        <w:rPr>
          <w:rFonts w:hint="eastAsia" w:ascii="仿宋" w:hAnsi="仿宋" w:eastAsia="仿宋" w:cs="仿宋"/>
          <w:b/>
          <w:bCs/>
          <w:color w:val="auto"/>
          <w:sz w:val="24"/>
          <w:szCs w:val="24"/>
          <w:highlight w:val="none"/>
        </w:rPr>
        <w:t>第二章《投标须知前附表》</w:t>
      </w:r>
      <w:r>
        <w:rPr>
          <w:rFonts w:hint="eastAsia" w:ascii="仿宋" w:hAnsi="仿宋" w:eastAsia="仿宋" w:cs="仿宋"/>
          <w:b/>
          <w:color w:val="auto"/>
          <w:sz w:val="24"/>
          <w:szCs w:val="24"/>
          <w:highlight w:val="none"/>
        </w:rPr>
        <w:t>规定数额的保证金，保证金金额及缴纳方式详见</w:t>
      </w:r>
      <w:r>
        <w:rPr>
          <w:rFonts w:hint="eastAsia" w:ascii="仿宋" w:hAnsi="仿宋" w:eastAsia="仿宋" w:cs="仿宋"/>
          <w:b/>
          <w:bCs/>
          <w:color w:val="auto"/>
          <w:sz w:val="24"/>
          <w:szCs w:val="24"/>
          <w:highlight w:val="none"/>
        </w:rPr>
        <w:t>第二章《投标须知前附表》</w:t>
      </w:r>
      <w:r>
        <w:rPr>
          <w:rFonts w:hint="eastAsia" w:ascii="仿宋" w:hAnsi="仿宋" w:eastAsia="仿宋" w:cs="仿宋"/>
          <w:b/>
          <w:color w:val="auto"/>
          <w:sz w:val="24"/>
          <w:szCs w:val="24"/>
          <w:highlight w:val="none"/>
        </w:rPr>
        <w:t>序号13（缴纳投标保证金）</w:t>
      </w:r>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凡没有按照招标文件要求提交有效的投标保证金的投标，将视为非响应性投标予以拒绝。</w:t>
      </w:r>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凡投标人在投标截止时间前撤回已提交的投标文件的，自收到投标人书面撤回通知之日起5个工作日内，退还已收取的投标保证金，但因投标人自身原因导致无法及时退还的除外。</w:t>
      </w:r>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自中标通知书发出之日起5个工作日内退还未中标人的投标保证金，但因投标人自身原因导致无法及时退还的除外。</w:t>
      </w:r>
    </w:p>
    <w:p>
      <w:pPr>
        <w:numPr>
          <w:ilvl w:val="1"/>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中标人的投标保证金的退还必须同时满足以下要求（但因中标人自身原因导致无法及时退还的除外）：</w:t>
      </w:r>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中标人按</w:t>
      </w:r>
      <w:bookmarkStart w:id="108" w:name="_Hlt507937599"/>
      <w:bookmarkEnd w:id="108"/>
      <w:r>
        <w:rPr>
          <w:rFonts w:hint="eastAsia" w:ascii="仿宋" w:hAnsi="仿宋" w:eastAsia="仿宋" w:cs="仿宋"/>
          <w:color w:val="auto"/>
          <w:sz w:val="24"/>
          <w:szCs w:val="24"/>
          <w:highlight w:val="none"/>
        </w:rPr>
        <w:t>《投标人须知前附表》规定签订合同的，自合同上传自</w:t>
      </w:r>
      <w:r>
        <w:rPr>
          <w:rFonts w:hint="eastAsia" w:ascii="仿宋" w:hAnsi="仿宋" w:eastAsia="仿宋" w:cs="仿宋"/>
          <w:b/>
          <w:color w:val="auto"/>
          <w:sz w:val="24"/>
          <w:szCs w:val="24"/>
          <w:highlight w:val="none"/>
          <w:u w:val="single"/>
        </w:rPr>
        <w:t>新疆政府采购网http://www.ccgp-xinjiang.gov.cn/</w:t>
      </w:r>
      <w:r>
        <w:rPr>
          <w:rFonts w:hint="eastAsia" w:ascii="仿宋" w:hAnsi="仿宋" w:eastAsia="仿宋" w:cs="仿宋"/>
          <w:color w:val="auto"/>
          <w:sz w:val="24"/>
          <w:szCs w:val="24"/>
          <w:highlight w:val="none"/>
        </w:rPr>
        <w:t>起5个工作日内退还</w:t>
      </w:r>
    </w:p>
    <w:p>
      <w:pPr>
        <w:numPr>
          <w:ilvl w:val="1"/>
          <w:numId w:val="17"/>
        </w:numPr>
        <w:spacing w:line="360" w:lineRule="auto"/>
        <w:rPr>
          <w:rFonts w:hint="eastAsia" w:ascii="仿宋" w:hAnsi="仿宋" w:eastAsia="仿宋" w:cs="仿宋"/>
          <w:color w:val="auto"/>
          <w:sz w:val="24"/>
          <w:szCs w:val="24"/>
          <w:highlight w:val="none"/>
        </w:rPr>
      </w:pPr>
      <w:bookmarkStart w:id="109" w:name="_Ref179619371"/>
      <w:r>
        <w:rPr>
          <w:rFonts w:hint="eastAsia" w:ascii="仿宋" w:hAnsi="仿宋" w:eastAsia="仿宋" w:cs="仿宋"/>
          <w:color w:val="auto"/>
          <w:sz w:val="24"/>
          <w:szCs w:val="24"/>
          <w:highlight w:val="none"/>
        </w:rPr>
        <w:t>下列任何情况发生时，投标保证金将被没收：</w:t>
      </w:r>
      <w:bookmarkEnd w:id="109"/>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投标人在招标文件中规定的投标有效期内撤销其投标文件；</w:t>
      </w:r>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中标后无正当理由放弃中标或中标人拒绝与采购人签订合同；</w:t>
      </w:r>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中标人在规定期限内未能根据本须知规定签订合同；</w:t>
      </w:r>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依法取消中标资格；</w:t>
      </w:r>
    </w:p>
    <w:p>
      <w:pPr>
        <w:numPr>
          <w:ilvl w:val="2"/>
          <w:numId w:val="1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法律法规规定的其它情况；</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10" w:name="_Toc10359"/>
      <w:bookmarkStart w:id="111" w:name="_Toc55778695"/>
      <w:r>
        <w:rPr>
          <w:rFonts w:hint="eastAsia" w:ascii="仿宋" w:hAnsi="仿宋" w:eastAsia="仿宋" w:cs="仿宋"/>
          <w:b/>
          <w:bCs/>
          <w:color w:val="auto"/>
          <w:kern w:val="44"/>
          <w:sz w:val="24"/>
          <w:szCs w:val="24"/>
          <w:highlight w:val="none"/>
        </w:rPr>
        <w:t xml:space="preserve">    </w:t>
      </w:r>
      <w:bookmarkStart w:id="112" w:name="_Toc30142"/>
      <w:bookmarkStart w:id="113" w:name="_Toc32410"/>
      <w:bookmarkStart w:id="114" w:name="_Toc1720"/>
      <w:bookmarkStart w:id="115" w:name="_Toc2453"/>
      <w:r>
        <w:rPr>
          <w:rFonts w:hint="eastAsia" w:ascii="仿宋" w:hAnsi="仿宋" w:eastAsia="仿宋" w:cs="仿宋"/>
          <w:b/>
          <w:bCs/>
          <w:color w:val="auto"/>
          <w:kern w:val="44"/>
          <w:sz w:val="24"/>
          <w:szCs w:val="24"/>
          <w:highlight w:val="none"/>
        </w:rPr>
        <w:t>投标有效期</w:t>
      </w:r>
      <w:bookmarkEnd w:id="110"/>
      <w:bookmarkEnd w:id="111"/>
      <w:bookmarkEnd w:id="112"/>
      <w:bookmarkEnd w:id="113"/>
      <w:bookmarkEnd w:id="114"/>
      <w:bookmarkEnd w:id="115"/>
    </w:p>
    <w:p>
      <w:pPr>
        <w:numPr>
          <w:ilvl w:val="1"/>
          <w:numId w:val="18"/>
        </w:numPr>
        <w:spacing w:line="360" w:lineRule="auto"/>
        <w:rPr>
          <w:rFonts w:hint="eastAsia" w:ascii="仿宋" w:hAnsi="仿宋" w:eastAsia="仿宋" w:cs="仿宋"/>
          <w:color w:val="auto"/>
          <w:sz w:val="24"/>
          <w:szCs w:val="24"/>
          <w:highlight w:val="none"/>
        </w:rPr>
      </w:pPr>
      <w:bookmarkStart w:id="116" w:name="_Ref179620893"/>
      <w:r>
        <w:rPr>
          <w:rFonts w:hint="eastAsia" w:ascii="仿宋" w:hAnsi="仿宋" w:eastAsia="仿宋" w:cs="仿宋"/>
          <w:b/>
          <w:bCs/>
          <w:color w:val="auto"/>
          <w:sz w:val="24"/>
          <w:szCs w:val="24"/>
          <w:highlight w:val="none"/>
        </w:rPr>
        <w:t>投标文件应在投标截止日后90日历天内保持有效。</w:t>
      </w:r>
    </w:p>
    <w:p>
      <w:pPr>
        <w:numPr>
          <w:ilvl w:val="1"/>
          <w:numId w:val="1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中标人投标有效期则顺延至项目完成验收之日，在此有效期内未经采购人同意，投标文件的一切内容和补充承诺均为持续有效且不予改变。</w:t>
      </w:r>
      <w:bookmarkEnd w:id="116"/>
    </w:p>
    <w:p>
      <w:pPr>
        <w:numPr>
          <w:ilvl w:val="1"/>
          <w:numId w:val="18"/>
        </w:num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投标有效期从提交投标文件的截止之日起算</w:t>
      </w:r>
      <w:r>
        <w:rPr>
          <w:rFonts w:hint="eastAsia" w:ascii="仿宋" w:hAnsi="仿宋" w:eastAsia="仿宋" w:cs="仿宋"/>
          <w:color w:val="auto"/>
          <w:sz w:val="24"/>
          <w:szCs w:val="24"/>
          <w:highlight w:val="none"/>
        </w:rPr>
        <w:t>。投标文件中承诺的投标有效期应当不少于招标文件中载明的投标有效期。投标有效期不足的投标将被视为非实质性响应，视为无效投标。</w:t>
      </w:r>
    </w:p>
    <w:p>
      <w:pPr>
        <w:numPr>
          <w:ilvl w:val="1"/>
          <w:numId w:val="1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17" w:name="_Toc55778696"/>
      <w:r>
        <w:rPr>
          <w:rFonts w:hint="eastAsia" w:ascii="仿宋" w:hAnsi="仿宋" w:eastAsia="仿宋" w:cs="仿宋"/>
          <w:b/>
          <w:bCs/>
          <w:color w:val="auto"/>
          <w:kern w:val="44"/>
          <w:sz w:val="24"/>
          <w:szCs w:val="24"/>
          <w:highlight w:val="none"/>
        </w:rPr>
        <w:t xml:space="preserve">    </w:t>
      </w:r>
      <w:bookmarkStart w:id="118" w:name="_Toc30820"/>
      <w:bookmarkStart w:id="119" w:name="_Toc11497"/>
      <w:bookmarkStart w:id="120" w:name="_Toc8626"/>
      <w:bookmarkStart w:id="121" w:name="_Toc32144"/>
      <w:r>
        <w:rPr>
          <w:rFonts w:hint="eastAsia" w:ascii="仿宋" w:hAnsi="仿宋" w:eastAsia="仿宋" w:cs="仿宋"/>
          <w:b/>
          <w:bCs/>
          <w:color w:val="auto"/>
          <w:kern w:val="44"/>
          <w:sz w:val="24"/>
          <w:szCs w:val="24"/>
          <w:highlight w:val="none"/>
        </w:rPr>
        <w:t>投标文件的式样和签署、密封</w:t>
      </w:r>
      <w:bookmarkEnd w:id="117"/>
      <w:bookmarkEnd w:id="118"/>
      <w:bookmarkEnd w:id="119"/>
      <w:bookmarkEnd w:id="120"/>
      <w:bookmarkEnd w:id="121"/>
    </w:p>
    <w:p>
      <w:pPr>
        <w:numPr>
          <w:ilvl w:val="1"/>
          <w:numId w:val="19"/>
        </w:numPr>
        <w:spacing w:line="360" w:lineRule="auto"/>
        <w:rPr>
          <w:rFonts w:hint="eastAsia" w:ascii="仿宋" w:hAnsi="仿宋" w:eastAsia="仿宋" w:cs="仿宋"/>
          <w:sz w:val="24"/>
          <w:szCs w:val="24"/>
        </w:rPr>
      </w:pPr>
      <w:bookmarkStart w:id="122" w:name="_Toc22727"/>
      <w:r>
        <w:rPr>
          <w:rFonts w:hint="eastAsia" w:ascii="仿宋" w:hAnsi="仿宋" w:eastAsia="仿宋" w:cs="仿宋"/>
          <w:color w:val="000000"/>
          <w:sz w:val="24"/>
          <w:szCs w:val="24"/>
        </w:rPr>
        <w:t>投标人应根据投标人须知前附表规定提交投标文件</w:t>
      </w:r>
    </w:p>
    <w:p>
      <w:pPr>
        <w:numPr>
          <w:ilvl w:val="1"/>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投标人应根据投标人须知前附表规定提交投标文件。</w:t>
      </w: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电子投标文件的内容通过数字证书进行加密并签章。未按要求加密和数字证书认证的投标文件，电子评标系统将无法接受,采购单位不予受理。</w:t>
      </w:r>
    </w:p>
    <w:p>
      <w:pPr>
        <w:pStyle w:val="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四、投标文件的递交</w:t>
      </w:r>
      <w:bookmarkEnd w:id="122"/>
    </w:p>
    <w:p>
      <w:pPr>
        <w:keepNext/>
        <w:keepLines/>
        <w:numPr>
          <w:ilvl w:val="0"/>
          <w:numId w:val="4"/>
        </w:numPr>
        <w:tabs>
          <w:tab w:val="left" w:pos="900"/>
        </w:tabs>
        <w:spacing w:line="360" w:lineRule="auto"/>
        <w:ind w:left="924" w:hanging="924"/>
        <w:outlineLvl w:val="0"/>
        <w:rPr>
          <w:rFonts w:hint="eastAsia" w:ascii="仿宋" w:hAnsi="仿宋" w:eastAsia="仿宋" w:cs="仿宋"/>
          <w:b/>
          <w:color w:val="auto"/>
          <w:kern w:val="44"/>
          <w:sz w:val="24"/>
          <w:szCs w:val="24"/>
          <w:highlight w:val="none"/>
        </w:rPr>
      </w:pPr>
      <w:bookmarkStart w:id="123" w:name="_Toc55778697"/>
      <w:r>
        <w:rPr>
          <w:rFonts w:hint="eastAsia" w:ascii="仿宋" w:hAnsi="仿宋" w:eastAsia="仿宋" w:cs="仿宋"/>
          <w:b/>
          <w:color w:val="auto"/>
          <w:kern w:val="44"/>
          <w:sz w:val="24"/>
          <w:szCs w:val="24"/>
          <w:highlight w:val="none"/>
        </w:rPr>
        <w:t xml:space="preserve">    </w:t>
      </w:r>
      <w:bookmarkStart w:id="124" w:name="_Toc2542"/>
      <w:bookmarkStart w:id="125" w:name="_Toc24917"/>
      <w:bookmarkStart w:id="126" w:name="_Toc8124"/>
      <w:bookmarkStart w:id="127" w:name="_Toc5633"/>
      <w:r>
        <w:rPr>
          <w:rFonts w:hint="eastAsia" w:ascii="仿宋" w:hAnsi="仿宋" w:eastAsia="仿宋" w:cs="仿宋"/>
          <w:b/>
          <w:color w:val="auto"/>
          <w:kern w:val="44"/>
          <w:sz w:val="24"/>
          <w:szCs w:val="24"/>
          <w:highlight w:val="none"/>
        </w:rPr>
        <w:t>投标文件递交</w:t>
      </w:r>
      <w:bookmarkEnd w:id="123"/>
      <w:bookmarkEnd w:id="124"/>
      <w:bookmarkEnd w:id="125"/>
      <w:bookmarkEnd w:id="126"/>
      <w:bookmarkEnd w:id="127"/>
    </w:p>
    <w:p>
      <w:pPr>
        <w:numPr>
          <w:ilvl w:val="1"/>
          <w:numId w:val="20"/>
        </w:numPr>
        <w:spacing w:line="360" w:lineRule="auto"/>
        <w:rPr>
          <w:rFonts w:hint="eastAsia" w:ascii="仿宋" w:hAnsi="仿宋" w:eastAsia="仿宋" w:cs="仿宋"/>
          <w:color w:val="auto"/>
          <w:sz w:val="24"/>
          <w:szCs w:val="24"/>
          <w:highlight w:val="none"/>
        </w:rPr>
      </w:pPr>
      <w:bookmarkStart w:id="128" w:name="_Toc55778698"/>
      <w:bookmarkStart w:id="129" w:name="_Toc20929"/>
      <w:r>
        <w:rPr>
          <w:rFonts w:hint="eastAsia" w:ascii="仿宋" w:hAnsi="仿宋" w:eastAsia="仿宋" w:cs="仿宋"/>
          <w:color w:val="auto"/>
          <w:sz w:val="24"/>
          <w:szCs w:val="24"/>
          <w:highlight w:val="none"/>
        </w:rPr>
        <w:t>本项目采用不见面开标、投标人需要递交电子</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文件，加密的电子</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文件，在投标截止时间前通过政采云平台上传到指定位置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无需递交纸质文件。</w:t>
      </w:r>
    </w:p>
    <w:p>
      <w:pPr>
        <w:keepNext/>
        <w:keepLines/>
        <w:numPr>
          <w:ilvl w:val="0"/>
          <w:numId w:val="4"/>
        </w:numPr>
        <w:tabs>
          <w:tab w:val="left" w:pos="900"/>
        </w:tabs>
        <w:spacing w:line="360" w:lineRule="auto"/>
        <w:ind w:left="924" w:hanging="924"/>
        <w:outlineLvl w:val="0"/>
        <w:rPr>
          <w:rFonts w:hint="eastAsia" w:ascii="仿宋" w:hAnsi="仿宋" w:eastAsia="仿宋" w:cs="仿宋"/>
          <w:b/>
          <w:color w:val="auto"/>
          <w:kern w:val="44"/>
          <w:sz w:val="24"/>
          <w:szCs w:val="24"/>
          <w:highlight w:val="none"/>
        </w:rPr>
      </w:pPr>
      <w:r>
        <w:rPr>
          <w:rFonts w:hint="eastAsia" w:ascii="仿宋" w:hAnsi="仿宋" w:eastAsia="仿宋" w:cs="仿宋"/>
          <w:b/>
          <w:color w:val="auto"/>
          <w:kern w:val="44"/>
          <w:sz w:val="24"/>
          <w:szCs w:val="24"/>
          <w:highlight w:val="none"/>
        </w:rPr>
        <w:t xml:space="preserve">    </w:t>
      </w:r>
      <w:bookmarkStart w:id="130" w:name="_Toc20702"/>
      <w:bookmarkStart w:id="131" w:name="_Toc28446"/>
      <w:bookmarkStart w:id="132" w:name="_Toc12495"/>
      <w:bookmarkStart w:id="133" w:name="_Toc4909"/>
      <w:r>
        <w:rPr>
          <w:rFonts w:hint="eastAsia" w:ascii="仿宋" w:hAnsi="仿宋" w:eastAsia="仿宋" w:cs="仿宋"/>
          <w:b/>
          <w:color w:val="auto"/>
          <w:kern w:val="44"/>
          <w:sz w:val="24"/>
          <w:szCs w:val="24"/>
          <w:highlight w:val="none"/>
        </w:rPr>
        <w:t>投标截止时间</w:t>
      </w:r>
      <w:bookmarkEnd w:id="128"/>
      <w:bookmarkEnd w:id="130"/>
      <w:bookmarkEnd w:id="131"/>
      <w:bookmarkEnd w:id="132"/>
      <w:bookmarkEnd w:id="133"/>
    </w:p>
    <w:p>
      <w:pPr>
        <w:keepNext/>
        <w:keepLines/>
        <w:numPr>
          <w:ilvl w:val="0"/>
          <w:numId w:val="21"/>
        </w:numPr>
        <w:tabs>
          <w:tab w:val="left" w:pos="900"/>
          <w:tab w:val="clear" w:pos="907"/>
        </w:tabs>
        <w:spacing w:line="360" w:lineRule="auto"/>
        <w:outlineLvl w:val="0"/>
        <w:rPr>
          <w:rFonts w:hint="eastAsia" w:ascii="仿宋" w:hAnsi="仿宋" w:eastAsia="仿宋" w:cs="仿宋"/>
          <w:color w:val="auto"/>
          <w:kern w:val="44"/>
          <w:sz w:val="24"/>
          <w:szCs w:val="24"/>
          <w:highlight w:val="none"/>
        </w:rPr>
      </w:pPr>
      <w:bookmarkStart w:id="134" w:name="_Toc10314"/>
      <w:bookmarkStart w:id="135" w:name="_Toc30090"/>
      <w:bookmarkStart w:id="136" w:name="_Toc5154"/>
      <w:bookmarkStart w:id="137" w:name="_Toc55778699"/>
      <w:bookmarkStart w:id="138" w:name="_Toc18539"/>
      <w:r>
        <w:rPr>
          <w:rFonts w:hint="eastAsia" w:ascii="仿宋" w:hAnsi="仿宋" w:eastAsia="仿宋" w:cs="仿宋"/>
          <w:color w:val="auto"/>
          <w:kern w:val="44"/>
          <w:sz w:val="24"/>
          <w:szCs w:val="24"/>
          <w:highlight w:val="none"/>
        </w:rPr>
        <w:t>本次招标的投标截止时间见第二章《投标须知前附表》的规定。</w:t>
      </w:r>
      <w:bookmarkEnd w:id="134"/>
      <w:bookmarkEnd w:id="135"/>
      <w:bookmarkEnd w:id="136"/>
      <w:bookmarkEnd w:id="137"/>
      <w:bookmarkEnd w:id="138"/>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39" w:name="_Toc55778700"/>
      <w:r>
        <w:rPr>
          <w:rFonts w:hint="eastAsia" w:ascii="仿宋" w:hAnsi="仿宋" w:eastAsia="仿宋" w:cs="仿宋"/>
          <w:b/>
          <w:color w:val="auto"/>
          <w:kern w:val="44"/>
          <w:sz w:val="24"/>
          <w:szCs w:val="24"/>
          <w:highlight w:val="none"/>
        </w:rPr>
        <w:t xml:space="preserve">    </w:t>
      </w:r>
      <w:bookmarkStart w:id="140" w:name="_Toc1876"/>
      <w:bookmarkStart w:id="141" w:name="_Toc2461"/>
      <w:bookmarkStart w:id="142" w:name="_Toc9155"/>
      <w:bookmarkStart w:id="143" w:name="_Toc28929"/>
      <w:r>
        <w:rPr>
          <w:rFonts w:hint="eastAsia" w:ascii="仿宋" w:hAnsi="仿宋" w:eastAsia="仿宋" w:cs="仿宋"/>
          <w:b/>
          <w:color w:val="auto"/>
          <w:kern w:val="44"/>
          <w:sz w:val="24"/>
          <w:szCs w:val="24"/>
          <w:highlight w:val="none"/>
        </w:rPr>
        <w:t>迟交的投标文件</w:t>
      </w:r>
      <w:bookmarkEnd w:id="139"/>
      <w:bookmarkEnd w:id="140"/>
      <w:bookmarkEnd w:id="141"/>
      <w:bookmarkEnd w:id="142"/>
      <w:bookmarkEnd w:id="143"/>
    </w:p>
    <w:p>
      <w:pPr>
        <w:keepNext/>
        <w:keepLines/>
        <w:numPr>
          <w:ilvl w:val="0"/>
          <w:numId w:val="22"/>
        </w:numPr>
        <w:tabs>
          <w:tab w:val="left" w:pos="900"/>
          <w:tab w:val="clear" w:pos="907"/>
        </w:tabs>
        <w:spacing w:line="360" w:lineRule="auto"/>
        <w:outlineLvl w:val="0"/>
        <w:rPr>
          <w:rFonts w:hint="eastAsia" w:ascii="仿宋" w:hAnsi="仿宋" w:eastAsia="仿宋" w:cs="仿宋"/>
          <w:color w:val="auto"/>
          <w:kern w:val="44"/>
          <w:sz w:val="24"/>
          <w:szCs w:val="24"/>
          <w:highlight w:val="none"/>
        </w:rPr>
      </w:pPr>
      <w:bookmarkStart w:id="144" w:name="_Toc7900"/>
      <w:bookmarkStart w:id="145" w:name="_Toc13418"/>
      <w:bookmarkStart w:id="146" w:name="_Toc55778701"/>
      <w:bookmarkStart w:id="147" w:name="_Toc94"/>
      <w:bookmarkStart w:id="148" w:name="_Toc24301"/>
      <w:r>
        <w:rPr>
          <w:rFonts w:hint="eastAsia" w:ascii="仿宋" w:hAnsi="仿宋" w:eastAsia="仿宋" w:cs="仿宋"/>
          <w:color w:val="auto"/>
          <w:kern w:val="44"/>
          <w:sz w:val="24"/>
          <w:szCs w:val="24"/>
          <w:highlight w:val="none"/>
        </w:rPr>
        <w:t>采购代理机构将拒绝并原封退回在其规定的投标截止时刻后收到的任何投标文件（包括相关的原件资料）。</w:t>
      </w:r>
      <w:bookmarkEnd w:id="144"/>
      <w:bookmarkEnd w:id="145"/>
      <w:bookmarkEnd w:id="146"/>
      <w:bookmarkEnd w:id="147"/>
      <w:bookmarkEnd w:id="148"/>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49" w:name="_Toc55778702"/>
      <w:r>
        <w:rPr>
          <w:rFonts w:hint="eastAsia" w:ascii="仿宋" w:hAnsi="仿宋" w:eastAsia="仿宋" w:cs="仿宋"/>
          <w:b/>
          <w:bCs/>
          <w:color w:val="auto"/>
          <w:kern w:val="44"/>
          <w:sz w:val="24"/>
          <w:szCs w:val="24"/>
          <w:highlight w:val="none"/>
        </w:rPr>
        <w:t xml:space="preserve">    </w:t>
      </w:r>
      <w:bookmarkStart w:id="150" w:name="_Toc19255"/>
      <w:bookmarkStart w:id="151" w:name="_Toc21101"/>
      <w:bookmarkStart w:id="152" w:name="_Toc10185"/>
      <w:bookmarkStart w:id="153" w:name="_Toc27265"/>
      <w:r>
        <w:rPr>
          <w:rFonts w:hint="eastAsia" w:ascii="仿宋" w:hAnsi="仿宋" w:eastAsia="仿宋" w:cs="仿宋"/>
          <w:b/>
          <w:bCs/>
          <w:color w:val="auto"/>
          <w:kern w:val="44"/>
          <w:sz w:val="24"/>
          <w:szCs w:val="24"/>
          <w:highlight w:val="none"/>
        </w:rPr>
        <w:t>投</w:t>
      </w:r>
      <w:bookmarkEnd w:id="129"/>
      <w:r>
        <w:rPr>
          <w:rFonts w:hint="eastAsia" w:ascii="仿宋" w:hAnsi="仿宋" w:eastAsia="仿宋" w:cs="仿宋"/>
          <w:b/>
          <w:bCs/>
          <w:color w:val="auto"/>
          <w:kern w:val="44"/>
          <w:sz w:val="24"/>
          <w:szCs w:val="24"/>
          <w:highlight w:val="none"/>
        </w:rPr>
        <w:t>标文件的修改和撤回、撤销</w:t>
      </w:r>
      <w:bookmarkEnd w:id="149"/>
      <w:bookmarkEnd w:id="150"/>
      <w:bookmarkEnd w:id="151"/>
      <w:bookmarkEnd w:id="152"/>
      <w:bookmarkEnd w:id="153"/>
    </w:p>
    <w:p>
      <w:pPr>
        <w:numPr>
          <w:ilvl w:val="1"/>
          <w:numId w:val="2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除非招标文件另有规定或说明，投标人所提交的投标文件在评标结束后，无论中标与否都不退还。</w:t>
      </w:r>
    </w:p>
    <w:p>
      <w:pPr>
        <w:numPr>
          <w:ilvl w:val="1"/>
          <w:numId w:val="2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投标截止后，投标人不得撤销其投标，否则其投标保证金将按照本须知规定被没收。</w:t>
      </w:r>
    </w:p>
    <w:p>
      <w:pPr>
        <w:keepNext/>
        <w:keepLines/>
        <w:spacing w:line="360" w:lineRule="auto"/>
        <w:jc w:val="center"/>
        <w:outlineLvl w:val="1"/>
        <w:rPr>
          <w:rFonts w:hint="eastAsia" w:ascii="仿宋" w:hAnsi="仿宋" w:eastAsia="仿宋" w:cs="仿宋"/>
          <w:b/>
          <w:bCs/>
          <w:color w:val="auto"/>
          <w:sz w:val="24"/>
          <w:szCs w:val="24"/>
          <w:highlight w:val="none"/>
        </w:rPr>
      </w:pPr>
      <w:bookmarkStart w:id="154" w:name="_Toc14523"/>
      <w:bookmarkStart w:id="155" w:name="_Toc30087"/>
      <w:bookmarkStart w:id="156" w:name="_Toc55778703"/>
      <w:r>
        <w:rPr>
          <w:rFonts w:hint="eastAsia" w:ascii="仿宋" w:hAnsi="仿宋" w:eastAsia="仿宋" w:cs="仿宋"/>
          <w:b/>
          <w:bCs/>
          <w:color w:val="auto"/>
          <w:sz w:val="24"/>
          <w:szCs w:val="24"/>
          <w:highlight w:val="none"/>
        </w:rPr>
        <w:t>五、开标与评标</w:t>
      </w:r>
      <w:bookmarkEnd w:id="154"/>
      <w:bookmarkEnd w:id="155"/>
      <w:bookmarkEnd w:id="156"/>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57" w:name="_Toc55778704"/>
      <w:bookmarkStart w:id="158" w:name="_Toc21732"/>
      <w:r>
        <w:rPr>
          <w:rFonts w:hint="eastAsia" w:ascii="仿宋" w:hAnsi="仿宋" w:eastAsia="仿宋" w:cs="仿宋"/>
          <w:b/>
          <w:bCs/>
          <w:color w:val="auto"/>
          <w:kern w:val="44"/>
          <w:sz w:val="24"/>
          <w:szCs w:val="24"/>
          <w:highlight w:val="none"/>
        </w:rPr>
        <w:t xml:space="preserve">    </w:t>
      </w:r>
      <w:bookmarkStart w:id="159" w:name="_Toc930"/>
      <w:bookmarkStart w:id="160" w:name="_Toc19246"/>
      <w:bookmarkStart w:id="161" w:name="_Toc26238"/>
      <w:bookmarkStart w:id="162" w:name="_Toc4602"/>
      <w:r>
        <w:rPr>
          <w:rFonts w:hint="eastAsia" w:ascii="仿宋" w:hAnsi="仿宋" w:eastAsia="仿宋" w:cs="仿宋"/>
          <w:b/>
          <w:bCs/>
          <w:color w:val="auto"/>
          <w:kern w:val="44"/>
          <w:sz w:val="24"/>
          <w:szCs w:val="24"/>
          <w:highlight w:val="none"/>
        </w:rPr>
        <w:t>开标</w:t>
      </w:r>
      <w:bookmarkEnd w:id="157"/>
      <w:bookmarkEnd w:id="158"/>
      <w:bookmarkEnd w:id="159"/>
      <w:bookmarkEnd w:id="160"/>
      <w:bookmarkEnd w:id="161"/>
      <w:bookmarkEnd w:id="162"/>
    </w:p>
    <w:p>
      <w:pPr>
        <w:numPr>
          <w:ilvl w:val="0"/>
          <w:numId w:val="24"/>
        </w:numPr>
        <w:spacing w:line="360" w:lineRule="auto"/>
        <w:rPr>
          <w:rFonts w:hint="eastAsia" w:ascii="仿宋" w:hAnsi="仿宋" w:eastAsia="仿宋" w:cs="仿宋"/>
          <w:vanish/>
          <w:color w:val="auto"/>
          <w:sz w:val="24"/>
          <w:szCs w:val="24"/>
          <w:highlight w:val="none"/>
        </w:rPr>
      </w:pPr>
    </w:p>
    <w:p>
      <w:pPr>
        <w:numPr>
          <w:ilvl w:val="1"/>
          <w:numId w:val="24"/>
        </w:numPr>
        <w:spacing w:line="360" w:lineRule="auto"/>
        <w:rPr>
          <w:rFonts w:hint="eastAsia" w:ascii="仿宋" w:hAnsi="仿宋" w:eastAsia="仿宋" w:cs="仿宋"/>
          <w:color w:val="auto"/>
          <w:sz w:val="24"/>
          <w:szCs w:val="24"/>
          <w:highlight w:val="none"/>
        </w:rPr>
      </w:pPr>
      <w:bookmarkStart w:id="163" w:name="_Toc55778705"/>
      <w:bookmarkStart w:id="164" w:name="_Toc17344"/>
      <w:r>
        <w:rPr>
          <w:rFonts w:hint="eastAsia" w:ascii="仿宋" w:hAnsi="仿宋" w:eastAsia="仿宋" w:cs="仿宋"/>
          <w:color w:val="auto"/>
          <w:sz w:val="24"/>
          <w:szCs w:val="24"/>
          <w:highlight w:val="none"/>
        </w:rPr>
        <w:t>采购人或采购代理机构在投标人须知前附表规定的开标时间和开标地点组织公开开标，邀请投标人参加。评标委员会成员不得参加开标活动。投标人不足3家的，不得开标。</w:t>
      </w:r>
    </w:p>
    <w:p>
      <w:pPr>
        <w:numPr>
          <w:ilvl w:val="1"/>
          <w:numId w:val="24"/>
        </w:numPr>
        <w:spacing w:line="360" w:lineRule="auto"/>
        <w:rPr>
          <w:rFonts w:hint="eastAsia" w:ascii="仿宋" w:hAnsi="仿宋" w:eastAsia="仿宋" w:cs="仿宋"/>
          <w:color w:val="auto"/>
          <w:sz w:val="24"/>
          <w:szCs w:val="24"/>
          <w:highlight w:val="none"/>
        </w:rPr>
      </w:pPr>
      <w:r>
        <w:rPr>
          <w:rFonts w:hint="eastAsia" w:ascii="仿宋" w:hAnsi="仿宋" w:eastAsia="仿宋" w:cs="仿宋"/>
          <w:b w:val="0"/>
          <w:bCs/>
          <w:i w:val="0"/>
          <w:caps w:val="0"/>
          <w:color w:val="000000"/>
          <w:spacing w:val="0"/>
          <w:kern w:val="0"/>
          <w:sz w:val="24"/>
          <w:szCs w:val="24"/>
          <w:lang w:val="en-US" w:eastAsia="zh-CN" w:bidi="ar"/>
        </w:rPr>
        <w:t>投标文件以电子形式递交至: 新疆政采云平台；投标人应于投标截止时间</w:t>
      </w:r>
      <w:r>
        <w:rPr>
          <w:rFonts w:hint="eastAsia" w:ascii="仿宋" w:hAnsi="仿宋" w:eastAsia="仿宋" w:cs="仿宋"/>
          <w:b w:val="0"/>
          <w:bCs/>
          <w:i w:val="0"/>
          <w:caps w:val="0"/>
          <w:color w:val="auto"/>
          <w:spacing w:val="0"/>
          <w:kern w:val="0"/>
          <w:sz w:val="24"/>
          <w:szCs w:val="24"/>
          <w:lang w:val="en-US" w:eastAsia="zh-CN" w:bidi="ar"/>
        </w:rPr>
        <w:t>之</w:t>
      </w:r>
      <w:r>
        <w:rPr>
          <w:rFonts w:hint="eastAsia" w:ascii="仿宋" w:hAnsi="仿宋" w:eastAsia="仿宋" w:cs="仿宋"/>
          <w:b w:val="0"/>
          <w:bCs/>
          <w:i w:val="0"/>
          <w:caps w:val="0"/>
          <w:color w:val="000000"/>
          <w:spacing w:val="0"/>
          <w:kern w:val="0"/>
          <w:sz w:val="24"/>
          <w:szCs w:val="24"/>
          <w:lang w:val="en-US" w:eastAsia="zh-CN" w:bidi="ar"/>
        </w:rPr>
        <w:t>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p>
      <w:pPr>
        <w:numPr>
          <w:ilvl w:val="1"/>
          <w:numId w:val="2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解密成功后</w:t>
      </w:r>
      <w:r>
        <w:rPr>
          <w:rFonts w:hint="eastAsia" w:ascii="仿宋" w:hAnsi="仿宋" w:eastAsia="仿宋" w:cs="仿宋"/>
          <w:color w:val="auto"/>
          <w:sz w:val="24"/>
          <w:szCs w:val="24"/>
          <w:highlight w:val="none"/>
        </w:rPr>
        <w:t>由采购人或者采购代理机构工作人员</w:t>
      </w:r>
      <w:r>
        <w:rPr>
          <w:rFonts w:hint="eastAsia" w:ascii="仿宋" w:hAnsi="仿宋" w:eastAsia="仿宋" w:cs="仿宋"/>
          <w:color w:val="auto"/>
          <w:sz w:val="24"/>
          <w:szCs w:val="24"/>
          <w:highlight w:val="none"/>
          <w:lang w:val="en-US" w:eastAsia="zh-CN"/>
        </w:rPr>
        <w:t>唱电子标</w:t>
      </w:r>
      <w:r>
        <w:rPr>
          <w:rFonts w:hint="eastAsia" w:ascii="仿宋" w:hAnsi="仿宋" w:eastAsia="仿宋" w:cs="仿宋"/>
          <w:color w:val="auto"/>
          <w:sz w:val="24"/>
          <w:szCs w:val="24"/>
          <w:highlight w:val="none"/>
        </w:rPr>
        <w:t>，宣布投标人名称、投标价格和招标文件规定的需要宣布的其他内容。</w:t>
      </w:r>
    </w:p>
    <w:p>
      <w:pPr>
        <w:numPr>
          <w:ilvl w:val="1"/>
          <w:numId w:val="2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开标过程应当由采购人或者采购代理机构负责记录，由参加开标的各投标人代表和相关工作人员签字确认。</w:t>
      </w:r>
    </w:p>
    <w:p>
      <w:pPr>
        <w:numPr>
          <w:ilvl w:val="1"/>
          <w:numId w:val="24"/>
        </w:numPr>
        <w:spacing w:line="360" w:lineRule="auto"/>
        <w:rPr>
          <w:rFonts w:hint="eastAsia" w:ascii="仿宋" w:hAnsi="仿宋" w:eastAsia="仿宋" w:cs="仿宋"/>
          <w:b/>
          <w:bCs/>
          <w:color w:val="auto"/>
          <w:kern w:val="44"/>
          <w:sz w:val="24"/>
          <w:szCs w:val="24"/>
          <w:highlight w:val="none"/>
        </w:rPr>
      </w:pPr>
      <w:r>
        <w:rPr>
          <w:rFonts w:hint="eastAsia" w:ascii="仿宋" w:hAnsi="仿宋" w:eastAsia="仿宋" w:cs="仿宋"/>
          <w:color w:val="auto"/>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1"/>
          <w:numId w:val="24"/>
        </w:numPr>
        <w:spacing w:line="360" w:lineRule="auto"/>
        <w:rPr>
          <w:rFonts w:hint="eastAsia" w:ascii="仿宋" w:hAnsi="仿宋" w:eastAsia="仿宋" w:cs="仿宋"/>
          <w:b/>
          <w:bCs/>
          <w:color w:val="auto"/>
          <w:kern w:val="44"/>
          <w:sz w:val="24"/>
          <w:szCs w:val="24"/>
          <w:highlight w:val="none"/>
        </w:rPr>
      </w:pPr>
      <w:r>
        <w:rPr>
          <w:rFonts w:hint="eastAsia" w:ascii="仿宋" w:hAnsi="仿宋" w:eastAsia="仿宋" w:cs="仿宋"/>
          <w:color w:val="auto"/>
          <w:sz w:val="24"/>
          <w:szCs w:val="24"/>
          <w:highlight w:val="none"/>
        </w:rPr>
        <w:t>投标人未参加开标的，视同认可开标结果。</w:t>
      </w:r>
      <w:r>
        <w:rPr>
          <w:rFonts w:hint="eastAsia" w:ascii="仿宋" w:hAnsi="仿宋" w:eastAsia="仿宋" w:cs="仿宋"/>
          <w:b/>
          <w:color w:val="auto"/>
          <w:kern w:val="44"/>
          <w:sz w:val="24"/>
          <w:szCs w:val="24"/>
          <w:highlight w:val="none"/>
        </w:rPr>
        <w:t xml:space="preserve">    </w:t>
      </w:r>
      <w:bookmarkStart w:id="165" w:name="_Toc24182"/>
      <w:bookmarkStart w:id="166" w:name="_Toc11631"/>
      <w:bookmarkStart w:id="167" w:name="_Toc10826"/>
      <w:bookmarkStart w:id="168" w:name="_Toc1994"/>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color w:val="auto"/>
          <w:kern w:val="44"/>
          <w:sz w:val="24"/>
          <w:szCs w:val="24"/>
          <w:highlight w:val="none"/>
        </w:rPr>
        <w:t>公开招标失败后的处理</w:t>
      </w:r>
      <w:bookmarkEnd w:id="163"/>
      <w:bookmarkEnd w:id="165"/>
      <w:bookmarkEnd w:id="166"/>
      <w:bookmarkEnd w:id="167"/>
      <w:bookmarkEnd w:id="168"/>
    </w:p>
    <w:p>
      <w:pPr>
        <w:numPr>
          <w:ilvl w:val="1"/>
          <w:numId w:val="2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如果开标当天，投标截止后投标人不足3家或者通过资格审查或符合性审查的投标人不足3家的，除特殊情况外，本项目作废标处理。废标后，除采购任务取消情形外，按照以下方式处理：</w:t>
      </w:r>
    </w:p>
    <w:p>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招标文件存在不合理条款或者招标程序不符合规定的，采购人、采购代理机构改正后依法重新招标。</w:t>
      </w:r>
    </w:p>
    <w:p>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招标文件没有不合理条款、招标程序符合规定，采购人需要采用其他采购方式采购的，经财政部门同意后可依法转换采购方式进行。</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69" w:name="_Toc55778706"/>
      <w:r>
        <w:rPr>
          <w:rFonts w:hint="eastAsia" w:ascii="仿宋" w:hAnsi="仿宋" w:eastAsia="仿宋" w:cs="仿宋"/>
          <w:b/>
          <w:bCs/>
          <w:color w:val="auto"/>
          <w:kern w:val="44"/>
          <w:sz w:val="24"/>
          <w:szCs w:val="24"/>
          <w:highlight w:val="none"/>
        </w:rPr>
        <w:t xml:space="preserve">    </w:t>
      </w:r>
      <w:bookmarkStart w:id="170" w:name="_Toc22191"/>
      <w:r>
        <w:rPr>
          <w:rFonts w:hint="eastAsia" w:ascii="仿宋" w:hAnsi="仿宋" w:eastAsia="仿宋" w:cs="仿宋"/>
          <w:b/>
          <w:bCs/>
          <w:color w:val="auto"/>
          <w:kern w:val="44"/>
          <w:sz w:val="24"/>
          <w:szCs w:val="24"/>
          <w:highlight w:val="none"/>
        </w:rPr>
        <w:t>评标小组</w:t>
      </w:r>
      <w:bookmarkEnd w:id="164"/>
      <w:bookmarkEnd w:id="169"/>
      <w:bookmarkEnd w:id="170"/>
    </w:p>
    <w:p>
      <w:pPr>
        <w:numPr>
          <w:ilvl w:val="1"/>
          <w:numId w:val="27"/>
        </w:numPr>
        <w:spacing w:line="360" w:lineRule="auto"/>
        <w:rPr>
          <w:rFonts w:hint="eastAsia" w:ascii="仿宋" w:hAnsi="仿宋" w:eastAsia="仿宋" w:cs="仿宋"/>
          <w:color w:val="auto"/>
          <w:sz w:val="24"/>
          <w:szCs w:val="24"/>
          <w:highlight w:val="none"/>
        </w:rPr>
      </w:pPr>
      <w:bookmarkStart w:id="171" w:name="_Ref179621079"/>
      <w:r>
        <w:rPr>
          <w:rFonts w:hint="eastAsia" w:ascii="仿宋" w:hAnsi="仿宋" w:eastAsia="仿宋" w:cs="仿宋"/>
          <w:color w:val="auto"/>
          <w:sz w:val="24"/>
          <w:szCs w:val="24"/>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 w:hAnsi="仿宋" w:eastAsia="仿宋" w:cs="仿宋"/>
          <w:b/>
          <w:bCs/>
          <w:color w:val="auto"/>
          <w:sz w:val="24"/>
          <w:szCs w:val="24"/>
          <w:highlight w:val="none"/>
          <w:u w:val="single"/>
          <w:lang w:eastAsia="zh-CN"/>
        </w:rPr>
        <w:t>新疆政采云平台</w:t>
      </w:r>
      <w:r>
        <w:rPr>
          <w:rFonts w:hint="eastAsia" w:ascii="仿宋" w:hAnsi="仿宋" w:eastAsia="仿宋" w:cs="仿宋"/>
          <w:color w:val="auto"/>
          <w:sz w:val="24"/>
          <w:szCs w:val="24"/>
          <w:highlight w:val="none"/>
        </w:rPr>
        <w:t>评审专家库中随机抽取产生。对技术复杂、专业性强的采购项目，通过随机方式难以确定合适评审专家的，经主管预算单位同意，采购人可以自行选定相应专业领域的评审专家。</w:t>
      </w:r>
    </w:p>
    <w:p>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评标小组应当按照招标文件中规定的评标方法和标准，对符合性审查合格的投标文件进行商务和技术评估，综合比较与评价，提交评标报告并推荐中标候选人。</w:t>
      </w:r>
    </w:p>
    <w:p>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一并存档。</w:t>
      </w:r>
    </w:p>
    <w:p>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评标小组成员名单在评标结果公告前严格保密。评审专家有下列情形之一的，受到邀请应主动提出回避，采购当事人也可以要求该评审专家回避：</w:t>
      </w:r>
    </w:p>
    <w:p>
      <w:pPr>
        <w:numPr>
          <w:ilvl w:val="0"/>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存在劳动关系；</w:t>
      </w:r>
    </w:p>
    <w:p>
      <w:pPr>
        <w:numPr>
          <w:ilvl w:val="0"/>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参加采购活动前3年内担任</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的董事、监事；</w:t>
      </w:r>
    </w:p>
    <w:p>
      <w:pPr>
        <w:numPr>
          <w:ilvl w:val="0"/>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参加采购活动前3年内是</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的控股股东或者实际控制人；</w:t>
      </w:r>
    </w:p>
    <w:p>
      <w:pPr>
        <w:numPr>
          <w:ilvl w:val="0"/>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的法定代表人或者负责人有夫妻、直系血亲、三代以内旁系血          </w:t>
      </w:r>
    </w:p>
    <w:p>
      <w:pPr>
        <w:spacing w:line="360" w:lineRule="auto"/>
        <w:ind w:left="42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亲或者近姻亲关系；</w:t>
      </w:r>
    </w:p>
    <w:p>
      <w:pPr>
        <w:numPr>
          <w:ilvl w:val="0"/>
          <w:numId w:val="2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有其他可能影响政府采购活动公平、公正进行的关系。</w:t>
      </w:r>
    </w:p>
    <w:p>
      <w:pPr>
        <w:numPr>
          <w:ilvl w:val="1"/>
          <w:numId w:val="2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评标小组将按综合评分法进行评审，即最大限度地满足招标文件实质性要求前提下，按照招标文件中规定的各项因素进行综合评审后，以评标总得分最高的投标人作为中标候选人。</w:t>
      </w:r>
      <w:bookmarkEnd w:id="171"/>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72" w:name="_Toc55778707"/>
      <w:r>
        <w:rPr>
          <w:rFonts w:hint="eastAsia" w:ascii="仿宋" w:hAnsi="仿宋" w:eastAsia="仿宋" w:cs="仿宋"/>
          <w:b/>
          <w:color w:val="auto"/>
          <w:kern w:val="44"/>
          <w:sz w:val="24"/>
          <w:szCs w:val="24"/>
          <w:highlight w:val="none"/>
        </w:rPr>
        <w:t xml:space="preserve">   </w:t>
      </w:r>
      <w:bookmarkStart w:id="173" w:name="_Toc14456"/>
      <w:bookmarkStart w:id="174" w:name="_Toc30337"/>
      <w:bookmarkStart w:id="175" w:name="_Toc26294"/>
      <w:bookmarkStart w:id="176" w:name="_Toc28109"/>
      <w:r>
        <w:rPr>
          <w:rFonts w:hint="eastAsia" w:ascii="仿宋" w:hAnsi="仿宋" w:eastAsia="仿宋" w:cs="仿宋"/>
          <w:b/>
          <w:color w:val="auto"/>
          <w:kern w:val="44"/>
          <w:sz w:val="24"/>
          <w:szCs w:val="24"/>
          <w:highlight w:val="none"/>
        </w:rPr>
        <w:t>评标原则及评标方法</w:t>
      </w:r>
      <w:bookmarkEnd w:id="172"/>
      <w:bookmarkEnd w:id="173"/>
      <w:bookmarkEnd w:id="174"/>
      <w:bookmarkEnd w:id="175"/>
      <w:bookmarkEnd w:id="176"/>
    </w:p>
    <w:p>
      <w:pPr>
        <w:numPr>
          <w:ilvl w:val="1"/>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评标基本原则：评标工作应依据《中华人民共和国政府采购法》、实施条例以及国家和地方政府有关政府采购的有关法规，遵循“公开、公平、公正、择优、信用”的原则进行。</w:t>
      </w:r>
    </w:p>
    <w:p>
      <w:pPr>
        <w:numPr>
          <w:ilvl w:val="1"/>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本项目以投标人递交的</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投标文件作为评审依据。</w:t>
      </w:r>
    </w:p>
    <w:p>
      <w:pPr>
        <w:numPr>
          <w:ilvl w:val="1"/>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评标步骤及定标规定：第一阶段：先进行投标人资格性审查。第二阶段：进行投标人符合性审查。第三阶段：对通过资格性审查、符合性审查的投标人按照评标办法进行详细评审（包括：技术商务评审）。</w:t>
      </w:r>
    </w:p>
    <w:p>
      <w:pPr>
        <w:numPr>
          <w:ilvl w:val="1"/>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仿宋" w:hAnsi="仿宋" w:eastAsia="仿宋" w:cs="仿宋"/>
          <w:color w:val="auto"/>
          <w:sz w:val="24"/>
          <w:szCs w:val="24"/>
          <w:highlight w:val="none"/>
        </w:rPr>
        <w:t>。</w:t>
      </w:r>
    </w:p>
    <w:p>
      <w:pPr>
        <w:numPr>
          <w:ilvl w:val="1"/>
          <w:numId w:val="29"/>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 w:hAnsi="仿宋" w:eastAsia="仿宋" w:cs="仿宋"/>
          <w:color w:val="auto"/>
          <w:sz w:val="24"/>
          <w:szCs w:val="24"/>
          <w:highlight w:val="none"/>
        </w:rPr>
        <w:t>。</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77" w:name="_Toc55778708"/>
      <w:r>
        <w:rPr>
          <w:rFonts w:hint="eastAsia" w:ascii="仿宋" w:hAnsi="仿宋" w:eastAsia="仿宋" w:cs="仿宋"/>
          <w:b/>
          <w:color w:val="auto"/>
          <w:kern w:val="44"/>
          <w:sz w:val="24"/>
          <w:szCs w:val="24"/>
          <w:highlight w:val="none"/>
        </w:rPr>
        <w:t xml:space="preserve">    </w:t>
      </w:r>
      <w:bookmarkStart w:id="178" w:name="_Toc24483"/>
      <w:bookmarkStart w:id="179" w:name="_Toc3188"/>
      <w:bookmarkStart w:id="180" w:name="_Toc24957"/>
      <w:bookmarkStart w:id="181" w:name="_Toc29632"/>
      <w:r>
        <w:rPr>
          <w:rFonts w:hint="eastAsia" w:ascii="仿宋" w:hAnsi="仿宋" w:eastAsia="仿宋" w:cs="仿宋"/>
          <w:b/>
          <w:color w:val="auto"/>
          <w:kern w:val="44"/>
          <w:sz w:val="24"/>
          <w:szCs w:val="24"/>
          <w:highlight w:val="none"/>
        </w:rPr>
        <w:t>初步评审</w:t>
      </w:r>
      <w:bookmarkEnd w:id="177"/>
      <w:bookmarkEnd w:id="178"/>
      <w:bookmarkEnd w:id="179"/>
      <w:bookmarkEnd w:id="180"/>
      <w:bookmarkEnd w:id="181"/>
    </w:p>
    <w:p>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开标结束后，采购人依法对投标人的资格进行审查，资格性审查内容详见附件1《初步评审审查表》。对初步被认定为资格性审查不合格的可实行告知投标当事人。未通过资格性审查的投标人，不进入符合性审查。若通过资格性审查的投标人不足3家的，不得进行下一阶段评标。</w:t>
      </w:r>
    </w:p>
    <w:p>
      <w:pPr>
        <w:numPr>
          <w:ilvl w:val="2"/>
          <w:numId w:val="3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投标人存在下列情况之一的，投标无效：</w:t>
      </w:r>
    </w:p>
    <w:p>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不具备招标文件中规定的投标人资格要求的</w:t>
      </w:r>
    </w:p>
    <w:p>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详见附件1《初步评审审查表》，以确定其是否满足招标文件的实质性要求。评标小组对初步被认定为符合性审查不合格或无效投标者可实行告知投标当事人。未通过符合性审查的投标人，不进入技术、商务和价格评审。</w:t>
      </w:r>
    </w:p>
    <w:p>
      <w:pPr>
        <w:numPr>
          <w:ilvl w:val="1"/>
          <w:numId w:val="3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评标小组决定投标文件的响应程度</w:t>
      </w:r>
      <w:r>
        <w:rPr>
          <w:rFonts w:hint="eastAsia" w:ascii="仿宋" w:hAnsi="仿宋" w:eastAsia="仿宋" w:cs="仿宋"/>
          <w:color w:val="auto"/>
          <w:sz w:val="24"/>
          <w:szCs w:val="24"/>
          <w:highlight w:val="none"/>
          <w:lang w:val="en-US" w:eastAsia="zh-CN"/>
        </w:rPr>
        <w:t>指</w:t>
      </w:r>
      <w:r>
        <w:rPr>
          <w:rFonts w:hint="eastAsia" w:ascii="仿宋" w:hAnsi="仿宋" w:eastAsia="仿宋" w:cs="仿宋"/>
          <w:color w:val="auto"/>
          <w:sz w:val="24"/>
          <w:szCs w:val="24"/>
          <w:highlight w:val="none"/>
        </w:rPr>
        <w:t>依据投标文件本身的真实无误的内容，而不依据外部的证据。但投标文件有不真实、不正确内容的除外。</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82" w:name="_Toc55778709"/>
      <w:r>
        <w:rPr>
          <w:rFonts w:hint="eastAsia" w:ascii="仿宋" w:hAnsi="仿宋" w:eastAsia="仿宋" w:cs="仿宋"/>
          <w:b/>
          <w:bCs/>
          <w:color w:val="auto"/>
          <w:kern w:val="44"/>
          <w:sz w:val="24"/>
          <w:szCs w:val="24"/>
          <w:highlight w:val="none"/>
        </w:rPr>
        <w:t xml:space="preserve">    </w:t>
      </w:r>
      <w:bookmarkStart w:id="183" w:name="_Toc27075"/>
      <w:bookmarkStart w:id="184" w:name="_Toc23646"/>
      <w:bookmarkStart w:id="185" w:name="_Toc24582"/>
      <w:bookmarkStart w:id="186" w:name="_Toc21733"/>
      <w:r>
        <w:rPr>
          <w:rFonts w:hint="eastAsia" w:ascii="仿宋" w:hAnsi="仿宋" w:eastAsia="仿宋" w:cs="仿宋"/>
          <w:b/>
          <w:bCs/>
          <w:color w:val="auto"/>
          <w:kern w:val="44"/>
          <w:sz w:val="24"/>
          <w:szCs w:val="24"/>
          <w:highlight w:val="none"/>
        </w:rPr>
        <w:t>详细评审</w:t>
      </w:r>
      <w:bookmarkEnd w:id="182"/>
      <w:bookmarkEnd w:id="183"/>
      <w:bookmarkEnd w:id="184"/>
      <w:bookmarkEnd w:id="185"/>
      <w:bookmarkEnd w:id="186"/>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经符合性审查合格的投标文件，评标委员会将根据招标文件确定的评标方法和标准，对其技术部分和商务部分作进一步的比较和评价。</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评标严格按照招标文件的要求和条件进行，详细评标标准见附件2《评分细则》。</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当评标小组认为通过符合性审查的投标人的报价明显低于其他通过符合性审查投标人的报价，有可能影响服务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按无效投标处理）。</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投标文件报价出现前后不一致的，除招标文件另有规定外，按照下列规定修正：</w:t>
      </w:r>
    </w:p>
    <w:p>
      <w:pPr>
        <w:numPr>
          <w:ilvl w:val="2"/>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投标文件中报价一览表内容与投标文件中明细表内容不一致的，以报价一览表为准；</w:t>
      </w:r>
    </w:p>
    <w:p>
      <w:pPr>
        <w:numPr>
          <w:ilvl w:val="2"/>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大写金额和小写金额不一致的，以大写金额为准；</w:t>
      </w:r>
    </w:p>
    <w:p>
      <w:pPr>
        <w:numPr>
          <w:ilvl w:val="2"/>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单价金额小数点或百分比有明显错位的，以开标一览表的总价为准，并修改单价；</w:t>
      </w:r>
    </w:p>
    <w:p>
      <w:pPr>
        <w:numPr>
          <w:ilvl w:val="2"/>
          <w:numId w:val="3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总价金额与按单价汇总金额不一致的，以单价金额计算结果为准。</w:t>
      </w:r>
    </w:p>
    <w:p>
      <w:pPr>
        <w:numPr>
          <w:ilvl w:val="1"/>
          <w:numId w:val="32"/>
        </w:num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pPr>
        <w:numPr>
          <w:ilvl w:val="1"/>
          <w:numId w:val="32"/>
        </w:num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对数量的评审：以《采购内容》所示数量为准；《采购内容》未明示的，由评标小组以其专业知识判断，必要时参考投标人的澄清文件决定。</w:t>
      </w:r>
    </w:p>
    <w:p>
      <w:pPr>
        <w:numPr>
          <w:ilvl w:val="1"/>
          <w:numId w:val="32"/>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对小型或微型企业的扶持：</w:t>
      </w:r>
    </w:p>
    <w:p>
      <w:pPr>
        <w:pStyle w:val="16"/>
        <w:ind w:left="899" w:leftChars="4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w:t>
      </w:r>
      <w:r>
        <w:rPr>
          <w:rFonts w:hint="eastAsia" w:ascii="仿宋" w:hAnsi="仿宋" w:eastAsia="仿宋" w:cs="仿宋"/>
          <w:color w:val="auto"/>
          <w:sz w:val="24"/>
          <w:szCs w:val="24"/>
          <w:highlight w:val="none"/>
          <w:lang w:val="en-US" w:eastAsia="zh-CN"/>
        </w:rPr>
        <w:t>格式见附件2</w:t>
      </w:r>
      <w:r>
        <w:rPr>
          <w:rFonts w:hint="eastAsia" w:ascii="仿宋" w:hAnsi="仿宋" w:eastAsia="仿宋" w:cs="仿宋"/>
          <w:color w:val="auto"/>
          <w:sz w:val="24"/>
          <w:szCs w:val="24"/>
          <w:highlight w:val="none"/>
        </w:rPr>
        <w:t>，并明确企业类型，否则评审时不能享受相应的价格扣除。提供本企业制造的货物、承担的工程或者服务，或者提供其他小型或微型企业的制造的货物。</w:t>
      </w:r>
    </w:p>
    <w:p>
      <w:pPr>
        <w:pStyle w:val="16"/>
        <w:ind w:left="899" w:leftChars="428"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rPr>
        <w:t>投标人为小型、微型企业且投标产品含小型、微型企业产品时，其小型、微型企业产品的价格给予</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%的扣除，即评标价=投标报价-小型、微型企业产品投标报价×</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p>
    <w:p>
      <w:pPr>
        <w:pStyle w:val="16"/>
        <w:ind w:left="899" w:leftChars="4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）根据财政部《政府采购促进中小企业发展管理办法》（财库[2020]46号文）规定，在货物类采购项目中，</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提供的货物既有中小企业制造货物，也有大型企业制造货物的，不享受中小企业扶持政策。</w:t>
      </w:r>
    </w:p>
    <w:p>
      <w:pPr>
        <w:numPr>
          <w:ilvl w:val="1"/>
          <w:numId w:val="32"/>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监狱企业产品价格扣除</w:t>
      </w:r>
    </w:p>
    <w:p>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1）监狱企业视同小型、微型企业，按上述</w:t>
      </w:r>
      <w:r>
        <w:rPr>
          <w:rFonts w:hint="eastAsia" w:ascii="仿宋" w:hAnsi="仿宋" w:eastAsia="仿宋" w:cs="仿宋"/>
          <w:b/>
          <w:bCs/>
          <w:color w:val="auto"/>
          <w:sz w:val="24"/>
          <w:szCs w:val="24"/>
          <w:highlight w:val="none"/>
        </w:rPr>
        <w:t>27.7条款</w:t>
      </w:r>
      <w:r>
        <w:rPr>
          <w:rFonts w:hint="eastAsia" w:ascii="仿宋" w:hAnsi="仿宋" w:eastAsia="仿宋" w:cs="仿宋"/>
          <w:color w:val="auto"/>
          <w:sz w:val="24"/>
          <w:szCs w:val="24"/>
          <w:highlight w:val="none"/>
        </w:rPr>
        <w:t>享受评审中价格扣除。</w:t>
      </w:r>
    </w:p>
    <w:p>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3）监狱企业参加政府采购活动时，应当提供由省级以上监狱管理局、戒毒管理局（含新疆生产建设兵团）出具的属于监狱企业的证明文件，否则不予认可。</w:t>
      </w:r>
    </w:p>
    <w:p>
      <w:pPr>
        <w:numPr>
          <w:ilvl w:val="1"/>
          <w:numId w:val="32"/>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残疾人福利性单位产品价格扣除</w:t>
      </w:r>
    </w:p>
    <w:p>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1）残疾人福利性单位视同小型、微型企业，按上述</w:t>
      </w:r>
      <w:r>
        <w:rPr>
          <w:rFonts w:hint="eastAsia" w:ascii="仿宋" w:hAnsi="仿宋" w:eastAsia="仿宋" w:cs="仿宋"/>
          <w:b/>
          <w:bCs/>
          <w:color w:val="auto"/>
          <w:sz w:val="24"/>
          <w:szCs w:val="24"/>
          <w:highlight w:val="none"/>
        </w:rPr>
        <w:t>27.7条款</w:t>
      </w:r>
      <w:r>
        <w:rPr>
          <w:rFonts w:hint="eastAsia" w:ascii="仿宋" w:hAnsi="仿宋" w:eastAsia="仿宋" w:cs="仿宋"/>
          <w:color w:val="auto"/>
          <w:sz w:val="24"/>
          <w:szCs w:val="24"/>
          <w:highlight w:val="none"/>
        </w:rPr>
        <w:t>享受评审中价格扣除。</w:t>
      </w:r>
    </w:p>
    <w:p>
      <w:pPr>
        <w:spacing w:line="360" w:lineRule="auto"/>
        <w:ind w:left="90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rPr>
        <w:t>），并对声明的真实性负责。一旦中标将在中标公告中公告其声明函，接受社会监督。投标人提供的《残疾人福利性单位声明函》与事实不符的，依照《中华人民共和国政府采购法》第七十七条第一款的规定追究法律责任。</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投标人同时为小型、微型企业、监狱企业、残疾人福利性单位任两种或以上情况的，评审中只享受一次价格扣除，不重复进行价格扣除。</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评标价的确定：按上述条款校核修正后的价格为评标价。</w:t>
      </w:r>
    </w:p>
    <w:p>
      <w:pPr>
        <w:numPr>
          <w:ilvl w:val="1"/>
          <w:numId w:val="3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评标小组成员对需要共同认定的事项存在争议的，应当按照少数服从多数的原则作出结论。持不同意见的评标小组成员应当在评标报告上签署不同意见及理由，否则视为同意评标报告。</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87" w:name="_Toc55778710"/>
      <w:r>
        <w:rPr>
          <w:rFonts w:hint="eastAsia" w:ascii="仿宋" w:hAnsi="仿宋" w:eastAsia="仿宋" w:cs="仿宋"/>
          <w:b/>
          <w:color w:val="auto"/>
          <w:kern w:val="44"/>
          <w:sz w:val="24"/>
          <w:szCs w:val="24"/>
          <w:highlight w:val="none"/>
        </w:rPr>
        <w:t xml:space="preserve">    </w:t>
      </w:r>
      <w:bookmarkStart w:id="188" w:name="_Toc10625"/>
      <w:bookmarkStart w:id="189" w:name="_Toc31639"/>
      <w:bookmarkStart w:id="190" w:name="_Toc25223"/>
      <w:bookmarkStart w:id="191" w:name="_Toc31812"/>
      <w:r>
        <w:rPr>
          <w:rFonts w:hint="eastAsia" w:ascii="仿宋" w:hAnsi="仿宋" w:eastAsia="仿宋" w:cs="仿宋"/>
          <w:b/>
          <w:color w:val="auto"/>
          <w:kern w:val="44"/>
          <w:sz w:val="24"/>
          <w:szCs w:val="24"/>
          <w:highlight w:val="none"/>
        </w:rPr>
        <w:t>投标文件的修正和澄清</w:t>
      </w:r>
      <w:bookmarkEnd w:id="187"/>
      <w:bookmarkEnd w:id="188"/>
      <w:bookmarkEnd w:id="189"/>
      <w:bookmarkEnd w:id="190"/>
      <w:bookmarkEnd w:id="191"/>
    </w:p>
    <w:p>
      <w:pPr>
        <w:numPr>
          <w:ilvl w:val="1"/>
          <w:numId w:val="34"/>
        </w:numPr>
        <w:spacing w:line="360" w:lineRule="auto"/>
        <w:rPr>
          <w:rFonts w:hAnsi="宋体" w:cs="Times New Roman"/>
          <w:color w:val="000000"/>
          <w:sz w:val="24"/>
          <w:szCs w:val="24"/>
        </w:rPr>
      </w:pPr>
      <w:bookmarkStart w:id="192" w:name="_Toc55778711"/>
      <w:r>
        <w:rPr>
          <w:rFonts w:hint="eastAsia" w:ascii="仿宋" w:hAnsi="仿宋" w:eastAsia="仿宋" w:cs="仿宋"/>
          <w:color w:val="auto"/>
          <w:sz w:val="24"/>
          <w:szCs w:val="24"/>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    </w:t>
      </w:r>
      <w:bookmarkStart w:id="193" w:name="_Toc30970"/>
      <w:bookmarkStart w:id="194" w:name="_Toc14816"/>
      <w:bookmarkStart w:id="195" w:name="_Toc12810"/>
      <w:bookmarkStart w:id="196" w:name="_Toc13122"/>
      <w:r>
        <w:rPr>
          <w:rFonts w:hint="eastAsia" w:ascii="仿宋" w:hAnsi="仿宋" w:eastAsia="仿宋" w:cs="仿宋"/>
          <w:b/>
          <w:bCs/>
          <w:color w:val="auto"/>
          <w:kern w:val="44"/>
          <w:sz w:val="24"/>
          <w:szCs w:val="24"/>
          <w:highlight w:val="none"/>
        </w:rPr>
        <w:t>评标总得分统计及推荐</w:t>
      </w:r>
      <w:bookmarkEnd w:id="192"/>
      <w:bookmarkEnd w:id="193"/>
      <w:bookmarkEnd w:id="194"/>
      <w:bookmarkEnd w:id="195"/>
      <w:bookmarkEnd w:id="196"/>
    </w:p>
    <w:p>
      <w:pPr>
        <w:numPr>
          <w:ilvl w:val="1"/>
          <w:numId w:val="3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p>
      <w:pPr>
        <w:numPr>
          <w:ilvl w:val="1"/>
          <w:numId w:val="3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评标小组各成员独立对每个投标人的投标文件进行评价，并汇总每个投标人的得分（评标总得分分值按四舍五入原则精确到小数点后两位）。</w:t>
      </w:r>
    </w:p>
    <w:p>
      <w:pPr>
        <w:numPr>
          <w:ilvl w:val="1"/>
          <w:numId w:val="3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推荐中标候选人：评标小组成员独立对每个投标人分别评出技术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197" w:name="_Toc55778712"/>
      <w:r>
        <w:rPr>
          <w:rFonts w:hint="eastAsia" w:ascii="仿宋" w:hAnsi="仿宋" w:eastAsia="仿宋" w:cs="仿宋"/>
          <w:b/>
          <w:color w:val="auto"/>
          <w:kern w:val="44"/>
          <w:sz w:val="24"/>
          <w:szCs w:val="24"/>
          <w:highlight w:val="none"/>
        </w:rPr>
        <w:t xml:space="preserve">    </w:t>
      </w:r>
      <w:bookmarkStart w:id="198" w:name="_Toc160"/>
      <w:bookmarkStart w:id="199" w:name="_Toc10277"/>
      <w:bookmarkStart w:id="200" w:name="_Toc22167"/>
      <w:bookmarkStart w:id="201" w:name="_Toc23908"/>
      <w:r>
        <w:rPr>
          <w:rFonts w:hint="eastAsia" w:ascii="仿宋" w:hAnsi="仿宋" w:eastAsia="仿宋" w:cs="仿宋"/>
          <w:b/>
          <w:color w:val="auto"/>
          <w:kern w:val="44"/>
          <w:sz w:val="24"/>
          <w:szCs w:val="24"/>
          <w:highlight w:val="none"/>
        </w:rPr>
        <w:t>定标</w:t>
      </w:r>
      <w:bookmarkEnd w:id="197"/>
      <w:bookmarkEnd w:id="198"/>
      <w:bookmarkEnd w:id="199"/>
      <w:bookmarkEnd w:id="200"/>
      <w:bookmarkEnd w:id="201"/>
    </w:p>
    <w:p>
      <w:pPr>
        <w:numPr>
          <w:ilvl w:val="1"/>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pPr>
        <w:numPr>
          <w:ilvl w:val="1"/>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中标人拒绝与采购人签订合同的，采购人可以按照评审报告推荐的中标候选人名单排序，确定下一候选人为中标人，也可以重新开展政府采购活动。</w:t>
      </w:r>
    </w:p>
    <w:p>
      <w:pPr>
        <w:numPr>
          <w:ilvl w:val="1"/>
          <w:numId w:val="3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中标人放弃中标或者中标资格被依法确认无效的，采购人可以按照排序从其他中标候选人中确定中标人或重新组织采购活动。</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02" w:name="_Toc55778713"/>
      <w:r>
        <w:rPr>
          <w:rFonts w:hint="eastAsia" w:ascii="仿宋" w:hAnsi="仿宋" w:eastAsia="仿宋" w:cs="仿宋"/>
          <w:b/>
          <w:bCs/>
          <w:color w:val="auto"/>
          <w:kern w:val="44"/>
          <w:sz w:val="24"/>
          <w:szCs w:val="24"/>
          <w:highlight w:val="none"/>
        </w:rPr>
        <w:t xml:space="preserve">    </w:t>
      </w:r>
      <w:bookmarkStart w:id="203" w:name="_Toc31442"/>
      <w:bookmarkStart w:id="204" w:name="_Toc14184"/>
      <w:bookmarkStart w:id="205" w:name="_Toc6845"/>
      <w:bookmarkStart w:id="206" w:name="_Toc5256"/>
      <w:r>
        <w:rPr>
          <w:rFonts w:hint="eastAsia" w:ascii="仿宋" w:hAnsi="仿宋" w:eastAsia="仿宋" w:cs="仿宋"/>
          <w:b/>
          <w:bCs/>
          <w:color w:val="auto"/>
          <w:kern w:val="44"/>
          <w:sz w:val="24"/>
          <w:szCs w:val="24"/>
          <w:highlight w:val="none"/>
        </w:rPr>
        <w:t>特别说明</w:t>
      </w:r>
      <w:bookmarkEnd w:id="202"/>
      <w:bookmarkEnd w:id="203"/>
      <w:bookmarkEnd w:id="204"/>
      <w:bookmarkEnd w:id="205"/>
      <w:bookmarkEnd w:id="206"/>
    </w:p>
    <w:p>
      <w:pPr>
        <w:numPr>
          <w:ilvl w:val="1"/>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有下列情形之一的，视为投标人串通投标，其投标无效：</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不同投标人的投标文件由同一单位或者个人编制；</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不同投标人委托同一单位或者个人办理投标事宜；</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不同投标人的投标文件载明的项目管理成员或者联系人员为同一人；</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不同投标人的投标文件异常一致或者投标报价呈规律性差异；</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不同投标人的投标文件相互混装；</w:t>
      </w:r>
    </w:p>
    <w:p>
      <w:pPr>
        <w:numPr>
          <w:ilvl w:val="2"/>
          <w:numId w:val="3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不同投标人的投标保证金从同一单位或者个人的账户转出。</w:t>
      </w:r>
    </w:p>
    <w:p>
      <w:pPr>
        <w:numPr>
          <w:ilvl w:val="1"/>
          <w:numId w:val="37"/>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投标人存在下列情况之一的，投标无效:</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未按照招标文件的规定提交投标保证金的；</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投标文件未按招标文件要求签署、盖章的；</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不具备招标文件中规定的资格要求的；</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报价超过招标文件中规定的预算金额或者最高限价的；</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投标文件含有采购人不能接受的附加条件的；</w:t>
      </w:r>
    </w:p>
    <w:p>
      <w:pPr>
        <w:numPr>
          <w:ilvl w:val="2"/>
          <w:numId w:val="3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法律、法规和招标文件规定的其他无效情形。</w:t>
      </w:r>
    </w:p>
    <w:p>
      <w:pPr>
        <w:numPr>
          <w:ilvl w:val="1"/>
          <w:numId w:val="37"/>
        </w:num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在招标采购中，出现下列情形之一的，应予废标： </w:t>
      </w:r>
    </w:p>
    <w:p>
      <w:pPr>
        <w:numPr>
          <w:ilvl w:val="2"/>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符合专业条件的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或者对招标文件作实质响应的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不足三家的； </w:t>
      </w:r>
    </w:p>
    <w:p>
      <w:pPr>
        <w:numPr>
          <w:ilvl w:val="2"/>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出现影响采购公正的违法、违规行为的； </w:t>
      </w:r>
    </w:p>
    <w:p>
      <w:pPr>
        <w:numPr>
          <w:ilvl w:val="2"/>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投标人的报价均超过了采购预算，采购人不能支付的； </w:t>
      </w:r>
    </w:p>
    <w:p>
      <w:pPr>
        <w:numPr>
          <w:ilvl w:val="2"/>
          <w:numId w:val="4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因重大变故，采购任务取消的。 </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07" w:name="_Toc55778714"/>
      <w:r>
        <w:rPr>
          <w:rFonts w:hint="eastAsia" w:ascii="仿宋" w:hAnsi="仿宋" w:eastAsia="仿宋" w:cs="仿宋"/>
          <w:b/>
          <w:bCs/>
          <w:color w:val="auto"/>
          <w:kern w:val="44"/>
          <w:sz w:val="24"/>
          <w:szCs w:val="24"/>
          <w:highlight w:val="none"/>
        </w:rPr>
        <w:t xml:space="preserve">   </w:t>
      </w:r>
      <w:bookmarkStart w:id="208" w:name="_Toc12971"/>
      <w:bookmarkStart w:id="209" w:name="_Toc30472"/>
      <w:bookmarkStart w:id="210" w:name="_Toc29878"/>
      <w:bookmarkStart w:id="211" w:name="_Toc14583"/>
      <w:r>
        <w:rPr>
          <w:rFonts w:hint="eastAsia" w:ascii="仿宋" w:hAnsi="仿宋" w:eastAsia="仿宋" w:cs="仿宋"/>
          <w:b/>
          <w:bCs/>
          <w:color w:val="auto"/>
          <w:kern w:val="44"/>
          <w:sz w:val="24"/>
          <w:szCs w:val="24"/>
          <w:highlight w:val="none"/>
        </w:rPr>
        <w:t>与采购代理机构和采购人的接触</w:t>
      </w:r>
      <w:bookmarkEnd w:id="207"/>
      <w:bookmarkEnd w:id="208"/>
      <w:bookmarkEnd w:id="209"/>
      <w:bookmarkEnd w:id="210"/>
      <w:bookmarkEnd w:id="211"/>
    </w:p>
    <w:p>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除本须知规定外，从开标之日起至授予合同期间，投标人不得就与其投标有关的事项与采购代理机构、采购人和评标小组接触。</w:t>
      </w:r>
    </w:p>
    <w:p>
      <w:pPr>
        <w:numPr>
          <w:ilvl w:val="1"/>
          <w:numId w:val="4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投标人试图对采购代理机构、采购人和评标小组的评标或授予合同的决定进行影响，都可能导致其投标被拒绝。</w:t>
      </w:r>
    </w:p>
    <w:p>
      <w:pPr>
        <w:keepNext/>
        <w:keepLines/>
        <w:spacing w:line="360" w:lineRule="auto"/>
        <w:jc w:val="center"/>
        <w:outlineLvl w:val="1"/>
        <w:rPr>
          <w:rFonts w:hint="eastAsia" w:ascii="仿宋" w:hAnsi="仿宋" w:eastAsia="仿宋" w:cs="仿宋"/>
          <w:b/>
          <w:bCs/>
          <w:color w:val="auto"/>
          <w:sz w:val="24"/>
          <w:szCs w:val="24"/>
          <w:highlight w:val="none"/>
        </w:rPr>
      </w:pPr>
      <w:bookmarkStart w:id="212" w:name="_Toc55778715"/>
      <w:bookmarkStart w:id="213" w:name="_Toc8757"/>
      <w:bookmarkStart w:id="214" w:name="_Toc4267"/>
      <w:r>
        <w:rPr>
          <w:rFonts w:hint="eastAsia" w:ascii="仿宋" w:hAnsi="仿宋" w:eastAsia="仿宋" w:cs="仿宋"/>
          <w:b/>
          <w:bCs/>
          <w:color w:val="auto"/>
          <w:sz w:val="24"/>
          <w:szCs w:val="24"/>
          <w:highlight w:val="none"/>
        </w:rPr>
        <w:t>六、质疑与投诉</w:t>
      </w:r>
      <w:bookmarkEnd w:id="212"/>
      <w:bookmarkEnd w:id="213"/>
      <w:bookmarkEnd w:id="214"/>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15" w:name="_Toc55778716"/>
      <w:bookmarkStart w:id="216" w:name="_Toc28035"/>
      <w:r>
        <w:rPr>
          <w:rFonts w:hint="eastAsia" w:ascii="仿宋" w:hAnsi="仿宋" w:eastAsia="仿宋" w:cs="仿宋"/>
          <w:b/>
          <w:bCs/>
          <w:color w:val="auto"/>
          <w:kern w:val="44"/>
          <w:sz w:val="24"/>
          <w:szCs w:val="24"/>
          <w:highlight w:val="none"/>
        </w:rPr>
        <w:t xml:space="preserve">    </w:t>
      </w:r>
      <w:bookmarkStart w:id="217" w:name="_Toc26722"/>
      <w:bookmarkStart w:id="218" w:name="_Toc22749"/>
      <w:bookmarkStart w:id="219" w:name="_Toc6727"/>
      <w:bookmarkStart w:id="220" w:name="_Toc5828"/>
      <w:r>
        <w:rPr>
          <w:rFonts w:hint="eastAsia" w:ascii="仿宋" w:hAnsi="仿宋" w:eastAsia="仿宋" w:cs="仿宋"/>
          <w:b/>
          <w:bCs/>
          <w:color w:val="auto"/>
          <w:kern w:val="44"/>
          <w:sz w:val="24"/>
          <w:szCs w:val="24"/>
          <w:highlight w:val="none"/>
        </w:rPr>
        <w:t>询问</w:t>
      </w:r>
      <w:bookmarkEnd w:id="215"/>
      <w:bookmarkEnd w:id="216"/>
      <w:bookmarkEnd w:id="217"/>
      <w:bookmarkEnd w:id="218"/>
      <w:bookmarkEnd w:id="219"/>
      <w:bookmarkEnd w:id="220"/>
    </w:p>
    <w:p>
      <w:pPr>
        <w:numPr>
          <w:ilvl w:val="1"/>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pPr>
        <w:numPr>
          <w:ilvl w:val="1"/>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如采用书面方式提出询问，投标人为自然人的，询问函应当由本人签字；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为法人或者其他组织的，应当由法定代表人、主要负责人或授权代表签字或者盖章，并加盖公章。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递交询问函时非法定代表人亲自办理的需提供法定代表人授权委托书（应载明授权代表的姓名或者名称、代理事项、具体权限、期限和相关事项）及授权代表身份证复印件。</w:t>
      </w:r>
    </w:p>
    <w:p>
      <w:pPr>
        <w:numPr>
          <w:ilvl w:val="1"/>
          <w:numId w:val="4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招标采购单位在三个工作日内对投标人依法提出的询问作出答复。</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21" w:name="_Toc55778717"/>
      <w:bookmarkStart w:id="222" w:name="_Toc922"/>
      <w:r>
        <w:rPr>
          <w:rFonts w:hint="eastAsia" w:ascii="仿宋" w:hAnsi="仿宋" w:eastAsia="仿宋" w:cs="仿宋"/>
          <w:b/>
          <w:bCs/>
          <w:color w:val="auto"/>
          <w:kern w:val="44"/>
          <w:sz w:val="24"/>
          <w:szCs w:val="24"/>
          <w:highlight w:val="none"/>
        </w:rPr>
        <w:t xml:space="preserve">    </w:t>
      </w:r>
      <w:bookmarkStart w:id="223" w:name="_Toc16083"/>
      <w:bookmarkStart w:id="224" w:name="_Toc9977"/>
      <w:bookmarkStart w:id="225" w:name="_Toc31010"/>
      <w:bookmarkStart w:id="226" w:name="_Toc2109"/>
      <w:r>
        <w:rPr>
          <w:rFonts w:hint="eastAsia" w:ascii="仿宋" w:hAnsi="仿宋" w:eastAsia="仿宋" w:cs="仿宋"/>
          <w:b/>
          <w:bCs/>
          <w:color w:val="auto"/>
          <w:kern w:val="44"/>
          <w:sz w:val="24"/>
          <w:szCs w:val="24"/>
          <w:highlight w:val="none"/>
        </w:rPr>
        <w:t>质疑</w:t>
      </w:r>
      <w:bookmarkEnd w:id="221"/>
      <w:bookmarkEnd w:id="222"/>
      <w:bookmarkEnd w:id="223"/>
      <w:bookmarkEnd w:id="224"/>
      <w:bookmarkEnd w:id="225"/>
      <w:bookmarkEnd w:id="226"/>
    </w:p>
    <w:p>
      <w:pPr>
        <w:numPr>
          <w:ilvl w:val="1"/>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质疑期限</w:t>
      </w:r>
    </w:p>
    <w:p>
      <w:pPr>
        <w:numPr>
          <w:ilvl w:val="2"/>
          <w:numId w:val="4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认为招标文件的内容损害其权益的，应在收到招标文件之日或者招标文件公告期届满之日起七个工作日内。（注：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获取招标文件之日早于招标文件公告期限届满之日的，则以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获取招标文件之日为质疑时效期间的起算日期；否则，以招标文件公告期限届满之日为质疑时效期间的起算日期）。</w:t>
      </w:r>
    </w:p>
    <w:p>
      <w:pPr>
        <w:numPr>
          <w:ilvl w:val="2"/>
          <w:numId w:val="4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认为采购过程损害其权益的，应在各采购程序环节结束之日起七个工作日内。</w:t>
      </w:r>
    </w:p>
    <w:p>
      <w:pPr>
        <w:numPr>
          <w:ilvl w:val="2"/>
          <w:numId w:val="4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认为中标或者成交结果损害其权益的，应在中标或者成交结果公告期限届满之日起七个工作日内。</w:t>
      </w:r>
    </w:p>
    <w:p>
      <w:pPr>
        <w:numPr>
          <w:ilvl w:val="1"/>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提交的要求：</w:t>
      </w:r>
    </w:p>
    <w:p>
      <w:pPr>
        <w:numPr>
          <w:ilvl w:val="2"/>
          <w:numId w:val="4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以书面形式（加盖投标人公章，投标人以电话、传真或电邮形式提交的质疑属于无效质疑）向招标采购单位提出质疑。</w:t>
      </w:r>
    </w:p>
    <w:p>
      <w:pPr>
        <w:numPr>
          <w:ilvl w:val="2"/>
          <w:numId w:val="4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pPr>
        <w:numPr>
          <w:ilvl w:val="2"/>
          <w:numId w:val="4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投标人质疑应当有明确的请求和必要的证明材料，捏造事实、提供虚假材料或者以非法手段取得证明材料不能作为质疑的证明材料。</w:t>
      </w:r>
    </w:p>
    <w:p>
      <w:pPr>
        <w:numPr>
          <w:ilvl w:val="1"/>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质疑人进行质疑应当符合下列条件：</w:t>
      </w:r>
    </w:p>
    <w:p>
      <w:pPr>
        <w:numPr>
          <w:ilvl w:val="0"/>
          <w:numId w:val="46"/>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质疑人是参与所质疑政府采购项目的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pPr>
        <w:numPr>
          <w:ilvl w:val="0"/>
          <w:numId w:val="46"/>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在质疑有效期内提起质疑；</w:t>
      </w:r>
    </w:p>
    <w:p>
      <w:pPr>
        <w:numPr>
          <w:ilvl w:val="0"/>
          <w:numId w:val="46"/>
        </w:numPr>
        <w:tabs>
          <w:tab w:val="left" w:pos="1272"/>
        </w:tabs>
        <w:spacing w:line="360" w:lineRule="auto"/>
        <w:ind w:left="1272" w:hanging="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法律法规规定的其他条件。</w:t>
      </w:r>
    </w:p>
    <w:p>
      <w:pPr>
        <w:numPr>
          <w:ilvl w:val="1"/>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pPr>
        <w:numPr>
          <w:ilvl w:val="1"/>
          <w:numId w:val="43"/>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numPr>
          <w:ilvl w:val="1"/>
          <w:numId w:val="43"/>
        </w:numPr>
        <w:spacing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质疑联系方式：</w:t>
      </w:r>
    </w:p>
    <w:p>
      <w:pPr>
        <w:spacing w:line="336" w:lineRule="auto"/>
        <w:ind w:left="899" w:leftChars="4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新疆翔实工程项目管理有限公司</w:t>
      </w:r>
    </w:p>
    <w:p>
      <w:pPr>
        <w:spacing w:line="336"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李秀娟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15099597071</w:t>
      </w:r>
    </w:p>
    <w:p>
      <w:pPr>
        <w:spacing w:line="336" w:lineRule="auto"/>
        <w:ind w:left="4078" w:leftChars="456" w:hanging="3120" w:hanging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lang w:val="en-US" w:eastAsia="zh-CN"/>
        </w:rPr>
        <w:t>835000</w:t>
      </w:r>
      <w:r>
        <w:rPr>
          <w:rFonts w:hint="eastAsia" w:ascii="仿宋" w:hAnsi="仿宋" w:eastAsia="仿宋" w:cs="仿宋"/>
          <w:color w:val="auto"/>
          <w:sz w:val="24"/>
          <w:szCs w:val="24"/>
          <w:highlight w:val="none"/>
        </w:rPr>
        <w:t xml:space="preserve">        </w:t>
      </w:r>
    </w:p>
    <w:p>
      <w:pPr>
        <w:spacing w:line="336" w:lineRule="auto"/>
        <w:ind w:left="4078" w:leftChars="456" w:hanging="3120" w:hangingChars="1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地址：伊宁市经济合作区北京路一品墅新房大厦10楼</w:t>
      </w:r>
    </w:p>
    <w:p>
      <w:pPr>
        <w:numPr>
          <w:ilvl w:val="1"/>
          <w:numId w:val="43"/>
        </w:numPr>
        <w:spacing w:line="336" w:lineRule="auto"/>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质疑函格式 </w:t>
      </w:r>
    </w:p>
    <w:p>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质疑函范本</w:t>
      </w:r>
    </w:p>
    <w:p>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基本信息</w:t>
      </w:r>
    </w:p>
    <w:p>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联系电话：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质疑项目的名称：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               包号：</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获取日期：</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三、质疑事项具体内容</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 xml:space="preserve"> </w:t>
      </w:r>
    </w:p>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四、与质疑事项相关的质疑请求 </w:t>
      </w:r>
    </w:p>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请求：</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widowControl/>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（盖章）：</w:t>
      </w:r>
    </w:p>
    <w:p>
      <w:pPr>
        <w:widowControl/>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p>
      <w:pPr>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pPr>
        <w:tabs>
          <w:tab w:val="left" w:pos="6300"/>
        </w:tabs>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p>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r>
        <w:rPr>
          <w:rFonts w:hint="eastAsia" w:ascii="仿宋" w:hAnsi="仿宋" w:eastAsia="仿宋" w:cs="仿宋"/>
          <w:color w:val="auto"/>
          <w:kern w:val="0"/>
          <w:sz w:val="24"/>
          <w:szCs w:val="24"/>
          <w:highlight w:val="none"/>
        </w:rPr>
        <w:t xml:space="preserve"> </w:t>
      </w:r>
    </w:p>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随附相关证明材料如下</w:t>
      </w:r>
      <w:r>
        <w:rPr>
          <w:rFonts w:hint="eastAsia" w:ascii="仿宋" w:hAnsi="仿宋" w:eastAsia="仿宋" w:cs="仿宋"/>
          <w:color w:val="auto"/>
          <w:kern w:val="0"/>
          <w:sz w:val="24"/>
          <w:szCs w:val="24"/>
          <w:highlight w:val="none"/>
        </w:rPr>
        <w:t xml:space="preserve">：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105" w:type="dxa"/>
          </w:tcPr>
          <w:p>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证明材料名称</w:t>
            </w:r>
          </w:p>
        </w:tc>
        <w:tc>
          <w:tcPr>
            <w:tcW w:w="2325" w:type="dxa"/>
          </w:tcPr>
          <w:p>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证明材料来源</w:t>
            </w:r>
          </w:p>
        </w:tc>
        <w:tc>
          <w:tcPr>
            <w:tcW w:w="1935" w:type="dxa"/>
          </w:tcPr>
          <w:p>
            <w:pPr>
              <w:widowControl/>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3105" w:type="dxa"/>
          </w:tcPr>
          <w:p>
            <w:pPr>
              <w:widowControl/>
              <w:spacing w:line="360" w:lineRule="auto"/>
              <w:jc w:val="left"/>
              <w:rPr>
                <w:rFonts w:hint="eastAsia" w:ascii="仿宋" w:hAnsi="仿宋" w:eastAsia="仿宋" w:cs="仿宋"/>
                <w:b/>
                <w:color w:val="auto"/>
                <w:kern w:val="0"/>
                <w:sz w:val="24"/>
                <w:szCs w:val="24"/>
                <w:highlight w:val="none"/>
              </w:rPr>
            </w:pPr>
          </w:p>
        </w:tc>
        <w:tc>
          <w:tcPr>
            <w:tcW w:w="2325" w:type="dxa"/>
          </w:tcPr>
          <w:p>
            <w:pPr>
              <w:widowControl/>
              <w:spacing w:line="360" w:lineRule="auto"/>
              <w:jc w:val="left"/>
              <w:rPr>
                <w:rFonts w:hint="eastAsia" w:ascii="仿宋" w:hAnsi="仿宋" w:eastAsia="仿宋" w:cs="仿宋"/>
                <w:b/>
                <w:color w:val="auto"/>
                <w:kern w:val="0"/>
                <w:sz w:val="24"/>
                <w:szCs w:val="24"/>
                <w:highlight w:val="none"/>
              </w:rPr>
            </w:pPr>
          </w:p>
        </w:tc>
        <w:tc>
          <w:tcPr>
            <w:tcW w:w="1935" w:type="dxa"/>
          </w:tcPr>
          <w:p>
            <w:pPr>
              <w:widowControl/>
              <w:spacing w:line="360" w:lineRule="auto"/>
              <w:jc w:val="left"/>
              <w:rPr>
                <w:rFonts w:hint="eastAsia" w:ascii="仿宋" w:hAnsi="仿宋" w:eastAsia="仿宋" w:cs="仿宋"/>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3105" w:type="dxa"/>
          </w:tcPr>
          <w:p>
            <w:pPr>
              <w:widowControl/>
              <w:spacing w:line="360" w:lineRule="auto"/>
              <w:jc w:val="left"/>
              <w:rPr>
                <w:rFonts w:hint="eastAsia" w:ascii="仿宋" w:hAnsi="仿宋" w:eastAsia="仿宋" w:cs="仿宋"/>
                <w:b/>
                <w:color w:val="auto"/>
                <w:kern w:val="0"/>
                <w:sz w:val="24"/>
                <w:szCs w:val="24"/>
                <w:highlight w:val="none"/>
              </w:rPr>
            </w:pPr>
          </w:p>
        </w:tc>
        <w:tc>
          <w:tcPr>
            <w:tcW w:w="2325" w:type="dxa"/>
          </w:tcPr>
          <w:p>
            <w:pPr>
              <w:widowControl/>
              <w:spacing w:line="360" w:lineRule="auto"/>
              <w:jc w:val="left"/>
              <w:rPr>
                <w:rFonts w:hint="eastAsia" w:ascii="仿宋" w:hAnsi="仿宋" w:eastAsia="仿宋" w:cs="仿宋"/>
                <w:b/>
                <w:color w:val="auto"/>
                <w:kern w:val="0"/>
                <w:sz w:val="24"/>
                <w:szCs w:val="24"/>
                <w:highlight w:val="none"/>
              </w:rPr>
            </w:pPr>
          </w:p>
        </w:tc>
        <w:tc>
          <w:tcPr>
            <w:tcW w:w="1935" w:type="dxa"/>
          </w:tcPr>
          <w:p>
            <w:pPr>
              <w:widowControl/>
              <w:spacing w:line="360" w:lineRule="auto"/>
              <w:jc w:val="left"/>
              <w:rPr>
                <w:rFonts w:hint="eastAsia" w:ascii="仿宋" w:hAnsi="仿宋" w:eastAsia="仿宋" w:cs="仿宋"/>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w:t>
            </w:r>
          </w:p>
        </w:tc>
        <w:tc>
          <w:tcPr>
            <w:tcW w:w="3105" w:type="dxa"/>
          </w:tcPr>
          <w:p>
            <w:pPr>
              <w:widowControl/>
              <w:spacing w:line="360" w:lineRule="auto"/>
              <w:jc w:val="left"/>
              <w:rPr>
                <w:rFonts w:hint="eastAsia" w:ascii="仿宋" w:hAnsi="仿宋" w:eastAsia="仿宋" w:cs="仿宋"/>
                <w:b/>
                <w:color w:val="auto"/>
                <w:kern w:val="0"/>
                <w:sz w:val="24"/>
                <w:szCs w:val="24"/>
                <w:highlight w:val="none"/>
              </w:rPr>
            </w:pPr>
          </w:p>
        </w:tc>
        <w:tc>
          <w:tcPr>
            <w:tcW w:w="2325" w:type="dxa"/>
          </w:tcPr>
          <w:p>
            <w:pPr>
              <w:widowControl/>
              <w:spacing w:line="360" w:lineRule="auto"/>
              <w:jc w:val="left"/>
              <w:rPr>
                <w:rFonts w:hint="eastAsia" w:ascii="仿宋" w:hAnsi="仿宋" w:eastAsia="仿宋" w:cs="仿宋"/>
                <w:b/>
                <w:color w:val="auto"/>
                <w:kern w:val="0"/>
                <w:sz w:val="24"/>
                <w:szCs w:val="24"/>
                <w:highlight w:val="none"/>
              </w:rPr>
            </w:pPr>
          </w:p>
        </w:tc>
        <w:tc>
          <w:tcPr>
            <w:tcW w:w="1935" w:type="dxa"/>
          </w:tcPr>
          <w:p>
            <w:pPr>
              <w:widowControl/>
              <w:spacing w:line="360" w:lineRule="auto"/>
              <w:jc w:val="left"/>
              <w:rPr>
                <w:rFonts w:hint="eastAsia" w:ascii="仿宋" w:hAnsi="仿宋" w:eastAsia="仿宋" w:cs="仿宋"/>
                <w:b/>
                <w:color w:val="auto"/>
                <w:kern w:val="0"/>
                <w:sz w:val="24"/>
                <w:szCs w:val="24"/>
                <w:highlight w:val="none"/>
              </w:rPr>
            </w:pPr>
          </w:p>
        </w:tc>
      </w:tr>
    </w:tbl>
    <w:p>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 xml:space="preserve">质疑函制作说明：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提出质疑时，应提交质疑函和必要的证明材料。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若委托代理人进行质疑的，质疑函应按要求列明“授权代表”的有关内容，并在附件中提交由质疑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签署的授权委托书。授权委托书应载明代理人的姓名或者名称、代理事项、具体权限、期限和相关事项。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若对项目的某一分包进行质疑，质疑函中应列明具体分包号。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4.质疑函的质疑事项应具体、明确，并有必要的事实依据和法律依据。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5.质疑函的质疑请求应与质疑事项相关。 </w:t>
      </w:r>
    </w:p>
    <w:p>
      <w:pPr>
        <w:widowControl/>
        <w:spacing w:line="360" w:lineRule="auto"/>
        <w:ind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为自然人的，质疑函应由本人签字；质疑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为法人或者其他组织的，质疑函应由法定代表人、主要负责人，或者其授权代表签字或者盖章，并加盖公章。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7. </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应在提交的证明材料中对质疑点的内容作出相应的标识或以醒目的方式标明。</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27" w:name="_Toc13170"/>
      <w:bookmarkStart w:id="228" w:name="_Toc7547"/>
      <w:bookmarkStart w:id="229" w:name="_Toc55778718"/>
      <w:bookmarkStart w:id="230" w:name="_Toc11190"/>
      <w:bookmarkStart w:id="231" w:name="_Toc2395"/>
      <w:bookmarkStart w:id="232" w:name="_Toc3059"/>
      <w:r>
        <w:rPr>
          <w:rFonts w:hint="eastAsia" w:ascii="仿宋" w:hAnsi="仿宋" w:eastAsia="仿宋" w:cs="仿宋"/>
          <w:b/>
          <w:bCs/>
          <w:color w:val="auto"/>
          <w:kern w:val="44"/>
          <w:sz w:val="24"/>
          <w:szCs w:val="24"/>
          <w:highlight w:val="none"/>
        </w:rPr>
        <w:t>投诉</w:t>
      </w:r>
      <w:bookmarkEnd w:id="227"/>
      <w:bookmarkEnd w:id="228"/>
      <w:bookmarkEnd w:id="229"/>
      <w:bookmarkEnd w:id="230"/>
      <w:bookmarkEnd w:id="231"/>
      <w:bookmarkEnd w:id="232"/>
    </w:p>
    <w:p>
      <w:pPr>
        <w:numPr>
          <w:ilvl w:val="1"/>
          <w:numId w:val="4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投标投标人对采购代理机构和采购人的质疑答复不满意或在规定时间内未得到答复的，可以在答复期满后15个工作日内，向政府采购监督管理机构投诉。</w:t>
      </w:r>
    </w:p>
    <w:p>
      <w:pPr>
        <w:numPr>
          <w:ilvl w:val="1"/>
          <w:numId w:val="47"/>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政府采购监督管理机构</w:t>
      </w:r>
    </w:p>
    <w:p>
      <w:pPr>
        <w:spacing w:line="360" w:lineRule="auto"/>
        <w:ind w:left="899" w:leftChars="4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政府采购监督管理机构名称：</w:t>
      </w:r>
      <w:r>
        <w:rPr>
          <w:rFonts w:hint="eastAsia" w:ascii="仿宋" w:hAnsi="仿宋" w:eastAsia="仿宋" w:cs="仿宋"/>
          <w:color w:val="auto"/>
          <w:sz w:val="24"/>
          <w:szCs w:val="24"/>
          <w:highlight w:val="none"/>
          <w:lang w:val="en-US" w:eastAsia="zh-CN"/>
        </w:rPr>
        <w:t>伊犁州</w:t>
      </w:r>
      <w:r>
        <w:rPr>
          <w:rFonts w:hint="eastAsia" w:ascii="仿宋" w:hAnsi="仿宋" w:eastAsia="仿宋" w:cs="仿宋"/>
          <w:color w:val="auto"/>
          <w:sz w:val="24"/>
          <w:szCs w:val="24"/>
          <w:highlight w:val="none"/>
        </w:rPr>
        <w:t>财政局</w:t>
      </w:r>
    </w:p>
    <w:p>
      <w:pPr>
        <w:keepNext/>
        <w:keepLines/>
        <w:spacing w:line="360" w:lineRule="auto"/>
        <w:jc w:val="center"/>
        <w:outlineLvl w:val="1"/>
        <w:rPr>
          <w:rFonts w:hint="eastAsia" w:ascii="仿宋" w:hAnsi="仿宋" w:eastAsia="仿宋" w:cs="仿宋"/>
          <w:b/>
          <w:bCs/>
          <w:color w:val="auto"/>
          <w:sz w:val="24"/>
          <w:szCs w:val="24"/>
          <w:highlight w:val="none"/>
        </w:rPr>
      </w:pPr>
      <w:bookmarkStart w:id="233" w:name="_Toc55778719"/>
      <w:bookmarkStart w:id="234" w:name="_Toc11991"/>
      <w:bookmarkStart w:id="235" w:name="_Toc21033"/>
      <w:r>
        <w:rPr>
          <w:rFonts w:hint="eastAsia" w:ascii="仿宋" w:hAnsi="仿宋" w:eastAsia="仿宋" w:cs="仿宋"/>
          <w:b/>
          <w:bCs/>
          <w:color w:val="auto"/>
          <w:sz w:val="24"/>
          <w:szCs w:val="24"/>
          <w:highlight w:val="none"/>
        </w:rPr>
        <w:t>七、授予合同</w:t>
      </w:r>
      <w:bookmarkEnd w:id="233"/>
      <w:bookmarkEnd w:id="234"/>
      <w:bookmarkEnd w:id="235"/>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36" w:name="_Toc17273"/>
      <w:bookmarkStart w:id="237" w:name="_Toc55778720"/>
      <w:r>
        <w:rPr>
          <w:rFonts w:hint="eastAsia" w:ascii="仿宋" w:hAnsi="仿宋" w:eastAsia="仿宋" w:cs="仿宋"/>
          <w:b/>
          <w:bCs/>
          <w:color w:val="auto"/>
          <w:kern w:val="44"/>
          <w:sz w:val="24"/>
          <w:szCs w:val="24"/>
          <w:highlight w:val="none"/>
        </w:rPr>
        <w:t xml:space="preserve">    </w:t>
      </w:r>
      <w:bookmarkStart w:id="238" w:name="_Toc32369"/>
      <w:bookmarkStart w:id="239" w:name="_Toc27860"/>
      <w:bookmarkStart w:id="240" w:name="_Toc30579"/>
      <w:bookmarkStart w:id="241" w:name="_Toc28231"/>
      <w:r>
        <w:rPr>
          <w:rFonts w:hint="eastAsia" w:ascii="仿宋" w:hAnsi="仿宋" w:eastAsia="仿宋" w:cs="仿宋"/>
          <w:b/>
          <w:bCs/>
          <w:color w:val="auto"/>
          <w:kern w:val="44"/>
          <w:sz w:val="24"/>
          <w:szCs w:val="24"/>
          <w:highlight w:val="none"/>
        </w:rPr>
        <w:t>确定中标</w:t>
      </w:r>
      <w:bookmarkEnd w:id="236"/>
      <w:r>
        <w:rPr>
          <w:rFonts w:hint="eastAsia" w:ascii="仿宋" w:hAnsi="仿宋" w:eastAsia="仿宋" w:cs="仿宋"/>
          <w:b/>
          <w:bCs/>
          <w:color w:val="auto"/>
          <w:kern w:val="44"/>
          <w:sz w:val="24"/>
          <w:szCs w:val="24"/>
          <w:highlight w:val="none"/>
        </w:rPr>
        <w:t>人</w:t>
      </w:r>
      <w:bookmarkEnd w:id="237"/>
      <w:bookmarkEnd w:id="238"/>
      <w:bookmarkEnd w:id="239"/>
      <w:bookmarkEnd w:id="240"/>
      <w:bookmarkEnd w:id="241"/>
    </w:p>
    <w:p>
      <w:pPr>
        <w:numPr>
          <w:ilvl w:val="1"/>
          <w:numId w:val="4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评标小组按照招标文件确定的评标方法、步骤、标准，对投标文件进行评审，提出书面评标报告，按照综合评分得分由高到低的顺序推荐中标候选人名单。</w:t>
      </w:r>
    </w:p>
    <w:p>
      <w:pPr>
        <w:numPr>
          <w:ilvl w:val="1"/>
          <w:numId w:val="4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采购人在收到评标报告后的法定时间内，按照评标报告中推荐的中标候选人顺序确定中标人。</w:t>
      </w:r>
    </w:p>
    <w:p>
      <w:pPr>
        <w:numPr>
          <w:ilvl w:val="1"/>
          <w:numId w:val="48"/>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中标投标人放弃中标或者中标资格被依法确认无效的，采购人可以按照排序从其他中标候选投标人中确定中标投标人或重新组织招标活动。</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42" w:name="_Toc55778721"/>
      <w:bookmarkStart w:id="243" w:name="_Ref179619923"/>
      <w:bookmarkStart w:id="244" w:name="_Toc14943"/>
      <w:r>
        <w:rPr>
          <w:rFonts w:hint="eastAsia" w:ascii="仿宋" w:hAnsi="仿宋" w:eastAsia="仿宋" w:cs="仿宋"/>
          <w:b/>
          <w:bCs/>
          <w:color w:val="auto"/>
          <w:kern w:val="44"/>
          <w:sz w:val="24"/>
          <w:szCs w:val="24"/>
          <w:highlight w:val="none"/>
        </w:rPr>
        <w:t xml:space="preserve">    </w:t>
      </w:r>
      <w:bookmarkStart w:id="245" w:name="_Toc17309"/>
      <w:bookmarkStart w:id="246" w:name="_Toc29372"/>
      <w:bookmarkStart w:id="247" w:name="_Toc7161"/>
      <w:bookmarkStart w:id="248" w:name="_Toc19166"/>
      <w:r>
        <w:rPr>
          <w:rFonts w:hint="eastAsia" w:ascii="仿宋" w:hAnsi="仿宋" w:eastAsia="仿宋" w:cs="仿宋"/>
          <w:b/>
          <w:bCs/>
          <w:color w:val="auto"/>
          <w:kern w:val="44"/>
          <w:sz w:val="24"/>
          <w:szCs w:val="24"/>
          <w:highlight w:val="none"/>
        </w:rPr>
        <w:t>接受和拒绝任何或所有投标的权力</w:t>
      </w:r>
      <w:bookmarkEnd w:id="242"/>
      <w:bookmarkEnd w:id="243"/>
      <w:bookmarkEnd w:id="244"/>
      <w:bookmarkEnd w:id="245"/>
      <w:bookmarkEnd w:id="246"/>
      <w:bookmarkEnd w:id="247"/>
      <w:bookmarkEnd w:id="248"/>
    </w:p>
    <w:p>
      <w:pPr>
        <w:numPr>
          <w:ilvl w:val="1"/>
          <w:numId w:val="49"/>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49" w:name="_Toc55778722"/>
      <w:bookmarkStart w:id="250" w:name="_Toc19068"/>
      <w:r>
        <w:rPr>
          <w:rFonts w:hint="eastAsia" w:ascii="仿宋" w:hAnsi="仿宋" w:eastAsia="仿宋" w:cs="仿宋"/>
          <w:b/>
          <w:bCs/>
          <w:color w:val="auto"/>
          <w:kern w:val="44"/>
          <w:sz w:val="24"/>
          <w:szCs w:val="24"/>
          <w:highlight w:val="none"/>
        </w:rPr>
        <w:t xml:space="preserve">    </w:t>
      </w:r>
      <w:bookmarkStart w:id="251" w:name="_Toc9402"/>
      <w:bookmarkStart w:id="252" w:name="_Toc26407"/>
      <w:bookmarkStart w:id="253" w:name="_Toc444"/>
      <w:bookmarkStart w:id="254" w:name="_Toc8040"/>
      <w:r>
        <w:rPr>
          <w:rFonts w:hint="eastAsia" w:ascii="仿宋" w:hAnsi="仿宋" w:eastAsia="仿宋" w:cs="仿宋"/>
          <w:b/>
          <w:bCs/>
          <w:color w:val="auto"/>
          <w:kern w:val="44"/>
          <w:sz w:val="24"/>
          <w:szCs w:val="24"/>
          <w:highlight w:val="none"/>
        </w:rPr>
        <w:t>中标通知书</w:t>
      </w:r>
      <w:bookmarkEnd w:id="249"/>
      <w:bookmarkEnd w:id="250"/>
      <w:bookmarkEnd w:id="251"/>
      <w:bookmarkEnd w:id="252"/>
      <w:bookmarkEnd w:id="253"/>
      <w:bookmarkEnd w:id="254"/>
    </w:p>
    <w:p>
      <w:pPr>
        <w:numPr>
          <w:ilvl w:val="1"/>
          <w:numId w:val="5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中标人确定后，采购代理机构按本须知规定网站发布中标公告，并同时向中标人发出《中标通知书》。</w:t>
      </w:r>
    </w:p>
    <w:p>
      <w:pPr>
        <w:numPr>
          <w:ilvl w:val="1"/>
          <w:numId w:val="50"/>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《中标通知书》是合同的一个组成部分。</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55" w:name="_Toc16935"/>
      <w:bookmarkStart w:id="256" w:name="_Toc55778723"/>
      <w:r>
        <w:rPr>
          <w:rFonts w:hint="eastAsia" w:ascii="仿宋" w:hAnsi="仿宋" w:eastAsia="仿宋" w:cs="仿宋"/>
          <w:b/>
          <w:bCs/>
          <w:color w:val="auto"/>
          <w:kern w:val="44"/>
          <w:sz w:val="24"/>
          <w:szCs w:val="24"/>
          <w:highlight w:val="none"/>
        </w:rPr>
        <w:t xml:space="preserve">    </w:t>
      </w:r>
      <w:bookmarkStart w:id="257" w:name="_Toc7012"/>
      <w:bookmarkStart w:id="258" w:name="_Toc18897"/>
      <w:bookmarkStart w:id="259" w:name="_Toc22710"/>
      <w:bookmarkStart w:id="260" w:name="_Toc14729"/>
      <w:r>
        <w:rPr>
          <w:rFonts w:hint="eastAsia" w:ascii="仿宋" w:hAnsi="仿宋" w:eastAsia="仿宋" w:cs="仿宋"/>
          <w:b/>
          <w:bCs/>
          <w:color w:val="auto"/>
          <w:kern w:val="44"/>
          <w:sz w:val="24"/>
          <w:szCs w:val="24"/>
          <w:highlight w:val="none"/>
        </w:rPr>
        <w:t>合同的订立</w:t>
      </w:r>
      <w:bookmarkEnd w:id="255"/>
      <w:bookmarkEnd w:id="256"/>
      <w:bookmarkEnd w:id="257"/>
      <w:bookmarkEnd w:id="258"/>
      <w:bookmarkEnd w:id="259"/>
      <w:bookmarkEnd w:id="260"/>
    </w:p>
    <w:p>
      <w:pPr>
        <w:numPr>
          <w:ilvl w:val="1"/>
          <w:numId w:val="5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pPr>
        <w:numPr>
          <w:ilvl w:val="1"/>
          <w:numId w:val="5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招标文件、中标人的投标文件及其澄清文件等，均为签订合同的依据。</w:t>
      </w:r>
    </w:p>
    <w:p>
      <w:pPr>
        <w:numPr>
          <w:ilvl w:val="1"/>
          <w:numId w:val="51"/>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61" w:name="_Toc55778724"/>
      <w:bookmarkStart w:id="262" w:name="_Toc4044"/>
      <w:r>
        <w:rPr>
          <w:rFonts w:hint="eastAsia" w:ascii="仿宋" w:hAnsi="仿宋" w:eastAsia="仿宋" w:cs="仿宋"/>
          <w:b/>
          <w:bCs/>
          <w:color w:val="auto"/>
          <w:kern w:val="44"/>
          <w:sz w:val="24"/>
          <w:szCs w:val="24"/>
          <w:highlight w:val="none"/>
        </w:rPr>
        <w:t xml:space="preserve">   </w:t>
      </w:r>
      <w:bookmarkStart w:id="263" w:name="_Toc9738"/>
      <w:bookmarkStart w:id="264" w:name="_Toc19474"/>
      <w:bookmarkStart w:id="265" w:name="_Toc7064"/>
      <w:bookmarkStart w:id="266" w:name="_Toc1719"/>
      <w:r>
        <w:rPr>
          <w:rFonts w:hint="eastAsia" w:ascii="仿宋" w:hAnsi="仿宋" w:eastAsia="仿宋" w:cs="仿宋"/>
          <w:b/>
          <w:bCs/>
          <w:color w:val="auto"/>
          <w:kern w:val="44"/>
          <w:sz w:val="24"/>
          <w:szCs w:val="24"/>
          <w:highlight w:val="none"/>
        </w:rPr>
        <w:t>合同的履行</w:t>
      </w:r>
      <w:bookmarkEnd w:id="261"/>
      <w:bookmarkEnd w:id="262"/>
      <w:bookmarkEnd w:id="263"/>
      <w:bookmarkEnd w:id="264"/>
      <w:bookmarkEnd w:id="265"/>
      <w:bookmarkEnd w:id="266"/>
    </w:p>
    <w:p>
      <w:pPr>
        <w:numPr>
          <w:ilvl w:val="1"/>
          <w:numId w:val="5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numPr>
          <w:ilvl w:val="1"/>
          <w:numId w:val="52"/>
        </w:num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67" w:name="_Toc55778726"/>
      <w:r>
        <w:rPr>
          <w:rFonts w:hint="eastAsia" w:ascii="仿宋" w:hAnsi="仿宋" w:eastAsia="仿宋" w:cs="仿宋"/>
          <w:b/>
          <w:bCs/>
          <w:color w:val="auto"/>
          <w:kern w:val="44"/>
          <w:sz w:val="24"/>
          <w:szCs w:val="24"/>
          <w:highlight w:val="none"/>
        </w:rPr>
        <w:t xml:space="preserve">   </w:t>
      </w:r>
      <w:bookmarkStart w:id="268" w:name="_Toc28418"/>
      <w:bookmarkStart w:id="269" w:name="_Toc12016"/>
      <w:bookmarkStart w:id="270" w:name="_Toc18199"/>
      <w:bookmarkStart w:id="271" w:name="_Toc23462"/>
      <w:r>
        <w:rPr>
          <w:rFonts w:hint="eastAsia" w:ascii="仿宋" w:hAnsi="仿宋" w:eastAsia="仿宋" w:cs="仿宋"/>
          <w:b/>
          <w:bCs/>
          <w:color w:val="auto"/>
          <w:kern w:val="44"/>
          <w:sz w:val="24"/>
          <w:szCs w:val="24"/>
          <w:highlight w:val="none"/>
        </w:rPr>
        <w:t>采购代理服务费</w:t>
      </w:r>
      <w:bookmarkEnd w:id="267"/>
      <w:bookmarkEnd w:id="268"/>
      <w:bookmarkEnd w:id="269"/>
      <w:bookmarkEnd w:id="270"/>
      <w:bookmarkEnd w:id="271"/>
    </w:p>
    <w:p>
      <w:pPr>
        <w:numPr>
          <w:ilvl w:val="1"/>
          <w:numId w:val="53"/>
        </w:numPr>
        <w:spacing w:line="360" w:lineRule="auto"/>
        <w:rPr>
          <w:rFonts w:hint="eastAsia" w:ascii="仿宋" w:hAnsi="仿宋" w:eastAsia="仿宋" w:cs="仿宋"/>
          <w:color w:val="auto"/>
          <w:sz w:val="24"/>
          <w:szCs w:val="24"/>
          <w:highlight w:val="none"/>
        </w:rPr>
      </w:pPr>
      <w:bookmarkStart w:id="272" w:name="_Ref179619574"/>
      <w:r>
        <w:rPr>
          <w:rFonts w:hint="eastAsia" w:ascii="仿宋" w:hAnsi="仿宋" w:eastAsia="仿宋" w:cs="仿宋"/>
          <w:color w:val="auto"/>
          <w:sz w:val="24"/>
          <w:szCs w:val="24"/>
          <w:highlight w:val="none"/>
        </w:rPr>
        <w:t>中标人须向采购代理机构按如下标准和规定缴纳采购代理服务费：参照《国家发展改革委关于进一步放开建设项目专业服务价格的通知》(发改价格〔2015〕299号)文件规定标按标（包）计取</w:t>
      </w:r>
      <w:r>
        <w:rPr>
          <w:rFonts w:hint="eastAsia" w:ascii="仿宋" w:hAnsi="仿宋" w:eastAsia="仿宋" w:cs="仿宋"/>
          <w:color w:val="auto"/>
          <w:sz w:val="24"/>
          <w:szCs w:val="24"/>
          <w:highlight w:val="none"/>
          <w:lang w:val="en-US" w:eastAsia="zh-CN"/>
        </w:rPr>
        <w:t>;</w:t>
      </w:r>
    </w:p>
    <w:bookmarkEnd w:id="272"/>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73" w:name="_Toc55778727"/>
      <w:bookmarkStart w:id="274" w:name="_Toc18355"/>
      <w:r>
        <w:rPr>
          <w:rFonts w:hint="eastAsia" w:ascii="仿宋" w:hAnsi="仿宋" w:eastAsia="仿宋" w:cs="仿宋"/>
          <w:b/>
          <w:bCs/>
          <w:color w:val="auto"/>
          <w:kern w:val="44"/>
          <w:sz w:val="24"/>
          <w:szCs w:val="24"/>
          <w:highlight w:val="none"/>
        </w:rPr>
        <w:t xml:space="preserve">    </w:t>
      </w:r>
      <w:bookmarkStart w:id="275" w:name="_Toc11945"/>
      <w:bookmarkStart w:id="276" w:name="_Toc8428"/>
      <w:bookmarkStart w:id="277" w:name="_Toc29629"/>
      <w:bookmarkStart w:id="278" w:name="_Toc3865"/>
      <w:r>
        <w:rPr>
          <w:rFonts w:hint="eastAsia" w:ascii="仿宋" w:hAnsi="仿宋" w:eastAsia="仿宋" w:cs="仿宋"/>
          <w:b/>
          <w:bCs/>
          <w:color w:val="auto"/>
          <w:kern w:val="44"/>
          <w:sz w:val="24"/>
          <w:szCs w:val="24"/>
          <w:highlight w:val="none"/>
        </w:rPr>
        <w:t>适用法律</w:t>
      </w:r>
      <w:bookmarkEnd w:id="273"/>
      <w:bookmarkEnd w:id="274"/>
      <w:bookmarkEnd w:id="275"/>
      <w:bookmarkEnd w:id="276"/>
      <w:bookmarkEnd w:id="277"/>
      <w:bookmarkEnd w:id="278"/>
    </w:p>
    <w:p>
      <w:pPr>
        <w:numPr>
          <w:ilvl w:val="1"/>
          <w:numId w:val="54"/>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采购人、采购代理机构及投标人的一切采购活动均适用《中华人民共和国政府采购法》、《中华人民共和国政府采购法实施条例》及其配套的法规、规章、政策。</w:t>
      </w:r>
    </w:p>
    <w:p>
      <w:pPr>
        <w:keepNext/>
        <w:keepLines/>
        <w:numPr>
          <w:ilvl w:val="0"/>
          <w:numId w:val="4"/>
        </w:numPr>
        <w:tabs>
          <w:tab w:val="left" w:pos="900"/>
        </w:tabs>
        <w:spacing w:line="360" w:lineRule="auto"/>
        <w:ind w:left="924" w:hanging="924"/>
        <w:outlineLvl w:val="0"/>
        <w:rPr>
          <w:rFonts w:hint="eastAsia" w:ascii="仿宋" w:hAnsi="仿宋" w:eastAsia="仿宋" w:cs="仿宋"/>
          <w:b/>
          <w:bCs/>
          <w:color w:val="auto"/>
          <w:kern w:val="44"/>
          <w:sz w:val="24"/>
          <w:szCs w:val="24"/>
          <w:highlight w:val="none"/>
        </w:rPr>
      </w:pPr>
      <w:bookmarkStart w:id="279" w:name="_Toc24416"/>
      <w:bookmarkStart w:id="280" w:name="_Toc55778728"/>
      <w:r>
        <w:rPr>
          <w:rFonts w:hint="eastAsia" w:ascii="仿宋" w:hAnsi="仿宋" w:eastAsia="仿宋" w:cs="仿宋"/>
          <w:b/>
          <w:bCs/>
          <w:color w:val="auto"/>
          <w:kern w:val="44"/>
          <w:sz w:val="24"/>
          <w:szCs w:val="24"/>
          <w:highlight w:val="none"/>
        </w:rPr>
        <w:t xml:space="preserve">    </w:t>
      </w:r>
      <w:bookmarkStart w:id="281" w:name="_Toc22475"/>
      <w:bookmarkStart w:id="282" w:name="_Toc7754"/>
      <w:bookmarkStart w:id="283" w:name="_Toc10876"/>
      <w:bookmarkStart w:id="284" w:name="_Toc22798"/>
      <w:r>
        <w:rPr>
          <w:rFonts w:hint="eastAsia" w:ascii="仿宋" w:hAnsi="仿宋" w:eastAsia="仿宋" w:cs="仿宋"/>
          <w:b/>
          <w:bCs/>
          <w:color w:val="auto"/>
          <w:kern w:val="44"/>
          <w:sz w:val="24"/>
          <w:szCs w:val="24"/>
          <w:highlight w:val="none"/>
        </w:rPr>
        <w:t>政府采购政策</w:t>
      </w:r>
      <w:bookmarkEnd w:id="279"/>
      <w:bookmarkEnd w:id="280"/>
      <w:bookmarkEnd w:id="281"/>
      <w:bookmarkEnd w:id="282"/>
      <w:bookmarkEnd w:id="283"/>
      <w:bookmarkEnd w:id="284"/>
    </w:p>
    <w:p>
      <w:pPr>
        <w:numPr>
          <w:ilvl w:val="1"/>
          <w:numId w:val="55"/>
        </w:numPr>
        <w:wordWrap w:val="0"/>
        <w:spacing w:line="360" w:lineRule="auto"/>
        <w:ind w:left="1037" w:hanging="1036" w:hangingChars="4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cn/）、国家发展改革委网站（http://hzs.nd rc.gv.cn/）和中国质量认证中心网站（http://www.cqc.com.cn/）上发布。</w:t>
      </w:r>
    </w:p>
    <w:p>
      <w:pPr>
        <w:numPr>
          <w:ilvl w:val="1"/>
          <w:numId w:val="55"/>
        </w:numPr>
        <w:wordWrap w:val="0"/>
        <w:spacing w:line="360" w:lineRule="auto"/>
        <w:ind w:left="1037" w:hanging="1036" w:hangingChars="4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pPr>
        <w:numPr>
          <w:ilvl w:val="1"/>
          <w:numId w:val="55"/>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根据《政府采购促进中小企业发展管理办法》（财库[2020]46号文）的规定，投标人投标时需注意：</w:t>
      </w:r>
    </w:p>
    <w:p>
      <w:pPr>
        <w:numPr>
          <w:ilvl w:val="2"/>
          <w:numId w:val="5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numPr>
          <w:ilvl w:val="2"/>
          <w:numId w:val="5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参加政府采购活动的中小企业投标时需提供《中小企业声明函》。否则不予认可。</w:t>
      </w:r>
    </w:p>
    <w:p>
      <w:pPr>
        <w:spacing w:after="120"/>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outlineLvl w:val="0"/>
        <w:rPr>
          <w:rFonts w:hint="eastAsia" w:ascii="仿宋" w:hAnsi="仿宋" w:eastAsia="仿宋" w:cs="仿宋"/>
          <w:color w:val="auto"/>
          <w:kern w:val="44"/>
          <w:sz w:val="24"/>
          <w:szCs w:val="24"/>
          <w:highlight w:val="none"/>
        </w:rPr>
      </w:pPr>
      <w:bookmarkStart w:id="285" w:name="_Toc55778730"/>
      <w:bookmarkStart w:id="286" w:name="_Toc16833"/>
    </w:p>
    <w:p>
      <w:pPr>
        <w:jc w:val="center"/>
        <w:outlineLvl w:val="0"/>
        <w:rPr>
          <w:rFonts w:hint="eastAsia" w:ascii="仿宋" w:hAnsi="仿宋" w:eastAsia="仿宋" w:cs="仿宋"/>
          <w:b/>
          <w:bCs/>
          <w:color w:val="auto"/>
          <w:kern w:val="44"/>
          <w:sz w:val="30"/>
          <w:szCs w:val="30"/>
          <w:highlight w:val="none"/>
        </w:rPr>
      </w:pPr>
      <w:bookmarkStart w:id="287" w:name="_Toc28078"/>
      <w:r>
        <w:rPr>
          <w:rFonts w:hint="eastAsia" w:ascii="仿宋" w:hAnsi="仿宋" w:eastAsia="仿宋" w:cs="仿宋"/>
          <w:b/>
          <w:bCs/>
          <w:color w:val="auto"/>
          <w:kern w:val="44"/>
          <w:sz w:val="30"/>
          <w:szCs w:val="30"/>
          <w:highlight w:val="none"/>
        </w:rPr>
        <w:t>第四章 合同格式</w:t>
      </w:r>
      <w:bookmarkEnd w:id="285"/>
      <w:bookmarkEnd w:id="286"/>
      <w:bookmarkEnd w:id="287"/>
    </w:p>
    <w:p>
      <w:pPr>
        <w:widowControl/>
        <w:kinsoku w:val="0"/>
        <w:overflowPunct w:val="0"/>
        <w:jc w:val="left"/>
        <w:rPr>
          <w:rFonts w:hint="eastAsia" w:ascii="仿宋" w:hAnsi="仿宋" w:eastAsia="仿宋" w:cs="仿宋"/>
          <w:color w:val="auto"/>
          <w:kern w:val="0"/>
          <w:sz w:val="24"/>
          <w:szCs w:val="24"/>
          <w:highlight w:val="none"/>
        </w:rPr>
      </w:pPr>
    </w:p>
    <w:p>
      <w:pPr>
        <w:pStyle w:val="25"/>
        <w:kinsoku w:val="0"/>
        <w:overflowPunct w:val="0"/>
        <w:rPr>
          <w:rFonts w:hint="eastAsia" w:ascii="仿宋" w:hAnsi="仿宋" w:eastAsia="仿宋" w:cs="仿宋"/>
          <w:color w:val="auto"/>
          <w:sz w:val="24"/>
          <w:szCs w:val="24"/>
          <w:highlight w:val="none"/>
        </w:rPr>
      </w:pPr>
    </w:p>
    <w:p>
      <w:pPr>
        <w:spacing w:line="360" w:lineRule="auto"/>
        <w:ind w:firstLine="480" w:firstLineChars="200"/>
        <w:jc w:val="center"/>
        <w:rPr>
          <w:rFonts w:ascii="宋体"/>
          <w:color w:val="auto"/>
          <w:sz w:val="24"/>
        </w:rPr>
      </w:pPr>
      <w:r>
        <w:rPr>
          <w:rFonts w:ascii="宋体" w:hAnsi="宋体"/>
          <w:color w:val="auto"/>
          <w:sz w:val="24"/>
        </w:rPr>
        <w:t>(</w:t>
      </w:r>
      <w:r>
        <w:rPr>
          <w:rFonts w:hint="eastAsia" w:ascii="宋体" w:hAnsi="宋体"/>
          <w:color w:val="auto"/>
          <w:sz w:val="24"/>
        </w:rPr>
        <w:t>此合同样本仅供参考</w:t>
      </w:r>
      <w:r>
        <w:rPr>
          <w:rFonts w:ascii="宋体"/>
          <w:color w:val="auto"/>
          <w:sz w:val="24"/>
        </w:rPr>
        <w:t>,</w:t>
      </w:r>
      <w:r>
        <w:rPr>
          <w:rFonts w:hint="eastAsia" w:ascii="宋体" w:hAnsi="宋体"/>
          <w:color w:val="auto"/>
          <w:sz w:val="24"/>
        </w:rPr>
        <w:t>合同具体细则以成交双方协定为准</w:t>
      </w:r>
      <w:r>
        <w:rPr>
          <w:rFonts w:ascii="宋体" w:hAnsi="宋体"/>
          <w:color w:val="auto"/>
          <w:sz w:val="24"/>
        </w:rPr>
        <w:t>)</w:t>
      </w: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r>
        <w:rPr>
          <w:rFonts w:hint="eastAsia" w:ascii="楷体" w:hAnsi="楷体" w:eastAsia="楷体"/>
          <w:sz w:val="24"/>
          <w:u w:val="single"/>
        </w:rPr>
        <w:t xml:space="preserve">   </w:t>
      </w:r>
    </w:p>
    <w:p>
      <w:pPr>
        <w:spacing w:line="480" w:lineRule="auto"/>
        <w:jc w:val="both"/>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75"/>
        <w:ind w:firstLine="0"/>
        <w:rPr>
          <w:rFonts w:ascii="楷体" w:hAnsi="楷体" w:eastAsia="楷体"/>
          <w:szCs w:val="24"/>
        </w:rPr>
      </w:pPr>
    </w:p>
    <w:p>
      <w:pPr>
        <w:pStyle w:val="75"/>
        <w:ind w:firstLine="0"/>
        <w:rPr>
          <w:rFonts w:ascii="楷体" w:hAnsi="楷体" w:eastAsia="楷体"/>
          <w:szCs w:val="24"/>
        </w:rPr>
      </w:pPr>
    </w:p>
    <w:p>
      <w:pPr>
        <w:pStyle w:val="75"/>
        <w:ind w:firstLine="0"/>
        <w:rPr>
          <w:rFonts w:ascii="楷体" w:hAnsi="楷体" w:eastAsia="楷体"/>
          <w:szCs w:val="24"/>
        </w:rPr>
      </w:pPr>
    </w:p>
    <w:p>
      <w:pPr>
        <w:pStyle w:val="75"/>
        <w:ind w:firstLine="0"/>
        <w:jc w:val="center"/>
        <w:rPr>
          <w:rFonts w:ascii="楷体" w:hAnsi="楷体" w:eastAsia="楷体"/>
          <w:b/>
          <w:szCs w:val="24"/>
        </w:rPr>
      </w:pPr>
      <w:r>
        <w:rPr>
          <w:rFonts w:hint="eastAsia" w:ascii="楷体" w:hAnsi="楷体" w:eastAsia="楷体"/>
          <w:b/>
          <w:szCs w:val="24"/>
        </w:rPr>
        <w:t>第一部分 合同书</w:t>
      </w:r>
    </w:p>
    <w:p>
      <w:pPr>
        <w:pStyle w:val="75"/>
        <w:ind w:firstLine="0"/>
        <w:rPr>
          <w:rFonts w:ascii="楷体" w:hAnsi="楷体" w:eastAsia="楷体"/>
          <w:szCs w:val="24"/>
        </w:rPr>
      </w:pPr>
    </w:p>
    <w:p>
      <w:pPr>
        <w:pStyle w:val="75"/>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pStyle w:val="76"/>
        <w:spacing w:before="120" w:line="22" w:lineRule="atLeast"/>
        <w:rPr>
          <w:rFonts w:hint="eastAsia" w:ascii="宋体" w:hAnsi="宋体" w:eastAsia="宋体" w:cs="宋体"/>
          <w:sz w:val="24"/>
          <w:szCs w:val="24"/>
        </w:rPr>
      </w:pPr>
    </w:p>
    <w:p>
      <w:pPr>
        <w:pStyle w:val="76"/>
        <w:spacing w:before="120" w:line="22" w:lineRule="atLeast"/>
        <w:rPr>
          <w:rFonts w:hint="eastAsia" w:ascii="宋体" w:hAnsi="宋体" w:eastAsia="宋体" w:cs="宋体"/>
          <w:sz w:val="24"/>
          <w:szCs w:val="24"/>
        </w:rPr>
      </w:pPr>
    </w:p>
    <w:p>
      <w:pPr>
        <w:rPr>
          <w:rFonts w:hint="eastAsia" w:ascii="宋体" w:hAnsi="宋体" w:eastAsia="宋体" w:cs="宋体"/>
          <w:sz w:val="24"/>
          <w:szCs w:val="24"/>
        </w:rPr>
      </w:pPr>
    </w:p>
    <w:p>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pPr>
        <w:spacing w:before="120" w:line="22" w:lineRule="atLeast"/>
        <w:rPr>
          <w:rFonts w:hint="eastAsia" w:ascii="宋体" w:hAnsi="宋体" w:eastAsia="宋体" w:cs="宋体"/>
          <w:sz w:val="24"/>
          <w:szCs w:val="24"/>
        </w:rPr>
      </w:pPr>
    </w:p>
    <w:p>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spacing w:before="120" w:line="22" w:lineRule="atLeast"/>
        <w:rPr>
          <w:rFonts w:hint="eastAsia" w:ascii="宋体" w:hAnsi="宋体" w:eastAsia="宋体" w:cs="宋体"/>
          <w:sz w:val="24"/>
          <w:szCs w:val="24"/>
        </w:rPr>
      </w:pPr>
    </w:p>
    <w:p>
      <w:pPr>
        <w:spacing w:before="120" w:line="22" w:lineRule="atLeas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w:t>
      </w:r>
    </w:p>
    <w:p>
      <w:pPr>
        <w:spacing w:before="120" w:line="22" w:lineRule="atLeast"/>
        <w:rPr>
          <w:rFonts w:hint="eastAsia" w:ascii="宋体" w:hAnsi="宋体" w:eastAsia="宋体" w:cs="宋体"/>
          <w:sz w:val="24"/>
          <w:szCs w:val="24"/>
        </w:rPr>
      </w:pPr>
    </w:p>
    <w:p>
      <w:pPr>
        <w:spacing w:before="120" w:line="22" w:lineRule="atLeas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utoSpaceDE w:val="0"/>
        <w:autoSpaceDN w:val="0"/>
        <w:adjustRightInd w:val="0"/>
        <w:spacing w:line="600" w:lineRule="exact"/>
        <w:ind w:firstLine="640"/>
        <w:jc w:val="center"/>
        <w:rPr>
          <w:rFonts w:hint="eastAsia" w:ascii="宋体" w:hAnsi="宋体" w:eastAsia="宋体" w:cs="宋体"/>
          <w:sz w:val="24"/>
          <w:szCs w:val="24"/>
        </w:rPr>
        <w:sectPr>
          <w:headerReference r:id="rId3" w:type="default"/>
          <w:footerReference r:id="rId4" w:type="default"/>
          <w:type w:val="continuous"/>
          <w:pgSz w:w="11907" w:h="16840"/>
          <w:pgMar w:top="1474" w:right="1417" w:bottom="1474" w:left="1417" w:header="851" w:footer="851" w:gutter="0"/>
          <w:cols w:space="720" w:num="1"/>
          <w:docGrid w:linePitch="462" w:charSpace="0"/>
        </w:sectPr>
      </w:pP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w:t>
      </w:r>
      <w:r>
        <w:rPr>
          <w:rFonts w:hint="eastAsia" w:ascii="宋体" w:hAnsi="宋体" w:cs="宋体"/>
          <w:sz w:val="24"/>
          <w:szCs w:val="24"/>
          <w:lang w:val="en-US" w:eastAsia="zh-CN"/>
        </w:rPr>
        <w:t>民法典</w:t>
      </w:r>
      <w:r>
        <w:rPr>
          <w:rFonts w:hint="eastAsia" w:ascii="宋体" w:hAnsi="宋体" w:eastAsia="宋体" w:cs="宋体"/>
          <w:sz w:val="24"/>
          <w:szCs w:val="24"/>
          <w:lang w:val="zh-CN"/>
        </w:rPr>
        <w:t>》、《中华人民共和国政府采购法》等相关法律法规之规定，按照平等、自愿、公平和诚实信用的原则，经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288" w:name="_Toc28855"/>
      <w:bookmarkStart w:id="289" w:name="_Toc15367"/>
      <w:bookmarkStart w:id="290" w:name="_Toc22967"/>
      <w:bookmarkStart w:id="291" w:name="_Toc20421"/>
      <w:bookmarkStart w:id="292" w:name="_Toc19273"/>
      <w:r>
        <w:rPr>
          <w:rFonts w:hint="eastAsia" w:ascii="宋体" w:hAnsi="宋体" w:eastAsia="宋体" w:cs="宋体"/>
          <w:b/>
          <w:sz w:val="24"/>
          <w:szCs w:val="24"/>
        </w:rPr>
        <w:t>1.1 合同组成部分</w:t>
      </w:r>
      <w:bookmarkEnd w:id="288"/>
      <w:bookmarkEnd w:id="289"/>
      <w:bookmarkEnd w:id="290"/>
      <w:bookmarkEnd w:id="291"/>
      <w:bookmarkEnd w:id="29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293" w:name="_Toc6311"/>
      <w:bookmarkStart w:id="294" w:name="_Toc22185"/>
      <w:bookmarkStart w:id="295" w:name="_Toc6773"/>
      <w:bookmarkStart w:id="296" w:name="_Toc2918"/>
      <w:bookmarkStart w:id="297" w:name="_Toc18585"/>
      <w:r>
        <w:rPr>
          <w:rFonts w:hint="eastAsia" w:ascii="宋体" w:hAnsi="宋体" w:eastAsia="宋体" w:cs="宋体"/>
          <w:b/>
          <w:sz w:val="24"/>
          <w:szCs w:val="24"/>
        </w:rPr>
        <w:t>1.2 标的</w:t>
      </w:r>
      <w:bookmarkEnd w:id="293"/>
      <w:bookmarkEnd w:id="294"/>
      <w:bookmarkEnd w:id="295"/>
      <w:bookmarkEnd w:id="296"/>
      <w:bookmarkEnd w:id="297"/>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298" w:name="_Toc4929"/>
      <w:bookmarkStart w:id="299" w:name="_Toc1386"/>
      <w:bookmarkStart w:id="300" w:name="_Toc5635"/>
      <w:bookmarkStart w:id="301" w:name="_Toc13918"/>
      <w:bookmarkStart w:id="302" w:name="_Toc21124"/>
      <w:r>
        <w:rPr>
          <w:rFonts w:hint="eastAsia" w:ascii="宋体" w:hAnsi="宋体" w:eastAsia="宋体" w:cs="宋体"/>
          <w:b/>
          <w:sz w:val="24"/>
          <w:szCs w:val="24"/>
        </w:rPr>
        <w:t>1.3 价款</w:t>
      </w:r>
      <w:bookmarkEnd w:id="298"/>
      <w:bookmarkEnd w:id="299"/>
      <w:bookmarkEnd w:id="300"/>
      <w:bookmarkEnd w:id="301"/>
      <w:bookmarkEnd w:id="30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3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4222"/>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7"/>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22" w:type="dxa"/>
            <w:vAlign w:val="center"/>
          </w:tcPr>
          <w:p>
            <w:pPr>
              <w:pStyle w:val="77"/>
              <w:spacing w:line="560" w:lineRule="exact"/>
              <w:ind w:firstLine="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分项名称</w:t>
            </w:r>
          </w:p>
        </w:tc>
        <w:tc>
          <w:tcPr>
            <w:tcW w:w="3167" w:type="dxa"/>
            <w:vAlign w:val="center"/>
          </w:tcPr>
          <w:p>
            <w:pPr>
              <w:pStyle w:val="77"/>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4222"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3167" w:type="dxa"/>
            <w:vAlign w:val="center"/>
          </w:tcPr>
          <w:p>
            <w:pPr>
              <w:pStyle w:val="77"/>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4222"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3167" w:type="dxa"/>
            <w:vAlign w:val="center"/>
          </w:tcPr>
          <w:p>
            <w:pPr>
              <w:pStyle w:val="77"/>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4222"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3167" w:type="dxa"/>
            <w:vAlign w:val="center"/>
          </w:tcPr>
          <w:p>
            <w:pPr>
              <w:pStyle w:val="77"/>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4222" w:type="dxa"/>
            <w:vAlign w:val="center"/>
          </w:tcPr>
          <w:p>
            <w:pPr>
              <w:pStyle w:val="77"/>
              <w:spacing w:line="560" w:lineRule="exact"/>
              <w:ind w:firstLine="200"/>
              <w:jc w:val="center"/>
              <w:rPr>
                <w:rFonts w:hint="eastAsia" w:ascii="宋体" w:hAnsi="宋体" w:eastAsia="宋体" w:cs="宋体"/>
                <w:color w:val="000000"/>
                <w:sz w:val="24"/>
                <w:szCs w:val="24"/>
              </w:rPr>
            </w:pPr>
          </w:p>
        </w:tc>
        <w:tc>
          <w:tcPr>
            <w:tcW w:w="3167" w:type="dxa"/>
            <w:vAlign w:val="center"/>
          </w:tcPr>
          <w:p>
            <w:pPr>
              <w:pStyle w:val="77"/>
              <w:spacing w:line="560" w:lineRule="exact"/>
              <w:ind w:firstLine="20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12" w:type="dxa"/>
            <w:gridSpan w:val="2"/>
            <w:vAlign w:val="center"/>
          </w:tcPr>
          <w:p>
            <w:pPr>
              <w:pStyle w:val="77"/>
              <w:spacing w:line="560" w:lineRule="exact"/>
              <w:ind w:firstLine="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3167" w:type="dxa"/>
            <w:vAlign w:val="center"/>
          </w:tcPr>
          <w:p>
            <w:pPr>
              <w:pStyle w:val="77"/>
              <w:spacing w:line="560" w:lineRule="exact"/>
              <w:ind w:firstLine="200"/>
              <w:jc w:val="center"/>
              <w:rPr>
                <w:rFonts w:hint="eastAsia" w:ascii="宋体" w:hAnsi="宋体" w:eastAsia="宋体" w:cs="宋体"/>
                <w:color w:val="000000"/>
                <w:sz w:val="24"/>
                <w:szCs w:val="24"/>
              </w:rPr>
            </w:pPr>
          </w:p>
        </w:tc>
      </w:tr>
    </w:tbl>
    <w:p>
      <w:pPr>
        <w:spacing w:line="560" w:lineRule="exact"/>
        <w:ind w:firstLine="482" w:firstLineChars="200"/>
        <w:outlineLvl w:val="0"/>
        <w:rPr>
          <w:rFonts w:hint="eastAsia" w:ascii="宋体" w:hAnsi="宋体" w:eastAsia="宋体" w:cs="宋体"/>
          <w:b/>
          <w:sz w:val="24"/>
          <w:szCs w:val="24"/>
        </w:rPr>
      </w:pPr>
      <w:bookmarkStart w:id="303" w:name="_Toc30506"/>
      <w:bookmarkStart w:id="304" w:name="_Toc30158"/>
      <w:bookmarkStart w:id="305" w:name="_Toc3654"/>
      <w:bookmarkStart w:id="306" w:name="_Toc14993"/>
      <w:bookmarkStart w:id="307" w:name="_Toc26916"/>
      <w:r>
        <w:rPr>
          <w:rFonts w:hint="eastAsia" w:ascii="宋体" w:hAnsi="宋体" w:eastAsia="宋体" w:cs="宋体"/>
          <w:b/>
          <w:sz w:val="24"/>
          <w:szCs w:val="24"/>
        </w:rPr>
        <w:t>1.4 付款方式和发票开具方式</w:t>
      </w:r>
      <w:bookmarkEnd w:id="303"/>
      <w:bookmarkEnd w:id="304"/>
      <w:bookmarkEnd w:id="305"/>
      <w:bookmarkEnd w:id="306"/>
      <w:bookmarkEnd w:id="30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08" w:name="_Toc11108"/>
      <w:bookmarkStart w:id="309" w:name="_Toc8772"/>
      <w:bookmarkStart w:id="310" w:name="_Toc3625"/>
      <w:bookmarkStart w:id="311" w:name="_Toc31421"/>
      <w:bookmarkStart w:id="312" w:name="_Toc4760"/>
      <w:r>
        <w:rPr>
          <w:rFonts w:hint="eastAsia" w:ascii="宋体" w:hAnsi="宋体" w:eastAsia="宋体" w:cs="宋体"/>
          <w:b/>
          <w:sz w:val="24"/>
          <w:szCs w:val="24"/>
        </w:rPr>
        <w:t>1.5 履行期限、地点和方式</w:t>
      </w:r>
      <w:bookmarkEnd w:id="308"/>
      <w:bookmarkEnd w:id="309"/>
      <w:bookmarkEnd w:id="310"/>
      <w:bookmarkEnd w:id="311"/>
      <w:bookmarkEnd w:id="312"/>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313" w:name="_Toc3079"/>
      <w:bookmarkStart w:id="314" w:name="_Toc8586"/>
      <w:bookmarkStart w:id="315" w:name="_Toc2375"/>
      <w:bookmarkStart w:id="316" w:name="_Toc5698"/>
      <w:bookmarkStart w:id="317" w:name="_Toc24662"/>
      <w:r>
        <w:rPr>
          <w:rFonts w:hint="eastAsia" w:ascii="宋体" w:hAnsi="宋体" w:eastAsia="宋体" w:cs="宋体"/>
          <w:b/>
          <w:sz w:val="24"/>
          <w:szCs w:val="24"/>
        </w:rPr>
        <w:t>1.6 违约责任</w:t>
      </w:r>
      <w:bookmarkEnd w:id="313"/>
      <w:bookmarkEnd w:id="314"/>
      <w:bookmarkEnd w:id="315"/>
      <w:bookmarkEnd w:id="316"/>
      <w:bookmarkEnd w:id="31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318" w:name="_Toc18683"/>
      <w:bookmarkStart w:id="319" w:name="_Toc30329"/>
      <w:bookmarkStart w:id="320" w:name="_Toc9497"/>
      <w:bookmarkStart w:id="321" w:name="_Toc26807"/>
      <w:bookmarkStart w:id="322" w:name="_Toc32454"/>
      <w:r>
        <w:rPr>
          <w:rFonts w:hint="eastAsia" w:ascii="宋体" w:hAnsi="宋体" w:eastAsia="宋体" w:cs="宋体"/>
          <w:b/>
          <w:sz w:val="24"/>
          <w:szCs w:val="24"/>
        </w:rPr>
        <w:t>1.7 合同争议的解决</w:t>
      </w:r>
      <w:bookmarkEnd w:id="318"/>
      <w:bookmarkEnd w:id="319"/>
      <w:bookmarkEnd w:id="320"/>
      <w:bookmarkEnd w:id="321"/>
      <w:bookmarkEnd w:id="32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323" w:name="_Toc12273"/>
      <w:bookmarkStart w:id="324" w:name="_Toc23784"/>
      <w:bookmarkStart w:id="325" w:name="_Toc16417"/>
      <w:bookmarkStart w:id="326" w:name="_Toc26227"/>
      <w:bookmarkStart w:id="327" w:name="_Toc15827"/>
      <w:r>
        <w:rPr>
          <w:rFonts w:hint="eastAsia" w:ascii="宋体" w:hAnsi="宋体" w:eastAsia="宋体" w:cs="宋体"/>
          <w:b/>
          <w:sz w:val="24"/>
          <w:szCs w:val="24"/>
        </w:rPr>
        <w:t>1.8 合同生效</w:t>
      </w:r>
      <w:bookmarkEnd w:id="323"/>
      <w:bookmarkEnd w:id="324"/>
      <w:bookmarkEnd w:id="325"/>
      <w:bookmarkEnd w:id="326"/>
      <w:bookmarkEnd w:id="327"/>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328"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pStyle w:val="75"/>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75"/>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28"/>
    </w:p>
    <w:p>
      <w:pPr>
        <w:spacing w:line="560" w:lineRule="exact"/>
        <w:ind w:firstLine="482" w:firstLineChars="200"/>
        <w:outlineLvl w:val="0"/>
        <w:rPr>
          <w:rFonts w:hint="eastAsia" w:ascii="宋体" w:hAnsi="宋体" w:eastAsia="宋体" w:cs="宋体"/>
          <w:b/>
          <w:sz w:val="24"/>
          <w:szCs w:val="24"/>
        </w:rPr>
      </w:pPr>
      <w:bookmarkStart w:id="329" w:name="_Toc279701240"/>
      <w:bookmarkStart w:id="330" w:name="_Toc5228"/>
      <w:bookmarkStart w:id="331" w:name="_Toc487900349"/>
      <w:bookmarkStart w:id="332" w:name="_Ref467379109"/>
      <w:bookmarkStart w:id="333" w:name="_Toc19680"/>
      <w:bookmarkStart w:id="334" w:name="_Ref467378499"/>
      <w:bookmarkStart w:id="335" w:name="_Ref467378463"/>
      <w:bookmarkStart w:id="336" w:name="_Toc14021"/>
      <w:bookmarkStart w:id="337" w:name="_Ref467378404"/>
      <w:bookmarkStart w:id="338" w:name="_Ref467379195"/>
      <w:bookmarkStart w:id="339" w:name="_Toc31297"/>
      <w:bookmarkStart w:id="340" w:name="_Ref467379225"/>
      <w:bookmarkStart w:id="341" w:name="_Ref467379094"/>
      <w:bookmarkStart w:id="342" w:name="_Ref467379214"/>
      <w:bookmarkStart w:id="343" w:name="_Toc25079"/>
      <w:bookmarkStart w:id="344" w:name="_Toc259093669"/>
      <w:bookmarkStart w:id="345" w:name="_Ref467379101"/>
      <w:bookmarkStart w:id="346" w:name="_Ref467379205"/>
      <w:r>
        <w:rPr>
          <w:rFonts w:hint="eastAsia" w:ascii="宋体" w:hAnsi="宋体" w:eastAsia="宋体" w:cs="宋体"/>
          <w:b/>
          <w:sz w:val="24"/>
          <w:szCs w:val="24"/>
        </w:rPr>
        <w:t>2.1 定义</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347" w:name="_Ref467378840"/>
      <w:r>
        <w:rPr>
          <w:rFonts w:hint="eastAsia" w:ascii="宋体" w:hAnsi="宋体" w:eastAsia="宋体" w:cs="宋体"/>
          <w:sz w:val="24"/>
          <w:szCs w:val="24"/>
        </w:rPr>
        <w:t>2.1.4 “甲方”系指与中标供应商签署合同的采购人</w:t>
      </w:r>
      <w:bookmarkEnd w:id="347"/>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348" w:name="_Ref467379400"/>
      <w:r>
        <w:rPr>
          <w:rFonts w:hint="eastAsia" w:ascii="宋体" w:hAnsi="宋体" w:eastAsia="宋体" w:cs="宋体"/>
          <w:sz w:val="24"/>
          <w:szCs w:val="24"/>
        </w:rPr>
        <w:t>2.1.5 “乙方”系指根据合同约定提供服务的中标供应商</w:t>
      </w:r>
      <w:bookmarkEnd w:id="348"/>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349" w:name="_Ref467379436"/>
      <w:r>
        <w:rPr>
          <w:rFonts w:hint="eastAsia" w:ascii="宋体" w:hAnsi="宋体" w:eastAsia="宋体" w:cs="宋体"/>
          <w:sz w:val="24"/>
          <w:szCs w:val="24"/>
        </w:rPr>
        <w:t>2.1.6 “现场”系指合同约定提供服务的地点。</w:t>
      </w:r>
      <w:bookmarkEnd w:id="349"/>
    </w:p>
    <w:p>
      <w:pPr>
        <w:spacing w:line="560" w:lineRule="exact"/>
        <w:ind w:firstLine="482" w:firstLineChars="200"/>
        <w:outlineLvl w:val="0"/>
        <w:rPr>
          <w:rFonts w:hint="eastAsia" w:ascii="宋体" w:hAnsi="宋体" w:eastAsia="宋体" w:cs="宋体"/>
          <w:b/>
          <w:sz w:val="24"/>
          <w:szCs w:val="24"/>
        </w:rPr>
      </w:pPr>
      <w:bookmarkStart w:id="350" w:name="_Toc19539"/>
      <w:bookmarkStart w:id="351" w:name="_Toc279701241"/>
      <w:bookmarkStart w:id="352" w:name="_Toc487900350"/>
      <w:bookmarkStart w:id="353" w:name="_Toc23289"/>
      <w:bookmarkStart w:id="354" w:name="_Toc259093670"/>
      <w:bookmarkStart w:id="355" w:name="_Toc16752"/>
      <w:bookmarkStart w:id="356" w:name="_Toc31402"/>
      <w:bookmarkStart w:id="357" w:name="_Toc3769"/>
      <w:r>
        <w:rPr>
          <w:rFonts w:hint="eastAsia" w:ascii="宋体" w:hAnsi="宋体" w:eastAsia="宋体" w:cs="宋体"/>
          <w:b/>
          <w:sz w:val="24"/>
          <w:szCs w:val="24"/>
        </w:rPr>
        <w:t>2.2 技术规范</w:t>
      </w:r>
      <w:bookmarkEnd w:id="350"/>
      <w:bookmarkEnd w:id="351"/>
      <w:bookmarkEnd w:id="352"/>
      <w:bookmarkEnd w:id="353"/>
      <w:bookmarkEnd w:id="354"/>
      <w:bookmarkEnd w:id="355"/>
      <w:bookmarkEnd w:id="356"/>
      <w:bookmarkEnd w:id="35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358" w:name="_Toc27945"/>
      <w:bookmarkStart w:id="359" w:name="_Toc13673"/>
      <w:bookmarkStart w:id="360" w:name="_Toc12412"/>
      <w:bookmarkStart w:id="361" w:name="_Toc487900351"/>
      <w:bookmarkStart w:id="362" w:name="_Toc279701242"/>
      <w:bookmarkStart w:id="363" w:name="_Toc9161"/>
      <w:bookmarkStart w:id="364" w:name="_Toc259093671"/>
      <w:bookmarkStart w:id="365" w:name="_Toc4133"/>
      <w:r>
        <w:rPr>
          <w:rFonts w:hint="eastAsia" w:ascii="宋体" w:hAnsi="宋体" w:eastAsia="宋体" w:cs="宋体"/>
          <w:b/>
          <w:sz w:val="24"/>
          <w:szCs w:val="24"/>
        </w:rPr>
        <w:t>2.3 知识产权</w:t>
      </w:r>
      <w:bookmarkEnd w:id="358"/>
      <w:bookmarkEnd w:id="359"/>
      <w:bookmarkEnd w:id="360"/>
      <w:bookmarkEnd w:id="361"/>
      <w:bookmarkEnd w:id="362"/>
      <w:bookmarkEnd w:id="363"/>
      <w:bookmarkEnd w:id="364"/>
      <w:bookmarkEnd w:id="36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366" w:name="_Ref467379657"/>
      <w:r>
        <w:rPr>
          <w:rFonts w:hint="eastAsia" w:ascii="宋体" w:hAnsi="宋体" w:eastAsia="宋体" w:cs="宋体"/>
          <w:sz w:val="24"/>
          <w:szCs w:val="24"/>
        </w:rPr>
        <w:t>2.4.1</w:t>
      </w:r>
      <w:bookmarkEnd w:id="366"/>
      <w:bookmarkStart w:id="367" w:name="_Toc186431854"/>
      <w:bookmarkStart w:id="368" w:name="_Ref467379807"/>
      <w:bookmarkStart w:id="369" w:name="_Toc259093676"/>
      <w:bookmarkStart w:id="370" w:name="_Toc279701247"/>
      <w:bookmarkStart w:id="371" w:name="_Toc487900357"/>
      <w:bookmarkStart w:id="372"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367"/>
      <w:bookmarkStart w:id="373" w:name="_Toc186431855"/>
      <w:r>
        <w:rPr>
          <w:rFonts w:hint="eastAsia" w:ascii="宋体" w:hAnsi="宋体" w:eastAsia="宋体" w:cs="宋体"/>
          <w:sz w:val="24"/>
          <w:szCs w:val="24"/>
        </w:rPr>
        <w:t>。</w:t>
      </w:r>
    </w:p>
    <w:bookmarkEnd w:id="373"/>
    <w:p>
      <w:pPr>
        <w:spacing w:line="560" w:lineRule="exact"/>
        <w:ind w:firstLine="482" w:firstLineChars="200"/>
        <w:outlineLvl w:val="0"/>
        <w:rPr>
          <w:rFonts w:hint="eastAsia" w:ascii="宋体" w:hAnsi="宋体" w:eastAsia="宋体" w:cs="宋体"/>
          <w:b/>
          <w:sz w:val="24"/>
          <w:szCs w:val="24"/>
        </w:rPr>
      </w:pPr>
      <w:bookmarkStart w:id="374" w:name="_Toc22011"/>
      <w:bookmarkStart w:id="375" w:name="_Toc31233"/>
      <w:bookmarkStart w:id="376" w:name="_Toc15447"/>
      <w:bookmarkStart w:id="377" w:name="_Toc32670"/>
      <w:bookmarkStart w:id="378" w:name="_Toc26555"/>
      <w:r>
        <w:rPr>
          <w:rFonts w:hint="eastAsia" w:ascii="宋体" w:hAnsi="宋体" w:eastAsia="宋体" w:cs="宋体"/>
          <w:b/>
          <w:sz w:val="24"/>
          <w:szCs w:val="24"/>
        </w:rPr>
        <w:t>2.5 结算方式和付款条件</w:t>
      </w:r>
      <w:bookmarkEnd w:id="368"/>
      <w:bookmarkEnd w:id="369"/>
      <w:bookmarkEnd w:id="370"/>
      <w:bookmarkEnd w:id="371"/>
      <w:bookmarkEnd w:id="372"/>
      <w:bookmarkEnd w:id="374"/>
      <w:bookmarkEnd w:id="375"/>
      <w:bookmarkEnd w:id="376"/>
      <w:bookmarkEnd w:id="377"/>
      <w:bookmarkEnd w:id="37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79" w:name="_Ref467379852"/>
      <w:bookmarkStart w:id="380" w:name="_Toc259093677"/>
      <w:bookmarkStart w:id="381" w:name="_Toc487900358"/>
      <w:bookmarkStart w:id="382" w:name="_Ref467379923"/>
      <w:bookmarkStart w:id="383" w:name="_Ref467379863"/>
      <w:bookmarkStart w:id="384" w:name="_Toc279701248"/>
      <w:bookmarkStart w:id="385" w:name="_Toc18990"/>
      <w:bookmarkStart w:id="386" w:name="_Toc16163"/>
      <w:bookmarkStart w:id="387" w:name="_Toc30507"/>
      <w:bookmarkStart w:id="388" w:name="_Toc13467"/>
      <w:bookmarkStart w:id="389" w:name="_Toc13154"/>
      <w:r>
        <w:rPr>
          <w:rFonts w:hint="eastAsia" w:ascii="宋体" w:hAnsi="宋体" w:eastAsia="宋体" w:cs="宋体"/>
          <w:b/>
          <w:sz w:val="24"/>
          <w:szCs w:val="24"/>
        </w:rPr>
        <w:t>2.6 技术资料</w:t>
      </w:r>
      <w:bookmarkEnd w:id="379"/>
      <w:bookmarkEnd w:id="380"/>
      <w:bookmarkEnd w:id="381"/>
      <w:bookmarkEnd w:id="382"/>
      <w:bookmarkEnd w:id="383"/>
      <w:bookmarkEnd w:id="384"/>
      <w:r>
        <w:rPr>
          <w:rFonts w:hint="eastAsia" w:ascii="宋体" w:hAnsi="宋体" w:eastAsia="宋体" w:cs="宋体"/>
          <w:b/>
          <w:sz w:val="24"/>
          <w:szCs w:val="24"/>
        </w:rPr>
        <w:t>和保密义务</w:t>
      </w:r>
      <w:bookmarkEnd w:id="385"/>
      <w:bookmarkEnd w:id="386"/>
      <w:bookmarkEnd w:id="387"/>
      <w:bookmarkEnd w:id="388"/>
      <w:bookmarkEnd w:id="38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390" w:name="_Toc19069"/>
      <w:bookmarkStart w:id="391" w:name="_Toc279701252"/>
      <w:bookmarkStart w:id="392" w:name="_Toc259093681"/>
      <w:bookmarkStart w:id="393" w:name="_Toc487900362"/>
      <w:r>
        <w:rPr>
          <w:rFonts w:hint="eastAsia" w:ascii="宋体" w:hAnsi="宋体" w:eastAsia="宋体" w:cs="宋体"/>
          <w:b/>
          <w:sz w:val="24"/>
          <w:szCs w:val="24"/>
        </w:rPr>
        <w:t>2.7 质量保证</w:t>
      </w:r>
      <w:bookmarkEnd w:id="39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394" w:name="_Toc22267"/>
      <w:r>
        <w:rPr>
          <w:rFonts w:hint="eastAsia" w:ascii="宋体" w:hAnsi="宋体" w:eastAsia="宋体" w:cs="宋体"/>
          <w:b/>
          <w:sz w:val="24"/>
          <w:szCs w:val="24"/>
        </w:rPr>
        <w:t>2.8 延迟</w:t>
      </w:r>
      <w:bookmarkEnd w:id="391"/>
      <w:bookmarkEnd w:id="392"/>
      <w:bookmarkEnd w:id="393"/>
      <w:r>
        <w:rPr>
          <w:rFonts w:hint="eastAsia" w:ascii="宋体" w:hAnsi="宋体" w:eastAsia="宋体" w:cs="宋体"/>
          <w:b/>
          <w:sz w:val="24"/>
          <w:szCs w:val="24"/>
        </w:rPr>
        <w:t>履行</w:t>
      </w:r>
      <w:bookmarkEnd w:id="39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395" w:name="_Toc10611"/>
      <w:bookmarkStart w:id="396" w:name="_Toc259093683"/>
      <w:bookmarkStart w:id="397" w:name="_Ref467378121"/>
      <w:bookmarkStart w:id="398" w:name="_Toc279701254"/>
      <w:bookmarkStart w:id="399" w:name="_Toc487900364"/>
      <w:r>
        <w:rPr>
          <w:rFonts w:hint="eastAsia" w:ascii="宋体" w:hAnsi="宋体" w:eastAsia="宋体" w:cs="宋体"/>
          <w:b/>
          <w:sz w:val="24"/>
          <w:szCs w:val="24"/>
        </w:rPr>
        <w:t>2.9 合同变更</w:t>
      </w:r>
      <w:bookmarkEnd w:id="39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00" w:name="_Toc487900369"/>
      <w:bookmarkStart w:id="401" w:name="_Toc259093688"/>
      <w:bookmarkStart w:id="402" w:name="_Toc279701259"/>
    </w:p>
    <w:p>
      <w:pPr>
        <w:spacing w:line="560" w:lineRule="exact"/>
        <w:ind w:firstLine="482" w:firstLineChars="200"/>
        <w:outlineLvl w:val="0"/>
        <w:rPr>
          <w:rFonts w:hint="eastAsia" w:ascii="宋体" w:hAnsi="宋体" w:eastAsia="宋体" w:cs="宋体"/>
          <w:b/>
          <w:sz w:val="24"/>
          <w:szCs w:val="24"/>
        </w:rPr>
      </w:pPr>
      <w:bookmarkStart w:id="403" w:name="_Toc21830"/>
      <w:bookmarkStart w:id="404" w:name="_Toc26689"/>
      <w:bookmarkStart w:id="405" w:name="_Toc42"/>
      <w:bookmarkStart w:id="406" w:name="_Toc10663"/>
      <w:bookmarkStart w:id="407" w:name="_Toc23368"/>
      <w:r>
        <w:rPr>
          <w:rFonts w:hint="eastAsia" w:ascii="宋体" w:hAnsi="宋体" w:eastAsia="宋体" w:cs="宋体"/>
          <w:b/>
          <w:sz w:val="24"/>
          <w:szCs w:val="24"/>
        </w:rPr>
        <w:t>2.10 合同转让</w:t>
      </w:r>
      <w:bookmarkEnd w:id="400"/>
      <w:bookmarkEnd w:id="401"/>
      <w:bookmarkEnd w:id="402"/>
      <w:r>
        <w:rPr>
          <w:rFonts w:hint="eastAsia" w:ascii="宋体" w:hAnsi="宋体" w:eastAsia="宋体" w:cs="宋体"/>
          <w:b/>
          <w:sz w:val="24"/>
          <w:szCs w:val="24"/>
        </w:rPr>
        <w:t>和分包</w:t>
      </w:r>
      <w:bookmarkEnd w:id="403"/>
      <w:bookmarkEnd w:id="404"/>
      <w:bookmarkEnd w:id="405"/>
      <w:bookmarkEnd w:id="406"/>
      <w:bookmarkEnd w:id="40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408" w:name="_Toc4720"/>
      <w:bookmarkStart w:id="409" w:name="_Toc14371"/>
      <w:bookmarkStart w:id="410" w:name="_Toc25571"/>
      <w:bookmarkStart w:id="411" w:name="_Toc32494"/>
      <w:bookmarkStart w:id="412" w:name="_Toc26633"/>
      <w:r>
        <w:rPr>
          <w:rFonts w:hint="eastAsia" w:ascii="宋体" w:hAnsi="宋体" w:eastAsia="宋体" w:cs="宋体"/>
          <w:b/>
          <w:sz w:val="24"/>
          <w:szCs w:val="24"/>
        </w:rPr>
        <w:t>2.11 不可抗力</w:t>
      </w:r>
      <w:bookmarkEnd w:id="408"/>
      <w:bookmarkEnd w:id="409"/>
      <w:bookmarkEnd w:id="410"/>
      <w:bookmarkEnd w:id="411"/>
      <w:bookmarkEnd w:id="41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413" w:name="_Toc25783"/>
      <w:bookmarkStart w:id="414" w:name="_Toc3638"/>
      <w:bookmarkStart w:id="415" w:name="_Toc23854"/>
      <w:bookmarkStart w:id="416" w:name="_Toc487900365"/>
      <w:bookmarkStart w:id="417" w:name="_Toc24465"/>
      <w:bookmarkStart w:id="418" w:name="_Toc259093684"/>
      <w:bookmarkStart w:id="419" w:name="_Toc279701255"/>
      <w:bookmarkStart w:id="420" w:name="_Toc14115"/>
      <w:r>
        <w:rPr>
          <w:rFonts w:hint="eastAsia" w:ascii="宋体" w:hAnsi="宋体" w:eastAsia="宋体" w:cs="宋体"/>
          <w:b/>
          <w:sz w:val="24"/>
          <w:szCs w:val="24"/>
        </w:rPr>
        <w:t>2.12 税费</w:t>
      </w:r>
      <w:bookmarkEnd w:id="413"/>
      <w:bookmarkEnd w:id="414"/>
      <w:bookmarkEnd w:id="415"/>
      <w:bookmarkEnd w:id="416"/>
      <w:bookmarkEnd w:id="417"/>
      <w:bookmarkEnd w:id="418"/>
      <w:bookmarkEnd w:id="419"/>
      <w:bookmarkEnd w:id="42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421" w:name="_Toc487900368"/>
      <w:bookmarkStart w:id="422" w:name="_Toc30105"/>
      <w:bookmarkStart w:id="423" w:name="_Toc25525"/>
      <w:bookmarkStart w:id="424" w:name="_Toc7315"/>
      <w:bookmarkStart w:id="425" w:name="_Toc26883"/>
      <w:bookmarkStart w:id="426" w:name="_Toc259093687"/>
      <w:bookmarkStart w:id="427" w:name="_Toc14814"/>
      <w:bookmarkStart w:id="428" w:name="_Toc279701258"/>
      <w:r>
        <w:rPr>
          <w:rFonts w:hint="eastAsia" w:ascii="宋体" w:hAnsi="宋体" w:eastAsia="宋体" w:cs="宋体"/>
          <w:b/>
          <w:sz w:val="24"/>
          <w:szCs w:val="24"/>
        </w:rPr>
        <w:t>2.13 乙方破产</w:t>
      </w:r>
      <w:bookmarkEnd w:id="421"/>
      <w:bookmarkEnd w:id="422"/>
      <w:bookmarkEnd w:id="423"/>
      <w:bookmarkEnd w:id="424"/>
      <w:bookmarkEnd w:id="425"/>
      <w:bookmarkEnd w:id="426"/>
      <w:bookmarkEnd w:id="427"/>
      <w:bookmarkEnd w:id="42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429" w:name="_Toc23323"/>
      <w:bookmarkStart w:id="430" w:name="_Toc2016"/>
      <w:bookmarkStart w:id="431" w:name="_Toc1123"/>
      <w:r>
        <w:rPr>
          <w:rFonts w:hint="eastAsia" w:ascii="宋体" w:hAnsi="宋体" w:eastAsia="宋体" w:cs="宋体"/>
          <w:b/>
          <w:sz w:val="24"/>
          <w:szCs w:val="24"/>
        </w:rPr>
        <w:t>2.14 合同中止、终止</w:t>
      </w:r>
      <w:bookmarkEnd w:id="429"/>
      <w:bookmarkEnd w:id="430"/>
      <w:bookmarkEnd w:id="43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432" w:name="_Toc1969"/>
      <w:bookmarkStart w:id="433" w:name="_Toc17363"/>
      <w:bookmarkStart w:id="434" w:name="_Toc14525"/>
      <w:r>
        <w:rPr>
          <w:rFonts w:hint="eastAsia" w:ascii="宋体" w:hAnsi="宋体" w:eastAsia="宋体" w:cs="宋体"/>
          <w:b/>
          <w:sz w:val="24"/>
          <w:szCs w:val="24"/>
        </w:rPr>
        <w:t>2.15 检验和验收</w:t>
      </w:r>
      <w:bookmarkEnd w:id="432"/>
      <w:bookmarkEnd w:id="433"/>
      <w:bookmarkEnd w:id="434"/>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396"/>
    <w:bookmarkEnd w:id="397"/>
    <w:bookmarkEnd w:id="398"/>
    <w:bookmarkEnd w:id="399"/>
    <w:p>
      <w:pPr>
        <w:spacing w:line="560" w:lineRule="exact"/>
        <w:ind w:firstLine="482" w:firstLineChars="200"/>
        <w:outlineLvl w:val="0"/>
        <w:rPr>
          <w:rFonts w:hint="eastAsia" w:ascii="宋体" w:hAnsi="宋体" w:eastAsia="宋体" w:cs="宋体"/>
          <w:b/>
          <w:sz w:val="24"/>
          <w:szCs w:val="24"/>
        </w:rPr>
      </w:pPr>
      <w:bookmarkStart w:id="435" w:name="_Toc259093690"/>
      <w:bookmarkStart w:id="436" w:name="_Toc487900371"/>
      <w:bookmarkStart w:id="437" w:name="_Toc279701261"/>
      <w:bookmarkStart w:id="438" w:name="_Toc31892"/>
      <w:bookmarkStart w:id="439" w:name="_Toc25198"/>
      <w:bookmarkStart w:id="440" w:name="_Toc9808"/>
      <w:bookmarkStart w:id="441" w:name="_Toc12666"/>
      <w:bookmarkStart w:id="442" w:name="_Toc2308"/>
      <w:r>
        <w:rPr>
          <w:rFonts w:hint="eastAsia" w:ascii="宋体" w:hAnsi="宋体" w:eastAsia="宋体" w:cs="宋体"/>
          <w:b/>
          <w:sz w:val="24"/>
          <w:szCs w:val="24"/>
        </w:rPr>
        <w:t>2.16 通知</w:t>
      </w:r>
      <w:bookmarkEnd w:id="435"/>
      <w:bookmarkEnd w:id="436"/>
      <w:bookmarkEnd w:id="437"/>
      <w:r>
        <w:rPr>
          <w:rFonts w:hint="eastAsia" w:ascii="宋体" w:hAnsi="宋体" w:eastAsia="宋体" w:cs="宋体"/>
          <w:b/>
          <w:sz w:val="24"/>
          <w:szCs w:val="24"/>
        </w:rPr>
        <w:t>和送达</w:t>
      </w:r>
      <w:bookmarkEnd w:id="438"/>
      <w:bookmarkEnd w:id="439"/>
      <w:bookmarkEnd w:id="440"/>
      <w:bookmarkEnd w:id="441"/>
      <w:bookmarkEnd w:id="442"/>
    </w:p>
    <w:p>
      <w:pPr>
        <w:spacing w:line="560" w:lineRule="exact"/>
        <w:ind w:firstLine="480" w:firstLineChars="200"/>
        <w:rPr>
          <w:rFonts w:hint="eastAsia" w:ascii="宋体" w:hAnsi="宋体" w:eastAsia="宋体" w:cs="宋体"/>
          <w:sz w:val="24"/>
          <w:szCs w:val="24"/>
        </w:rPr>
      </w:pPr>
      <w:bookmarkStart w:id="443" w:name="_Toc7073"/>
      <w:bookmarkStart w:id="444" w:name="_Toc29220"/>
      <w:bookmarkStart w:id="445" w:name="_Toc259093691"/>
      <w:bookmarkStart w:id="446" w:name="_Toc279701262"/>
      <w:bookmarkStart w:id="447"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443"/>
      <w:bookmarkEnd w:id="444"/>
    </w:p>
    <w:p>
      <w:pPr>
        <w:spacing w:line="560" w:lineRule="exact"/>
        <w:ind w:firstLine="480" w:firstLineChars="200"/>
        <w:rPr>
          <w:rFonts w:hint="eastAsia" w:ascii="宋体" w:hAnsi="宋体" w:eastAsia="宋体" w:cs="宋体"/>
          <w:sz w:val="24"/>
          <w:szCs w:val="24"/>
        </w:rPr>
      </w:pPr>
      <w:bookmarkStart w:id="448" w:name="_Toc27674"/>
      <w:bookmarkStart w:id="449"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48"/>
      <w:bookmarkEnd w:id="449"/>
    </w:p>
    <w:bookmarkEnd w:id="445"/>
    <w:bookmarkEnd w:id="446"/>
    <w:bookmarkEnd w:id="447"/>
    <w:p>
      <w:pPr>
        <w:spacing w:line="560" w:lineRule="exact"/>
        <w:ind w:firstLine="482" w:firstLineChars="200"/>
        <w:outlineLvl w:val="0"/>
        <w:rPr>
          <w:rFonts w:hint="eastAsia" w:ascii="宋体" w:hAnsi="宋体" w:eastAsia="宋体" w:cs="宋体"/>
          <w:b/>
          <w:sz w:val="24"/>
          <w:szCs w:val="24"/>
        </w:rPr>
      </w:pPr>
      <w:bookmarkStart w:id="450" w:name="_Toc259093692"/>
      <w:bookmarkStart w:id="451" w:name="_Toc487900373"/>
      <w:bookmarkStart w:id="452" w:name="_Toc279701263"/>
      <w:bookmarkStart w:id="453" w:name="_Toc28906"/>
      <w:bookmarkStart w:id="454" w:name="_Toc20808"/>
      <w:bookmarkStart w:id="455" w:name="_Toc5063"/>
      <w:bookmarkStart w:id="456" w:name="_Toc27644"/>
      <w:bookmarkStart w:id="457" w:name="_Toc12254"/>
      <w:r>
        <w:rPr>
          <w:rFonts w:hint="eastAsia" w:ascii="宋体" w:hAnsi="宋体" w:eastAsia="宋体" w:cs="宋体"/>
          <w:b/>
          <w:sz w:val="24"/>
          <w:szCs w:val="24"/>
        </w:rPr>
        <w:t>2.17 合同使用的文字和适用的法律</w:t>
      </w:r>
      <w:bookmarkEnd w:id="450"/>
      <w:bookmarkEnd w:id="451"/>
      <w:bookmarkEnd w:id="452"/>
      <w:bookmarkEnd w:id="453"/>
      <w:bookmarkEnd w:id="454"/>
      <w:bookmarkEnd w:id="455"/>
      <w:bookmarkEnd w:id="456"/>
      <w:bookmarkEnd w:id="45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458" w:name="_Toc1492"/>
      <w:bookmarkStart w:id="459" w:name="_Toc259093693"/>
      <w:bookmarkStart w:id="460" w:name="_Toc27127"/>
      <w:bookmarkStart w:id="461" w:name="_Toc30096"/>
      <w:bookmarkStart w:id="462" w:name="_Toc279701264"/>
      <w:bookmarkStart w:id="463" w:name="_Toc27403"/>
      <w:bookmarkStart w:id="464" w:name="_Toc487900374"/>
      <w:r>
        <w:rPr>
          <w:rFonts w:hint="eastAsia" w:ascii="宋体" w:hAnsi="宋体" w:eastAsia="宋体" w:cs="宋体"/>
          <w:b/>
          <w:sz w:val="24"/>
          <w:szCs w:val="24"/>
        </w:rPr>
        <w:t>2.18 履约保证金</w:t>
      </w:r>
      <w:bookmarkEnd w:id="458"/>
      <w:bookmarkEnd w:id="459"/>
      <w:bookmarkEnd w:id="460"/>
      <w:bookmarkEnd w:id="461"/>
      <w:bookmarkEnd w:id="462"/>
      <w:bookmarkEnd w:id="46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w:t>
      </w:r>
      <w:r>
        <w:rPr>
          <w:rFonts w:hint="eastAsia" w:ascii="宋体" w:hAnsi="宋体" w:cs="宋体"/>
          <w:sz w:val="24"/>
          <w:szCs w:val="24"/>
          <w:lang w:val="en-US" w:eastAsia="zh-CN"/>
        </w:rPr>
        <w:t>5</w:t>
      </w:r>
      <w:r>
        <w:rPr>
          <w:rFonts w:hint="eastAsia" w:ascii="宋体" w:hAnsi="宋体" w:eastAsia="宋体" w:cs="宋体"/>
          <w:sz w:val="24"/>
          <w:szCs w:val="24"/>
        </w:rPr>
        <w:t>%的履约保证金；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4"/>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75"/>
        <w:spacing w:line="560" w:lineRule="exact"/>
        <w:ind w:firstLine="0"/>
        <w:jc w:val="center"/>
        <w:rPr>
          <w:rFonts w:hint="eastAsia" w:ascii="宋体" w:hAnsi="宋体" w:eastAsia="宋体" w:cs="宋体"/>
          <w:b/>
          <w:sz w:val="24"/>
          <w:szCs w:val="24"/>
        </w:rPr>
      </w:pPr>
      <w:r>
        <w:rPr>
          <w:rFonts w:hint="eastAsia" w:ascii="宋体" w:hAnsi="宋体" w:eastAsia="宋体" w:cs="宋体"/>
          <w:sz w:val="24"/>
          <w:szCs w:val="24"/>
        </w:rPr>
        <w:br w:type="page"/>
      </w:r>
      <w:bookmarkStart w:id="465" w:name="_Toc331685784"/>
      <w:r>
        <w:rPr>
          <w:rFonts w:hint="eastAsia" w:ascii="宋体" w:hAnsi="宋体" w:eastAsia="宋体" w:cs="宋体"/>
          <w:b/>
          <w:sz w:val="24"/>
          <w:szCs w:val="24"/>
        </w:rPr>
        <w:t>第三部分  合同专用条款</w:t>
      </w:r>
      <w:bookmarkEnd w:id="46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pPr w:leftFromText="180" w:rightFromText="180" w:vertAnchor="text" w:horzAnchor="page" w:tblpX="1098" w:tblpY="953"/>
        <w:tblOverlap w:val="never"/>
        <w:tblW w:w="97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3"/>
        <w:gridCol w:w="87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8796" w:type="dxa"/>
            <w:vAlign w:val="center"/>
          </w:tcPr>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hint="eastAsia" w:ascii="宋体" w:hAnsi="宋体" w:eastAsia="宋体" w:cs="宋体"/>
                <w:sz w:val="24"/>
                <w:szCs w:val="24"/>
              </w:rPr>
            </w:pPr>
          </w:p>
        </w:tc>
        <w:tc>
          <w:tcPr>
            <w:tcW w:w="8796" w:type="dxa"/>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szCs w:val="24"/>
              </w:rPr>
            </w:pPr>
          </w:p>
        </w:tc>
        <w:tc>
          <w:tcPr>
            <w:tcW w:w="8796"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923"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szCs w:val="24"/>
              </w:rPr>
            </w:pPr>
          </w:p>
        </w:tc>
        <w:tc>
          <w:tcPr>
            <w:tcW w:w="8796"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szCs w:val="24"/>
              </w:rPr>
            </w:pPr>
          </w:p>
        </w:tc>
      </w:tr>
    </w:tbl>
    <w:p>
      <w:pPr>
        <w:pStyle w:val="25"/>
        <w:spacing w:line="360" w:lineRule="auto"/>
        <w:rPr>
          <w:rFonts w:hint="eastAsia" w:ascii="仿宋" w:hAnsi="仿宋" w:eastAsia="仿宋" w:cs="仿宋"/>
          <w:b/>
          <w:bCs/>
          <w:color w:val="auto"/>
          <w:sz w:val="24"/>
          <w:szCs w:val="24"/>
          <w:highlight w:val="none"/>
        </w:rPr>
      </w:pPr>
    </w:p>
    <w:p>
      <w:pPr>
        <w:pStyle w:val="25"/>
        <w:spacing w:line="360" w:lineRule="auto"/>
        <w:ind w:firstLine="241" w:firstLineChars="100"/>
        <w:rPr>
          <w:rFonts w:hint="eastAsia" w:ascii="仿宋" w:hAnsi="仿宋" w:eastAsia="仿宋" w:cs="仿宋"/>
          <w:b/>
          <w:bCs/>
          <w:color w:val="auto"/>
          <w:sz w:val="24"/>
          <w:szCs w:val="24"/>
          <w:highlight w:val="none"/>
        </w:rPr>
      </w:pPr>
    </w:p>
    <w:p>
      <w:pPr>
        <w:pStyle w:val="25"/>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未尽事宜，在签订合同时具体约定。</w:t>
      </w:r>
    </w:p>
    <w:p>
      <w:pPr>
        <w:pStyle w:val="25"/>
        <w:spacing w:line="360" w:lineRule="auto"/>
        <w:ind w:firstLine="241" w:firstLineChars="100"/>
        <w:rPr>
          <w:rFonts w:hint="eastAsia" w:ascii="仿宋" w:hAnsi="仿宋" w:eastAsia="仿宋" w:cs="仿宋"/>
          <w:b/>
          <w:bCs/>
          <w:color w:val="auto"/>
          <w:sz w:val="24"/>
          <w:szCs w:val="24"/>
          <w:highlight w:val="none"/>
        </w:rPr>
      </w:pPr>
    </w:p>
    <w:p>
      <w:pPr>
        <w:pStyle w:val="25"/>
        <w:spacing w:line="360" w:lineRule="auto"/>
        <w:ind w:firstLine="241" w:firstLineChars="100"/>
        <w:rPr>
          <w:rFonts w:hint="eastAsia" w:ascii="仿宋" w:hAnsi="仿宋" w:eastAsia="仿宋" w:cs="仿宋"/>
          <w:b/>
          <w:bCs/>
          <w:color w:val="auto"/>
          <w:sz w:val="24"/>
          <w:szCs w:val="24"/>
          <w:highlight w:val="none"/>
        </w:rPr>
      </w:pPr>
    </w:p>
    <w:p>
      <w:pPr>
        <w:pStyle w:val="25"/>
        <w:spacing w:line="360" w:lineRule="auto"/>
        <w:ind w:firstLine="241" w:firstLineChars="100"/>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30"/>
        <w:numPr>
          <w:ilvl w:val="0"/>
          <w:numId w:val="0"/>
        </w:numPr>
        <w:jc w:val="center"/>
        <w:rPr>
          <w:rFonts w:hint="eastAsia" w:ascii="仿宋" w:hAnsi="仿宋" w:eastAsia="仿宋" w:cs="仿宋"/>
          <w:b/>
          <w:bCs/>
          <w:snapToGrid/>
          <w:color w:val="auto"/>
          <w:kern w:val="44"/>
          <w:sz w:val="32"/>
          <w:szCs w:val="32"/>
          <w:highlight w:val="none"/>
          <w:lang w:val="en-US" w:eastAsia="zh-CN" w:bidi="ar-SA"/>
        </w:rPr>
      </w:pPr>
      <w:bookmarkStart w:id="466" w:name="_Toc3845"/>
      <w:r>
        <w:rPr>
          <w:rFonts w:hint="eastAsia" w:ascii="仿宋" w:hAnsi="仿宋" w:eastAsia="仿宋" w:cs="仿宋"/>
          <w:b/>
          <w:bCs/>
          <w:snapToGrid/>
          <w:color w:val="auto"/>
          <w:kern w:val="44"/>
          <w:sz w:val="32"/>
          <w:szCs w:val="32"/>
          <w:highlight w:val="none"/>
          <w:lang w:val="en-US" w:eastAsia="zh-CN" w:bidi="ar-SA"/>
        </w:rPr>
        <w:t>第五章 采购需求</w:t>
      </w:r>
    </w:p>
    <w:p>
      <w:pPr>
        <w:pStyle w:val="30"/>
        <w:numPr>
          <w:ilvl w:val="0"/>
          <w:numId w:val="0"/>
        </w:numPr>
        <w:jc w:val="center"/>
        <w:rPr>
          <w:rFonts w:hint="eastAsia" w:ascii="仿宋" w:hAnsi="仿宋" w:eastAsia="仿宋" w:cs="仿宋"/>
          <w:b w:val="0"/>
          <w:bCs w:val="0"/>
          <w:snapToGrid/>
          <w:color w:val="auto"/>
          <w:kern w:val="44"/>
          <w:sz w:val="28"/>
          <w:szCs w:val="28"/>
          <w:highlight w:val="none"/>
          <w:lang w:val="en-US" w:eastAsia="zh-CN" w:bidi="ar-SA"/>
        </w:rPr>
      </w:pPr>
      <w:r>
        <w:rPr>
          <w:rFonts w:hint="eastAsia" w:ascii="仿宋" w:hAnsi="仿宋" w:eastAsia="仿宋" w:cs="仿宋"/>
          <w:b/>
          <w:bCs/>
          <w:snapToGrid/>
          <w:color w:val="auto"/>
          <w:kern w:val="44"/>
          <w:sz w:val="30"/>
          <w:szCs w:val="30"/>
          <w:highlight w:val="none"/>
          <w:lang w:val="en-US" w:eastAsia="zh-CN" w:bidi="ar-SA"/>
        </w:rPr>
        <w:t>一、采购内容及要求</w:t>
      </w:r>
      <w:bookmarkEnd w:id="466"/>
    </w:p>
    <w:p>
      <w:pPr>
        <w:jc w:val="left"/>
        <w:rPr>
          <w:rFonts w:hint="default" w:ascii="仿宋" w:hAnsi="仿宋" w:eastAsia="仿宋" w:cs="仿宋"/>
          <w:b w:val="0"/>
          <w:bCs w:val="0"/>
          <w:snapToGrid/>
          <w:color w:val="auto"/>
          <w:kern w:val="44"/>
          <w:sz w:val="28"/>
          <w:szCs w:val="28"/>
          <w:highlight w:val="none"/>
          <w:lang w:val="en-US" w:eastAsia="zh-CN" w:bidi="ar-SA"/>
        </w:rPr>
      </w:pPr>
      <w:r>
        <w:rPr>
          <w:rFonts w:hint="eastAsia" w:ascii="仿宋" w:hAnsi="仿宋" w:eastAsia="仿宋" w:cs="仿宋"/>
          <w:b/>
          <w:bCs/>
          <w:snapToGrid/>
          <w:color w:val="auto"/>
          <w:kern w:val="44"/>
          <w:sz w:val="28"/>
          <w:szCs w:val="28"/>
          <w:highlight w:val="none"/>
          <w:lang w:val="en-US" w:eastAsia="zh-CN" w:bidi="ar-SA"/>
        </w:rPr>
        <w:t>一、项目概况：</w:t>
      </w:r>
    </w:p>
    <w:p>
      <w:pPr>
        <w:ind w:firstLine="560" w:firstLineChars="200"/>
        <w:jc w:val="left"/>
        <w:rPr>
          <w:rFonts w:hint="eastAsia" w:ascii="仿宋" w:hAnsi="仿宋" w:eastAsia="仿宋" w:cs="仿宋"/>
          <w:b w:val="0"/>
          <w:bCs w:val="0"/>
          <w:snapToGrid/>
          <w:color w:val="auto"/>
          <w:kern w:val="44"/>
          <w:sz w:val="28"/>
          <w:szCs w:val="28"/>
          <w:highlight w:val="none"/>
          <w:lang w:val="en-US" w:eastAsia="zh-CN" w:bidi="ar-SA"/>
        </w:rPr>
      </w:pPr>
      <w:r>
        <w:rPr>
          <w:rFonts w:hint="eastAsia" w:ascii="仿宋" w:hAnsi="仿宋" w:eastAsia="仿宋" w:cs="仿宋"/>
          <w:b w:val="0"/>
          <w:bCs w:val="0"/>
          <w:snapToGrid/>
          <w:color w:val="auto"/>
          <w:kern w:val="44"/>
          <w:sz w:val="28"/>
          <w:szCs w:val="28"/>
          <w:highlight w:val="none"/>
          <w:lang w:val="en-US" w:eastAsia="zh-CN" w:bidi="ar-SA"/>
        </w:rPr>
        <w:t>为推进伊犁州小麦产业向高产、高效、现代化方向升级，全面提升粮食综合生产能力和种植效益，本项目聚焦小麦高产技术攻关、品种优化与示范推广，力争在单产水平上实现新突破，带动全州小麦产能跃升。通过科技创新、技术集成和全产业链服务，构建小麦绿色高产高效生产体系，助力乡村振兴与粮食安全。</w:t>
      </w:r>
    </w:p>
    <w:p>
      <w:pPr>
        <w:pStyle w:val="37"/>
        <w:numPr>
          <w:ilvl w:val="0"/>
          <w:numId w:val="57"/>
        </w:numPr>
        <w:ind w:left="0" w:leftChars="0" w:firstLine="0" w:firstLineChars="0"/>
        <w:rPr>
          <w:rFonts w:hint="eastAsia" w:ascii="仿宋" w:hAnsi="仿宋" w:eastAsia="仿宋" w:cs="仿宋"/>
          <w:b/>
          <w:bCs/>
          <w:snapToGrid/>
          <w:color w:val="auto"/>
          <w:kern w:val="44"/>
          <w:sz w:val="28"/>
          <w:szCs w:val="28"/>
          <w:highlight w:val="none"/>
          <w:lang w:val="en-US" w:eastAsia="zh-CN" w:bidi="ar-SA"/>
        </w:rPr>
      </w:pPr>
      <w:r>
        <w:rPr>
          <w:rFonts w:hint="eastAsia" w:ascii="仿宋" w:hAnsi="仿宋" w:eastAsia="仿宋" w:cs="仿宋"/>
          <w:b/>
          <w:bCs/>
          <w:snapToGrid/>
          <w:color w:val="auto"/>
          <w:kern w:val="44"/>
          <w:sz w:val="28"/>
          <w:szCs w:val="28"/>
          <w:highlight w:val="none"/>
          <w:lang w:val="en-US" w:eastAsia="zh-CN" w:bidi="ar-SA"/>
        </w:rPr>
        <w:t>具体技术参数：</w:t>
      </w:r>
    </w:p>
    <w:p>
      <w:pPr>
        <w:pStyle w:val="89"/>
        <w:spacing w:before="0" w:after="0"/>
        <w:ind w:firstLine="560" w:firstLineChars="200"/>
        <w:rPr>
          <w:rFonts w:hint="default" w:ascii="仿宋" w:hAnsi="仿宋" w:eastAsia="仿宋" w:cs="仿宋"/>
          <w:b w:val="0"/>
          <w:bCs w:val="0"/>
          <w:snapToGrid/>
          <w:color w:val="auto"/>
          <w:kern w:val="44"/>
          <w:sz w:val="28"/>
          <w:szCs w:val="28"/>
          <w:highlight w:val="none"/>
          <w:lang w:val="en-US" w:eastAsia="zh-CN" w:bidi="ar-SA"/>
        </w:rPr>
      </w:pPr>
      <w:bookmarkStart w:id="467" w:name="OLE_LINK1"/>
      <w:bookmarkStart w:id="468" w:name="OLE_LINK2"/>
      <w:r>
        <w:rPr>
          <w:rFonts w:hint="default" w:ascii="仿宋" w:hAnsi="仿宋" w:eastAsia="仿宋" w:cs="仿宋"/>
          <w:b w:val="0"/>
          <w:bCs w:val="0"/>
          <w:snapToGrid/>
          <w:color w:val="auto"/>
          <w:kern w:val="44"/>
          <w:sz w:val="28"/>
          <w:szCs w:val="28"/>
          <w:highlight w:val="none"/>
          <w:lang w:val="en-US" w:eastAsia="zh-CN" w:bidi="ar-SA"/>
        </w:rPr>
        <w:t>（1）组织国家及自治区小麦产业体系专家，对我州创建的“十百千万”高产创建田进行实收测产并达到其中一项：冬小麦争取在十亩、百亩、千亩、万亩最高单产分别达到890公斤、800公斤、760公斤、720公斤；春小麦争取在十亩、百亩、千亩、万亩最高单产分别达到720公斤、700公斤、600公斤、500公斤</w:t>
      </w:r>
      <w:r>
        <w:rPr>
          <w:rFonts w:hint="eastAsia" w:ascii="仿宋" w:hAnsi="仿宋" w:eastAsia="仿宋" w:cs="仿宋"/>
          <w:b w:val="0"/>
          <w:bCs w:val="0"/>
          <w:snapToGrid/>
          <w:color w:val="auto"/>
          <w:kern w:val="44"/>
          <w:sz w:val="28"/>
          <w:szCs w:val="28"/>
          <w:highlight w:val="none"/>
          <w:lang w:val="en-US" w:eastAsia="zh-CN" w:bidi="ar-SA"/>
        </w:rPr>
        <w:t>。</w:t>
      </w:r>
    </w:p>
    <w:p>
      <w:pPr>
        <w:pStyle w:val="89"/>
        <w:spacing w:before="0" w:after="0"/>
        <w:ind w:firstLine="560" w:firstLineChars="200"/>
        <w:rPr>
          <w:rFonts w:hint="default" w:ascii="仿宋" w:hAnsi="仿宋" w:eastAsia="仿宋" w:cs="仿宋"/>
          <w:b w:val="0"/>
          <w:bCs w:val="0"/>
          <w:snapToGrid/>
          <w:color w:val="auto"/>
          <w:kern w:val="44"/>
          <w:sz w:val="28"/>
          <w:szCs w:val="28"/>
          <w:highlight w:val="none"/>
          <w:lang w:val="en-US" w:eastAsia="zh-CN" w:bidi="ar-SA"/>
        </w:rPr>
      </w:pPr>
      <w:r>
        <w:rPr>
          <w:rFonts w:hint="default" w:ascii="仿宋" w:hAnsi="仿宋" w:eastAsia="仿宋" w:cs="仿宋"/>
          <w:b w:val="0"/>
          <w:bCs w:val="0"/>
          <w:snapToGrid/>
          <w:color w:val="auto"/>
          <w:kern w:val="44"/>
          <w:sz w:val="28"/>
          <w:szCs w:val="28"/>
          <w:highlight w:val="none"/>
          <w:lang w:val="en-US" w:eastAsia="zh-CN" w:bidi="ar-SA"/>
        </w:rPr>
        <w:t>（2）建立5个高产示范田，示范面积500亩以上。</w:t>
      </w:r>
    </w:p>
    <w:p>
      <w:pPr>
        <w:pStyle w:val="89"/>
        <w:spacing w:before="0" w:after="0"/>
        <w:ind w:firstLine="560" w:firstLineChars="200"/>
        <w:rPr>
          <w:rFonts w:hint="default" w:ascii="仿宋" w:hAnsi="仿宋" w:eastAsia="仿宋" w:cs="仿宋"/>
          <w:b w:val="0"/>
          <w:bCs w:val="0"/>
          <w:snapToGrid/>
          <w:color w:val="auto"/>
          <w:kern w:val="44"/>
          <w:sz w:val="28"/>
          <w:szCs w:val="28"/>
          <w:highlight w:val="none"/>
          <w:lang w:val="en-US" w:eastAsia="zh-CN" w:bidi="ar-SA"/>
        </w:rPr>
      </w:pPr>
      <w:r>
        <w:rPr>
          <w:rFonts w:hint="eastAsia" w:ascii="仿宋" w:hAnsi="仿宋" w:eastAsia="仿宋" w:cs="仿宋"/>
          <w:b w:val="0"/>
          <w:bCs w:val="0"/>
          <w:snapToGrid/>
          <w:color w:val="auto"/>
          <w:kern w:val="44"/>
          <w:sz w:val="28"/>
          <w:szCs w:val="28"/>
          <w:highlight w:val="none"/>
          <w:lang w:val="en-US" w:eastAsia="zh-CN" w:bidi="ar-SA"/>
        </w:rPr>
        <w:t>（3）</w:t>
      </w:r>
      <w:r>
        <w:rPr>
          <w:rFonts w:hint="default" w:ascii="仿宋" w:hAnsi="仿宋" w:eastAsia="仿宋" w:cs="仿宋"/>
          <w:b w:val="0"/>
          <w:bCs w:val="0"/>
          <w:snapToGrid/>
          <w:color w:val="auto"/>
          <w:kern w:val="44"/>
          <w:sz w:val="28"/>
          <w:szCs w:val="28"/>
          <w:highlight w:val="none"/>
          <w:lang w:val="en-US" w:eastAsia="zh-CN" w:bidi="ar-SA"/>
        </w:rPr>
        <w:t>在伊犁州各县（市）开展技术培训、现场观摩、技术指导与咨询服务，服务团队在小麦生育期内服务次数不少于10次，</w:t>
      </w:r>
      <w:r>
        <w:rPr>
          <w:rFonts w:hint="eastAsia" w:ascii="仿宋" w:hAnsi="仿宋" w:eastAsia="仿宋" w:cs="仿宋"/>
          <w:b w:val="0"/>
          <w:bCs w:val="0"/>
          <w:snapToGrid/>
          <w:color w:val="auto"/>
          <w:kern w:val="44"/>
          <w:sz w:val="28"/>
          <w:szCs w:val="28"/>
          <w:highlight w:val="none"/>
          <w:lang w:val="en-US" w:eastAsia="zh-CN" w:bidi="ar-SA"/>
        </w:rPr>
        <w:t>实地指导培训服务天数不少于50天，累计</w:t>
      </w:r>
      <w:r>
        <w:rPr>
          <w:rFonts w:hint="default" w:ascii="仿宋" w:hAnsi="仿宋" w:eastAsia="仿宋" w:cs="仿宋"/>
          <w:b w:val="0"/>
          <w:bCs w:val="0"/>
          <w:snapToGrid/>
          <w:color w:val="auto"/>
          <w:kern w:val="44"/>
          <w:sz w:val="28"/>
          <w:szCs w:val="28"/>
          <w:highlight w:val="none"/>
          <w:lang w:val="en-US" w:eastAsia="zh-CN" w:bidi="ar-SA"/>
        </w:rPr>
        <w:t>培训</w:t>
      </w:r>
      <w:r>
        <w:rPr>
          <w:rFonts w:hint="eastAsia" w:ascii="仿宋" w:hAnsi="仿宋" w:eastAsia="仿宋" w:cs="仿宋"/>
          <w:b w:val="0"/>
          <w:bCs w:val="0"/>
          <w:snapToGrid/>
          <w:color w:val="auto"/>
          <w:kern w:val="44"/>
          <w:sz w:val="28"/>
          <w:szCs w:val="28"/>
          <w:highlight w:val="none"/>
          <w:lang w:val="en-US" w:eastAsia="zh-CN" w:bidi="ar-SA"/>
        </w:rPr>
        <w:t>县乡</w:t>
      </w:r>
      <w:r>
        <w:rPr>
          <w:rFonts w:hint="default" w:ascii="仿宋" w:hAnsi="仿宋" w:eastAsia="仿宋" w:cs="仿宋"/>
          <w:b w:val="0"/>
          <w:bCs w:val="0"/>
          <w:snapToGrid/>
          <w:color w:val="auto"/>
          <w:kern w:val="44"/>
          <w:sz w:val="28"/>
          <w:szCs w:val="28"/>
          <w:highlight w:val="none"/>
          <w:lang w:val="en-US" w:eastAsia="zh-CN" w:bidi="ar-SA"/>
        </w:rPr>
        <w:t>技术人员100人次；</w:t>
      </w:r>
      <w:r>
        <w:rPr>
          <w:rFonts w:hint="eastAsia" w:ascii="仿宋" w:hAnsi="仿宋" w:eastAsia="仿宋" w:cs="仿宋"/>
          <w:b w:val="0"/>
          <w:bCs w:val="0"/>
          <w:snapToGrid/>
          <w:color w:val="auto"/>
          <w:kern w:val="44"/>
          <w:sz w:val="28"/>
          <w:szCs w:val="28"/>
          <w:highlight w:val="none"/>
          <w:lang w:val="en-US" w:eastAsia="zh-CN" w:bidi="ar-SA"/>
        </w:rPr>
        <w:t>种植户</w:t>
      </w:r>
      <w:r>
        <w:rPr>
          <w:rFonts w:hint="default" w:ascii="仿宋" w:hAnsi="仿宋" w:eastAsia="仿宋" w:cs="仿宋"/>
          <w:b w:val="0"/>
          <w:bCs w:val="0"/>
          <w:snapToGrid/>
          <w:color w:val="auto"/>
          <w:kern w:val="44"/>
          <w:sz w:val="28"/>
          <w:szCs w:val="28"/>
          <w:highlight w:val="none"/>
          <w:lang w:val="en-US" w:eastAsia="zh-CN" w:bidi="ar-SA"/>
        </w:rPr>
        <w:t>500人次</w:t>
      </w:r>
      <w:r>
        <w:rPr>
          <w:rFonts w:hint="eastAsia" w:ascii="仿宋" w:hAnsi="仿宋" w:eastAsia="仿宋" w:cs="仿宋"/>
          <w:b w:val="0"/>
          <w:bCs w:val="0"/>
          <w:snapToGrid/>
          <w:color w:val="auto"/>
          <w:kern w:val="44"/>
          <w:sz w:val="28"/>
          <w:szCs w:val="28"/>
          <w:highlight w:val="none"/>
          <w:lang w:val="en-US" w:eastAsia="zh-CN" w:bidi="ar-SA"/>
        </w:rPr>
        <w:t>。</w:t>
      </w:r>
    </w:p>
    <w:p>
      <w:pPr>
        <w:pStyle w:val="89"/>
        <w:spacing w:before="0" w:after="0"/>
        <w:ind w:firstLine="560" w:firstLineChars="200"/>
        <w:rPr>
          <w:rFonts w:hint="eastAsia" w:ascii="仿宋" w:hAnsi="仿宋" w:eastAsia="仿宋" w:cs="仿宋"/>
          <w:b w:val="0"/>
          <w:bCs w:val="0"/>
          <w:snapToGrid/>
          <w:color w:val="auto"/>
          <w:kern w:val="44"/>
          <w:sz w:val="28"/>
          <w:szCs w:val="28"/>
          <w:highlight w:val="none"/>
          <w:lang w:val="en-US" w:eastAsia="zh-CN" w:bidi="ar-SA"/>
        </w:rPr>
      </w:pPr>
      <w:r>
        <w:rPr>
          <w:rFonts w:hint="default" w:ascii="仿宋" w:hAnsi="仿宋" w:eastAsia="仿宋" w:cs="仿宋"/>
          <w:b w:val="0"/>
          <w:bCs w:val="0"/>
          <w:snapToGrid/>
          <w:color w:val="auto"/>
          <w:kern w:val="44"/>
          <w:sz w:val="28"/>
          <w:szCs w:val="28"/>
          <w:highlight w:val="none"/>
          <w:lang w:val="en-US" w:eastAsia="zh-CN" w:bidi="ar-SA"/>
        </w:rPr>
        <w:t>（</w:t>
      </w:r>
      <w:r>
        <w:rPr>
          <w:rFonts w:hint="eastAsia" w:ascii="仿宋" w:hAnsi="仿宋" w:eastAsia="仿宋" w:cs="仿宋"/>
          <w:b w:val="0"/>
          <w:bCs w:val="0"/>
          <w:snapToGrid/>
          <w:color w:val="auto"/>
          <w:kern w:val="44"/>
          <w:sz w:val="28"/>
          <w:szCs w:val="28"/>
          <w:highlight w:val="none"/>
          <w:lang w:val="en-US" w:eastAsia="zh-CN" w:bidi="ar-SA"/>
        </w:rPr>
        <w:t>4</w:t>
      </w:r>
      <w:r>
        <w:rPr>
          <w:rFonts w:hint="default" w:ascii="仿宋" w:hAnsi="仿宋" w:eastAsia="仿宋" w:cs="仿宋"/>
          <w:b w:val="0"/>
          <w:bCs w:val="0"/>
          <w:snapToGrid/>
          <w:color w:val="auto"/>
          <w:kern w:val="44"/>
          <w:sz w:val="28"/>
          <w:szCs w:val="28"/>
          <w:highlight w:val="none"/>
          <w:lang w:val="en-US" w:eastAsia="zh-CN" w:bidi="ar-SA"/>
        </w:rPr>
        <w:t>）推广3个以上小麦品种</w:t>
      </w:r>
      <w:r>
        <w:rPr>
          <w:rFonts w:hint="eastAsia" w:ascii="仿宋" w:hAnsi="仿宋" w:eastAsia="仿宋" w:cs="仿宋"/>
          <w:b w:val="0"/>
          <w:bCs w:val="0"/>
          <w:snapToGrid/>
          <w:color w:val="auto"/>
          <w:kern w:val="44"/>
          <w:sz w:val="28"/>
          <w:szCs w:val="28"/>
          <w:highlight w:val="none"/>
          <w:lang w:val="en-US" w:eastAsia="zh-CN" w:bidi="ar-SA"/>
        </w:rPr>
        <w:t>。</w:t>
      </w:r>
    </w:p>
    <w:bookmarkEnd w:id="467"/>
    <w:p>
      <w:pPr>
        <w:rPr>
          <w:rFonts w:hint="eastAsia"/>
          <w:lang w:val="en-US" w:eastAsia="zh-CN"/>
        </w:rPr>
      </w:pPr>
    </w:p>
    <w:bookmarkEnd w:id="468"/>
    <w:p>
      <w:pPr>
        <w:pStyle w:val="89"/>
        <w:spacing w:before="0" w:after="0"/>
        <w:ind w:firstLine="560" w:firstLineChars="200"/>
        <w:rPr>
          <w:rFonts w:hint="default" w:ascii="仿宋" w:hAnsi="仿宋" w:eastAsia="仿宋" w:cs="仿宋"/>
          <w:b w:val="0"/>
          <w:bCs w:val="0"/>
          <w:snapToGrid/>
          <w:color w:val="auto"/>
          <w:kern w:val="44"/>
          <w:sz w:val="28"/>
          <w:szCs w:val="28"/>
          <w:highlight w:val="none"/>
          <w:lang w:val="en-US" w:eastAsia="zh-CN" w:bidi="ar-SA"/>
        </w:rPr>
      </w:pPr>
    </w:p>
    <w:p>
      <w:pPr>
        <w:spacing w:line="360" w:lineRule="auto"/>
        <w:jc w:val="center"/>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br w:type="page"/>
      </w:r>
    </w:p>
    <w:p>
      <w:pPr>
        <w:numPr>
          <w:ilvl w:val="0"/>
          <w:numId w:val="58"/>
        </w:numPr>
        <w:jc w:val="center"/>
        <w:rPr>
          <w:rFonts w:hint="eastAsia" w:ascii="仿宋" w:hAnsi="仿宋" w:eastAsia="仿宋" w:cs="仿宋"/>
          <w:b/>
          <w:bCs/>
          <w:kern w:val="2"/>
          <w:sz w:val="28"/>
          <w:szCs w:val="24"/>
          <w:lang w:val="en-US" w:eastAsia="zh-CN" w:bidi="ar-SA"/>
        </w:rPr>
      </w:pPr>
      <w:r>
        <w:rPr>
          <w:rFonts w:hint="eastAsia" w:ascii="仿宋" w:hAnsi="仿宋" w:eastAsia="仿宋" w:cs="仿宋"/>
          <w:b/>
          <w:bCs/>
          <w:kern w:val="2"/>
          <w:sz w:val="28"/>
          <w:szCs w:val="24"/>
          <w:lang w:val="en-US" w:eastAsia="zh-CN" w:bidi="ar-SA"/>
        </w:rPr>
        <w:t>★商务条件</w:t>
      </w:r>
    </w:p>
    <w:p>
      <w:pPr>
        <w:jc w:val="left"/>
        <w:rPr>
          <w:rFonts w:hint="eastAsia" w:ascii="仿宋" w:hAnsi="仿宋" w:eastAsia="仿宋" w:cs="仿宋"/>
          <w:b/>
          <w:bCs/>
          <w:snapToGrid/>
          <w:color w:val="auto"/>
          <w:kern w:val="44"/>
          <w:sz w:val="28"/>
          <w:szCs w:val="28"/>
          <w:highlight w:val="none"/>
          <w:lang w:val="en-US" w:eastAsia="zh-CN" w:bidi="ar-SA"/>
        </w:rPr>
      </w:pPr>
      <w:r>
        <w:rPr>
          <w:rFonts w:hint="eastAsia" w:ascii="仿宋" w:hAnsi="仿宋" w:eastAsia="仿宋" w:cs="仿宋"/>
          <w:b/>
          <w:bCs/>
          <w:snapToGrid/>
          <w:color w:val="auto"/>
          <w:kern w:val="44"/>
          <w:sz w:val="28"/>
          <w:szCs w:val="28"/>
          <w:highlight w:val="none"/>
          <w:lang w:val="en-US" w:eastAsia="zh-CN" w:bidi="ar-SA"/>
        </w:rPr>
        <w:t>一、服务期限及地点：</w:t>
      </w:r>
      <w:bookmarkStart w:id="469" w:name="_Toc167712839"/>
      <w:bookmarkStart w:id="470" w:name="_Toc167714037"/>
      <w:bookmarkStart w:id="471" w:name="_Toc167715234"/>
    </w:p>
    <w:p>
      <w:pPr>
        <w:keepNext w:val="0"/>
        <w:keepLines w:val="0"/>
        <w:pageBreakBefore w:val="0"/>
        <w:widowControl w:val="0"/>
        <w:kinsoku/>
        <w:wordWrap/>
        <w:overflowPunct/>
        <w:topLinePunct w:val="0"/>
        <w:autoSpaceDE/>
        <w:autoSpaceDN/>
        <w:bidi w:val="0"/>
        <w:adjustRightInd/>
        <w:snapToGrid/>
        <w:spacing w:line="600" w:lineRule="exact"/>
        <w:ind w:firstLine="572" w:firstLineChars="200"/>
        <w:textAlignment w:val="auto"/>
        <w:rPr>
          <w:rFonts w:hint="eastAsia"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highlight w:val="none"/>
        </w:rPr>
        <w:t>1、</w:t>
      </w:r>
      <w:r>
        <w:rPr>
          <w:rFonts w:hint="eastAsia" w:ascii="仿宋" w:hAnsi="仿宋" w:eastAsia="仿宋" w:cs="仿宋"/>
          <w:color w:val="auto"/>
          <w:spacing w:val="3"/>
          <w:sz w:val="28"/>
          <w:szCs w:val="28"/>
          <w:highlight w:val="none"/>
          <w:lang w:val="en-US" w:eastAsia="zh-CN"/>
        </w:rPr>
        <w:t>服务</w:t>
      </w:r>
      <w:r>
        <w:rPr>
          <w:rFonts w:hint="eastAsia" w:ascii="仿宋" w:hAnsi="仿宋" w:eastAsia="仿宋" w:cs="仿宋"/>
          <w:color w:val="auto"/>
          <w:spacing w:val="3"/>
          <w:sz w:val="28"/>
          <w:szCs w:val="28"/>
          <w:highlight w:val="none"/>
        </w:rPr>
        <w:t>期限：</w:t>
      </w:r>
      <w:bookmarkEnd w:id="469"/>
      <w:bookmarkEnd w:id="470"/>
      <w:bookmarkEnd w:id="471"/>
      <w:r>
        <w:rPr>
          <w:rFonts w:hint="eastAsia" w:ascii="仿宋" w:hAnsi="仿宋" w:eastAsia="仿宋" w:cs="仿宋"/>
          <w:color w:val="auto"/>
          <w:spacing w:val="3"/>
          <w:sz w:val="28"/>
          <w:szCs w:val="28"/>
          <w:highlight w:val="none"/>
          <w:lang w:val="en-US" w:eastAsia="zh-CN"/>
        </w:rPr>
        <w:t>一年</w:t>
      </w:r>
    </w:p>
    <w:p>
      <w:pPr>
        <w:keepNext w:val="0"/>
        <w:keepLines w:val="0"/>
        <w:pageBreakBefore w:val="0"/>
        <w:widowControl w:val="0"/>
        <w:kinsoku/>
        <w:wordWrap/>
        <w:overflowPunct/>
        <w:topLinePunct w:val="0"/>
        <w:autoSpaceDE/>
        <w:autoSpaceDN/>
        <w:bidi w:val="0"/>
        <w:adjustRightInd/>
        <w:snapToGrid/>
        <w:spacing w:line="600" w:lineRule="exact"/>
        <w:ind w:firstLine="572" w:firstLineChars="200"/>
        <w:textAlignment w:val="auto"/>
        <w:rPr>
          <w:rFonts w:hint="eastAsia" w:ascii="宋体" w:hAnsi="宋体" w:cs="宋体"/>
          <w:color w:val="auto"/>
          <w:spacing w:val="3"/>
          <w:sz w:val="24"/>
          <w:highlight w:val="none"/>
        </w:rPr>
      </w:pPr>
      <w:r>
        <w:rPr>
          <w:rFonts w:hint="eastAsia" w:ascii="仿宋" w:hAnsi="仿宋" w:eastAsia="仿宋" w:cs="仿宋"/>
          <w:color w:val="auto"/>
          <w:spacing w:val="3"/>
          <w:sz w:val="28"/>
          <w:szCs w:val="28"/>
          <w:highlight w:val="none"/>
        </w:rPr>
        <w:t>2、地 点：采购人指定</w:t>
      </w:r>
      <w:r>
        <w:rPr>
          <w:rFonts w:hint="eastAsia" w:ascii="仿宋" w:hAnsi="仿宋" w:eastAsia="仿宋" w:cs="仿宋"/>
          <w:color w:val="auto"/>
          <w:spacing w:val="3"/>
          <w:sz w:val="28"/>
          <w:szCs w:val="28"/>
          <w:highlight w:val="none"/>
          <w:lang w:val="en-US" w:eastAsia="zh-CN"/>
        </w:rPr>
        <w:t>地点</w:t>
      </w:r>
      <w:r>
        <w:rPr>
          <w:rFonts w:hint="eastAsia" w:ascii="仿宋" w:hAnsi="仿宋" w:eastAsia="仿宋" w:cs="仿宋"/>
          <w:color w:val="auto"/>
          <w:spacing w:val="3"/>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
          <w:color w:val="auto"/>
          <w:sz w:val="24"/>
          <w:highlight w:val="none"/>
          <w:lang w:val="en-US" w:eastAsia="zh-CN"/>
        </w:rPr>
      </w:pPr>
      <w:r>
        <w:rPr>
          <w:rFonts w:hint="eastAsia" w:ascii="仿宋" w:hAnsi="仿宋" w:eastAsia="仿宋" w:cs="仿宋"/>
          <w:b/>
          <w:bCs/>
          <w:snapToGrid/>
          <w:color w:val="auto"/>
          <w:kern w:val="44"/>
          <w:sz w:val="28"/>
          <w:szCs w:val="28"/>
          <w:highlight w:val="none"/>
          <w:lang w:val="en-US" w:eastAsia="zh-CN" w:bidi="ar-SA"/>
        </w:rPr>
        <w:t>二、付款方式：</w:t>
      </w:r>
      <w:r>
        <w:rPr>
          <w:rFonts w:hint="eastAsia" w:ascii="仿宋" w:hAnsi="仿宋" w:eastAsia="仿宋" w:cs="仿宋"/>
          <w:color w:val="auto"/>
          <w:spacing w:val="3"/>
          <w:sz w:val="28"/>
          <w:szCs w:val="28"/>
          <w:highlight w:val="none"/>
          <w:lang w:val="en-US" w:eastAsia="zh-CN"/>
        </w:rPr>
        <w:t>以甲乙双方合同约定执行。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pacing w:val="3"/>
          <w:sz w:val="24"/>
          <w:highlight w:val="none"/>
          <w:lang w:val="en-US" w:eastAsia="zh-CN"/>
        </w:rPr>
      </w:pPr>
      <w:r>
        <w:rPr>
          <w:rFonts w:hint="eastAsia" w:ascii="仿宋" w:hAnsi="仿宋" w:eastAsia="仿宋" w:cs="仿宋"/>
          <w:b/>
          <w:bCs/>
          <w:snapToGrid/>
          <w:color w:val="auto"/>
          <w:kern w:val="44"/>
          <w:sz w:val="28"/>
          <w:szCs w:val="28"/>
          <w:highlight w:val="none"/>
          <w:lang w:val="en-US" w:eastAsia="zh-CN" w:bidi="ar-SA"/>
        </w:rPr>
        <w:t>三、投标有效期：</w:t>
      </w:r>
      <w:r>
        <w:rPr>
          <w:rFonts w:hint="eastAsia" w:ascii="仿宋" w:hAnsi="仿宋" w:eastAsia="仿宋" w:cs="仿宋"/>
          <w:color w:val="auto"/>
          <w:spacing w:val="3"/>
          <w:sz w:val="28"/>
          <w:szCs w:val="28"/>
          <w:highlight w:val="none"/>
          <w:lang w:val="en-US" w:eastAsia="zh-CN"/>
        </w:rPr>
        <w:t>90日历日（自投标截止时间起开始计算）。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
          <w:color w:val="auto"/>
          <w:sz w:val="24"/>
          <w:highlight w:val="none"/>
          <w:lang w:eastAsia="zh-CN"/>
        </w:rPr>
      </w:pPr>
      <w:r>
        <w:rPr>
          <w:rFonts w:hint="eastAsia" w:ascii="仿宋" w:hAnsi="仿宋" w:eastAsia="仿宋" w:cs="仿宋"/>
          <w:b/>
          <w:bCs/>
          <w:snapToGrid/>
          <w:color w:val="auto"/>
          <w:kern w:val="44"/>
          <w:sz w:val="28"/>
          <w:szCs w:val="28"/>
          <w:highlight w:val="none"/>
          <w:lang w:val="en-US" w:eastAsia="zh-CN" w:bidi="ar-SA"/>
        </w:rPr>
        <w:t>四、签订合同时间：</w:t>
      </w:r>
      <w:r>
        <w:rPr>
          <w:rFonts w:hint="eastAsia" w:ascii="仿宋" w:hAnsi="仿宋" w:eastAsia="仿宋" w:cs="仿宋"/>
          <w:color w:val="auto"/>
          <w:spacing w:val="3"/>
          <w:sz w:val="28"/>
          <w:szCs w:val="28"/>
          <w:highlight w:val="none"/>
          <w:lang w:val="en-US" w:eastAsia="zh-CN"/>
        </w:rPr>
        <w:t>中标通知书发出之日起30日内。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b/>
          <w:bCs/>
          <w:snapToGrid/>
          <w:color w:val="auto"/>
          <w:kern w:val="44"/>
          <w:sz w:val="28"/>
          <w:szCs w:val="28"/>
          <w:highlight w:val="none"/>
          <w:lang w:val="en-US" w:eastAsia="zh-CN" w:bidi="ar-SA"/>
        </w:rPr>
        <w:t>五、其他要求：</w:t>
      </w:r>
      <w:r>
        <w:rPr>
          <w:rFonts w:hint="eastAsia" w:ascii="仿宋" w:hAnsi="仿宋" w:eastAsia="仿宋" w:cs="仿宋"/>
          <w:color w:val="auto"/>
          <w:spacing w:val="3"/>
          <w:sz w:val="28"/>
          <w:szCs w:val="28"/>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的服务。</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auto"/>
          <w:sz w:val="24"/>
          <w:highlight w:val="none"/>
        </w:rPr>
      </w:pPr>
      <w:r>
        <w:rPr>
          <w:rFonts w:hint="eastAsia" w:ascii="宋体" w:hAnsi="宋体" w:eastAsia="宋体" w:cs="Times New Roman"/>
          <w:b/>
          <w:color w:val="auto"/>
          <w:sz w:val="24"/>
          <w:highlight w:val="none"/>
        </w:rPr>
        <w:t>注：1、本项</w:t>
      </w:r>
      <w:r>
        <w:rPr>
          <w:rFonts w:hint="eastAsia" w:ascii="宋体" w:hAnsi="宋体"/>
          <w:b/>
          <w:color w:val="auto"/>
          <w:sz w:val="24"/>
          <w:highlight w:val="none"/>
        </w:rPr>
        <w:t>目商务条款全部为重要指标（实质性要求），不得负偏离，投标人在投标文件中必须对商务条款进行一一正面响应，若不响应、逃避响应或模糊混淆概念响应，按照负偏离处理（不符合招标文件实质性要求），不能提供证明文件的不予认可。在交货后，发现部分不能实现，甲方有权退货并索取赔偿。</w:t>
      </w:r>
    </w:p>
    <w:p>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highlight w:val="none"/>
        </w:rPr>
      </w:pPr>
      <w:r>
        <w:rPr>
          <w:rFonts w:hint="eastAsia" w:ascii="宋体" w:hAnsi="宋体"/>
          <w:b/>
          <w:color w:val="auto"/>
          <w:sz w:val="24"/>
          <w:highlight w:val="none"/>
        </w:rPr>
        <w:t>2、产品中标后</w:t>
      </w:r>
      <w:r>
        <w:rPr>
          <w:rFonts w:hint="eastAsia" w:ascii="宋体" w:hAnsi="宋体"/>
          <w:b/>
          <w:color w:val="auto"/>
          <w:sz w:val="24"/>
          <w:highlight w:val="none"/>
          <w:lang w:val="en-US" w:eastAsia="zh-CN"/>
        </w:rPr>
        <w:t>服务</w:t>
      </w:r>
      <w:r>
        <w:rPr>
          <w:rFonts w:hint="eastAsia" w:ascii="宋体" w:hAnsi="宋体"/>
          <w:b/>
          <w:color w:val="auto"/>
          <w:sz w:val="24"/>
          <w:highlight w:val="none"/>
        </w:rPr>
        <w:t>过程中如果发现有不满足招标要求的、篡改商务条款的，用户可以拒绝付款。</w:t>
      </w:r>
    </w:p>
    <w:p>
      <w:pPr>
        <w:numPr>
          <w:ilvl w:val="0"/>
          <w:numId w:val="58"/>
        </w:numPr>
        <w:jc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br w:type="page"/>
      </w:r>
    </w:p>
    <w:p>
      <w:pPr>
        <w:rPr>
          <w:rFonts w:hint="eastAsia" w:ascii="仿宋" w:hAnsi="仿宋" w:eastAsia="仿宋" w:cs="仿宋"/>
          <w:color w:val="auto"/>
          <w:sz w:val="30"/>
          <w:szCs w:val="30"/>
          <w:highlight w:val="none"/>
        </w:rPr>
      </w:pPr>
    </w:p>
    <w:p>
      <w:pPr>
        <w:pStyle w:val="2"/>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第六章   投标文件部分格式</w:t>
      </w:r>
    </w:p>
    <w:p>
      <w:pPr>
        <w:pStyle w:val="41"/>
        <w:rPr>
          <w:rFonts w:hint="eastAsia"/>
        </w:rPr>
      </w:pP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472" w:name="_Toc4221_WPSOffice_Level1"/>
      <w:bookmarkStart w:id="473" w:name="_Toc8812_WPSOffice_Level1"/>
      <w:r>
        <w:rPr>
          <w:rFonts w:hint="eastAsia" w:ascii="仿宋" w:hAnsi="仿宋" w:eastAsia="仿宋" w:cs="仿宋"/>
          <w:color w:val="auto"/>
          <w:sz w:val="24"/>
          <w:szCs w:val="24"/>
          <w:highlight w:val="none"/>
        </w:rPr>
        <w:t>正本/副本</w:t>
      </w:r>
      <w:bookmarkEnd w:id="472"/>
      <w:bookmarkEnd w:id="473"/>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spacing w:line="360" w:lineRule="auto"/>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（项目名称）                </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pStyle w:val="41"/>
        <w:rPr>
          <w:rFonts w:hint="eastAsia" w:ascii="仿宋" w:hAnsi="仿宋" w:eastAsia="仿宋" w:cs="仿宋"/>
          <w:b/>
          <w:bCs/>
          <w:color w:val="auto"/>
          <w:sz w:val="24"/>
          <w:szCs w:val="24"/>
          <w:highlight w:val="none"/>
        </w:rPr>
      </w:pPr>
    </w:p>
    <w:p>
      <w:pPr>
        <w:spacing w:line="360" w:lineRule="auto"/>
        <w:ind w:firstLine="120" w:firstLineChars="50"/>
        <w:rPr>
          <w:rFonts w:hint="eastAsia" w:ascii="仿宋" w:hAnsi="仿宋" w:eastAsia="仿宋" w:cs="仿宋"/>
          <w:color w:val="auto"/>
          <w:kern w:val="0"/>
          <w:sz w:val="24"/>
          <w:szCs w:val="24"/>
          <w:highlight w:val="none"/>
        </w:rPr>
      </w:pPr>
    </w:p>
    <w:p>
      <w:pPr>
        <w:spacing w:line="360" w:lineRule="auto"/>
        <w:rPr>
          <w:rFonts w:hint="eastAsia" w:ascii="仿宋" w:hAnsi="仿宋" w:eastAsia="仿宋" w:cs="仿宋"/>
          <w:color w:val="auto"/>
          <w:kern w:val="0"/>
          <w:sz w:val="24"/>
          <w:szCs w:val="24"/>
          <w:highlight w:val="none"/>
        </w:rPr>
      </w:pP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投标单位名称（盖章）：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法人或委托代理人（签</w:t>
      </w:r>
      <w:r>
        <w:rPr>
          <w:rFonts w:hint="eastAsia" w:ascii="仿宋" w:hAnsi="仿宋" w:eastAsia="仿宋" w:cs="仿宋"/>
          <w:color w:val="auto"/>
          <w:kern w:val="0"/>
          <w:sz w:val="24"/>
          <w:szCs w:val="24"/>
          <w:highlight w:val="none"/>
          <w:lang w:val="en-US" w:eastAsia="zh-CN"/>
        </w:rPr>
        <w:t>字或盖章</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 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  政 编 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年        月        日</w:t>
      </w:r>
    </w:p>
    <w:p>
      <w:pPr>
        <w:pStyle w:val="68"/>
        <w:spacing w:line="360" w:lineRule="auto"/>
        <w:ind w:firstLine="200" w:firstLineChars="8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投标文件目录</w:t>
      </w:r>
    </w:p>
    <w:p>
      <w:pPr>
        <w:pStyle w:val="68"/>
        <w:keepNext w:val="0"/>
        <w:keepLines w:val="0"/>
        <w:pageBreakBefore w:val="0"/>
        <w:widowControl w:val="0"/>
        <w:kinsoku/>
        <w:wordWrap/>
        <w:overflowPunct/>
        <w:topLinePunct w:val="0"/>
        <w:bidi w:val="0"/>
        <w:spacing w:line="560" w:lineRule="exact"/>
        <w:ind w:firstLine="475" w:firstLineChars="197"/>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（1）投标承诺书</w:t>
      </w:r>
    </w:p>
    <w:p>
      <w:pPr>
        <w:pStyle w:val="68"/>
        <w:keepNext w:val="0"/>
        <w:keepLines w:val="0"/>
        <w:pageBreakBefore w:val="0"/>
        <w:widowControl w:val="0"/>
        <w:kinsoku/>
        <w:wordWrap/>
        <w:overflowPunct/>
        <w:topLinePunct w:val="0"/>
        <w:bidi w:val="0"/>
        <w:spacing w:line="560" w:lineRule="exact"/>
        <w:ind w:firstLine="475" w:firstLineChars="197"/>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（2）报价一览表</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eastAsia="zh-CN"/>
        </w:rPr>
        <w:t>报价一览明细表</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eastAsia="zh-CN"/>
        </w:rPr>
        <w:t>法定代表人（</w:t>
      </w:r>
      <w:r>
        <w:rPr>
          <w:rFonts w:hint="eastAsia" w:ascii="仿宋" w:hAnsi="仿宋" w:eastAsia="仿宋" w:cs="仿宋"/>
          <w:b/>
          <w:color w:val="auto"/>
          <w:sz w:val="24"/>
          <w:szCs w:val="24"/>
          <w:highlight w:val="none"/>
          <w:lang w:val="en-US" w:eastAsia="zh-CN"/>
        </w:rPr>
        <w:t>负责人</w:t>
      </w:r>
      <w:r>
        <w:rPr>
          <w:rFonts w:hint="eastAsia" w:ascii="仿宋" w:hAnsi="仿宋" w:eastAsia="仿宋" w:cs="仿宋"/>
          <w:b/>
          <w:color w:val="auto"/>
          <w:sz w:val="24"/>
          <w:szCs w:val="24"/>
          <w:highlight w:val="none"/>
          <w:lang w:eastAsia="zh-CN"/>
        </w:rPr>
        <w:t>）身份证明</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（5）法定代表人</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负责人</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授权委托书</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（6）</w:t>
      </w:r>
      <w:r>
        <w:rPr>
          <w:rStyle w:val="40"/>
          <w:rFonts w:hint="eastAsia" w:ascii="仿宋" w:hAnsi="仿宋" w:eastAsia="仿宋" w:cs="仿宋"/>
          <w:b/>
          <w:bCs w:val="0"/>
          <w:color w:val="auto"/>
          <w:sz w:val="24"/>
          <w:szCs w:val="24"/>
          <w:highlight w:val="none"/>
          <w:lang w:val="en-US" w:eastAsia="zh-CN"/>
        </w:rPr>
        <w:t>保证金汇入情况说明</w:t>
      </w:r>
    </w:p>
    <w:p>
      <w:pPr>
        <w:pStyle w:val="68"/>
        <w:keepNext w:val="0"/>
        <w:keepLines w:val="0"/>
        <w:pageBreakBefore w:val="0"/>
        <w:widowControl w:val="0"/>
        <w:kinsoku/>
        <w:wordWrap/>
        <w:overflowPunct/>
        <w:topLinePunct w:val="0"/>
        <w:bidi w:val="0"/>
        <w:spacing w:line="560" w:lineRule="exact"/>
        <w:ind w:left="1202" w:leftChars="228" w:hanging="723" w:hangingChars="3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（7）技术条件响应/偏离表</w:t>
      </w:r>
    </w:p>
    <w:p>
      <w:pPr>
        <w:pStyle w:val="25"/>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（8）商务条件响应/偏离表</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法人营业执照的证明材料、相关资质证书副本等材料的复印件以及商务因素、技术因素、服务因素所需证明资料（格式自拟）</w:t>
      </w:r>
    </w:p>
    <w:p>
      <w:pPr>
        <w:pStyle w:val="68"/>
        <w:keepNext w:val="0"/>
        <w:keepLines w:val="0"/>
        <w:pageBreakBefore w:val="0"/>
        <w:widowControl w:val="0"/>
        <w:kinsoku/>
        <w:wordWrap/>
        <w:overflowPunct/>
        <w:topLinePunct w:val="0"/>
        <w:bidi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（10）投标人近三年（</w:t>
      </w:r>
      <w:r>
        <w:rPr>
          <w:rFonts w:hint="eastAsia" w:ascii="仿宋" w:hAnsi="仿宋" w:eastAsia="仿宋" w:cs="仿宋"/>
          <w:b/>
          <w:color w:val="auto"/>
          <w:sz w:val="24"/>
          <w:szCs w:val="24"/>
          <w:highlight w:val="none"/>
          <w:lang w:val="en-US" w:eastAsia="zh-CN"/>
        </w:rPr>
        <w:t>2022</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月1日至今）类似项目业绩</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r>
        <w:rPr>
          <w:rStyle w:val="40"/>
          <w:rFonts w:hint="eastAsia" w:ascii="仿宋" w:hAnsi="仿宋" w:eastAsia="仿宋" w:cs="仿宋"/>
          <w:b/>
          <w:bCs w:val="0"/>
          <w:color w:val="auto"/>
          <w:sz w:val="24"/>
          <w:szCs w:val="24"/>
          <w:highlight w:val="none"/>
          <w:lang w:val="en-US" w:eastAsia="zh-CN"/>
        </w:rPr>
        <w:t>项目策划实施服务方案、质量控制方案、前期调研考察、技术保障方案、工作进度控制措施、售后服务方案等内容</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投标人基本情况说明</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highlight w:val="none"/>
          <w:lang w:eastAsia="zh-CN"/>
        </w:rPr>
        <w:t>）项目人员配置情况</w:t>
      </w:r>
      <w:r>
        <w:rPr>
          <w:rFonts w:hint="eastAsia" w:ascii="仿宋" w:hAnsi="仿宋" w:eastAsia="仿宋" w:cs="仿宋"/>
          <w:b/>
          <w:color w:val="auto"/>
          <w:sz w:val="24"/>
          <w:szCs w:val="24"/>
          <w:highlight w:val="none"/>
          <w:lang w:val="en-US" w:eastAsia="zh-CN"/>
        </w:rPr>
        <w:t>表</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14</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认为需要提供的其他材料说明</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附件1、</w:t>
      </w:r>
      <w:r>
        <w:rPr>
          <w:rFonts w:hint="eastAsia" w:ascii="仿宋" w:hAnsi="仿宋" w:eastAsia="仿宋" w:cs="仿宋"/>
          <w:b/>
          <w:color w:val="auto"/>
          <w:sz w:val="24"/>
          <w:szCs w:val="24"/>
          <w:highlight w:val="none"/>
          <w:lang w:eastAsia="zh-CN"/>
        </w:rPr>
        <w:t>在经营活动中没有重大违法记录的书面声明</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附件2、</w:t>
      </w:r>
      <w:r>
        <w:rPr>
          <w:rFonts w:hint="eastAsia" w:ascii="仿宋" w:hAnsi="仿宋" w:eastAsia="仿宋" w:cs="仿宋"/>
          <w:b/>
          <w:color w:val="auto"/>
          <w:sz w:val="24"/>
          <w:szCs w:val="24"/>
          <w:highlight w:val="none"/>
          <w:lang w:eastAsia="zh-CN"/>
        </w:rPr>
        <w:t>中小企业声明函</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附件3、</w:t>
      </w:r>
      <w:r>
        <w:rPr>
          <w:rFonts w:hint="eastAsia" w:ascii="仿宋" w:hAnsi="仿宋" w:eastAsia="仿宋" w:cs="仿宋"/>
          <w:b/>
          <w:color w:val="auto"/>
          <w:sz w:val="24"/>
          <w:szCs w:val="24"/>
          <w:highlight w:val="none"/>
          <w:lang w:eastAsia="zh-CN"/>
        </w:rPr>
        <w:t>残疾人福利性单位声明函（</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p>
      <w:pPr>
        <w:pStyle w:val="68"/>
        <w:keepNext w:val="0"/>
        <w:keepLines w:val="0"/>
        <w:pageBreakBefore w:val="0"/>
        <w:widowControl w:val="0"/>
        <w:kinsoku/>
        <w:wordWrap/>
        <w:overflowPunct/>
        <w:topLinePunct w:val="0"/>
        <w:autoSpaceDE w:val="0"/>
        <w:autoSpaceDN w:val="0"/>
        <w:bidi w:val="0"/>
        <w:adjustRightInd w:val="0"/>
        <w:spacing w:line="560" w:lineRule="exact"/>
        <w:ind w:firstLine="482"/>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附件4</w:t>
      </w:r>
      <w:r>
        <w:rPr>
          <w:rFonts w:hint="eastAsia" w:ascii="仿宋" w:hAnsi="仿宋" w:eastAsia="仿宋" w:cs="仿宋"/>
          <w:b/>
          <w:color w:val="auto"/>
          <w:sz w:val="24"/>
          <w:szCs w:val="24"/>
          <w:highlight w:val="none"/>
          <w:lang w:eastAsia="zh-CN"/>
        </w:rPr>
        <w:t>省级以上监狱管理局、戒毒管理局（含新疆生产建设兵团）出具的属于监狱企业证明文件（格式自拟）（</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p>
      <w:pPr>
        <w:pStyle w:val="25"/>
        <w:rPr>
          <w:rFonts w:hint="eastAsia" w:ascii="仿宋" w:hAnsi="仿宋" w:eastAsia="仿宋" w:cs="仿宋"/>
          <w:color w:val="auto"/>
          <w:spacing w:val="-4"/>
          <w:kern w:val="0"/>
          <w:sz w:val="24"/>
          <w:szCs w:val="24"/>
          <w:highlight w:val="none"/>
        </w:rPr>
      </w:pPr>
    </w:p>
    <w:p>
      <w:pPr>
        <w:pStyle w:val="3"/>
        <w:jc w:val="center"/>
        <w:rPr>
          <w:rStyle w:val="40"/>
          <w:rFonts w:hint="eastAsia" w:ascii="仿宋" w:hAnsi="仿宋" w:eastAsia="仿宋" w:cs="仿宋"/>
          <w:b/>
          <w:bCs w:val="0"/>
          <w:color w:val="auto"/>
          <w:sz w:val="24"/>
          <w:szCs w:val="24"/>
          <w:highlight w:val="none"/>
        </w:rPr>
      </w:pPr>
      <w:bookmarkStart w:id="474" w:name="_Toc11515"/>
      <w:bookmarkStart w:id="475" w:name="_Toc4030"/>
      <w:bookmarkStart w:id="476" w:name="_Toc19393"/>
      <w:bookmarkStart w:id="477" w:name="_Toc50459034"/>
      <w:r>
        <w:rPr>
          <w:rStyle w:val="40"/>
          <w:rFonts w:hint="eastAsia" w:ascii="仿宋" w:hAnsi="仿宋" w:eastAsia="仿宋" w:cs="仿宋"/>
          <w:b/>
          <w:bCs w:val="0"/>
          <w:color w:val="auto"/>
          <w:sz w:val="24"/>
          <w:szCs w:val="24"/>
          <w:highlight w:val="none"/>
        </w:rPr>
        <w:t>1、投标承诺书</w:t>
      </w:r>
      <w:bookmarkEnd w:id="474"/>
      <w:bookmarkEnd w:id="475"/>
      <w:bookmarkEnd w:id="476"/>
      <w:bookmarkEnd w:id="477"/>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致（采购人）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根据已收到的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，我单位经研究贵方的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1、我方愿以投标报价</w:t>
      </w:r>
      <w:r>
        <w:rPr>
          <w:rFonts w:hint="eastAsia" w:ascii="仿宋" w:hAnsi="仿宋" w:eastAsia="仿宋" w:cs="仿宋"/>
          <w:color w:val="auto"/>
          <w:sz w:val="24"/>
          <w:szCs w:val="24"/>
          <w:highlight w:val="none"/>
          <w:u w:val="single"/>
        </w:rPr>
        <w:t xml:space="preserve">           元（大写：            ）  </w:t>
      </w:r>
      <w:r>
        <w:rPr>
          <w:rFonts w:hint="eastAsia" w:ascii="仿宋" w:hAnsi="仿宋" w:eastAsia="仿宋" w:cs="仿宋"/>
          <w:color w:val="auto"/>
          <w:sz w:val="24"/>
          <w:szCs w:val="24"/>
          <w:highlight w:val="none"/>
        </w:rPr>
        <w:t>及投标承诺书的承诺承包本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中所述招标范围内的全部内容。</w:t>
      </w:r>
    </w:p>
    <w:p>
      <w:pPr>
        <w:autoSpaceDE w:val="0"/>
        <w:autoSpaceDN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autoSpaceDE w:val="0"/>
        <w:autoSpaceDN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3、如果我方中标，非采购人原因，我方保证将按招标文件要求，完成本项目服务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4、如果我方中标，我方将按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规定的时间内签订合同。如果违约，我方愿以投标保证金作为赔偿金，同时贵方有权终止我方中标并选择其它</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5、如果我方中标，完成项目的服务与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要求不一致的，服务达不到要求，我方将进行整改直至贵方对服务满意为止。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6、贵方的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、答疑文件、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补充、成交通知书和本投标文件将做为合同附件，具有同等法律效力。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7、如果我方未中标，贵方没有必要对我方做出任何解释和说明，我方将充分尊重和理解贵方的选择。</w:t>
      </w:r>
    </w:p>
    <w:p>
      <w:pPr>
        <w:pStyle w:val="69"/>
        <w:spacing w:line="360" w:lineRule="auto"/>
        <w:ind w:right="480"/>
        <w:rPr>
          <w:rFonts w:hint="eastAsia" w:ascii="仿宋" w:hAnsi="仿宋" w:eastAsia="仿宋" w:cs="仿宋"/>
          <w:color w:val="auto"/>
          <w:sz w:val="24"/>
          <w:szCs w:val="24"/>
          <w:highlight w:val="none"/>
        </w:rPr>
      </w:pPr>
    </w:p>
    <w:p>
      <w:pPr>
        <w:pStyle w:val="69"/>
        <w:spacing w:line="360" w:lineRule="auto"/>
        <w:ind w:right="480"/>
        <w:rPr>
          <w:rFonts w:hint="eastAsia" w:ascii="仿宋" w:hAnsi="仿宋" w:eastAsia="仿宋" w:cs="仿宋"/>
          <w:color w:val="auto"/>
          <w:sz w:val="24"/>
          <w:szCs w:val="24"/>
          <w:highlight w:val="none"/>
        </w:rPr>
      </w:pPr>
    </w:p>
    <w:p>
      <w:pPr>
        <w:pStyle w:val="69"/>
        <w:spacing w:line="360" w:lineRule="auto"/>
        <w:ind w:right="480"/>
        <w:rPr>
          <w:rFonts w:hint="eastAsia" w:ascii="仿宋" w:hAnsi="仿宋" w:eastAsia="仿宋" w:cs="仿宋"/>
          <w:color w:val="auto"/>
          <w:sz w:val="24"/>
          <w:szCs w:val="24"/>
          <w:highlight w:val="none"/>
        </w:rPr>
      </w:pPr>
    </w:p>
    <w:p>
      <w:pPr>
        <w:pStyle w:val="69"/>
        <w:spacing w:line="360" w:lineRule="auto"/>
        <w:ind w:right="480"/>
        <w:rPr>
          <w:rFonts w:hint="eastAsia" w:ascii="仿宋" w:hAnsi="仿宋" w:eastAsia="仿宋" w:cs="仿宋"/>
          <w:color w:val="auto"/>
          <w:sz w:val="24"/>
          <w:szCs w:val="24"/>
          <w:highlight w:val="none"/>
        </w:rPr>
      </w:pPr>
    </w:p>
    <w:p>
      <w:pPr>
        <w:pStyle w:val="69"/>
        <w:spacing w:line="360" w:lineRule="auto"/>
        <w:ind w:right="480"/>
        <w:rPr>
          <w:rFonts w:hint="eastAsia" w:ascii="仿宋" w:hAnsi="仿宋" w:eastAsia="仿宋" w:cs="仿宋"/>
          <w:color w:val="auto"/>
          <w:sz w:val="24"/>
          <w:szCs w:val="24"/>
          <w:highlight w:val="none"/>
        </w:rPr>
      </w:pPr>
    </w:p>
    <w:p>
      <w:pPr>
        <w:pStyle w:val="69"/>
        <w:spacing w:line="360" w:lineRule="auto"/>
        <w:ind w:right="48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（盖章）：</w:t>
      </w:r>
    </w:p>
    <w:p>
      <w:pPr>
        <w:pStyle w:val="69"/>
        <w:spacing w:line="360" w:lineRule="auto"/>
        <w:ind w:right="84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pPr>
        <w:pStyle w:val="69"/>
        <w:spacing w:line="360" w:lineRule="auto"/>
        <w:ind w:right="84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pPr>
        <w:pStyle w:val="25"/>
        <w:rPr>
          <w:rFonts w:hint="eastAsia" w:ascii="仿宋" w:hAnsi="仿宋" w:eastAsia="仿宋" w:cs="仿宋"/>
          <w:color w:val="auto"/>
          <w:spacing w:val="-4"/>
          <w:kern w:val="0"/>
          <w:sz w:val="24"/>
          <w:szCs w:val="24"/>
          <w:highlight w:val="none"/>
        </w:rPr>
      </w:pPr>
    </w:p>
    <w:p>
      <w:pPr>
        <w:autoSpaceDE w:val="0"/>
        <w:autoSpaceDN w:val="0"/>
        <w:spacing w:line="360" w:lineRule="auto"/>
        <w:jc w:val="center"/>
        <w:rPr>
          <w:rFonts w:hint="eastAsia" w:ascii="仿宋" w:hAnsi="仿宋" w:eastAsia="仿宋" w:cs="仿宋"/>
          <w:b/>
          <w:color w:val="auto"/>
          <w:sz w:val="24"/>
          <w:szCs w:val="24"/>
          <w:highlight w:val="none"/>
        </w:rPr>
      </w:pPr>
      <w:bookmarkStart w:id="478" w:name="_Toc28014_WPSOffice_Level1"/>
      <w:bookmarkStart w:id="479" w:name="_Toc6735_WPSOffice_Level1"/>
    </w:p>
    <w:p>
      <w:pPr>
        <w:pStyle w:val="25"/>
        <w:rPr>
          <w:rFonts w:hint="eastAsia" w:ascii="仿宋" w:hAnsi="仿宋" w:eastAsia="仿宋" w:cs="仿宋"/>
          <w:color w:val="auto"/>
          <w:sz w:val="24"/>
          <w:szCs w:val="24"/>
          <w:highlight w:val="none"/>
        </w:rPr>
      </w:pPr>
    </w:p>
    <w:p>
      <w:pPr>
        <w:pStyle w:val="3"/>
        <w:jc w:val="center"/>
        <w:rPr>
          <w:rStyle w:val="40"/>
          <w:rFonts w:hint="eastAsia" w:ascii="仿宋" w:hAnsi="仿宋" w:eastAsia="仿宋" w:cs="仿宋"/>
          <w:b/>
          <w:bCs w:val="0"/>
          <w:color w:val="auto"/>
          <w:sz w:val="24"/>
          <w:szCs w:val="24"/>
          <w:highlight w:val="none"/>
        </w:rPr>
      </w:pPr>
      <w:bookmarkStart w:id="480" w:name="_Toc3064"/>
      <w:r>
        <w:rPr>
          <w:rStyle w:val="40"/>
          <w:rFonts w:hint="eastAsia" w:ascii="仿宋" w:hAnsi="仿宋" w:eastAsia="仿宋" w:cs="仿宋"/>
          <w:b/>
          <w:bCs w:val="0"/>
          <w:color w:val="auto"/>
          <w:sz w:val="24"/>
          <w:szCs w:val="24"/>
          <w:highlight w:val="none"/>
        </w:rPr>
        <w:t>2、</w:t>
      </w:r>
      <w:bookmarkEnd w:id="478"/>
      <w:bookmarkEnd w:id="479"/>
      <w:r>
        <w:rPr>
          <w:rStyle w:val="40"/>
          <w:rFonts w:hint="eastAsia" w:ascii="仿宋" w:hAnsi="仿宋" w:eastAsia="仿宋" w:cs="仿宋"/>
          <w:b/>
          <w:bCs w:val="0"/>
          <w:color w:val="auto"/>
          <w:sz w:val="24"/>
          <w:szCs w:val="24"/>
          <w:highlight w:val="none"/>
        </w:rPr>
        <w:t>报价一览表</w:t>
      </w:r>
      <w:bookmarkEnd w:id="480"/>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招标编号：</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tbl>
      <w:tblPr>
        <w:tblStyle w:val="32"/>
        <w:tblW w:w="9200" w:type="dxa"/>
        <w:tblInd w:w="0" w:type="dxa"/>
        <w:tblLayout w:type="fixed"/>
        <w:tblCellMar>
          <w:top w:w="0" w:type="dxa"/>
          <w:left w:w="0" w:type="dxa"/>
          <w:bottom w:w="0" w:type="dxa"/>
          <w:right w:w="0" w:type="dxa"/>
        </w:tblCellMar>
      </w:tblPr>
      <w:tblGrid>
        <w:gridCol w:w="912"/>
        <w:gridCol w:w="1664"/>
        <w:gridCol w:w="5928"/>
        <w:gridCol w:w="696"/>
      </w:tblGrid>
      <w:tr>
        <w:tblPrEx>
          <w:tblCellMar>
            <w:top w:w="0" w:type="dxa"/>
            <w:left w:w="0" w:type="dxa"/>
            <w:bottom w:w="0" w:type="dxa"/>
            <w:right w:w="0" w:type="dxa"/>
          </w:tblCellMar>
        </w:tblPrEx>
        <w:trPr>
          <w:trHeight w:val="90"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条款名称</w:t>
            </w:r>
          </w:p>
        </w:tc>
        <w:tc>
          <w:tcPr>
            <w:tcW w:w="59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内容</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664" w:type="dxa"/>
            <w:tcBorders>
              <w:top w:val="single" w:color="auto" w:sz="4" w:space="0"/>
              <w:left w:val="single" w:color="auto" w:sz="4" w:space="0"/>
              <w:bottom w:val="single" w:color="auto" w:sz="4" w:space="0"/>
              <w:right w:val="single" w:color="auto" w:sz="4" w:space="0"/>
            </w:tcBorders>
            <w:vAlign w:val="center"/>
          </w:tcPr>
          <w:p>
            <w:pPr>
              <w:pStyle w:val="52"/>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完全响应</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570"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664" w:type="dxa"/>
            <w:tcBorders>
              <w:top w:val="single" w:color="auto" w:sz="4" w:space="0"/>
              <w:left w:val="single" w:color="auto" w:sz="4" w:space="0"/>
              <w:bottom w:val="single" w:color="auto" w:sz="4" w:space="0"/>
              <w:right w:val="single" w:color="auto" w:sz="4" w:space="0"/>
            </w:tcBorders>
            <w:vAlign w:val="center"/>
          </w:tcPr>
          <w:p>
            <w:pPr>
              <w:pStyle w:val="52"/>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服务期限</w:t>
            </w:r>
          </w:p>
        </w:tc>
        <w:tc>
          <w:tcPr>
            <w:tcW w:w="5928" w:type="dxa"/>
            <w:tcBorders>
              <w:top w:val="single" w:color="auto" w:sz="4" w:space="0"/>
              <w:left w:val="single" w:color="auto" w:sz="4" w:space="0"/>
              <w:bottom w:val="single" w:color="auto" w:sz="4" w:space="0"/>
              <w:right w:val="single" w:color="auto" w:sz="4" w:space="0"/>
            </w:tcBorders>
            <w:vAlign w:val="center"/>
          </w:tcPr>
          <w:p>
            <w:pPr>
              <w:tabs>
                <w:tab w:val="left" w:pos="4980"/>
                <w:tab w:val="right" w:pos="9000"/>
              </w:tabs>
              <w:spacing w:line="360" w:lineRule="auto"/>
              <w:jc w:val="left"/>
              <w:rPr>
                <w:rFonts w:hint="eastAsia" w:ascii="仿宋" w:hAnsi="仿宋" w:eastAsia="仿宋" w:cs="仿宋"/>
                <w:color w:val="auto"/>
                <w:kern w:val="0"/>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664" w:type="dxa"/>
            <w:tcBorders>
              <w:top w:val="single" w:color="auto" w:sz="4" w:space="0"/>
              <w:left w:val="single" w:color="auto" w:sz="4" w:space="0"/>
              <w:bottom w:val="single" w:color="auto" w:sz="4" w:space="0"/>
              <w:right w:val="single" w:color="auto" w:sz="4" w:space="0"/>
            </w:tcBorders>
            <w:vAlign w:val="center"/>
          </w:tcPr>
          <w:p>
            <w:pPr>
              <w:pStyle w:val="52"/>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color w:val="auto"/>
                <w:sz w:val="24"/>
                <w:szCs w:val="24"/>
                <w:highlight w:val="none"/>
                <w:shd w:val="clear" w:color="auto" w:fill="FFFFFF"/>
                <w:lang w:eastAsia="zh-CN"/>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r>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  （元）</w:t>
            </w:r>
          </w:p>
        </w:tc>
        <w:tc>
          <w:tcPr>
            <w:tcW w:w="59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投标总价： 小写：</w:t>
            </w:r>
          </w:p>
          <w:p>
            <w:pPr>
              <w:widowControl/>
              <w:adjustRightInd w:val="0"/>
              <w:snapToGrid w:val="0"/>
              <w:spacing w:before="100" w:beforeAutospacing="1" w:after="100" w:afterAutospacing="1" w:line="360" w:lineRule="auto"/>
              <w:ind w:firstLine="1200" w:firstLineChars="5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hint="eastAsia" w:ascii="仿宋" w:hAnsi="仿宋" w:eastAsia="仿宋" w:cs="仿宋"/>
                <w:color w:val="auto"/>
                <w:kern w:val="0"/>
                <w:sz w:val="24"/>
                <w:szCs w:val="24"/>
                <w:highlight w:val="none"/>
                <w:u w:val="single"/>
              </w:rPr>
            </w:pPr>
          </w:p>
        </w:tc>
      </w:tr>
    </w:tbl>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pPr>
        <w:pStyle w:val="25"/>
        <w:spacing w:line="360" w:lineRule="auto"/>
        <w:rPr>
          <w:rFonts w:hint="eastAsia" w:ascii="仿宋" w:hAnsi="仿宋" w:eastAsia="仿宋" w:cs="仿宋"/>
          <w:color w:val="auto"/>
          <w:sz w:val="24"/>
          <w:szCs w:val="24"/>
          <w:highlight w:val="none"/>
        </w:rPr>
      </w:pPr>
    </w:p>
    <w:p>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Style w:val="40"/>
          <w:rFonts w:hint="eastAsia" w:ascii="仿宋" w:hAnsi="仿宋" w:eastAsia="仿宋" w:cs="仿宋"/>
          <w:b/>
          <w:bCs w:val="0"/>
          <w:color w:val="auto"/>
          <w:sz w:val="24"/>
          <w:szCs w:val="24"/>
          <w:highlight w:val="none"/>
        </w:rPr>
      </w:pPr>
      <w:bookmarkStart w:id="481" w:name="_Toc8766"/>
      <w:r>
        <w:rPr>
          <w:rStyle w:val="40"/>
          <w:rFonts w:hint="eastAsia" w:ascii="仿宋" w:hAnsi="仿宋" w:eastAsia="仿宋" w:cs="仿宋"/>
          <w:b/>
          <w:bCs w:val="0"/>
          <w:color w:val="auto"/>
          <w:sz w:val="24"/>
          <w:szCs w:val="24"/>
          <w:highlight w:val="none"/>
          <w:lang w:val="en-US" w:eastAsia="zh-CN"/>
        </w:rPr>
        <w:t>3、</w:t>
      </w:r>
      <w:r>
        <w:rPr>
          <w:rStyle w:val="40"/>
          <w:rFonts w:hint="eastAsia" w:ascii="仿宋" w:hAnsi="仿宋" w:eastAsia="仿宋" w:cs="仿宋"/>
          <w:b/>
          <w:bCs w:val="0"/>
          <w:color w:val="auto"/>
          <w:sz w:val="24"/>
          <w:szCs w:val="24"/>
          <w:highlight w:val="none"/>
        </w:rPr>
        <w:t>报价一览明细表</w:t>
      </w:r>
      <w:bookmarkEnd w:id="481"/>
    </w:p>
    <w:p>
      <w:pPr>
        <w:pStyle w:val="20"/>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p>
    <w:p>
      <w:pPr>
        <w:pStyle w:val="20"/>
        <w:spacing w:line="48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招标编号：</w:t>
      </w:r>
      <w:r>
        <w:rPr>
          <w:rFonts w:hint="eastAsia" w:ascii="仿宋" w:hAnsi="仿宋" w:eastAsia="仿宋" w:cs="仿宋"/>
          <w:color w:val="auto"/>
          <w:sz w:val="24"/>
          <w:szCs w:val="24"/>
          <w:highlight w:val="none"/>
          <w:u w:val="single"/>
        </w:rPr>
        <w:t xml:space="preserve">               </w:t>
      </w:r>
    </w:p>
    <w:tbl>
      <w:tblPr>
        <w:tblStyle w:val="33"/>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77"/>
        <w:gridCol w:w="1070"/>
        <w:gridCol w:w="1377"/>
        <w:gridCol w:w="1377"/>
        <w:gridCol w:w="2601"/>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28"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77"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费用名称</w:t>
            </w:r>
          </w:p>
        </w:tc>
        <w:tc>
          <w:tcPr>
            <w:tcW w:w="1070"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77"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377"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总价（元）</w:t>
            </w:r>
          </w:p>
        </w:tc>
        <w:tc>
          <w:tcPr>
            <w:tcW w:w="2601"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是否属于小、微企业或监狱企业或残疾人福利性单位</w:t>
            </w:r>
          </w:p>
        </w:tc>
        <w:tc>
          <w:tcPr>
            <w:tcW w:w="666" w:type="dxa"/>
            <w:vAlign w:val="center"/>
          </w:tcPr>
          <w:p>
            <w:pPr>
              <w:pStyle w:val="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070"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2601" w:type="dxa"/>
            <w:vMerge w:val="restart"/>
            <w:vAlign w:val="center"/>
          </w:tcPr>
          <w:p>
            <w:pPr>
              <w:pStyle w:val="20"/>
              <w:jc w:val="center"/>
              <w:rPr>
                <w:rFonts w:hint="eastAsia" w:ascii="仿宋" w:hAnsi="仿宋" w:eastAsia="仿宋" w:cs="仿宋"/>
                <w:color w:val="auto"/>
                <w:sz w:val="24"/>
                <w:szCs w:val="24"/>
                <w:highlight w:val="none"/>
              </w:rPr>
            </w:pPr>
          </w:p>
        </w:tc>
        <w:tc>
          <w:tcPr>
            <w:tcW w:w="666" w:type="dxa"/>
            <w:vAlign w:val="center"/>
          </w:tcPr>
          <w:p>
            <w:pPr>
              <w:pStyle w:val="2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070"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2601" w:type="dxa"/>
            <w:vMerge w:val="continue"/>
            <w:vAlign w:val="center"/>
          </w:tcPr>
          <w:p>
            <w:pPr>
              <w:pStyle w:val="20"/>
              <w:jc w:val="center"/>
              <w:rPr>
                <w:rFonts w:hint="eastAsia" w:ascii="仿宋" w:hAnsi="仿宋" w:eastAsia="仿宋" w:cs="仿宋"/>
                <w:color w:val="auto"/>
                <w:sz w:val="24"/>
                <w:szCs w:val="24"/>
                <w:highlight w:val="none"/>
              </w:rPr>
            </w:pPr>
          </w:p>
        </w:tc>
        <w:tc>
          <w:tcPr>
            <w:tcW w:w="666" w:type="dxa"/>
            <w:vAlign w:val="center"/>
          </w:tcPr>
          <w:p>
            <w:pPr>
              <w:pStyle w:val="2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070"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2601" w:type="dxa"/>
            <w:vMerge w:val="continue"/>
            <w:vAlign w:val="center"/>
          </w:tcPr>
          <w:p>
            <w:pPr>
              <w:pStyle w:val="20"/>
              <w:jc w:val="center"/>
              <w:rPr>
                <w:rFonts w:hint="eastAsia" w:ascii="仿宋" w:hAnsi="仿宋" w:eastAsia="仿宋" w:cs="仿宋"/>
                <w:color w:val="auto"/>
                <w:sz w:val="24"/>
                <w:szCs w:val="24"/>
                <w:highlight w:val="none"/>
              </w:rPr>
            </w:pPr>
          </w:p>
        </w:tc>
        <w:tc>
          <w:tcPr>
            <w:tcW w:w="666" w:type="dxa"/>
            <w:vAlign w:val="center"/>
          </w:tcPr>
          <w:p>
            <w:pPr>
              <w:pStyle w:val="2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070"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2601" w:type="dxa"/>
            <w:vMerge w:val="continue"/>
            <w:vAlign w:val="center"/>
          </w:tcPr>
          <w:p>
            <w:pPr>
              <w:pStyle w:val="20"/>
              <w:jc w:val="center"/>
              <w:rPr>
                <w:rFonts w:hint="eastAsia" w:ascii="仿宋" w:hAnsi="仿宋" w:eastAsia="仿宋" w:cs="仿宋"/>
                <w:color w:val="auto"/>
                <w:sz w:val="24"/>
                <w:szCs w:val="24"/>
                <w:highlight w:val="none"/>
              </w:rPr>
            </w:pPr>
          </w:p>
        </w:tc>
        <w:tc>
          <w:tcPr>
            <w:tcW w:w="666" w:type="dxa"/>
            <w:vAlign w:val="center"/>
          </w:tcPr>
          <w:p>
            <w:pPr>
              <w:pStyle w:val="2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28"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070"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1377" w:type="dxa"/>
            <w:vAlign w:val="center"/>
          </w:tcPr>
          <w:p>
            <w:pPr>
              <w:pStyle w:val="20"/>
              <w:jc w:val="center"/>
              <w:rPr>
                <w:rFonts w:hint="eastAsia" w:ascii="仿宋" w:hAnsi="仿宋" w:eastAsia="仿宋" w:cs="仿宋"/>
                <w:color w:val="auto"/>
                <w:sz w:val="24"/>
                <w:szCs w:val="24"/>
                <w:highlight w:val="none"/>
              </w:rPr>
            </w:pPr>
          </w:p>
        </w:tc>
        <w:tc>
          <w:tcPr>
            <w:tcW w:w="2601" w:type="dxa"/>
            <w:vMerge w:val="continue"/>
            <w:vAlign w:val="center"/>
          </w:tcPr>
          <w:p>
            <w:pPr>
              <w:pStyle w:val="20"/>
              <w:jc w:val="center"/>
              <w:rPr>
                <w:rFonts w:hint="eastAsia" w:ascii="仿宋" w:hAnsi="仿宋" w:eastAsia="仿宋" w:cs="仿宋"/>
                <w:color w:val="auto"/>
                <w:sz w:val="24"/>
                <w:szCs w:val="24"/>
                <w:highlight w:val="none"/>
              </w:rPr>
            </w:pPr>
          </w:p>
        </w:tc>
        <w:tc>
          <w:tcPr>
            <w:tcW w:w="666" w:type="dxa"/>
            <w:vAlign w:val="center"/>
          </w:tcPr>
          <w:p>
            <w:pPr>
              <w:pStyle w:val="20"/>
              <w:jc w:val="center"/>
              <w:rPr>
                <w:rFonts w:hint="eastAsia" w:ascii="仿宋" w:hAnsi="仿宋" w:eastAsia="仿宋" w:cs="仿宋"/>
                <w:color w:val="auto"/>
                <w:sz w:val="24"/>
                <w:szCs w:val="24"/>
                <w:highlight w:val="none"/>
              </w:rPr>
            </w:pPr>
          </w:p>
        </w:tc>
      </w:tr>
    </w:tbl>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投标单位盖章：</w:t>
      </w:r>
    </w:p>
    <w:p>
      <w:pPr>
        <w:pStyle w:val="25"/>
        <w:spacing w:line="360" w:lineRule="auto"/>
        <w:rPr>
          <w:rFonts w:hint="eastAsia" w:ascii="仿宋" w:hAnsi="仿宋" w:eastAsia="仿宋" w:cs="仿宋"/>
          <w:color w:val="auto"/>
          <w:sz w:val="24"/>
          <w:szCs w:val="24"/>
          <w:highlight w:val="none"/>
        </w:rPr>
      </w:pPr>
    </w:p>
    <w:p>
      <w:pPr>
        <w:spacing w:line="360" w:lineRule="auto"/>
        <w:ind w:left="7680" w:hanging="7680" w:hangingChars="3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投标单位法人或授权代表签字或盖章：                                                                     </w:t>
      </w:r>
    </w:p>
    <w:p>
      <w:pPr>
        <w:spacing w:line="360" w:lineRule="auto"/>
        <w:ind w:left="7680" w:hanging="7680" w:hangingChars="3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1、上述报价包含一切由供方承担服务的费用，分项报价合计应和总报价一致；</w:t>
      </w:r>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Style w:val="40"/>
          <w:rFonts w:hint="eastAsia" w:ascii="仿宋" w:hAnsi="仿宋" w:eastAsia="仿宋" w:cs="仿宋"/>
          <w:b/>
          <w:bCs w:val="0"/>
          <w:color w:val="auto"/>
          <w:sz w:val="24"/>
          <w:szCs w:val="24"/>
          <w:highlight w:val="none"/>
          <w:lang w:val="en-US" w:eastAsia="zh-CN"/>
        </w:rPr>
      </w:pPr>
      <w:bookmarkStart w:id="482" w:name="_Toc16901"/>
      <w:bookmarkStart w:id="483" w:name="_Toc18663"/>
      <w:bookmarkStart w:id="484" w:name="_Toc12705"/>
      <w:bookmarkStart w:id="485" w:name="_Toc18030_WPSOffice_Level1"/>
      <w:bookmarkStart w:id="486" w:name="_Toc30221_WPSOffice_Level1"/>
      <w:bookmarkStart w:id="487" w:name="_Toc50459035"/>
      <w:r>
        <w:rPr>
          <w:rStyle w:val="40"/>
          <w:rFonts w:hint="eastAsia" w:ascii="仿宋" w:hAnsi="仿宋" w:eastAsia="仿宋" w:cs="仿宋"/>
          <w:b/>
          <w:bCs w:val="0"/>
          <w:color w:val="auto"/>
          <w:sz w:val="24"/>
          <w:szCs w:val="24"/>
          <w:highlight w:val="none"/>
          <w:lang w:val="en-US" w:eastAsia="zh-CN"/>
        </w:rPr>
        <w:t>4、</w:t>
      </w:r>
      <w:bookmarkEnd w:id="482"/>
      <w:bookmarkEnd w:id="483"/>
      <w:bookmarkEnd w:id="484"/>
      <w:bookmarkEnd w:id="485"/>
      <w:bookmarkEnd w:id="486"/>
      <w:bookmarkEnd w:id="487"/>
      <w:r>
        <w:rPr>
          <w:rStyle w:val="40"/>
          <w:rFonts w:hint="eastAsia" w:ascii="仿宋" w:hAnsi="仿宋" w:eastAsia="仿宋" w:cs="仿宋"/>
          <w:b/>
          <w:bCs w:val="0"/>
          <w:color w:val="auto"/>
          <w:sz w:val="24"/>
          <w:szCs w:val="24"/>
          <w:highlight w:val="none"/>
          <w:lang w:val="en-US" w:eastAsia="zh-CN"/>
        </w:rPr>
        <w:t>法定代表人（负责人）身份证明</w:t>
      </w:r>
    </w:p>
    <w:p>
      <w:pPr>
        <w:adjustRightInd w:val="0"/>
        <w:snapToGrid w:val="0"/>
        <w:spacing w:line="360" w:lineRule="auto"/>
        <w:jc w:val="center"/>
        <w:rPr>
          <w:rFonts w:hint="eastAsia" w:ascii="仿宋" w:hAnsi="仿宋" w:eastAsia="仿宋" w:cs="仿宋"/>
          <w:color w:val="auto"/>
          <w:sz w:val="24"/>
          <w:szCs w:val="24"/>
          <w:highlight w:val="none"/>
        </w:rPr>
      </w:pP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单位名称：</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单位性质：</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的法定代表人。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特此证明。 </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w:t>
      </w:r>
      <w:r>
        <w:rPr>
          <w:rFonts w:hint="eastAsia" w:ascii="仿宋" w:hAnsi="仿宋" w:eastAsia="仿宋" w:cs="仿宋"/>
          <w:color w:val="auto"/>
          <w:sz w:val="24"/>
          <w:szCs w:val="24"/>
          <w:highlight w:val="none"/>
          <w:lang w:eastAsia="zh-CN"/>
        </w:rPr>
        <w:t>（负责人）</w:t>
      </w:r>
      <w:r>
        <w:rPr>
          <w:rFonts w:hint="eastAsia" w:ascii="仿宋" w:hAnsi="仿宋" w:eastAsia="仿宋" w:cs="仿宋"/>
          <w:color w:val="auto"/>
          <w:sz w:val="24"/>
          <w:szCs w:val="24"/>
          <w:highlight w:val="none"/>
        </w:rPr>
        <w:t>身份证复印件（正反面）</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（盖单位章） </w:t>
      </w:r>
    </w:p>
    <w:p>
      <w:pPr>
        <w:spacing w:line="360" w:lineRule="auto"/>
        <w:jc w:val="right"/>
        <w:rPr>
          <w:rFonts w:hint="eastAsia" w:ascii="仿宋" w:hAnsi="仿宋" w:eastAsia="仿宋" w:cs="仿宋"/>
          <w:color w:val="auto"/>
          <w:sz w:val="24"/>
          <w:szCs w:val="24"/>
          <w:highlight w:val="none"/>
        </w:rPr>
      </w:pPr>
    </w:p>
    <w:p>
      <w:pPr>
        <w:spacing w:line="360" w:lineRule="auto"/>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
          <w:color w:val="auto"/>
          <w:sz w:val="24"/>
          <w:szCs w:val="24"/>
          <w:highlight w:val="none"/>
        </w:rPr>
        <w:t xml:space="preserve"> </w:t>
      </w: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说明：仅限法定代表人（负责人）参加时提供。</w:t>
      </w:r>
    </w:p>
    <w:p>
      <w:pPr>
        <w:pStyle w:val="3"/>
        <w:jc w:val="center"/>
        <w:rPr>
          <w:rStyle w:val="40"/>
          <w:rFonts w:hint="eastAsia" w:ascii="仿宋" w:hAnsi="仿宋" w:eastAsia="仿宋" w:cs="仿宋"/>
          <w:b/>
          <w:bCs w:val="0"/>
          <w:color w:val="auto"/>
          <w:sz w:val="24"/>
          <w:szCs w:val="24"/>
          <w:highlight w:val="none"/>
          <w:lang w:val="en-US" w:eastAsia="zh-CN"/>
        </w:rPr>
      </w:pPr>
      <w:bookmarkStart w:id="488" w:name="_Toc18441"/>
      <w:bookmarkStart w:id="489" w:name="_Toc50459036"/>
      <w:bookmarkStart w:id="490" w:name="_Toc24648"/>
      <w:bookmarkStart w:id="491" w:name="_Toc2043"/>
      <w:r>
        <w:rPr>
          <w:rStyle w:val="40"/>
          <w:rFonts w:hint="eastAsia" w:ascii="仿宋" w:hAnsi="仿宋" w:eastAsia="仿宋" w:cs="仿宋"/>
          <w:b/>
          <w:bCs w:val="0"/>
          <w:color w:val="auto"/>
          <w:sz w:val="24"/>
          <w:szCs w:val="24"/>
          <w:highlight w:val="none"/>
          <w:lang w:val="en-US" w:eastAsia="zh-CN"/>
        </w:rPr>
        <w:t>5、</w:t>
      </w:r>
      <w:bookmarkEnd w:id="488"/>
      <w:bookmarkEnd w:id="489"/>
      <w:bookmarkEnd w:id="490"/>
      <w:bookmarkEnd w:id="491"/>
      <w:r>
        <w:rPr>
          <w:rStyle w:val="40"/>
          <w:rFonts w:hint="eastAsia" w:ascii="仿宋" w:hAnsi="仿宋" w:eastAsia="仿宋" w:cs="仿宋"/>
          <w:b/>
          <w:bCs w:val="0"/>
          <w:color w:val="auto"/>
          <w:sz w:val="24"/>
          <w:szCs w:val="24"/>
          <w:highlight w:val="none"/>
          <w:lang w:val="en-US" w:eastAsia="zh-CN"/>
        </w:rPr>
        <w:t>法定代表人（负责人）授权委托书</w:t>
      </w:r>
    </w:p>
    <w:p>
      <w:pPr>
        <w:spacing w:line="360" w:lineRule="auto"/>
        <w:jc w:val="center"/>
        <w:rPr>
          <w:rFonts w:hint="eastAsia" w:ascii="仿宋" w:hAnsi="仿宋" w:eastAsia="仿宋" w:cs="仿宋"/>
          <w:b/>
          <w:bCs/>
          <w:color w:val="auto"/>
          <w:sz w:val="24"/>
          <w:szCs w:val="24"/>
          <w:highlight w:val="none"/>
        </w:rPr>
      </w:pPr>
    </w:p>
    <w:p>
      <w:pPr>
        <w:spacing w:line="360" w:lineRule="auto"/>
        <w:ind w:firstLine="453" w:firstLineChars="189"/>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本授权委托书声明：我</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系</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的法定代表人，现授权委托</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为我的代理人，以本单位的名义参加</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投标活动。代理人在参加整个招标投标活动、合同磋商过程中所签署的一切文件和处理与之相关的一切事物，我均予承认。</w:t>
      </w:r>
    </w:p>
    <w:p>
      <w:pPr>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代理人：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性别：</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年龄：</w:t>
      </w:r>
      <w:r>
        <w:rPr>
          <w:rFonts w:hint="eastAsia" w:ascii="仿宋" w:hAnsi="仿宋" w:eastAsia="仿宋" w:cs="仿宋"/>
          <w:bCs/>
          <w:color w:val="auto"/>
          <w:sz w:val="24"/>
          <w:szCs w:val="24"/>
          <w:highlight w:val="none"/>
          <w:u w:val="single"/>
        </w:rPr>
        <w:t xml:space="preserve">             </w:t>
      </w:r>
    </w:p>
    <w:p>
      <w:pPr>
        <w:spacing w:line="360" w:lineRule="auto"/>
        <w:ind w:firstLine="453" w:firstLineChars="18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部  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职务：</w:t>
      </w:r>
      <w:r>
        <w:rPr>
          <w:rFonts w:hint="eastAsia" w:ascii="仿宋" w:hAnsi="仿宋" w:eastAsia="仿宋" w:cs="仿宋"/>
          <w:bCs/>
          <w:color w:val="auto"/>
          <w:sz w:val="24"/>
          <w:szCs w:val="24"/>
          <w:highlight w:val="none"/>
          <w:u w:val="single"/>
        </w:rPr>
        <w:t xml:space="preserve">             </w:t>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sz w:val="32"/>
                                <w:szCs w:val="32"/>
                              </w:rPr>
                            </w:pPr>
                            <w:r>
                              <w:rPr>
                                <w:rFonts w:hint="eastAsia" w:ascii="仿宋" w:hAnsi="仿宋" w:eastAsia="仿宋"/>
                                <w:sz w:val="36"/>
                                <w:szCs w:val="36"/>
                              </w:rPr>
                              <w:t>法定代表人</w:t>
                            </w:r>
                            <w:r>
                              <w:rPr>
                                <w:rFonts w:hint="eastAsia" w:ascii="仿宋" w:hAnsi="仿宋" w:eastAsia="仿宋"/>
                                <w:sz w:val="36"/>
                                <w:szCs w:val="36"/>
                                <w:lang w:eastAsia="zh-CN"/>
                              </w:rPr>
                              <w:t>（</w:t>
                            </w:r>
                            <w:r>
                              <w:rPr>
                                <w:rFonts w:hint="eastAsia" w:ascii="仿宋" w:hAnsi="仿宋" w:eastAsia="仿宋"/>
                                <w:sz w:val="36"/>
                                <w:szCs w:val="36"/>
                                <w:lang w:val="en-US" w:eastAsia="zh-CN"/>
                              </w:rPr>
                              <w:t>负责人</w:t>
                            </w:r>
                            <w:r>
                              <w:rPr>
                                <w:rFonts w:hint="eastAsia" w:ascii="仿宋" w:hAnsi="仿宋" w:eastAsia="仿宋"/>
                                <w:sz w:val="36"/>
                                <w:szCs w:val="36"/>
                                <w:lang w:eastAsia="zh-CN"/>
                              </w:rPr>
                              <w:t>）</w:t>
                            </w:r>
                            <w:r>
                              <w:rPr>
                                <w:rFonts w:hint="eastAsia" w:ascii="仿宋" w:hAnsi="仿宋" w:eastAsia="仿宋"/>
                                <w:sz w:val="36"/>
                                <w:szCs w:val="36"/>
                              </w:rPr>
                              <w:t>身份证复印件（正反面）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sz w:val="32"/>
                          <w:szCs w:val="32"/>
                        </w:rPr>
                      </w:pPr>
                      <w:r>
                        <w:rPr>
                          <w:rFonts w:hint="eastAsia" w:ascii="仿宋" w:hAnsi="仿宋" w:eastAsia="仿宋"/>
                          <w:sz w:val="36"/>
                          <w:szCs w:val="36"/>
                        </w:rPr>
                        <w:t>法定代表人</w:t>
                      </w:r>
                      <w:r>
                        <w:rPr>
                          <w:rFonts w:hint="eastAsia" w:ascii="仿宋" w:hAnsi="仿宋" w:eastAsia="仿宋"/>
                          <w:sz w:val="36"/>
                          <w:szCs w:val="36"/>
                          <w:lang w:eastAsia="zh-CN"/>
                        </w:rPr>
                        <w:t>（</w:t>
                      </w:r>
                      <w:r>
                        <w:rPr>
                          <w:rFonts w:hint="eastAsia" w:ascii="仿宋" w:hAnsi="仿宋" w:eastAsia="仿宋"/>
                          <w:sz w:val="36"/>
                          <w:szCs w:val="36"/>
                          <w:lang w:val="en-US" w:eastAsia="zh-CN"/>
                        </w:rPr>
                        <w:t>负责人</w:t>
                      </w:r>
                      <w:r>
                        <w:rPr>
                          <w:rFonts w:hint="eastAsia" w:ascii="仿宋" w:hAnsi="仿宋" w:eastAsia="仿宋"/>
                          <w:sz w:val="36"/>
                          <w:szCs w:val="36"/>
                          <w:lang w:eastAsia="zh-CN"/>
                        </w:rPr>
                        <w:t>）</w:t>
                      </w:r>
                      <w:r>
                        <w:rPr>
                          <w:rFonts w:hint="eastAsia" w:ascii="仿宋" w:hAnsi="仿宋" w:eastAsia="仿宋"/>
                          <w:sz w:val="36"/>
                          <w:szCs w:val="36"/>
                        </w:rPr>
                        <w:t>身份证复印件（正反面）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bCs/>
          <w:color w:val="auto"/>
          <w:sz w:val="24"/>
          <w:szCs w:val="24"/>
          <w:highlight w:val="none"/>
        </w:rPr>
      </w:pPr>
    </w:p>
    <w:p>
      <w:pPr>
        <w:pStyle w:val="25"/>
        <w:spacing w:line="360" w:lineRule="auto"/>
        <w:ind w:left="1620" w:hanging="42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Style w:val="14"/>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3"/>
        <w:jc w:val="center"/>
        <w:rPr>
          <w:rStyle w:val="40"/>
          <w:rFonts w:hint="eastAsia" w:ascii="仿宋" w:hAnsi="仿宋" w:eastAsia="仿宋" w:cs="仿宋"/>
          <w:b/>
          <w:bCs w:val="0"/>
          <w:color w:val="auto"/>
          <w:sz w:val="24"/>
          <w:szCs w:val="24"/>
          <w:highlight w:val="none"/>
          <w:lang w:val="en-US" w:eastAsia="zh-CN"/>
        </w:rPr>
      </w:pPr>
      <w:bookmarkStart w:id="492" w:name="_Toc17805"/>
      <w:bookmarkStart w:id="493" w:name="_Toc50459038"/>
      <w:bookmarkStart w:id="494" w:name="_Toc9258"/>
      <w:bookmarkStart w:id="495" w:name="_Toc28582"/>
      <w:r>
        <w:rPr>
          <w:rStyle w:val="40"/>
          <w:rFonts w:hint="eastAsia" w:ascii="仿宋" w:hAnsi="仿宋" w:eastAsia="仿宋" w:cs="仿宋"/>
          <w:b/>
          <w:bCs w:val="0"/>
          <w:color w:val="auto"/>
          <w:sz w:val="24"/>
          <w:szCs w:val="24"/>
          <w:highlight w:val="none"/>
          <w:lang w:val="en-US" w:eastAsia="zh-CN"/>
        </w:rPr>
        <w:t>6、保证金汇入情况说明</w:t>
      </w:r>
      <w:bookmarkEnd w:id="492"/>
      <w:bookmarkEnd w:id="493"/>
      <w:bookmarkEnd w:id="494"/>
      <w:bookmarkEnd w:id="495"/>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（后附</w:t>
      </w:r>
      <w:r>
        <w:rPr>
          <w:rFonts w:hint="eastAsia" w:ascii="仿宋" w:hAnsi="仿宋" w:eastAsia="仿宋" w:cs="仿宋"/>
          <w:b/>
          <w:color w:val="auto"/>
          <w:sz w:val="24"/>
          <w:szCs w:val="24"/>
          <w:highlight w:val="none"/>
          <w:lang w:val="en-US" w:eastAsia="zh-CN"/>
        </w:rPr>
        <w:t>汇款凭证或</w:t>
      </w:r>
      <w:r>
        <w:rPr>
          <w:rFonts w:hint="eastAsia" w:ascii="仿宋" w:hAnsi="仿宋" w:eastAsia="仿宋" w:cs="仿宋"/>
          <w:b/>
          <w:color w:val="auto"/>
          <w:sz w:val="24"/>
          <w:szCs w:val="24"/>
          <w:highlight w:val="none"/>
          <w:lang w:eastAsia="zh-CN"/>
        </w:rPr>
        <w:t>投标保函扫描件</w:t>
      </w:r>
      <w:r>
        <w:rPr>
          <w:rFonts w:hint="eastAsia" w:ascii="仿宋" w:hAnsi="仿宋" w:eastAsia="仿宋" w:cs="仿宋"/>
          <w:b/>
          <w:color w:val="auto"/>
          <w:sz w:val="24"/>
          <w:szCs w:val="24"/>
          <w:highlight w:val="none"/>
        </w:rPr>
        <w:t>）</w:t>
      </w:r>
    </w:p>
    <w:p>
      <w:pPr>
        <w:spacing w:line="360" w:lineRule="auto"/>
        <w:jc w:val="left"/>
        <w:rPr>
          <w:rFonts w:hint="eastAsia" w:ascii="仿宋" w:hAnsi="仿宋" w:eastAsia="仿宋" w:cs="仿宋"/>
          <w:color w:val="auto"/>
          <w:sz w:val="24"/>
          <w:szCs w:val="24"/>
          <w:highlight w:val="none"/>
        </w:rPr>
      </w:pP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新疆翔实工程项目管理有限公司</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本单位已按</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日前以</w:t>
      </w:r>
      <w:r>
        <w:rPr>
          <w:rFonts w:hint="eastAsia" w:ascii="仿宋" w:hAnsi="仿宋" w:eastAsia="仿宋" w:cs="仿宋"/>
          <w:color w:val="auto"/>
          <w:sz w:val="24"/>
          <w:szCs w:val="24"/>
          <w:highlight w:val="none"/>
          <w:u w:val="single"/>
        </w:rPr>
        <w:t xml:space="preserve">  （付款形式 ）</w:t>
      </w:r>
      <w:r>
        <w:rPr>
          <w:rFonts w:hint="eastAsia" w:ascii="仿宋" w:hAnsi="仿宋" w:eastAsia="仿宋" w:cs="仿宋"/>
          <w:color w:val="auto"/>
          <w:sz w:val="24"/>
          <w:szCs w:val="24"/>
          <w:highlight w:val="none"/>
        </w:rPr>
        <w:t>方式汇入指定账户。</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投标单位投标保证金的汇款情况：（详见附件一投标保证金进账单）</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汇出时间：年月日：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汇款金额：（大写）人民币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元整</w:t>
      </w:r>
    </w:p>
    <w:p>
      <w:pPr>
        <w:spacing w:line="360" w:lineRule="auto"/>
        <w:ind w:firstLine="1680" w:firstLineChars="7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（小写：¥元）</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汇款账户名称：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（必须是投标时使用的单位名称）</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帐号：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u w:val="single"/>
        </w:rPr>
        <w:t>（必须是投标时使用的账号）</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（银行省市分行/支行）</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行 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14"/>
        <w:rPr>
          <w:rFonts w:hint="eastAsia" w:ascii="仿宋" w:hAnsi="仿宋" w:eastAsia="仿宋" w:cs="仿宋"/>
          <w:color w:val="auto"/>
          <w:sz w:val="24"/>
          <w:szCs w:val="24"/>
          <w:highlight w:val="none"/>
          <w:u w:val="single"/>
        </w:rPr>
      </w:pP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本单位谨承诺上述资料是正确、真实的，如因上述证明与事实不符导致的一切损失，本单位保证承担赔偿等一切法律责任。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投标保证金退回时，请按上述资料退回。</w:t>
      </w:r>
    </w:p>
    <w:p>
      <w:pPr>
        <w:spacing w:line="360" w:lineRule="auto"/>
        <w:ind w:firstLine="480" w:firstLineChars="200"/>
        <w:jc w:val="left"/>
        <w:rPr>
          <w:rFonts w:hint="eastAsia" w:ascii="仿宋" w:hAnsi="仿宋" w:eastAsia="仿宋" w:cs="仿宋"/>
          <w:color w:val="auto"/>
          <w:sz w:val="24"/>
          <w:szCs w:val="24"/>
          <w:highlight w:val="none"/>
        </w:rPr>
      </w:pPr>
    </w:p>
    <w:p>
      <w:pPr>
        <w:spacing w:line="360" w:lineRule="auto"/>
        <w:ind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（单位公章）</w:t>
      </w:r>
    </w:p>
    <w:p>
      <w:pPr>
        <w:spacing w:line="360" w:lineRule="auto"/>
        <w:ind w:firstLine="5280" w:firstLineChars="2200"/>
        <w:jc w:val="left"/>
        <w:rPr>
          <w:rFonts w:hint="eastAsia" w:ascii="仿宋" w:hAnsi="仿宋" w:eastAsia="仿宋" w:cs="仿宋"/>
          <w:color w:val="auto"/>
          <w:sz w:val="24"/>
          <w:szCs w:val="24"/>
          <w:highlight w:val="none"/>
        </w:rPr>
      </w:pPr>
    </w:p>
    <w:p>
      <w:pPr>
        <w:spacing w:line="360" w:lineRule="auto"/>
        <w:ind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pPr>
        <w:pStyle w:val="25"/>
        <w:spacing w:line="360" w:lineRule="auto"/>
        <w:rPr>
          <w:rFonts w:hint="eastAsia" w:ascii="仿宋" w:hAnsi="仿宋" w:eastAsia="仿宋" w:cs="仿宋"/>
          <w:b/>
          <w:bCs/>
          <w:color w:val="auto"/>
          <w:sz w:val="24"/>
          <w:szCs w:val="24"/>
          <w:highlight w:val="none"/>
        </w:rPr>
      </w:pPr>
    </w:p>
    <w:p>
      <w:pPr>
        <w:pStyle w:val="25"/>
        <w:spacing w:line="360" w:lineRule="auto"/>
        <w:rPr>
          <w:rFonts w:hint="eastAsia" w:ascii="仿宋" w:hAnsi="仿宋" w:eastAsia="仿宋" w:cs="仿宋"/>
          <w:b/>
          <w:bCs/>
          <w:color w:val="auto"/>
          <w:sz w:val="24"/>
          <w:szCs w:val="24"/>
          <w:highlight w:val="none"/>
        </w:rPr>
      </w:pPr>
    </w:p>
    <w:p>
      <w:pPr>
        <w:pStyle w:val="3"/>
        <w:jc w:val="center"/>
        <w:rPr>
          <w:rStyle w:val="40"/>
          <w:rFonts w:hint="eastAsia" w:ascii="仿宋" w:hAnsi="仿宋" w:eastAsia="仿宋" w:cs="仿宋"/>
          <w:b/>
          <w:bCs w:val="0"/>
          <w:color w:val="auto"/>
          <w:sz w:val="24"/>
          <w:szCs w:val="24"/>
          <w:highlight w:val="none"/>
          <w:lang w:val="en-US" w:eastAsia="zh-CN"/>
        </w:rPr>
      </w:pPr>
      <w:bookmarkStart w:id="496" w:name="_Toc8056"/>
      <w:r>
        <w:rPr>
          <w:rStyle w:val="40"/>
          <w:rFonts w:hint="eastAsia" w:ascii="仿宋" w:hAnsi="仿宋" w:eastAsia="仿宋" w:cs="仿宋"/>
          <w:b/>
          <w:bCs w:val="0"/>
          <w:color w:val="auto"/>
          <w:sz w:val="24"/>
          <w:szCs w:val="24"/>
          <w:highlight w:val="none"/>
          <w:lang w:val="en-US" w:eastAsia="zh-CN"/>
        </w:rPr>
        <w:t>7、技术条件响应/偏离表</w:t>
      </w:r>
      <w:bookmarkEnd w:id="496"/>
    </w:p>
    <w:p>
      <w:pPr>
        <w:spacing w:after="156" w:afterLines="5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招标服务要求</w:t>
            </w:r>
          </w:p>
        </w:tc>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投标服务响应</w:t>
            </w:r>
          </w:p>
        </w:tc>
        <w:tc>
          <w:tcPr>
            <w:tcW w:w="1705"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1705"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要求逐条对应填写。</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投标人代表签字：</w:t>
      </w:r>
      <w:r>
        <w:rPr>
          <w:rFonts w:hint="eastAsia" w:ascii="仿宋" w:hAnsi="仿宋" w:eastAsia="仿宋" w:cs="仿宋"/>
          <w:color w:val="auto"/>
          <w:sz w:val="24"/>
          <w:szCs w:val="24"/>
          <w:highlight w:val="none"/>
          <w:u w:val="single"/>
        </w:rPr>
        <w:t>　　　　　　　　　　　　　　　</w:t>
      </w:r>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Style w:val="40"/>
          <w:rFonts w:hint="eastAsia" w:ascii="仿宋" w:hAnsi="仿宋" w:eastAsia="仿宋" w:cs="仿宋"/>
          <w:b/>
          <w:bCs w:val="0"/>
          <w:color w:val="auto"/>
          <w:sz w:val="24"/>
          <w:szCs w:val="24"/>
          <w:highlight w:val="none"/>
          <w:lang w:val="en-US" w:eastAsia="zh-CN"/>
        </w:rPr>
      </w:pPr>
      <w:bookmarkStart w:id="497" w:name="_Toc7233"/>
      <w:r>
        <w:rPr>
          <w:rStyle w:val="40"/>
          <w:rFonts w:hint="eastAsia" w:ascii="仿宋" w:hAnsi="仿宋" w:eastAsia="仿宋" w:cs="仿宋"/>
          <w:b/>
          <w:bCs w:val="0"/>
          <w:color w:val="auto"/>
          <w:sz w:val="24"/>
          <w:szCs w:val="24"/>
          <w:highlight w:val="none"/>
          <w:lang w:val="en-US" w:eastAsia="zh-CN"/>
        </w:rPr>
        <w:t>8、商务条件响应/偏离表</w:t>
      </w:r>
      <w:bookmarkEnd w:id="497"/>
    </w:p>
    <w:p>
      <w:pPr>
        <w:spacing w:after="156" w:afterLines="5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招标服务要求</w:t>
            </w:r>
          </w:p>
        </w:tc>
        <w:tc>
          <w:tcPr>
            <w:tcW w:w="1704"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投标服务响应</w:t>
            </w:r>
          </w:p>
        </w:tc>
        <w:tc>
          <w:tcPr>
            <w:tcW w:w="1705"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1705"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4"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c>
          <w:tcPr>
            <w:tcW w:w="1705" w:type="dxa"/>
          </w:tcPr>
          <w:p>
            <w:pPr>
              <w:spacing w:line="360" w:lineRule="auto"/>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注：与</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要求逐条对应填写。</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投标人代表签字：</w:t>
      </w:r>
      <w:r>
        <w:rPr>
          <w:rFonts w:hint="eastAsia" w:ascii="仿宋" w:hAnsi="仿宋" w:eastAsia="仿宋" w:cs="仿宋"/>
          <w:color w:val="auto"/>
          <w:sz w:val="24"/>
          <w:szCs w:val="24"/>
          <w:highlight w:val="none"/>
          <w:u w:val="single"/>
        </w:rPr>
        <w:t>　　　　　　　　　　　　　　　</w:t>
      </w:r>
    </w:p>
    <w:p>
      <w:pPr>
        <w:widowControl/>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jc w:val="left"/>
        <w:rPr>
          <w:rFonts w:hint="eastAsia" w:ascii="仿宋" w:hAnsi="仿宋" w:eastAsia="仿宋" w:cs="仿宋"/>
          <w:b/>
          <w:bCs/>
          <w:color w:val="auto"/>
          <w:sz w:val="24"/>
          <w:szCs w:val="24"/>
          <w:highlight w:val="none"/>
        </w:rPr>
      </w:pPr>
    </w:p>
    <w:p>
      <w:pPr>
        <w:pStyle w:val="3"/>
        <w:jc w:val="center"/>
        <w:rPr>
          <w:rStyle w:val="40"/>
          <w:rFonts w:hint="eastAsia" w:ascii="仿宋" w:hAnsi="仿宋" w:eastAsia="仿宋" w:cs="仿宋"/>
          <w:b/>
          <w:bCs w:val="0"/>
          <w:color w:val="auto"/>
          <w:sz w:val="24"/>
          <w:szCs w:val="24"/>
          <w:highlight w:val="none"/>
          <w:lang w:val="en-US" w:eastAsia="zh-CN"/>
        </w:rPr>
      </w:pPr>
      <w:bookmarkStart w:id="498" w:name="_Toc16507"/>
      <w:r>
        <w:rPr>
          <w:rStyle w:val="40"/>
          <w:rFonts w:hint="eastAsia" w:ascii="仿宋" w:hAnsi="仿宋" w:eastAsia="仿宋" w:cs="仿宋"/>
          <w:b/>
          <w:bCs w:val="0"/>
          <w:color w:val="auto"/>
          <w:sz w:val="24"/>
          <w:szCs w:val="24"/>
          <w:highlight w:val="none"/>
          <w:lang w:val="en-US" w:eastAsia="zh-CN"/>
        </w:rPr>
        <w:t>9、投标人法人营业执照的证明材料、相关资质证书副本等材料的复印件以及商务因素、技术因素、服务因素所需证明资料（格式自拟）</w:t>
      </w:r>
      <w:bookmarkEnd w:id="498"/>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Style w:val="40"/>
          <w:rFonts w:hint="eastAsia" w:ascii="仿宋" w:hAnsi="仿宋" w:eastAsia="仿宋" w:cs="仿宋"/>
          <w:b/>
          <w:bCs w:val="0"/>
          <w:color w:val="auto"/>
          <w:sz w:val="24"/>
          <w:szCs w:val="24"/>
          <w:highlight w:val="none"/>
          <w:lang w:val="en-US" w:eastAsia="zh-CN"/>
        </w:rPr>
      </w:pPr>
      <w:bookmarkStart w:id="499" w:name="_Toc5499"/>
      <w:r>
        <w:rPr>
          <w:rStyle w:val="40"/>
          <w:rFonts w:hint="eastAsia" w:ascii="仿宋" w:hAnsi="仿宋" w:eastAsia="仿宋" w:cs="仿宋"/>
          <w:b/>
          <w:bCs w:val="0"/>
          <w:color w:val="auto"/>
          <w:sz w:val="24"/>
          <w:szCs w:val="24"/>
          <w:highlight w:val="none"/>
          <w:lang w:val="en-US" w:eastAsia="zh-CN"/>
        </w:rPr>
        <w:t>10、投标人近三年（2022年1月1日至今）类似项目业绩</w:t>
      </w:r>
      <w:bookmarkEnd w:id="499"/>
    </w:p>
    <w:tbl>
      <w:tblPr>
        <w:tblStyle w:val="33"/>
        <w:tblW w:w="10097"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89"/>
        <w:gridCol w:w="2086"/>
        <w:gridCol w:w="1350"/>
        <w:gridCol w:w="241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w:t>
            </w:r>
          </w:p>
        </w:tc>
        <w:tc>
          <w:tcPr>
            <w:tcW w:w="2412" w:type="dxa"/>
            <w:vAlign w:val="center"/>
          </w:tcPr>
          <w:p>
            <w:pPr>
              <w:pStyle w:val="25"/>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采购服务单位</w:t>
            </w: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4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689" w:type="dxa"/>
            <w:vAlign w:val="center"/>
          </w:tcPr>
          <w:p>
            <w:pPr>
              <w:pStyle w:val="25"/>
              <w:spacing w:line="360" w:lineRule="auto"/>
              <w:jc w:val="center"/>
              <w:rPr>
                <w:rFonts w:hint="eastAsia" w:ascii="仿宋" w:hAnsi="仿宋" w:eastAsia="仿宋" w:cs="仿宋"/>
                <w:color w:val="auto"/>
                <w:sz w:val="24"/>
                <w:szCs w:val="24"/>
                <w:highlight w:val="none"/>
              </w:rPr>
            </w:pPr>
          </w:p>
        </w:tc>
        <w:tc>
          <w:tcPr>
            <w:tcW w:w="2086" w:type="dxa"/>
            <w:vAlign w:val="center"/>
          </w:tcPr>
          <w:p>
            <w:pPr>
              <w:pStyle w:val="25"/>
              <w:spacing w:line="360" w:lineRule="auto"/>
              <w:jc w:val="center"/>
              <w:rPr>
                <w:rFonts w:hint="eastAsia" w:ascii="仿宋" w:hAnsi="仿宋" w:eastAsia="仿宋" w:cs="仿宋"/>
                <w:color w:val="auto"/>
                <w:sz w:val="24"/>
                <w:szCs w:val="24"/>
                <w:highlight w:val="none"/>
              </w:rPr>
            </w:pPr>
          </w:p>
        </w:tc>
        <w:tc>
          <w:tcPr>
            <w:tcW w:w="1350" w:type="dxa"/>
            <w:vAlign w:val="center"/>
          </w:tcPr>
          <w:p>
            <w:pPr>
              <w:pStyle w:val="25"/>
              <w:spacing w:line="360" w:lineRule="auto"/>
              <w:jc w:val="center"/>
              <w:rPr>
                <w:rFonts w:hint="eastAsia" w:ascii="仿宋" w:hAnsi="仿宋" w:eastAsia="仿宋" w:cs="仿宋"/>
                <w:color w:val="auto"/>
                <w:sz w:val="24"/>
                <w:szCs w:val="24"/>
                <w:highlight w:val="none"/>
              </w:rPr>
            </w:pPr>
          </w:p>
        </w:tc>
        <w:tc>
          <w:tcPr>
            <w:tcW w:w="2412" w:type="dxa"/>
            <w:vAlign w:val="center"/>
          </w:tcPr>
          <w:p>
            <w:pPr>
              <w:pStyle w:val="25"/>
              <w:spacing w:line="360" w:lineRule="auto"/>
              <w:jc w:val="center"/>
              <w:rPr>
                <w:rFonts w:hint="eastAsia" w:ascii="仿宋" w:hAnsi="仿宋" w:eastAsia="仿宋" w:cs="仿宋"/>
                <w:color w:val="auto"/>
                <w:sz w:val="24"/>
                <w:szCs w:val="24"/>
                <w:highlight w:val="none"/>
              </w:rPr>
            </w:pPr>
          </w:p>
        </w:tc>
        <w:tc>
          <w:tcPr>
            <w:tcW w:w="1714" w:type="dxa"/>
            <w:vAlign w:val="center"/>
          </w:tcPr>
          <w:p>
            <w:pPr>
              <w:pStyle w:val="25"/>
              <w:spacing w:line="360" w:lineRule="auto"/>
              <w:jc w:val="center"/>
              <w:rPr>
                <w:rFonts w:hint="eastAsia" w:ascii="仿宋" w:hAnsi="仿宋" w:eastAsia="仿宋" w:cs="仿宋"/>
                <w:color w:val="auto"/>
                <w:sz w:val="24"/>
                <w:szCs w:val="24"/>
                <w:highlight w:val="none"/>
              </w:rPr>
            </w:pPr>
          </w:p>
        </w:tc>
      </w:tr>
    </w:tbl>
    <w:p>
      <w:pPr>
        <w:pStyle w:val="25"/>
        <w:spacing w:line="360" w:lineRule="auto"/>
        <w:rPr>
          <w:rFonts w:hint="eastAsia" w:ascii="仿宋" w:hAnsi="仿宋" w:eastAsia="仿宋" w:cs="仿宋"/>
          <w:color w:val="auto"/>
          <w:sz w:val="24"/>
          <w:szCs w:val="24"/>
          <w:highlight w:val="none"/>
        </w:rPr>
      </w:pPr>
    </w:p>
    <w:p>
      <w:pPr>
        <w:pStyle w:val="25"/>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投标人填写本表的同时，须提供中标通知书</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合同等的复印件；投标人填写的内容必须真实可靠，如有虚假或者隐瞒，一经查实投标将被否决</w:t>
      </w:r>
      <w:r>
        <w:rPr>
          <w:rFonts w:hint="eastAsia" w:ascii="仿宋" w:hAnsi="仿宋" w:eastAsia="仿宋" w:cs="仿宋"/>
          <w:color w:val="auto"/>
          <w:sz w:val="24"/>
          <w:szCs w:val="24"/>
          <w:highlight w:val="none"/>
          <w:lang w:eastAsia="zh-CN"/>
        </w:rPr>
        <w:t>。</w:t>
      </w:r>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Style w:val="40"/>
          <w:rFonts w:hint="eastAsia" w:ascii="仿宋" w:hAnsi="仿宋" w:eastAsia="仿宋" w:cs="仿宋"/>
          <w:b/>
          <w:bCs w:val="0"/>
          <w:color w:val="auto"/>
          <w:sz w:val="24"/>
          <w:szCs w:val="24"/>
          <w:highlight w:val="none"/>
          <w:lang w:val="en-US" w:eastAsia="zh-CN"/>
        </w:rPr>
      </w:pPr>
      <w:bookmarkStart w:id="500" w:name="_Toc23838"/>
      <w:bookmarkStart w:id="501" w:name="_Toc10599_WPSOffice_Level1"/>
      <w:r>
        <w:rPr>
          <w:rStyle w:val="40"/>
          <w:rFonts w:hint="eastAsia" w:ascii="仿宋" w:hAnsi="仿宋" w:eastAsia="仿宋" w:cs="仿宋"/>
          <w:b/>
          <w:bCs w:val="0"/>
          <w:color w:val="auto"/>
          <w:sz w:val="24"/>
          <w:szCs w:val="24"/>
          <w:highlight w:val="none"/>
          <w:lang w:val="en-US" w:eastAsia="zh-CN"/>
        </w:rPr>
        <w:t>11、</w:t>
      </w:r>
      <w:bookmarkEnd w:id="500"/>
      <w:bookmarkEnd w:id="501"/>
      <w:r>
        <w:rPr>
          <w:rStyle w:val="40"/>
          <w:rFonts w:hint="eastAsia" w:ascii="仿宋" w:hAnsi="仿宋" w:eastAsia="仿宋" w:cs="仿宋"/>
          <w:b/>
          <w:bCs w:val="0"/>
          <w:color w:val="auto"/>
          <w:sz w:val="24"/>
          <w:szCs w:val="24"/>
          <w:highlight w:val="none"/>
          <w:lang w:val="en-US" w:eastAsia="zh-CN"/>
        </w:rPr>
        <w:t>项目策划实施服务方案、质量控制方案、前期调研考察、技术保障方案、工作进度控制措施、售后服务方案等内容</w:t>
      </w:r>
    </w:p>
    <w:p>
      <w:pPr>
        <w:pStyle w:val="3"/>
        <w:jc w:val="center"/>
        <w:rPr>
          <w:rFonts w:hint="eastAsia" w:ascii="仿宋" w:hAnsi="仿宋" w:eastAsia="仿宋" w:cs="仿宋"/>
          <w:b/>
          <w:color w:val="auto"/>
          <w:sz w:val="24"/>
          <w:szCs w:val="24"/>
          <w:highlight w:val="none"/>
        </w:rPr>
      </w:pPr>
      <w:bookmarkStart w:id="502" w:name="_Toc20286"/>
      <w:r>
        <w:rPr>
          <w:rStyle w:val="40"/>
          <w:rFonts w:hint="eastAsia" w:ascii="仿宋" w:hAnsi="仿宋" w:eastAsia="仿宋" w:cs="仿宋"/>
          <w:b/>
          <w:bCs w:val="0"/>
          <w:color w:val="auto"/>
          <w:sz w:val="24"/>
          <w:szCs w:val="24"/>
          <w:highlight w:val="none"/>
          <w:lang w:val="en-US" w:eastAsia="zh-CN"/>
        </w:rPr>
        <w:t>格式自拟</w:t>
      </w:r>
      <w:bookmarkEnd w:id="502"/>
    </w:p>
    <w:p>
      <w:pPr>
        <w:widowControl/>
        <w:jc w:val="left"/>
        <w:rPr>
          <w:rFonts w:hint="eastAsia" w:ascii="仿宋" w:hAnsi="仿宋" w:eastAsia="仿宋" w:cs="仿宋"/>
          <w:b/>
          <w:color w:val="auto"/>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widowControl/>
        <w:spacing w:line="360" w:lineRule="auto"/>
        <w:ind w:firstLine="899"/>
        <w:jc w:val="left"/>
        <w:rPr>
          <w:rFonts w:hint="eastAsia" w:ascii="仿宋" w:hAnsi="仿宋" w:eastAsia="仿宋" w:cs="仿宋"/>
          <w:color w:val="auto"/>
          <w:kern w:val="0"/>
          <w:sz w:val="24"/>
          <w:szCs w:val="24"/>
          <w:highlight w:val="none"/>
        </w:rPr>
      </w:pPr>
    </w:p>
    <w:p>
      <w:pPr>
        <w:pStyle w:val="3"/>
        <w:jc w:val="center"/>
        <w:rPr>
          <w:rStyle w:val="40"/>
          <w:rFonts w:hint="eastAsia" w:ascii="仿宋" w:hAnsi="仿宋" w:eastAsia="仿宋" w:cs="仿宋"/>
          <w:b/>
          <w:bCs w:val="0"/>
          <w:color w:val="auto"/>
          <w:sz w:val="24"/>
          <w:szCs w:val="24"/>
          <w:highlight w:val="none"/>
          <w:lang w:val="en-US" w:eastAsia="zh-CN"/>
        </w:rPr>
      </w:pPr>
      <w:bookmarkStart w:id="503" w:name="_Toc1779"/>
      <w:bookmarkStart w:id="504" w:name="_Toc45795252"/>
      <w:r>
        <w:rPr>
          <w:rStyle w:val="40"/>
          <w:rFonts w:hint="eastAsia" w:ascii="仿宋" w:hAnsi="仿宋" w:eastAsia="仿宋" w:cs="仿宋"/>
          <w:b/>
          <w:bCs w:val="0"/>
          <w:color w:val="auto"/>
          <w:sz w:val="24"/>
          <w:szCs w:val="24"/>
          <w:highlight w:val="none"/>
          <w:lang w:val="en-US" w:eastAsia="zh-CN"/>
        </w:rPr>
        <w:t>12、投标人基本情况说明</w:t>
      </w:r>
      <w:bookmarkEnd w:id="503"/>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公司简介：</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w:t>
      </w:r>
    </w:p>
    <w:p>
      <w:pPr>
        <w:pStyle w:val="2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企业信息一览表</w:t>
      </w:r>
    </w:p>
    <w:tbl>
      <w:tblPr>
        <w:tblStyle w:val="33"/>
        <w:tblW w:w="9682"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17"/>
        <w:gridCol w:w="1217"/>
        <w:gridCol w:w="1217"/>
        <w:gridCol w:w="1218"/>
        <w:gridCol w:w="121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投标人名称</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注册地址</w:t>
            </w:r>
          </w:p>
        </w:tc>
        <w:tc>
          <w:tcPr>
            <w:tcW w:w="3651" w:type="dxa"/>
            <w:gridSpan w:val="3"/>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1218"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邮政编码</w:t>
            </w:r>
          </w:p>
        </w:tc>
        <w:tc>
          <w:tcPr>
            <w:tcW w:w="3077"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Merge w:val="restart"/>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联系方式</w:t>
            </w:r>
          </w:p>
        </w:tc>
        <w:tc>
          <w:tcPr>
            <w:tcW w:w="1217"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联系人</w:t>
            </w:r>
          </w:p>
        </w:tc>
        <w:tc>
          <w:tcPr>
            <w:tcW w:w="2434"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1218"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联系电话</w:t>
            </w:r>
          </w:p>
        </w:tc>
        <w:tc>
          <w:tcPr>
            <w:tcW w:w="3077"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Merge w:val="continue"/>
            <w:vAlign w:val="center"/>
          </w:tcPr>
          <w:p>
            <w:pPr>
              <w:pStyle w:val="20"/>
              <w:jc w:val="center"/>
              <w:rPr>
                <w:rFonts w:hint="eastAsia" w:ascii="仿宋" w:hAnsi="仿宋" w:eastAsia="仿宋" w:cs="仿宋"/>
                <w:color w:val="auto"/>
                <w:sz w:val="24"/>
                <w:szCs w:val="24"/>
                <w:highlight w:val="none"/>
                <w:vertAlign w:val="baseline"/>
                <w:lang w:val="en-US" w:eastAsia="zh-CN"/>
              </w:rPr>
            </w:pPr>
          </w:p>
        </w:tc>
        <w:tc>
          <w:tcPr>
            <w:tcW w:w="1217"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传真</w:t>
            </w:r>
          </w:p>
        </w:tc>
        <w:tc>
          <w:tcPr>
            <w:tcW w:w="2434"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1218"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邮箱</w:t>
            </w:r>
          </w:p>
        </w:tc>
        <w:tc>
          <w:tcPr>
            <w:tcW w:w="3077"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企业性质</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法定代表人</w:t>
            </w:r>
          </w:p>
        </w:tc>
        <w:tc>
          <w:tcPr>
            <w:tcW w:w="1217"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姓名</w:t>
            </w:r>
          </w:p>
        </w:tc>
        <w:tc>
          <w:tcPr>
            <w:tcW w:w="1217" w:type="dxa"/>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1217"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技术职称</w:t>
            </w:r>
          </w:p>
        </w:tc>
        <w:tc>
          <w:tcPr>
            <w:tcW w:w="1218" w:type="dxa"/>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1218"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电话</w:t>
            </w:r>
          </w:p>
        </w:tc>
        <w:tc>
          <w:tcPr>
            <w:tcW w:w="1859" w:type="dxa"/>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技术负责人</w:t>
            </w:r>
          </w:p>
        </w:tc>
        <w:tc>
          <w:tcPr>
            <w:tcW w:w="1217" w:type="dxa"/>
            <w:vAlign w:val="center"/>
          </w:tcPr>
          <w:p>
            <w:pPr>
              <w:pStyle w:val="2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姓名</w:t>
            </w:r>
          </w:p>
        </w:tc>
        <w:tc>
          <w:tcPr>
            <w:tcW w:w="1217" w:type="dxa"/>
            <w:vAlign w:val="center"/>
          </w:tcPr>
          <w:p>
            <w:pPr>
              <w:pStyle w:val="20"/>
              <w:jc w:val="center"/>
              <w:rPr>
                <w:rFonts w:hint="eastAsia" w:ascii="仿宋" w:hAnsi="仿宋" w:eastAsia="仿宋" w:cs="仿宋"/>
                <w:color w:val="auto"/>
                <w:kern w:val="2"/>
                <w:sz w:val="24"/>
                <w:szCs w:val="24"/>
                <w:highlight w:val="none"/>
                <w:vertAlign w:val="baseline"/>
                <w:lang w:val="en-US" w:eastAsia="zh-CN" w:bidi="ar-SA"/>
              </w:rPr>
            </w:pPr>
          </w:p>
        </w:tc>
        <w:tc>
          <w:tcPr>
            <w:tcW w:w="1217" w:type="dxa"/>
            <w:vAlign w:val="center"/>
          </w:tcPr>
          <w:p>
            <w:pPr>
              <w:pStyle w:val="2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技术职称</w:t>
            </w:r>
          </w:p>
        </w:tc>
        <w:tc>
          <w:tcPr>
            <w:tcW w:w="1218" w:type="dxa"/>
            <w:vAlign w:val="center"/>
          </w:tcPr>
          <w:p>
            <w:pPr>
              <w:pStyle w:val="20"/>
              <w:jc w:val="center"/>
              <w:rPr>
                <w:rFonts w:hint="eastAsia" w:ascii="仿宋" w:hAnsi="仿宋" w:eastAsia="仿宋" w:cs="仿宋"/>
                <w:color w:val="auto"/>
                <w:kern w:val="2"/>
                <w:sz w:val="24"/>
                <w:szCs w:val="24"/>
                <w:highlight w:val="none"/>
                <w:vertAlign w:val="baseline"/>
                <w:lang w:val="en-US" w:eastAsia="zh-CN" w:bidi="ar-SA"/>
              </w:rPr>
            </w:pPr>
          </w:p>
        </w:tc>
        <w:tc>
          <w:tcPr>
            <w:tcW w:w="1218" w:type="dxa"/>
            <w:vAlign w:val="center"/>
          </w:tcPr>
          <w:p>
            <w:pPr>
              <w:pStyle w:val="2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电话</w:t>
            </w:r>
          </w:p>
        </w:tc>
        <w:tc>
          <w:tcPr>
            <w:tcW w:w="1859" w:type="dxa"/>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成立时间</w:t>
            </w:r>
          </w:p>
        </w:tc>
        <w:tc>
          <w:tcPr>
            <w:tcW w:w="2434" w:type="dxa"/>
            <w:gridSpan w:val="2"/>
            <w:vAlign w:val="center"/>
          </w:tcPr>
          <w:p>
            <w:pPr>
              <w:pStyle w:val="20"/>
              <w:jc w:val="center"/>
              <w:rPr>
                <w:rFonts w:hint="eastAsia" w:ascii="仿宋" w:hAnsi="仿宋" w:eastAsia="仿宋" w:cs="仿宋"/>
                <w:color w:val="auto"/>
                <w:sz w:val="24"/>
                <w:szCs w:val="24"/>
                <w:highlight w:val="none"/>
                <w:vertAlign w:val="baseline"/>
                <w:lang w:eastAsia="zh-CN"/>
              </w:rPr>
            </w:pPr>
          </w:p>
        </w:tc>
        <w:tc>
          <w:tcPr>
            <w:tcW w:w="5512" w:type="dxa"/>
            <w:gridSpan w:val="4"/>
            <w:vAlign w:val="center"/>
          </w:tcPr>
          <w:p>
            <w:pPr>
              <w:pStyle w:val="2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营业执照号</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注册时间</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开户银行</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银行账号</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736" w:type="dxa"/>
            <w:vAlign w:val="center"/>
          </w:tcPr>
          <w:p>
            <w:pPr>
              <w:pStyle w:val="2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经营范围备注</w:t>
            </w:r>
          </w:p>
        </w:tc>
        <w:tc>
          <w:tcPr>
            <w:tcW w:w="7946" w:type="dxa"/>
            <w:gridSpan w:val="6"/>
            <w:vAlign w:val="center"/>
          </w:tcPr>
          <w:p>
            <w:pPr>
              <w:pStyle w:val="20"/>
              <w:jc w:val="center"/>
              <w:rPr>
                <w:rFonts w:hint="eastAsia" w:ascii="仿宋" w:hAnsi="仿宋" w:eastAsia="仿宋" w:cs="仿宋"/>
                <w:color w:val="auto"/>
                <w:sz w:val="24"/>
                <w:szCs w:val="24"/>
                <w:highlight w:val="none"/>
                <w:vertAlign w:val="baseline"/>
                <w:lang w:eastAsia="zh-CN"/>
              </w:rPr>
            </w:pPr>
          </w:p>
        </w:tc>
      </w:tr>
    </w:tbl>
    <w:p>
      <w:pPr>
        <w:spacing w:line="420" w:lineRule="exact"/>
        <w:ind w:right="561"/>
        <w:rPr>
          <w:rFonts w:hint="eastAsia" w:ascii="仿宋" w:hAnsi="仿宋" w:eastAsia="仿宋" w:cs="仿宋"/>
          <w:color w:val="auto"/>
          <w:sz w:val="24"/>
          <w:szCs w:val="24"/>
          <w:highlight w:val="none"/>
        </w:rPr>
      </w:pPr>
    </w:p>
    <w:p>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名称（加盖公章）：</w:t>
      </w:r>
    </w:p>
    <w:p>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法定代表人或受委托人（签名或盖私章）：</w:t>
      </w:r>
    </w:p>
    <w:p>
      <w:pPr>
        <w:spacing w:line="420" w:lineRule="exact"/>
        <w:ind w:right="5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3"/>
        <w:jc w:val="center"/>
        <w:rPr>
          <w:rStyle w:val="40"/>
          <w:rFonts w:hint="eastAsia" w:ascii="仿宋" w:hAnsi="仿宋" w:eastAsia="仿宋" w:cs="仿宋"/>
          <w:b/>
          <w:bCs w:val="0"/>
          <w:color w:val="auto"/>
          <w:sz w:val="24"/>
          <w:szCs w:val="24"/>
          <w:highlight w:val="none"/>
          <w:lang w:val="en-US" w:eastAsia="zh-CN"/>
        </w:rPr>
      </w:pPr>
      <w:bookmarkStart w:id="505" w:name="_Toc14849"/>
      <w:r>
        <w:rPr>
          <w:rStyle w:val="40"/>
          <w:rFonts w:hint="eastAsia" w:ascii="仿宋" w:hAnsi="仿宋" w:eastAsia="仿宋" w:cs="仿宋"/>
          <w:b/>
          <w:bCs w:val="0"/>
          <w:color w:val="auto"/>
          <w:sz w:val="24"/>
          <w:szCs w:val="24"/>
          <w:highlight w:val="none"/>
          <w:lang w:val="en-US" w:eastAsia="zh-CN"/>
        </w:rPr>
        <w:t>13、项目人员配置情况表</w:t>
      </w:r>
      <w:bookmarkEnd w:id="505"/>
    </w:p>
    <w:p>
      <w:pPr>
        <w:pStyle w:val="74"/>
        <w:spacing w:line="420" w:lineRule="exact"/>
        <w:ind w:left="638" w:hanging="696" w:hangingChars="2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32"/>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050" w:type="dxa"/>
            <w:vMerge w:val="restart"/>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姓名</w:t>
            </w:r>
          </w:p>
        </w:tc>
        <w:tc>
          <w:tcPr>
            <w:tcW w:w="1260" w:type="dxa"/>
            <w:vMerge w:val="restart"/>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职务</w:t>
            </w:r>
          </w:p>
        </w:tc>
        <w:tc>
          <w:tcPr>
            <w:tcW w:w="5040" w:type="dxa"/>
            <w:gridSpan w:val="4"/>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执业或职业资格证明</w:t>
            </w:r>
          </w:p>
        </w:tc>
        <w:tc>
          <w:tcPr>
            <w:tcW w:w="876" w:type="dxa"/>
            <w:vMerge w:val="restart"/>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0"/>
            <w:vAlign w:val="center"/>
          </w:tcPr>
          <w:p>
            <w:pPr>
              <w:jc w:val="center"/>
              <w:rPr>
                <w:rFonts w:hint="eastAsia" w:ascii="仿宋" w:hAnsi="仿宋" w:eastAsia="仿宋" w:cs="仿宋"/>
                <w:b/>
                <w:color w:val="auto"/>
                <w:sz w:val="24"/>
                <w:szCs w:val="24"/>
                <w:highlight w:val="none"/>
              </w:rPr>
            </w:pPr>
          </w:p>
        </w:tc>
        <w:tc>
          <w:tcPr>
            <w:tcW w:w="1050" w:type="dxa"/>
            <w:vMerge w:val="continue"/>
            <w:noWrap w:val="0"/>
            <w:vAlign w:val="center"/>
          </w:tcPr>
          <w:p>
            <w:pPr>
              <w:jc w:val="center"/>
              <w:rPr>
                <w:rFonts w:hint="eastAsia" w:ascii="仿宋" w:hAnsi="仿宋" w:eastAsia="仿宋" w:cs="仿宋"/>
                <w:b/>
                <w:color w:val="auto"/>
                <w:sz w:val="24"/>
                <w:szCs w:val="24"/>
                <w:highlight w:val="none"/>
              </w:rPr>
            </w:pPr>
          </w:p>
        </w:tc>
        <w:tc>
          <w:tcPr>
            <w:tcW w:w="1260" w:type="dxa"/>
            <w:vMerge w:val="continue"/>
            <w:noWrap w:val="0"/>
            <w:vAlign w:val="center"/>
          </w:tcPr>
          <w:p>
            <w:pPr>
              <w:jc w:val="center"/>
              <w:rPr>
                <w:rFonts w:hint="eastAsia" w:ascii="仿宋" w:hAnsi="仿宋" w:eastAsia="仿宋" w:cs="仿宋"/>
                <w:b/>
                <w:color w:val="auto"/>
                <w:sz w:val="24"/>
                <w:szCs w:val="24"/>
                <w:highlight w:val="none"/>
              </w:rPr>
            </w:pPr>
          </w:p>
        </w:tc>
        <w:tc>
          <w:tcPr>
            <w:tcW w:w="157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证书名称</w:t>
            </w:r>
          </w:p>
        </w:tc>
        <w:tc>
          <w:tcPr>
            <w:tcW w:w="136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证号</w:t>
            </w:r>
          </w:p>
        </w:tc>
        <w:tc>
          <w:tcPr>
            <w:tcW w:w="105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级别</w:t>
            </w:r>
          </w:p>
        </w:tc>
        <w:tc>
          <w:tcPr>
            <w:tcW w:w="105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专业</w:t>
            </w:r>
          </w:p>
        </w:tc>
        <w:tc>
          <w:tcPr>
            <w:tcW w:w="876" w:type="dxa"/>
            <w:vMerge w:val="continue"/>
            <w:noWrap w:val="0"/>
            <w:vAlign w:val="center"/>
          </w:tcPr>
          <w:p>
            <w:pPr>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260" w:type="dxa"/>
            <w:noWrap w:val="0"/>
            <w:vAlign w:val="center"/>
          </w:tcPr>
          <w:p>
            <w:pPr>
              <w:jc w:val="center"/>
              <w:rPr>
                <w:rFonts w:hint="eastAsia" w:ascii="仿宋" w:hAnsi="仿宋" w:eastAsia="仿宋" w:cs="仿宋"/>
                <w:color w:val="auto"/>
                <w:sz w:val="24"/>
                <w:szCs w:val="24"/>
                <w:highlight w:val="none"/>
              </w:rPr>
            </w:pPr>
          </w:p>
        </w:tc>
        <w:tc>
          <w:tcPr>
            <w:tcW w:w="1575" w:type="dxa"/>
            <w:noWrap w:val="0"/>
            <w:vAlign w:val="center"/>
          </w:tcPr>
          <w:p>
            <w:pPr>
              <w:jc w:val="center"/>
              <w:rPr>
                <w:rFonts w:hint="eastAsia" w:ascii="仿宋" w:hAnsi="仿宋" w:eastAsia="仿宋" w:cs="仿宋"/>
                <w:color w:val="auto"/>
                <w:sz w:val="24"/>
                <w:szCs w:val="24"/>
                <w:highlight w:val="none"/>
              </w:rPr>
            </w:pPr>
          </w:p>
        </w:tc>
        <w:tc>
          <w:tcPr>
            <w:tcW w:w="1365" w:type="dxa"/>
            <w:noWrap w:val="0"/>
            <w:vAlign w:val="top"/>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1050" w:type="dxa"/>
            <w:noWrap w:val="0"/>
            <w:vAlign w:val="center"/>
          </w:tcPr>
          <w:p>
            <w:pPr>
              <w:jc w:val="center"/>
              <w:rPr>
                <w:rFonts w:hint="eastAsia" w:ascii="仿宋" w:hAnsi="仿宋" w:eastAsia="仿宋" w:cs="仿宋"/>
                <w:color w:val="auto"/>
                <w:sz w:val="24"/>
                <w:szCs w:val="24"/>
                <w:highlight w:val="none"/>
              </w:rPr>
            </w:pPr>
          </w:p>
        </w:tc>
        <w:tc>
          <w:tcPr>
            <w:tcW w:w="876" w:type="dxa"/>
            <w:noWrap w:val="0"/>
            <w:vAlign w:val="top"/>
          </w:tcPr>
          <w:p>
            <w:pPr>
              <w:jc w:val="center"/>
              <w:rPr>
                <w:rFonts w:hint="eastAsia" w:ascii="仿宋" w:hAnsi="仿宋" w:eastAsia="仿宋" w:cs="仿宋"/>
                <w:color w:val="auto"/>
                <w:sz w:val="24"/>
                <w:szCs w:val="24"/>
                <w:highlight w:val="none"/>
              </w:rPr>
            </w:pPr>
          </w:p>
        </w:tc>
      </w:tr>
    </w:tbl>
    <w:p>
      <w:pPr>
        <w:numPr>
          <w:ilvl w:val="0"/>
          <w:numId w:val="59"/>
        </w:num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主要人员简历表</w:t>
      </w:r>
    </w:p>
    <w:p>
      <w:pPr>
        <w:pStyle w:val="20"/>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项目名称：                                项目编号：</w:t>
      </w:r>
    </w:p>
    <w:tbl>
      <w:tblPr>
        <w:tblStyle w:val="32"/>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ascii="仿宋" w:hAnsi="仿宋" w:eastAsia="仿宋" w:cs="仿宋"/>
                <w:color w:val="auto"/>
                <w:sz w:val="24"/>
                <w:szCs w:val="24"/>
                <w:highlight w:val="none"/>
              </w:rPr>
            </w:pPr>
          </w:p>
        </w:tc>
      </w:tr>
    </w:tbl>
    <w:p>
      <w:pPr>
        <w:pStyle w:val="74"/>
        <w:spacing w:line="420" w:lineRule="exact"/>
        <w:ind w:left="638" w:hanging="696" w:hangingChars="2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4"/>
        <w:overflowPunct w:val="0"/>
        <w:spacing w:line="52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我方承诺上述材料真实有效且具备履行合同所必需的专业技术能力。 </w:t>
      </w:r>
    </w:p>
    <w:p>
      <w:pPr>
        <w:pStyle w:val="14"/>
        <w:spacing w:after="0" w:line="360" w:lineRule="auto"/>
        <w:rPr>
          <w:rFonts w:hint="eastAsia" w:ascii="仿宋" w:hAnsi="仿宋" w:eastAsia="仿宋" w:cs="仿宋"/>
          <w:color w:val="auto"/>
          <w:sz w:val="24"/>
          <w:szCs w:val="24"/>
          <w:highlight w:val="none"/>
        </w:rPr>
      </w:pPr>
    </w:p>
    <w:p>
      <w:pPr>
        <w:pStyle w:val="14"/>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pPr>
        <w:pStyle w:val="14"/>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pPr>
        <w:spacing w:line="48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       期：</w:t>
      </w:r>
    </w:p>
    <w:p>
      <w:pPr>
        <w:pStyle w:val="3"/>
        <w:jc w:val="center"/>
        <w:rPr>
          <w:rStyle w:val="40"/>
          <w:rFonts w:hint="eastAsia" w:ascii="仿宋" w:hAnsi="仿宋" w:eastAsia="仿宋" w:cs="仿宋"/>
          <w:b/>
          <w:bCs w:val="0"/>
          <w:color w:val="auto"/>
          <w:sz w:val="24"/>
          <w:szCs w:val="24"/>
          <w:highlight w:val="none"/>
          <w:lang w:val="en-US" w:eastAsia="zh-CN"/>
        </w:rPr>
      </w:pPr>
      <w:bookmarkStart w:id="506" w:name="_Toc17664"/>
      <w:r>
        <w:rPr>
          <w:rStyle w:val="40"/>
          <w:rFonts w:hint="eastAsia" w:ascii="仿宋" w:hAnsi="仿宋" w:eastAsia="仿宋" w:cs="仿宋"/>
          <w:b/>
          <w:bCs w:val="0"/>
          <w:color w:val="auto"/>
          <w:sz w:val="24"/>
          <w:szCs w:val="24"/>
          <w:highlight w:val="none"/>
          <w:lang w:val="en-US" w:eastAsia="zh-CN"/>
        </w:rPr>
        <w:t>14、投标人认为需要提供的其他材料说明</w:t>
      </w:r>
      <w:bookmarkEnd w:id="506"/>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附件1、</w:t>
      </w:r>
      <w:r>
        <w:rPr>
          <w:rFonts w:hint="eastAsia" w:ascii="仿宋" w:hAnsi="仿宋" w:eastAsia="仿宋" w:cs="仿宋"/>
          <w:b/>
          <w:color w:val="auto"/>
          <w:sz w:val="24"/>
          <w:szCs w:val="24"/>
          <w:highlight w:val="none"/>
        </w:rPr>
        <w:t xml:space="preserve">在经营活动中没有重大违法记录的书面声明 </w:t>
      </w:r>
    </w:p>
    <w:p>
      <w:pPr>
        <w:pStyle w:val="74"/>
        <w:spacing w:line="360" w:lineRule="atLeast"/>
        <w:ind w:firstLine="494"/>
        <w:rPr>
          <w:rFonts w:hint="eastAsia" w:ascii="仿宋" w:hAnsi="仿宋" w:eastAsia="仿宋" w:cs="仿宋"/>
          <w:color w:val="auto"/>
          <w:sz w:val="24"/>
          <w:szCs w:val="24"/>
          <w:highlight w:val="none"/>
        </w:rPr>
      </w:pPr>
    </w:p>
    <w:p>
      <w:pPr>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新疆翔实工程项目管理有限公司</w:t>
      </w:r>
      <w:r>
        <w:rPr>
          <w:rFonts w:hint="eastAsia" w:ascii="仿宋" w:hAnsi="仿宋" w:eastAsia="仿宋" w:cs="仿宋"/>
          <w:b/>
          <w:color w:val="auto"/>
          <w:sz w:val="24"/>
          <w:szCs w:val="24"/>
          <w:highlight w:val="none"/>
        </w:rPr>
        <w:t>:</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　      　　　）的政府采购活动，并声明：</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我方参加本采购项目政府采购前3年内在经营活动中没有因违法经营受到刑事处罚或者责令停产停业、吊销许可证或者执照、较大数额罚款等行政处罚。</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Style w:val="74"/>
        <w:spacing w:line="480" w:lineRule="auto"/>
        <w:ind w:firstLine="494"/>
        <w:rPr>
          <w:rFonts w:hint="eastAsia" w:ascii="仿宋" w:hAnsi="仿宋" w:eastAsia="仿宋" w:cs="仿宋"/>
          <w:color w:val="auto"/>
          <w:sz w:val="24"/>
          <w:szCs w:val="24"/>
          <w:highlight w:val="none"/>
        </w:rPr>
      </w:pPr>
    </w:p>
    <w:p>
      <w:pPr>
        <w:pStyle w:val="74"/>
        <w:spacing w:line="480" w:lineRule="auto"/>
        <w:ind w:firstLine="494"/>
        <w:rPr>
          <w:rFonts w:hint="eastAsia" w:ascii="仿宋" w:hAnsi="仿宋" w:eastAsia="仿宋" w:cs="仿宋"/>
          <w:color w:val="auto"/>
          <w:sz w:val="24"/>
          <w:szCs w:val="24"/>
          <w:highlight w:val="none"/>
        </w:rPr>
      </w:pPr>
    </w:p>
    <w:p>
      <w:pPr>
        <w:pStyle w:val="74"/>
        <w:spacing w:line="480" w:lineRule="auto"/>
        <w:ind w:firstLine="494"/>
        <w:rPr>
          <w:rFonts w:hint="eastAsia" w:ascii="仿宋" w:hAnsi="仿宋" w:eastAsia="仿宋" w:cs="仿宋"/>
          <w:color w:val="auto"/>
          <w:sz w:val="24"/>
          <w:szCs w:val="24"/>
          <w:highlight w:val="none"/>
        </w:rPr>
      </w:pPr>
    </w:p>
    <w:p>
      <w:pPr>
        <w:pStyle w:val="74"/>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pPr>
        <w:pStyle w:val="74"/>
        <w:spacing w:line="48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pPr>
        <w:pStyle w:val="74"/>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adjustRightInd w:val="0"/>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附件2、</w:t>
      </w:r>
      <w:r>
        <w:rPr>
          <w:rFonts w:hint="eastAsia" w:ascii="仿宋" w:hAnsi="仿宋" w:eastAsia="仿宋" w:cs="仿宋"/>
          <w:b/>
          <w:color w:val="auto"/>
          <w:sz w:val="24"/>
          <w:szCs w:val="24"/>
          <w:highlight w:val="none"/>
        </w:rPr>
        <w:t>中小企业声明函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 xml:space="preserve"> 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 xml:space="preserve">  采购活动，服务全部由符合政策要求的中小企业承接。相关企业（含联合体中的中小企业、签订分包意向协议的中小企业）的具体情况如下</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lang w:eastAsia="zh-CN"/>
        </w:rPr>
        <w:t>文件</w:t>
      </w:r>
      <w:r>
        <w:rPr>
          <w:rFonts w:hint="eastAsia" w:ascii="仿宋" w:hAnsi="仿宋" w:eastAsia="仿宋" w:cs="仿宋"/>
          <w:color w:val="auto"/>
          <w:sz w:val="24"/>
          <w:szCs w:val="24"/>
          <w:highlight w:val="none"/>
          <w:u w:val="single"/>
        </w:rPr>
        <w:t>中明确的所属行业）</w:t>
      </w:r>
      <w:r>
        <w:rPr>
          <w:rFonts w:hint="eastAsia" w:ascii="仿宋" w:hAnsi="仿宋" w:eastAsia="仿宋" w:cs="仿宋"/>
          <w:color w:val="auto"/>
          <w:sz w:val="24"/>
          <w:szCs w:val="24"/>
          <w:highlight w:val="none"/>
        </w:rPr>
        <w:t>行业 ；</w:t>
      </w:r>
      <w:r>
        <w:rPr>
          <w:rFonts w:hint="eastAsia" w:ascii="仿宋" w:hAnsi="仿宋" w:eastAsia="仿宋" w:cs="仿宋"/>
          <w:color w:val="auto"/>
          <w:sz w:val="24"/>
          <w:szCs w:val="24"/>
          <w:highlight w:val="none"/>
          <w:lang w:val="en-US" w:eastAsia="zh-CN"/>
        </w:rPr>
        <w:t>承建（承接）企业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w:t>
      </w:r>
      <w:r>
        <w:rPr>
          <w:rFonts w:hint="eastAsia" w:ascii="仿宋" w:hAnsi="仿宋" w:eastAsia="仿宋" w:cs="仿宋"/>
          <w:kern w:val="2"/>
          <w:sz w:val="24"/>
          <w:szCs w:val="24"/>
          <w:vertAlign w:val="superscript"/>
          <w:lang w:val="en-US" w:eastAsia="zh-CN" w:bidi="ar"/>
        </w:rPr>
        <w:t>1</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（中型企业、小型企业、微型企业）</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lang w:eastAsia="zh-CN"/>
        </w:rPr>
        <w:t>文件</w:t>
      </w:r>
      <w:r>
        <w:rPr>
          <w:rFonts w:hint="eastAsia" w:ascii="仿宋" w:hAnsi="仿宋" w:eastAsia="仿宋" w:cs="仿宋"/>
          <w:color w:val="auto"/>
          <w:sz w:val="24"/>
          <w:szCs w:val="24"/>
          <w:highlight w:val="none"/>
          <w:u w:val="single"/>
        </w:rPr>
        <w:t>中明确的所属行业）</w:t>
      </w:r>
      <w:r>
        <w:rPr>
          <w:rFonts w:hint="eastAsia" w:ascii="仿宋" w:hAnsi="仿宋" w:eastAsia="仿宋" w:cs="仿宋"/>
          <w:color w:val="auto"/>
          <w:sz w:val="24"/>
          <w:szCs w:val="24"/>
          <w:highlight w:val="none"/>
        </w:rPr>
        <w:t>行业 ；承建（承接）企业为为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 ，属于</w:t>
      </w:r>
      <w:r>
        <w:rPr>
          <w:rFonts w:hint="eastAsia" w:ascii="仿宋" w:hAnsi="仿宋" w:eastAsia="仿宋" w:cs="仿宋"/>
          <w:color w:val="auto"/>
          <w:sz w:val="24"/>
          <w:szCs w:val="24"/>
          <w:highlight w:val="none"/>
          <w:u w:val="single"/>
        </w:rPr>
        <w:t xml:space="preserve"> （中型企业、小型企业、微型企业）</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以上企业，不属于大企业的分支机构，不存在控股股东为大企业的情况，也不存在与大企业的负责人为同一人的情况。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pPr>
        <w:spacing w:line="360" w:lineRule="auto"/>
        <w:ind w:firstLine="3523" w:firstLineChars="1468"/>
        <w:rPr>
          <w:rFonts w:hint="eastAsia" w:ascii="仿宋" w:hAnsi="仿宋" w:eastAsia="仿宋" w:cs="仿宋"/>
          <w:color w:val="auto"/>
          <w:sz w:val="24"/>
          <w:szCs w:val="24"/>
          <w:highlight w:val="none"/>
        </w:rPr>
      </w:pPr>
    </w:p>
    <w:p>
      <w:pPr>
        <w:spacing w:line="360" w:lineRule="auto"/>
        <w:ind w:firstLine="3523" w:firstLineChars="146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投标单位名称（盖章）：</w:t>
      </w:r>
    </w:p>
    <w:p>
      <w:pPr>
        <w:spacing w:line="360" w:lineRule="auto"/>
        <w:ind w:firstLine="3523" w:firstLineChars="146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pPr>
        <w:spacing w:line="360" w:lineRule="auto"/>
        <w:ind w:firstLine="480" w:firstLineChars="200"/>
        <w:rPr>
          <w:rFonts w:hint="eastAsia" w:ascii="仿宋" w:hAnsi="仿宋" w:eastAsia="仿宋" w:cs="仿宋"/>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pStyle w:val="68"/>
        <w:spacing w:line="360" w:lineRule="auto"/>
        <w:ind w:firstLine="0" w:firstLineChars="0"/>
        <w:rPr>
          <w:rFonts w:hint="eastAsia" w:ascii="仿宋" w:hAnsi="仿宋" w:eastAsia="仿宋" w:cs="仿宋"/>
          <w:b/>
          <w:color w:val="auto"/>
          <w:sz w:val="24"/>
          <w:szCs w:val="24"/>
          <w:highlight w:val="none"/>
        </w:rPr>
      </w:pPr>
    </w:p>
    <w:p>
      <w:pPr>
        <w:jc w:val="center"/>
        <w:rPr>
          <w:rFonts w:hint="eastAsia" w:ascii="仿宋" w:hAnsi="仿宋" w:eastAsia="仿宋" w:cs="仿宋"/>
          <w:b/>
          <w:color w:val="auto"/>
          <w:sz w:val="24"/>
          <w:szCs w:val="24"/>
          <w:highlight w:val="none"/>
        </w:rPr>
      </w:pPr>
    </w:p>
    <w:p>
      <w:pPr>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附件3、</w:t>
      </w:r>
      <w:r>
        <w:rPr>
          <w:rFonts w:hint="eastAsia" w:ascii="仿宋" w:hAnsi="仿宋" w:eastAsia="仿宋" w:cs="仿宋"/>
          <w:b/>
          <w:color w:val="auto"/>
          <w:sz w:val="24"/>
          <w:szCs w:val="24"/>
          <w:highlight w:val="none"/>
        </w:rPr>
        <w:t>残疾人福利性单位声明函</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如有</w:t>
      </w:r>
      <w:r>
        <w:rPr>
          <w:rFonts w:hint="eastAsia" w:ascii="仿宋" w:hAnsi="仿宋" w:eastAsia="仿宋" w:cs="仿宋"/>
          <w:b/>
          <w:color w:val="auto"/>
          <w:sz w:val="24"/>
          <w:szCs w:val="24"/>
          <w:highlight w:val="none"/>
          <w:lang w:eastAsia="zh-CN"/>
        </w:rPr>
        <w:t>）</w:t>
      </w:r>
    </w:p>
    <w:p>
      <w:pPr>
        <w:spacing w:line="420" w:lineRule="atLeast"/>
        <w:ind w:firstLine="480" w:firstLineChars="200"/>
        <w:rPr>
          <w:rFonts w:hint="eastAsia" w:ascii="仿宋" w:hAnsi="仿宋" w:eastAsia="仿宋" w:cs="仿宋"/>
          <w:color w:val="auto"/>
          <w:sz w:val="24"/>
          <w:szCs w:val="24"/>
          <w:highlight w:val="none"/>
        </w:rPr>
      </w:pPr>
    </w:p>
    <w:p>
      <w:pPr>
        <w:spacing w:line="42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单位的__                    ____项目采购活动提供本单位制造的货物（由本单位承担工程/提供服务），或者提供其他残疾人福利性单位制造的货物（不包括使用非残疾人福利性单位注册商标的货物）。</w:t>
      </w:r>
    </w:p>
    <w:p>
      <w:pPr>
        <w:spacing w:line="42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rPr>
          <w:rFonts w:hint="eastAsia" w:ascii="仿宋" w:hAnsi="仿宋" w:eastAsia="仿宋" w:cs="仿宋"/>
          <w:b/>
          <w:color w:val="auto"/>
          <w:sz w:val="24"/>
          <w:szCs w:val="24"/>
          <w:highlight w:val="none"/>
        </w:rPr>
      </w:pPr>
    </w:p>
    <w:p>
      <w:pPr>
        <w:tabs>
          <w:tab w:val="left" w:pos="465"/>
          <w:tab w:val="left" w:pos="780"/>
        </w:tabs>
        <w:spacing w:line="42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注：此函随同价格文件和技术商务文件一起装订，非残疾人福利性单位投标时</w:t>
      </w:r>
      <w:r>
        <w:rPr>
          <w:rFonts w:hint="eastAsia" w:ascii="仿宋" w:hAnsi="仿宋" w:eastAsia="仿宋" w:cs="仿宋"/>
          <w:b/>
          <w:color w:val="auto"/>
          <w:sz w:val="24"/>
          <w:szCs w:val="24"/>
          <w:highlight w:val="none"/>
        </w:rPr>
        <w:t>不需要提供此声明函。</w:t>
      </w:r>
    </w:p>
    <w:p>
      <w:pPr>
        <w:spacing w:line="480" w:lineRule="auto"/>
        <w:rPr>
          <w:rFonts w:hint="eastAsia" w:ascii="仿宋" w:hAnsi="仿宋" w:eastAsia="仿宋" w:cs="仿宋"/>
          <w:b/>
          <w:color w:val="auto"/>
          <w:sz w:val="24"/>
          <w:szCs w:val="24"/>
          <w:highlight w:val="none"/>
        </w:rPr>
      </w:pPr>
    </w:p>
    <w:p>
      <w:pPr>
        <w:spacing w:line="480" w:lineRule="auto"/>
        <w:rPr>
          <w:rFonts w:hint="eastAsia" w:ascii="仿宋" w:hAnsi="仿宋" w:eastAsia="仿宋" w:cs="仿宋"/>
          <w:b/>
          <w:color w:val="auto"/>
          <w:sz w:val="24"/>
          <w:szCs w:val="24"/>
          <w:highlight w:val="none"/>
        </w:rPr>
      </w:pPr>
    </w:p>
    <w:p>
      <w:pPr>
        <w:pStyle w:val="14"/>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名称（加盖公章）：</w:t>
      </w:r>
    </w:p>
    <w:p>
      <w:pPr>
        <w:pStyle w:val="14"/>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法定代表人或受委托人（签名或盖私章）：</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jc w:val="center"/>
        <w:rPr>
          <w:rFonts w:hint="eastAsia" w:ascii="仿宋" w:hAnsi="仿宋" w:eastAsia="仿宋" w:cs="仿宋"/>
          <w:b/>
          <w:color w:val="auto"/>
          <w:sz w:val="24"/>
          <w:szCs w:val="24"/>
          <w:highlight w:val="none"/>
          <w:lang w:val="en-US" w:eastAsia="zh-CN"/>
        </w:rPr>
      </w:pPr>
    </w:p>
    <w:p>
      <w:pPr>
        <w:jc w:val="center"/>
        <w:rPr>
          <w:rFonts w:hint="eastAsia" w:ascii="仿宋" w:hAnsi="仿宋" w:eastAsia="仿宋" w:cs="仿宋"/>
          <w:b/>
          <w:color w:val="auto"/>
          <w:sz w:val="24"/>
          <w:szCs w:val="24"/>
          <w:highlight w:val="none"/>
          <w:lang w:val="en-US" w:eastAsia="zh-CN"/>
        </w:rPr>
      </w:pPr>
    </w:p>
    <w:p>
      <w:pPr>
        <w:jc w:val="center"/>
        <w:rPr>
          <w:rFonts w:hint="eastAsia" w:ascii="仿宋" w:hAnsi="仿宋" w:eastAsia="仿宋" w:cs="仿宋"/>
          <w:b/>
          <w:color w:val="auto"/>
          <w:sz w:val="24"/>
          <w:szCs w:val="24"/>
          <w:highlight w:val="none"/>
          <w:lang w:val="en-US" w:eastAsia="zh-CN"/>
        </w:rPr>
      </w:pPr>
    </w:p>
    <w:p>
      <w:pPr>
        <w:jc w:val="center"/>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pStyle w:val="41"/>
        <w:rPr>
          <w:rFonts w:hint="eastAsia" w:ascii="仿宋" w:hAnsi="仿宋" w:eastAsia="仿宋" w:cs="仿宋"/>
          <w:b/>
          <w:color w:val="auto"/>
          <w:sz w:val="24"/>
          <w:szCs w:val="24"/>
          <w:highlight w:val="none"/>
          <w:lang w:val="en-US" w:eastAsia="zh-CN"/>
        </w:rPr>
      </w:pPr>
    </w:p>
    <w:p>
      <w:pPr>
        <w:jc w:val="center"/>
        <w:rPr>
          <w:rFonts w:hint="eastAsia" w:ascii="仿宋" w:hAnsi="仿宋" w:eastAsia="仿宋" w:cs="仿宋"/>
          <w:b/>
          <w:color w:val="auto"/>
          <w:sz w:val="24"/>
          <w:szCs w:val="24"/>
          <w:highlight w:val="none"/>
          <w:lang w:val="en-US" w:eastAsia="zh-CN"/>
        </w:rPr>
      </w:pP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附件4</w:t>
      </w:r>
      <w:r>
        <w:rPr>
          <w:rFonts w:hint="eastAsia" w:ascii="仿宋" w:hAnsi="仿宋" w:eastAsia="仿宋" w:cs="仿宋"/>
          <w:b/>
          <w:color w:val="auto"/>
          <w:sz w:val="24"/>
          <w:szCs w:val="24"/>
          <w:highlight w:val="none"/>
        </w:rPr>
        <w:t>省级以上监狱管理局、戒毒管理局（含新疆生产建设兵团）出具的属于监狱企业证明文件（格式自拟）</w:t>
      </w: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p>
      <w:pPr>
        <w:rPr>
          <w:rFonts w:hint="eastAsia"/>
        </w:rPr>
      </w:pPr>
    </w:p>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p>
    <w:bookmarkEnd w:id="504"/>
    <w:p>
      <w:pPr>
        <w:pStyle w:val="2"/>
        <w:keepNext w:val="0"/>
        <w:keepLines w:val="0"/>
        <w:pageBreakBefore w:val="0"/>
        <w:widowControl w:val="0"/>
        <w:kinsoku/>
        <w:overflowPunct/>
        <w:topLinePunct w:val="0"/>
        <w:bidi w:val="0"/>
        <w:adjustRightInd/>
        <w:snapToGrid/>
        <w:textAlignment w:val="auto"/>
        <w:rPr>
          <w:rFonts w:hint="eastAsia" w:ascii="仿宋" w:hAnsi="仿宋" w:eastAsia="仿宋" w:cs="仿宋"/>
          <w:color w:val="auto"/>
          <w:sz w:val="24"/>
          <w:szCs w:val="24"/>
          <w:highlight w:val="none"/>
        </w:rPr>
      </w:pPr>
      <w:bookmarkStart w:id="507" w:name="_Toc24440"/>
      <w:bookmarkStart w:id="508" w:name="_Toc45795253"/>
      <w:bookmarkStart w:id="509" w:name="_Toc9700"/>
      <w:r>
        <w:rPr>
          <w:rFonts w:hint="eastAsia" w:ascii="仿宋" w:hAnsi="仿宋" w:eastAsia="仿宋" w:cs="仿宋"/>
          <w:color w:val="auto"/>
          <w:sz w:val="24"/>
          <w:szCs w:val="24"/>
          <w:highlight w:val="none"/>
        </w:rPr>
        <w:t xml:space="preserve">附表1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初步评审标准表</w:t>
      </w:r>
      <w:bookmarkEnd w:id="507"/>
    </w:p>
    <w:tbl>
      <w:tblPr>
        <w:tblStyle w:val="32"/>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472" w:type="dxa"/>
            <w:vMerge w:val="restart"/>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889" w:type="dxa"/>
            <w:vMerge w:val="restart"/>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1681" w:type="dxa"/>
            <w:gridSpan w:val="2"/>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p>
        </w:tc>
        <w:tc>
          <w:tcPr>
            <w:tcW w:w="472" w:type="dxa"/>
            <w:vMerge w:val="continue"/>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p>
        </w:tc>
        <w:tc>
          <w:tcPr>
            <w:tcW w:w="6889" w:type="dxa"/>
            <w:vMerge w:val="continue"/>
            <w:vAlign w:val="center"/>
          </w:tcPr>
          <w:p>
            <w:pPr>
              <w:keepNext w:val="0"/>
              <w:keepLines w:val="0"/>
              <w:pageBreakBefore w:val="0"/>
              <w:widowControl w:val="0"/>
              <w:kinsoku/>
              <w:overflowPunct/>
              <w:topLinePunct w:val="0"/>
              <w:autoSpaceDE w:val="0"/>
              <w:autoSpaceDN w:val="0"/>
              <w:bidi w:val="0"/>
              <w:adjustRightInd/>
              <w:snapToGrid/>
              <w:spacing w:line="240" w:lineRule="exact"/>
              <w:textAlignment w:val="auto"/>
              <w:rPr>
                <w:rFonts w:hint="eastAsia" w:ascii="仿宋" w:hAnsi="仿宋" w:eastAsia="仿宋" w:cs="仿宋"/>
                <w:color w:val="auto"/>
                <w:sz w:val="24"/>
                <w:szCs w:val="24"/>
                <w:highlight w:val="none"/>
              </w:rPr>
            </w:pPr>
          </w:p>
        </w:tc>
        <w:tc>
          <w:tcPr>
            <w:tcW w:w="799" w:type="dxa"/>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tc>
        <w:tc>
          <w:tcPr>
            <w:tcW w:w="882" w:type="dxa"/>
            <w:vAlign w:val="center"/>
          </w:tcPr>
          <w:p>
            <w:pPr>
              <w:keepNext w:val="0"/>
              <w:keepLines w:val="0"/>
              <w:pageBreakBefore w:val="0"/>
              <w:widowControl w:val="0"/>
              <w:kinsoku/>
              <w:overflowPunct/>
              <w:topLinePunct w:val="0"/>
              <w:autoSpaceDE w:val="0"/>
              <w:autoSpaceDN w:val="0"/>
              <w:bidi w:val="0"/>
              <w:adjustRightInd/>
              <w:snapToGrid/>
              <w:spacing w:line="2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517" w:type="dxa"/>
            <w:vMerge w:val="restart"/>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w:t>
            </w: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投标人为企业法人应提供合法有效的标识有统一社会信用代码的营业执照；事业法人应提供事业单位法人证书；其他组织应提供合法登记证明文件；</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法定代表人（负责人）参加提供法定代表人（负责人）身份证明书及身份证（授权委托人参加提供法定代表人（负责人）授权委托书及被委托人身份证）；</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889" w:type="dxa"/>
            <w:vAlign w:val="bottom"/>
          </w:tcPr>
          <w:p>
            <w:pPr>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投标人提供近半年内已缴存的至少一个月的社保机构开具的社会保险参保缴费情况证明，依法不需要缴纳社会保障资金的投标人应提供相关文件证明；</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投标人提供2023年的财务审计报告（成立时间至提交投标文件截止时间不足一年的可提供成立后任意时段的资产负债表），或其开标前三个月内基本存款账户开户银行出具的资信证明及基本存款账户开户证明；</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投标人应具备良好的商业信誉，提供参加政府采购活动前3年内在经营活动中没有重大违法记录的书面声明；</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517" w:type="dxa"/>
            <w:vMerge w:val="continue"/>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eastAsia" w:ascii="仿宋" w:hAnsi="仿宋" w:eastAsia="仿宋" w:cs="仿宋"/>
                <w:color w:val="auto"/>
                <w:sz w:val="24"/>
                <w:szCs w:val="24"/>
                <w:highlight w:val="none"/>
              </w:rPr>
            </w:pPr>
          </w:p>
        </w:tc>
        <w:tc>
          <w:tcPr>
            <w:tcW w:w="472" w:type="dxa"/>
            <w:vAlign w:val="center"/>
          </w:tcPr>
          <w:p>
            <w:pPr>
              <w:keepNext w:val="0"/>
              <w:keepLines w:val="0"/>
              <w:pageBreakBefore w:val="0"/>
              <w:widowControl w:val="0"/>
              <w:kinsoku/>
              <w:overflowPunct/>
              <w:topLinePunct w:val="0"/>
              <w:autoSpaceDE w:val="0"/>
              <w:autoSpaceDN w:val="0"/>
              <w:bidi w:val="0"/>
              <w:adjustRightInd/>
              <w:snapToGrid/>
              <w:spacing w:line="3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供应商应为中小企业，需提供有效的《中小企业声明函》。格式以采购文件要求为准。</w:t>
            </w:r>
          </w:p>
        </w:tc>
        <w:tc>
          <w:tcPr>
            <w:tcW w:w="799"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c>
          <w:tcPr>
            <w:tcW w:w="882" w:type="dxa"/>
          </w:tcPr>
          <w:p>
            <w:pPr>
              <w:keepNext w:val="0"/>
              <w:keepLines w:val="0"/>
              <w:pageBreakBefore w:val="0"/>
              <w:widowControl w:val="0"/>
              <w:kinsoku/>
              <w:overflowPunct/>
              <w:topLinePunct w:val="0"/>
              <w:autoSpaceDE w:val="0"/>
              <w:autoSpaceDN w:val="0"/>
              <w:bidi w:val="0"/>
              <w:adjustRightInd/>
              <w:snapToGrid/>
              <w:spacing w:line="340" w:lineRule="exact"/>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17" w:type="dxa"/>
            <w:vMerge w:val="continue"/>
            <w:vAlign w:val="center"/>
          </w:tcPr>
          <w:p>
            <w:pPr>
              <w:autoSpaceDE w:val="0"/>
              <w:autoSpaceDN w:val="0"/>
              <w:spacing w:line="340" w:lineRule="exact"/>
              <w:jc w:val="center"/>
              <w:rPr>
                <w:rFonts w:hint="eastAsia" w:ascii="仿宋" w:hAnsi="仿宋" w:eastAsia="仿宋" w:cs="仿宋"/>
                <w:color w:val="auto"/>
                <w:sz w:val="24"/>
                <w:szCs w:val="24"/>
                <w:highlight w:val="none"/>
              </w:rPr>
            </w:pPr>
          </w:p>
        </w:tc>
        <w:tc>
          <w:tcPr>
            <w:tcW w:w="472" w:type="dxa"/>
            <w:vAlign w:val="center"/>
          </w:tcPr>
          <w:p>
            <w:pPr>
              <w:spacing w:line="3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889" w:type="dxa"/>
            <w:vAlign w:val="center"/>
          </w:tcPr>
          <w:p>
            <w:pPr>
              <w:pStyle w:val="29"/>
              <w:shd w:val="clear" w:color="auto" w:fill="FFFFFF"/>
              <w:spacing w:before="0" w:beforeAutospacing="0" w:after="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保证金汇款凭证或保函；</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517" w:type="dxa"/>
            <w:vMerge w:val="restart"/>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w:t>
            </w:r>
          </w:p>
        </w:tc>
        <w:tc>
          <w:tcPr>
            <w:tcW w:w="472" w:type="dxa"/>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投标文件是否有投标单位法定代表人或其委托代理人（签字或签章）和加盖了投标单位的盖章；</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7" w:type="dxa"/>
            <w:vMerge w:val="continue"/>
            <w:vAlign w:val="center"/>
          </w:tcPr>
          <w:p>
            <w:pPr>
              <w:widowControl/>
              <w:spacing w:line="340" w:lineRule="exact"/>
              <w:jc w:val="left"/>
              <w:rPr>
                <w:rFonts w:hint="eastAsia" w:ascii="仿宋" w:hAnsi="仿宋" w:eastAsia="仿宋" w:cs="仿宋"/>
                <w:color w:val="auto"/>
                <w:sz w:val="24"/>
                <w:szCs w:val="24"/>
                <w:highlight w:val="none"/>
              </w:rPr>
            </w:pPr>
          </w:p>
        </w:tc>
        <w:tc>
          <w:tcPr>
            <w:tcW w:w="472" w:type="dxa"/>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是否对同一招标项目做出两个以上报价而未明确效力；</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17" w:type="dxa"/>
            <w:vMerge w:val="continue"/>
            <w:vAlign w:val="center"/>
          </w:tcPr>
          <w:p>
            <w:pPr>
              <w:widowControl/>
              <w:spacing w:line="340" w:lineRule="exact"/>
              <w:jc w:val="left"/>
              <w:rPr>
                <w:rFonts w:hint="eastAsia" w:ascii="仿宋" w:hAnsi="仿宋" w:eastAsia="仿宋" w:cs="仿宋"/>
                <w:color w:val="auto"/>
                <w:sz w:val="24"/>
                <w:szCs w:val="24"/>
                <w:highlight w:val="none"/>
              </w:rPr>
            </w:pPr>
          </w:p>
        </w:tc>
        <w:tc>
          <w:tcPr>
            <w:tcW w:w="472" w:type="dxa"/>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服务期限是否符合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7" w:type="dxa"/>
            <w:vMerge w:val="continue"/>
            <w:vAlign w:val="center"/>
          </w:tcPr>
          <w:p>
            <w:pPr>
              <w:widowControl/>
              <w:spacing w:line="340" w:lineRule="exact"/>
              <w:jc w:val="left"/>
              <w:rPr>
                <w:rFonts w:hint="eastAsia" w:ascii="仿宋" w:hAnsi="仿宋" w:eastAsia="仿宋" w:cs="仿宋"/>
                <w:color w:val="auto"/>
                <w:sz w:val="24"/>
                <w:szCs w:val="24"/>
                <w:highlight w:val="none"/>
              </w:rPr>
            </w:pPr>
          </w:p>
        </w:tc>
        <w:tc>
          <w:tcPr>
            <w:tcW w:w="472" w:type="dxa"/>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投标人投标总价是否超出</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widowControl/>
              <w:spacing w:line="340" w:lineRule="exact"/>
              <w:jc w:val="left"/>
              <w:rPr>
                <w:rFonts w:hint="eastAsia" w:ascii="仿宋" w:hAnsi="仿宋" w:eastAsia="仿宋" w:cs="仿宋"/>
                <w:color w:val="auto"/>
                <w:sz w:val="24"/>
                <w:szCs w:val="24"/>
                <w:highlight w:val="none"/>
              </w:rPr>
            </w:pPr>
          </w:p>
        </w:tc>
        <w:tc>
          <w:tcPr>
            <w:tcW w:w="472" w:type="dxa"/>
            <w:vAlign w:val="center"/>
          </w:tcPr>
          <w:p>
            <w:pPr>
              <w:autoSpaceDE w:val="0"/>
              <w:autoSpaceDN w:val="0"/>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889" w:type="dxa"/>
            <w:vAlign w:val="center"/>
          </w:tcPr>
          <w:p>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投标文件是否附有采购人不能接受的条件。</w:t>
            </w:r>
          </w:p>
        </w:tc>
        <w:tc>
          <w:tcPr>
            <w:tcW w:w="799" w:type="dxa"/>
          </w:tcPr>
          <w:p>
            <w:pPr>
              <w:autoSpaceDE w:val="0"/>
              <w:autoSpaceDN w:val="0"/>
              <w:spacing w:line="340" w:lineRule="exact"/>
              <w:jc w:val="left"/>
              <w:rPr>
                <w:rFonts w:hint="eastAsia" w:ascii="仿宋" w:hAnsi="仿宋" w:eastAsia="仿宋" w:cs="仿宋"/>
                <w:color w:val="auto"/>
                <w:sz w:val="24"/>
                <w:szCs w:val="24"/>
                <w:highlight w:val="none"/>
              </w:rPr>
            </w:pPr>
          </w:p>
        </w:tc>
        <w:tc>
          <w:tcPr>
            <w:tcW w:w="882" w:type="dxa"/>
          </w:tcPr>
          <w:p>
            <w:pPr>
              <w:autoSpaceDE w:val="0"/>
              <w:autoSpaceDN w:val="0"/>
              <w:spacing w:line="34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559" w:type="dxa"/>
            <w:gridSpan w:val="5"/>
            <w:vAlign w:val="center"/>
          </w:tcPr>
          <w:p>
            <w:pPr>
              <w:autoSpaceDE w:val="0"/>
              <w:autoSpaceDN w:val="0"/>
              <w:spacing w:line="24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以上有一项未通过的</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不得进入下阶段评审</w:t>
            </w:r>
          </w:p>
        </w:tc>
      </w:tr>
    </w:tbl>
    <w:p>
      <w:pPr>
        <w:spacing w:line="240" w:lineRule="auto"/>
        <w:rPr>
          <w:rFonts w:hint="eastAsia" w:ascii="仿宋" w:hAnsi="仿宋" w:eastAsia="仿宋" w:cs="仿宋"/>
          <w:b/>
          <w:bCs/>
          <w:sz w:val="24"/>
          <w:szCs w:val="24"/>
        </w:rPr>
      </w:pPr>
    </w:p>
    <w:p>
      <w:pPr>
        <w:pStyle w:val="16"/>
        <w:rPr>
          <w:rFonts w:hint="eastAsia"/>
        </w:rPr>
      </w:pPr>
    </w:p>
    <w:p>
      <w:pPr>
        <w:spacing w:line="240" w:lineRule="auto"/>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ascii="仿宋" w:hAnsi="仿宋" w:eastAsia="仿宋" w:cs="仿宋"/>
          <w:b/>
          <w:bCs/>
          <w:sz w:val="24"/>
          <w:szCs w:val="24"/>
        </w:rPr>
      </w:pPr>
    </w:p>
    <w:p>
      <w:pPr>
        <w:rPr>
          <w:rFonts w:hint="eastAsia" w:ascii="仿宋" w:hAnsi="仿宋" w:eastAsia="仿宋" w:cs="仿宋"/>
          <w:b/>
          <w:bCs/>
          <w:sz w:val="24"/>
          <w:szCs w:val="24"/>
        </w:rPr>
      </w:pPr>
    </w:p>
    <w:p>
      <w:pPr>
        <w:pStyle w:val="28"/>
        <w:rPr>
          <w:rFonts w:hint="eastAsia" w:ascii="仿宋" w:hAnsi="仿宋" w:eastAsia="仿宋" w:cs="仿宋"/>
          <w:b/>
          <w:bCs/>
          <w:sz w:val="24"/>
          <w:szCs w:val="24"/>
        </w:rPr>
      </w:pPr>
    </w:p>
    <w:p>
      <w:pPr>
        <w:pStyle w:val="28"/>
        <w:rPr>
          <w:rFonts w:hint="eastAsia" w:ascii="仿宋" w:hAnsi="仿宋" w:eastAsia="仿宋" w:cs="仿宋"/>
          <w:b/>
          <w:bCs/>
          <w:sz w:val="24"/>
          <w:szCs w:val="24"/>
        </w:rPr>
      </w:pPr>
    </w:p>
    <w:p>
      <w:pPr>
        <w:rPr>
          <w:rFonts w:hint="eastAsia" w:ascii="仿宋" w:hAnsi="仿宋" w:eastAsia="仿宋" w:cs="仿宋"/>
          <w:b/>
          <w:bCs/>
          <w:sz w:val="24"/>
          <w:szCs w:val="24"/>
        </w:rPr>
      </w:pPr>
    </w:p>
    <w:p>
      <w:pPr>
        <w:pStyle w:val="4"/>
        <w:rPr>
          <w:rFonts w:hint="eastAsia"/>
        </w:rPr>
      </w:pPr>
    </w:p>
    <w:p>
      <w:pPr>
        <w:pStyle w:val="4"/>
        <w:rPr>
          <w:rFonts w:hint="eastAsia" w:ascii="仿宋" w:hAnsi="仿宋" w:eastAsia="仿宋" w:cs="仿宋"/>
          <w:b/>
          <w:bCs/>
          <w:sz w:val="24"/>
          <w:szCs w:val="24"/>
        </w:rPr>
      </w:pPr>
    </w:p>
    <w:p>
      <w:pPr>
        <w:rPr>
          <w:rFonts w:hint="eastAsia"/>
        </w:rPr>
      </w:pPr>
    </w:p>
    <w:p>
      <w:pPr>
        <w:spacing w:line="240" w:lineRule="auto"/>
        <w:rPr>
          <w:rFonts w:hint="eastAsia" w:ascii="仿宋" w:hAnsi="仿宋" w:eastAsia="仿宋" w:cs="仿宋"/>
          <w:b/>
          <w:bCs/>
          <w:sz w:val="24"/>
          <w:szCs w:val="24"/>
          <w:highlight w:val="none"/>
        </w:rPr>
      </w:pPr>
      <w:r>
        <w:rPr>
          <w:rFonts w:hint="eastAsia" w:ascii="仿宋" w:hAnsi="仿宋" w:eastAsia="仿宋" w:cs="仿宋"/>
          <w:b/>
          <w:bCs/>
          <w:sz w:val="24"/>
          <w:szCs w:val="24"/>
        </w:rPr>
        <w:t xml:space="preserve">附表2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评 分 细 则</w:t>
      </w:r>
    </w:p>
    <w:bookmarkEnd w:id="508"/>
    <w:bookmarkEnd w:id="509"/>
    <w:tbl>
      <w:tblPr>
        <w:tblStyle w:val="32"/>
        <w:tblpPr w:leftFromText="180" w:rightFromText="180" w:vertAnchor="text" w:horzAnchor="page" w:tblpX="1567" w:tblpY="959"/>
        <w:tblOverlap w:val="never"/>
        <w:tblW w:w="9079" w:type="dxa"/>
        <w:tblInd w:w="0" w:type="dxa"/>
        <w:tblLayout w:type="fixed"/>
        <w:tblCellMar>
          <w:top w:w="0" w:type="dxa"/>
          <w:left w:w="108" w:type="dxa"/>
          <w:bottom w:w="0" w:type="dxa"/>
          <w:right w:w="108" w:type="dxa"/>
        </w:tblCellMar>
      </w:tblPr>
      <w:tblGrid>
        <w:gridCol w:w="1232"/>
        <w:gridCol w:w="60"/>
        <w:gridCol w:w="6848"/>
        <w:gridCol w:w="939"/>
      </w:tblGrid>
      <w:tr>
        <w:tblPrEx>
          <w:tblCellMar>
            <w:top w:w="0" w:type="dxa"/>
            <w:left w:w="108" w:type="dxa"/>
            <w:bottom w:w="0" w:type="dxa"/>
            <w:right w:w="108" w:type="dxa"/>
          </w:tblCellMar>
        </w:tblPrEx>
        <w:trPr>
          <w:trHeight w:val="689" w:hRule="atLeast"/>
          <w:tblHeader/>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93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tblPrEx>
          <w:tblCellMar>
            <w:top w:w="0" w:type="dxa"/>
            <w:left w:w="108" w:type="dxa"/>
            <w:bottom w:w="0" w:type="dxa"/>
            <w:right w:w="108" w:type="dxa"/>
          </w:tblCellMar>
        </w:tblPrEx>
        <w:trPr>
          <w:trHeight w:val="358" w:hRule="atLeast"/>
        </w:trPr>
        <w:tc>
          <w:tcPr>
            <w:tcW w:w="907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价格评分</w:t>
            </w:r>
            <w:r>
              <w:rPr>
                <w:rFonts w:hint="eastAsia" w:ascii="仿宋" w:hAnsi="仿宋" w:eastAsia="仿宋" w:cs="仿宋"/>
                <w:b/>
                <w:bCs/>
                <w:color w:val="auto"/>
                <w:kern w:val="0"/>
                <w:sz w:val="24"/>
                <w:szCs w:val="24"/>
                <w:highlight w:val="none"/>
                <w:lang w:val="en-US" w:eastAsia="zh-CN" w:bidi="ar"/>
              </w:rPr>
              <w:t>10</w:t>
            </w:r>
            <w:r>
              <w:rPr>
                <w:rFonts w:hint="eastAsia" w:ascii="仿宋" w:hAnsi="仿宋" w:eastAsia="仿宋" w:cs="仿宋"/>
                <w:b/>
                <w:bCs/>
                <w:color w:val="auto"/>
                <w:kern w:val="0"/>
                <w:sz w:val="24"/>
                <w:szCs w:val="24"/>
                <w:highlight w:val="none"/>
                <w:lang w:bidi="ar"/>
              </w:rPr>
              <w:t>分</w:t>
            </w:r>
          </w:p>
        </w:tc>
      </w:tr>
      <w:tr>
        <w:tblPrEx>
          <w:tblCellMar>
            <w:top w:w="0" w:type="dxa"/>
            <w:left w:w="108" w:type="dxa"/>
            <w:bottom w:w="0" w:type="dxa"/>
            <w:right w:w="108" w:type="dxa"/>
          </w:tblCellMar>
        </w:tblPrEx>
        <w:trPr>
          <w:trHeight w:val="2495" w:hRule="atLeast"/>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价</w:t>
            </w:r>
            <w:r>
              <w:rPr>
                <w:rFonts w:hint="eastAsia" w:ascii="仿宋" w:hAnsi="仿宋" w:eastAsia="仿宋" w:cs="仿宋"/>
                <w:color w:val="auto"/>
                <w:sz w:val="24"/>
                <w:szCs w:val="24"/>
                <w:highlight w:val="none"/>
              </w:rPr>
              <w:t>格</w:t>
            </w:r>
          </w:p>
        </w:tc>
        <w:tc>
          <w:tcPr>
            <w:tcW w:w="684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报价得分=(评标基准价/修正后报价)×价格权值×100</w:t>
            </w:r>
          </w:p>
          <w:p>
            <w:pPr>
              <w:widowControl/>
              <w:spacing w:line="276" w:lineRule="auto"/>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备注：</w:t>
            </w:r>
          </w:p>
          <w:p>
            <w:pPr>
              <w:widowControl/>
              <w:spacing w:line="276" w:lineRule="auto"/>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1.报价评分采用低价优先法计算；</w:t>
            </w:r>
          </w:p>
          <w:p>
            <w:pPr>
              <w:widowControl/>
              <w:spacing w:line="276" w:lineRule="auto"/>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2.评标基准价：满足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文件要求且经算术修正，依据政府采购政策进行价格扣除后的最低报价为评标基准价；</w:t>
            </w:r>
          </w:p>
          <w:p>
            <w:pPr>
              <w:widowControl/>
              <w:spacing w:line="276" w:lineRule="auto"/>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3.修正后报价：评标委员会以报价一览表中报价为基础，对其进行算术修正，依据政府采购政策进行价格扣除后，作为报价计算的依据。</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bidi="ar"/>
              </w:rPr>
              <w:t>分</w:t>
            </w:r>
          </w:p>
        </w:tc>
      </w:tr>
      <w:tr>
        <w:tblPrEx>
          <w:tblCellMar>
            <w:top w:w="0" w:type="dxa"/>
            <w:left w:w="108" w:type="dxa"/>
            <w:bottom w:w="0" w:type="dxa"/>
            <w:right w:w="108" w:type="dxa"/>
          </w:tblCellMar>
        </w:tblPrEx>
        <w:trPr>
          <w:trHeight w:val="90" w:hRule="atLeast"/>
        </w:trPr>
        <w:tc>
          <w:tcPr>
            <w:tcW w:w="907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商务部分评分</w:t>
            </w:r>
            <w:r>
              <w:rPr>
                <w:rFonts w:hint="eastAsia" w:ascii="仿宋" w:hAnsi="仿宋" w:eastAsia="仿宋" w:cs="仿宋"/>
                <w:b/>
                <w:bCs/>
                <w:color w:val="auto"/>
                <w:kern w:val="0"/>
                <w:sz w:val="24"/>
                <w:szCs w:val="24"/>
                <w:highlight w:val="none"/>
                <w:lang w:val="en-US" w:eastAsia="zh-CN" w:bidi="ar"/>
              </w:rPr>
              <w:t>35</w:t>
            </w:r>
            <w:r>
              <w:rPr>
                <w:rFonts w:hint="eastAsia" w:ascii="仿宋" w:hAnsi="仿宋" w:eastAsia="仿宋" w:cs="仿宋"/>
                <w:b/>
                <w:bCs/>
                <w:color w:val="auto"/>
                <w:kern w:val="0"/>
                <w:sz w:val="24"/>
                <w:szCs w:val="24"/>
                <w:highlight w:val="none"/>
                <w:lang w:bidi="ar"/>
              </w:rPr>
              <w:t>分</w:t>
            </w:r>
          </w:p>
        </w:tc>
      </w:tr>
      <w:tr>
        <w:tblPrEx>
          <w:tblCellMar>
            <w:top w:w="0" w:type="dxa"/>
            <w:left w:w="108" w:type="dxa"/>
            <w:bottom w:w="0" w:type="dxa"/>
            <w:right w:w="108" w:type="dxa"/>
          </w:tblCellMar>
        </w:tblPrEx>
        <w:trPr>
          <w:trHeight w:val="90" w:hRule="atLeast"/>
        </w:trPr>
        <w:tc>
          <w:tcPr>
            <w:tcW w:w="123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color w:val="auto"/>
                <w:sz w:val="24"/>
                <w:szCs w:val="24"/>
                <w:highlight w:val="none"/>
                <w:lang w:val="en-US" w:eastAsia="zh-CN"/>
              </w:rPr>
              <w:t>业绩</w:t>
            </w:r>
          </w:p>
        </w:tc>
        <w:tc>
          <w:tcPr>
            <w:tcW w:w="6908"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供应商提供近三年（202</w:t>
            </w:r>
            <w:r>
              <w:rPr>
                <w:rFonts w:hint="eastAsia" w:ascii="仿宋" w:hAnsi="仿宋" w:eastAsia="仿宋" w:cs="仿宋"/>
                <w:color w:val="auto"/>
                <w:sz w:val="24"/>
                <w:szCs w:val="24"/>
                <w:highlight w:val="none"/>
                <w:lang w:val="en-US" w:eastAsia="zh-CN"/>
              </w:rPr>
              <w:t>2年1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1日</w:t>
            </w:r>
            <w:r>
              <w:rPr>
                <w:rFonts w:hint="eastAsia" w:ascii="仿宋" w:hAnsi="仿宋" w:eastAsia="仿宋" w:cs="仿宋"/>
                <w:color w:val="auto"/>
                <w:sz w:val="24"/>
                <w:szCs w:val="24"/>
                <w:highlight w:val="none"/>
              </w:rPr>
              <w:t>-至今）类似</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业绩，提供 1 份得 1 分，最高得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分。未提供不得分。</w:t>
            </w:r>
          </w:p>
          <w:p>
            <w:pPr>
              <w:widowControl/>
              <w:spacing w:line="276" w:lineRule="auto"/>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【提供类似项目业绩的中标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通知书或合同复印件】</w:t>
            </w:r>
          </w:p>
        </w:tc>
        <w:tc>
          <w:tcPr>
            <w:tcW w:w="939"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5分</w:t>
            </w:r>
          </w:p>
        </w:tc>
      </w:tr>
      <w:tr>
        <w:tblPrEx>
          <w:tblCellMar>
            <w:top w:w="0" w:type="dxa"/>
            <w:left w:w="108" w:type="dxa"/>
            <w:bottom w:w="0" w:type="dxa"/>
            <w:right w:w="108" w:type="dxa"/>
          </w:tblCellMar>
        </w:tblPrEx>
        <w:trPr>
          <w:trHeight w:val="730" w:hRule="atLeast"/>
        </w:trPr>
        <w:tc>
          <w:tcPr>
            <w:tcW w:w="123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履约能力</w:t>
            </w:r>
          </w:p>
        </w:tc>
        <w:tc>
          <w:tcPr>
            <w:tcW w:w="6908"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投标人具备较高的诚信度和履约能力，响应招标文件的履约要求，能够切实履行各项承诺；</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承诺全面、具体、针对性强得</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 xml:space="preserve">分； </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基本完整，但针对性较好得</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分；</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无明显的欠缺，针对性一般得</w:t>
            </w: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分；</w:t>
            </w:r>
          </w:p>
          <w:p>
            <w:pPr>
              <w:widowControl/>
              <w:spacing w:line="276" w:lineRule="auto"/>
              <w:textAlignment w:val="center"/>
              <w:rPr>
                <w:rFonts w:hint="default"/>
                <w:highlight w:val="none"/>
                <w:lang w:val="en-US" w:eastAsia="zh-CN"/>
              </w:rPr>
            </w:pPr>
            <w:r>
              <w:rPr>
                <w:rFonts w:hint="default" w:ascii="仿宋" w:hAnsi="仿宋" w:eastAsia="仿宋" w:cs="仿宋"/>
                <w:color w:val="auto"/>
                <w:sz w:val="24"/>
                <w:szCs w:val="24"/>
                <w:highlight w:val="none"/>
                <w:lang w:val="en-US" w:eastAsia="zh-CN"/>
              </w:rPr>
              <w:t>本项缺项或不可行不得分。</w:t>
            </w:r>
          </w:p>
        </w:tc>
        <w:tc>
          <w:tcPr>
            <w:tcW w:w="939"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10分</w:t>
            </w:r>
          </w:p>
        </w:tc>
      </w:tr>
      <w:tr>
        <w:tblPrEx>
          <w:tblCellMar>
            <w:top w:w="0" w:type="dxa"/>
            <w:left w:w="108" w:type="dxa"/>
            <w:bottom w:w="0" w:type="dxa"/>
            <w:right w:w="108" w:type="dxa"/>
          </w:tblCellMar>
        </w:tblPrEx>
        <w:trPr>
          <w:trHeight w:val="1609" w:hRule="atLeast"/>
        </w:trPr>
        <w:tc>
          <w:tcPr>
            <w:tcW w:w="1232"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人员配置情况</w:t>
            </w:r>
          </w:p>
        </w:tc>
        <w:tc>
          <w:tcPr>
            <w:tcW w:w="6908"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76" w:lineRule="auto"/>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根据投标人提供的管理人员岗位职责、管理能力、 经验等方面行综合评价：</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人员配备科学合理、可行性强，得</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 xml:space="preserve"> 分； </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基本合理、具有可行性，得</w:t>
            </w: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 xml:space="preserve"> 分；</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 xml:space="preserve">基本完整、可行性一般，得 </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分；</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方案缺漏较多，可行性差，得</w:t>
            </w: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 xml:space="preserve"> 分； </w:t>
            </w:r>
          </w:p>
          <w:p>
            <w:pPr>
              <w:widowControl/>
              <w:spacing w:line="276" w:lineRule="auto"/>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未提供对应方案得0 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10分</w:t>
            </w:r>
          </w:p>
        </w:tc>
      </w:tr>
      <w:tr>
        <w:tblPrEx>
          <w:tblCellMar>
            <w:top w:w="0" w:type="dxa"/>
            <w:left w:w="108" w:type="dxa"/>
            <w:bottom w:w="0" w:type="dxa"/>
            <w:right w:w="108" w:type="dxa"/>
          </w:tblCellMar>
        </w:tblPrEx>
        <w:trPr>
          <w:trHeight w:val="90" w:hRule="atLeast"/>
        </w:trPr>
        <w:tc>
          <w:tcPr>
            <w:tcW w:w="1232" w:type="dxa"/>
            <w:vMerge w:val="continue"/>
            <w:tcBorders>
              <w:left w:val="single" w:color="000000" w:sz="4" w:space="0"/>
              <w:bottom w:val="single" w:color="000000" w:sz="4" w:space="0"/>
              <w:right w:val="single" w:color="auto" w:sz="4" w:space="0"/>
            </w:tcBorders>
            <w:vAlign w:val="center"/>
          </w:tcPr>
          <w:p>
            <w:pPr>
              <w:widowControl/>
              <w:spacing w:line="276" w:lineRule="auto"/>
              <w:textAlignment w:val="center"/>
            </w:pPr>
          </w:p>
        </w:tc>
        <w:tc>
          <w:tcPr>
            <w:tcW w:w="6908"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2.参与本项目技术团队成员不少于10人，技术团队组长具有研究员职称或是自治区小麦产业技术体系岗位专家的得10分，少1人扣两分，未提供组长研究员职称或自治区小麦产业技术体系岗位专家的不得分。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76" w:lineRule="auto"/>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10分</w:t>
            </w:r>
          </w:p>
        </w:tc>
      </w:tr>
      <w:tr>
        <w:tblPrEx>
          <w:tblCellMar>
            <w:top w:w="0" w:type="dxa"/>
            <w:left w:w="108" w:type="dxa"/>
            <w:bottom w:w="0" w:type="dxa"/>
            <w:right w:w="108" w:type="dxa"/>
          </w:tblCellMar>
        </w:tblPrEx>
        <w:trPr>
          <w:trHeight w:val="570" w:hRule="atLeast"/>
        </w:trPr>
        <w:tc>
          <w:tcPr>
            <w:tcW w:w="9079"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技术部分评分</w:t>
            </w:r>
            <w:r>
              <w:rPr>
                <w:rFonts w:hint="eastAsia" w:ascii="仿宋" w:hAnsi="仿宋" w:eastAsia="仿宋" w:cs="仿宋"/>
                <w:b/>
                <w:bCs/>
                <w:color w:val="auto"/>
                <w:kern w:val="0"/>
                <w:sz w:val="24"/>
                <w:szCs w:val="24"/>
                <w:highlight w:val="none"/>
                <w:lang w:val="en-US" w:eastAsia="zh-CN" w:bidi="ar"/>
              </w:rPr>
              <w:t>55</w:t>
            </w:r>
            <w:r>
              <w:rPr>
                <w:rFonts w:hint="eastAsia" w:ascii="仿宋" w:hAnsi="仿宋" w:eastAsia="仿宋" w:cs="仿宋"/>
                <w:b/>
                <w:bCs/>
                <w:color w:val="auto"/>
                <w:kern w:val="0"/>
                <w:sz w:val="24"/>
                <w:szCs w:val="24"/>
                <w:highlight w:val="none"/>
                <w:lang w:bidi="ar"/>
              </w:rPr>
              <w:t>分</w:t>
            </w:r>
          </w:p>
        </w:tc>
      </w:tr>
      <w:tr>
        <w:tblPrEx>
          <w:tblCellMar>
            <w:top w:w="0" w:type="dxa"/>
            <w:left w:w="108" w:type="dxa"/>
            <w:bottom w:w="0" w:type="dxa"/>
            <w:right w:w="108" w:type="dxa"/>
          </w:tblCellMar>
        </w:tblPrEx>
        <w:trPr>
          <w:trHeight w:val="1774" w:hRule="atLeast"/>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服务实施方案</w:t>
            </w: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b w:val="0"/>
                <w:bCs w:val="0"/>
                <w:color w:val="auto"/>
                <w:sz w:val="24"/>
                <w:szCs w:val="24"/>
                <w:highlight w:val="none"/>
                <w:lang w:val="en-US" w:eastAsia="zh-CN"/>
              </w:rPr>
            </w:pPr>
          </w:p>
        </w:tc>
        <w:tc>
          <w:tcPr>
            <w:tcW w:w="6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供应商根据本项目“采购内容及要求”，提供服务实施方案：</w:t>
            </w:r>
          </w:p>
          <w:p>
            <w:pPr>
              <w:keepNext w:val="0"/>
              <w:keepLines w:val="0"/>
              <w:pageBreakBefore w:val="0"/>
              <w:widowControl/>
              <w:numPr>
                <w:ilvl w:val="0"/>
                <w:numId w:val="60"/>
              </w:numPr>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服务实施方案详实、具体、切实可行、科学合理，针对性强，服务方案内容与本项目对应，不存在凭空编造、没有逻辑漏洞的情形，得 20 分；</w:t>
            </w:r>
          </w:p>
          <w:p>
            <w:pPr>
              <w:keepNext w:val="0"/>
              <w:keepLines w:val="0"/>
              <w:pageBreakBefore w:val="0"/>
              <w:widowControl/>
              <w:numPr>
                <w:ilvl w:val="0"/>
                <w:numId w:val="60"/>
              </w:numPr>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服务实施方案较细致、大部分响应内容切实可行、合理，得 14 分；</w:t>
            </w:r>
          </w:p>
          <w:p>
            <w:pPr>
              <w:keepNext w:val="0"/>
              <w:keepLines w:val="0"/>
              <w:pageBreakBefore w:val="0"/>
              <w:widowControl/>
              <w:numPr>
                <w:ilvl w:val="0"/>
                <w:numId w:val="60"/>
              </w:numPr>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服务实施方案模糊、存在凭空编造、有逻辑漏洞的情形、目标不明确得7 分。</w:t>
            </w:r>
          </w:p>
          <w:p>
            <w:pPr>
              <w:keepNext w:val="0"/>
              <w:keepLines w:val="0"/>
              <w:pageBreakBefore w:val="0"/>
              <w:widowControl/>
              <w:numPr>
                <w:ilvl w:val="0"/>
                <w:numId w:val="60"/>
              </w:numPr>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未提供方案</w:t>
            </w:r>
            <w:r>
              <w:rPr>
                <w:rFonts w:hint="eastAsia" w:ascii="仿宋" w:hAnsi="仿宋" w:eastAsia="仿宋" w:cs="仿宋"/>
                <w:b w:val="0"/>
                <w:bCs w:val="0"/>
                <w:color w:val="auto"/>
                <w:sz w:val="24"/>
                <w:szCs w:val="24"/>
                <w:highlight w:val="none"/>
                <w:lang w:val="en-US" w:eastAsia="zh-CN"/>
              </w:rPr>
              <w:t>不得分。</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20分</w:t>
            </w:r>
          </w:p>
        </w:tc>
      </w:tr>
      <w:tr>
        <w:tblPrEx>
          <w:tblCellMar>
            <w:top w:w="0" w:type="dxa"/>
            <w:left w:w="108" w:type="dxa"/>
            <w:bottom w:w="0" w:type="dxa"/>
            <w:right w:w="108" w:type="dxa"/>
          </w:tblCellMar>
        </w:tblPrEx>
        <w:trPr>
          <w:trHeight w:val="462" w:hRule="atLeast"/>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质量控制方案</w:t>
            </w:r>
          </w:p>
        </w:tc>
        <w:tc>
          <w:tcPr>
            <w:tcW w:w="6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供应商针对本项目具体采购需求提供质量控制方案，内容包括但不限于：</w:t>
            </w:r>
          </w:p>
          <w:p>
            <w:pPr>
              <w:keepNext w:val="0"/>
              <w:keepLines w:val="0"/>
              <w:pageBreakBefore w:val="0"/>
              <w:widowControl/>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1.方案内容完整、合理可行、完全符合项目要求得 10 分；</w:t>
            </w:r>
          </w:p>
          <w:p>
            <w:pPr>
              <w:keepNext w:val="0"/>
              <w:keepLines w:val="0"/>
              <w:pageBreakBefore w:val="0"/>
              <w:widowControl/>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2.方案内容较完整、合理可行、符合项目要求得 6分；</w:t>
            </w:r>
          </w:p>
          <w:p>
            <w:pPr>
              <w:keepNext w:val="0"/>
              <w:keepLines w:val="0"/>
              <w:pageBreakBefore w:val="0"/>
              <w:widowControl/>
              <w:kinsoku/>
              <w:wordWrap/>
              <w:overflowPunct/>
              <w:topLinePunct w:val="0"/>
              <w:autoSpaceDE/>
              <w:autoSpaceDN/>
              <w:bidi w:val="0"/>
              <w:spacing w:line="360" w:lineRule="auto"/>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3.方案内容简略、较合理可行、基本符合项目要求得 3 分；</w:t>
            </w:r>
          </w:p>
          <w:p>
            <w:pPr>
              <w:keepNext w:val="0"/>
              <w:keepLines w:val="0"/>
              <w:pageBreakBefore w:val="0"/>
              <w:widowControl/>
              <w:kinsoku/>
              <w:wordWrap/>
              <w:overflowPunct/>
              <w:topLinePunct w:val="0"/>
              <w:autoSpaceDE/>
              <w:autoSpaceDN/>
              <w:bidi w:val="0"/>
              <w:spacing w:line="360" w:lineRule="auto"/>
              <w:textAlignment w:val="center"/>
              <w:rPr>
                <w:rFonts w:hint="eastAsia"/>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未提供方案</w:t>
            </w:r>
            <w:r>
              <w:rPr>
                <w:rFonts w:hint="eastAsia" w:ascii="仿宋" w:hAnsi="仿宋" w:eastAsia="仿宋" w:cs="仿宋"/>
                <w:b w:val="0"/>
                <w:bCs w:val="0"/>
                <w:color w:val="auto"/>
                <w:sz w:val="24"/>
                <w:szCs w:val="24"/>
                <w:highlight w:val="none"/>
                <w:lang w:val="en-US" w:eastAsia="zh-CN"/>
              </w:rPr>
              <w:t>不得分。</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bidi="ar"/>
              </w:rPr>
              <w:t>分</w:t>
            </w:r>
          </w:p>
        </w:tc>
      </w:tr>
      <w:tr>
        <w:tblPrEx>
          <w:tblCellMar>
            <w:top w:w="0" w:type="dxa"/>
            <w:left w:w="108" w:type="dxa"/>
            <w:bottom w:w="0" w:type="dxa"/>
            <w:right w:w="108" w:type="dxa"/>
          </w:tblCellMar>
        </w:tblPrEx>
        <w:trPr>
          <w:trHeight w:val="635" w:hRule="atLeast"/>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前期调研考察</w:t>
            </w:r>
          </w:p>
        </w:tc>
        <w:tc>
          <w:tcPr>
            <w:tcW w:w="684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供应商根据对项目的前期调研和对项目需求的理解程度，提供项目前期调研及项目需求的调研论证说明。</w:t>
            </w:r>
          </w:p>
          <w:p>
            <w:pPr>
              <w:widowControl/>
              <w:numPr>
                <w:ilvl w:val="0"/>
                <w:numId w:val="61"/>
              </w:numPr>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前期调研细致充分，对项目的理解全面深刻的得 10 分；</w:t>
            </w:r>
          </w:p>
          <w:p>
            <w:pPr>
              <w:widowControl/>
              <w:numPr>
                <w:ilvl w:val="0"/>
                <w:numId w:val="61"/>
              </w:numPr>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前期调研了解，对项目的理解准确的得6 分；</w:t>
            </w:r>
          </w:p>
          <w:p>
            <w:pPr>
              <w:widowControl/>
              <w:numPr>
                <w:ilvl w:val="0"/>
                <w:numId w:val="61"/>
              </w:numPr>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前期经过调研，对项目作出正确理解的得 3 分；</w:t>
            </w:r>
          </w:p>
          <w:p>
            <w:pPr>
              <w:widowControl/>
              <w:numPr>
                <w:ilvl w:val="0"/>
                <w:numId w:val="61"/>
              </w:numPr>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未调研不得分。</w:t>
            </w:r>
          </w:p>
        </w:tc>
        <w:tc>
          <w:tcPr>
            <w:tcW w:w="93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10分</w:t>
            </w:r>
          </w:p>
        </w:tc>
      </w:tr>
      <w:tr>
        <w:tblPrEx>
          <w:tblCellMar>
            <w:top w:w="0" w:type="dxa"/>
            <w:left w:w="108" w:type="dxa"/>
            <w:bottom w:w="0" w:type="dxa"/>
            <w:right w:w="108" w:type="dxa"/>
          </w:tblCellMar>
        </w:tblPrEx>
        <w:trPr>
          <w:trHeight w:val="1360" w:hRule="atLeast"/>
        </w:trPr>
        <w:tc>
          <w:tcPr>
            <w:tcW w:w="1292" w:type="dxa"/>
            <w:gridSpan w:val="2"/>
            <w:vMerge w:val="restart"/>
            <w:tcBorders>
              <w:top w:val="single" w:color="000000" w:sz="4" w:space="0"/>
              <w:left w:val="single" w:color="000000" w:sz="4" w:space="0"/>
              <w:right w:val="single" w:color="000000" w:sz="4" w:space="0"/>
            </w:tcBorders>
            <w:vAlign w:val="center"/>
          </w:tcPr>
          <w:p>
            <w:pPr>
              <w:spacing w:line="34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技术保障方案</w:t>
            </w:r>
          </w:p>
        </w:tc>
        <w:tc>
          <w:tcPr>
            <w:tcW w:w="6848"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 供应商针对本标项具体采购需求提供技术保障方案（能够提供支持此项目执行的高级专业技术人员职称证书），每提供一个高级专业技术人员人员证书得 1 分，最高得分 6 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6分</w:t>
            </w:r>
          </w:p>
        </w:tc>
      </w:tr>
      <w:tr>
        <w:tblPrEx>
          <w:tblCellMar>
            <w:top w:w="0" w:type="dxa"/>
            <w:left w:w="108" w:type="dxa"/>
            <w:bottom w:w="0" w:type="dxa"/>
            <w:right w:w="108" w:type="dxa"/>
          </w:tblCellMar>
        </w:tblPrEx>
        <w:trPr>
          <w:trHeight w:val="1360" w:hRule="atLeast"/>
        </w:trPr>
        <w:tc>
          <w:tcPr>
            <w:tcW w:w="1292" w:type="dxa"/>
            <w:gridSpan w:val="2"/>
            <w:vMerge w:val="continue"/>
            <w:tcBorders>
              <w:left w:val="single" w:color="000000" w:sz="4" w:space="0"/>
              <w:bottom w:val="single" w:color="000000" w:sz="4" w:space="0"/>
              <w:right w:val="single" w:color="000000" w:sz="4" w:space="0"/>
            </w:tcBorders>
            <w:vAlign w:val="center"/>
          </w:tcPr>
          <w:p>
            <w:pPr>
              <w:widowControl/>
              <w:spacing w:line="276" w:lineRule="auto"/>
              <w:textAlignment w:val="center"/>
            </w:pPr>
          </w:p>
        </w:tc>
        <w:tc>
          <w:tcPr>
            <w:tcW w:w="6848"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2.技术保障方案内容完整、合理可行、完全符合项目要求得 4 分；方案内容较完整、合理可行、符合项目要求得 3 分；方案内容简略、较合理可行、基本符合项目要求得 1 分；没有提供技术保障方案，不得分。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4分</w:t>
            </w:r>
          </w:p>
        </w:tc>
      </w:tr>
      <w:tr>
        <w:tblPrEx>
          <w:tblCellMar>
            <w:top w:w="0" w:type="dxa"/>
            <w:left w:w="108" w:type="dxa"/>
            <w:bottom w:w="0" w:type="dxa"/>
            <w:right w:w="108" w:type="dxa"/>
          </w:tblCellMar>
        </w:tblPrEx>
        <w:trPr>
          <w:trHeight w:val="1409" w:hRule="atLeast"/>
        </w:trPr>
        <w:tc>
          <w:tcPr>
            <w:tcW w:w="1292"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工作进度控制措施</w:t>
            </w:r>
          </w:p>
        </w:tc>
        <w:tc>
          <w:tcPr>
            <w:tcW w:w="684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合理规划项目进度且符合招标文件项目需求，进度计划科学合理且有进度控制计划表，确保工作优质、高效、如期完成，得 5 分；</w:t>
            </w:r>
          </w:p>
          <w:p>
            <w:pPr>
              <w:widowControl/>
              <w:spacing w:line="276" w:lineRule="auto"/>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进度控制方法可行、控制措施大致合理，基本能完成工作任务，得3 分；进度控制不合理，措施内容不详实，得 1 分。其他，不得分。</w:t>
            </w:r>
          </w:p>
        </w:tc>
        <w:tc>
          <w:tcPr>
            <w:tcW w:w="93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分</w:t>
            </w:r>
          </w:p>
        </w:tc>
      </w:tr>
    </w:tbl>
    <w:p>
      <w:pPr>
        <w:pStyle w:val="25"/>
        <w:spacing w:line="360" w:lineRule="auto"/>
        <w:rPr>
          <w:rFonts w:hint="eastAsia" w:ascii="仿宋" w:hAnsi="仿宋" w:eastAsia="仿宋" w:cs="仿宋"/>
          <w:color w:val="auto"/>
          <w:sz w:val="24"/>
          <w:szCs w:val="24"/>
          <w:highlight w:val="none"/>
        </w:rPr>
      </w:pPr>
    </w:p>
    <w:sectPr>
      <w:headerReference r:id="rId5"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B528F-EFC5-4678-8ABF-073B124AE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A806E5A4-2E62-433C-AF28-7FFF4DF5A018}"/>
  </w:font>
  <w:font w:name="方正小标宋简体">
    <w:panose1 w:val="02000000000000000000"/>
    <w:charset w:val="86"/>
    <w:family w:val="auto"/>
    <w:pitch w:val="default"/>
    <w:sig w:usb0="00000001" w:usb1="08000000" w:usb2="00000000" w:usb3="00000000" w:csb0="00040000" w:csb1="00000000"/>
    <w:embedRegular r:id="rId3" w:fontKey="{3FA046C3-FBD1-443E-9A6D-753DF8F2AD1E}"/>
  </w:font>
  <w:font w:name="楷体">
    <w:panose1 w:val="02010609060101010101"/>
    <w:charset w:val="86"/>
    <w:family w:val="auto"/>
    <w:pitch w:val="default"/>
    <w:sig w:usb0="800002BF" w:usb1="38CF7CFA" w:usb2="00000016" w:usb3="00000000" w:csb0="00040001" w:csb1="00000000"/>
    <w:embedRegular r:id="rId4" w:fontKey="{C36E9807-1FB8-4C52-9CE8-C3C9C24ED94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420" w:hanging="420" w:hangingChars="2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F7E2981"/>
    <w:multiLevelType w:val="singleLevel"/>
    <w:tmpl w:val="FF7E2981"/>
    <w:lvl w:ilvl="0" w:tentative="0">
      <w:start w:val="2"/>
      <w:numFmt w:val="chineseCounting"/>
      <w:suff w:val="nothing"/>
      <w:lvlText w:val="%1、"/>
      <w:lvlJc w:val="left"/>
      <w:rPr>
        <w:rFonts w:hint="eastAsia"/>
      </w:rPr>
    </w:lvl>
  </w:abstractNum>
  <w:abstractNum w:abstractNumId="28">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9">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3770FC0"/>
    <w:multiLevelType w:val="singleLevel"/>
    <w:tmpl w:val="03770FC0"/>
    <w:lvl w:ilvl="0" w:tentative="0">
      <w:start w:val="1"/>
      <w:numFmt w:val="decimal"/>
      <w:lvlText w:val="%1."/>
      <w:lvlJc w:val="left"/>
      <w:pPr>
        <w:tabs>
          <w:tab w:val="left" w:pos="312"/>
        </w:tabs>
      </w:pPr>
    </w:lvl>
  </w:abstractNum>
  <w:abstractNum w:abstractNumId="32">
    <w:nsid w:val="04944B75"/>
    <w:multiLevelType w:val="multilevel"/>
    <w:tmpl w:val="04944B75"/>
    <w:lvl w:ilvl="0" w:tentative="0">
      <w:start w:val="1"/>
      <w:numFmt w:val="decimal"/>
      <w:lvlText w:val="%1."/>
      <w:lvlJc w:val="left"/>
      <w:pPr>
        <w:tabs>
          <w:tab w:val="left" w:pos="907"/>
        </w:tabs>
        <w:ind w:left="907" w:hanging="907"/>
      </w:pPr>
      <w:rPr>
        <w:rFonts w:hint="eastAsia"/>
        <w:b/>
      </w:rPr>
    </w:lvl>
    <w:lvl w:ilvl="1" w:tentative="0">
      <w:start w:val="1"/>
      <w:numFmt w:val="decimal"/>
      <w:isLgl/>
      <w:lvlText w:val="11.%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609AC39"/>
    <w:multiLevelType w:val="singleLevel"/>
    <w:tmpl w:val="0609AC39"/>
    <w:lvl w:ilvl="0" w:tentative="0">
      <w:start w:val="2"/>
      <w:numFmt w:val="chineseCounting"/>
      <w:suff w:val="nothing"/>
      <w:lvlText w:val="（%1）"/>
      <w:lvlJc w:val="left"/>
      <w:rPr>
        <w:rFonts w:hint="eastAsia"/>
      </w:rPr>
    </w:lvl>
  </w:abstractNum>
  <w:abstractNum w:abstractNumId="34">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12CE74D2"/>
    <w:multiLevelType w:val="multilevel"/>
    <w:tmpl w:val="12CE74D2"/>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8">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0">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02D8F68"/>
    <w:multiLevelType w:val="singleLevel"/>
    <w:tmpl w:val="302D8F68"/>
    <w:lvl w:ilvl="0" w:tentative="0">
      <w:start w:val="2"/>
      <w:numFmt w:val="chineseCounting"/>
      <w:suff w:val="nothing"/>
      <w:lvlText w:val="%1、"/>
      <w:lvlJc w:val="left"/>
      <w:rPr>
        <w:rFonts w:hint="eastAsia"/>
      </w:rPr>
    </w:lvl>
  </w:abstractNum>
  <w:abstractNum w:abstractNumId="42">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40FC7B76"/>
    <w:multiLevelType w:val="singleLevel"/>
    <w:tmpl w:val="40FC7B76"/>
    <w:lvl w:ilvl="0" w:tentative="0">
      <w:start w:val="1"/>
      <w:numFmt w:val="decimal"/>
      <w:lvlText w:val="%1."/>
      <w:lvlJc w:val="left"/>
      <w:pPr>
        <w:tabs>
          <w:tab w:val="left" w:pos="312"/>
        </w:tabs>
      </w:pPr>
    </w:lvl>
  </w:abstractNum>
  <w:abstractNum w:abstractNumId="48">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3">
    <w:nsid w:val="5F8F954A"/>
    <w:multiLevelType w:val="multilevel"/>
    <w:tmpl w:val="5F8F954A"/>
    <w:lvl w:ilvl="0" w:tentative="0">
      <w:start w:val="1"/>
      <w:numFmt w:val="decimal"/>
      <w:lvlText w:val="%1."/>
      <w:lvlJc w:val="left"/>
      <w:pPr>
        <w:tabs>
          <w:tab w:val="left" w:pos="907"/>
        </w:tabs>
        <w:ind w:left="907" w:hanging="907"/>
      </w:pPr>
      <w:rPr>
        <w:rFonts w:hint="eastAsia"/>
        <w:b/>
      </w:rPr>
    </w:lvl>
    <w:lvl w:ilvl="1" w:tentative="0">
      <w:start w:val="1"/>
      <w:numFmt w:val="decimal"/>
      <w:isLgl/>
      <w:lvlText w:val="41.%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6CE7ABAE"/>
    <w:multiLevelType w:val="singleLevel"/>
    <w:tmpl w:val="6CE7ABAE"/>
    <w:lvl w:ilvl="0" w:tentative="0">
      <w:start w:val="2"/>
      <w:numFmt w:val="decimal"/>
      <w:suff w:val="nothing"/>
      <w:lvlText w:val="%1、"/>
      <w:lvlJc w:val="left"/>
    </w:lvl>
  </w:abstractNum>
  <w:abstractNum w:abstractNumId="58">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7"/>
  </w:num>
  <w:num w:numId="2">
    <w:abstractNumId w:val="43"/>
  </w:num>
  <w:num w:numId="3">
    <w:abstractNumId w:val="57"/>
  </w:num>
  <w:num w:numId="4">
    <w:abstractNumId w:val="28"/>
  </w:num>
  <w:num w:numId="5">
    <w:abstractNumId w:val="39"/>
  </w:num>
  <w:num w:numId="6">
    <w:abstractNumId w:val="30"/>
  </w:num>
  <w:num w:numId="7">
    <w:abstractNumId w:val="36"/>
  </w:num>
  <w:num w:numId="8">
    <w:abstractNumId w:val="29"/>
  </w:num>
  <w:num w:numId="9">
    <w:abstractNumId w:val="40"/>
  </w:num>
  <w:num w:numId="10">
    <w:abstractNumId w:val="10"/>
  </w:num>
  <w:num w:numId="11">
    <w:abstractNumId w:val="48"/>
  </w:num>
  <w:num w:numId="12">
    <w:abstractNumId w:val="0"/>
  </w:num>
  <w:num w:numId="13">
    <w:abstractNumId w:val="32"/>
  </w:num>
  <w:num w:numId="14">
    <w:abstractNumId w:val="7"/>
  </w:num>
  <w:num w:numId="15">
    <w:abstractNumId w:val="13"/>
  </w:num>
  <w:num w:numId="16">
    <w:abstractNumId w:val="38"/>
  </w:num>
  <w:num w:numId="17">
    <w:abstractNumId w:val="59"/>
  </w:num>
  <w:num w:numId="18">
    <w:abstractNumId w:val="51"/>
  </w:num>
  <w:num w:numId="19">
    <w:abstractNumId w:val="20"/>
  </w:num>
  <w:num w:numId="20">
    <w:abstractNumId w:val="1"/>
  </w:num>
  <w:num w:numId="21">
    <w:abstractNumId w:val="50"/>
  </w:num>
  <w:num w:numId="22">
    <w:abstractNumId w:val="8"/>
  </w:num>
  <w:num w:numId="23">
    <w:abstractNumId w:val="9"/>
  </w:num>
  <w:num w:numId="24">
    <w:abstractNumId w:val="11"/>
  </w:num>
  <w:num w:numId="25">
    <w:abstractNumId w:val="58"/>
  </w:num>
  <w:num w:numId="26">
    <w:abstractNumId w:val="56"/>
  </w:num>
  <w:num w:numId="27">
    <w:abstractNumId w:val="54"/>
  </w:num>
  <w:num w:numId="28">
    <w:abstractNumId w:val="52"/>
  </w:num>
  <w:num w:numId="29">
    <w:abstractNumId w:val="44"/>
  </w:num>
  <w:num w:numId="30">
    <w:abstractNumId w:val="42"/>
  </w:num>
  <w:num w:numId="31">
    <w:abstractNumId w:val="26"/>
  </w:num>
  <w:num w:numId="32">
    <w:abstractNumId w:val="5"/>
  </w:num>
  <w:num w:numId="33">
    <w:abstractNumId w:val="34"/>
  </w:num>
  <w:num w:numId="34">
    <w:abstractNumId w:val="23"/>
  </w:num>
  <w:num w:numId="35">
    <w:abstractNumId w:val="35"/>
  </w:num>
  <w:num w:numId="36">
    <w:abstractNumId w:val="22"/>
  </w:num>
  <w:num w:numId="37">
    <w:abstractNumId w:val="19"/>
  </w:num>
  <w:num w:numId="38">
    <w:abstractNumId w:val="45"/>
  </w:num>
  <w:num w:numId="39">
    <w:abstractNumId w:val="17"/>
  </w:num>
  <w:num w:numId="40">
    <w:abstractNumId w:val="55"/>
  </w:num>
  <w:num w:numId="41">
    <w:abstractNumId w:val="12"/>
  </w:num>
  <w:num w:numId="42">
    <w:abstractNumId w:val="6"/>
  </w:num>
  <w:num w:numId="43">
    <w:abstractNumId w:val="4"/>
  </w:num>
  <w:num w:numId="44">
    <w:abstractNumId w:val="14"/>
  </w:num>
  <w:num w:numId="45">
    <w:abstractNumId w:val="25"/>
  </w:num>
  <w:num w:numId="46">
    <w:abstractNumId w:val="49"/>
  </w:num>
  <w:num w:numId="47">
    <w:abstractNumId w:val="60"/>
  </w:num>
  <w:num w:numId="48">
    <w:abstractNumId w:val="2"/>
  </w:num>
  <w:num w:numId="49">
    <w:abstractNumId w:val="18"/>
  </w:num>
  <w:num w:numId="50">
    <w:abstractNumId w:val="16"/>
  </w:num>
  <w:num w:numId="51">
    <w:abstractNumId w:val="21"/>
  </w:num>
  <w:num w:numId="52">
    <w:abstractNumId w:val="46"/>
  </w:num>
  <w:num w:numId="53">
    <w:abstractNumId w:val="53"/>
  </w:num>
  <w:num w:numId="54">
    <w:abstractNumId w:val="24"/>
  </w:num>
  <w:num w:numId="55">
    <w:abstractNumId w:val="15"/>
  </w:num>
  <w:num w:numId="56">
    <w:abstractNumId w:val="3"/>
  </w:num>
  <w:num w:numId="57">
    <w:abstractNumId w:val="27"/>
  </w:num>
  <w:num w:numId="58">
    <w:abstractNumId w:val="41"/>
  </w:num>
  <w:num w:numId="59">
    <w:abstractNumId w:val="33"/>
  </w:num>
  <w:num w:numId="60">
    <w:abstractNumId w:val="31"/>
  </w:num>
  <w:num w:numId="6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lhOWIwOWU2NDBmZWU2YWIxNTQ1OGNkM2E1MWIifQ=="/>
    <w:docVar w:name="KSO_WPS_MARK_KEY" w:val="d5523776-c68f-4319-8b5a-3238f7280179"/>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F2A63"/>
    <w:rsid w:val="00A11027"/>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44368"/>
    <w:rsid w:val="00D931B2"/>
    <w:rsid w:val="00DD0E0A"/>
    <w:rsid w:val="00E35776"/>
    <w:rsid w:val="00EA0245"/>
    <w:rsid w:val="00EB23BF"/>
    <w:rsid w:val="00EF38D6"/>
    <w:rsid w:val="00F77098"/>
    <w:rsid w:val="00F96F6D"/>
    <w:rsid w:val="011D29D3"/>
    <w:rsid w:val="011F2306"/>
    <w:rsid w:val="01B053DC"/>
    <w:rsid w:val="01E21263"/>
    <w:rsid w:val="022402D8"/>
    <w:rsid w:val="033267EB"/>
    <w:rsid w:val="039B6A7A"/>
    <w:rsid w:val="03B44D43"/>
    <w:rsid w:val="03D71F6B"/>
    <w:rsid w:val="04284DF7"/>
    <w:rsid w:val="04934A97"/>
    <w:rsid w:val="04BB67EA"/>
    <w:rsid w:val="05045E17"/>
    <w:rsid w:val="052B7D68"/>
    <w:rsid w:val="053C7EE8"/>
    <w:rsid w:val="05DD405D"/>
    <w:rsid w:val="063452C0"/>
    <w:rsid w:val="065A4F71"/>
    <w:rsid w:val="06712BB6"/>
    <w:rsid w:val="06F92A76"/>
    <w:rsid w:val="07B03476"/>
    <w:rsid w:val="08813251"/>
    <w:rsid w:val="08EB4EA1"/>
    <w:rsid w:val="091B505B"/>
    <w:rsid w:val="09710ACA"/>
    <w:rsid w:val="097148FC"/>
    <w:rsid w:val="09B2776D"/>
    <w:rsid w:val="09BC676A"/>
    <w:rsid w:val="0ADD43C6"/>
    <w:rsid w:val="0B5C2B1E"/>
    <w:rsid w:val="0B6C4C4F"/>
    <w:rsid w:val="0B8B36A6"/>
    <w:rsid w:val="0BB961B4"/>
    <w:rsid w:val="0BBA6DAD"/>
    <w:rsid w:val="0BDB7443"/>
    <w:rsid w:val="0C0D4DBB"/>
    <w:rsid w:val="0C9C64B3"/>
    <w:rsid w:val="0D103128"/>
    <w:rsid w:val="0D807ECA"/>
    <w:rsid w:val="0DEC55AB"/>
    <w:rsid w:val="0EB421D9"/>
    <w:rsid w:val="0EF32D02"/>
    <w:rsid w:val="0F21471A"/>
    <w:rsid w:val="0F28222B"/>
    <w:rsid w:val="0FC71A98"/>
    <w:rsid w:val="0FCD5301"/>
    <w:rsid w:val="0FEE5277"/>
    <w:rsid w:val="107D6C1D"/>
    <w:rsid w:val="10876725"/>
    <w:rsid w:val="10946D5B"/>
    <w:rsid w:val="10F43700"/>
    <w:rsid w:val="113969C6"/>
    <w:rsid w:val="1186727F"/>
    <w:rsid w:val="11A62133"/>
    <w:rsid w:val="1230739F"/>
    <w:rsid w:val="125300E4"/>
    <w:rsid w:val="12695089"/>
    <w:rsid w:val="12737232"/>
    <w:rsid w:val="129739A4"/>
    <w:rsid w:val="13795061"/>
    <w:rsid w:val="13B77AAE"/>
    <w:rsid w:val="140212F1"/>
    <w:rsid w:val="14B35AE2"/>
    <w:rsid w:val="151A7A0E"/>
    <w:rsid w:val="15810DF6"/>
    <w:rsid w:val="15CF32C4"/>
    <w:rsid w:val="162C2DA3"/>
    <w:rsid w:val="16612C47"/>
    <w:rsid w:val="16C65BD4"/>
    <w:rsid w:val="16D50F3F"/>
    <w:rsid w:val="179359CE"/>
    <w:rsid w:val="17AD3752"/>
    <w:rsid w:val="17F11DA8"/>
    <w:rsid w:val="17FE78E9"/>
    <w:rsid w:val="1871436F"/>
    <w:rsid w:val="187273DD"/>
    <w:rsid w:val="18C63235"/>
    <w:rsid w:val="195D114A"/>
    <w:rsid w:val="196B6A67"/>
    <w:rsid w:val="19C40DBE"/>
    <w:rsid w:val="1A036844"/>
    <w:rsid w:val="1A1F0BDC"/>
    <w:rsid w:val="1A21456C"/>
    <w:rsid w:val="1A845156"/>
    <w:rsid w:val="1AC80EAF"/>
    <w:rsid w:val="1AF220BF"/>
    <w:rsid w:val="1B0D6D1D"/>
    <w:rsid w:val="1B7E7A42"/>
    <w:rsid w:val="1C790EA2"/>
    <w:rsid w:val="1CBB4733"/>
    <w:rsid w:val="1CCD3F1F"/>
    <w:rsid w:val="1CFE11EF"/>
    <w:rsid w:val="1D721295"/>
    <w:rsid w:val="1E0B405F"/>
    <w:rsid w:val="1E135B88"/>
    <w:rsid w:val="1E2A66BB"/>
    <w:rsid w:val="1E94348E"/>
    <w:rsid w:val="1ED72344"/>
    <w:rsid w:val="1F1D699D"/>
    <w:rsid w:val="1F6F7E60"/>
    <w:rsid w:val="1F775289"/>
    <w:rsid w:val="1FD13B1D"/>
    <w:rsid w:val="1FD618FC"/>
    <w:rsid w:val="20341B32"/>
    <w:rsid w:val="20436F19"/>
    <w:rsid w:val="20A429B6"/>
    <w:rsid w:val="20BE47F2"/>
    <w:rsid w:val="20BF6817"/>
    <w:rsid w:val="210C2083"/>
    <w:rsid w:val="21321990"/>
    <w:rsid w:val="21342863"/>
    <w:rsid w:val="21DE185B"/>
    <w:rsid w:val="222B5EB7"/>
    <w:rsid w:val="22616361"/>
    <w:rsid w:val="22771648"/>
    <w:rsid w:val="22E96105"/>
    <w:rsid w:val="22F62592"/>
    <w:rsid w:val="23AE6E53"/>
    <w:rsid w:val="243B67B0"/>
    <w:rsid w:val="24672DFE"/>
    <w:rsid w:val="247F6640"/>
    <w:rsid w:val="24FB0BDF"/>
    <w:rsid w:val="25063990"/>
    <w:rsid w:val="252B0548"/>
    <w:rsid w:val="256C7C30"/>
    <w:rsid w:val="25BD73D6"/>
    <w:rsid w:val="262302AF"/>
    <w:rsid w:val="26263565"/>
    <w:rsid w:val="26753BA5"/>
    <w:rsid w:val="274F0152"/>
    <w:rsid w:val="27BE32D0"/>
    <w:rsid w:val="2842528D"/>
    <w:rsid w:val="28437DE4"/>
    <w:rsid w:val="287B1BD9"/>
    <w:rsid w:val="28B53DD7"/>
    <w:rsid w:val="28F0650C"/>
    <w:rsid w:val="29A92FCA"/>
    <w:rsid w:val="2A77438F"/>
    <w:rsid w:val="2AA131BA"/>
    <w:rsid w:val="2B231E21"/>
    <w:rsid w:val="2B3F4073"/>
    <w:rsid w:val="2B626552"/>
    <w:rsid w:val="2BB02B3F"/>
    <w:rsid w:val="2C0A43BD"/>
    <w:rsid w:val="2D3A2629"/>
    <w:rsid w:val="2D781B6D"/>
    <w:rsid w:val="2E873790"/>
    <w:rsid w:val="2E877731"/>
    <w:rsid w:val="2E9C7239"/>
    <w:rsid w:val="2EB01C1E"/>
    <w:rsid w:val="2ED26038"/>
    <w:rsid w:val="2F176141"/>
    <w:rsid w:val="2FD55B62"/>
    <w:rsid w:val="2FF27415"/>
    <w:rsid w:val="2FF40230"/>
    <w:rsid w:val="2FF46B54"/>
    <w:rsid w:val="30A25EDE"/>
    <w:rsid w:val="311952BE"/>
    <w:rsid w:val="31AD0696"/>
    <w:rsid w:val="31D76F23"/>
    <w:rsid w:val="3273487A"/>
    <w:rsid w:val="32DA54BB"/>
    <w:rsid w:val="332B3F69"/>
    <w:rsid w:val="3392111C"/>
    <w:rsid w:val="33F51DC1"/>
    <w:rsid w:val="33F7090C"/>
    <w:rsid w:val="342655A2"/>
    <w:rsid w:val="343A1627"/>
    <w:rsid w:val="34880F47"/>
    <w:rsid w:val="34BB18DF"/>
    <w:rsid w:val="350A151B"/>
    <w:rsid w:val="353F4D9A"/>
    <w:rsid w:val="35836DF6"/>
    <w:rsid w:val="35984464"/>
    <w:rsid w:val="361D0069"/>
    <w:rsid w:val="3628478F"/>
    <w:rsid w:val="36392E40"/>
    <w:rsid w:val="363C18CE"/>
    <w:rsid w:val="36410489"/>
    <w:rsid w:val="36BB706D"/>
    <w:rsid w:val="36CD288E"/>
    <w:rsid w:val="36D47C20"/>
    <w:rsid w:val="377D6AA9"/>
    <w:rsid w:val="38691290"/>
    <w:rsid w:val="38784439"/>
    <w:rsid w:val="388957C2"/>
    <w:rsid w:val="38EA4F9B"/>
    <w:rsid w:val="39022224"/>
    <w:rsid w:val="391C3471"/>
    <w:rsid w:val="3958538C"/>
    <w:rsid w:val="39FB1F96"/>
    <w:rsid w:val="3A087A22"/>
    <w:rsid w:val="3A35183F"/>
    <w:rsid w:val="3A4D4C2B"/>
    <w:rsid w:val="3AFE45A9"/>
    <w:rsid w:val="3B9C1459"/>
    <w:rsid w:val="3BED7720"/>
    <w:rsid w:val="3C4B567C"/>
    <w:rsid w:val="3C4E0CC8"/>
    <w:rsid w:val="3CDD7527"/>
    <w:rsid w:val="3D493BF0"/>
    <w:rsid w:val="3D7F382F"/>
    <w:rsid w:val="3D8E5820"/>
    <w:rsid w:val="3DB23EAA"/>
    <w:rsid w:val="3DC329AA"/>
    <w:rsid w:val="3E1A5306"/>
    <w:rsid w:val="3E340A57"/>
    <w:rsid w:val="3E4610DE"/>
    <w:rsid w:val="3E5C0C91"/>
    <w:rsid w:val="3E8B7504"/>
    <w:rsid w:val="3E924A3A"/>
    <w:rsid w:val="3EDB6353"/>
    <w:rsid w:val="3F5A1211"/>
    <w:rsid w:val="3FA579C0"/>
    <w:rsid w:val="3FBC52EF"/>
    <w:rsid w:val="405014B2"/>
    <w:rsid w:val="40546445"/>
    <w:rsid w:val="40656146"/>
    <w:rsid w:val="407B1E6C"/>
    <w:rsid w:val="40B27A77"/>
    <w:rsid w:val="416A65A4"/>
    <w:rsid w:val="4185309F"/>
    <w:rsid w:val="41B40F39"/>
    <w:rsid w:val="421309EA"/>
    <w:rsid w:val="42240501"/>
    <w:rsid w:val="427174BE"/>
    <w:rsid w:val="427B0595"/>
    <w:rsid w:val="42AC04F6"/>
    <w:rsid w:val="42AE2961"/>
    <w:rsid w:val="42B0448A"/>
    <w:rsid w:val="42F51E9D"/>
    <w:rsid w:val="4306653F"/>
    <w:rsid w:val="43122A4F"/>
    <w:rsid w:val="441D11B2"/>
    <w:rsid w:val="448B5355"/>
    <w:rsid w:val="45392515"/>
    <w:rsid w:val="45F13F14"/>
    <w:rsid w:val="46D9455F"/>
    <w:rsid w:val="47E464E1"/>
    <w:rsid w:val="489108BA"/>
    <w:rsid w:val="489804DA"/>
    <w:rsid w:val="49530909"/>
    <w:rsid w:val="49A43AD8"/>
    <w:rsid w:val="49D91065"/>
    <w:rsid w:val="49FD08B7"/>
    <w:rsid w:val="4A041EBB"/>
    <w:rsid w:val="4A132597"/>
    <w:rsid w:val="4A2159B7"/>
    <w:rsid w:val="4A22313A"/>
    <w:rsid w:val="4B1F178F"/>
    <w:rsid w:val="4B545D45"/>
    <w:rsid w:val="4B800849"/>
    <w:rsid w:val="4BB328F5"/>
    <w:rsid w:val="4BB618E9"/>
    <w:rsid w:val="4BDC3BFA"/>
    <w:rsid w:val="4BF90C50"/>
    <w:rsid w:val="4C4A6CDD"/>
    <w:rsid w:val="4CA24E44"/>
    <w:rsid w:val="4CD117F4"/>
    <w:rsid w:val="4D1C7CE2"/>
    <w:rsid w:val="4DBF66C9"/>
    <w:rsid w:val="4E6B4C82"/>
    <w:rsid w:val="4E736C23"/>
    <w:rsid w:val="4E9844D8"/>
    <w:rsid w:val="4EEF40A5"/>
    <w:rsid w:val="4F152BAE"/>
    <w:rsid w:val="4F351F9F"/>
    <w:rsid w:val="4F8C3B89"/>
    <w:rsid w:val="4F9F1B0F"/>
    <w:rsid w:val="502B6EFE"/>
    <w:rsid w:val="508E2130"/>
    <w:rsid w:val="509052E3"/>
    <w:rsid w:val="51175E41"/>
    <w:rsid w:val="51A52CE0"/>
    <w:rsid w:val="51D25A47"/>
    <w:rsid w:val="520E24F1"/>
    <w:rsid w:val="525E1C3B"/>
    <w:rsid w:val="52F6742E"/>
    <w:rsid w:val="535624E4"/>
    <w:rsid w:val="5371638D"/>
    <w:rsid w:val="53F200E2"/>
    <w:rsid w:val="55532D28"/>
    <w:rsid w:val="55CA71B9"/>
    <w:rsid w:val="55EE796A"/>
    <w:rsid w:val="56606E23"/>
    <w:rsid w:val="57F16C7F"/>
    <w:rsid w:val="58082C12"/>
    <w:rsid w:val="58511E7C"/>
    <w:rsid w:val="58984200"/>
    <w:rsid w:val="58E660B8"/>
    <w:rsid w:val="58F5454D"/>
    <w:rsid w:val="59ED51E1"/>
    <w:rsid w:val="5A024EA1"/>
    <w:rsid w:val="5A750890"/>
    <w:rsid w:val="5AB05476"/>
    <w:rsid w:val="5AC30E2E"/>
    <w:rsid w:val="5AED1980"/>
    <w:rsid w:val="5AFA0244"/>
    <w:rsid w:val="5B2A2BD4"/>
    <w:rsid w:val="5B3E042E"/>
    <w:rsid w:val="5B9B691A"/>
    <w:rsid w:val="5BA3015F"/>
    <w:rsid w:val="5C43724B"/>
    <w:rsid w:val="5C682135"/>
    <w:rsid w:val="5D1523DC"/>
    <w:rsid w:val="5D7D2FEA"/>
    <w:rsid w:val="5DB1283B"/>
    <w:rsid w:val="5DB33FE7"/>
    <w:rsid w:val="5DEF1EB3"/>
    <w:rsid w:val="5E367682"/>
    <w:rsid w:val="5E4E4F75"/>
    <w:rsid w:val="5F8D4FB7"/>
    <w:rsid w:val="5FB2398D"/>
    <w:rsid w:val="5FB962D5"/>
    <w:rsid w:val="60440664"/>
    <w:rsid w:val="60771CEC"/>
    <w:rsid w:val="60B80169"/>
    <w:rsid w:val="60C020EB"/>
    <w:rsid w:val="60D618C6"/>
    <w:rsid w:val="6105535C"/>
    <w:rsid w:val="614C4F26"/>
    <w:rsid w:val="614E0E03"/>
    <w:rsid w:val="616D55C9"/>
    <w:rsid w:val="62067841"/>
    <w:rsid w:val="624D6221"/>
    <w:rsid w:val="625B3673"/>
    <w:rsid w:val="62ED6B99"/>
    <w:rsid w:val="631D6B7A"/>
    <w:rsid w:val="63EC14BE"/>
    <w:rsid w:val="641C5C65"/>
    <w:rsid w:val="64373C6C"/>
    <w:rsid w:val="646E7959"/>
    <w:rsid w:val="647D5E76"/>
    <w:rsid w:val="651D1F50"/>
    <w:rsid w:val="653B0AC5"/>
    <w:rsid w:val="65464707"/>
    <w:rsid w:val="65B533A0"/>
    <w:rsid w:val="65BA6903"/>
    <w:rsid w:val="662E109F"/>
    <w:rsid w:val="67233350"/>
    <w:rsid w:val="67780823"/>
    <w:rsid w:val="67961104"/>
    <w:rsid w:val="67AD62C7"/>
    <w:rsid w:val="691E53FA"/>
    <w:rsid w:val="692F13B6"/>
    <w:rsid w:val="696F71F1"/>
    <w:rsid w:val="69737CA8"/>
    <w:rsid w:val="69AF0748"/>
    <w:rsid w:val="69B83AA1"/>
    <w:rsid w:val="69BD315D"/>
    <w:rsid w:val="69D501AF"/>
    <w:rsid w:val="6A52585A"/>
    <w:rsid w:val="6A582B8E"/>
    <w:rsid w:val="6A776C4C"/>
    <w:rsid w:val="6A9A6CFD"/>
    <w:rsid w:val="6AAB1A1A"/>
    <w:rsid w:val="6AD00976"/>
    <w:rsid w:val="6BEA3CBA"/>
    <w:rsid w:val="6C1379F3"/>
    <w:rsid w:val="6CB26586"/>
    <w:rsid w:val="6DA57E98"/>
    <w:rsid w:val="6E0D7137"/>
    <w:rsid w:val="6E1A0886"/>
    <w:rsid w:val="6E781A51"/>
    <w:rsid w:val="6EA84BC9"/>
    <w:rsid w:val="6EC72CAC"/>
    <w:rsid w:val="6F205CAD"/>
    <w:rsid w:val="6F797372"/>
    <w:rsid w:val="6FDB57EB"/>
    <w:rsid w:val="6FDB5DF3"/>
    <w:rsid w:val="6FF60E93"/>
    <w:rsid w:val="701E3F32"/>
    <w:rsid w:val="702D4A92"/>
    <w:rsid w:val="707E2326"/>
    <w:rsid w:val="710F6A7D"/>
    <w:rsid w:val="719C2A2E"/>
    <w:rsid w:val="71C5201E"/>
    <w:rsid w:val="72356C99"/>
    <w:rsid w:val="72710546"/>
    <w:rsid w:val="727B1B10"/>
    <w:rsid w:val="72AC5157"/>
    <w:rsid w:val="733C1156"/>
    <w:rsid w:val="73546D6E"/>
    <w:rsid w:val="73F94F64"/>
    <w:rsid w:val="74235DC1"/>
    <w:rsid w:val="74336552"/>
    <w:rsid w:val="7456013E"/>
    <w:rsid w:val="748E3F2E"/>
    <w:rsid w:val="75587EE6"/>
    <w:rsid w:val="760575D6"/>
    <w:rsid w:val="76155FC9"/>
    <w:rsid w:val="764741F6"/>
    <w:rsid w:val="766C3C49"/>
    <w:rsid w:val="768935A6"/>
    <w:rsid w:val="76FB6D7B"/>
    <w:rsid w:val="773504DF"/>
    <w:rsid w:val="77585F7B"/>
    <w:rsid w:val="77664B3C"/>
    <w:rsid w:val="77E70A98"/>
    <w:rsid w:val="77F547F3"/>
    <w:rsid w:val="78060B96"/>
    <w:rsid w:val="784F29CE"/>
    <w:rsid w:val="788C2381"/>
    <w:rsid w:val="78AD1248"/>
    <w:rsid w:val="79362FB2"/>
    <w:rsid w:val="79C21DD2"/>
    <w:rsid w:val="7A552EF7"/>
    <w:rsid w:val="7AFE5AFB"/>
    <w:rsid w:val="7B0477F0"/>
    <w:rsid w:val="7BD65017"/>
    <w:rsid w:val="7C2E19A1"/>
    <w:rsid w:val="7C471C13"/>
    <w:rsid w:val="7CAF680C"/>
    <w:rsid w:val="7D4E51AF"/>
    <w:rsid w:val="7D8306B2"/>
    <w:rsid w:val="7DB4237D"/>
    <w:rsid w:val="7DB4751F"/>
    <w:rsid w:val="7DDA43F2"/>
    <w:rsid w:val="7E2C3203"/>
    <w:rsid w:val="7EC56E34"/>
    <w:rsid w:val="7F224D4A"/>
    <w:rsid w:val="7F833DB1"/>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tabs>
        <w:tab w:val="left" w:pos="540"/>
      </w:tabs>
      <w:adjustRightInd w:val="0"/>
      <w:snapToGrid w:val="0"/>
      <w:spacing w:line="360" w:lineRule="auto"/>
      <w:jc w:val="left"/>
      <w:outlineLvl w:val="2"/>
    </w:pPr>
    <w:rPr>
      <w:b/>
      <w:sz w:val="24"/>
      <w:szCs w:val="20"/>
    </w:rPr>
  </w:style>
  <w:style w:type="paragraph" w:styleId="5">
    <w:name w:val="heading 4"/>
    <w:basedOn w:val="1"/>
    <w:next w:val="1"/>
    <w:qFormat/>
    <w:uiPriority w:val="0"/>
    <w:pPr>
      <w:keepNext/>
      <w:keepLines/>
      <w:jc w:val="left"/>
      <w:outlineLvl w:val="3"/>
    </w:pPr>
    <w:rPr>
      <w:rFonts w:hint="eastAsia" w:ascii="Arial" w:hAnsi="Arial"/>
      <w:b/>
      <w:sz w:val="32"/>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contextualSpacing/>
    </w:pPr>
  </w:style>
  <w:style w:type="paragraph" w:styleId="9">
    <w:name w:val="table of authorities"/>
    <w:basedOn w:val="1"/>
    <w:next w:val="1"/>
    <w:qFormat/>
    <w:uiPriority w:val="0"/>
    <w:pPr>
      <w:ind w:left="420" w:leftChars="200"/>
    </w:pPr>
  </w:style>
  <w:style w:type="paragraph" w:styleId="10">
    <w:name w:val="Normal Indent"/>
    <w:basedOn w:val="1"/>
    <w:next w:val="1"/>
    <w:qFormat/>
    <w:uiPriority w:val="99"/>
    <w:pPr>
      <w:widowControl w:val="0"/>
      <w:adjustRightInd w:val="0"/>
      <w:spacing w:line="360" w:lineRule="atLeast"/>
      <w:ind w:firstLine="482"/>
    </w:pPr>
    <w:rPr>
      <w:color w:val="auto"/>
      <w:sz w:val="24"/>
    </w:rPr>
  </w:style>
  <w:style w:type="paragraph" w:styleId="11">
    <w:name w:val="caption"/>
    <w:basedOn w:val="1"/>
    <w:next w:val="1"/>
    <w:semiHidden/>
    <w:unhideWhenUsed/>
    <w:qFormat/>
    <w:uiPriority w:val="0"/>
    <w:pPr>
      <w:spacing w:before="152" w:after="160"/>
    </w:pPr>
    <w:rPr>
      <w:rFonts w:ascii="Arial" w:hAnsi="Arial" w:eastAsia="黑体" w:cs="Arial"/>
      <w:sz w:val="20"/>
    </w:rPr>
  </w:style>
  <w:style w:type="paragraph" w:styleId="12">
    <w:name w:val="annotation text"/>
    <w:basedOn w:val="1"/>
    <w:link w:val="58"/>
    <w:qFormat/>
    <w:uiPriority w:val="0"/>
    <w:pPr>
      <w:adjustRightInd w:val="0"/>
      <w:spacing w:line="360" w:lineRule="atLeast"/>
      <w:jc w:val="left"/>
      <w:textAlignment w:val="baseline"/>
    </w:pPr>
    <w:rPr>
      <w:kern w:val="0"/>
      <w:sz w:val="24"/>
    </w:rPr>
  </w:style>
  <w:style w:type="paragraph" w:styleId="13">
    <w:name w:val="Salutation"/>
    <w:basedOn w:val="1"/>
    <w:next w:val="1"/>
    <w:link w:val="55"/>
    <w:qFormat/>
    <w:uiPriority w:val="0"/>
    <w:rPr>
      <w:sz w:val="24"/>
    </w:rPr>
  </w:style>
  <w:style w:type="paragraph" w:styleId="14">
    <w:name w:val="Body Text"/>
    <w:basedOn w:val="1"/>
    <w:next w:val="1"/>
    <w:link w:val="62"/>
    <w:qFormat/>
    <w:uiPriority w:val="0"/>
    <w:pPr>
      <w:spacing w:after="120"/>
    </w:pPr>
    <w:rPr>
      <w:rFonts w:asciiTheme="minorHAnsi" w:hAnsiTheme="minorHAnsi" w:cstheme="minorBidi"/>
      <w:szCs w:val="24"/>
    </w:rPr>
  </w:style>
  <w:style w:type="paragraph" w:styleId="15">
    <w:name w:val="Body Text Indent"/>
    <w:basedOn w:val="1"/>
    <w:next w:val="16"/>
    <w:qFormat/>
    <w:uiPriority w:val="99"/>
    <w:pPr>
      <w:adjustRightInd w:val="0"/>
      <w:snapToGrid w:val="0"/>
      <w:spacing w:line="460" w:lineRule="exact"/>
      <w:ind w:firstLine="560" w:firstLineChars="200"/>
    </w:pPr>
    <w:rPr>
      <w:rFonts w:ascii="仿宋_GB2312" w:hAnsi="Tahoma" w:eastAsia="仿宋_GB2312"/>
      <w:sz w:val="28"/>
    </w:rPr>
  </w:style>
  <w:style w:type="paragraph" w:styleId="16">
    <w:name w:val="Body Text First Indent 2"/>
    <w:basedOn w:val="15"/>
    <w:next w:val="1"/>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17">
    <w:name w:val="List 2"/>
    <w:basedOn w:val="1"/>
    <w:qFormat/>
    <w:uiPriority w:val="0"/>
    <w:pPr>
      <w:ind w:left="100" w:leftChars="200" w:hanging="200" w:hangingChars="200"/>
    </w:pPr>
    <w:rPr>
      <w:szCs w:val="24"/>
    </w:rPr>
  </w:style>
  <w:style w:type="paragraph" w:styleId="18">
    <w:name w:val="Plain Text"/>
    <w:basedOn w:val="1"/>
    <w:next w:val="19"/>
    <w:link w:val="53"/>
    <w:qFormat/>
    <w:uiPriority w:val="0"/>
    <w:rPr>
      <w:rFonts w:ascii="宋体" w:hAnsi="Courier New"/>
    </w:rPr>
  </w:style>
  <w:style w:type="paragraph" w:styleId="19">
    <w:name w:val="index 7"/>
    <w:basedOn w:val="1"/>
    <w:next w:val="1"/>
    <w:unhideWhenUsed/>
    <w:qFormat/>
    <w:uiPriority w:val="99"/>
  </w:style>
  <w:style w:type="paragraph" w:styleId="20">
    <w:name w:val="footer"/>
    <w:basedOn w:val="1"/>
    <w:link w:val="48"/>
    <w:qFormat/>
    <w:uiPriority w:val="0"/>
    <w:pPr>
      <w:tabs>
        <w:tab w:val="center" w:pos="4153"/>
        <w:tab w:val="right" w:pos="8306"/>
      </w:tabs>
      <w:snapToGrid w:val="0"/>
      <w:jc w:val="left"/>
    </w:pPr>
    <w:rPr>
      <w:sz w:val="18"/>
      <w:szCs w:val="18"/>
    </w:rPr>
  </w:style>
  <w:style w:type="paragraph" w:styleId="21">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2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628"/>
      </w:tabs>
      <w:spacing w:line="360" w:lineRule="auto"/>
    </w:pPr>
    <w:rPr>
      <w:szCs w:val="24"/>
    </w:rPr>
  </w:style>
  <w:style w:type="paragraph" w:styleId="24">
    <w:name w:val="List"/>
    <w:basedOn w:val="1"/>
    <w:qFormat/>
    <w:uiPriority w:val="0"/>
    <w:pPr>
      <w:spacing w:line="360" w:lineRule="exact"/>
      <w:ind w:left="420" w:hanging="420"/>
      <w:jc w:val="left"/>
    </w:pPr>
    <w:rPr>
      <w:szCs w:val="21"/>
    </w:rPr>
  </w:style>
  <w:style w:type="paragraph" w:styleId="25">
    <w:name w:val="footnote text"/>
    <w:basedOn w:val="1"/>
    <w:link w:val="43"/>
    <w:qFormat/>
    <w:uiPriority w:val="99"/>
    <w:pPr>
      <w:snapToGrid w:val="0"/>
      <w:jc w:val="left"/>
    </w:pPr>
    <w:rPr>
      <w:rFonts w:asciiTheme="minorHAnsi" w:hAnsiTheme="minorHAnsi" w:eastAsiaTheme="minorEastAsia" w:cstheme="minorBidi"/>
      <w:sz w:val="18"/>
      <w:szCs w:val="22"/>
    </w:rPr>
  </w:style>
  <w:style w:type="paragraph" w:styleId="26">
    <w:name w:val="toc 2"/>
    <w:basedOn w:val="1"/>
    <w:next w:val="1"/>
    <w:qFormat/>
    <w:uiPriority w:val="0"/>
    <w:pPr>
      <w:adjustRightInd w:val="0"/>
      <w:spacing w:line="360" w:lineRule="auto"/>
      <w:ind w:left="240" w:firstLine="425"/>
      <w:jc w:val="left"/>
      <w:textAlignment w:val="baseline"/>
    </w:pPr>
    <w:rPr>
      <w:smallCaps/>
      <w:sz w:val="20"/>
    </w:rPr>
  </w:style>
  <w:style w:type="paragraph" w:styleId="27">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link w:val="44"/>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31">
    <w:name w:val="Body Text First Indent"/>
    <w:basedOn w:val="14"/>
    <w:next w:val="16"/>
    <w:qFormat/>
    <w:uiPriority w:val="99"/>
    <w:pPr>
      <w:spacing w:after="120"/>
      <w:ind w:firstLine="420" w:firstLineChars="1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rFonts w:ascii="Calibri" w:hAnsi="Calibri" w:eastAsia="宋体" w:cs="Times New Roman"/>
      <w:b/>
      <w:bCs/>
    </w:rPr>
  </w:style>
  <w:style w:type="character" w:styleId="36">
    <w:name w:val="Hyperlink"/>
    <w:qFormat/>
    <w:uiPriority w:val="0"/>
    <w:rPr>
      <w:color w:val="0000FF"/>
      <w:u w:val="single"/>
    </w:rPr>
  </w:style>
  <w:style w:type="paragraph" w:customStyle="1" w:styleId="37">
    <w:name w:val="段"/>
    <w:next w:val="1"/>
    <w:qFormat/>
    <w:uiPriority w:val="99"/>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customStyle="1" w:styleId="38">
    <w:name w:val="Default"/>
    <w:next w:val="39"/>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9">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0">
    <w:name w:val="标题 3 Char"/>
    <w:qFormat/>
    <w:uiPriority w:val="0"/>
    <w:rPr>
      <w:rFonts w:eastAsia="宋体"/>
      <w:b/>
      <w:bCs/>
      <w:kern w:val="2"/>
      <w:sz w:val="32"/>
      <w:szCs w:val="32"/>
      <w:lang w:val="en-US" w:eastAsia="zh-CN" w:bidi="ar-SA"/>
    </w:rPr>
  </w:style>
  <w:style w:type="paragraph" w:customStyle="1" w:styleId="41">
    <w:name w:val="首行缩进"/>
    <w:basedOn w:val="1"/>
    <w:qFormat/>
    <w:uiPriority w:val="99"/>
    <w:pPr>
      <w:ind w:firstLine="480" w:firstLineChars="200"/>
    </w:pPr>
    <w:rPr>
      <w:lang w:val="zh-CN"/>
    </w:rPr>
  </w:style>
  <w:style w:type="paragraph" w:customStyle="1" w:styleId="42">
    <w:name w:val="默认段落字体 Para Char Char Char Char Char Char Char Char Char Char"/>
    <w:basedOn w:val="1"/>
    <w:qFormat/>
    <w:uiPriority w:val="0"/>
    <w:rPr>
      <w:rFonts w:ascii="Tahoma" w:hAnsi="Tahoma"/>
      <w:sz w:val="24"/>
    </w:rPr>
  </w:style>
  <w:style w:type="character" w:customStyle="1" w:styleId="43">
    <w:name w:val="脚注文本 Char"/>
    <w:link w:val="25"/>
    <w:qFormat/>
    <w:uiPriority w:val="99"/>
    <w:rPr>
      <w:sz w:val="18"/>
    </w:rPr>
  </w:style>
  <w:style w:type="character" w:customStyle="1" w:styleId="44">
    <w:name w:val="标题 Char"/>
    <w:link w:val="30"/>
    <w:qFormat/>
    <w:uiPriority w:val="0"/>
    <w:rPr>
      <w:rFonts w:ascii="黑体"/>
      <w:b/>
      <w:snapToGrid w:val="0"/>
      <w:sz w:val="44"/>
    </w:rPr>
  </w:style>
  <w:style w:type="character" w:customStyle="1" w:styleId="45">
    <w:name w:val="标题 Char1"/>
    <w:basedOn w:val="34"/>
    <w:qFormat/>
    <w:uiPriority w:val="10"/>
    <w:rPr>
      <w:rFonts w:eastAsia="宋体" w:asciiTheme="majorHAnsi" w:hAnsiTheme="majorHAnsi" w:cstheme="majorBidi"/>
      <w:b/>
      <w:bCs/>
      <w:sz w:val="32"/>
      <w:szCs w:val="32"/>
    </w:rPr>
  </w:style>
  <w:style w:type="character" w:customStyle="1" w:styleId="46">
    <w:name w:val="脚注文本 Char1"/>
    <w:basedOn w:val="34"/>
    <w:semiHidden/>
    <w:qFormat/>
    <w:uiPriority w:val="99"/>
    <w:rPr>
      <w:rFonts w:ascii="Times New Roman" w:hAnsi="Times New Roman" w:eastAsia="宋体" w:cs="Times New Roman"/>
      <w:sz w:val="18"/>
      <w:szCs w:val="18"/>
    </w:r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8">
    <w:name w:val="页脚 Char"/>
    <w:basedOn w:val="34"/>
    <w:link w:val="20"/>
    <w:qFormat/>
    <w:uiPriority w:val="0"/>
    <w:rPr>
      <w:rFonts w:ascii="Times New Roman" w:hAnsi="Times New Roman" w:eastAsia="宋体" w:cs="Times New Roman"/>
      <w:sz w:val="18"/>
      <w:szCs w:val="18"/>
    </w:rPr>
  </w:style>
  <w:style w:type="character" w:customStyle="1" w:styleId="49">
    <w:name w:val="页眉 Char"/>
    <w:basedOn w:val="34"/>
    <w:link w:val="22"/>
    <w:qFormat/>
    <w:uiPriority w:val="0"/>
    <w:rPr>
      <w:rFonts w:ascii="Times New Roman" w:hAnsi="Times New Roman" w:eastAsia="宋体" w:cs="Times New Roman"/>
      <w:sz w:val="18"/>
      <w:szCs w:val="18"/>
    </w:rPr>
  </w:style>
  <w:style w:type="character" w:customStyle="1" w:styleId="50">
    <w:name w:val="页脚 Char1"/>
    <w:basedOn w:val="34"/>
    <w:semiHidden/>
    <w:qFormat/>
    <w:uiPriority w:val="99"/>
    <w:rPr>
      <w:sz w:val="18"/>
      <w:szCs w:val="18"/>
    </w:rPr>
  </w:style>
  <w:style w:type="character" w:customStyle="1" w:styleId="51">
    <w:name w:val="Default Text Char Char"/>
    <w:link w:val="52"/>
    <w:qFormat/>
    <w:uiPriority w:val="0"/>
    <w:rPr>
      <w:color w:val="000000"/>
      <w:sz w:val="24"/>
    </w:rPr>
  </w:style>
  <w:style w:type="paragraph" w:customStyle="1" w:styleId="52">
    <w:name w:val="Default Text"/>
    <w:link w:val="5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53">
    <w:name w:val="纯文本 Char1"/>
    <w:link w:val="18"/>
    <w:qFormat/>
    <w:uiPriority w:val="0"/>
    <w:rPr>
      <w:rFonts w:ascii="宋体" w:hAnsi="Courier New" w:eastAsia="宋体" w:cs="Times New Roman"/>
      <w:szCs w:val="20"/>
    </w:rPr>
  </w:style>
  <w:style w:type="character" w:customStyle="1" w:styleId="54">
    <w:name w:val="15"/>
    <w:qFormat/>
    <w:uiPriority w:val="0"/>
    <w:rPr>
      <w:rFonts w:hint="default" w:ascii="Times New Roman" w:hAnsi="Times New Roman" w:cs="Times New Roman"/>
    </w:rPr>
  </w:style>
  <w:style w:type="character" w:customStyle="1" w:styleId="55">
    <w:name w:val="称呼 Char"/>
    <w:link w:val="13"/>
    <w:qFormat/>
    <w:uiPriority w:val="0"/>
    <w:rPr>
      <w:rFonts w:ascii="Times New Roman" w:hAnsi="Times New Roman" w:eastAsia="宋体" w:cs="Times New Roman"/>
      <w:sz w:val="24"/>
      <w:szCs w:val="20"/>
    </w:rPr>
  </w:style>
  <w:style w:type="character" w:customStyle="1" w:styleId="56">
    <w:name w:val="称呼 Char1"/>
    <w:basedOn w:val="34"/>
    <w:semiHidden/>
    <w:qFormat/>
    <w:uiPriority w:val="99"/>
    <w:rPr>
      <w:rFonts w:ascii="Times New Roman" w:hAnsi="Times New Roman" w:eastAsia="宋体" w:cs="Times New Roman"/>
      <w:szCs w:val="20"/>
    </w:rPr>
  </w:style>
  <w:style w:type="character" w:customStyle="1" w:styleId="57">
    <w:name w:val="纯文本 Char"/>
    <w:basedOn w:val="34"/>
    <w:semiHidden/>
    <w:qFormat/>
    <w:uiPriority w:val="99"/>
    <w:rPr>
      <w:rFonts w:ascii="宋体" w:hAnsi="Courier New" w:eastAsia="宋体" w:cs="Courier New"/>
      <w:szCs w:val="21"/>
    </w:rPr>
  </w:style>
  <w:style w:type="character" w:customStyle="1" w:styleId="58">
    <w:name w:val="批注文字 Char"/>
    <w:link w:val="12"/>
    <w:qFormat/>
    <w:uiPriority w:val="0"/>
    <w:rPr>
      <w:rFonts w:ascii="Times New Roman" w:hAnsi="Times New Roman" w:eastAsia="宋体" w:cs="Times New Roman"/>
      <w:kern w:val="0"/>
      <w:sz w:val="24"/>
      <w:szCs w:val="20"/>
    </w:rPr>
  </w:style>
  <w:style w:type="character" w:customStyle="1" w:styleId="59">
    <w:name w:val="批注文字 Char1"/>
    <w:basedOn w:val="34"/>
    <w:semiHidden/>
    <w:qFormat/>
    <w:uiPriority w:val="99"/>
    <w:rPr>
      <w:rFonts w:ascii="Times New Roman" w:hAnsi="Times New Roman" w:eastAsia="宋体" w:cs="Times New Roman"/>
      <w:szCs w:val="20"/>
    </w:rPr>
  </w:style>
  <w:style w:type="character" w:customStyle="1" w:styleId="60">
    <w:name w:val="标题 1 Char"/>
    <w:basedOn w:val="34"/>
    <w:link w:val="2"/>
    <w:qFormat/>
    <w:uiPriority w:val="0"/>
    <w:rPr>
      <w:rFonts w:ascii="Times New Roman" w:hAnsi="Times New Roman" w:eastAsia="宋体" w:cs="Times New Roman"/>
      <w:b/>
      <w:bCs/>
      <w:kern w:val="44"/>
      <w:sz w:val="44"/>
      <w:szCs w:val="44"/>
    </w:rPr>
  </w:style>
  <w:style w:type="character" w:customStyle="1" w:styleId="61">
    <w:name w:val="标题 3 Char Char"/>
    <w:qFormat/>
    <w:uiPriority w:val="0"/>
    <w:rPr>
      <w:rFonts w:ascii="黑体" w:eastAsia="黑体"/>
      <w:bCs/>
      <w:sz w:val="30"/>
    </w:rPr>
  </w:style>
  <w:style w:type="character" w:customStyle="1" w:styleId="62">
    <w:name w:val="正文文本 Char"/>
    <w:link w:val="14"/>
    <w:qFormat/>
    <w:uiPriority w:val="0"/>
    <w:rPr>
      <w:rFonts w:eastAsia="宋体"/>
      <w:szCs w:val="24"/>
    </w:rPr>
  </w:style>
  <w:style w:type="character" w:customStyle="1" w:styleId="63">
    <w:name w:val="正文文本 Char1"/>
    <w:basedOn w:val="34"/>
    <w:semiHidden/>
    <w:qFormat/>
    <w:uiPriority w:val="99"/>
    <w:rPr>
      <w:rFonts w:ascii="Times New Roman" w:hAnsi="Times New Roman" w:eastAsia="宋体" w:cs="Times New Roman"/>
      <w:szCs w:val="20"/>
    </w:rPr>
  </w:style>
  <w:style w:type="paragraph" w:customStyle="1" w:styleId="64">
    <w:name w:val="列出段落1"/>
    <w:basedOn w:val="1"/>
    <w:qFormat/>
    <w:uiPriority w:val="34"/>
    <w:pPr>
      <w:ind w:firstLine="420" w:firstLineChars="200"/>
    </w:pPr>
  </w:style>
  <w:style w:type="character" w:customStyle="1" w:styleId="65">
    <w:name w:val="标题 2 Char"/>
    <w:basedOn w:val="34"/>
    <w:link w:val="3"/>
    <w:qFormat/>
    <w:uiPriority w:val="0"/>
    <w:rPr>
      <w:rFonts w:ascii="Arial" w:hAnsi="Arial" w:eastAsia="黑体" w:cs="Times New Roman"/>
      <w:b/>
      <w:bCs/>
      <w:sz w:val="32"/>
      <w:szCs w:val="32"/>
    </w:rPr>
  </w:style>
  <w:style w:type="paragraph" w:customStyle="1" w:styleId="66">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7">
    <w:name w:val="font61"/>
    <w:basedOn w:val="34"/>
    <w:qFormat/>
    <w:uiPriority w:val="0"/>
    <w:rPr>
      <w:rFonts w:hint="eastAsia" w:ascii="微软雅黑" w:hAnsi="微软雅黑" w:eastAsia="微软雅黑" w:cs="微软雅黑"/>
      <w:b/>
      <w:color w:val="000000"/>
      <w:sz w:val="21"/>
      <w:szCs w:val="21"/>
      <w:u w:val="none"/>
    </w:rPr>
  </w:style>
  <w:style w:type="paragraph" w:customStyle="1" w:styleId="68">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69">
    <w:name w:val="È¡ÀÊ¡ÎÄ¡À¾"/>
    <w:basedOn w:val="1"/>
    <w:qFormat/>
    <w:uiPriority w:val="99"/>
    <w:pPr>
      <w:overflowPunct w:val="0"/>
      <w:autoSpaceDE w:val="0"/>
      <w:autoSpaceDN w:val="0"/>
      <w:textAlignment w:val="baseline"/>
    </w:pPr>
    <w:rPr>
      <w:rFonts w:ascii="Calibri" w:hAnsi="Calibri"/>
      <w:sz w:val="24"/>
    </w:rPr>
  </w:style>
  <w:style w:type="character" w:customStyle="1" w:styleId="70">
    <w:name w:val="标题1"/>
    <w:qFormat/>
    <w:uiPriority w:val="0"/>
  </w:style>
  <w:style w:type="paragraph" w:customStyle="1" w:styleId="71">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72">
    <w:name w:val="List Paragraph"/>
    <w:basedOn w:val="1"/>
    <w:unhideWhenUsed/>
    <w:qFormat/>
    <w:uiPriority w:val="99"/>
    <w:pPr>
      <w:ind w:firstLine="420" w:firstLineChars="200"/>
    </w:pPr>
  </w:style>
  <w:style w:type="character" w:customStyle="1" w:styleId="73">
    <w:name w:val="正文缩进2格 Char"/>
    <w:link w:val="74"/>
    <w:qFormat/>
    <w:uiPriority w:val="0"/>
    <w:rPr>
      <w:rFonts w:ascii="仿宋_GB2312" w:hAnsi="宋体" w:eastAsia="仿宋_GB2312"/>
      <w:kern w:val="2"/>
      <w:sz w:val="31"/>
      <w:szCs w:val="28"/>
    </w:rPr>
  </w:style>
  <w:style w:type="paragraph" w:customStyle="1" w:styleId="74">
    <w:name w:val="正文缩进2格"/>
    <w:basedOn w:val="1"/>
    <w:link w:val="73"/>
    <w:qFormat/>
    <w:uiPriority w:val="0"/>
    <w:pPr>
      <w:spacing w:line="600" w:lineRule="exact"/>
      <w:ind w:firstLine="639" w:firstLineChars="206"/>
    </w:pPr>
    <w:rPr>
      <w:rFonts w:ascii="仿宋_GB2312" w:hAnsi="宋体" w:eastAsia="仿宋_GB2312"/>
      <w:sz w:val="31"/>
      <w:szCs w:val="28"/>
    </w:rPr>
  </w:style>
  <w:style w:type="paragraph" w:customStyle="1" w:styleId="75">
    <w:name w:val="正文缩进1"/>
    <w:basedOn w:val="1"/>
    <w:qFormat/>
    <w:uiPriority w:val="0"/>
    <w:pPr>
      <w:ind w:firstLine="420" w:firstLineChars="200"/>
    </w:pPr>
  </w:style>
  <w:style w:type="paragraph" w:customStyle="1" w:styleId="76">
    <w:name w:val="索引 11"/>
    <w:basedOn w:val="1"/>
    <w:next w:val="1"/>
    <w:qFormat/>
    <w:uiPriority w:val="0"/>
    <w:pPr>
      <w:spacing w:line="360" w:lineRule="auto"/>
    </w:pPr>
    <w:rPr>
      <w:rFonts w:ascii="仿宋_GB2312" w:eastAsia="仿宋_GB2312"/>
      <w:sz w:val="24"/>
      <w:szCs w:val="20"/>
    </w:rPr>
  </w:style>
  <w:style w:type="paragraph" w:customStyle="1" w:styleId="77">
    <w:name w:val="纯文本1"/>
    <w:basedOn w:val="1"/>
    <w:qFormat/>
    <w:uiPriority w:val="0"/>
    <w:rPr>
      <w:rFonts w:ascii="宋体" w:hAnsi="Courier New" w:eastAsiaTheme="minorEastAsia" w:cstheme="minorBidi"/>
      <w:szCs w:val="22"/>
    </w:rPr>
  </w:style>
  <w:style w:type="character" w:customStyle="1" w:styleId="78">
    <w:name w:val="NormalCharacter"/>
    <w:qFormat/>
    <w:uiPriority w:val="0"/>
  </w:style>
  <w:style w:type="paragraph" w:customStyle="1" w:styleId="79">
    <w:name w:val="正文-无缩进"/>
    <w:basedOn w:val="1"/>
    <w:qFormat/>
    <w:uiPriority w:val="0"/>
  </w:style>
  <w:style w:type="paragraph" w:customStyle="1" w:styleId="8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1">
    <w:name w:val="列表段落1"/>
    <w:basedOn w:val="1"/>
    <w:qFormat/>
    <w:uiPriority w:val="34"/>
    <w:pPr>
      <w:ind w:firstLine="420" w:firstLineChars="200"/>
    </w:pPr>
    <w:rPr>
      <w:rFonts w:ascii="Calibri" w:hAnsi="Calibri"/>
      <w:szCs w:val="22"/>
    </w:rPr>
  </w:style>
  <w:style w:type="paragraph" w:customStyle="1" w:styleId="82">
    <w:name w:val="i正文"/>
    <w:basedOn w:val="1"/>
    <w:qFormat/>
    <w:uiPriority w:val="0"/>
    <w:rPr>
      <w:rFonts w:ascii="仿宋" w:hAnsi="仿宋" w:eastAsia="仿宋"/>
    </w:rPr>
  </w:style>
  <w:style w:type="paragraph" w:customStyle="1" w:styleId="83">
    <w:name w:val="样式 正文缩进 + 首行缩进:  2 字符"/>
    <w:basedOn w:val="10"/>
    <w:qFormat/>
    <w:uiPriority w:val="0"/>
    <w:pPr>
      <w:spacing w:line="360" w:lineRule="auto"/>
      <w:ind w:firstLine="200"/>
    </w:pPr>
    <w:rPr>
      <w:rFonts w:ascii="Calibri" w:hAnsi="Calibri" w:eastAsia="宋体" w:cs="Times New Roman"/>
      <w:kern w:val="0"/>
      <w:sz w:val="24"/>
      <w:szCs w:val="20"/>
    </w:rPr>
  </w:style>
  <w:style w:type="paragraph" w:customStyle="1" w:styleId="84">
    <w:name w:val="正文首行缩进1(Crlf+Shift+M)"/>
    <w:qFormat/>
    <w:uiPriority w:val="0"/>
    <w:pPr>
      <w:spacing w:before="120" w:after="120" w:line="360" w:lineRule="auto"/>
      <w:ind w:firstLine="420" w:firstLineChars="200"/>
    </w:pPr>
    <w:rPr>
      <w:rFonts w:ascii="Arial" w:hAnsi="Arial" w:eastAsia="宋体" w:cs="Times New Roman"/>
      <w:kern w:val="2"/>
      <w:sz w:val="21"/>
      <w:szCs w:val="24"/>
      <w:lang w:val="en-US" w:eastAsia="zh-CN" w:bidi="ar-SA"/>
    </w:rPr>
  </w:style>
  <w:style w:type="paragraph" w:customStyle="1" w:styleId="85">
    <w:name w:val="_正文段落"/>
    <w:basedOn w:val="1"/>
    <w:qFormat/>
    <w:uiPriority w:val="0"/>
    <w:pPr>
      <w:spacing w:line="360" w:lineRule="auto"/>
    </w:pPr>
    <w:rPr>
      <w:rFonts w:ascii="宋体" w:hAnsi="Times New Roman" w:eastAsia="仿宋_GB2312" w:cs="Times New Roman"/>
      <w:kern w:val="0"/>
      <w:sz w:val="28"/>
      <w:szCs w:val="24"/>
    </w:rPr>
  </w:style>
  <w:style w:type="character" w:customStyle="1" w:styleId="86">
    <w:name w:val="font31"/>
    <w:basedOn w:val="34"/>
    <w:qFormat/>
    <w:uiPriority w:val="0"/>
    <w:rPr>
      <w:rFonts w:hint="eastAsia" w:ascii="微软雅黑" w:hAnsi="微软雅黑" w:eastAsia="微软雅黑" w:cs="微软雅黑"/>
      <w:color w:val="404040"/>
      <w:sz w:val="20"/>
      <w:szCs w:val="20"/>
      <w:u w:val="none"/>
    </w:rPr>
  </w:style>
  <w:style w:type="paragraph" w:customStyle="1" w:styleId="87">
    <w:name w:val="p0"/>
    <w:basedOn w:val="1"/>
    <w:qFormat/>
    <w:uiPriority w:val="0"/>
    <w:pPr>
      <w:widowControl/>
    </w:pPr>
    <w:rPr>
      <w:kern w:val="0"/>
      <w:szCs w:val="21"/>
    </w:rPr>
  </w:style>
  <w:style w:type="paragraph" w:customStyle="1" w:styleId="88">
    <w:name w:val="正文（缩进）"/>
    <w:basedOn w:val="1"/>
    <w:qFormat/>
    <w:uiPriority w:val="0"/>
    <w:pPr>
      <w:spacing w:beforeLines="50" w:afterLines="50"/>
      <w:ind w:firstLine="480"/>
    </w:pPr>
    <w:rPr>
      <w:sz w:val="24"/>
    </w:rPr>
  </w:style>
  <w:style w:type="paragraph" w:customStyle="1" w:styleId="89">
    <w:name w:val="Heading3"/>
    <w:basedOn w:val="1"/>
    <w:next w:val="1"/>
    <w:qFormat/>
    <w:uiPriority w:val="0"/>
    <w:pPr>
      <w:spacing w:before="260" w:after="260" w:line="416" w:lineRule="auto"/>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31576</Words>
  <Characters>33357</Characters>
  <Lines>1</Lines>
  <Paragraphs>1</Paragraphs>
  <TotalTime>33</TotalTime>
  <ScaleCrop>false</ScaleCrop>
  <LinksUpToDate>false</LinksUpToDate>
  <CharactersWithSpaces>37637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ASUS</dc:creator>
  <cp:lastModifiedBy>赵琦</cp:lastModifiedBy>
  <cp:lastPrinted>2022-12-23T03:48:00Z</cp:lastPrinted>
  <dcterms:modified xsi:type="dcterms:W3CDTF">2025-04-02T03:54:15Z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8EF71735A0284397BF13FFBD16714D07</vt:lpwstr>
  </property>
  <property fmtid="{D5CDD505-2E9C-101B-9397-08002B2CF9AE}" pid="4" name="KSOTemplateDocerSaveRecord">
    <vt:lpwstr>eyJoZGlkIjoiMzA3ZmU5MWUyM2NiMmI2Y2U1Njc4OGMzZThlNjI5MDUifQ==</vt:lpwstr>
  </property>
</Properties>
</file>