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2B594">
      <w:pPr>
        <w:tabs>
          <w:tab w:val="left" w:pos="2410"/>
        </w:tabs>
        <w:autoSpaceDE w:val="0"/>
        <w:autoSpaceDN w:val="0"/>
        <w:adjustRightInd w:val="0"/>
        <w:snapToGrid w:val="0"/>
        <w:spacing w:line="360" w:lineRule="auto"/>
        <w:jc w:val="center"/>
        <w:rPr>
          <w:b/>
          <w:color w:val="auto"/>
          <w:spacing w:val="20"/>
          <w:sz w:val="44"/>
          <w:szCs w:val="44"/>
        </w:rPr>
      </w:pPr>
    </w:p>
    <w:p w14:paraId="527C9868">
      <w:pPr>
        <w:jc w:val="center"/>
        <w:rPr>
          <w:b/>
          <w:color w:val="auto"/>
          <w:spacing w:val="20"/>
          <w:sz w:val="44"/>
          <w:szCs w:val="44"/>
        </w:rPr>
      </w:pPr>
      <w:r>
        <w:rPr>
          <w:rFonts w:hint="eastAsia"/>
          <w:b/>
          <w:color w:val="auto"/>
          <w:spacing w:val="20"/>
          <w:sz w:val="48"/>
          <w:szCs w:val="48"/>
          <w:lang w:eastAsia="zh-CN"/>
        </w:rPr>
        <w:t>2024年喀什地区乡村医生中医药适宜技术推广项目</w:t>
      </w:r>
    </w:p>
    <w:p w14:paraId="6F019C2E">
      <w:pPr>
        <w:rPr>
          <w:b/>
          <w:color w:val="auto"/>
          <w:spacing w:val="20"/>
          <w:sz w:val="44"/>
          <w:szCs w:val="44"/>
        </w:rPr>
      </w:pPr>
    </w:p>
    <w:p w14:paraId="133CDB3C">
      <w:pPr>
        <w:rPr>
          <w:b/>
          <w:color w:val="auto"/>
          <w:spacing w:val="20"/>
          <w:sz w:val="44"/>
          <w:szCs w:val="44"/>
        </w:rPr>
      </w:pPr>
    </w:p>
    <w:p w14:paraId="6DE2A9DB">
      <w:pPr>
        <w:rPr>
          <w:b/>
          <w:color w:val="auto"/>
          <w:spacing w:val="20"/>
          <w:sz w:val="44"/>
          <w:szCs w:val="44"/>
        </w:rPr>
      </w:pPr>
    </w:p>
    <w:p w14:paraId="57945E99">
      <w:pPr>
        <w:pStyle w:val="2"/>
        <w:rPr>
          <w:b/>
          <w:color w:val="auto"/>
          <w:spacing w:val="20"/>
          <w:sz w:val="44"/>
          <w:szCs w:val="44"/>
        </w:rPr>
      </w:pPr>
    </w:p>
    <w:p w14:paraId="2D825188">
      <w:pPr>
        <w:pStyle w:val="2"/>
        <w:rPr>
          <w:b/>
          <w:color w:val="auto"/>
          <w:spacing w:val="20"/>
          <w:sz w:val="44"/>
          <w:szCs w:val="44"/>
        </w:rPr>
      </w:pPr>
    </w:p>
    <w:p w14:paraId="3B383DEA">
      <w:pPr>
        <w:jc w:val="center"/>
        <w:rPr>
          <w:b/>
          <w:color w:val="auto"/>
          <w:spacing w:val="20"/>
          <w:sz w:val="72"/>
          <w:szCs w:val="72"/>
        </w:rPr>
      </w:pPr>
      <w:r>
        <w:rPr>
          <w:rFonts w:hint="eastAsia"/>
          <w:b/>
          <w:color w:val="auto"/>
          <w:spacing w:val="20"/>
          <w:sz w:val="72"/>
          <w:szCs w:val="72"/>
        </w:rPr>
        <w:t>竞争性磋商文件</w:t>
      </w:r>
    </w:p>
    <w:p w14:paraId="12DF6F35">
      <w:pPr>
        <w:rPr>
          <w:color w:val="auto"/>
        </w:rPr>
      </w:pPr>
    </w:p>
    <w:p w14:paraId="32BE09DC">
      <w:pPr>
        <w:tabs>
          <w:tab w:val="left" w:pos="2410"/>
        </w:tabs>
        <w:autoSpaceDE w:val="0"/>
        <w:autoSpaceDN w:val="0"/>
        <w:adjustRightInd w:val="0"/>
        <w:snapToGrid w:val="0"/>
        <w:spacing w:line="360" w:lineRule="auto"/>
        <w:jc w:val="center"/>
        <w:rPr>
          <w:rFonts w:hint="eastAsia" w:ascii="宋体" w:hAnsi="宋体" w:cs="宋体"/>
          <w:b/>
          <w:color w:val="auto"/>
          <w:spacing w:val="20"/>
          <w:sz w:val="28"/>
          <w:szCs w:val="28"/>
        </w:rPr>
      </w:pPr>
      <w:r>
        <w:rPr>
          <w:rFonts w:hint="eastAsia" w:ascii="宋体" w:hAnsi="宋体" w:cs="宋体"/>
          <w:b/>
          <w:color w:val="auto"/>
          <w:spacing w:val="20"/>
          <w:sz w:val="28"/>
          <w:szCs w:val="28"/>
        </w:rPr>
        <w:t>（项目编号：</w:t>
      </w:r>
      <w:r>
        <w:rPr>
          <w:rFonts w:hint="eastAsia" w:ascii="宋体" w:hAnsi="宋体" w:cs="宋体"/>
          <w:b/>
          <w:color w:val="auto"/>
          <w:spacing w:val="20"/>
          <w:sz w:val="28"/>
          <w:szCs w:val="28"/>
          <w:lang w:eastAsia="zh-CN"/>
        </w:rPr>
        <w:t>NO.2025（HZXR)016</w:t>
      </w:r>
      <w:r>
        <w:rPr>
          <w:rFonts w:hint="eastAsia" w:ascii="宋体" w:hAnsi="宋体" w:cs="宋体"/>
          <w:b/>
          <w:color w:val="auto"/>
          <w:spacing w:val="20"/>
          <w:sz w:val="28"/>
          <w:szCs w:val="28"/>
        </w:rPr>
        <w:t>）</w:t>
      </w:r>
    </w:p>
    <w:p w14:paraId="1A8484E5">
      <w:pPr>
        <w:tabs>
          <w:tab w:val="left" w:pos="2410"/>
        </w:tabs>
        <w:autoSpaceDE w:val="0"/>
        <w:autoSpaceDN w:val="0"/>
        <w:adjustRightInd w:val="0"/>
        <w:snapToGrid w:val="0"/>
        <w:spacing w:line="360" w:lineRule="auto"/>
        <w:rPr>
          <w:b/>
          <w:color w:val="auto"/>
          <w:sz w:val="32"/>
          <w:szCs w:val="18"/>
        </w:rPr>
      </w:pPr>
    </w:p>
    <w:p w14:paraId="568BA07C">
      <w:pPr>
        <w:rPr>
          <w:color w:val="auto"/>
        </w:rPr>
      </w:pPr>
    </w:p>
    <w:p w14:paraId="35A8E299">
      <w:pPr>
        <w:rPr>
          <w:color w:val="auto"/>
        </w:rPr>
      </w:pPr>
    </w:p>
    <w:p w14:paraId="4B344F77">
      <w:pPr>
        <w:rPr>
          <w:color w:val="auto"/>
        </w:rPr>
      </w:pPr>
    </w:p>
    <w:p w14:paraId="0A9F83D2">
      <w:pPr>
        <w:rPr>
          <w:color w:val="auto"/>
        </w:rPr>
      </w:pPr>
    </w:p>
    <w:p w14:paraId="3D8CB18A">
      <w:pPr>
        <w:pStyle w:val="40"/>
        <w:rPr>
          <w:color w:val="auto"/>
        </w:rPr>
      </w:pPr>
    </w:p>
    <w:p w14:paraId="17ABC576">
      <w:pPr>
        <w:rPr>
          <w:color w:val="auto"/>
        </w:rPr>
      </w:pPr>
    </w:p>
    <w:p w14:paraId="54916F27">
      <w:pPr>
        <w:rPr>
          <w:color w:val="auto"/>
        </w:rPr>
      </w:pPr>
    </w:p>
    <w:p w14:paraId="600434D1">
      <w:pPr>
        <w:pStyle w:val="41"/>
        <w:rPr>
          <w:color w:val="auto"/>
        </w:rPr>
      </w:pPr>
    </w:p>
    <w:p w14:paraId="0C90BA5E">
      <w:pPr>
        <w:rPr>
          <w:color w:val="auto"/>
        </w:rPr>
      </w:pPr>
    </w:p>
    <w:p w14:paraId="2D954339">
      <w:pPr>
        <w:pStyle w:val="2"/>
        <w:rPr>
          <w:color w:val="auto"/>
        </w:rPr>
      </w:pPr>
    </w:p>
    <w:p w14:paraId="37D9DC01">
      <w:pPr>
        <w:rPr>
          <w:color w:val="auto"/>
        </w:rPr>
      </w:pPr>
    </w:p>
    <w:p w14:paraId="5F2DC6BD">
      <w:pPr>
        <w:pStyle w:val="2"/>
        <w:rPr>
          <w:color w:val="auto"/>
        </w:rPr>
      </w:pPr>
    </w:p>
    <w:p w14:paraId="47ED6695">
      <w:pPr>
        <w:pStyle w:val="2"/>
        <w:rPr>
          <w:color w:val="auto"/>
        </w:rPr>
      </w:pPr>
    </w:p>
    <w:p w14:paraId="412111BD">
      <w:pPr>
        <w:rPr>
          <w:color w:val="auto"/>
        </w:rPr>
      </w:pPr>
    </w:p>
    <w:tbl>
      <w:tblPr>
        <w:tblStyle w:val="33"/>
        <w:tblW w:w="8897" w:type="dxa"/>
        <w:jc w:val="center"/>
        <w:tblLayout w:type="fixed"/>
        <w:tblCellMar>
          <w:top w:w="0" w:type="dxa"/>
          <w:left w:w="108" w:type="dxa"/>
          <w:bottom w:w="0" w:type="dxa"/>
          <w:right w:w="108" w:type="dxa"/>
        </w:tblCellMar>
      </w:tblPr>
      <w:tblGrid>
        <w:gridCol w:w="1749"/>
        <w:gridCol w:w="7148"/>
      </w:tblGrid>
      <w:tr w14:paraId="2059E19D">
        <w:tblPrEx>
          <w:tblCellMar>
            <w:top w:w="0" w:type="dxa"/>
            <w:left w:w="108" w:type="dxa"/>
            <w:bottom w:w="0" w:type="dxa"/>
            <w:right w:w="108" w:type="dxa"/>
          </w:tblCellMar>
        </w:tblPrEx>
        <w:trPr>
          <w:trHeight w:val="454" w:hRule="atLeast"/>
          <w:jc w:val="center"/>
        </w:trPr>
        <w:tc>
          <w:tcPr>
            <w:tcW w:w="1749" w:type="dxa"/>
          </w:tcPr>
          <w:p w14:paraId="42806806">
            <w:pPr>
              <w:keepNext w:val="0"/>
              <w:keepLines w:val="0"/>
              <w:suppressLineNumbers w:val="0"/>
              <w:tabs>
                <w:tab w:val="left" w:pos="8504"/>
              </w:tabs>
              <w:spacing w:before="0" w:beforeAutospacing="0" w:after="0" w:afterAutospacing="0" w:line="360" w:lineRule="auto"/>
              <w:ind w:left="0" w:right="0"/>
              <w:jc w:val="distribute"/>
              <w:rPr>
                <w:rFonts w:hint="eastAsia" w:ascii="宋体" w:hAnsi="宋体" w:cs="宋体"/>
                <w:b/>
                <w:color w:val="auto"/>
                <w:spacing w:val="14"/>
                <w:sz w:val="24"/>
              </w:rPr>
            </w:pPr>
            <w:r>
              <w:rPr>
                <w:rFonts w:hint="eastAsia" w:ascii="宋体" w:hAnsi="宋体" w:cs="宋体"/>
                <w:b/>
                <w:color w:val="auto"/>
                <w:spacing w:val="14"/>
                <w:sz w:val="24"/>
              </w:rPr>
              <w:t>采购人：</w:t>
            </w:r>
          </w:p>
          <w:p w14:paraId="27DCBCD5">
            <w:pPr>
              <w:keepNext w:val="0"/>
              <w:keepLines w:val="0"/>
              <w:suppressLineNumbers w:val="0"/>
              <w:tabs>
                <w:tab w:val="left" w:pos="8504"/>
              </w:tabs>
              <w:spacing w:before="0" w:beforeAutospacing="0" w:after="0" w:afterAutospacing="0" w:line="360" w:lineRule="auto"/>
              <w:ind w:left="0" w:right="0"/>
              <w:jc w:val="distribute"/>
              <w:rPr>
                <w:rFonts w:hint="eastAsia" w:ascii="宋体" w:hAnsi="宋体" w:cs="宋体"/>
                <w:b/>
                <w:color w:val="auto"/>
                <w:spacing w:val="14"/>
                <w:sz w:val="24"/>
              </w:rPr>
            </w:pPr>
            <w:r>
              <w:rPr>
                <w:rFonts w:hint="eastAsia" w:cs="宋体"/>
                <w:b/>
                <w:color w:val="auto"/>
                <w:spacing w:val="14"/>
                <w:sz w:val="24"/>
              </w:rPr>
              <w:t>采购</w:t>
            </w:r>
            <w:r>
              <w:rPr>
                <w:rFonts w:hint="eastAsia" w:ascii="宋体" w:hAnsi="宋体" w:cs="宋体"/>
                <w:b/>
                <w:color w:val="auto"/>
                <w:spacing w:val="14"/>
                <w:sz w:val="24"/>
              </w:rPr>
              <w:t>代理：</w:t>
            </w:r>
          </w:p>
        </w:tc>
        <w:tc>
          <w:tcPr>
            <w:tcW w:w="7148" w:type="dxa"/>
            <w:vAlign w:val="center"/>
          </w:tcPr>
          <w:p w14:paraId="3B27E845">
            <w:pPr>
              <w:keepNext w:val="0"/>
              <w:keepLines w:val="0"/>
              <w:suppressLineNumbers w:val="0"/>
              <w:tabs>
                <w:tab w:val="left" w:pos="8504"/>
              </w:tabs>
              <w:spacing w:before="0" w:beforeAutospacing="0" w:after="0" w:afterAutospacing="0" w:line="360" w:lineRule="auto"/>
              <w:ind w:left="0" w:right="0"/>
              <w:jc w:val="distribute"/>
              <w:rPr>
                <w:rFonts w:hint="eastAsia" w:ascii="宋体" w:hAnsi="宋体" w:eastAsia="宋体" w:cs="宋体"/>
                <w:b/>
                <w:bCs/>
                <w:color w:val="auto"/>
                <w:sz w:val="24"/>
                <w:lang w:eastAsia="zh-CN"/>
              </w:rPr>
            </w:pPr>
            <w:r>
              <w:rPr>
                <w:rFonts w:hint="eastAsia" w:ascii="宋体" w:hAnsi="宋体" w:cs="宋体"/>
                <w:b/>
                <w:bCs/>
                <w:color w:val="auto"/>
                <w:sz w:val="24"/>
                <w:lang w:eastAsia="zh-CN"/>
              </w:rPr>
              <w:t>喀什地区卫生健康委员会</w:t>
            </w:r>
          </w:p>
          <w:p w14:paraId="28EB5ED8">
            <w:pPr>
              <w:keepNext w:val="0"/>
              <w:keepLines w:val="0"/>
              <w:suppressLineNumbers w:val="0"/>
              <w:tabs>
                <w:tab w:val="left" w:pos="8504"/>
              </w:tabs>
              <w:spacing w:before="0" w:beforeAutospacing="0" w:after="0" w:afterAutospacing="0" w:line="360" w:lineRule="auto"/>
              <w:ind w:left="0" w:right="0"/>
              <w:jc w:val="distribute"/>
              <w:rPr>
                <w:rFonts w:hint="eastAsia" w:ascii="宋体" w:hAnsi="宋体" w:cs="宋体"/>
                <w:b/>
                <w:color w:val="auto"/>
                <w:spacing w:val="14"/>
                <w:sz w:val="24"/>
              </w:rPr>
            </w:pPr>
            <w:r>
              <w:rPr>
                <w:rFonts w:hint="eastAsia" w:ascii="宋体" w:hAnsi="宋体" w:cs="宋体"/>
                <w:b/>
                <w:bCs/>
                <w:color w:val="auto"/>
                <w:sz w:val="24"/>
              </w:rPr>
              <w:t>新疆华展鑫荣项目管理咨询有限公司</w:t>
            </w:r>
          </w:p>
        </w:tc>
      </w:tr>
    </w:tbl>
    <w:p w14:paraId="2999DD95">
      <w:pPr>
        <w:tabs>
          <w:tab w:val="left" w:pos="2410"/>
        </w:tabs>
        <w:autoSpaceDE w:val="0"/>
        <w:autoSpaceDN w:val="0"/>
        <w:adjustRightInd w:val="0"/>
        <w:snapToGrid w:val="0"/>
        <w:spacing w:line="360" w:lineRule="auto"/>
        <w:jc w:val="center"/>
        <w:rPr>
          <w:rFonts w:hint="eastAsia"/>
          <w:b/>
          <w:color w:val="auto"/>
          <w:sz w:val="24"/>
          <w:szCs w:val="15"/>
          <w:highlight w:val="none"/>
        </w:rPr>
      </w:pPr>
      <w:r>
        <w:rPr>
          <w:rFonts w:hint="eastAsia"/>
          <w:b/>
          <w:color w:val="auto"/>
          <w:sz w:val="24"/>
          <w:szCs w:val="15"/>
        </w:rPr>
        <w:t>二○二</w:t>
      </w:r>
      <w:r>
        <w:rPr>
          <w:rFonts w:hint="eastAsia"/>
          <w:b/>
          <w:color w:val="auto"/>
          <w:sz w:val="24"/>
          <w:szCs w:val="15"/>
          <w:highlight w:val="none"/>
          <w:lang w:val="en-US" w:eastAsia="zh-CN"/>
        </w:rPr>
        <w:t>五</w:t>
      </w:r>
      <w:r>
        <w:rPr>
          <w:rFonts w:hint="eastAsia"/>
          <w:b/>
          <w:color w:val="auto"/>
          <w:sz w:val="24"/>
          <w:szCs w:val="15"/>
          <w:highlight w:val="none"/>
        </w:rPr>
        <w:t>年</w:t>
      </w:r>
      <w:r>
        <w:rPr>
          <w:rFonts w:hint="eastAsia"/>
          <w:b/>
          <w:color w:val="auto"/>
          <w:sz w:val="24"/>
          <w:szCs w:val="15"/>
          <w:highlight w:val="none"/>
          <w:lang w:val="en-US" w:eastAsia="zh-CN"/>
        </w:rPr>
        <w:t>四</w:t>
      </w:r>
      <w:r>
        <w:rPr>
          <w:rFonts w:hint="eastAsia"/>
          <w:b/>
          <w:color w:val="auto"/>
          <w:sz w:val="24"/>
          <w:szCs w:val="15"/>
          <w:highlight w:val="none"/>
        </w:rPr>
        <w:t>月</w:t>
      </w:r>
    </w:p>
    <w:p w14:paraId="5E6FE1B0">
      <w:pPr>
        <w:rPr>
          <w:rFonts w:hint="eastAsia"/>
          <w:b/>
          <w:color w:val="auto"/>
          <w:sz w:val="24"/>
          <w:szCs w:val="15"/>
          <w:highlight w:val="none"/>
        </w:rPr>
      </w:pPr>
      <w:r>
        <w:rPr>
          <w:rFonts w:hint="eastAsia"/>
          <w:b/>
          <w:color w:val="auto"/>
          <w:sz w:val="24"/>
          <w:szCs w:val="15"/>
          <w:highlight w:val="none"/>
        </w:rPr>
        <w:br w:type="page"/>
      </w:r>
    </w:p>
    <w:p w14:paraId="3469697F">
      <w:pPr>
        <w:tabs>
          <w:tab w:val="left" w:pos="2410"/>
        </w:tabs>
        <w:autoSpaceDE w:val="0"/>
        <w:autoSpaceDN w:val="0"/>
        <w:adjustRightInd w:val="0"/>
        <w:snapToGrid w:val="0"/>
        <w:spacing w:line="360" w:lineRule="auto"/>
        <w:jc w:val="center"/>
        <w:rPr>
          <w:rFonts w:hint="eastAsia"/>
          <w:b/>
          <w:color w:val="auto"/>
          <w:sz w:val="24"/>
          <w:szCs w:val="15"/>
          <w:highlight w:val="none"/>
        </w:rPr>
      </w:pPr>
    </w:p>
    <w:p w14:paraId="19DC28EB">
      <w:pPr>
        <w:spacing w:line="600" w:lineRule="auto"/>
        <w:jc w:val="center"/>
        <w:rPr>
          <w:rFonts w:hint="eastAsia" w:ascii="宋体" w:hAnsi="宋体" w:cs="宋体"/>
          <w:b/>
          <w:color w:val="auto"/>
          <w:sz w:val="30"/>
          <w:szCs w:val="30"/>
        </w:rPr>
      </w:pPr>
      <w:r>
        <w:rPr>
          <w:rFonts w:hint="eastAsia" w:ascii="宋体" w:hAnsi="宋体" w:cs="宋体"/>
          <w:b/>
          <w:color w:val="auto"/>
          <w:sz w:val="30"/>
          <w:szCs w:val="30"/>
        </w:rPr>
        <w:t>目录</w:t>
      </w:r>
    </w:p>
    <w:p w14:paraId="11F69E19">
      <w:pPr>
        <w:pStyle w:val="25"/>
        <w:tabs>
          <w:tab w:val="right" w:leader="dot" w:pos="8306"/>
        </w:tabs>
        <w:spacing w:line="360" w:lineRule="auto"/>
        <w:rPr>
          <w:color w:val="auto"/>
          <w:sz w:val="28"/>
          <w:szCs w:val="28"/>
        </w:rPr>
      </w:pPr>
      <w:r>
        <w:rPr>
          <w:rFonts w:hint="eastAsia"/>
          <w:color w:val="auto"/>
        </w:rPr>
        <w:fldChar w:fldCharType="begin"/>
      </w:r>
      <w:r>
        <w:rPr>
          <w:rFonts w:hint="eastAsia"/>
          <w:color w:val="auto"/>
        </w:rPr>
        <w:instrText xml:space="preserve">TOC \o "1-3" \h \u </w:instrText>
      </w:r>
      <w:r>
        <w:rPr>
          <w:rFonts w:hint="eastAsia"/>
          <w:color w:val="auto"/>
        </w:rPr>
        <w:fldChar w:fldCharType="separate"/>
      </w:r>
      <w:r>
        <w:rPr>
          <w:color w:val="auto"/>
        </w:rPr>
        <w:fldChar w:fldCharType="begin"/>
      </w:r>
      <w:r>
        <w:rPr>
          <w:color w:val="auto"/>
        </w:rPr>
        <w:instrText xml:space="preserve"> HYPERLINK \l "_Toc29394" </w:instrText>
      </w:r>
      <w:r>
        <w:rPr>
          <w:color w:val="auto"/>
        </w:rPr>
        <w:fldChar w:fldCharType="separate"/>
      </w:r>
      <w:r>
        <w:rPr>
          <w:rFonts w:hint="eastAsia" w:ascii="宋体" w:hAnsi="宋体" w:cs="宋体"/>
          <w:color w:val="auto"/>
          <w:sz w:val="28"/>
          <w:szCs w:val="28"/>
        </w:rPr>
        <w:t>第一章  竞争性磋商公告</w:t>
      </w:r>
      <w:r>
        <w:rPr>
          <w:color w:val="auto"/>
          <w:sz w:val="28"/>
          <w:szCs w:val="28"/>
        </w:rPr>
        <w:tab/>
      </w:r>
      <w:r>
        <w:rPr>
          <w:color w:val="auto"/>
          <w:sz w:val="28"/>
          <w:szCs w:val="28"/>
        </w:rPr>
        <w:fldChar w:fldCharType="begin"/>
      </w:r>
      <w:r>
        <w:rPr>
          <w:color w:val="auto"/>
          <w:sz w:val="28"/>
          <w:szCs w:val="28"/>
        </w:rPr>
        <w:instrText xml:space="preserve"> PAGEREF _Toc29394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14:paraId="563FC5F7">
      <w:pPr>
        <w:pStyle w:val="25"/>
        <w:tabs>
          <w:tab w:val="right" w:leader="dot" w:pos="8306"/>
        </w:tabs>
        <w:spacing w:line="360" w:lineRule="auto"/>
        <w:rPr>
          <w:color w:val="auto"/>
          <w:sz w:val="28"/>
          <w:szCs w:val="28"/>
        </w:rPr>
      </w:pPr>
      <w:r>
        <w:rPr>
          <w:color w:val="auto"/>
        </w:rPr>
        <w:fldChar w:fldCharType="begin"/>
      </w:r>
      <w:r>
        <w:rPr>
          <w:color w:val="auto"/>
        </w:rPr>
        <w:instrText xml:space="preserve"> HYPERLINK \l "_Toc5875" </w:instrText>
      </w:r>
      <w:r>
        <w:rPr>
          <w:color w:val="auto"/>
        </w:rPr>
        <w:fldChar w:fldCharType="separate"/>
      </w:r>
      <w:r>
        <w:rPr>
          <w:rFonts w:hint="eastAsia"/>
          <w:bCs/>
          <w:color w:val="auto"/>
          <w:sz w:val="28"/>
          <w:szCs w:val="28"/>
        </w:rPr>
        <w:t>第二章  供应商须知前附表</w:t>
      </w:r>
      <w:r>
        <w:rPr>
          <w:color w:val="auto"/>
          <w:sz w:val="28"/>
          <w:szCs w:val="28"/>
        </w:rPr>
        <w:tab/>
      </w:r>
      <w:r>
        <w:rPr>
          <w:color w:val="auto"/>
          <w:sz w:val="28"/>
          <w:szCs w:val="28"/>
        </w:rPr>
        <w:fldChar w:fldCharType="begin"/>
      </w:r>
      <w:r>
        <w:rPr>
          <w:color w:val="auto"/>
          <w:sz w:val="28"/>
          <w:szCs w:val="28"/>
        </w:rPr>
        <w:instrText xml:space="preserve"> PAGEREF _Toc5875 \h </w:instrText>
      </w:r>
      <w:r>
        <w:rPr>
          <w:color w:val="auto"/>
          <w:sz w:val="28"/>
          <w:szCs w:val="28"/>
        </w:rPr>
        <w:fldChar w:fldCharType="separate"/>
      </w:r>
      <w:r>
        <w:rPr>
          <w:color w:val="auto"/>
          <w:sz w:val="28"/>
          <w:szCs w:val="28"/>
        </w:rPr>
        <w:t>4</w:t>
      </w:r>
      <w:r>
        <w:rPr>
          <w:color w:val="auto"/>
          <w:sz w:val="28"/>
          <w:szCs w:val="28"/>
        </w:rPr>
        <w:fldChar w:fldCharType="end"/>
      </w:r>
      <w:r>
        <w:rPr>
          <w:color w:val="auto"/>
          <w:sz w:val="28"/>
          <w:szCs w:val="28"/>
        </w:rPr>
        <w:fldChar w:fldCharType="end"/>
      </w:r>
    </w:p>
    <w:p w14:paraId="4C77F1E6">
      <w:pPr>
        <w:pStyle w:val="25"/>
        <w:tabs>
          <w:tab w:val="right" w:leader="dot" w:pos="8306"/>
        </w:tabs>
        <w:spacing w:line="360" w:lineRule="auto"/>
        <w:rPr>
          <w:color w:val="auto"/>
          <w:sz w:val="28"/>
          <w:szCs w:val="28"/>
        </w:rPr>
      </w:pPr>
      <w:r>
        <w:rPr>
          <w:color w:val="auto"/>
        </w:rPr>
        <w:fldChar w:fldCharType="begin"/>
      </w:r>
      <w:r>
        <w:rPr>
          <w:color w:val="auto"/>
        </w:rPr>
        <w:instrText xml:space="preserve"> HYPERLINK \l "_Toc26561" </w:instrText>
      </w:r>
      <w:r>
        <w:rPr>
          <w:color w:val="auto"/>
        </w:rPr>
        <w:fldChar w:fldCharType="separate"/>
      </w:r>
      <w:r>
        <w:rPr>
          <w:rFonts w:hint="eastAsia"/>
          <w:bCs/>
          <w:color w:val="auto"/>
          <w:sz w:val="28"/>
          <w:szCs w:val="28"/>
        </w:rPr>
        <w:t>第三章  供应商须知</w:t>
      </w:r>
      <w:r>
        <w:rPr>
          <w:color w:val="auto"/>
          <w:sz w:val="28"/>
          <w:szCs w:val="28"/>
        </w:rPr>
        <w:tab/>
      </w:r>
      <w:r>
        <w:rPr>
          <w:color w:val="auto"/>
          <w:sz w:val="28"/>
          <w:szCs w:val="28"/>
        </w:rPr>
        <w:fldChar w:fldCharType="begin"/>
      </w:r>
      <w:r>
        <w:rPr>
          <w:color w:val="auto"/>
          <w:sz w:val="28"/>
          <w:szCs w:val="28"/>
        </w:rPr>
        <w:instrText xml:space="preserve"> PAGEREF _Toc26561 \h </w:instrText>
      </w:r>
      <w:r>
        <w:rPr>
          <w:color w:val="auto"/>
          <w:sz w:val="28"/>
          <w:szCs w:val="28"/>
        </w:rPr>
        <w:fldChar w:fldCharType="separate"/>
      </w:r>
      <w:r>
        <w:rPr>
          <w:color w:val="auto"/>
          <w:sz w:val="28"/>
          <w:szCs w:val="28"/>
        </w:rPr>
        <w:t>11</w:t>
      </w:r>
      <w:r>
        <w:rPr>
          <w:color w:val="auto"/>
          <w:sz w:val="28"/>
          <w:szCs w:val="28"/>
        </w:rPr>
        <w:fldChar w:fldCharType="end"/>
      </w:r>
      <w:r>
        <w:rPr>
          <w:color w:val="auto"/>
          <w:sz w:val="28"/>
          <w:szCs w:val="28"/>
        </w:rPr>
        <w:fldChar w:fldCharType="end"/>
      </w:r>
    </w:p>
    <w:p w14:paraId="205C6C0A">
      <w:pPr>
        <w:pStyle w:val="25"/>
        <w:tabs>
          <w:tab w:val="right" w:leader="dot" w:pos="8306"/>
        </w:tabs>
        <w:spacing w:line="360" w:lineRule="auto"/>
        <w:rPr>
          <w:color w:val="auto"/>
          <w:sz w:val="28"/>
          <w:szCs w:val="28"/>
        </w:rPr>
      </w:pPr>
      <w:r>
        <w:rPr>
          <w:color w:val="auto"/>
        </w:rPr>
        <w:fldChar w:fldCharType="begin"/>
      </w:r>
      <w:r>
        <w:rPr>
          <w:color w:val="auto"/>
        </w:rPr>
        <w:instrText xml:space="preserve"> HYPERLINK \l "_Toc30897" </w:instrText>
      </w:r>
      <w:r>
        <w:rPr>
          <w:color w:val="auto"/>
        </w:rPr>
        <w:fldChar w:fldCharType="separate"/>
      </w:r>
      <w:r>
        <w:rPr>
          <w:rFonts w:hint="eastAsia" w:asciiTheme="minorEastAsia" w:hAnsiTheme="minorEastAsia" w:eastAsiaTheme="minorEastAsia" w:cstheme="minorEastAsia"/>
          <w:bCs/>
          <w:color w:val="auto"/>
          <w:kern w:val="0"/>
          <w:sz w:val="28"/>
          <w:szCs w:val="28"/>
        </w:rPr>
        <w:t xml:space="preserve">第四章  </w:t>
      </w:r>
      <w:r>
        <w:rPr>
          <w:rFonts w:hint="eastAsia" w:ascii="宋体" w:hAnsi="宋体" w:cs="宋体"/>
          <w:bCs/>
          <w:color w:val="auto"/>
          <w:kern w:val="0"/>
          <w:sz w:val="28"/>
          <w:szCs w:val="28"/>
        </w:rPr>
        <w:t>合同条款</w:t>
      </w:r>
      <w:r>
        <w:rPr>
          <w:color w:val="auto"/>
          <w:sz w:val="28"/>
          <w:szCs w:val="28"/>
        </w:rPr>
        <w:tab/>
      </w:r>
      <w:r>
        <w:rPr>
          <w:color w:val="auto"/>
          <w:sz w:val="28"/>
          <w:szCs w:val="28"/>
        </w:rPr>
        <w:fldChar w:fldCharType="begin"/>
      </w:r>
      <w:r>
        <w:rPr>
          <w:color w:val="auto"/>
          <w:sz w:val="28"/>
          <w:szCs w:val="28"/>
        </w:rPr>
        <w:instrText xml:space="preserve"> PAGEREF _Toc30897 \h </w:instrText>
      </w:r>
      <w:r>
        <w:rPr>
          <w:color w:val="auto"/>
          <w:sz w:val="28"/>
          <w:szCs w:val="28"/>
        </w:rPr>
        <w:fldChar w:fldCharType="separate"/>
      </w:r>
      <w:r>
        <w:rPr>
          <w:color w:val="auto"/>
          <w:sz w:val="28"/>
          <w:szCs w:val="28"/>
        </w:rPr>
        <w:t>26</w:t>
      </w:r>
      <w:r>
        <w:rPr>
          <w:color w:val="auto"/>
          <w:sz w:val="28"/>
          <w:szCs w:val="28"/>
        </w:rPr>
        <w:fldChar w:fldCharType="end"/>
      </w:r>
      <w:r>
        <w:rPr>
          <w:color w:val="auto"/>
          <w:sz w:val="28"/>
          <w:szCs w:val="28"/>
        </w:rPr>
        <w:fldChar w:fldCharType="end"/>
      </w:r>
    </w:p>
    <w:p w14:paraId="27A6796B">
      <w:pPr>
        <w:pStyle w:val="25"/>
        <w:tabs>
          <w:tab w:val="right" w:leader="dot" w:pos="8306"/>
        </w:tabs>
        <w:spacing w:line="360" w:lineRule="auto"/>
        <w:rPr>
          <w:color w:val="auto"/>
          <w:sz w:val="28"/>
          <w:szCs w:val="28"/>
        </w:rPr>
      </w:pPr>
      <w:r>
        <w:rPr>
          <w:color w:val="auto"/>
        </w:rPr>
        <w:fldChar w:fldCharType="begin"/>
      </w:r>
      <w:r>
        <w:rPr>
          <w:color w:val="auto"/>
        </w:rPr>
        <w:instrText xml:space="preserve"> HYPERLINK \l "_Toc19204" </w:instrText>
      </w:r>
      <w:r>
        <w:rPr>
          <w:color w:val="auto"/>
        </w:rPr>
        <w:fldChar w:fldCharType="separate"/>
      </w:r>
      <w:r>
        <w:rPr>
          <w:rFonts w:hint="eastAsia" w:asciiTheme="minorEastAsia" w:hAnsiTheme="minorEastAsia" w:eastAsiaTheme="minorEastAsia" w:cstheme="minorEastAsia"/>
          <w:bCs/>
          <w:color w:val="auto"/>
          <w:sz w:val="28"/>
          <w:szCs w:val="28"/>
        </w:rPr>
        <w:t>第五章</w:t>
      </w:r>
      <w:r>
        <w:rPr>
          <w:rFonts w:hint="eastAsia" w:ascii="宋体" w:hAnsi="宋体" w:cs="宋体"/>
          <w:bCs/>
          <w:color w:val="auto"/>
          <w:sz w:val="28"/>
          <w:szCs w:val="28"/>
        </w:rPr>
        <w:t xml:space="preserve">  服务需求及要求</w:t>
      </w:r>
      <w:r>
        <w:rPr>
          <w:color w:val="auto"/>
          <w:sz w:val="28"/>
          <w:szCs w:val="28"/>
        </w:rPr>
        <w:tab/>
      </w:r>
      <w:r>
        <w:rPr>
          <w:color w:val="auto"/>
          <w:sz w:val="28"/>
          <w:szCs w:val="28"/>
        </w:rPr>
        <w:fldChar w:fldCharType="begin"/>
      </w:r>
      <w:r>
        <w:rPr>
          <w:color w:val="auto"/>
          <w:sz w:val="28"/>
          <w:szCs w:val="28"/>
        </w:rPr>
        <w:instrText xml:space="preserve"> PAGEREF _Toc19204 \h </w:instrText>
      </w:r>
      <w:r>
        <w:rPr>
          <w:color w:val="auto"/>
          <w:sz w:val="28"/>
          <w:szCs w:val="28"/>
        </w:rPr>
        <w:fldChar w:fldCharType="separate"/>
      </w:r>
      <w:r>
        <w:rPr>
          <w:color w:val="auto"/>
          <w:sz w:val="28"/>
          <w:szCs w:val="28"/>
        </w:rPr>
        <w:t>30</w:t>
      </w:r>
      <w:r>
        <w:rPr>
          <w:color w:val="auto"/>
          <w:sz w:val="28"/>
          <w:szCs w:val="28"/>
        </w:rPr>
        <w:fldChar w:fldCharType="end"/>
      </w:r>
      <w:r>
        <w:rPr>
          <w:color w:val="auto"/>
          <w:sz w:val="28"/>
          <w:szCs w:val="28"/>
        </w:rPr>
        <w:fldChar w:fldCharType="end"/>
      </w:r>
    </w:p>
    <w:p w14:paraId="00FF2B0B">
      <w:pPr>
        <w:pStyle w:val="25"/>
        <w:tabs>
          <w:tab w:val="right" w:leader="dot" w:pos="8306"/>
        </w:tabs>
        <w:spacing w:line="360" w:lineRule="auto"/>
        <w:rPr>
          <w:color w:val="auto"/>
          <w:sz w:val="28"/>
          <w:szCs w:val="28"/>
        </w:rPr>
      </w:pPr>
      <w:r>
        <w:rPr>
          <w:color w:val="auto"/>
        </w:rPr>
        <w:fldChar w:fldCharType="begin"/>
      </w:r>
      <w:r>
        <w:rPr>
          <w:color w:val="auto"/>
        </w:rPr>
        <w:instrText xml:space="preserve"> HYPERLINK \l "_Toc12911" </w:instrText>
      </w:r>
      <w:r>
        <w:rPr>
          <w:color w:val="auto"/>
        </w:rPr>
        <w:fldChar w:fldCharType="separate"/>
      </w:r>
      <w:r>
        <w:rPr>
          <w:rFonts w:hint="eastAsia" w:asciiTheme="minorEastAsia" w:hAnsiTheme="minorEastAsia" w:eastAsiaTheme="minorEastAsia" w:cstheme="minorEastAsia"/>
          <w:bCs/>
          <w:color w:val="auto"/>
          <w:sz w:val="28"/>
          <w:szCs w:val="28"/>
        </w:rPr>
        <w:t>第六章  评标标准及办法</w:t>
      </w:r>
      <w:r>
        <w:rPr>
          <w:color w:val="auto"/>
          <w:sz w:val="28"/>
          <w:szCs w:val="28"/>
        </w:rPr>
        <w:tab/>
      </w:r>
      <w:r>
        <w:rPr>
          <w:color w:val="auto"/>
          <w:sz w:val="28"/>
          <w:szCs w:val="28"/>
        </w:rPr>
        <w:fldChar w:fldCharType="begin"/>
      </w:r>
      <w:r>
        <w:rPr>
          <w:color w:val="auto"/>
          <w:sz w:val="28"/>
          <w:szCs w:val="28"/>
        </w:rPr>
        <w:instrText xml:space="preserve"> PAGEREF _Toc12911 \h </w:instrText>
      </w:r>
      <w:r>
        <w:rPr>
          <w:color w:val="auto"/>
          <w:sz w:val="28"/>
          <w:szCs w:val="28"/>
        </w:rPr>
        <w:fldChar w:fldCharType="separate"/>
      </w:r>
      <w:r>
        <w:rPr>
          <w:color w:val="auto"/>
          <w:sz w:val="28"/>
          <w:szCs w:val="28"/>
        </w:rPr>
        <w:t>33</w:t>
      </w:r>
      <w:r>
        <w:rPr>
          <w:color w:val="auto"/>
          <w:sz w:val="28"/>
          <w:szCs w:val="28"/>
        </w:rPr>
        <w:fldChar w:fldCharType="end"/>
      </w:r>
      <w:r>
        <w:rPr>
          <w:color w:val="auto"/>
          <w:sz w:val="28"/>
          <w:szCs w:val="28"/>
        </w:rPr>
        <w:fldChar w:fldCharType="end"/>
      </w:r>
    </w:p>
    <w:p w14:paraId="32FE0B09">
      <w:pPr>
        <w:pStyle w:val="25"/>
        <w:tabs>
          <w:tab w:val="right" w:leader="dot" w:pos="8306"/>
        </w:tabs>
        <w:spacing w:line="360" w:lineRule="auto"/>
        <w:rPr>
          <w:color w:val="auto"/>
          <w:sz w:val="22"/>
          <w:szCs w:val="28"/>
        </w:rPr>
      </w:pPr>
      <w:r>
        <w:rPr>
          <w:color w:val="auto"/>
        </w:rPr>
        <w:fldChar w:fldCharType="begin"/>
      </w:r>
      <w:r>
        <w:rPr>
          <w:color w:val="auto"/>
        </w:rPr>
        <w:instrText xml:space="preserve"> HYPERLINK \l "_Toc18340" </w:instrText>
      </w:r>
      <w:r>
        <w:rPr>
          <w:color w:val="auto"/>
        </w:rPr>
        <w:fldChar w:fldCharType="separate"/>
      </w:r>
      <w:r>
        <w:rPr>
          <w:rFonts w:hint="eastAsia" w:ascii="宋体" w:hAnsi="宋体" w:cs="宋体"/>
          <w:bCs/>
          <w:color w:val="auto"/>
          <w:sz w:val="28"/>
          <w:szCs w:val="28"/>
        </w:rPr>
        <w:t>第七章  投标响应文件格式</w:t>
      </w:r>
      <w:r>
        <w:rPr>
          <w:color w:val="auto"/>
          <w:sz w:val="28"/>
          <w:szCs w:val="28"/>
        </w:rPr>
        <w:tab/>
      </w:r>
      <w:r>
        <w:rPr>
          <w:color w:val="auto"/>
          <w:sz w:val="28"/>
          <w:szCs w:val="28"/>
        </w:rPr>
        <w:fldChar w:fldCharType="begin"/>
      </w:r>
      <w:r>
        <w:rPr>
          <w:color w:val="auto"/>
          <w:sz w:val="28"/>
          <w:szCs w:val="28"/>
        </w:rPr>
        <w:instrText xml:space="preserve"> PAGEREF _Toc18340 \h </w:instrText>
      </w:r>
      <w:r>
        <w:rPr>
          <w:color w:val="auto"/>
          <w:sz w:val="28"/>
          <w:szCs w:val="28"/>
        </w:rPr>
        <w:fldChar w:fldCharType="separate"/>
      </w:r>
      <w:r>
        <w:rPr>
          <w:color w:val="auto"/>
          <w:sz w:val="28"/>
          <w:szCs w:val="28"/>
        </w:rPr>
        <w:t>38</w:t>
      </w:r>
      <w:r>
        <w:rPr>
          <w:color w:val="auto"/>
          <w:sz w:val="28"/>
          <w:szCs w:val="28"/>
        </w:rPr>
        <w:fldChar w:fldCharType="end"/>
      </w:r>
      <w:r>
        <w:rPr>
          <w:color w:val="auto"/>
          <w:sz w:val="28"/>
          <w:szCs w:val="28"/>
        </w:rPr>
        <w:fldChar w:fldCharType="end"/>
      </w:r>
    </w:p>
    <w:p w14:paraId="1E6EE481">
      <w:pPr>
        <w:pStyle w:val="25"/>
        <w:tabs>
          <w:tab w:val="right" w:leader="dot" w:pos="8306"/>
        </w:tabs>
        <w:rPr>
          <w:color w:val="auto"/>
        </w:rPr>
      </w:pPr>
    </w:p>
    <w:p w14:paraId="7D9138F5">
      <w:pPr>
        <w:rPr>
          <w:color w:val="auto"/>
        </w:rPr>
      </w:pPr>
      <w:r>
        <w:rPr>
          <w:rFonts w:hint="eastAsia"/>
          <w:color w:val="auto"/>
        </w:rPr>
        <w:fldChar w:fldCharType="end"/>
      </w:r>
    </w:p>
    <w:p w14:paraId="029539A2">
      <w:pPr>
        <w:spacing w:line="600" w:lineRule="auto"/>
        <w:ind w:firstLine="602" w:firstLineChars="200"/>
        <w:rPr>
          <w:rFonts w:hint="eastAsia" w:ascii="宋体" w:hAnsi="宋体" w:cs="宋体"/>
          <w:b/>
          <w:color w:val="auto"/>
          <w:sz w:val="30"/>
          <w:szCs w:val="30"/>
        </w:rPr>
        <w:sectPr>
          <w:headerReference r:id="rId3" w:type="first"/>
          <w:footerReference r:id="rId4" w:type="first"/>
          <w:pgSz w:w="11906" w:h="16838"/>
          <w:pgMar w:top="1440" w:right="1800" w:bottom="1440" w:left="1800" w:header="851" w:footer="992" w:gutter="0"/>
          <w:cols w:space="425" w:num="1"/>
          <w:docGrid w:type="lines" w:linePitch="312" w:charSpace="0"/>
        </w:sectPr>
      </w:pPr>
      <w:r>
        <w:rPr>
          <w:rFonts w:hint="eastAsia" w:ascii="宋体" w:hAnsi="宋体" w:cs="宋体"/>
          <w:b/>
          <w:color w:val="auto"/>
          <w:sz w:val="30"/>
          <w:szCs w:val="30"/>
        </w:rPr>
        <w:t xml:space="preserve"> </w:t>
      </w:r>
    </w:p>
    <w:p w14:paraId="780BB1D4">
      <w:pPr>
        <w:numPr>
          <w:ilvl w:val="0"/>
          <w:numId w:val="2"/>
        </w:numPr>
        <w:spacing w:line="360" w:lineRule="auto"/>
        <w:jc w:val="center"/>
        <w:outlineLvl w:val="0"/>
        <w:rPr>
          <w:rFonts w:hint="eastAsia" w:ascii="宋体" w:hAnsi="宋体" w:cs="宋体"/>
          <w:b/>
          <w:color w:val="auto"/>
          <w:sz w:val="28"/>
          <w:szCs w:val="28"/>
        </w:rPr>
      </w:pPr>
      <w:bookmarkStart w:id="0" w:name="_Toc29394"/>
      <w:bookmarkStart w:id="1" w:name="_Toc11176_WPSOffice_Level1"/>
      <w:r>
        <w:rPr>
          <w:rFonts w:hint="eastAsia" w:ascii="宋体" w:hAnsi="宋体" w:cs="宋体"/>
          <w:b/>
          <w:color w:val="auto"/>
          <w:sz w:val="28"/>
          <w:szCs w:val="28"/>
        </w:rPr>
        <w:t xml:space="preserve"> </w:t>
      </w:r>
      <w:r>
        <w:rPr>
          <w:rFonts w:hint="eastAsia" w:ascii="宋体" w:hAnsi="宋体" w:cs="宋体"/>
          <w:b/>
          <w:color w:val="auto"/>
          <w:sz w:val="28"/>
          <w:szCs w:val="28"/>
          <w:lang w:eastAsia="zh-CN"/>
        </w:rPr>
        <w:t>2024年喀什地区乡村医生中医药适宜技术推广项目</w:t>
      </w:r>
      <w:r>
        <w:rPr>
          <w:rFonts w:hint="eastAsia" w:ascii="宋体" w:hAnsi="宋体" w:cs="宋体"/>
          <w:b/>
          <w:color w:val="auto"/>
          <w:sz w:val="28"/>
          <w:szCs w:val="28"/>
        </w:rPr>
        <w:t>竞争性磋商公告</w:t>
      </w:r>
      <w:bookmarkEnd w:id="0"/>
      <w:bookmarkEnd w:id="1"/>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FE4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6" w:type="dxa"/>
          </w:tcPr>
          <w:p w14:paraId="378C0357">
            <w:pPr>
              <w:keepNext w:val="0"/>
              <w:keepLines w:val="0"/>
              <w:suppressLineNumbers w:val="0"/>
              <w:spacing w:before="0" w:beforeAutospacing="0" w:after="0" w:afterAutospacing="0" w:line="520" w:lineRule="exact"/>
              <w:ind w:left="0" w:right="0"/>
              <w:rPr>
                <w:rFonts w:hint="eastAsia" w:ascii="宋体" w:hAnsi="宋体" w:cs="宋体"/>
                <w:bCs/>
                <w:color w:val="auto"/>
                <w:kern w:val="0"/>
                <w:sz w:val="24"/>
              </w:rPr>
            </w:pPr>
            <w:r>
              <w:rPr>
                <w:rFonts w:hint="default" w:ascii="宋体" w:hAnsi="宋体" w:cs="宋体"/>
                <w:bCs/>
                <w:color w:val="auto"/>
                <w:kern w:val="0"/>
                <w:sz w:val="24"/>
              </w:rPr>
              <w:t>项目概况</w:t>
            </w:r>
          </w:p>
          <w:p w14:paraId="4138FEBC">
            <w:pPr>
              <w:keepNext w:val="0"/>
              <w:keepLines w:val="0"/>
              <w:suppressLineNumbers w:val="0"/>
              <w:spacing w:before="0" w:beforeAutospacing="0" w:after="0" w:afterAutospacing="0" w:line="520" w:lineRule="exact"/>
              <w:ind w:left="0" w:right="0" w:firstLine="480" w:firstLineChars="200"/>
              <w:rPr>
                <w:rFonts w:hint="eastAsia" w:ascii="宋体" w:hAnsi="宋体" w:cs="宋体"/>
                <w:bCs/>
                <w:color w:val="auto"/>
                <w:kern w:val="0"/>
                <w:sz w:val="24"/>
              </w:rPr>
            </w:pPr>
            <w:r>
              <w:rPr>
                <w:rFonts w:hint="eastAsia" w:ascii="宋体" w:hAnsi="宋体" w:cs="宋体"/>
                <w:bCs/>
                <w:color w:val="auto"/>
                <w:kern w:val="0"/>
                <w:sz w:val="24"/>
                <w:u w:val="single"/>
                <w:lang w:eastAsia="zh-CN"/>
              </w:rPr>
              <w:t>2024年喀什地区乡村医生中医药适宜技术推广项目</w:t>
            </w:r>
            <w:r>
              <w:rPr>
                <w:rFonts w:hint="default" w:ascii="宋体" w:hAnsi="宋体" w:cs="宋体"/>
                <w:bCs/>
                <w:color w:val="auto"/>
                <w:kern w:val="0"/>
                <w:sz w:val="24"/>
              </w:rPr>
              <w:t>的潜在</w:t>
            </w:r>
            <w:r>
              <w:rPr>
                <w:rFonts w:hint="eastAsia" w:ascii="宋体" w:hAnsi="宋体" w:cs="宋体"/>
                <w:bCs/>
                <w:color w:val="auto"/>
                <w:kern w:val="0"/>
                <w:sz w:val="24"/>
              </w:rPr>
              <w:t>供应商</w:t>
            </w:r>
            <w:r>
              <w:rPr>
                <w:rFonts w:hint="default" w:ascii="宋体" w:hAnsi="宋体" w:cs="宋体"/>
                <w:bCs/>
                <w:color w:val="auto"/>
                <w:kern w:val="0"/>
                <w:sz w:val="24"/>
              </w:rPr>
              <w:t>应在</w:t>
            </w:r>
            <w:r>
              <w:rPr>
                <w:rFonts w:hint="eastAsia" w:ascii="宋体" w:hAnsi="宋体" w:cs="宋体"/>
                <w:bCs/>
                <w:color w:val="auto"/>
                <w:kern w:val="0"/>
                <w:sz w:val="24"/>
              </w:rPr>
              <w:t>政采云平台：http://www.zcygov.cn</w:t>
            </w:r>
            <w:r>
              <w:rPr>
                <w:rFonts w:hint="default" w:ascii="宋体" w:hAnsi="宋体" w:cs="宋体"/>
                <w:bCs/>
                <w:color w:val="auto"/>
                <w:kern w:val="0"/>
                <w:sz w:val="24"/>
              </w:rPr>
              <w:t>获取</w:t>
            </w:r>
            <w:r>
              <w:rPr>
                <w:rFonts w:hint="eastAsia" w:ascii="宋体" w:hAnsi="宋体" w:cs="宋体"/>
                <w:bCs/>
                <w:color w:val="auto"/>
                <w:kern w:val="0"/>
                <w:sz w:val="24"/>
              </w:rPr>
              <w:t>竞争性磋商文件</w:t>
            </w:r>
            <w:r>
              <w:rPr>
                <w:rFonts w:hint="default" w:ascii="宋体" w:hAnsi="宋体" w:cs="宋体"/>
                <w:bCs/>
                <w:color w:val="auto"/>
                <w:kern w:val="0"/>
                <w:sz w:val="24"/>
              </w:rPr>
              <w:t>，并于</w:t>
            </w:r>
            <w:r>
              <w:rPr>
                <w:rFonts w:hint="eastAsia" w:ascii="宋体" w:hAnsi="宋体" w:cs="宋体"/>
                <w:bCs/>
                <w:color w:val="auto"/>
                <w:kern w:val="0"/>
                <w:sz w:val="24"/>
              </w:rPr>
              <w:t>202</w:t>
            </w:r>
            <w:r>
              <w:rPr>
                <w:rFonts w:hint="eastAsia" w:ascii="宋体" w:hAnsi="宋体" w:cs="宋体"/>
                <w:bCs/>
                <w:color w:val="auto"/>
                <w:kern w:val="0"/>
                <w:sz w:val="24"/>
                <w:lang w:val="en-US" w:eastAsia="zh-CN"/>
              </w:rPr>
              <w:t>5</w:t>
            </w:r>
            <w:r>
              <w:rPr>
                <w:rFonts w:hint="default" w:ascii="宋体" w:hAnsi="宋体" w:cs="宋体"/>
                <w:bCs/>
                <w:color w:val="auto"/>
                <w:kern w:val="0"/>
                <w:sz w:val="24"/>
              </w:rPr>
              <w:t>年</w:t>
            </w:r>
            <w:r>
              <w:rPr>
                <w:rFonts w:hint="eastAsia" w:ascii="宋体" w:hAnsi="宋体" w:cs="宋体"/>
                <w:bCs/>
                <w:color w:val="auto"/>
                <w:kern w:val="0"/>
                <w:sz w:val="24"/>
                <w:lang w:val="en-US" w:eastAsia="zh-CN"/>
              </w:rPr>
              <w:t>05</w:t>
            </w:r>
            <w:r>
              <w:rPr>
                <w:rFonts w:hint="default" w:ascii="宋体" w:hAnsi="宋体" w:cs="宋体"/>
                <w:bCs/>
                <w:color w:val="auto"/>
                <w:kern w:val="0"/>
                <w:sz w:val="24"/>
              </w:rPr>
              <w:t>月</w:t>
            </w:r>
            <w:r>
              <w:rPr>
                <w:rFonts w:hint="eastAsia" w:ascii="宋体" w:hAnsi="宋体" w:cs="宋体"/>
                <w:bCs/>
                <w:color w:val="auto"/>
                <w:kern w:val="0"/>
                <w:sz w:val="24"/>
                <w:lang w:val="en-US" w:eastAsia="zh-CN"/>
              </w:rPr>
              <w:t>08</w:t>
            </w:r>
            <w:r>
              <w:rPr>
                <w:rFonts w:hint="default" w:ascii="宋体" w:hAnsi="宋体" w:cs="宋体"/>
                <w:bCs/>
                <w:color w:val="auto"/>
                <w:kern w:val="0"/>
                <w:sz w:val="24"/>
              </w:rPr>
              <w:t>日</w:t>
            </w:r>
            <w:r>
              <w:rPr>
                <w:rFonts w:hint="eastAsia" w:ascii="宋体" w:hAnsi="宋体" w:cs="宋体"/>
                <w:bCs/>
                <w:color w:val="auto"/>
                <w:kern w:val="0"/>
                <w:sz w:val="24"/>
                <w:lang w:val="en-US" w:eastAsia="zh-CN"/>
              </w:rPr>
              <w:t>11</w:t>
            </w:r>
            <w:r>
              <w:rPr>
                <w:rFonts w:hint="eastAsia" w:ascii="宋体" w:hAnsi="宋体" w:cs="宋体"/>
                <w:bCs/>
                <w:color w:val="auto"/>
                <w:kern w:val="0"/>
                <w:sz w:val="24"/>
              </w:rPr>
              <w:t>：</w:t>
            </w:r>
            <w:r>
              <w:rPr>
                <w:rFonts w:hint="default" w:ascii="宋体" w:hAnsi="宋体" w:cs="宋体"/>
                <w:bCs/>
                <w:color w:val="auto"/>
                <w:kern w:val="0"/>
                <w:sz w:val="24"/>
              </w:rPr>
              <w:t>00（北京时间）前</w:t>
            </w:r>
            <w:r>
              <w:rPr>
                <w:rFonts w:hint="eastAsia" w:ascii="宋体" w:hAnsi="宋体" w:cs="宋体"/>
                <w:bCs/>
                <w:color w:val="auto"/>
                <w:kern w:val="0"/>
                <w:sz w:val="24"/>
              </w:rPr>
              <w:t>递交投标响应文件</w:t>
            </w:r>
            <w:r>
              <w:rPr>
                <w:rFonts w:hint="default" w:ascii="宋体" w:hAnsi="宋体" w:cs="宋体"/>
                <w:bCs/>
                <w:color w:val="auto"/>
                <w:kern w:val="0"/>
                <w:sz w:val="24"/>
              </w:rPr>
              <w:t>。</w:t>
            </w:r>
          </w:p>
        </w:tc>
      </w:tr>
    </w:tbl>
    <w:p w14:paraId="3B2DD24C">
      <w:pPr>
        <w:spacing w:line="360" w:lineRule="auto"/>
        <w:ind w:firstLine="482" w:firstLineChars="200"/>
        <w:rPr>
          <w:rFonts w:hint="eastAsia" w:ascii="宋体" w:hAnsi="宋体" w:cs="宋体"/>
          <w:b/>
          <w:color w:val="auto"/>
          <w:kern w:val="0"/>
          <w:sz w:val="24"/>
        </w:rPr>
      </w:pPr>
      <w:r>
        <w:rPr>
          <w:rFonts w:ascii="宋体" w:hAnsi="宋体" w:cs="宋体"/>
          <w:b/>
          <w:color w:val="auto"/>
          <w:kern w:val="0"/>
          <w:sz w:val="24"/>
        </w:rPr>
        <w:t>一、项目基本情况</w:t>
      </w:r>
    </w:p>
    <w:p w14:paraId="3E3D2D9D">
      <w:pPr>
        <w:spacing w:line="360" w:lineRule="auto"/>
        <w:ind w:firstLine="480" w:firstLineChars="200"/>
        <w:rPr>
          <w:rFonts w:hint="eastAsia" w:ascii="宋体" w:hAnsi="宋体" w:eastAsia="宋体" w:cs="宋体"/>
          <w:bCs/>
          <w:color w:val="auto"/>
          <w:kern w:val="0"/>
          <w:sz w:val="24"/>
          <w:lang w:val="en-US" w:eastAsia="zh-CN"/>
        </w:rPr>
      </w:pPr>
      <w:r>
        <w:rPr>
          <w:rFonts w:ascii="宋体" w:hAnsi="宋体" w:cs="宋体"/>
          <w:bCs/>
          <w:color w:val="auto"/>
          <w:kern w:val="0"/>
          <w:sz w:val="24"/>
        </w:rPr>
        <w:t>项目编号：</w:t>
      </w:r>
      <w:r>
        <w:rPr>
          <w:rFonts w:hint="eastAsia" w:ascii="宋体" w:hAnsi="宋体" w:cs="宋体"/>
          <w:bCs/>
          <w:color w:val="auto"/>
          <w:kern w:val="0"/>
          <w:sz w:val="24"/>
          <w:lang w:eastAsia="zh-CN"/>
        </w:rPr>
        <w:t>NO.2025（HZXR)016</w:t>
      </w:r>
    </w:p>
    <w:p w14:paraId="146C2635">
      <w:pPr>
        <w:spacing w:line="360" w:lineRule="auto"/>
        <w:ind w:firstLine="480" w:firstLineChars="200"/>
        <w:rPr>
          <w:rFonts w:hint="eastAsia" w:ascii="宋体" w:hAnsi="宋体" w:eastAsia="宋体" w:cs="宋体"/>
          <w:bCs/>
          <w:color w:val="auto"/>
          <w:kern w:val="0"/>
          <w:sz w:val="24"/>
          <w:lang w:eastAsia="zh-CN"/>
        </w:rPr>
      </w:pPr>
      <w:r>
        <w:rPr>
          <w:rFonts w:ascii="宋体" w:hAnsi="宋体" w:cs="宋体"/>
          <w:bCs/>
          <w:color w:val="auto"/>
          <w:kern w:val="0"/>
          <w:sz w:val="24"/>
        </w:rPr>
        <w:t>项目名称：</w:t>
      </w:r>
      <w:r>
        <w:rPr>
          <w:rFonts w:hint="eastAsia" w:ascii="宋体" w:hAnsi="宋体" w:cs="宋体"/>
          <w:bCs/>
          <w:color w:val="auto"/>
          <w:kern w:val="0"/>
          <w:sz w:val="24"/>
          <w:lang w:eastAsia="zh-CN"/>
        </w:rPr>
        <w:t>2024年喀什地区乡村医生中医药适宜技术推广项目</w:t>
      </w:r>
    </w:p>
    <w:p w14:paraId="74063D4A">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采购方式：</w:t>
      </w:r>
      <w:r>
        <w:rPr>
          <w:rFonts w:hint="eastAsia" w:ascii="宋体" w:hAnsi="宋体" w:cs="宋体"/>
          <w:bCs/>
          <w:color w:val="auto"/>
          <w:kern w:val="0"/>
          <w:sz w:val="24"/>
        </w:rPr>
        <w:t>竞争性磋商</w:t>
      </w:r>
    </w:p>
    <w:p w14:paraId="2C130866">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预算金额（元）：</w:t>
      </w:r>
      <w:r>
        <w:rPr>
          <w:rFonts w:hint="eastAsia" w:ascii="宋体" w:hAnsi="宋体" w:cs="宋体"/>
          <w:bCs/>
          <w:color w:val="auto"/>
          <w:kern w:val="0"/>
          <w:sz w:val="24"/>
          <w:lang w:val="en-US" w:eastAsia="zh-CN"/>
        </w:rPr>
        <w:t>1800000.00</w:t>
      </w:r>
      <w:r>
        <w:rPr>
          <w:rFonts w:hint="eastAsia" w:ascii="宋体" w:hAnsi="宋体" w:cs="宋体"/>
          <w:bCs/>
          <w:color w:val="auto"/>
          <w:kern w:val="0"/>
          <w:sz w:val="24"/>
        </w:rPr>
        <w:t>元</w:t>
      </w:r>
    </w:p>
    <w:p w14:paraId="100E4956">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最高限价（元）：</w:t>
      </w:r>
      <w:r>
        <w:rPr>
          <w:rFonts w:hint="eastAsia" w:ascii="宋体" w:hAnsi="宋体" w:cs="宋体"/>
          <w:bCs/>
          <w:color w:val="auto"/>
          <w:kern w:val="0"/>
          <w:sz w:val="24"/>
          <w:lang w:val="en-US" w:eastAsia="zh-CN"/>
        </w:rPr>
        <w:t>1800000.00</w:t>
      </w:r>
      <w:r>
        <w:rPr>
          <w:rFonts w:hint="eastAsia" w:ascii="宋体" w:hAnsi="宋体" w:cs="宋体"/>
          <w:bCs/>
          <w:color w:val="auto"/>
          <w:kern w:val="0"/>
          <w:sz w:val="24"/>
        </w:rPr>
        <w:t>元</w:t>
      </w:r>
    </w:p>
    <w:p w14:paraId="66931DF1">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采购需求：</w:t>
      </w:r>
    </w:p>
    <w:tbl>
      <w:tblPr>
        <w:tblStyle w:val="33"/>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5"/>
        <w:gridCol w:w="2172"/>
        <w:gridCol w:w="1017"/>
        <w:gridCol w:w="1200"/>
        <w:gridCol w:w="825"/>
        <w:gridCol w:w="2824"/>
        <w:gridCol w:w="673"/>
      </w:tblGrid>
      <w:tr w14:paraId="38C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4" w:hRule="atLeast"/>
          <w:jc w:val="center"/>
        </w:trPr>
        <w:tc>
          <w:tcPr>
            <w:tcW w:w="905" w:type="dxa"/>
            <w:tcMar>
              <w:top w:w="75" w:type="dxa"/>
              <w:left w:w="150" w:type="dxa"/>
              <w:bottom w:w="75" w:type="dxa"/>
              <w:right w:w="150" w:type="dxa"/>
            </w:tcMar>
            <w:vAlign w:val="center"/>
          </w:tcPr>
          <w:p w14:paraId="44903D3C">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kern w:val="0"/>
                <w:sz w:val="24"/>
                <w:lang w:bidi="ar"/>
              </w:rPr>
              <w:t>标项序号</w:t>
            </w:r>
          </w:p>
        </w:tc>
        <w:tc>
          <w:tcPr>
            <w:tcW w:w="2172" w:type="dxa"/>
            <w:tcMar>
              <w:top w:w="75" w:type="dxa"/>
              <w:left w:w="150" w:type="dxa"/>
              <w:bottom w:w="75" w:type="dxa"/>
              <w:right w:w="150" w:type="dxa"/>
            </w:tcMar>
            <w:vAlign w:val="center"/>
          </w:tcPr>
          <w:p w14:paraId="637827DA">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kern w:val="0"/>
                <w:sz w:val="24"/>
                <w:lang w:bidi="ar"/>
              </w:rPr>
              <w:t>标项名称</w:t>
            </w:r>
          </w:p>
        </w:tc>
        <w:tc>
          <w:tcPr>
            <w:tcW w:w="1017" w:type="dxa"/>
            <w:tcMar>
              <w:top w:w="75" w:type="dxa"/>
              <w:left w:w="150" w:type="dxa"/>
              <w:bottom w:w="75" w:type="dxa"/>
              <w:right w:w="150" w:type="dxa"/>
            </w:tcMar>
            <w:vAlign w:val="center"/>
          </w:tcPr>
          <w:p w14:paraId="1D96552F">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kern w:val="0"/>
                <w:sz w:val="24"/>
                <w:lang w:bidi="ar"/>
              </w:rPr>
              <w:t>数量</w:t>
            </w:r>
          </w:p>
        </w:tc>
        <w:tc>
          <w:tcPr>
            <w:tcW w:w="1200" w:type="dxa"/>
            <w:tcMar>
              <w:top w:w="75" w:type="dxa"/>
              <w:left w:w="150" w:type="dxa"/>
              <w:bottom w:w="75" w:type="dxa"/>
              <w:right w:w="150" w:type="dxa"/>
            </w:tcMar>
            <w:vAlign w:val="center"/>
          </w:tcPr>
          <w:p w14:paraId="59F6D188">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kern w:val="0"/>
                <w:sz w:val="24"/>
                <w:lang w:bidi="ar"/>
              </w:rPr>
              <w:t>采购金额(元)</w:t>
            </w:r>
          </w:p>
        </w:tc>
        <w:tc>
          <w:tcPr>
            <w:tcW w:w="825" w:type="dxa"/>
            <w:tcMar>
              <w:top w:w="75" w:type="dxa"/>
              <w:left w:w="150" w:type="dxa"/>
              <w:bottom w:w="75" w:type="dxa"/>
              <w:right w:w="150" w:type="dxa"/>
            </w:tcMar>
            <w:vAlign w:val="center"/>
          </w:tcPr>
          <w:p w14:paraId="2D5175A6">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kern w:val="0"/>
                <w:sz w:val="24"/>
                <w:lang w:bidi="ar"/>
              </w:rPr>
              <w:t>单位</w:t>
            </w:r>
          </w:p>
        </w:tc>
        <w:tc>
          <w:tcPr>
            <w:tcW w:w="2824" w:type="dxa"/>
            <w:tcMar>
              <w:top w:w="75" w:type="dxa"/>
              <w:left w:w="150" w:type="dxa"/>
              <w:bottom w:w="75" w:type="dxa"/>
              <w:right w:w="150" w:type="dxa"/>
            </w:tcMar>
            <w:vAlign w:val="center"/>
          </w:tcPr>
          <w:p w14:paraId="3D30282F">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kern w:val="0"/>
                <w:sz w:val="24"/>
                <w:lang w:bidi="ar"/>
              </w:rPr>
              <w:t>简要规格描述</w:t>
            </w:r>
          </w:p>
        </w:tc>
        <w:tc>
          <w:tcPr>
            <w:tcW w:w="673" w:type="dxa"/>
            <w:tcMar>
              <w:top w:w="75" w:type="dxa"/>
              <w:left w:w="150" w:type="dxa"/>
              <w:bottom w:w="75" w:type="dxa"/>
              <w:right w:w="150" w:type="dxa"/>
            </w:tcMar>
            <w:vAlign w:val="center"/>
          </w:tcPr>
          <w:p w14:paraId="2C3D80DD">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kern w:val="0"/>
                <w:sz w:val="24"/>
                <w:lang w:bidi="ar"/>
              </w:rPr>
              <w:t>备注</w:t>
            </w:r>
          </w:p>
        </w:tc>
      </w:tr>
      <w:tr w14:paraId="7B09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84" w:hRule="atLeast"/>
          <w:jc w:val="center"/>
        </w:trPr>
        <w:tc>
          <w:tcPr>
            <w:tcW w:w="905" w:type="dxa"/>
            <w:tcMar>
              <w:top w:w="75" w:type="dxa"/>
              <w:left w:w="150" w:type="dxa"/>
              <w:bottom w:w="75" w:type="dxa"/>
              <w:right w:w="150" w:type="dxa"/>
            </w:tcMar>
            <w:vAlign w:val="center"/>
          </w:tcPr>
          <w:p w14:paraId="4FFD9061">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kern w:val="0"/>
                <w:sz w:val="24"/>
                <w:lang w:bidi="ar"/>
              </w:rPr>
            </w:pPr>
            <w:r>
              <w:rPr>
                <w:rFonts w:hint="eastAsia" w:ascii="宋体" w:hAnsi="宋体" w:cs="宋体"/>
                <w:color w:val="auto"/>
                <w:kern w:val="0"/>
                <w:sz w:val="24"/>
                <w:lang w:bidi="ar"/>
              </w:rPr>
              <w:t>1</w:t>
            </w:r>
          </w:p>
        </w:tc>
        <w:tc>
          <w:tcPr>
            <w:tcW w:w="2172" w:type="dxa"/>
            <w:tcMar>
              <w:top w:w="75" w:type="dxa"/>
              <w:left w:w="150" w:type="dxa"/>
              <w:bottom w:w="75" w:type="dxa"/>
              <w:right w:w="150" w:type="dxa"/>
            </w:tcMar>
            <w:vAlign w:val="center"/>
          </w:tcPr>
          <w:p w14:paraId="46EC4D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lang w:eastAsia="zh-CN" w:bidi="ar"/>
              </w:rPr>
            </w:pPr>
            <w:r>
              <w:rPr>
                <w:rFonts w:hint="eastAsia" w:ascii="宋体" w:hAnsi="宋体" w:cs="宋体"/>
                <w:bCs/>
                <w:color w:val="auto"/>
                <w:kern w:val="0"/>
                <w:sz w:val="24"/>
                <w:lang w:eastAsia="zh-CN"/>
              </w:rPr>
              <w:t>2024年喀什地区乡村医生中医药适宜技术推广项目</w:t>
            </w:r>
          </w:p>
        </w:tc>
        <w:tc>
          <w:tcPr>
            <w:tcW w:w="1017" w:type="dxa"/>
            <w:tcMar>
              <w:top w:w="75" w:type="dxa"/>
              <w:left w:w="150" w:type="dxa"/>
              <w:bottom w:w="75" w:type="dxa"/>
              <w:right w:w="150" w:type="dxa"/>
            </w:tcMar>
            <w:vAlign w:val="center"/>
          </w:tcPr>
          <w:p w14:paraId="71546DF5">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lang w:bidi="ar"/>
              </w:rPr>
            </w:pPr>
            <w:r>
              <w:rPr>
                <w:rFonts w:hint="eastAsia" w:ascii="宋体" w:hAnsi="宋体" w:cs="宋体"/>
                <w:color w:val="auto"/>
                <w:kern w:val="0"/>
                <w:sz w:val="24"/>
                <w:lang w:bidi="ar"/>
              </w:rPr>
              <w:t>1</w:t>
            </w:r>
          </w:p>
        </w:tc>
        <w:tc>
          <w:tcPr>
            <w:tcW w:w="1200" w:type="dxa"/>
            <w:tcMar>
              <w:top w:w="75" w:type="dxa"/>
              <w:left w:w="150" w:type="dxa"/>
              <w:bottom w:w="75" w:type="dxa"/>
              <w:right w:w="150" w:type="dxa"/>
            </w:tcMar>
            <w:vAlign w:val="center"/>
          </w:tcPr>
          <w:p w14:paraId="42096831">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lang w:val="en-US" w:bidi="ar"/>
              </w:rPr>
            </w:pPr>
            <w:r>
              <w:rPr>
                <w:rFonts w:hint="eastAsia" w:ascii="宋体" w:hAnsi="宋体" w:cs="宋体"/>
                <w:bCs/>
                <w:color w:val="auto"/>
                <w:kern w:val="0"/>
                <w:sz w:val="24"/>
                <w:lang w:val="en-US" w:eastAsia="zh-CN"/>
              </w:rPr>
              <w:t>1800000</w:t>
            </w:r>
          </w:p>
        </w:tc>
        <w:tc>
          <w:tcPr>
            <w:tcW w:w="825" w:type="dxa"/>
            <w:tcMar>
              <w:top w:w="75" w:type="dxa"/>
              <w:left w:w="150" w:type="dxa"/>
              <w:bottom w:w="75" w:type="dxa"/>
              <w:right w:w="150" w:type="dxa"/>
            </w:tcMar>
            <w:vAlign w:val="center"/>
          </w:tcPr>
          <w:p w14:paraId="2FE3AF46">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lang w:bidi="ar"/>
              </w:rPr>
            </w:pPr>
            <w:r>
              <w:rPr>
                <w:rFonts w:hint="eastAsia" w:ascii="宋体" w:hAnsi="宋体" w:cs="宋体"/>
                <w:color w:val="auto"/>
                <w:kern w:val="0"/>
                <w:sz w:val="24"/>
                <w:lang w:bidi="ar"/>
              </w:rPr>
              <w:t>批</w:t>
            </w:r>
          </w:p>
        </w:tc>
        <w:tc>
          <w:tcPr>
            <w:tcW w:w="2824" w:type="dxa"/>
            <w:tcMar>
              <w:top w:w="75" w:type="dxa"/>
              <w:left w:w="150" w:type="dxa"/>
              <w:bottom w:w="75" w:type="dxa"/>
              <w:right w:w="150" w:type="dxa"/>
            </w:tcMar>
            <w:vAlign w:val="center"/>
          </w:tcPr>
          <w:p w14:paraId="277D141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lang w:eastAsia="zh-CN" w:bidi="ar"/>
              </w:rPr>
            </w:pPr>
            <w:r>
              <w:rPr>
                <w:rFonts w:hint="eastAsia" w:ascii="宋体" w:hAnsi="宋体" w:eastAsia="宋体" w:cs="宋体"/>
                <w:color w:val="auto"/>
                <w:sz w:val="24"/>
                <w:szCs w:val="24"/>
                <w:highlight w:val="none"/>
              </w:rPr>
              <w:t>开展中医药服务能力提升培训，增强村卫生室中医药服务供给、中医药保健能力（具体内容详见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tc>
        <w:tc>
          <w:tcPr>
            <w:tcW w:w="673" w:type="dxa"/>
            <w:tcMar>
              <w:top w:w="75" w:type="dxa"/>
              <w:left w:w="150" w:type="dxa"/>
              <w:bottom w:w="75" w:type="dxa"/>
              <w:right w:w="150" w:type="dxa"/>
            </w:tcMar>
            <w:vAlign w:val="center"/>
          </w:tcPr>
          <w:p w14:paraId="5012790C">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kern w:val="0"/>
                <w:sz w:val="24"/>
                <w:lang w:bidi="ar"/>
              </w:rPr>
            </w:pPr>
            <w:r>
              <w:rPr>
                <w:rFonts w:hint="eastAsia" w:ascii="宋体" w:hAnsi="宋体" w:cs="宋体"/>
                <w:color w:val="auto"/>
                <w:kern w:val="0"/>
                <w:sz w:val="24"/>
                <w:lang w:bidi="ar"/>
              </w:rPr>
              <w:t>/</w:t>
            </w:r>
          </w:p>
        </w:tc>
      </w:tr>
    </w:tbl>
    <w:p w14:paraId="554975BE">
      <w:pPr>
        <w:pStyle w:val="30"/>
        <w:widowControl/>
        <w:spacing w:before="75" w:beforeAutospacing="0" w:after="75" w:afterAutospacing="0" w:line="360" w:lineRule="auto"/>
        <w:ind w:firstLine="42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rPr>
        <w:t>合同履行期限：</w:t>
      </w:r>
      <w:r>
        <w:rPr>
          <w:rFonts w:hint="eastAsia" w:ascii="宋体" w:hAnsi="宋体" w:cs="宋体"/>
          <w:color w:val="auto"/>
          <w:sz w:val="24"/>
          <w:highlight w:val="none"/>
          <w:lang w:eastAsia="zh-CN"/>
        </w:rPr>
        <w:t>按照三级阶梯分层级培养形式，逐步完成各类型培训。2025年6月之前完成，根据实际可调整时间。</w:t>
      </w:r>
    </w:p>
    <w:p w14:paraId="446CA430">
      <w:pPr>
        <w:pStyle w:val="30"/>
        <w:widowControl/>
        <w:spacing w:before="75" w:beforeAutospacing="0" w:after="75" w:afterAutospacing="0" w:line="360" w:lineRule="auto"/>
        <w:ind w:firstLine="420"/>
        <w:rPr>
          <w:rFonts w:hint="eastAsia" w:ascii="宋体" w:hAnsi="宋体" w:cs="宋体"/>
          <w:bCs/>
          <w:color w:val="auto"/>
          <w:kern w:val="0"/>
          <w:sz w:val="24"/>
        </w:rPr>
      </w:pPr>
      <w:r>
        <w:rPr>
          <w:rFonts w:ascii="宋体" w:hAnsi="宋体" w:cs="宋体"/>
          <w:bCs/>
          <w:color w:val="auto"/>
          <w:kern w:val="0"/>
          <w:sz w:val="24"/>
        </w:rPr>
        <w:t>本项目（</w:t>
      </w:r>
      <w:r>
        <w:rPr>
          <w:rFonts w:hint="eastAsia" w:ascii="宋体" w:hAnsi="宋体" w:cs="宋体"/>
          <w:bCs/>
          <w:color w:val="auto"/>
          <w:kern w:val="0"/>
          <w:sz w:val="24"/>
        </w:rPr>
        <w:t>否</w:t>
      </w:r>
      <w:r>
        <w:rPr>
          <w:rFonts w:ascii="宋体" w:hAnsi="宋体" w:cs="宋体"/>
          <w:bCs/>
          <w:color w:val="auto"/>
          <w:kern w:val="0"/>
          <w:sz w:val="24"/>
        </w:rPr>
        <w:t>）接受联合体。</w:t>
      </w:r>
    </w:p>
    <w:p w14:paraId="153B75D9">
      <w:pPr>
        <w:pStyle w:val="30"/>
        <w:widowControl/>
        <w:numPr>
          <w:ilvl w:val="0"/>
          <w:numId w:val="3"/>
        </w:numPr>
        <w:spacing w:before="75" w:beforeAutospacing="0" w:after="75" w:afterAutospacing="0" w:line="360" w:lineRule="auto"/>
        <w:ind w:firstLine="420"/>
        <w:rPr>
          <w:rFonts w:hint="eastAsia" w:ascii="宋体" w:hAnsi="宋体" w:cs="宋体"/>
          <w:b/>
          <w:color w:val="auto"/>
          <w:kern w:val="0"/>
          <w:sz w:val="24"/>
        </w:rPr>
      </w:pPr>
      <w:r>
        <w:rPr>
          <w:rFonts w:ascii="宋体" w:hAnsi="宋体" w:cs="宋体"/>
          <w:b/>
          <w:color w:val="auto"/>
          <w:kern w:val="0"/>
          <w:sz w:val="24"/>
        </w:rPr>
        <w:t>申请人的资格要求：</w:t>
      </w:r>
    </w:p>
    <w:p w14:paraId="4987A5C3">
      <w:pPr>
        <w:pStyle w:val="30"/>
        <w:widowControl/>
        <w:spacing w:before="75" w:beforeAutospacing="0" w:after="75" w:afterAutospacing="0"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1.</w:t>
      </w:r>
      <w:r>
        <w:rPr>
          <w:rFonts w:ascii="宋体" w:hAnsi="宋体" w:cs="宋体"/>
          <w:bCs/>
          <w:color w:val="auto"/>
          <w:kern w:val="0"/>
          <w:sz w:val="24"/>
        </w:rPr>
        <w:t>满足《中华人民共和国政府采购法》第二十二条规定；</w:t>
      </w:r>
    </w:p>
    <w:p w14:paraId="0D952800">
      <w:pPr>
        <w:pStyle w:val="30"/>
        <w:widowControl/>
        <w:spacing w:before="75" w:beforeAutospacing="0" w:after="75" w:afterAutospacing="0"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2.落实政府采购政策需满足的资格要求：</w:t>
      </w:r>
      <w:r>
        <w:rPr>
          <w:rFonts w:hint="eastAsia" w:ascii="宋体" w:hAnsi="宋体" w:cs="宋体"/>
          <w:bCs/>
          <w:color w:val="auto"/>
          <w:sz w:val="24"/>
          <w:lang w:val="en-US" w:eastAsia="zh-CN"/>
        </w:rPr>
        <w:t>无</w:t>
      </w:r>
      <w:r>
        <w:rPr>
          <w:rFonts w:hint="eastAsia" w:ascii="宋体" w:hAnsi="宋体" w:cs="宋体"/>
          <w:bCs/>
          <w:color w:val="auto"/>
          <w:sz w:val="24"/>
        </w:rPr>
        <w:t>。</w:t>
      </w:r>
    </w:p>
    <w:p w14:paraId="7BC2D7F7">
      <w:pPr>
        <w:pStyle w:val="30"/>
        <w:widowControl/>
        <w:spacing w:before="75" w:beforeAutospacing="0" w:after="75" w:afterAutospacing="0"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3.本项目的特定资格要求：</w:t>
      </w:r>
      <w:r>
        <w:rPr>
          <w:rFonts w:hint="eastAsia" w:ascii="宋体" w:hAnsi="宋体" w:cs="宋体"/>
          <w:bCs/>
          <w:color w:val="auto"/>
          <w:kern w:val="0"/>
          <w:sz w:val="24"/>
          <w:lang w:val="en-US" w:eastAsia="zh-CN"/>
        </w:rPr>
        <w:t>无</w:t>
      </w:r>
      <w:r>
        <w:rPr>
          <w:rFonts w:hint="eastAsia" w:ascii="宋体" w:hAnsi="宋体" w:cs="宋体"/>
          <w:bCs/>
          <w:color w:val="auto"/>
          <w:kern w:val="0"/>
          <w:sz w:val="24"/>
        </w:rPr>
        <w:t>。</w:t>
      </w:r>
    </w:p>
    <w:p w14:paraId="11040560">
      <w:pPr>
        <w:spacing w:line="360" w:lineRule="auto"/>
        <w:ind w:firstLine="482" w:firstLineChars="200"/>
        <w:rPr>
          <w:rFonts w:hint="eastAsia" w:ascii="宋体" w:hAnsi="宋体" w:cs="宋体"/>
          <w:b/>
          <w:color w:val="auto"/>
          <w:kern w:val="0"/>
          <w:sz w:val="24"/>
        </w:rPr>
      </w:pPr>
      <w:r>
        <w:rPr>
          <w:rFonts w:ascii="宋体" w:hAnsi="宋体" w:cs="宋体"/>
          <w:b/>
          <w:color w:val="auto"/>
          <w:kern w:val="0"/>
          <w:sz w:val="24"/>
        </w:rPr>
        <w:t>三、获取</w:t>
      </w:r>
      <w:r>
        <w:rPr>
          <w:rFonts w:hint="eastAsia" w:ascii="宋体" w:hAnsi="宋体" w:cs="宋体"/>
          <w:b/>
          <w:color w:val="auto"/>
          <w:kern w:val="0"/>
          <w:sz w:val="24"/>
        </w:rPr>
        <w:t>竞争性磋商文件</w:t>
      </w:r>
    </w:p>
    <w:p w14:paraId="2EFF2C20">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时间：</w:t>
      </w:r>
      <w:r>
        <w:rPr>
          <w:rFonts w:hint="eastAsia" w:ascii="宋体" w:hAnsi="宋体" w:cs="宋体"/>
          <w:bCs/>
          <w:color w:val="auto"/>
          <w:kern w:val="0"/>
          <w:sz w:val="24"/>
          <w:u w:val="single"/>
        </w:rPr>
        <w:t>202</w:t>
      </w:r>
      <w:r>
        <w:rPr>
          <w:rFonts w:hint="eastAsia" w:ascii="宋体" w:hAnsi="宋体" w:cs="宋体"/>
          <w:bCs/>
          <w:color w:val="auto"/>
          <w:kern w:val="0"/>
          <w:sz w:val="24"/>
          <w:u w:val="single"/>
          <w:lang w:val="en-US" w:eastAsia="zh-CN"/>
        </w:rPr>
        <w:t>5</w:t>
      </w:r>
      <w:r>
        <w:rPr>
          <w:rFonts w:ascii="宋体" w:hAnsi="宋体" w:cs="宋体"/>
          <w:bCs/>
          <w:color w:val="auto"/>
          <w:kern w:val="0"/>
          <w:sz w:val="24"/>
          <w:u w:val="single"/>
        </w:rPr>
        <w:t>年</w:t>
      </w:r>
      <w:r>
        <w:rPr>
          <w:rFonts w:hint="eastAsia" w:ascii="宋体" w:hAnsi="宋体" w:cs="宋体"/>
          <w:bCs/>
          <w:color w:val="auto"/>
          <w:kern w:val="0"/>
          <w:sz w:val="24"/>
          <w:u w:val="single"/>
          <w:lang w:val="en-US" w:eastAsia="zh-CN"/>
        </w:rPr>
        <w:t>04</w:t>
      </w:r>
      <w:r>
        <w:rPr>
          <w:rFonts w:ascii="宋体" w:hAnsi="宋体" w:cs="宋体"/>
          <w:bCs/>
          <w:color w:val="auto"/>
          <w:kern w:val="0"/>
          <w:sz w:val="24"/>
          <w:u w:val="single"/>
        </w:rPr>
        <w:t>月</w:t>
      </w:r>
      <w:r>
        <w:rPr>
          <w:rFonts w:hint="eastAsia" w:ascii="宋体" w:hAnsi="宋体" w:cs="宋体"/>
          <w:bCs/>
          <w:color w:val="auto"/>
          <w:kern w:val="0"/>
          <w:sz w:val="24"/>
          <w:u w:val="single"/>
          <w:lang w:val="en-US" w:eastAsia="zh-CN"/>
        </w:rPr>
        <w:t>24</w:t>
      </w:r>
      <w:r>
        <w:rPr>
          <w:rFonts w:ascii="宋体" w:hAnsi="宋体" w:cs="宋体"/>
          <w:bCs/>
          <w:color w:val="auto"/>
          <w:kern w:val="0"/>
          <w:sz w:val="24"/>
          <w:u w:val="single"/>
        </w:rPr>
        <w:t>日至</w:t>
      </w:r>
      <w:r>
        <w:rPr>
          <w:rFonts w:hint="eastAsia" w:ascii="宋体" w:hAnsi="宋体" w:cs="宋体"/>
          <w:bCs/>
          <w:color w:val="auto"/>
          <w:kern w:val="0"/>
          <w:sz w:val="24"/>
          <w:u w:val="single"/>
        </w:rPr>
        <w:t>202</w:t>
      </w:r>
      <w:r>
        <w:rPr>
          <w:rFonts w:hint="eastAsia" w:ascii="宋体" w:hAnsi="宋体" w:cs="宋体"/>
          <w:bCs/>
          <w:color w:val="auto"/>
          <w:kern w:val="0"/>
          <w:sz w:val="24"/>
          <w:u w:val="single"/>
          <w:lang w:val="en-US" w:eastAsia="zh-CN"/>
        </w:rPr>
        <w:t>5</w:t>
      </w:r>
      <w:r>
        <w:rPr>
          <w:rFonts w:ascii="宋体" w:hAnsi="宋体" w:cs="宋体"/>
          <w:bCs/>
          <w:color w:val="auto"/>
          <w:kern w:val="0"/>
          <w:sz w:val="24"/>
          <w:u w:val="single"/>
        </w:rPr>
        <w:t>年</w:t>
      </w:r>
      <w:r>
        <w:rPr>
          <w:rFonts w:hint="eastAsia" w:ascii="宋体" w:hAnsi="宋体" w:cs="宋体"/>
          <w:bCs/>
          <w:color w:val="auto"/>
          <w:kern w:val="0"/>
          <w:sz w:val="24"/>
          <w:u w:val="single"/>
          <w:lang w:val="en-US" w:eastAsia="zh-CN"/>
        </w:rPr>
        <w:t>04</w:t>
      </w:r>
      <w:r>
        <w:rPr>
          <w:rFonts w:ascii="宋体" w:hAnsi="宋体" w:cs="宋体"/>
          <w:bCs/>
          <w:color w:val="auto"/>
          <w:kern w:val="0"/>
          <w:sz w:val="24"/>
          <w:u w:val="single"/>
        </w:rPr>
        <w:t>月</w:t>
      </w:r>
      <w:r>
        <w:rPr>
          <w:rFonts w:hint="eastAsia" w:ascii="宋体" w:hAnsi="宋体" w:cs="宋体"/>
          <w:bCs/>
          <w:color w:val="auto"/>
          <w:kern w:val="0"/>
          <w:sz w:val="24"/>
          <w:u w:val="single"/>
          <w:lang w:val="en-US" w:eastAsia="zh-CN"/>
        </w:rPr>
        <w:t>30</w:t>
      </w:r>
      <w:r>
        <w:rPr>
          <w:rFonts w:ascii="宋体" w:hAnsi="宋体" w:cs="宋体"/>
          <w:bCs/>
          <w:color w:val="auto"/>
          <w:kern w:val="0"/>
          <w:sz w:val="24"/>
          <w:u w:val="single"/>
        </w:rPr>
        <w:t>日</w:t>
      </w:r>
      <w:r>
        <w:rPr>
          <w:rFonts w:ascii="宋体" w:hAnsi="宋体" w:cs="宋体"/>
          <w:bCs/>
          <w:color w:val="auto"/>
          <w:kern w:val="0"/>
          <w:sz w:val="24"/>
        </w:rPr>
        <w:t>，每天上午</w:t>
      </w:r>
      <w:r>
        <w:rPr>
          <w:rFonts w:hint="eastAsia" w:ascii="宋体" w:hAnsi="宋体" w:cs="宋体"/>
          <w:bCs/>
          <w:color w:val="auto"/>
          <w:kern w:val="0"/>
          <w:sz w:val="24"/>
        </w:rPr>
        <w:t>00</w:t>
      </w:r>
      <w:r>
        <w:rPr>
          <w:rFonts w:ascii="宋体" w:hAnsi="宋体" w:cs="宋体"/>
          <w:bCs/>
          <w:color w:val="auto"/>
          <w:kern w:val="0"/>
          <w:sz w:val="24"/>
        </w:rPr>
        <w:t>:</w:t>
      </w:r>
      <w:r>
        <w:rPr>
          <w:rFonts w:hint="eastAsia" w:ascii="宋体" w:hAnsi="宋体" w:cs="宋体"/>
          <w:bCs/>
          <w:color w:val="auto"/>
          <w:kern w:val="0"/>
          <w:sz w:val="24"/>
        </w:rPr>
        <w:t>0</w:t>
      </w:r>
      <w:r>
        <w:rPr>
          <w:rFonts w:ascii="宋体" w:hAnsi="宋体" w:cs="宋体"/>
          <w:bCs/>
          <w:color w:val="auto"/>
          <w:kern w:val="0"/>
          <w:sz w:val="24"/>
        </w:rPr>
        <w:t>0至</w:t>
      </w:r>
      <w:r>
        <w:rPr>
          <w:rFonts w:hint="eastAsia" w:ascii="宋体" w:hAnsi="宋体" w:cs="宋体"/>
          <w:bCs/>
          <w:color w:val="auto"/>
          <w:kern w:val="0"/>
          <w:sz w:val="24"/>
        </w:rPr>
        <w:t>12</w:t>
      </w:r>
      <w:r>
        <w:rPr>
          <w:rFonts w:ascii="宋体" w:hAnsi="宋体" w:cs="宋体"/>
          <w:bCs/>
          <w:color w:val="auto"/>
          <w:kern w:val="0"/>
          <w:sz w:val="24"/>
        </w:rPr>
        <w:t>:</w:t>
      </w:r>
      <w:r>
        <w:rPr>
          <w:rFonts w:hint="eastAsia" w:ascii="宋体" w:hAnsi="宋体" w:cs="宋体"/>
          <w:bCs/>
          <w:color w:val="auto"/>
          <w:kern w:val="0"/>
          <w:sz w:val="24"/>
        </w:rPr>
        <w:t>0</w:t>
      </w:r>
      <w:r>
        <w:rPr>
          <w:rFonts w:ascii="宋体" w:hAnsi="宋体" w:cs="宋体"/>
          <w:bCs/>
          <w:color w:val="auto"/>
          <w:kern w:val="0"/>
          <w:sz w:val="24"/>
        </w:rPr>
        <w:t>0，下午</w:t>
      </w:r>
      <w:r>
        <w:rPr>
          <w:rFonts w:hint="eastAsia" w:ascii="宋体" w:hAnsi="宋体" w:cs="宋体"/>
          <w:bCs/>
          <w:color w:val="auto"/>
          <w:kern w:val="0"/>
          <w:sz w:val="24"/>
        </w:rPr>
        <w:t>12</w:t>
      </w:r>
      <w:r>
        <w:rPr>
          <w:rFonts w:ascii="宋体" w:hAnsi="宋体" w:cs="宋体"/>
          <w:bCs/>
          <w:color w:val="auto"/>
          <w:kern w:val="0"/>
          <w:sz w:val="24"/>
        </w:rPr>
        <w:t>:</w:t>
      </w:r>
      <w:r>
        <w:rPr>
          <w:rFonts w:hint="eastAsia" w:ascii="宋体" w:hAnsi="宋体" w:cs="宋体"/>
          <w:bCs/>
          <w:color w:val="auto"/>
          <w:kern w:val="0"/>
          <w:sz w:val="24"/>
        </w:rPr>
        <w:t>01</w:t>
      </w:r>
      <w:r>
        <w:rPr>
          <w:rFonts w:ascii="宋体" w:hAnsi="宋体" w:cs="宋体"/>
          <w:bCs/>
          <w:color w:val="auto"/>
          <w:kern w:val="0"/>
          <w:sz w:val="24"/>
        </w:rPr>
        <w:t>至</w:t>
      </w:r>
      <w:r>
        <w:rPr>
          <w:rFonts w:hint="eastAsia" w:ascii="宋体" w:hAnsi="宋体" w:cs="宋体"/>
          <w:bCs/>
          <w:color w:val="auto"/>
          <w:kern w:val="0"/>
          <w:sz w:val="24"/>
        </w:rPr>
        <w:t>23</w:t>
      </w:r>
      <w:r>
        <w:rPr>
          <w:rFonts w:ascii="宋体" w:hAnsi="宋体" w:cs="宋体"/>
          <w:bCs/>
          <w:color w:val="auto"/>
          <w:kern w:val="0"/>
          <w:sz w:val="24"/>
        </w:rPr>
        <w:t>:</w:t>
      </w:r>
      <w:r>
        <w:rPr>
          <w:rFonts w:hint="eastAsia" w:ascii="宋体" w:hAnsi="宋体" w:cs="宋体"/>
          <w:bCs/>
          <w:color w:val="auto"/>
          <w:kern w:val="0"/>
          <w:sz w:val="24"/>
        </w:rPr>
        <w:t>59</w:t>
      </w:r>
      <w:r>
        <w:rPr>
          <w:rFonts w:ascii="宋体" w:hAnsi="宋体" w:cs="宋体"/>
          <w:bCs/>
          <w:color w:val="auto"/>
          <w:kern w:val="0"/>
          <w:sz w:val="24"/>
        </w:rPr>
        <w:t>（</w:t>
      </w:r>
      <w:r>
        <w:rPr>
          <w:rFonts w:hint="eastAsia" w:ascii="宋体" w:hAnsi="宋体" w:cs="宋体"/>
          <w:bCs/>
          <w:color w:val="auto"/>
          <w:kern w:val="0"/>
          <w:sz w:val="24"/>
        </w:rPr>
        <w:t>北京时间，法定节假日除外</w:t>
      </w:r>
      <w:r>
        <w:rPr>
          <w:rFonts w:ascii="宋体" w:hAnsi="宋体" w:cs="宋体"/>
          <w:bCs/>
          <w:color w:val="auto"/>
          <w:kern w:val="0"/>
          <w:sz w:val="24"/>
        </w:rPr>
        <w:t>）</w:t>
      </w:r>
    </w:p>
    <w:p w14:paraId="79F6E8B4">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地点：</w:t>
      </w:r>
      <w:r>
        <w:rPr>
          <w:rFonts w:hint="eastAsia" w:ascii="宋体" w:hAnsi="宋体" w:cs="宋体"/>
          <w:bCs/>
          <w:color w:val="auto"/>
          <w:kern w:val="0"/>
          <w:sz w:val="24"/>
        </w:rPr>
        <w:t>政采云平台：http://www.zcygov.cn</w:t>
      </w:r>
    </w:p>
    <w:p w14:paraId="00A95C90">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方式：</w:t>
      </w:r>
      <w:r>
        <w:rPr>
          <w:rFonts w:hint="eastAsia" w:ascii="宋体" w:hAnsi="宋体" w:cs="宋体"/>
          <w:bCs/>
          <w:color w:val="auto"/>
          <w:kern w:val="0"/>
          <w:sz w:val="24"/>
        </w:rPr>
        <w:t>供</w:t>
      </w:r>
      <w:r>
        <w:rPr>
          <w:rFonts w:hint="eastAsia" w:ascii="宋体" w:hAnsi="宋体" w:cs="宋体"/>
          <w:bCs/>
          <w:color w:val="auto"/>
          <w:kern w:val="0"/>
          <w:sz w:val="24"/>
          <w:highlight w:val="none"/>
        </w:rPr>
        <w:t>应商登录政采云平</w:t>
      </w:r>
      <w:r>
        <w:rPr>
          <w:rFonts w:hint="eastAsia" w:ascii="宋体" w:hAnsi="宋体" w:cs="宋体"/>
          <w:bCs/>
          <w:color w:val="auto"/>
          <w:kern w:val="0"/>
          <w:sz w:val="24"/>
        </w:rPr>
        <w:t>台在线申请获取竞争性磋商文件（进入“项目采购”应用，在获取竞争性磋商文件菜单中选择项目，申请获取竞争性磋商文件）</w:t>
      </w:r>
    </w:p>
    <w:p w14:paraId="32A999D9">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售价（元）：</w:t>
      </w:r>
      <w:r>
        <w:rPr>
          <w:rFonts w:hint="eastAsia" w:ascii="宋体" w:hAnsi="宋体" w:cs="宋体"/>
          <w:bCs/>
          <w:color w:val="auto"/>
          <w:kern w:val="0"/>
          <w:sz w:val="24"/>
        </w:rPr>
        <w:t>0</w:t>
      </w:r>
      <w:bookmarkStart w:id="310" w:name="_GoBack"/>
      <w:bookmarkEnd w:id="310"/>
    </w:p>
    <w:p w14:paraId="14E25F95">
      <w:pPr>
        <w:spacing w:line="360" w:lineRule="auto"/>
        <w:ind w:firstLine="482" w:firstLineChars="200"/>
        <w:rPr>
          <w:rFonts w:hint="eastAsia" w:ascii="宋体" w:hAnsi="宋体" w:cs="宋体"/>
          <w:b/>
          <w:color w:val="auto"/>
          <w:kern w:val="0"/>
          <w:sz w:val="24"/>
        </w:rPr>
      </w:pPr>
      <w:r>
        <w:rPr>
          <w:rFonts w:ascii="宋体" w:hAnsi="宋体" w:cs="宋体"/>
          <w:b/>
          <w:color w:val="auto"/>
          <w:kern w:val="0"/>
          <w:sz w:val="24"/>
        </w:rPr>
        <w:t>四、</w:t>
      </w:r>
      <w:r>
        <w:rPr>
          <w:rFonts w:hint="eastAsia" w:ascii="宋体" w:hAnsi="宋体" w:cs="宋体"/>
          <w:b/>
          <w:color w:val="auto"/>
          <w:kern w:val="0"/>
          <w:sz w:val="24"/>
        </w:rPr>
        <w:t>提交投标响应文件截止时间、开标时间和地点</w:t>
      </w:r>
    </w:p>
    <w:p w14:paraId="034B8D60">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提交投标响应文件</w:t>
      </w:r>
      <w:r>
        <w:rPr>
          <w:rFonts w:ascii="宋体" w:hAnsi="宋体" w:cs="宋体"/>
          <w:bCs/>
          <w:color w:val="auto"/>
          <w:kern w:val="0"/>
          <w:sz w:val="24"/>
        </w:rPr>
        <w:t>截止时间：</w:t>
      </w:r>
      <w:r>
        <w:rPr>
          <w:rFonts w:hint="eastAsia" w:ascii="宋体" w:hAnsi="宋体" w:cs="宋体"/>
          <w:bCs/>
          <w:color w:val="auto"/>
          <w:kern w:val="0"/>
          <w:sz w:val="24"/>
          <w:u w:val="single"/>
        </w:rPr>
        <w:t>202</w:t>
      </w:r>
      <w:r>
        <w:rPr>
          <w:rFonts w:hint="eastAsia" w:ascii="宋体" w:hAnsi="宋体" w:cs="宋体"/>
          <w:bCs/>
          <w:color w:val="auto"/>
          <w:kern w:val="0"/>
          <w:sz w:val="24"/>
          <w:u w:val="single"/>
          <w:lang w:val="en-US" w:eastAsia="zh-CN"/>
        </w:rPr>
        <w:t>5</w:t>
      </w:r>
      <w:r>
        <w:rPr>
          <w:rFonts w:ascii="宋体" w:hAnsi="宋体" w:cs="宋体"/>
          <w:bCs/>
          <w:color w:val="auto"/>
          <w:kern w:val="0"/>
          <w:sz w:val="24"/>
          <w:u w:val="single"/>
        </w:rPr>
        <w:t>年</w:t>
      </w:r>
      <w:r>
        <w:rPr>
          <w:rFonts w:hint="eastAsia" w:ascii="宋体" w:hAnsi="宋体" w:cs="宋体"/>
          <w:bCs/>
          <w:color w:val="auto"/>
          <w:kern w:val="0"/>
          <w:sz w:val="24"/>
          <w:u w:val="single"/>
          <w:lang w:val="en-US" w:eastAsia="zh-CN"/>
        </w:rPr>
        <w:t>05</w:t>
      </w:r>
      <w:r>
        <w:rPr>
          <w:rFonts w:ascii="宋体" w:hAnsi="宋体" w:cs="宋体"/>
          <w:bCs/>
          <w:color w:val="auto"/>
          <w:kern w:val="0"/>
          <w:sz w:val="24"/>
          <w:u w:val="single"/>
        </w:rPr>
        <w:t>月</w:t>
      </w:r>
      <w:r>
        <w:rPr>
          <w:rFonts w:hint="eastAsia" w:ascii="宋体" w:hAnsi="宋体" w:cs="宋体"/>
          <w:bCs/>
          <w:color w:val="auto"/>
          <w:kern w:val="0"/>
          <w:sz w:val="24"/>
          <w:u w:val="single"/>
          <w:lang w:val="en-US" w:eastAsia="zh-CN"/>
        </w:rPr>
        <w:t>08</w:t>
      </w:r>
      <w:r>
        <w:rPr>
          <w:rFonts w:ascii="宋体" w:hAnsi="宋体" w:cs="宋体"/>
          <w:bCs/>
          <w:color w:val="auto"/>
          <w:kern w:val="0"/>
          <w:sz w:val="24"/>
          <w:u w:val="single"/>
        </w:rPr>
        <w:t>日</w:t>
      </w:r>
      <w:r>
        <w:rPr>
          <w:rFonts w:hint="eastAsia" w:ascii="宋体" w:hAnsi="宋体" w:cs="宋体"/>
          <w:bCs/>
          <w:color w:val="auto"/>
          <w:kern w:val="0"/>
          <w:sz w:val="24"/>
          <w:u w:val="single"/>
          <w:lang w:val="en-US" w:eastAsia="zh-CN"/>
        </w:rPr>
        <w:t>11</w:t>
      </w:r>
      <w:r>
        <w:rPr>
          <w:rFonts w:ascii="宋体" w:hAnsi="宋体" w:cs="宋体"/>
          <w:bCs/>
          <w:color w:val="auto"/>
          <w:kern w:val="0"/>
          <w:sz w:val="24"/>
          <w:u w:val="single"/>
        </w:rPr>
        <w:t>:00</w:t>
      </w:r>
      <w:r>
        <w:rPr>
          <w:rFonts w:ascii="宋体" w:hAnsi="宋体" w:cs="宋体"/>
          <w:bCs/>
          <w:color w:val="auto"/>
          <w:kern w:val="0"/>
          <w:sz w:val="24"/>
        </w:rPr>
        <w:t>（北京时间）</w:t>
      </w:r>
    </w:p>
    <w:p w14:paraId="5F8BF3B1">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投标</w:t>
      </w:r>
      <w:r>
        <w:rPr>
          <w:rFonts w:ascii="宋体" w:hAnsi="宋体" w:cs="宋体"/>
          <w:bCs/>
          <w:color w:val="auto"/>
          <w:kern w:val="0"/>
          <w:sz w:val="24"/>
        </w:rPr>
        <w:t>地点：</w:t>
      </w:r>
      <w:r>
        <w:rPr>
          <w:rFonts w:hint="eastAsia" w:ascii="宋体" w:hAnsi="宋体" w:cs="宋体"/>
          <w:bCs/>
          <w:color w:val="auto"/>
          <w:kern w:val="0"/>
          <w:sz w:val="24"/>
        </w:rPr>
        <w:t>政采云平台http://www.zcygov.cn</w:t>
      </w:r>
    </w:p>
    <w:p w14:paraId="58DD56C1">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开</w:t>
      </w:r>
      <w:r>
        <w:rPr>
          <w:rFonts w:hint="eastAsia" w:ascii="宋体" w:hAnsi="宋体" w:cs="宋体"/>
          <w:bCs/>
          <w:color w:val="auto"/>
          <w:kern w:val="0"/>
          <w:sz w:val="24"/>
        </w:rPr>
        <w:t>标</w:t>
      </w:r>
      <w:r>
        <w:rPr>
          <w:rFonts w:ascii="宋体" w:hAnsi="宋体" w:cs="宋体"/>
          <w:bCs/>
          <w:color w:val="auto"/>
          <w:kern w:val="0"/>
          <w:sz w:val="24"/>
        </w:rPr>
        <w:t>时间：</w:t>
      </w:r>
      <w:r>
        <w:rPr>
          <w:rFonts w:hint="eastAsia" w:ascii="宋体" w:hAnsi="宋体" w:cs="宋体"/>
          <w:bCs/>
          <w:color w:val="auto"/>
          <w:kern w:val="0"/>
          <w:sz w:val="24"/>
          <w:u w:val="single"/>
        </w:rPr>
        <w:t>202</w:t>
      </w:r>
      <w:r>
        <w:rPr>
          <w:rFonts w:hint="eastAsia" w:ascii="宋体" w:hAnsi="宋体" w:cs="宋体"/>
          <w:bCs/>
          <w:color w:val="auto"/>
          <w:kern w:val="0"/>
          <w:sz w:val="24"/>
          <w:u w:val="single"/>
          <w:lang w:val="en-US" w:eastAsia="zh-CN"/>
        </w:rPr>
        <w:t>5</w:t>
      </w:r>
      <w:r>
        <w:rPr>
          <w:rFonts w:ascii="宋体" w:hAnsi="宋体" w:cs="宋体"/>
          <w:bCs/>
          <w:color w:val="auto"/>
          <w:kern w:val="0"/>
          <w:sz w:val="24"/>
          <w:u w:val="single"/>
        </w:rPr>
        <w:t>年</w:t>
      </w:r>
      <w:r>
        <w:rPr>
          <w:rFonts w:hint="eastAsia" w:ascii="宋体" w:hAnsi="宋体" w:cs="宋体"/>
          <w:bCs/>
          <w:color w:val="auto"/>
          <w:kern w:val="0"/>
          <w:sz w:val="24"/>
          <w:u w:val="single"/>
          <w:lang w:val="en-US" w:eastAsia="zh-CN"/>
        </w:rPr>
        <w:t>05</w:t>
      </w:r>
      <w:r>
        <w:rPr>
          <w:rFonts w:ascii="宋体" w:hAnsi="宋体" w:cs="宋体"/>
          <w:bCs/>
          <w:color w:val="auto"/>
          <w:kern w:val="0"/>
          <w:sz w:val="24"/>
          <w:u w:val="single"/>
        </w:rPr>
        <w:t>月</w:t>
      </w:r>
      <w:r>
        <w:rPr>
          <w:rFonts w:hint="eastAsia" w:ascii="宋体" w:hAnsi="宋体" w:cs="宋体"/>
          <w:bCs/>
          <w:color w:val="auto"/>
          <w:kern w:val="0"/>
          <w:sz w:val="24"/>
          <w:u w:val="single"/>
          <w:lang w:val="en-US" w:eastAsia="zh-CN"/>
        </w:rPr>
        <w:t>08</w:t>
      </w:r>
      <w:r>
        <w:rPr>
          <w:rFonts w:ascii="宋体" w:hAnsi="宋体" w:cs="宋体"/>
          <w:bCs/>
          <w:color w:val="auto"/>
          <w:kern w:val="0"/>
          <w:sz w:val="24"/>
          <w:u w:val="single"/>
        </w:rPr>
        <w:t>日</w:t>
      </w:r>
      <w:r>
        <w:rPr>
          <w:rFonts w:hint="eastAsia" w:ascii="宋体" w:hAnsi="宋体" w:cs="宋体"/>
          <w:bCs/>
          <w:color w:val="auto"/>
          <w:kern w:val="0"/>
          <w:sz w:val="24"/>
          <w:u w:val="single"/>
          <w:lang w:val="en-US" w:eastAsia="zh-CN"/>
        </w:rPr>
        <w:t>11</w:t>
      </w:r>
      <w:r>
        <w:rPr>
          <w:rFonts w:ascii="宋体" w:hAnsi="宋体" w:cs="宋体"/>
          <w:bCs/>
          <w:color w:val="auto"/>
          <w:kern w:val="0"/>
          <w:sz w:val="24"/>
          <w:u w:val="single"/>
        </w:rPr>
        <w:t>:00</w:t>
      </w:r>
      <w:r>
        <w:rPr>
          <w:rFonts w:ascii="宋体" w:hAnsi="宋体" w:cs="宋体"/>
          <w:bCs/>
          <w:color w:val="auto"/>
          <w:kern w:val="0"/>
          <w:sz w:val="24"/>
        </w:rPr>
        <w:t>（北京时间）</w:t>
      </w:r>
    </w:p>
    <w:p w14:paraId="6FE779A4">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开标</w:t>
      </w:r>
      <w:r>
        <w:rPr>
          <w:rFonts w:ascii="宋体" w:hAnsi="宋体" w:cs="宋体"/>
          <w:bCs/>
          <w:color w:val="auto"/>
          <w:kern w:val="0"/>
          <w:sz w:val="24"/>
        </w:rPr>
        <w:t>地点：</w:t>
      </w:r>
      <w:r>
        <w:rPr>
          <w:rFonts w:hint="eastAsia" w:ascii="宋体" w:hAnsi="宋体" w:cs="宋体"/>
          <w:color w:val="auto"/>
          <w:kern w:val="0"/>
          <w:sz w:val="24"/>
        </w:rPr>
        <w:t>政采云平台不见面开标大厅（本项目采用远程不见面交易</w:t>
      </w:r>
      <w:r>
        <w:rPr>
          <w:rFonts w:hint="eastAsia" w:ascii="宋体" w:hAnsi="宋体" w:cs="宋体"/>
          <w:color w:val="auto"/>
          <w:kern w:val="0"/>
          <w:sz w:val="24"/>
          <w:highlight w:val="none"/>
        </w:rPr>
        <w:t>的模式）。</w:t>
      </w:r>
      <w:r>
        <w:rPr>
          <w:rFonts w:hint="eastAsia" w:ascii="宋体" w:hAnsi="宋体" w:cs="宋体"/>
          <w:color w:val="auto"/>
          <w:kern w:val="0"/>
          <w:sz w:val="24"/>
        </w:rPr>
        <w:t>开标当日，供应商无需到达投标现场，仅需在任意地点登录政采云平台（https://www.zcygov.cn）不见面开标系统（进入“项目采购”应用，在开标评标菜单中选择进入开标大厅）</w:t>
      </w:r>
    </w:p>
    <w:p w14:paraId="60D2E393">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五</w:t>
      </w:r>
      <w:r>
        <w:rPr>
          <w:rFonts w:ascii="宋体" w:hAnsi="宋体" w:cs="宋体"/>
          <w:b/>
          <w:color w:val="auto"/>
          <w:kern w:val="0"/>
          <w:sz w:val="24"/>
        </w:rPr>
        <w:t>、公告期限</w:t>
      </w:r>
    </w:p>
    <w:p w14:paraId="1AC7007C">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自本公告发布之日起</w:t>
      </w:r>
      <w:r>
        <w:rPr>
          <w:rFonts w:hint="eastAsia" w:ascii="宋体" w:hAnsi="宋体" w:cs="宋体"/>
          <w:bCs/>
          <w:color w:val="auto"/>
          <w:kern w:val="0"/>
          <w:sz w:val="24"/>
        </w:rPr>
        <w:t>3</w:t>
      </w:r>
      <w:r>
        <w:rPr>
          <w:rFonts w:ascii="宋体" w:hAnsi="宋体" w:cs="宋体"/>
          <w:bCs/>
          <w:color w:val="auto"/>
          <w:kern w:val="0"/>
          <w:sz w:val="24"/>
        </w:rPr>
        <w:t>个工作日。</w:t>
      </w:r>
    </w:p>
    <w:p w14:paraId="4A736842">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六</w:t>
      </w:r>
      <w:r>
        <w:rPr>
          <w:rFonts w:ascii="宋体" w:hAnsi="宋体" w:cs="宋体"/>
          <w:b/>
          <w:color w:val="auto"/>
          <w:kern w:val="0"/>
          <w:sz w:val="24"/>
        </w:rPr>
        <w:t>、其他补充事宜</w:t>
      </w:r>
    </w:p>
    <w:p w14:paraId="66CCC31D">
      <w:pPr>
        <w:widowControl/>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1、本项目实行网上投标，采用电子响应文件；</w:t>
      </w:r>
    </w:p>
    <w:p w14:paraId="01473F97">
      <w:pPr>
        <w:widowControl/>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1C7F6860">
      <w:pPr>
        <w:widowControl/>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3、供应商将政采云电子交易客户端下载、安装完成后，可通过账号密码或CA登录客户端进行响应文件的制作。在使用政采云投标客户端时，建议使用WIN7及以上操作系统。客户端请至新疆政府采购网（http://ccgp-bingtuan.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7C0E34A">
      <w:pPr>
        <w:widowControl/>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4、供应商在开标时须使用制作加密电子响应文件所使用的CA锁及电脑，电脑须提前配置好浏览器（建议使用360浏览器极速模式或谷歌浏览器），以便开标时解锁。</w:t>
      </w:r>
    </w:p>
    <w:p w14:paraId="68C15892">
      <w:pPr>
        <w:widowControl/>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5、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14:paraId="7A0D4BA4">
      <w:pPr>
        <w:widowControl/>
        <w:spacing w:line="480" w:lineRule="exact"/>
        <w:ind w:firstLine="480" w:firstLineChars="200"/>
        <w:jc w:val="left"/>
        <w:rPr>
          <w:rFonts w:hint="eastAsia" w:asciiTheme="minorEastAsia" w:hAnsiTheme="minorEastAsia" w:eastAsiaTheme="minorEastAsia" w:cstheme="minorEastAsia"/>
          <w:color w:val="auto"/>
          <w:sz w:val="24"/>
        </w:rPr>
      </w:pPr>
      <w:r>
        <w:rPr>
          <w:rFonts w:hint="eastAsia" w:ascii="宋体" w:hAnsi="宋体" w:cs="宋体"/>
          <w:color w:val="auto"/>
          <w:kern w:val="0"/>
          <w:sz w:val="24"/>
        </w:rPr>
        <w:t>6、参与竞争性磋商和竞争性磋商项目供应商，开标结束后，请及时进入“网上报价”页面（详见操作手册），等待最终报价通知。如未在系统提示的报价时限内报价，则视为上一轮报价为最终报价。</w:t>
      </w:r>
    </w:p>
    <w:p w14:paraId="6B0C91CA">
      <w:pPr>
        <w:pStyle w:val="30"/>
        <w:widowControl/>
        <w:spacing w:before="75" w:beforeAutospacing="0" w:after="75" w:afterAutospacing="0"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七</w:t>
      </w:r>
      <w:r>
        <w:rPr>
          <w:rFonts w:ascii="宋体" w:hAnsi="宋体" w:cs="宋体"/>
          <w:b/>
          <w:color w:val="auto"/>
          <w:kern w:val="0"/>
          <w:sz w:val="24"/>
        </w:rPr>
        <w:t>、对本次</w:t>
      </w:r>
      <w:r>
        <w:rPr>
          <w:rFonts w:hint="eastAsia" w:ascii="宋体" w:hAnsi="宋体" w:cs="宋体"/>
          <w:b/>
          <w:color w:val="auto"/>
          <w:kern w:val="0"/>
          <w:sz w:val="24"/>
        </w:rPr>
        <w:t>招标</w:t>
      </w:r>
      <w:r>
        <w:rPr>
          <w:rFonts w:ascii="宋体" w:hAnsi="宋体" w:cs="宋体"/>
          <w:b/>
          <w:color w:val="auto"/>
          <w:kern w:val="0"/>
          <w:sz w:val="24"/>
        </w:rPr>
        <w:t>提出询问，请按以下方式联系</w:t>
      </w:r>
    </w:p>
    <w:p w14:paraId="4F888EAE">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1.</w:t>
      </w:r>
      <w:r>
        <w:rPr>
          <w:rFonts w:hint="eastAsia" w:ascii="宋体" w:hAnsi="宋体" w:cs="宋体"/>
          <w:bCs/>
          <w:color w:val="auto"/>
          <w:kern w:val="0"/>
          <w:sz w:val="24"/>
        </w:rPr>
        <w:t>采购人</w:t>
      </w:r>
      <w:r>
        <w:rPr>
          <w:rFonts w:ascii="宋体" w:hAnsi="宋体" w:cs="宋体"/>
          <w:bCs/>
          <w:color w:val="auto"/>
          <w:kern w:val="0"/>
          <w:sz w:val="24"/>
        </w:rPr>
        <w:t>信息</w:t>
      </w:r>
    </w:p>
    <w:p w14:paraId="4D477E28">
      <w:pPr>
        <w:spacing w:line="360" w:lineRule="auto"/>
        <w:ind w:firstLine="480" w:firstLineChars="200"/>
        <w:rPr>
          <w:rFonts w:hint="eastAsia" w:ascii="宋体" w:hAnsi="宋体" w:eastAsia="宋体" w:cs="宋体"/>
          <w:bCs/>
          <w:color w:val="auto"/>
          <w:kern w:val="0"/>
          <w:sz w:val="24"/>
          <w:lang w:eastAsia="zh-CN"/>
        </w:rPr>
      </w:pPr>
      <w:r>
        <w:rPr>
          <w:rFonts w:hint="eastAsia" w:ascii="宋体" w:hAnsi="宋体" w:cs="宋体"/>
          <w:bCs/>
          <w:color w:val="auto"/>
          <w:kern w:val="0"/>
          <w:sz w:val="24"/>
        </w:rPr>
        <w:t>采购人：</w:t>
      </w:r>
      <w:r>
        <w:rPr>
          <w:rFonts w:hint="eastAsia" w:ascii="宋体" w:hAnsi="宋体" w:cs="宋体"/>
          <w:bCs/>
          <w:color w:val="auto"/>
          <w:kern w:val="0"/>
          <w:sz w:val="24"/>
          <w:lang w:eastAsia="zh-CN"/>
        </w:rPr>
        <w:t>喀什地区卫生健康委员会</w:t>
      </w:r>
    </w:p>
    <w:p w14:paraId="070477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喀什市解放北路46号</w:t>
      </w:r>
    </w:p>
    <w:p w14:paraId="01FD3C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王金雷</w:t>
      </w:r>
    </w:p>
    <w:p w14:paraId="6AC908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eastAsia="zh-CN"/>
        </w:rPr>
        <w:t>15583376568</w:t>
      </w:r>
    </w:p>
    <w:p w14:paraId="4A3BDEE0">
      <w:pPr>
        <w:pStyle w:val="8"/>
        <w:rPr>
          <w:color w:val="auto"/>
        </w:rPr>
      </w:pPr>
    </w:p>
    <w:p w14:paraId="25DD73B7">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2.</w:t>
      </w:r>
      <w:r>
        <w:rPr>
          <w:rFonts w:hint="eastAsia" w:ascii="宋体" w:hAnsi="宋体" w:cs="宋体"/>
          <w:bCs/>
          <w:color w:val="auto"/>
          <w:kern w:val="0"/>
          <w:sz w:val="24"/>
        </w:rPr>
        <w:t>采购代理机构</w:t>
      </w:r>
      <w:r>
        <w:rPr>
          <w:rFonts w:ascii="宋体" w:hAnsi="宋体" w:cs="宋体"/>
          <w:bCs/>
          <w:color w:val="auto"/>
          <w:kern w:val="0"/>
          <w:sz w:val="24"/>
        </w:rPr>
        <w:t>信息</w:t>
      </w:r>
    </w:p>
    <w:p w14:paraId="70EA779F">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名称：</w:t>
      </w:r>
      <w:r>
        <w:rPr>
          <w:rFonts w:hint="eastAsia" w:ascii="宋体" w:hAnsi="宋体" w:cs="宋体"/>
          <w:bCs/>
          <w:color w:val="auto"/>
          <w:kern w:val="0"/>
          <w:sz w:val="24"/>
        </w:rPr>
        <w:t>新疆华展鑫荣项目管理咨询有限公司</w:t>
      </w:r>
    </w:p>
    <w:p w14:paraId="64A023E5">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地址：</w:t>
      </w:r>
      <w:r>
        <w:rPr>
          <w:rFonts w:hint="eastAsia" w:ascii="宋体" w:hAnsi="宋体" w:cs="宋体"/>
          <w:bCs/>
          <w:color w:val="auto"/>
          <w:kern w:val="0"/>
          <w:sz w:val="24"/>
        </w:rPr>
        <w:t>乌鲁木齐市水磨沟区龙腾路1118号万科中央公园二期万科云写字楼24楼2403室</w:t>
      </w:r>
    </w:p>
    <w:p w14:paraId="18225AFE">
      <w:pPr>
        <w:spacing w:line="360" w:lineRule="auto"/>
        <w:ind w:firstLine="480" w:firstLineChars="200"/>
        <w:rPr>
          <w:rFonts w:hint="eastAsia" w:ascii="宋体" w:hAnsi="宋体" w:cs="宋体"/>
          <w:bCs/>
          <w:color w:val="auto"/>
          <w:kern w:val="0"/>
          <w:sz w:val="24"/>
        </w:rPr>
      </w:pPr>
      <w:r>
        <w:rPr>
          <w:rFonts w:ascii="宋体" w:hAnsi="宋体" w:cs="宋体"/>
          <w:bCs/>
          <w:color w:val="auto"/>
          <w:kern w:val="0"/>
          <w:sz w:val="24"/>
        </w:rPr>
        <w:t>项目联系人：</w:t>
      </w:r>
      <w:r>
        <w:rPr>
          <w:rFonts w:hint="eastAsia" w:ascii="宋体" w:hAnsi="宋体" w:cs="宋体"/>
          <w:bCs/>
          <w:color w:val="auto"/>
          <w:kern w:val="0"/>
          <w:sz w:val="24"/>
          <w:lang w:val="en-US" w:eastAsia="zh-CN"/>
        </w:rPr>
        <w:t>张</w:t>
      </w:r>
      <w:r>
        <w:rPr>
          <w:rFonts w:hint="eastAsia" w:ascii="宋体" w:hAnsi="宋体" w:cs="宋体"/>
          <w:bCs/>
          <w:color w:val="auto"/>
          <w:kern w:val="0"/>
          <w:sz w:val="24"/>
        </w:rPr>
        <w:t>工</w:t>
      </w:r>
    </w:p>
    <w:p w14:paraId="38D57D04">
      <w:pPr>
        <w:widowControl/>
        <w:spacing w:line="360" w:lineRule="auto"/>
        <w:ind w:firstLine="480" w:firstLineChars="200"/>
        <w:jc w:val="left"/>
        <w:rPr>
          <w:rFonts w:hint="default" w:eastAsia="宋体"/>
          <w:color w:val="auto"/>
          <w:lang w:val="en-US" w:eastAsia="zh-CN"/>
        </w:rPr>
      </w:pPr>
      <w:r>
        <w:rPr>
          <w:rFonts w:ascii="宋体" w:hAnsi="宋体" w:cs="宋体"/>
          <w:bCs/>
          <w:color w:val="auto"/>
          <w:kern w:val="0"/>
          <w:sz w:val="24"/>
        </w:rPr>
        <w:t>项目联系方式：0991-4182952、</w:t>
      </w:r>
      <w:r>
        <w:rPr>
          <w:rFonts w:hint="eastAsia" w:ascii="宋体" w:hAnsi="宋体" w:cs="宋体"/>
          <w:bCs/>
          <w:color w:val="auto"/>
          <w:kern w:val="0"/>
          <w:sz w:val="24"/>
          <w:lang w:val="en-US" w:eastAsia="zh-CN"/>
        </w:rPr>
        <w:t>18909929493</w:t>
      </w:r>
    </w:p>
    <w:p w14:paraId="433BC0C7">
      <w:pPr>
        <w:rPr>
          <w:b/>
          <w:bCs/>
          <w:color w:val="auto"/>
          <w:sz w:val="28"/>
          <w:szCs w:val="28"/>
        </w:rPr>
      </w:pPr>
      <w:bookmarkStart w:id="2" w:name="_Toc10864_WPSOffice_Level1"/>
      <w:r>
        <w:rPr>
          <w:rFonts w:hint="eastAsia"/>
          <w:b/>
          <w:bCs/>
          <w:color w:val="auto"/>
          <w:sz w:val="28"/>
          <w:szCs w:val="28"/>
        </w:rPr>
        <w:br w:type="page"/>
      </w:r>
    </w:p>
    <w:p w14:paraId="0507A53D">
      <w:pPr>
        <w:pStyle w:val="8"/>
        <w:spacing w:line="360" w:lineRule="auto"/>
        <w:ind w:firstLine="0" w:firstLineChars="0"/>
        <w:jc w:val="center"/>
        <w:outlineLvl w:val="0"/>
        <w:rPr>
          <w:b/>
          <w:bCs/>
          <w:color w:val="auto"/>
          <w:sz w:val="28"/>
          <w:szCs w:val="28"/>
        </w:rPr>
      </w:pPr>
      <w:bookmarkStart w:id="3" w:name="_Toc5875"/>
      <w:r>
        <w:rPr>
          <w:rFonts w:hint="eastAsia"/>
          <w:b/>
          <w:bCs/>
          <w:color w:val="auto"/>
          <w:sz w:val="28"/>
          <w:szCs w:val="28"/>
        </w:rPr>
        <w:t>第二章  供应商须知前附表</w:t>
      </w:r>
      <w:bookmarkEnd w:id="2"/>
      <w:bookmarkEnd w:id="3"/>
    </w:p>
    <w:tbl>
      <w:tblPr>
        <w:tblStyle w:val="33"/>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534"/>
      </w:tblGrid>
      <w:tr w14:paraId="328D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ED2B583">
            <w:pPr>
              <w:keepNext w:val="0"/>
              <w:keepLines w:val="0"/>
              <w:suppressLineNumbers w:val="0"/>
              <w:spacing w:before="0" w:beforeAutospacing="0" w:after="0" w:afterAutospacing="0" w:line="300" w:lineRule="auto"/>
              <w:ind w:left="0" w:right="0"/>
              <w:jc w:val="center"/>
              <w:rPr>
                <w:rFonts w:hint="eastAsia" w:ascii="宋体" w:hAnsi="宋体" w:cs="宋体"/>
                <w:b/>
                <w:color w:val="auto"/>
                <w:sz w:val="24"/>
              </w:rPr>
            </w:pPr>
            <w:r>
              <w:rPr>
                <w:rFonts w:hint="eastAsia" w:ascii="宋体" w:hAnsi="宋体" w:cs="宋体"/>
                <w:b/>
                <w:color w:val="auto"/>
                <w:sz w:val="24"/>
              </w:rPr>
              <w:t>序号</w:t>
            </w:r>
          </w:p>
        </w:tc>
        <w:tc>
          <w:tcPr>
            <w:tcW w:w="8534" w:type="dxa"/>
            <w:tcBorders>
              <w:top w:val="single" w:color="auto" w:sz="4" w:space="0"/>
              <w:left w:val="single" w:color="auto" w:sz="4" w:space="0"/>
              <w:bottom w:val="single" w:color="auto" w:sz="4" w:space="0"/>
              <w:right w:val="single" w:color="auto" w:sz="4" w:space="0"/>
            </w:tcBorders>
            <w:vAlign w:val="center"/>
          </w:tcPr>
          <w:p w14:paraId="5F99733A">
            <w:pPr>
              <w:keepNext w:val="0"/>
              <w:keepLines w:val="0"/>
              <w:suppressLineNumbers w:val="0"/>
              <w:spacing w:before="0" w:beforeAutospacing="0" w:after="0" w:afterAutospacing="0" w:line="300" w:lineRule="auto"/>
              <w:ind w:left="0" w:right="0"/>
              <w:jc w:val="center"/>
              <w:rPr>
                <w:rFonts w:hint="eastAsia" w:ascii="宋体" w:hAnsi="宋体" w:cs="宋体"/>
                <w:b/>
                <w:color w:val="auto"/>
                <w:sz w:val="24"/>
              </w:rPr>
            </w:pPr>
            <w:r>
              <w:rPr>
                <w:rFonts w:hint="eastAsia" w:ascii="宋体" w:hAnsi="宋体" w:cs="宋体"/>
                <w:b/>
                <w:color w:val="auto"/>
                <w:sz w:val="24"/>
              </w:rPr>
              <w:t>内  容</w:t>
            </w:r>
          </w:p>
        </w:tc>
      </w:tr>
      <w:tr w14:paraId="0EA3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E6634C3">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w:t>
            </w:r>
          </w:p>
        </w:tc>
        <w:tc>
          <w:tcPr>
            <w:tcW w:w="8534" w:type="dxa"/>
            <w:tcBorders>
              <w:top w:val="single" w:color="auto" w:sz="4" w:space="0"/>
              <w:left w:val="single" w:color="auto" w:sz="4" w:space="0"/>
              <w:bottom w:val="single" w:color="auto" w:sz="4" w:space="0"/>
              <w:right w:val="single" w:color="auto" w:sz="4" w:space="0"/>
            </w:tcBorders>
            <w:vAlign w:val="center"/>
          </w:tcPr>
          <w:p w14:paraId="264A6F4F">
            <w:pPr>
              <w:keepNext w:val="0"/>
              <w:keepLines w:val="0"/>
              <w:suppressLineNumbers w:val="0"/>
              <w:spacing w:before="0" w:beforeAutospacing="0" w:after="0" w:afterAutospacing="0" w:line="300" w:lineRule="auto"/>
              <w:ind w:left="0" w:right="0"/>
              <w:rPr>
                <w:rFonts w:hint="eastAsia" w:ascii="宋体" w:hAnsi="宋体" w:eastAsia="宋体" w:cs="宋体"/>
                <w:color w:val="auto"/>
                <w:sz w:val="24"/>
                <w:lang w:eastAsia="zh-CN"/>
              </w:rPr>
            </w:pPr>
            <w:bookmarkStart w:id="4" w:name="OLE_LINK2"/>
            <w:r>
              <w:rPr>
                <w:rFonts w:hint="eastAsia" w:ascii="宋体" w:hAnsi="宋体" w:cs="宋体"/>
                <w:b/>
                <w:bCs/>
                <w:color w:val="auto"/>
                <w:sz w:val="24"/>
              </w:rPr>
              <w:t>项目名称：</w:t>
            </w:r>
            <w:r>
              <w:rPr>
                <w:rFonts w:hint="eastAsia" w:ascii="宋体" w:hAnsi="宋体" w:cs="宋体"/>
                <w:bCs/>
                <w:color w:val="auto"/>
                <w:kern w:val="0"/>
                <w:sz w:val="24"/>
                <w:lang w:eastAsia="zh-CN"/>
              </w:rPr>
              <w:t>2024年喀什地区乡村医生中医药适宜技术推广项目</w:t>
            </w:r>
          </w:p>
          <w:p w14:paraId="2BE545A4">
            <w:pPr>
              <w:pStyle w:val="8"/>
              <w:keepNext w:val="0"/>
              <w:keepLines w:val="0"/>
              <w:suppressLineNumbers w:val="0"/>
              <w:spacing w:before="0" w:beforeAutospacing="0" w:after="0" w:afterAutospacing="0" w:line="300" w:lineRule="auto"/>
              <w:ind w:left="0" w:right="0" w:firstLine="0" w:firstLineChars="0"/>
              <w:rPr>
                <w:rFonts w:hint="eastAsia" w:ascii="宋体" w:hAnsi="宋体" w:eastAsia="宋体" w:cs="宋体"/>
                <w:color w:val="auto"/>
                <w:sz w:val="24"/>
                <w:lang w:val="en-US" w:eastAsia="zh-CN"/>
              </w:rPr>
            </w:pPr>
            <w:r>
              <w:rPr>
                <w:rFonts w:hint="eastAsia" w:ascii="宋体" w:hAnsi="宋体" w:cs="宋体"/>
                <w:b/>
                <w:bCs/>
                <w:color w:val="auto"/>
                <w:sz w:val="24"/>
              </w:rPr>
              <w:t>项目编号：</w:t>
            </w:r>
            <w:bookmarkEnd w:id="4"/>
            <w:r>
              <w:rPr>
                <w:rFonts w:hint="eastAsia" w:ascii="宋体" w:hAnsi="宋体" w:cs="宋体"/>
                <w:bCs/>
                <w:color w:val="auto"/>
                <w:kern w:val="0"/>
                <w:sz w:val="24"/>
                <w:lang w:eastAsia="zh-CN"/>
              </w:rPr>
              <w:t>NO.2025（HZXR)016</w:t>
            </w:r>
          </w:p>
        </w:tc>
      </w:tr>
      <w:tr w14:paraId="7FBD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F42EEC5">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w:t>
            </w:r>
          </w:p>
        </w:tc>
        <w:tc>
          <w:tcPr>
            <w:tcW w:w="8534" w:type="dxa"/>
            <w:tcBorders>
              <w:top w:val="single" w:color="auto" w:sz="4" w:space="0"/>
              <w:left w:val="single" w:color="auto" w:sz="4" w:space="0"/>
              <w:bottom w:val="single" w:color="auto" w:sz="4" w:space="0"/>
              <w:right w:val="single" w:color="auto" w:sz="4" w:space="0"/>
            </w:tcBorders>
            <w:vAlign w:val="center"/>
          </w:tcPr>
          <w:p w14:paraId="6A22AD24">
            <w:pPr>
              <w:keepNext w:val="0"/>
              <w:keepLines w:val="0"/>
              <w:suppressLineNumbers w:val="0"/>
              <w:spacing w:before="0" w:beforeAutospacing="0" w:after="0" w:afterAutospacing="0" w:line="300" w:lineRule="auto"/>
              <w:ind w:left="0" w:right="0"/>
              <w:rPr>
                <w:rFonts w:hint="eastAsia" w:ascii="宋体" w:hAnsi="宋体" w:eastAsia="宋体" w:cs="宋体"/>
                <w:color w:val="auto"/>
                <w:sz w:val="24"/>
                <w:highlight w:val="none"/>
                <w:lang w:eastAsia="zh-CN"/>
              </w:rPr>
            </w:pPr>
            <w:r>
              <w:rPr>
                <w:rFonts w:hint="eastAsia" w:ascii="宋体" w:hAnsi="宋体" w:cs="宋体"/>
                <w:b/>
                <w:bCs/>
                <w:color w:val="auto"/>
                <w:sz w:val="24"/>
              </w:rPr>
              <w:t>采购单位：</w:t>
            </w:r>
            <w:r>
              <w:rPr>
                <w:rFonts w:hint="eastAsia" w:ascii="宋体" w:hAnsi="宋体" w:cs="宋体"/>
                <w:bCs/>
                <w:color w:val="auto"/>
                <w:kern w:val="0"/>
                <w:sz w:val="24"/>
                <w:lang w:eastAsia="zh-CN"/>
              </w:rPr>
              <w:t>喀什地区卫生健康委员会</w:t>
            </w:r>
          </w:p>
          <w:p w14:paraId="23B4E34D">
            <w:pPr>
              <w:keepNext w:val="0"/>
              <w:keepLines w:val="0"/>
              <w:suppressLineNumbers w:val="0"/>
              <w:spacing w:before="0" w:beforeAutospacing="0" w:after="0" w:afterAutospacing="0" w:line="300" w:lineRule="auto"/>
              <w:ind w:left="0" w:right="0"/>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rPr>
              <w:t>项目联系人</w:t>
            </w:r>
            <w:r>
              <w:rPr>
                <w:rFonts w:hint="eastAsia" w:ascii="宋体" w:hAnsi="宋体" w:cs="宋体"/>
                <w:b/>
                <w:bCs/>
                <w:color w:val="auto"/>
                <w:sz w:val="24"/>
                <w:highlight w:val="none"/>
                <w:lang w:eastAsia="zh-CN"/>
              </w:rPr>
              <w:t>：</w:t>
            </w:r>
            <w:r>
              <w:rPr>
                <w:rFonts w:hint="eastAsia" w:ascii="宋体" w:hAnsi="宋体" w:cs="宋体"/>
                <w:color w:val="auto"/>
                <w:sz w:val="24"/>
                <w:szCs w:val="24"/>
                <w:highlight w:val="none"/>
                <w:lang w:val="en-US" w:eastAsia="zh-CN"/>
              </w:rPr>
              <w:t>王金雷</w:t>
            </w:r>
          </w:p>
          <w:p w14:paraId="4730C1D6">
            <w:pPr>
              <w:keepNext w:val="0"/>
              <w:keepLines w:val="0"/>
              <w:suppressLineNumbers w:val="0"/>
              <w:spacing w:before="0" w:beforeAutospacing="0" w:after="0" w:afterAutospacing="0" w:line="300" w:lineRule="auto"/>
              <w:ind w:left="0" w:right="0"/>
              <w:rPr>
                <w:rFonts w:hint="eastAsia" w:ascii="宋体" w:hAnsi="宋体" w:eastAsia="宋体" w:cs="宋体"/>
                <w:color w:val="auto"/>
                <w:sz w:val="24"/>
                <w:lang w:eastAsia="zh-CN"/>
              </w:rPr>
            </w:pPr>
            <w:r>
              <w:rPr>
                <w:rFonts w:hint="eastAsia" w:ascii="宋体" w:hAnsi="宋体" w:cs="宋体"/>
                <w:b/>
                <w:bCs/>
                <w:color w:val="auto"/>
                <w:sz w:val="24"/>
                <w:highlight w:val="none"/>
              </w:rPr>
              <w:t>项目联系方式：</w:t>
            </w:r>
            <w:r>
              <w:rPr>
                <w:rFonts w:hint="eastAsia" w:ascii="宋体" w:hAnsi="宋体" w:cs="宋体"/>
                <w:color w:val="auto"/>
                <w:sz w:val="24"/>
                <w:szCs w:val="24"/>
                <w:highlight w:val="none"/>
                <w:lang w:eastAsia="zh-CN"/>
              </w:rPr>
              <w:t>15583376568</w:t>
            </w:r>
          </w:p>
        </w:tc>
      </w:tr>
      <w:tr w14:paraId="681A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7C39A92">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3</w:t>
            </w:r>
          </w:p>
        </w:tc>
        <w:tc>
          <w:tcPr>
            <w:tcW w:w="8534" w:type="dxa"/>
            <w:tcBorders>
              <w:top w:val="single" w:color="auto" w:sz="4" w:space="0"/>
              <w:left w:val="single" w:color="auto" w:sz="4" w:space="0"/>
              <w:bottom w:val="single" w:color="auto" w:sz="4" w:space="0"/>
              <w:right w:val="single" w:color="auto" w:sz="4" w:space="0"/>
            </w:tcBorders>
            <w:vAlign w:val="center"/>
          </w:tcPr>
          <w:p w14:paraId="5B22B217">
            <w:pPr>
              <w:keepNext w:val="0"/>
              <w:keepLines w:val="0"/>
              <w:suppressLineNumbers w:val="0"/>
              <w:spacing w:before="0" w:beforeAutospacing="0" w:after="0" w:afterAutospacing="0" w:line="300" w:lineRule="auto"/>
              <w:ind w:left="1687" w:right="0" w:hanging="1687" w:hangingChars="700"/>
              <w:rPr>
                <w:rFonts w:hint="eastAsia" w:ascii="宋体" w:hAnsi="宋体" w:cs="宋体"/>
                <w:color w:val="auto"/>
                <w:sz w:val="24"/>
              </w:rPr>
            </w:pPr>
            <w:r>
              <w:rPr>
                <w:rFonts w:hint="eastAsia" w:ascii="宋体" w:hAnsi="宋体" w:cs="宋体"/>
                <w:b/>
                <w:bCs/>
                <w:color w:val="auto"/>
                <w:sz w:val="24"/>
              </w:rPr>
              <w:t>采购代理机构：</w:t>
            </w:r>
            <w:r>
              <w:rPr>
                <w:rFonts w:hint="eastAsia" w:ascii="宋体" w:hAnsi="宋体" w:cs="宋体"/>
                <w:bCs/>
                <w:color w:val="auto"/>
                <w:kern w:val="0"/>
                <w:sz w:val="24"/>
              </w:rPr>
              <w:t>新疆华展鑫荣项目管理咨询有限公司</w:t>
            </w:r>
          </w:p>
          <w:p w14:paraId="667951D7">
            <w:pPr>
              <w:pStyle w:val="8"/>
              <w:keepNext w:val="0"/>
              <w:keepLines w:val="0"/>
              <w:suppressLineNumbers w:val="0"/>
              <w:spacing w:before="0" w:beforeAutospacing="0" w:after="0" w:afterAutospacing="0" w:line="300" w:lineRule="auto"/>
              <w:ind w:left="0" w:right="0" w:firstLine="0" w:firstLineChars="0"/>
              <w:rPr>
                <w:rFonts w:hint="eastAsia" w:ascii="宋体" w:hAnsi="宋体" w:cs="宋体"/>
                <w:color w:val="auto"/>
                <w:sz w:val="24"/>
              </w:rPr>
            </w:pPr>
            <w:r>
              <w:rPr>
                <w:rFonts w:hint="eastAsia" w:ascii="宋体" w:hAnsi="宋体" w:cs="宋体"/>
                <w:b/>
                <w:bCs/>
                <w:color w:val="auto"/>
                <w:sz w:val="24"/>
              </w:rPr>
              <w:t>联 系 人：</w:t>
            </w:r>
            <w:r>
              <w:rPr>
                <w:rFonts w:hint="eastAsia" w:ascii="宋体" w:hAnsi="宋体" w:cs="宋体"/>
                <w:color w:val="auto"/>
                <w:sz w:val="24"/>
                <w:lang w:val="en-US" w:eastAsia="zh-CN"/>
              </w:rPr>
              <w:t>张</w:t>
            </w:r>
            <w:r>
              <w:rPr>
                <w:rFonts w:hint="eastAsia" w:ascii="宋体" w:hAnsi="宋体" w:cs="宋体"/>
                <w:color w:val="auto"/>
                <w:sz w:val="24"/>
              </w:rPr>
              <w:t>工</w:t>
            </w:r>
          </w:p>
          <w:p w14:paraId="759E2061">
            <w:pPr>
              <w:pStyle w:val="8"/>
              <w:keepNext w:val="0"/>
              <w:keepLines w:val="0"/>
              <w:suppressLineNumbers w:val="0"/>
              <w:spacing w:before="0" w:beforeAutospacing="0" w:after="0" w:afterAutospacing="0" w:line="300" w:lineRule="auto"/>
              <w:ind w:left="0" w:right="0" w:firstLine="0" w:firstLineChars="0"/>
              <w:rPr>
                <w:rFonts w:hint="default" w:ascii="宋体" w:hAnsi="宋体" w:eastAsia="宋体" w:cs="宋体"/>
                <w:color w:val="auto"/>
                <w:sz w:val="24"/>
                <w:lang w:val="en-US" w:eastAsia="zh-CN"/>
              </w:rPr>
            </w:pPr>
            <w:r>
              <w:rPr>
                <w:rFonts w:hint="eastAsia" w:ascii="宋体" w:hAnsi="宋体" w:cs="宋体"/>
                <w:b/>
                <w:bCs/>
                <w:color w:val="auto"/>
                <w:sz w:val="24"/>
              </w:rPr>
              <w:t>联系电话：</w:t>
            </w:r>
            <w:r>
              <w:rPr>
                <w:rFonts w:hint="eastAsia" w:ascii="宋体" w:hAnsi="宋体" w:cs="宋体"/>
                <w:bCs/>
                <w:color w:val="auto"/>
                <w:kern w:val="0"/>
                <w:sz w:val="24"/>
              </w:rPr>
              <w:t>0991-4182952、</w:t>
            </w:r>
            <w:r>
              <w:rPr>
                <w:rFonts w:hint="eastAsia" w:ascii="宋体" w:hAnsi="宋体" w:cs="宋体"/>
                <w:bCs/>
                <w:color w:val="auto"/>
                <w:kern w:val="0"/>
                <w:sz w:val="24"/>
                <w:lang w:val="en-US" w:eastAsia="zh-CN"/>
              </w:rPr>
              <w:t>18909929493</w:t>
            </w:r>
          </w:p>
        </w:tc>
      </w:tr>
      <w:tr w14:paraId="4A21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0DEBF21">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4</w:t>
            </w:r>
          </w:p>
        </w:tc>
        <w:tc>
          <w:tcPr>
            <w:tcW w:w="8534" w:type="dxa"/>
            <w:tcBorders>
              <w:top w:val="single" w:color="auto" w:sz="4" w:space="0"/>
              <w:left w:val="single" w:color="auto" w:sz="4" w:space="0"/>
              <w:bottom w:val="single" w:color="auto" w:sz="4" w:space="0"/>
              <w:right w:val="single" w:color="auto" w:sz="4" w:space="0"/>
            </w:tcBorders>
            <w:vAlign w:val="center"/>
          </w:tcPr>
          <w:p w14:paraId="01090A28">
            <w:pPr>
              <w:pStyle w:val="30"/>
              <w:keepNext w:val="0"/>
              <w:keepLines w:val="0"/>
              <w:widowControl/>
              <w:suppressLineNumbers w:val="0"/>
              <w:spacing w:before="75" w:beforeAutospacing="0" w:after="75" w:afterAutospacing="0" w:line="300" w:lineRule="auto"/>
              <w:ind w:left="0" w:right="0"/>
              <w:rPr>
                <w:rFonts w:hint="eastAsia" w:ascii="宋体" w:hAnsi="宋体" w:eastAsia="宋体" w:cs="宋体"/>
                <w:color w:val="auto"/>
                <w:sz w:val="24"/>
                <w:lang w:eastAsia="zh-CN"/>
              </w:rPr>
            </w:pPr>
            <w:r>
              <w:rPr>
                <w:rFonts w:hint="eastAsia" w:ascii="宋体" w:hAnsi="宋体" w:cs="宋体"/>
                <w:b/>
                <w:bCs/>
                <w:color w:val="auto"/>
                <w:sz w:val="24"/>
              </w:rPr>
              <w:t>采购内容：</w:t>
            </w:r>
            <w:r>
              <w:rPr>
                <w:rFonts w:hint="eastAsia" w:ascii="宋体" w:hAnsi="宋体" w:eastAsia="宋体" w:cs="宋体"/>
                <w:color w:val="auto"/>
                <w:sz w:val="24"/>
                <w:szCs w:val="24"/>
                <w:highlight w:val="none"/>
              </w:rPr>
              <w:t>开展中医药服务能力提升培训，增强村卫生室中医药服务供给、中医药保健能力</w:t>
            </w:r>
            <w:r>
              <w:rPr>
                <w:rFonts w:hint="eastAsia" w:ascii="宋体" w:hAnsi="宋体" w:cs="宋体"/>
                <w:color w:val="auto"/>
                <w:sz w:val="24"/>
              </w:rPr>
              <w:t>（具体内容详见第五章采购需求）</w:t>
            </w:r>
            <w:r>
              <w:rPr>
                <w:rFonts w:hint="eastAsia" w:ascii="宋体" w:hAnsi="宋体" w:cs="宋体"/>
                <w:color w:val="auto"/>
                <w:sz w:val="24"/>
                <w:lang w:eastAsia="zh-CN"/>
              </w:rPr>
              <w:t>。</w:t>
            </w:r>
          </w:p>
        </w:tc>
      </w:tr>
      <w:tr w14:paraId="29F9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84025E3">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5</w:t>
            </w:r>
          </w:p>
        </w:tc>
        <w:tc>
          <w:tcPr>
            <w:tcW w:w="8534" w:type="dxa"/>
            <w:tcBorders>
              <w:top w:val="single" w:color="auto" w:sz="4" w:space="0"/>
              <w:left w:val="single" w:color="auto" w:sz="4" w:space="0"/>
              <w:bottom w:val="single" w:color="auto" w:sz="4" w:space="0"/>
              <w:right w:val="single" w:color="auto" w:sz="4" w:space="0"/>
            </w:tcBorders>
            <w:vAlign w:val="center"/>
          </w:tcPr>
          <w:p w14:paraId="651C8828">
            <w:pPr>
              <w:keepNext w:val="0"/>
              <w:keepLines w:val="0"/>
              <w:suppressLineNumbers w:val="0"/>
              <w:spacing w:before="0" w:beforeAutospacing="0" w:after="0" w:afterAutospacing="0" w:line="300" w:lineRule="auto"/>
              <w:ind w:left="0" w:right="0"/>
              <w:rPr>
                <w:rFonts w:hint="default" w:ascii="宋体" w:hAnsi="宋体" w:cs="宋体"/>
                <w:color w:val="auto"/>
                <w:sz w:val="24"/>
                <w:lang w:val="en-US"/>
              </w:rPr>
            </w:pPr>
            <w:r>
              <w:rPr>
                <w:rFonts w:hint="eastAsia" w:ascii="宋体" w:hAnsi="宋体" w:cs="宋体"/>
                <w:b/>
                <w:bCs/>
                <w:color w:val="auto"/>
                <w:sz w:val="24"/>
              </w:rPr>
              <w:t>服务地点：</w:t>
            </w:r>
            <w:r>
              <w:rPr>
                <w:rFonts w:hint="eastAsia" w:ascii="宋体" w:hAnsi="宋体" w:cs="宋体"/>
                <w:bCs/>
                <w:color w:val="auto"/>
                <w:kern w:val="0"/>
                <w:sz w:val="24"/>
                <w:lang w:val="en-US" w:eastAsia="zh-CN"/>
              </w:rPr>
              <w:t>甲方指定点</w:t>
            </w:r>
          </w:p>
        </w:tc>
      </w:tr>
      <w:tr w14:paraId="6CFE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CAC74DC">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534" w:type="dxa"/>
            <w:tcBorders>
              <w:top w:val="single" w:color="auto" w:sz="4" w:space="0"/>
              <w:left w:val="single" w:color="auto" w:sz="4" w:space="0"/>
              <w:bottom w:val="single" w:color="auto" w:sz="4" w:space="0"/>
              <w:right w:val="single" w:color="auto" w:sz="4" w:space="0"/>
            </w:tcBorders>
            <w:vAlign w:val="center"/>
          </w:tcPr>
          <w:p w14:paraId="6BD0E151">
            <w:pPr>
              <w:pStyle w:val="30"/>
              <w:keepNext w:val="0"/>
              <w:keepLines w:val="0"/>
              <w:widowControl/>
              <w:suppressLineNumbers w:val="0"/>
              <w:spacing w:before="75" w:beforeAutospacing="0" w:after="75" w:afterAutospacing="0" w:line="300" w:lineRule="auto"/>
              <w:ind w:left="0" w:right="0"/>
              <w:rPr>
                <w:rFonts w:hint="eastAsia" w:ascii="宋体" w:hAnsi="宋体" w:cs="宋体"/>
                <w:color w:val="auto"/>
                <w:sz w:val="24"/>
                <w:highlight w:val="none"/>
              </w:rPr>
            </w:pPr>
            <w:r>
              <w:rPr>
                <w:rFonts w:hint="eastAsia" w:ascii="宋体" w:hAnsi="宋体" w:cs="宋体"/>
                <w:b/>
                <w:bCs/>
                <w:color w:val="auto"/>
                <w:sz w:val="24"/>
                <w:highlight w:val="none"/>
                <w:lang w:eastAsia="zh-CN"/>
              </w:rPr>
              <w:t>合同履约期限</w:t>
            </w:r>
            <w:r>
              <w:rPr>
                <w:rFonts w:hint="eastAsia" w:ascii="宋体" w:hAnsi="宋体" w:cs="宋体"/>
                <w:b/>
                <w:bCs/>
                <w:color w:val="auto"/>
                <w:sz w:val="24"/>
                <w:highlight w:val="none"/>
              </w:rPr>
              <w:t>：</w:t>
            </w:r>
            <w:r>
              <w:rPr>
                <w:rFonts w:hint="eastAsia" w:ascii="宋体" w:hAnsi="宋体" w:cs="宋体"/>
                <w:color w:val="auto"/>
                <w:sz w:val="24"/>
                <w:highlight w:val="none"/>
                <w:lang w:eastAsia="zh-CN"/>
              </w:rPr>
              <w:t>按照三级阶梯分层级培养形式，逐步完成各类型培训。2025年6月之前完成，根据实际可调整时间。</w:t>
            </w:r>
          </w:p>
        </w:tc>
      </w:tr>
      <w:tr w14:paraId="0050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092DAE4">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8534" w:type="dxa"/>
            <w:tcBorders>
              <w:top w:val="single" w:color="auto" w:sz="4" w:space="0"/>
              <w:left w:val="single" w:color="auto" w:sz="4" w:space="0"/>
              <w:bottom w:val="single" w:color="auto" w:sz="4" w:space="0"/>
              <w:right w:val="single" w:color="auto" w:sz="4" w:space="0"/>
            </w:tcBorders>
            <w:vAlign w:val="center"/>
          </w:tcPr>
          <w:p w14:paraId="73F8B937">
            <w:pPr>
              <w:keepNext w:val="0"/>
              <w:keepLines w:val="0"/>
              <w:suppressLineNumbers w:val="0"/>
              <w:spacing w:before="0" w:beforeAutospacing="0" w:after="0" w:afterAutospacing="0" w:line="300" w:lineRule="auto"/>
              <w:ind w:left="0" w:right="0"/>
              <w:rPr>
                <w:rFonts w:hint="eastAsia"/>
                <w:color w:val="auto"/>
              </w:rPr>
            </w:pPr>
            <w:r>
              <w:rPr>
                <w:rFonts w:hint="eastAsia" w:ascii="宋体" w:hAnsi="宋体" w:cs="宋体"/>
                <w:b/>
                <w:bCs/>
                <w:color w:val="auto"/>
                <w:sz w:val="24"/>
                <w:highlight w:val="none"/>
              </w:rPr>
              <w:t>付款方式：</w:t>
            </w:r>
            <w:r>
              <w:rPr>
                <w:rFonts w:hint="eastAsia" w:ascii="宋体" w:hAnsi="宋体" w:cs="宋体"/>
                <w:color w:val="auto"/>
                <w:sz w:val="24"/>
                <w:szCs w:val="24"/>
                <w:highlight w:val="none"/>
                <w:lang w:val="en-US" w:eastAsia="zh-CN"/>
              </w:rPr>
              <w:t>合同签订后,甲方向乙方支付合同总价款的 50%预付款,整个活动结束后支付至合同总价款 90%，项目验收合格后支付至合同总价款 100%【具体以签订合同为准】。</w:t>
            </w:r>
          </w:p>
        </w:tc>
      </w:tr>
      <w:tr w14:paraId="2CF6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AA7D19">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8</w:t>
            </w:r>
          </w:p>
        </w:tc>
        <w:tc>
          <w:tcPr>
            <w:tcW w:w="8534" w:type="dxa"/>
            <w:tcBorders>
              <w:top w:val="single" w:color="auto" w:sz="4" w:space="0"/>
              <w:left w:val="single" w:color="auto" w:sz="4" w:space="0"/>
              <w:bottom w:val="single" w:color="auto" w:sz="4" w:space="0"/>
              <w:right w:val="single" w:color="auto" w:sz="4" w:space="0"/>
            </w:tcBorders>
            <w:vAlign w:val="center"/>
          </w:tcPr>
          <w:p w14:paraId="07A394A2">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
                <w:bCs/>
                <w:color w:val="auto"/>
                <w:sz w:val="24"/>
              </w:rPr>
              <w:t>招标方式：</w:t>
            </w:r>
            <w:r>
              <w:rPr>
                <w:rFonts w:hint="eastAsia" w:ascii="宋体" w:hAnsi="宋体" w:cs="宋体"/>
                <w:color w:val="auto"/>
                <w:sz w:val="24"/>
              </w:rPr>
              <w:t>竞争性磋商</w:t>
            </w:r>
          </w:p>
        </w:tc>
      </w:tr>
      <w:tr w14:paraId="75C2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222BBD7">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9</w:t>
            </w:r>
          </w:p>
        </w:tc>
        <w:tc>
          <w:tcPr>
            <w:tcW w:w="8534" w:type="dxa"/>
            <w:tcBorders>
              <w:top w:val="single" w:color="auto" w:sz="4" w:space="0"/>
              <w:left w:val="single" w:color="auto" w:sz="4" w:space="0"/>
              <w:bottom w:val="single" w:color="auto" w:sz="4" w:space="0"/>
              <w:right w:val="single" w:color="auto" w:sz="4" w:space="0"/>
            </w:tcBorders>
            <w:vAlign w:val="center"/>
          </w:tcPr>
          <w:p w14:paraId="21704281">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
                <w:bCs/>
                <w:color w:val="auto"/>
                <w:sz w:val="24"/>
              </w:rPr>
              <w:t>审查方式：</w:t>
            </w:r>
            <w:r>
              <w:rPr>
                <w:rFonts w:hint="eastAsia" w:ascii="宋体" w:hAnsi="宋体" w:cs="宋体"/>
                <w:color w:val="auto"/>
                <w:sz w:val="24"/>
              </w:rPr>
              <w:t>资格后审</w:t>
            </w:r>
          </w:p>
        </w:tc>
      </w:tr>
      <w:tr w14:paraId="1FD3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9687BA0">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10</w:t>
            </w:r>
          </w:p>
        </w:tc>
        <w:tc>
          <w:tcPr>
            <w:tcW w:w="8534" w:type="dxa"/>
            <w:tcBorders>
              <w:top w:val="single" w:color="auto" w:sz="4" w:space="0"/>
              <w:left w:val="single" w:color="auto" w:sz="4" w:space="0"/>
              <w:bottom w:val="single" w:color="auto" w:sz="4" w:space="0"/>
              <w:right w:val="single" w:color="auto" w:sz="4" w:space="0"/>
            </w:tcBorders>
            <w:vAlign w:val="center"/>
          </w:tcPr>
          <w:p w14:paraId="2BA5A2F5">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评标办法：</w:t>
            </w:r>
          </w:p>
          <w:p w14:paraId="774E5D83">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 资格后审         □资格预审</w:t>
            </w:r>
          </w:p>
          <w:p w14:paraId="39EC4518">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 综合评分法       □最低评标价法</w:t>
            </w:r>
          </w:p>
          <w:p w14:paraId="7EEB37C0">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注：</w:t>
            </w:r>
          </w:p>
          <w:p w14:paraId="0EBC2717">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1、最低评标价法，是指以价格为主要因素确定中标供应商的评标方法，即在全部满足竞争性磋商文件实质性要求前提下，依据统一的价格要素评定最低报价，以提出最低报价的供应商作为中标候选供应商或者中标供应商的评标方法。投标报价相同的，按技术指标优劣顺序排列，技术指标较优的一方为中标人。</w:t>
            </w:r>
          </w:p>
          <w:p w14:paraId="12F0BFB4">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2、综合评分法是指在最大限度地满足竞争性磋商文件实质性要求前提下，按照竞争性磋商文件中规定的评分细则评审后，以评标最终最高得分的供应商作为中标人的评标方法。每一供应商的最终得分为所有评委评分的算术平均值。得分相同的，报价较低的一方为中标人。得分且投标报价相同的，技术指标较优的一方为中标人。</w:t>
            </w:r>
          </w:p>
        </w:tc>
      </w:tr>
      <w:tr w14:paraId="5733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20C7041">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11</w:t>
            </w:r>
          </w:p>
        </w:tc>
        <w:tc>
          <w:tcPr>
            <w:tcW w:w="8534" w:type="dxa"/>
            <w:tcBorders>
              <w:top w:val="single" w:color="auto" w:sz="4" w:space="0"/>
              <w:left w:val="single" w:color="auto" w:sz="4" w:space="0"/>
              <w:bottom w:val="single" w:color="auto" w:sz="4" w:space="0"/>
              <w:right w:val="single" w:color="auto" w:sz="4" w:space="0"/>
            </w:tcBorders>
            <w:vAlign w:val="center"/>
          </w:tcPr>
          <w:p w14:paraId="74E15540">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供应商资格要求：</w:t>
            </w:r>
          </w:p>
          <w:p w14:paraId="4638D78A">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Cs/>
                <w:color w:val="auto"/>
                <w:kern w:val="0"/>
                <w:sz w:val="24"/>
              </w:rPr>
              <w:t>1.</w:t>
            </w:r>
            <w:r>
              <w:rPr>
                <w:rFonts w:hint="default" w:ascii="宋体" w:hAnsi="宋体" w:cs="宋体"/>
                <w:bCs/>
                <w:color w:val="auto"/>
                <w:kern w:val="0"/>
                <w:sz w:val="24"/>
              </w:rPr>
              <w:t>满</w:t>
            </w:r>
            <w:r>
              <w:rPr>
                <w:rFonts w:hint="eastAsia" w:ascii="宋体" w:hAnsi="宋体" w:cs="宋体"/>
                <w:color w:val="auto"/>
                <w:sz w:val="24"/>
              </w:rPr>
              <w:t>足《中华人民共和国政府采购法》第二十二条规定；</w:t>
            </w:r>
          </w:p>
          <w:p w14:paraId="20465587">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2.落实政府采购政策需满足的资格要求：</w:t>
            </w:r>
            <w:r>
              <w:rPr>
                <w:rFonts w:hint="eastAsia" w:ascii="宋体" w:hAnsi="宋体" w:cs="宋体"/>
                <w:bCs/>
                <w:color w:val="auto"/>
                <w:kern w:val="0"/>
                <w:sz w:val="24"/>
              </w:rPr>
              <w:t>本项目为非专门面向中小企业采购，根据《政府采购促进中小企业发展管埋办法》(财库〔2020〕46号〉的规定，评审时将给予此类企业进行价格10%的优惠，用优惠后的价格参与评审。</w:t>
            </w:r>
          </w:p>
          <w:p w14:paraId="0311DEE2">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3.本项目的特定资格要求：</w:t>
            </w:r>
            <w:r>
              <w:rPr>
                <w:rFonts w:hint="eastAsia" w:ascii="宋体" w:hAnsi="宋体" w:cs="宋体"/>
                <w:color w:val="auto"/>
                <w:sz w:val="24"/>
                <w:lang w:val="en-US" w:eastAsia="zh-CN"/>
              </w:rPr>
              <w:t>无。</w:t>
            </w:r>
          </w:p>
        </w:tc>
      </w:tr>
      <w:tr w14:paraId="2DCA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87F01A1">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12</w:t>
            </w:r>
          </w:p>
        </w:tc>
        <w:tc>
          <w:tcPr>
            <w:tcW w:w="8534" w:type="dxa"/>
            <w:tcBorders>
              <w:top w:val="single" w:color="auto" w:sz="4" w:space="0"/>
              <w:left w:val="single" w:color="auto" w:sz="4" w:space="0"/>
              <w:bottom w:val="single" w:color="auto" w:sz="4" w:space="0"/>
              <w:right w:val="single" w:color="auto" w:sz="4" w:space="0"/>
            </w:tcBorders>
            <w:vAlign w:val="center"/>
          </w:tcPr>
          <w:p w14:paraId="119C6497">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投标保证金：</w:t>
            </w:r>
          </w:p>
          <w:p w14:paraId="497DD0A1">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金额：</w:t>
            </w:r>
            <w:r>
              <w:rPr>
                <w:rFonts w:hint="eastAsia" w:ascii="宋体" w:hAnsi="宋体" w:cs="宋体"/>
                <w:color w:val="auto"/>
                <w:sz w:val="24"/>
                <w:lang w:val="en-US" w:eastAsia="zh-CN"/>
              </w:rPr>
              <w:t>36000.00</w:t>
            </w:r>
            <w:r>
              <w:rPr>
                <w:rFonts w:hint="eastAsia" w:ascii="宋体" w:hAnsi="宋体" w:cs="宋体"/>
                <w:color w:val="auto"/>
                <w:sz w:val="24"/>
              </w:rPr>
              <w:t>元（大写：</w:t>
            </w:r>
            <w:r>
              <w:rPr>
                <w:rFonts w:hint="eastAsia" w:ascii="宋体" w:hAnsi="宋体" w:cs="宋体"/>
                <w:color w:val="auto"/>
                <w:sz w:val="24"/>
                <w:lang w:val="en-US" w:eastAsia="zh-CN"/>
              </w:rPr>
              <w:t>叁万陆仟元整</w:t>
            </w:r>
            <w:r>
              <w:rPr>
                <w:rFonts w:hint="eastAsia" w:ascii="宋体" w:hAnsi="宋体" w:cs="宋体"/>
                <w:color w:val="auto"/>
                <w:sz w:val="24"/>
              </w:rPr>
              <w:t>）</w:t>
            </w:r>
          </w:p>
          <w:p w14:paraId="1CF0D03E">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投标保证金形式：电汇、网银转账或银行保函。</w:t>
            </w:r>
          </w:p>
          <w:p w14:paraId="7A0388A6">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 xml:space="preserve">户名：新疆华展鑫荣项目管理咨询有限公司  </w:t>
            </w:r>
          </w:p>
          <w:p w14:paraId="014442AD">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账号：8020 8001 2010 1256 67428</w:t>
            </w:r>
          </w:p>
          <w:p w14:paraId="051A866E">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开户行：新疆天山农村商业银行股份有限公司</w:t>
            </w:r>
          </w:p>
          <w:p w14:paraId="343D48FD">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开户行行号：402881008888</w:t>
            </w:r>
          </w:p>
          <w:p w14:paraId="16F62BBC">
            <w:pPr>
              <w:keepNext w:val="0"/>
              <w:keepLines w:val="0"/>
              <w:suppressLineNumbers w:val="0"/>
              <w:spacing w:before="0" w:beforeAutospacing="0" w:after="0" w:afterAutospacing="0" w:line="300" w:lineRule="auto"/>
              <w:ind w:left="0" w:right="0"/>
              <w:jc w:val="left"/>
              <w:rPr>
                <w:rFonts w:hint="eastAsia" w:ascii="宋体" w:hAnsi="宋体" w:cs="宋体"/>
                <w:color w:val="auto"/>
                <w:sz w:val="24"/>
              </w:rPr>
            </w:pPr>
            <w:r>
              <w:rPr>
                <w:rFonts w:hint="eastAsia" w:ascii="宋体" w:hAnsi="宋体" w:cs="宋体"/>
                <w:color w:val="auto"/>
                <w:sz w:val="24"/>
              </w:rPr>
              <w:t>注：</w:t>
            </w:r>
          </w:p>
          <w:p w14:paraId="31B5040D">
            <w:pPr>
              <w:keepNext w:val="0"/>
              <w:keepLines w:val="0"/>
              <w:suppressLineNumbers w:val="0"/>
              <w:spacing w:before="0" w:beforeAutospacing="0" w:after="0" w:afterAutospacing="0" w:line="300" w:lineRule="auto"/>
              <w:ind w:left="0" w:right="0"/>
              <w:jc w:val="left"/>
              <w:rPr>
                <w:rFonts w:hint="eastAsia" w:ascii="宋体" w:hAnsi="宋体" w:cs="宋体"/>
                <w:color w:val="auto"/>
                <w:sz w:val="24"/>
              </w:rPr>
            </w:pPr>
            <w:r>
              <w:rPr>
                <w:rFonts w:hint="eastAsia" w:ascii="宋体" w:hAnsi="宋体" w:cs="宋体"/>
                <w:color w:val="auto"/>
                <w:sz w:val="24"/>
              </w:rPr>
              <w:t>（1）汇款单上需注明</w:t>
            </w:r>
            <w:r>
              <w:rPr>
                <w:rFonts w:hint="eastAsia" w:ascii="宋体" w:hAnsi="宋体" w:cs="宋体"/>
                <w:b/>
                <w:bCs/>
                <w:color w:val="auto"/>
                <w:sz w:val="24"/>
                <w:u w:val="single"/>
              </w:rPr>
              <w:t>项目简称及金额用途</w:t>
            </w:r>
            <w:r>
              <w:rPr>
                <w:rFonts w:hint="eastAsia" w:ascii="宋体" w:hAnsi="宋体" w:cs="宋体"/>
                <w:color w:val="auto"/>
                <w:sz w:val="24"/>
              </w:rPr>
              <w:t>。</w:t>
            </w:r>
          </w:p>
          <w:p w14:paraId="24D628F3">
            <w:pPr>
              <w:keepNext w:val="0"/>
              <w:keepLines w:val="0"/>
              <w:suppressLineNumbers w:val="0"/>
              <w:spacing w:before="0" w:beforeAutospacing="0" w:after="0" w:afterAutospacing="0" w:line="300" w:lineRule="auto"/>
              <w:ind w:left="0" w:right="0"/>
              <w:jc w:val="left"/>
              <w:rPr>
                <w:rFonts w:hint="eastAsia" w:ascii="宋体" w:hAnsi="宋体" w:cs="宋体"/>
                <w:color w:val="auto"/>
                <w:sz w:val="24"/>
              </w:rPr>
            </w:pPr>
            <w:r>
              <w:rPr>
                <w:rFonts w:hint="eastAsia" w:ascii="宋体" w:hAnsi="宋体" w:cs="宋体"/>
                <w:color w:val="auto"/>
                <w:sz w:val="24"/>
              </w:rPr>
              <w:t>（2）投标保证金须从供应商基本账户汇出。</w:t>
            </w:r>
          </w:p>
          <w:p w14:paraId="7D3BF509">
            <w:pPr>
              <w:keepNext w:val="0"/>
              <w:keepLines w:val="0"/>
              <w:suppressLineNumbers w:val="0"/>
              <w:spacing w:before="0" w:beforeAutospacing="0" w:after="0" w:afterAutospacing="0" w:line="300" w:lineRule="auto"/>
              <w:ind w:left="0" w:right="0"/>
              <w:jc w:val="left"/>
              <w:rPr>
                <w:rFonts w:hint="eastAsia" w:ascii="宋体" w:hAnsi="宋体" w:cs="宋体"/>
                <w:color w:val="auto"/>
                <w:sz w:val="24"/>
              </w:rPr>
            </w:pPr>
            <w:r>
              <w:rPr>
                <w:rFonts w:hint="eastAsia" w:ascii="宋体" w:hAnsi="宋体" w:cs="宋体"/>
                <w:color w:val="auto"/>
                <w:sz w:val="24"/>
              </w:rPr>
              <w:t>（3）若供应商未按照上述规定缴纳保证金投标响应文件将被拒绝评审。</w:t>
            </w:r>
          </w:p>
          <w:p w14:paraId="78875A9B">
            <w:pPr>
              <w:keepNext w:val="0"/>
              <w:keepLines w:val="0"/>
              <w:suppressLineNumbers w:val="0"/>
              <w:spacing w:before="0" w:beforeAutospacing="0" w:after="0" w:afterAutospacing="0" w:line="300" w:lineRule="auto"/>
              <w:ind w:left="0" w:right="0"/>
              <w:jc w:val="left"/>
              <w:rPr>
                <w:rFonts w:hint="eastAsia" w:ascii="宋体" w:hAnsi="宋体" w:cs="宋体"/>
                <w:color w:val="auto"/>
                <w:sz w:val="24"/>
              </w:rPr>
            </w:pPr>
            <w:r>
              <w:rPr>
                <w:rFonts w:hint="eastAsia" w:ascii="宋体" w:hAnsi="宋体" w:cs="宋体"/>
                <w:color w:val="auto"/>
                <w:sz w:val="24"/>
              </w:rPr>
              <w:t>（4）退还保证金不含利息。</w:t>
            </w:r>
          </w:p>
          <w:p w14:paraId="5E8F5826">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供应商办理退款业务时需提供以下资料：</w:t>
            </w:r>
          </w:p>
          <w:p w14:paraId="238BCD5B">
            <w:pPr>
              <w:pStyle w:val="83"/>
              <w:keepNext w:val="0"/>
              <w:keepLines w:val="0"/>
              <w:suppressLineNumbers w:val="0"/>
              <w:adjustRightInd/>
              <w:spacing w:before="0" w:beforeAutospacing="0" w:after="0" w:afterAutospacing="0"/>
              <w:ind w:left="0" w:right="0" w:firstLine="0" w:firstLineChars="0"/>
              <w:rPr>
                <w:rFonts w:hint="eastAsia" w:hAnsi="宋体" w:cs="宋体"/>
                <w:color w:val="auto"/>
                <w:szCs w:val="24"/>
                <w:u w:val="single"/>
              </w:rPr>
            </w:pPr>
            <w:r>
              <w:rPr>
                <w:rFonts w:hint="eastAsia" w:hAnsi="宋体" w:cs="宋体"/>
                <w:color w:val="auto"/>
                <w:szCs w:val="24"/>
                <w:u w:val="single"/>
              </w:rPr>
              <w:t>1、经办人授权委托书（包含经办人电话）</w:t>
            </w:r>
          </w:p>
          <w:p w14:paraId="52F080D3">
            <w:pPr>
              <w:pStyle w:val="83"/>
              <w:keepNext w:val="0"/>
              <w:keepLines w:val="0"/>
              <w:suppressLineNumbers w:val="0"/>
              <w:adjustRightInd/>
              <w:spacing w:before="0" w:beforeAutospacing="0" w:after="0" w:afterAutospacing="0"/>
              <w:ind w:left="0" w:right="0" w:firstLine="0" w:firstLineChars="0"/>
              <w:rPr>
                <w:rFonts w:hint="eastAsia" w:hAnsi="宋体" w:cs="宋体"/>
                <w:color w:val="auto"/>
                <w:szCs w:val="24"/>
                <w:u w:val="single"/>
              </w:rPr>
            </w:pPr>
            <w:r>
              <w:rPr>
                <w:rFonts w:hint="eastAsia" w:hAnsi="宋体" w:cs="宋体"/>
                <w:color w:val="auto"/>
                <w:szCs w:val="24"/>
                <w:u w:val="single"/>
              </w:rPr>
              <w:t>2、对开收据</w:t>
            </w:r>
          </w:p>
          <w:p w14:paraId="41172385">
            <w:pPr>
              <w:pStyle w:val="83"/>
              <w:keepNext w:val="0"/>
              <w:keepLines w:val="0"/>
              <w:suppressLineNumbers w:val="0"/>
              <w:adjustRightInd/>
              <w:spacing w:before="0" w:beforeAutospacing="0" w:after="0" w:afterAutospacing="0"/>
              <w:ind w:left="0" w:right="0" w:firstLine="0" w:firstLineChars="0"/>
              <w:rPr>
                <w:rFonts w:hint="eastAsia" w:hAnsi="宋体" w:cs="宋体"/>
                <w:color w:val="auto"/>
                <w:szCs w:val="24"/>
                <w:u w:val="single"/>
              </w:rPr>
            </w:pPr>
            <w:r>
              <w:rPr>
                <w:rFonts w:hint="eastAsia" w:hAnsi="宋体" w:cs="宋体"/>
                <w:color w:val="auto"/>
                <w:szCs w:val="24"/>
                <w:u w:val="single"/>
              </w:rPr>
              <w:t>3、汇保证金凭证加盖公章</w:t>
            </w:r>
          </w:p>
          <w:p w14:paraId="2357E4B0">
            <w:pPr>
              <w:pStyle w:val="83"/>
              <w:keepNext w:val="0"/>
              <w:keepLines w:val="0"/>
              <w:suppressLineNumbers w:val="0"/>
              <w:adjustRightInd/>
              <w:spacing w:before="0" w:beforeAutospacing="0" w:after="0" w:afterAutospacing="0"/>
              <w:ind w:left="0" w:right="0" w:firstLine="0" w:firstLineChars="0"/>
              <w:rPr>
                <w:rFonts w:hint="eastAsia" w:hAnsi="宋体" w:cs="宋体"/>
                <w:color w:val="auto"/>
                <w:szCs w:val="24"/>
                <w:u w:val="single"/>
              </w:rPr>
            </w:pPr>
            <w:r>
              <w:rPr>
                <w:rFonts w:hint="eastAsia" w:hAnsi="宋体" w:cs="宋体"/>
                <w:color w:val="auto"/>
                <w:szCs w:val="24"/>
                <w:u w:val="single"/>
              </w:rPr>
              <w:t>4、公司账户信息（A4纸打印加盖公章）</w:t>
            </w:r>
          </w:p>
          <w:p w14:paraId="0BF13F06">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1）供应商在投标截止时间前撤回已提交的投标响应文件的，采购人或者采购代理机构应当自收到供应商书面撤回通知之日起5个工作日内，退还已收取的投标保证金，但因供应商自身原因导致无法及时退还的除外。</w:t>
            </w:r>
          </w:p>
          <w:p w14:paraId="69A9D9BC">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color w:val="auto"/>
              </w:rPr>
            </w:pPr>
            <w:r>
              <w:rPr>
                <w:rFonts w:hint="eastAsia" w:hAnsi="宋体" w:cs="宋体"/>
                <w:color w:val="auto"/>
              </w:rPr>
              <w:t>（2）采购人或者采购代理机构应当自成交通知书发出之日起5个工作日内退还未成交供应商的投标保证金，自采购合同签订之日起5个工作日内退还成交供应商的投标保证金。</w:t>
            </w:r>
          </w:p>
          <w:p w14:paraId="496E332C">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b/>
                <w:bCs/>
                <w:color w:val="auto"/>
                <w:kern w:val="0"/>
              </w:rPr>
            </w:pPr>
            <w:r>
              <w:rPr>
                <w:rFonts w:hint="eastAsia" w:hAnsi="宋体" w:cs="宋体"/>
                <w:b/>
                <w:bCs/>
                <w:color w:val="auto"/>
                <w:kern w:val="0"/>
              </w:rPr>
              <w:t>有下列情形之一的，保证金不予退还：</w:t>
            </w:r>
          </w:p>
          <w:p w14:paraId="31A31DF8">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color w:val="auto"/>
                <w:kern w:val="0"/>
              </w:rPr>
            </w:pPr>
            <w:r>
              <w:rPr>
                <w:rFonts w:hint="eastAsia" w:hAnsi="宋体" w:cs="宋体"/>
                <w:color w:val="auto"/>
                <w:kern w:val="0"/>
              </w:rPr>
              <w:t>1、供应商在提交投标响应文件截止时间后撤回投标响应文件的；</w:t>
            </w:r>
          </w:p>
          <w:p w14:paraId="3EB99212">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color w:val="auto"/>
                <w:kern w:val="0"/>
              </w:rPr>
            </w:pPr>
            <w:r>
              <w:rPr>
                <w:rFonts w:hint="eastAsia" w:hAnsi="宋体" w:cs="宋体"/>
                <w:color w:val="auto"/>
                <w:kern w:val="0"/>
              </w:rPr>
              <w:t>2、供应商在投标响应文件中提供虚假材料的；</w:t>
            </w:r>
          </w:p>
          <w:p w14:paraId="746BC424">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color w:val="auto"/>
                <w:kern w:val="0"/>
              </w:rPr>
            </w:pPr>
            <w:r>
              <w:rPr>
                <w:rFonts w:hint="eastAsia" w:hAnsi="宋体" w:cs="宋体"/>
                <w:color w:val="auto"/>
                <w:kern w:val="0"/>
              </w:rPr>
              <w:t>3、除因不可抗力或投标响应文件认可的情形以外，中标供应商不与采购人签订合同的；</w:t>
            </w:r>
          </w:p>
          <w:p w14:paraId="55B2F941">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color w:val="auto"/>
                <w:kern w:val="0"/>
              </w:rPr>
            </w:pPr>
            <w:r>
              <w:rPr>
                <w:rFonts w:hint="eastAsia" w:hAnsi="宋体" w:cs="宋体"/>
                <w:color w:val="auto"/>
                <w:kern w:val="0"/>
              </w:rPr>
              <w:t>4、供应商与采购人、其他供应商或者采购代理机构恶意串通的；</w:t>
            </w:r>
          </w:p>
          <w:p w14:paraId="5A339D2A">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color w:val="auto"/>
                <w:kern w:val="0"/>
              </w:rPr>
            </w:pPr>
            <w:r>
              <w:rPr>
                <w:rFonts w:hint="eastAsia" w:hAnsi="宋体" w:cs="宋体"/>
                <w:color w:val="auto"/>
                <w:kern w:val="0"/>
              </w:rPr>
              <w:t>5、投标响应文件规定的其他情形。</w:t>
            </w:r>
          </w:p>
          <w:p w14:paraId="1E6A4B93">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b/>
                <w:bCs/>
                <w:color w:val="auto"/>
                <w:kern w:val="0"/>
              </w:rPr>
            </w:pPr>
            <w:r>
              <w:rPr>
                <w:rFonts w:hint="eastAsia" w:hAnsi="宋体" w:cs="宋体"/>
                <w:b/>
                <w:bCs/>
                <w:color w:val="auto"/>
                <w:kern w:val="0"/>
              </w:rPr>
              <w:t>注：</w:t>
            </w:r>
          </w:p>
          <w:p w14:paraId="06F45F27">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color w:val="auto"/>
                <w:kern w:val="0"/>
              </w:rPr>
            </w:pPr>
            <w:r>
              <w:rPr>
                <w:rFonts w:hint="eastAsia" w:hAnsi="宋体" w:cs="宋体"/>
                <w:color w:val="auto"/>
                <w:kern w:val="0"/>
                <w:lang w:val="en-US" w:eastAsia="zh-CN"/>
              </w:rPr>
              <w:t>1</w:t>
            </w:r>
            <w:r>
              <w:rPr>
                <w:rFonts w:hint="eastAsia" w:hAnsi="宋体" w:cs="宋体"/>
                <w:color w:val="auto"/>
                <w:kern w:val="0"/>
              </w:rPr>
              <w:t>、成交单位另需提供合同复印件；</w:t>
            </w:r>
          </w:p>
          <w:p w14:paraId="24006014">
            <w:pPr>
              <w:pStyle w:val="84"/>
              <w:keepNext w:val="0"/>
              <w:keepLines w:val="0"/>
              <w:suppressLineNumbers w:val="0"/>
              <w:tabs>
                <w:tab w:val="left" w:pos="720"/>
              </w:tabs>
              <w:adjustRightInd w:val="0"/>
              <w:spacing w:before="0" w:beforeAutospacing="0" w:after="0" w:afterAutospacing="0" w:line="300" w:lineRule="auto"/>
              <w:ind w:left="0" w:right="0" w:firstLine="0" w:firstLineChars="0"/>
              <w:rPr>
                <w:rFonts w:hint="eastAsia" w:hAnsi="宋体" w:cs="宋体"/>
                <w:color w:val="auto"/>
              </w:rPr>
            </w:pPr>
            <w:r>
              <w:rPr>
                <w:rFonts w:hint="eastAsia" w:hAnsi="宋体" w:cs="宋体"/>
                <w:color w:val="auto"/>
                <w:kern w:val="0"/>
                <w:lang w:val="en-US" w:eastAsia="zh-CN"/>
              </w:rPr>
              <w:t>2</w:t>
            </w:r>
            <w:r>
              <w:rPr>
                <w:rFonts w:hint="eastAsia" w:hAnsi="宋体" w:cs="宋体"/>
                <w:color w:val="auto"/>
                <w:kern w:val="0"/>
              </w:rPr>
              <w:t>、保证金缴纳及退还等财务相关事宜联系财务负责人。</w:t>
            </w:r>
          </w:p>
        </w:tc>
      </w:tr>
      <w:tr w14:paraId="3AE5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B8D8E4A">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13</w:t>
            </w:r>
          </w:p>
        </w:tc>
        <w:tc>
          <w:tcPr>
            <w:tcW w:w="8534" w:type="dxa"/>
            <w:tcBorders>
              <w:top w:val="single" w:color="auto" w:sz="4" w:space="0"/>
              <w:left w:val="single" w:color="auto" w:sz="4" w:space="0"/>
              <w:bottom w:val="single" w:color="auto" w:sz="4" w:space="0"/>
              <w:right w:val="single" w:color="auto" w:sz="4" w:space="0"/>
            </w:tcBorders>
            <w:vAlign w:val="center"/>
          </w:tcPr>
          <w:p w14:paraId="362A6A09">
            <w:pPr>
              <w:keepNext w:val="0"/>
              <w:keepLines w:val="0"/>
              <w:suppressLineNumbers w:val="0"/>
              <w:snapToGrid w:val="0"/>
              <w:spacing w:before="0" w:beforeAutospacing="0" w:after="0" w:afterAutospacing="0" w:line="300" w:lineRule="auto"/>
              <w:ind w:left="0" w:right="105" w:rightChars="50"/>
              <w:rPr>
                <w:rFonts w:hint="eastAsia" w:ascii="宋体" w:hAnsi="宋体" w:cs="宋体"/>
                <w:b/>
                <w:snapToGrid w:val="0"/>
                <w:color w:val="auto"/>
                <w:kern w:val="0"/>
                <w:sz w:val="24"/>
              </w:rPr>
            </w:pPr>
            <w:r>
              <w:rPr>
                <w:rFonts w:hint="eastAsia" w:ascii="宋体" w:hAnsi="宋体" w:cs="宋体"/>
                <w:b/>
                <w:snapToGrid w:val="0"/>
                <w:color w:val="auto"/>
                <w:kern w:val="0"/>
                <w:sz w:val="24"/>
              </w:rPr>
              <w:t>答疑澄清：</w:t>
            </w:r>
          </w:p>
          <w:p w14:paraId="7DBB2E7A">
            <w:pPr>
              <w:keepNext w:val="0"/>
              <w:keepLines w:val="0"/>
              <w:suppressLineNumbers w:val="0"/>
              <w:snapToGrid w:val="0"/>
              <w:spacing w:before="0" w:beforeAutospacing="0" w:after="0" w:afterAutospacing="0" w:line="300" w:lineRule="auto"/>
              <w:ind w:left="0" w:right="105" w:rightChars="50"/>
              <w:rPr>
                <w:rFonts w:hint="eastAsia" w:ascii="宋体" w:hAnsi="宋体" w:cs="宋体"/>
                <w:color w:val="auto"/>
                <w:kern w:val="0"/>
                <w:sz w:val="24"/>
              </w:rPr>
            </w:pPr>
            <w:r>
              <w:rPr>
                <w:rFonts w:hint="eastAsia" w:ascii="宋体" w:hAnsi="宋体" w:cs="宋体"/>
                <w:color w:val="auto"/>
                <w:kern w:val="0"/>
                <w:sz w:val="24"/>
              </w:rPr>
              <w:t>1.采购人对已发出的竞争性磋商文件进行必要的澄清或者修改的，应当在竞争性磋商文件要求递交投标响应文件截止时间至少5日前，以书面形式通知所有竞争性磋商文件收受人。该澄清或者修改的内容为竞争性磋商文件的组成部分。</w:t>
            </w:r>
          </w:p>
          <w:p w14:paraId="5F1154EA">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kern w:val="0"/>
                <w:sz w:val="24"/>
              </w:rPr>
              <w:t>2.供应商对竞争性磋商文件有异议的，应当在投标截止时间5日前提出。采购代理机构在收到书面答疑函后根据澄清或答疑函的具体内容相应作出答复，答复内容不得涉及商业秘密。</w:t>
            </w:r>
          </w:p>
        </w:tc>
      </w:tr>
      <w:tr w14:paraId="6837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8B5139F">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14</w:t>
            </w:r>
          </w:p>
        </w:tc>
        <w:tc>
          <w:tcPr>
            <w:tcW w:w="8534" w:type="dxa"/>
            <w:tcBorders>
              <w:top w:val="single" w:color="auto" w:sz="4" w:space="0"/>
              <w:left w:val="single" w:color="auto" w:sz="4" w:space="0"/>
              <w:bottom w:val="single" w:color="auto" w:sz="4" w:space="0"/>
              <w:right w:val="single" w:color="auto" w:sz="4" w:space="0"/>
            </w:tcBorders>
            <w:vAlign w:val="center"/>
          </w:tcPr>
          <w:p w14:paraId="403B8F51">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
                <w:bCs/>
                <w:color w:val="auto"/>
                <w:sz w:val="24"/>
              </w:rPr>
              <w:t>投标有效期：</w:t>
            </w:r>
            <w:r>
              <w:rPr>
                <w:rFonts w:hint="eastAsia" w:ascii="宋体" w:hAnsi="宋体" w:cs="宋体"/>
                <w:color w:val="auto"/>
                <w:sz w:val="24"/>
              </w:rPr>
              <w:t>投标截止时间后90日历日</w:t>
            </w:r>
          </w:p>
        </w:tc>
      </w:tr>
      <w:tr w14:paraId="41ED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A79A1FE">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15</w:t>
            </w:r>
          </w:p>
        </w:tc>
        <w:tc>
          <w:tcPr>
            <w:tcW w:w="8534" w:type="dxa"/>
            <w:tcBorders>
              <w:top w:val="single" w:color="auto" w:sz="4" w:space="0"/>
              <w:left w:val="single" w:color="auto" w:sz="4" w:space="0"/>
              <w:bottom w:val="single" w:color="auto" w:sz="4" w:space="0"/>
              <w:right w:val="single" w:color="auto" w:sz="4" w:space="0"/>
            </w:tcBorders>
            <w:vAlign w:val="center"/>
          </w:tcPr>
          <w:p w14:paraId="63633A41">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
                <w:bCs/>
                <w:color w:val="auto"/>
                <w:sz w:val="24"/>
              </w:rPr>
              <w:t>投标截止时间：</w:t>
            </w:r>
            <w:r>
              <w:rPr>
                <w:rFonts w:hint="eastAsia" w:ascii="宋体" w:hAnsi="宋体" w:cs="宋体"/>
                <w:bCs/>
                <w:color w:val="auto"/>
                <w:kern w:val="0"/>
                <w:sz w:val="24"/>
                <w:u w:val="single"/>
              </w:rPr>
              <w:t>202</w:t>
            </w:r>
            <w:r>
              <w:rPr>
                <w:rFonts w:hint="eastAsia" w:ascii="宋体" w:hAnsi="宋体" w:cs="宋体"/>
                <w:bCs/>
                <w:color w:val="auto"/>
                <w:kern w:val="0"/>
                <w:sz w:val="24"/>
                <w:u w:val="single"/>
                <w:lang w:val="en-US" w:eastAsia="zh-CN"/>
              </w:rPr>
              <w:t>5</w:t>
            </w:r>
            <w:r>
              <w:rPr>
                <w:rFonts w:hint="default" w:ascii="宋体" w:hAnsi="宋体" w:cs="宋体"/>
                <w:bCs/>
                <w:color w:val="auto"/>
                <w:kern w:val="0"/>
                <w:sz w:val="24"/>
                <w:u w:val="single"/>
              </w:rPr>
              <w:t>年</w:t>
            </w:r>
            <w:r>
              <w:rPr>
                <w:rFonts w:hint="eastAsia" w:ascii="宋体" w:hAnsi="宋体" w:cs="宋体"/>
                <w:bCs/>
                <w:color w:val="auto"/>
                <w:kern w:val="0"/>
                <w:sz w:val="24"/>
                <w:u w:val="single"/>
                <w:lang w:val="en-US" w:eastAsia="zh-CN"/>
              </w:rPr>
              <w:t>05</w:t>
            </w:r>
            <w:r>
              <w:rPr>
                <w:rFonts w:hint="default" w:ascii="宋体" w:hAnsi="宋体" w:cs="宋体"/>
                <w:bCs/>
                <w:color w:val="auto"/>
                <w:kern w:val="0"/>
                <w:sz w:val="24"/>
                <w:u w:val="single"/>
              </w:rPr>
              <w:t>月</w:t>
            </w:r>
            <w:r>
              <w:rPr>
                <w:rFonts w:hint="eastAsia" w:ascii="宋体" w:hAnsi="宋体" w:cs="宋体"/>
                <w:bCs/>
                <w:color w:val="auto"/>
                <w:kern w:val="0"/>
                <w:sz w:val="24"/>
                <w:u w:val="single"/>
                <w:lang w:val="en-US" w:eastAsia="zh-CN"/>
              </w:rPr>
              <w:t>08</w:t>
            </w:r>
            <w:r>
              <w:rPr>
                <w:rFonts w:hint="default" w:ascii="宋体" w:hAnsi="宋体" w:cs="宋体"/>
                <w:bCs/>
                <w:color w:val="auto"/>
                <w:kern w:val="0"/>
                <w:sz w:val="24"/>
                <w:u w:val="single"/>
              </w:rPr>
              <w:t>日</w:t>
            </w:r>
            <w:r>
              <w:rPr>
                <w:rFonts w:hint="eastAsia" w:ascii="宋体" w:hAnsi="宋体" w:cs="宋体"/>
                <w:bCs/>
                <w:color w:val="auto"/>
                <w:kern w:val="0"/>
                <w:sz w:val="24"/>
                <w:u w:val="single"/>
                <w:lang w:val="en-US" w:eastAsia="zh-CN"/>
              </w:rPr>
              <w:t>11</w:t>
            </w:r>
            <w:r>
              <w:rPr>
                <w:rFonts w:hint="default" w:ascii="宋体" w:hAnsi="宋体" w:cs="宋体"/>
                <w:bCs/>
                <w:color w:val="auto"/>
                <w:kern w:val="0"/>
                <w:sz w:val="24"/>
                <w:u w:val="single"/>
              </w:rPr>
              <w:t>:00</w:t>
            </w:r>
            <w:r>
              <w:rPr>
                <w:rFonts w:hint="eastAsia" w:ascii="宋体" w:hAnsi="宋体" w:cs="宋体"/>
                <w:color w:val="auto"/>
                <w:sz w:val="24"/>
              </w:rPr>
              <w:t>（北京时间）</w:t>
            </w:r>
          </w:p>
          <w:p w14:paraId="03FF47F5">
            <w:pPr>
              <w:pStyle w:val="15"/>
              <w:keepNext w:val="0"/>
              <w:keepLines w:val="0"/>
              <w:suppressLineNumbers w:val="0"/>
              <w:spacing w:before="0" w:beforeAutospacing="0" w:after="0" w:afterAutospacing="0" w:line="300" w:lineRule="auto"/>
              <w:ind w:left="0" w:right="0"/>
              <w:rPr>
                <w:rFonts w:hint="eastAsia" w:ascii="宋体" w:hAnsi="宋体" w:eastAsia="宋体" w:cs="宋体"/>
                <w:color w:val="auto"/>
              </w:rPr>
            </w:pPr>
            <w:r>
              <w:rPr>
                <w:rFonts w:hint="eastAsia" w:ascii="宋体" w:hAnsi="宋体" w:eastAsia="宋体" w:cs="宋体"/>
                <w:color w:val="auto"/>
              </w:rPr>
              <w:t>投标响应文件递交至：</w:t>
            </w:r>
            <w:r>
              <w:rPr>
                <w:rFonts w:hint="eastAsia" w:ascii="宋体" w:hAnsi="宋体" w:eastAsia="宋体" w:cs="宋体"/>
                <w:b/>
                <w:bCs/>
                <w:color w:val="auto"/>
                <w:u w:val="single"/>
              </w:rPr>
              <w:t>新疆政府采购网-政采云平台（https://www.zcygov.cn）</w:t>
            </w:r>
          </w:p>
        </w:tc>
      </w:tr>
      <w:tr w14:paraId="60B1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16BE80F">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16</w:t>
            </w:r>
          </w:p>
        </w:tc>
        <w:tc>
          <w:tcPr>
            <w:tcW w:w="8534" w:type="dxa"/>
            <w:tcBorders>
              <w:top w:val="single" w:color="auto" w:sz="4" w:space="0"/>
              <w:left w:val="single" w:color="auto" w:sz="4" w:space="0"/>
              <w:bottom w:val="single" w:color="auto" w:sz="4" w:space="0"/>
              <w:right w:val="single" w:color="auto" w:sz="4" w:space="0"/>
            </w:tcBorders>
            <w:vAlign w:val="center"/>
          </w:tcPr>
          <w:p w14:paraId="35C0AE2F">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
                <w:bCs/>
                <w:color w:val="auto"/>
                <w:sz w:val="24"/>
              </w:rPr>
              <w:t>开标时间</w:t>
            </w:r>
            <w:r>
              <w:rPr>
                <w:rFonts w:hint="eastAsia" w:ascii="宋体" w:hAnsi="宋体" w:cs="宋体"/>
                <w:color w:val="auto"/>
                <w:sz w:val="24"/>
              </w:rPr>
              <w:t>：</w:t>
            </w:r>
            <w:r>
              <w:rPr>
                <w:rFonts w:hint="eastAsia" w:ascii="宋体" w:hAnsi="宋体" w:cs="宋体"/>
                <w:bCs/>
                <w:color w:val="auto"/>
                <w:kern w:val="0"/>
                <w:sz w:val="24"/>
                <w:u w:val="single"/>
              </w:rPr>
              <w:t>202</w:t>
            </w:r>
            <w:r>
              <w:rPr>
                <w:rFonts w:hint="eastAsia" w:ascii="宋体" w:hAnsi="宋体" w:cs="宋体"/>
                <w:bCs/>
                <w:color w:val="auto"/>
                <w:kern w:val="0"/>
                <w:sz w:val="24"/>
                <w:u w:val="single"/>
                <w:lang w:val="en-US" w:eastAsia="zh-CN"/>
              </w:rPr>
              <w:t>5</w:t>
            </w:r>
            <w:r>
              <w:rPr>
                <w:rFonts w:hint="default" w:ascii="宋体" w:hAnsi="宋体" w:cs="宋体"/>
                <w:bCs/>
                <w:color w:val="auto"/>
                <w:kern w:val="0"/>
                <w:sz w:val="24"/>
                <w:u w:val="single"/>
              </w:rPr>
              <w:t>年</w:t>
            </w:r>
            <w:r>
              <w:rPr>
                <w:rFonts w:hint="eastAsia" w:ascii="宋体" w:hAnsi="宋体" w:cs="宋体"/>
                <w:bCs/>
                <w:color w:val="auto"/>
                <w:kern w:val="0"/>
                <w:sz w:val="24"/>
                <w:u w:val="single"/>
                <w:lang w:val="en-US" w:eastAsia="zh-CN"/>
              </w:rPr>
              <w:t>05</w:t>
            </w:r>
            <w:r>
              <w:rPr>
                <w:rFonts w:hint="default" w:ascii="宋体" w:hAnsi="宋体" w:cs="宋体"/>
                <w:bCs/>
                <w:color w:val="auto"/>
                <w:kern w:val="0"/>
                <w:sz w:val="24"/>
                <w:u w:val="single"/>
              </w:rPr>
              <w:t>月</w:t>
            </w:r>
            <w:r>
              <w:rPr>
                <w:rFonts w:hint="eastAsia" w:ascii="宋体" w:hAnsi="宋体" w:cs="宋体"/>
                <w:bCs/>
                <w:color w:val="auto"/>
                <w:kern w:val="0"/>
                <w:sz w:val="24"/>
                <w:u w:val="single"/>
                <w:lang w:val="en-US" w:eastAsia="zh-CN"/>
              </w:rPr>
              <w:t>08</w:t>
            </w:r>
            <w:r>
              <w:rPr>
                <w:rFonts w:hint="default" w:ascii="宋体" w:hAnsi="宋体" w:cs="宋体"/>
                <w:bCs/>
                <w:color w:val="auto"/>
                <w:kern w:val="0"/>
                <w:sz w:val="24"/>
                <w:u w:val="single"/>
              </w:rPr>
              <w:t>日</w:t>
            </w:r>
            <w:r>
              <w:rPr>
                <w:rFonts w:hint="eastAsia" w:ascii="宋体" w:hAnsi="宋体" w:cs="宋体"/>
                <w:bCs/>
                <w:color w:val="auto"/>
                <w:kern w:val="0"/>
                <w:sz w:val="24"/>
                <w:u w:val="single"/>
                <w:lang w:val="en-US" w:eastAsia="zh-CN"/>
              </w:rPr>
              <w:t>11</w:t>
            </w:r>
            <w:r>
              <w:rPr>
                <w:rFonts w:hint="default" w:ascii="宋体" w:hAnsi="宋体" w:cs="宋体"/>
                <w:bCs/>
                <w:color w:val="auto"/>
                <w:kern w:val="0"/>
                <w:sz w:val="24"/>
                <w:u w:val="single"/>
              </w:rPr>
              <w:t>:00</w:t>
            </w:r>
            <w:r>
              <w:rPr>
                <w:rFonts w:hint="eastAsia" w:ascii="宋体" w:hAnsi="宋体" w:cs="宋体"/>
                <w:color w:val="auto"/>
                <w:sz w:val="24"/>
              </w:rPr>
              <w:t>（北京时间）</w:t>
            </w:r>
          </w:p>
          <w:p w14:paraId="19FF197A">
            <w:pPr>
              <w:pStyle w:val="15"/>
              <w:keepNext w:val="0"/>
              <w:keepLines w:val="0"/>
              <w:suppressLineNumbers w:val="0"/>
              <w:spacing w:before="0" w:beforeAutospacing="0" w:after="0" w:afterAutospacing="0" w:line="300" w:lineRule="auto"/>
              <w:ind w:left="0" w:right="0"/>
              <w:rPr>
                <w:rFonts w:hint="eastAsia" w:ascii="宋体" w:hAnsi="宋体" w:eastAsia="宋体" w:cs="宋体"/>
                <w:color w:val="auto"/>
              </w:rPr>
            </w:pPr>
            <w:r>
              <w:rPr>
                <w:rFonts w:hint="eastAsia" w:ascii="宋体" w:hAnsi="宋体" w:eastAsia="宋体" w:cs="宋体"/>
                <w:b/>
                <w:bCs/>
                <w:color w:val="auto"/>
              </w:rPr>
              <w:t>开标地点：</w:t>
            </w:r>
            <w:r>
              <w:rPr>
                <w:rFonts w:hint="eastAsia" w:ascii="宋体" w:hAnsi="宋体" w:eastAsia="宋体" w:cs="宋体"/>
                <w:color w:val="auto"/>
              </w:rPr>
              <w:t>政采云平台不见面开标大厅（本项目采用远程不见面交易的模式）。开标当日，供应商无需到达投标现场，仅需在任意地点登录政采云平台（https://www.zcygov.cn）不见面开标系统（进入“项目采购”应用，在开标评标菜单中选择进入开标大厅）</w:t>
            </w:r>
          </w:p>
        </w:tc>
      </w:tr>
      <w:tr w14:paraId="6A6C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E3C2628">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17</w:t>
            </w:r>
          </w:p>
        </w:tc>
        <w:tc>
          <w:tcPr>
            <w:tcW w:w="8534" w:type="dxa"/>
            <w:tcBorders>
              <w:top w:val="single" w:color="auto" w:sz="4" w:space="0"/>
              <w:left w:val="single" w:color="auto" w:sz="4" w:space="0"/>
              <w:bottom w:val="single" w:color="auto" w:sz="4" w:space="0"/>
              <w:right w:val="single" w:color="auto" w:sz="4" w:space="0"/>
            </w:tcBorders>
            <w:vAlign w:val="center"/>
          </w:tcPr>
          <w:p w14:paraId="0AD633A1">
            <w:pPr>
              <w:pStyle w:val="44"/>
              <w:keepNext w:val="0"/>
              <w:keepLines w:val="0"/>
              <w:suppressLineNumbers w:val="0"/>
              <w:spacing w:before="0" w:beforeAutospacing="0" w:after="0" w:afterAutospacing="0" w:line="300" w:lineRule="auto"/>
              <w:ind w:left="0" w:leftChars="0" w:right="0" w:firstLine="0" w:firstLineChars="0"/>
              <w:textAlignment w:val="auto"/>
              <w:rPr>
                <w:rFonts w:hint="eastAsia" w:ascii="宋体" w:hAnsi="宋体" w:cs="宋体"/>
                <w:b/>
                <w:bCs/>
                <w:color w:val="auto"/>
                <w:sz w:val="24"/>
              </w:rPr>
            </w:pPr>
            <w:r>
              <w:rPr>
                <w:rFonts w:hint="eastAsia" w:ascii="宋体" w:hAnsi="宋体" w:cs="宋体"/>
                <w:b/>
                <w:bCs/>
                <w:color w:val="auto"/>
                <w:sz w:val="24"/>
              </w:rPr>
              <w:t>投标响应文件要求：</w:t>
            </w:r>
          </w:p>
          <w:p w14:paraId="55889B4F">
            <w:pPr>
              <w:pStyle w:val="44"/>
              <w:keepNext w:val="0"/>
              <w:keepLines w:val="0"/>
              <w:suppressLineNumbers w:val="0"/>
              <w:spacing w:before="0" w:beforeAutospacing="0" w:after="0" w:afterAutospacing="0" w:line="300" w:lineRule="auto"/>
              <w:ind w:left="0" w:leftChars="0" w:right="0" w:firstLine="0" w:firstLineChars="0"/>
              <w:textAlignment w:val="auto"/>
              <w:rPr>
                <w:rFonts w:hint="eastAsia" w:ascii="宋体" w:hAnsi="宋体" w:cs="宋体"/>
                <w:color w:val="auto"/>
                <w:sz w:val="24"/>
              </w:rPr>
            </w:pPr>
            <w:r>
              <w:rPr>
                <w:rFonts w:hint="eastAsia" w:ascii="宋体" w:hAnsi="宋体" w:cs="宋体"/>
                <w:color w:val="auto"/>
                <w:sz w:val="24"/>
              </w:rPr>
              <w:t>1．本项目为电子招投标项目供应商的法人代表人或其委托代理人无需到开标现场递交投标响应文件。</w:t>
            </w:r>
          </w:p>
          <w:p w14:paraId="3A091EC5">
            <w:pPr>
              <w:pStyle w:val="44"/>
              <w:keepNext w:val="0"/>
              <w:keepLines w:val="0"/>
              <w:suppressLineNumbers w:val="0"/>
              <w:spacing w:before="0" w:beforeAutospacing="0" w:after="0" w:afterAutospacing="0" w:line="300" w:lineRule="auto"/>
              <w:ind w:left="0" w:leftChars="0" w:right="0" w:firstLine="0" w:firstLineChars="0"/>
              <w:textAlignment w:val="auto"/>
              <w:rPr>
                <w:rFonts w:hint="eastAsia" w:ascii="宋体" w:hAnsi="宋体" w:cs="宋体"/>
                <w:color w:val="auto"/>
                <w:sz w:val="24"/>
              </w:rPr>
            </w:pPr>
            <w:r>
              <w:rPr>
                <w:rFonts w:hint="eastAsia" w:ascii="宋体" w:hAnsi="宋体" w:cs="宋体"/>
                <w:color w:val="auto"/>
                <w:sz w:val="24"/>
              </w:rPr>
              <w:t>2.供应商应当在投标截止时间前，将生成的“电子加密投标响应文件</w:t>
            </w:r>
            <w:r>
              <w:rPr>
                <w:rFonts w:hint="eastAsia" w:ascii="宋体" w:hAnsi="宋体" w:cs="宋体"/>
                <w:color w:val="auto"/>
                <w:sz w:val="24"/>
                <w:lang w:val="zh-CN"/>
              </w:rPr>
              <w:t>（</w:t>
            </w:r>
            <w:r>
              <w:rPr>
                <w:rFonts w:hint="eastAsia" w:ascii="宋体" w:hAnsi="宋体" w:cs="宋体"/>
                <w:color w:val="auto"/>
                <w:sz w:val="24"/>
              </w:rPr>
              <w:t>为.jmbs后缀格式</w:t>
            </w:r>
            <w:r>
              <w:rPr>
                <w:rFonts w:hint="eastAsia" w:ascii="宋体" w:hAnsi="宋体" w:cs="宋体"/>
                <w:color w:val="auto"/>
                <w:sz w:val="24"/>
                <w:lang w:val="zh-CN"/>
              </w:rPr>
              <w:t>）</w:t>
            </w:r>
            <w:r>
              <w:rPr>
                <w:rFonts w:hint="eastAsia" w:ascii="宋体" w:hAnsi="宋体" w:cs="宋体"/>
                <w:color w:val="auto"/>
                <w:sz w:val="24"/>
              </w:rPr>
              <w:t>”上传递交至“政府采购云平台”，投标截止时间以后上传递交的投标响应文件将被“政府采购云平台”拒收。</w:t>
            </w:r>
          </w:p>
          <w:p w14:paraId="028149EC">
            <w:pPr>
              <w:pStyle w:val="44"/>
              <w:keepNext w:val="0"/>
              <w:keepLines w:val="0"/>
              <w:suppressLineNumbers w:val="0"/>
              <w:spacing w:before="0" w:beforeAutospacing="0" w:after="0" w:afterAutospacing="0" w:line="300" w:lineRule="auto"/>
              <w:ind w:left="0" w:leftChars="0" w:right="0" w:firstLine="0" w:firstLineChars="0"/>
              <w:textAlignment w:val="auto"/>
              <w:rPr>
                <w:rFonts w:hint="eastAsia" w:ascii="宋体" w:hAnsi="宋体" w:cs="宋体"/>
                <w:color w:val="auto"/>
                <w:sz w:val="24"/>
              </w:rPr>
            </w:pPr>
            <w:r>
              <w:rPr>
                <w:rFonts w:hint="eastAsia" w:ascii="宋体" w:hAnsi="宋体" w:cs="宋体"/>
                <w:color w:val="auto"/>
                <w:sz w:val="24"/>
              </w:rPr>
              <w:t>3.供应商登录政采云平台，在开标时间后30分钟内用“项目采购-开标评标”功能进行解密投标响应文件。若供应商在规定时间内未按时解密的，视为无效投标。解密与加密投标响应文件须使用同一个CA。</w:t>
            </w:r>
          </w:p>
          <w:p w14:paraId="25F5FB71">
            <w:pPr>
              <w:pStyle w:val="44"/>
              <w:keepNext w:val="0"/>
              <w:keepLines w:val="0"/>
              <w:suppressLineNumbers w:val="0"/>
              <w:spacing w:before="0" w:beforeAutospacing="0" w:after="0" w:afterAutospacing="0" w:line="300" w:lineRule="auto"/>
              <w:ind w:left="0" w:leftChars="0" w:right="0" w:firstLine="0" w:firstLineChars="0"/>
              <w:textAlignment w:val="auto"/>
              <w:rPr>
                <w:rFonts w:hint="eastAsia" w:ascii="宋体" w:hAnsi="宋体" w:cs="宋体"/>
                <w:color w:val="auto"/>
                <w:sz w:val="24"/>
              </w:rPr>
            </w:pPr>
            <w:r>
              <w:rPr>
                <w:rFonts w:hint="eastAsia" w:ascii="宋体" w:hAnsi="宋体" w:cs="宋体"/>
                <w:color w:val="auto"/>
                <w:sz w:val="24"/>
              </w:rPr>
              <w:t>4.不见面开标默认解密时长：30分钟（由于供应商自身原因导致无法按时解密，后果由供应商自行承担）。</w:t>
            </w:r>
          </w:p>
          <w:p w14:paraId="3866B18D">
            <w:pPr>
              <w:pStyle w:val="44"/>
              <w:keepNext w:val="0"/>
              <w:keepLines w:val="0"/>
              <w:suppressLineNumbers w:val="0"/>
              <w:spacing w:before="0" w:beforeAutospacing="0" w:after="0" w:afterAutospacing="0" w:line="300" w:lineRule="auto"/>
              <w:ind w:left="0" w:leftChars="0" w:right="0" w:firstLine="0" w:firstLineChars="0"/>
              <w:textAlignment w:val="auto"/>
              <w:rPr>
                <w:rFonts w:hint="eastAsia" w:ascii="宋体" w:hAnsi="宋体" w:cs="宋体"/>
                <w:color w:val="auto"/>
                <w:sz w:val="24"/>
              </w:rPr>
            </w:pPr>
            <w:r>
              <w:rPr>
                <w:rFonts w:hint="eastAsia" w:ascii="宋体" w:hAnsi="宋体" w:cs="宋体"/>
                <w:b/>
                <w:bCs/>
                <w:color w:val="auto"/>
                <w:sz w:val="24"/>
              </w:rPr>
              <w:t>5.中标单位在领取中标通知书时须递交纸质胶装投标响应文件肆份（正本一份，副本叁份）。</w:t>
            </w:r>
          </w:p>
        </w:tc>
      </w:tr>
      <w:tr w14:paraId="4E37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7CAE457">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18</w:t>
            </w:r>
          </w:p>
        </w:tc>
        <w:tc>
          <w:tcPr>
            <w:tcW w:w="8534" w:type="dxa"/>
            <w:tcBorders>
              <w:top w:val="single" w:color="auto" w:sz="4" w:space="0"/>
              <w:left w:val="single" w:color="auto" w:sz="4" w:space="0"/>
              <w:bottom w:val="single" w:color="auto" w:sz="4" w:space="0"/>
              <w:right w:val="single" w:color="auto" w:sz="4" w:space="0"/>
            </w:tcBorders>
            <w:vAlign w:val="center"/>
          </w:tcPr>
          <w:p w14:paraId="57F13E70">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资格审查：</w:t>
            </w:r>
          </w:p>
          <w:p w14:paraId="677BD0B4">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采购人代表或采购代理机构或磋商小组依据法律法规和竞争性磋商文件中规定的内容，对供应商的资格进行审查。未通过资格审查的供应商不能进入评标，其投标将被认定为投标无效；通过资格审查的供应商不足3家的，不得评标。</w:t>
            </w:r>
          </w:p>
          <w:p w14:paraId="79E59887">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
                <w:bCs/>
                <w:color w:val="auto"/>
                <w:sz w:val="24"/>
              </w:rPr>
              <w:t>备注：供应商必须按要求提供资格审查资料，如果提供不全或未提供，则视为对投标响应文件资格审查内容的不响应，投标将被拒绝（不接受二次提供）。</w:t>
            </w:r>
          </w:p>
        </w:tc>
      </w:tr>
      <w:tr w14:paraId="1BE3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83DD2CB">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19</w:t>
            </w:r>
          </w:p>
        </w:tc>
        <w:tc>
          <w:tcPr>
            <w:tcW w:w="8534" w:type="dxa"/>
            <w:tcBorders>
              <w:top w:val="single" w:color="auto" w:sz="4" w:space="0"/>
              <w:left w:val="single" w:color="auto" w:sz="4" w:space="0"/>
              <w:bottom w:val="single" w:color="auto" w:sz="4" w:space="0"/>
              <w:right w:val="single" w:color="auto" w:sz="4" w:space="0"/>
            </w:tcBorders>
            <w:vAlign w:val="center"/>
          </w:tcPr>
          <w:p w14:paraId="36CFD566">
            <w:pPr>
              <w:keepNext w:val="0"/>
              <w:keepLines w:val="0"/>
              <w:suppressLineNumbers w:val="0"/>
              <w:spacing w:before="0" w:beforeAutospacing="0" w:after="0" w:afterAutospacing="0" w:line="300" w:lineRule="auto"/>
              <w:ind w:left="0" w:right="0"/>
              <w:rPr>
                <w:rFonts w:hint="eastAsia" w:ascii="宋体" w:hAnsi="宋体" w:cs="宋体"/>
                <w:b/>
                <w:bCs/>
                <w:color w:val="auto"/>
                <w:kern w:val="0"/>
                <w:sz w:val="24"/>
              </w:rPr>
            </w:pPr>
            <w:r>
              <w:rPr>
                <w:rFonts w:hint="eastAsia" w:ascii="宋体" w:hAnsi="宋体" w:cs="宋体"/>
                <w:b/>
                <w:bCs/>
                <w:color w:val="auto"/>
                <w:sz w:val="24"/>
              </w:rPr>
              <w:t>最高限价：小写：</w:t>
            </w:r>
            <w:r>
              <w:rPr>
                <w:rFonts w:hint="eastAsia" w:ascii="宋体" w:hAnsi="宋体" w:cs="宋体"/>
                <w:b/>
                <w:bCs/>
                <w:color w:val="auto"/>
                <w:kern w:val="0"/>
                <w:sz w:val="24"/>
                <w:lang w:val="en-US" w:eastAsia="zh-CN"/>
              </w:rPr>
              <w:t>1800000</w:t>
            </w:r>
            <w:r>
              <w:rPr>
                <w:rFonts w:hint="eastAsia" w:ascii="宋体" w:hAnsi="宋体" w:cs="宋体"/>
                <w:b/>
                <w:bCs/>
                <w:color w:val="auto"/>
                <w:kern w:val="0"/>
                <w:sz w:val="24"/>
              </w:rPr>
              <w:t>.00元（大写：</w:t>
            </w:r>
            <w:r>
              <w:rPr>
                <w:rFonts w:hint="eastAsia" w:ascii="宋体" w:hAnsi="宋体" w:cs="宋体"/>
                <w:b/>
                <w:bCs/>
                <w:color w:val="auto"/>
                <w:kern w:val="0"/>
                <w:sz w:val="24"/>
                <w:lang w:val="en-US" w:eastAsia="zh-CN"/>
              </w:rPr>
              <w:t>壹佰捌拾万元整</w:t>
            </w:r>
            <w:r>
              <w:rPr>
                <w:rFonts w:hint="eastAsia" w:ascii="宋体" w:hAnsi="宋体" w:cs="宋体"/>
                <w:b/>
                <w:bCs/>
                <w:color w:val="auto"/>
                <w:kern w:val="0"/>
                <w:sz w:val="24"/>
              </w:rPr>
              <w:t>）</w:t>
            </w:r>
          </w:p>
          <w:p w14:paraId="6E410AEC">
            <w:pPr>
              <w:keepNext w:val="0"/>
              <w:keepLines w:val="0"/>
              <w:suppressLineNumbers w:val="0"/>
              <w:spacing w:before="0" w:beforeAutospacing="0" w:after="0" w:afterAutospacing="0" w:line="300" w:lineRule="auto"/>
              <w:ind w:left="0" w:right="0"/>
              <w:rPr>
                <w:rFonts w:hint="default"/>
                <w:b/>
                <w:bCs/>
                <w:color w:val="auto"/>
              </w:rPr>
            </w:pPr>
            <w:r>
              <w:rPr>
                <w:rFonts w:hint="eastAsia" w:ascii="宋体" w:hAnsi="宋体" w:cs="宋体"/>
                <w:b/>
                <w:bCs/>
                <w:color w:val="auto"/>
                <w:kern w:val="0"/>
                <w:sz w:val="24"/>
              </w:rPr>
              <w:t>投标报价不得超过此最高限价，否则将作投标无效处理。</w:t>
            </w:r>
          </w:p>
          <w:p w14:paraId="58FB5E48">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报价说明：</w:t>
            </w:r>
          </w:p>
          <w:p w14:paraId="0E8FF0AF">
            <w:pPr>
              <w:keepNext w:val="0"/>
              <w:keepLines w:val="0"/>
              <w:suppressLineNumbers w:val="0"/>
              <w:spacing w:before="0" w:beforeAutospacing="0" w:after="0" w:afterAutospacing="0" w:line="300" w:lineRule="auto"/>
              <w:ind w:left="0" w:right="0"/>
              <w:jc w:val="left"/>
              <w:rPr>
                <w:rFonts w:hint="eastAsia" w:ascii="宋体" w:hAnsi="宋体" w:cs="宋体"/>
                <w:color w:val="auto"/>
                <w:sz w:val="24"/>
              </w:rPr>
            </w:pPr>
            <w:r>
              <w:rPr>
                <w:rFonts w:hint="eastAsia" w:ascii="宋体" w:hAnsi="宋体" w:cs="宋体"/>
                <w:color w:val="auto"/>
                <w:sz w:val="24"/>
              </w:rPr>
              <w:t>应根据项目的实际需要整体报价，报价应包含合同期限内服务及其他相关工作的所有费用，总价包干方式报价</w:t>
            </w:r>
            <w:r>
              <w:rPr>
                <w:rFonts w:hint="eastAsia" w:ascii="宋体" w:hAnsi="宋体" w:cs="宋体"/>
                <w:color w:val="auto"/>
                <w:sz w:val="24"/>
                <w:lang w:eastAsia="zh-CN"/>
              </w:rPr>
              <w:t>。</w:t>
            </w:r>
            <w:r>
              <w:rPr>
                <w:rFonts w:hint="eastAsia" w:ascii="宋体" w:hAnsi="宋体" w:cs="宋体"/>
                <w:color w:val="auto"/>
                <w:sz w:val="24"/>
              </w:rPr>
              <w:t>供应商必须自行考虑本项目在实施期间的一切可能产生的费用</w:t>
            </w:r>
            <w:r>
              <w:rPr>
                <w:rFonts w:hint="eastAsia" w:ascii="宋体" w:hAnsi="宋体" w:cs="宋体"/>
                <w:color w:val="auto"/>
                <w:sz w:val="24"/>
                <w:lang w:eastAsia="zh-CN"/>
              </w:rPr>
              <w:t>，</w:t>
            </w:r>
            <w:r>
              <w:rPr>
                <w:rFonts w:hint="eastAsia" w:ascii="宋体" w:hAnsi="宋体" w:cs="宋体"/>
                <w:color w:val="auto"/>
                <w:sz w:val="24"/>
              </w:rPr>
              <w:t>在合同执行过程中，采购人将不再另行支付与本项目相关的任何费用（非本项目要求的其它内容除外）。</w:t>
            </w:r>
          </w:p>
          <w:p w14:paraId="55263CBC">
            <w:pPr>
              <w:keepNext w:val="0"/>
              <w:keepLines w:val="0"/>
              <w:suppressLineNumbers w:val="0"/>
              <w:spacing w:before="0" w:beforeAutospacing="0" w:after="0" w:afterAutospacing="0" w:line="300" w:lineRule="auto"/>
              <w:ind w:left="0" w:right="0"/>
              <w:jc w:val="left"/>
              <w:rPr>
                <w:rFonts w:hint="default"/>
                <w:color w:val="auto"/>
              </w:rPr>
            </w:pPr>
            <w:r>
              <w:rPr>
                <w:rFonts w:hint="eastAsia" w:ascii="宋体" w:hAnsi="宋体" w:cs="宋体"/>
                <w:color w:val="auto"/>
                <w:sz w:val="24"/>
              </w:rPr>
              <w:t>特别说明：为保证本项目质量，良好的售后服务，最低报价不作为中标的唯一依据。</w:t>
            </w:r>
          </w:p>
        </w:tc>
      </w:tr>
      <w:tr w14:paraId="03E6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43F3ACC">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20</w:t>
            </w:r>
          </w:p>
        </w:tc>
        <w:tc>
          <w:tcPr>
            <w:tcW w:w="8534" w:type="dxa"/>
            <w:tcBorders>
              <w:top w:val="single" w:color="auto" w:sz="4" w:space="0"/>
              <w:left w:val="single" w:color="auto" w:sz="4" w:space="0"/>
              <w:bottom w:val="single" w:color="auto" w:sz="4" w:space="0"/>
              <w:right w:val="single" w:color="auto" w:sz="4" w:space="0"/>
            </w:tcBorders>
            <w:vAlign w:val="center"/>
          </w:tcPr>
          <w:p w14:paraId="36F8F305">
            <w:pPr>
              <w:pStyle w:val="92"/>
              <w:keepNext w:val="0"/>
              <w:keepLines w:val="0"/>
              <w:pageBreakBefore w:val="0"/>
              <w:suppressLineNumbers w:val="0"/>
              <w:kinsoku/>
              <w:wordWrap/>
              <w:overflowPunct/>
              <w:topLinePunct w:val="0"/>
              <w:bidi w:val="0"/>
              <w:spacing w:before="0" w:beforeAutospacing="0" w:after="0" w:afterAutospacing="0" w:line="300" w:lineRule="auto"/>
              <w:ind w:left="0" w:right="0"/>
              <w:rPr>
                <w:rFonts w:hint="eastAsia" w:ascii="宋体" w:hAnsi="宋体" w:eastAsia="宋体" w:cs="宋体"/>
                <w:bCs/>
                <w:color w:val="auto"/>
                <w:sz w:val="24"/>
                <w:szCs w:val="24"/>
                <w:highlight w:val="none"/>
                <w:lang w:val="en-US" w:eastAsia="zh-CN"/>
              </w:rPr>
            </w:pPr>
            <w:r>
              <w:rPr>
                <w:rFonts w:hint="eastAsia" w:ascii="宋体" w:hAnsi="宋体" w:cs="宋体"/>
                <w:b/>
                <w:bCs/>
                <w:color w:val="auto"/>
                <w:sz w:val="24"/>
              </w:rPr>
              <w:t>磋商小组</w:t>
            </w:r>
            <w:r>
              <w:rPr>
                <w:rFonts w:hint="eastAsia" w:ascii="宋体" w:hAnsi="宋体" w:eastAsia="宋体" w:cs="宋体"/>
                <w:b/>
                <w:bCs w:val="0"/>
                <w:color w:val="auto"/>
                <w:sz w:val="24"/>
                <w:szCs w:val="24"/>
                <w:highlight w:val="none"/>
              </w:rPr>
              <w:t>的组建：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人，其中采购代表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人</w:t>
            </w:r>
            <w:bookmarkStart w:id="5" w:name="EB1dccf8155053468b961a92163090aec3"/>
            <w:bookmarkEnd w:id="5"/>
            <w:r>
              <w:rPr>
                <w:rFonts w:hint="eastAsia" w:ascii="宋体" w:hAnsi="宋体" w:eastAsia="宋体" w:cs="宋体"/>
                <w:color w:val="auto"/>
                <w:sz w:val="24"/>
                <w:szCs w:val="24"/>
                <w:highlight w:val="none"/>
              </w:rPr>
              <w:t>，专家评委</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人。</w:t>
            </w:r>
          </w:p>
          <w:p w14:paraId="3D6E7FE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textAlignment w:val="auto"/>
              <w:rPr>
                <w:rFonts w:hint="eastAsia" w:ascii="宋体" w:hAnsi="宋体" w:cs="宋体"/>
                <w:b/>
                <w:bCs/>
                <w:color w:val="auto"/>
                <w:sz w:val="24"/>
              </w:rPr>
            </w:pPr>
            <w:r>
              <w:rPr>
                <w:rFonts w:hint="eastAsia" w:ascii="宋体" w:hAnsi="宋体" w:eastAsia="宋体" w:cs="宋体"/>
                <w:b/>
                <w:bCs w:val="0"/>
                <w:color w:val="auto"/>
                <w:sz w:val="24"/>
                <w:szCs w:val="24"/>
                <w:highlight w:val="none"/>
                <w:lang w:val="en-US" w:eastAsia="zh-CN"/>
              </w:rPr>
              <w:t>评审</w:t>
            </w:r>
            <w:r>
              <w:rPr>
                <w:rFonts w:hint="eastAsia" w:ascii="宋体" w:hAnsi="宋体" w:eastAsia="宋体" w:cs="宋体"/>
                <w:b/>
                <w:bCs w:val="0"/>
                <w:color w:val="auto"/>
                <w:sz w:val="24"/>
                <w:szCs w:val="24"/>
                <w:highlight w:val="none"/>
              </w:rPr>
              <w:t>专家确定方式：</w:t>
            </w:r>
            <w:r>
              <w:rPr>
                <w:rFonts w:hint="eastAsia" w:ascii="宋体" w:hAnsi="宋体" w:eastAsia="宋体" w:cs="宋体"/>
                <w:bCs/>
                <w:color w:val="auto"/>
                <w:sz w:val="24"/>
                <w:szCs w:val="24"/>
                <w:highlight w:val="none"/>
                <w:lang w:val="en-US" w:eastAsia="zh-CN"/>
              </w:rPr>
              <w:t>从政采云相关专业</w:t>
            </w:r>
            <w:r>
              <w:rPr>
                <w:rFonts w:hint="eastAsia" w:ascii="宋体" w:hAnsi="宋体" w:eastAsia="宋体" w:cs="宋体"/>
                <w:bCs/>
                <w:color w:val="auto"/>
                <w:sz w:val="24"/>
                <w:szCs w:val="24"/>
                <w:highlight w:val="none"/>
              </w:rPr>
              <w:t>专家库中随机抽取。</w:t>
            </w:r>
          </w:p>
        </w:tc>
      </w:tr>
      <w:tr w14:paraId="0815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E793E56">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21</w:t>
            </w:r>
          </w:p>
        </w:tc>
        <w:tc>
          <w:tcPr>
            <w:tcW w:w="8534" w:type="dxa"/>
            <w:tcBorders>
              <w:top w:val="single" w:color="auto" w:sz="4" w:space="0"/>
              <w:left w:val="single" w:color="auto" w:sz="4" w:space="0"/>
              <w:bottom w:val="single" w:color="auto" w:sz="4" w:space="0"/>
              <w:right w:val="single" w:color="auto" w:sz="4" w:space="0"/>
            </w:tcBorders>
            <w:vAlign w:val="center"/>
          </w:tcPr>
          <w:p w14:paraId="332D5E90">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中标公示：</w:t>
            </w:r>
            <w:r>
              <w:rPr>
                <w:rFonts w:hint="eastAsia" w:ascii="宋体" w:hAnsi="宋体" w:cs="宋体"/>
                <w:color w:val="auto"/>
                <w:sz w:val="24"/>
              </w:rPr>
              <w:t>对中标结果在规定的媒体上进行公示，中标结果公示期限为1个工作日。</w:t>
            </w:r>
          </w:p>
        </w:tc>
      </w:tr>
      <w:tr w14:paraId="0746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2C13F69">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22</w:t>
            </w:r>
          </w:p>
        </w:tc>
        <w:tc>
          <w:tcPr>
            <w:tcW w:w="8534" w:type="dxa"/>
            <w:tcBorders>
              <w:top w:val="single" w:color="auto" w:sz="4" w:space="0"/>
              <w:left w:val="single" w:color="auto" w:sz="4" w:space="0"/>
              <w:bottom w:val="single" w:color="auto" w:sz="4" w:space="0"/>
              <w:right w:val="single" w:color="auto" w:sz="4" w:space="0"/>
            </w:tcBorders>
            <w:vAlign w:val="center"/>
          </w:tcPr>
          <w:p w14:paraId="5A6EBB7D">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
                <w:bCs/>
                <w:color w:val="auto"/>
                <w:sz w:val="24"/>
              </w:rPr>
              <w:t>签订合同：</w:t>
            </w:r>
            <w:r>
              <w:rPr>
                <w:rFonts w:hint="eastAsia" w:ascii="宋体" w:hAnsi="宋体" w:cs="宋体"/>
                <w:color w:val="auto"/>
                <w:sz w:val="24"/>
              </w:rPr>
              <w:t>中标（成交）通知书发出之日起30日内。</w:t>
            </w:r>
          </w:p>
        </w:tc>
      </w:tr>
      <w:tr w14:paraId="67C9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920608C">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23</w:t>
            </w:r>
          </w:p>
        </w:tc>
        <w:tc>
          <w:tcPr>
            <w:tcW w:w="8534" w:type="dxa"/>
            <w:tcBorders>
              <w:top w:val="single" w:color="auto" w:sz="4" w:space="0"/>
              <w:left w:val="single" w:color="auto" w:sz="4" w:space="0"/>
              <w:bottom w:val="single" w:color="auto" w:sz="4" w:space="0"/>
              <w:right w:val="single" w:color="auto" w:sz="4" w:space="0"/>
            </w:tcBorders>
            <w:vAlign w:val="center"/>
          </w:tcPr>
          <w:p w14:paraId="50620EC5">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
                <w:bCs/>
                <w:color w:val="auto"/>
                <w:sz w:val="24"/>
              </w:rPr>
              <w:t>履约保证金：</w:t>
            </w:r>
            <w:r>
              <w:rPr>
                <w:rFonts w:hint="eastAsia" w:ascii="宋体" w:hAnsi="宋体" w:cs="宋体"/>
                <w:color w:val="auto"/>
                <w:sz w:val="24"/>
              </w:rPr>
              <w:t>/</w:t>
            </w:r>
          </w:p>
        </w:tc>
      </w:tr>
      <w:tr w14:paraId="7243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F8A4540">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24</w:t>
            </w:r>
          </w:p>
        </w:tc>
        <w:tc>
          <w:tcPr>
            <w:tcW w:w="8534" w:type="dxa"/>
            <w:tcBorders>
              <w:top w:val="single" w:color="auto" w:sz="4" w:space="0"/>
              <w:left w:val="single" w:color="auto" w:sz="4" w:space="0"/>
              <w:bottom w:val="single" w:color="auto" w:sz="4" w:space="0"/>
              <w:right w:val="single" w:color="auto" w:sz="4" w:space="0"/>
            </w:tcBorders>
            <w:vAlign w:val="center"/>
          </w:tcPr>
          <w:p w14:paraId="548579A1">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重新招标或其他方式采购：</w:t>
            </w:r>
          </w:p>
          <w:p w14:paraId="7F2A2653">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竞争性磋商数额标准以上的采购项目，投标截止后供应商不足3家或者通过资格审查或符合性审查的供应商不足3家的，除采购任务取消情形外，根据《政府采购货物和服务招标投标管理办法》（中华人民共和国财政部令第87号）第四十三条规定，按照以下方式处理：</w:t>
            </w:r>
          </w:p>
          <w:p w14:paraId="32317938">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（1）竞争性磋商文件存在不合理条款或者招标程序不符合规定的，采购人、采购代理机构改正后依法重新招标；</w:t>
            </w:r>
          </w:p>
          <w:p w14:paraId="0A880EEE">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color w:val="auto"/>
                <w:sz w:val="24"/>
              </w:rPr>
              <w:t>（2）竞争性磋商文件没有不合理条款、招标程序符合规定，需要采用其他招标方式采购的，采购人应当依法报财政部门批准。</w:t>
            </w:r>
          </w:p>
        </w:tc>
      </w:tr>
      <w:tr w14:paraId="29E3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C042DB3">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25</w:t>
            </w:r>
          </w:p>
        </w:tc>
        <w:tc>
          <w:tcPr>
            <w:tcW w:w="8534" w:type="dxa"/>
            <w:tcBorders>
              <w:top w:val="single" w:color="auto" w:sz="4" w:space="0"/>
              <w:left w:val="single" w:color="auto" w:sz="4" w:space="0"/>
              <w:bottom w:val="single" w:color="auto" w:sz="4" w:space="0"/>
              <w:right w:val="single" w:color="auto" w:sz="4" w:space="0"/>
            </w:tcBorders>
            <w:vAlign w:val="center"/>
          </w:tcPr>
          <w:p w14:paraId="5C21F786">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质疑和投诉：</w:t>
            </w:r>
          </w:p>
          <w:p w14:paraId="6FC10106">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1）供应商认为竞争性磋商文件、招标过程或中标结果使自己的合法权益受到损害的，应当在知道或者应知其权益受到损害之日起在规定的期限内，以书面形式向采购人或采购代理机构提出质疑。采购人或采购代理机构收到投标供应商书面质疑后在规定的时间内，对质疑内容作出答复，供应商对采购人或采购代理机构的质疑答复不满意或者采购人或采购代理机构未在规定时间内作出答复的，可以在答复期满后5个工作日内向有关监管部门进行投诉。投诉人对政府采购监督管理部门的投诉处理决定不服或者政府采购监督管理部门逾期未作处理的，可以依法申请行政复议或者向人民法院提起行政诉讼</w:t>
            </w:r>
          </w:p>
          <w:p w14:paraId="63BC5636">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2）质疑、投诉应当采用书面形式，质疑、投诉均应明确阐述竞争性磋商文件、招标过程或中标结果中使自己合法权益受到损害的实质性内容，提供相关事实、依据和证据及其来源或线索，便于有关单位调查、答复和处理。</w:t>
            </w:r>
          </w:p>
        </w:tc>
      </w:tr>
      <w:tr w14:paraId="139E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B10FF51">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26</w:t>
            </w:r>
          </w:p>
        </w:tc>
        <w:tc>
          <w:tcPr>
            <w:tcW w:w="8534" w:type="dxa"/>
            <w:tcBorders>
              <w:top w:val="single" w:color="auto" w:sz="4" w:space="0"/>
              <w:left w:val="single" w:color="auto" w:sz="4" w:space="0"/>
              <w:bottom w:val="single" w:color="auto" w:sz="4" w:space="0"/>
              <w:right w:val="single" w:color="auto" w:sz="4" w:space="0"/>
            </w:tcBorders>
            <w:vAlign w:val="center"/>
          </w:tcPr>
          <w:p w14:paraId="3D5F5D13">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b/>
                <w:bCs/>
                <w:color w:val="auto"/>
                <w:sz w:val="24"/>
                <w:lang w:val="en-US" w:eastAsia="zh-CN"/>
              </w:rPr>
              <w:t>代理</w:t>
            </w:r>
            <w:r>
              <w:rPr>
                <w:rFonts w:hint="eastAsia" w:ascii="宋体" w:hAnsi="宋体" w:cs="宋体"/>
                <w:b/>
                <w:bCs/>
                <w:color w:val="auto"/>
                <w:sz w:val="24"/>
              </w:rPr>
              <w:t>服务费：</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服务招标</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：100万元以下，费率为1.5%；100-500万元，费率为0.8%；500-1000万元，费率为0.45%；1000-5000万元，费率为0.25%；5000-10000万元以上，按差额定率累进法计算。由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eastAsia="zh-CN"/>
              </w:rPr>
              <w:t>在领取中标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通知书前</w:t>
            </w:r>
            <w:r>
              <w:rPr>
                <w:rFonts w:hint="eastAsia" w:ascii="宋体" w:hAnsi="宋体" w:eastAsia="宋体" w:cs="宋体"/>
                <w:color w:val="auto"/>
                <w:sz w:val="24"/>
                <w:szCs w:val="24"/>
                <w:highlight w:val="none"/>
              </w:rPr>
              <w:t>向</w:t>
            </w:r>
            <w:r>
              <w:rPr>
                <w:rFonts w:hint="default" w:ascii="宋体" w:hAnsi="宋体" w:eastAsia="宋体" w:cs="宋体"/>
                <w:color w:val="auto"/>
                <w:sz w:val="24"/>
                <w:szCs w:val="24"/>
                <w:highlight w:val="none"/>
                <w:lang w:val="en-US" w:eastAsia="zh-CN"/>
              </w:rPr>
              <w:t>新疆华展鑫荣项目管理咨询有限公司</w:t>
            </w:r>
            <w:r>
              <w:rPr>
                <w:rFonts w:hint="eastAsia" w:ascii="宋体" w:hAnsi="宋体" w:eastAsia="宋体" w:cs="宋体"/>
                <w:color w:val="auto"/>
                <w:sz w:val="24"/>
                <w:szCs w:val="24"/>
                <w:highlight w:val="none"/>
              </w:rPr>
              <w:t>支付。</w:t>
            </w:r>
          </w:p>
        </w:tc>
      </w:tr>
      <w:tr w14:paraId="33F3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8A0D0F2">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27</w:t>
            </w:r>
          </w:p>
        </w:tc>
        <w:tc>
          <w:tcPr>
            <w:tcW w:w="8534" w:type="dxa"/>
            <w:tcBorders>
              <w:top w:val="single" w:color="auto" w:sz="4" w:space="0"/>
              <w:left w:val="single" w:color="auto" w:sz="4" w:space="0"/>
              <w:bottom w:val="single" w:color="auto" w:sz="4" w:space="0"/>
              <w:right w:val="single" w:color="auto" w:sz="4" w:space="0"/>
            </w:tcBorders>
            <w:vAlign w:val="center"/>
          </w:tcPr>
          <w:p w14:paraId="7CE76B8F">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项目所属行业：</w:t>
            </w:r>
            <w:r>
              <w:rPr>
                <w:rFonts w:hint="eastAsia" w:ascii="宋体" w:hAnsi="宋体" w:cs="宋体"/>
                <w:b w:val="0"/>
                <w:bCs/>
                <w:color w:val="auto"/>
                <w:sz w:val="24"/>
              </w:rPr>
              <w:t>其他未列明行业</w:t>
            </w:r>
            <w:r>
              <w:rPr>
                <w:rFonts w:hint="eastAsia" w:ascii="宋体" w:hAnsi="宋体" w:cs="宋体"/>
                <w:color w:val="auto"/>
                <w:sz w:val="24"/>
              </w:rPr>
              <w:t>（附件1中小企业划型标准规定）</w:t>
            </w:r>
          </w:p>
          <w:p w14:paraId="79D6B1C4">
            <w:pPr>
              <w:keepNext w:val="0"/>
              <w:keepLines w:val="0"/>
              <w:suppressLineNumbers w:val="0"/>
              <w:spacing w:before="0" w:beforeAutospacing="0" w:after="0" w:afterAutospacing="0" w:line="300" w:lineRule="auto"/>
              <w:ind w:left="0" w:right="0"/>
              <w:rPr>
                <w:rFonts w:hint="eastAsia" w:ascii="宋体" w:hAnsi="宋体" w:eastAsia="宋体" w:cs="宋体"/>
                <w:color w:val="auto"/>
                <w:sz w:val="24"/>
                <w:lang w:eastAsia="zh-CN"/>
              </w:rPr>
            </w:pPr>
            <w:r>
              <w:rPr>
                <w:rFonts w:hint="eastAsia" w:ascii="宋体" w:hAnsi="宋体" w:cs="宋体"/>
                <w:color w:val="auto"/>
                <w:sz w:val="24"/>
              </w:rPr>
              <w:t>是否专门面向中小企业采购：</w:t>
            </w:r>
            <w:r>
              <w:rPr>
                <w:rFonts w:hint="eastAsia" w:ascii="宋体" w:hAnsi="宋体" w:cs="宋体"/>
                <w:color w:val="auto"/>
                <w:sz w:val="24"/>
                <w:lang w:val="en-US" w:eastAsia="zh-CN"/>
              </w:rPr>
              <w:t>否</w:t>
            </w:r>
          </w:p>
          <w:p w14:paraId="1AD4BD6B">
            <w:pPr>
              <w:keepNext w:val="0"/>
              <w:keepLines w:val="0"/>
              <w:suppressLineNumbers w:val="0"/>
              <w:spacing w:before="0" w:beforeAutospacing="0" w:after="0" w:afterAutospacing="0" w:line="300" w:lineRule="auto"/>
              <w:ind w:left="0" w:right="0"/>
              <w:rPr>
                <w:rFonts w:hint="eastAsia" w:ascii="宋体" w:hAnsi="宋体" w:eastAsia="宋体" w:cs="宋体"/>
                <w:color w:val="auto"/>
                <w:sz w:val="24"/>
                <w:lang w:eastAsia="zh-CN"/>
              </w:rPr>
            </w:pPr>
            <w:r>
              <w:rPr>
                <w:rFonts w:hint="eastAsia" w:ascii="宋体" w:hAnsi="宋体" w:cs="宋体"/>
                <w:color w:val="auto"/>
                <w:sz w:val="24"/>
              </w:rPr>
              <w:t>是否为本项目面向中小企业采购预留份额：</w:t>
            </w:r>
            <w:r>
              <w:rPr>
                <w:rFonts w:hint="eastAsia" w:ascii="宋体" w:hAnsi="宋体" w:cs="宋体"/>
                <w:color w:val="auto"/>
                <w:sz w:val="24"/>
                <w:lang w:val="en-US" w:eastAsia="zh-CN"/>
              </w:rPr>
              <w:t>否</w:t>
            </w:r>
          </w:p>
          <w:p w14:paraId="67611030">
            <w:pPr>
              <w:keepNext w:val="0"/>
              <w:keepLines w:val="0"/>
              <w:suppressLineNumbers w:val="0"/>
              <w:spacing w:before="0" w:beforeAutospacing="0" w:after="0" w:afterAutospacing="0" w:line="300" w:lineRule="auto"/>
              <w:ind w:left="0" w:right="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本项目为非专门面向中小企业采购，根据《政府采购促进中小企业发展管埋办法》(财库〔2020〕46号〉的规定，评审时将给予此类企业进行价格10%的优惠，用优惠后的价格参与评审</w:t>
            </w:r>
            <w:r>
              <w:rPr>
                <w:rFonts w:hint="eastAsia" w:ascii="宋体" w:hAnsi="宋体" w:cs="宋体"/>
                <w:b/>
                <w:bCs/>
                <w:color w:val="auto"/>
                <w:sz w:val="24"/>
                <w:szCs w:val="24"/>
                <w:highlight w:val="none"/>
                <w:lang w:val="en-US" w:eastAsia="zh-CN"/>
              </w:rPr>
              <w:t>。</w:t>
            </w:r>
          </w:p>
          <w:p w14:paraId="23EAB4FE">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监狱企业视同小型、微型企业；残疾人福利性单位视同小型、微型企业。</w:t>
            </w:r>
          </w:p>
          <w:p w14:paraId="322F0DE0">
            <w:pPr>
              <w:pStyle w:val="98"/>
              <w:keepNext w:val="0"/>
              <w:keepLines w:val="0"/>
              <w:suppressLineNumbers w:val="0"/>
              <w:spacing w:before="0" w:beforeAutospacing="0" w:after="0" w:afterAutospacing="0" w:line="440" w:lineRule="exact"/>
              <w:ind w:left="0" w:right="0"/>
              <w:rPr>
                <w:rFonts w:hint="eastAsia"/>
                <w:color w:val="auto"/>
              </w:rPr>
            </w:pPr>
            <w:r>
              <w:rPr>
                <w:rFonts w:hint="eastAsia" w:ascii="宋体" w:hAnsi="宋体" w:cs="宋体"/>
                <w:b/>
                <w:bCs/>
                <w:color w:val="auto"/>
                <w:sz w:val="24"/>
                <w:szCs w:val="24"/>
                <w:highlight w:val="none"/>
              </w:rPr>
              <w:t>说明：</w:t>
            </w:r>
            <w:r>
              <w:rPr>
                <w:rFonts w:hint="eastAsia" w:ascii="宋体" w:hAnsi="宋体" w:cs="宋体"/>
                <w:b/>
                <w:bCs/>
                <w:color w:val="auto"/>
                <w:sz w:val="24"/>
                <w:szCs w:val="24"/>
                <w:highlight w:val="none"/>
                <w:lang w:val="en-US" w:eastAsia="zh-CN"/>
              </w:rPr>
              <w:t>供应商应当对《中小企业声明函》、监狱企业证明文件、《残疾人福利性单位声明函》的真实性负责，以上声明函将在中标（成交）公示中依法公示。</w:t>
            </w:r>
          </w:p>
        </w:tc>
      </w:tr>
      <w:tr w14:paraId="144A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EC353D9">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28</w:t>
            </w:r>
          </w:p>
        </w:tc>
        <w:tc>
          <w:tcPr>
            <w:tcW w:w="8534" w:type="dxa"/>
            <w:tcBorders>
              <w:top w:val="single" w:color="auto" w:sz="4" w:space="0"/>
              <w:left w:val="single" w:color="auto" w:sz="4" w:space="0"/>
              <w:bottom w:val="single" w:color="auto" w:sz="4" w:space="0"/>
              <w:right w:val="single" w:color="auto" w:sz="4" w:space="0"/>
            </w:tcBorders>
            <w:vAlign w:val="center"/>
          </w:tcPr>
          <w:p w14:paraId="307CDE42">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备注：</w:t>
            </w:r>
            <w:r>
              <w:rPr>
                <w:rFonts w:hint="eastAsia" w:ascii="宋体" w:hAnsi="宋体" w:cs="宋体"/>
                <w:color w:val="auto"/>
                <w:kern w:val="1"/>
                <w:sz w:val="24"/>
              </w:rPr>
              <w:t>如本《供应商须知前附表》相关内容与竞争性磋商文件中的相关内容如有不一致处，则以本《供应商须知前附表》相关内容为准。</w:t>
            </w:r>
          </w:p>
        </w:tc>
      </w:tr>
      <w:tr w14:paraId="585F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5A92076">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p>
        </w:tc>
        <w:tc>
          <w:tcPr>
            <w:tcW w:w="8534" w:type="dxa"/>
            <w:tcBorders>
              <w:top w:val="single" w:color="auto" w:sz="4" w:space="0"/>
              <w:left w:val="single" w:color="auto" w:sz="4" w:space="0"/>
              <w:bottom w:val="single" w:color="auto" w:sz="4" w:space="0"/>
              <w:right w:val="single" w:color="auto" w:sz="4" w:space="0"/>
            </w:tcBorders>
            <w:vAlign w:val="center"/>
          </w:tcPr>
          <w:p w14:paraId="43EDAFDA">
            <w:pPr>
              <w:pStyle w:val="12"/>
              <w:keepNext w:val="0"/>
              <w:keepLines w:val="0"/>
              <w:pageBreakBefore w:val="0"/>
              <w:widowControl w:val="0"/>
              <w:suppressLineNumbers w:val="0"/>
              <w:kinsoku/>
              <w:wordWrap/>
              <w:overflowPunct/>
              <w:topLinePunct/>
              <w:bidi w:val="0"/>
              <w:snapToGrid/>
              <w:spacing w:before="0" w:beforeAutospacing="0" w:after="0" w:afterAutospacing="0" w:line="300" w:lineRule="auto"/>
              <w:ind w:left="0" w:right="0"/>
              <w:textAlignment w:val="auto"/>
              <w:rPr>
                <w:rFonts w:hint="eastAsia" w:ascii="宋体" w:hAnsi="宋体" w:eastAsia="宋体" w:cs="宋体"/>
                <w:b/>
                <w:bCs w:val="0"/>
                <w:color w:val="auto"/>
                <w:kern w:val="0"/>
                <w:sz w:val="24"/>
                <w:lang w:val="en-US" w:eastAsia="zh-CN" w:bidi="ar-SA"/>
              </w:rPr>
            </w:pPr>
            <w:r>
              <w:rPr>
                <w:rFonts w:hint="eastAsia" w:ascii="宋体" w:hAnsi="宋体" w:eastAsia="宋体" w:cs="宋体"/>
                <w:b/>
                <w:bCs w:val="0"/>
                <w:color w:val="auto"/>
                <w:kern w:val="0"/>
                <w:sz w:val="24"/>
                <w:lang w:val="en-US" w:eastAsia="zh-CN" w:bidi="ar-SA"/>
              </w:rPr>
              <w:t>现场踏勘：</w:t>
            </w:r>
          </w:p>
          <w:p w14:paraId="327385FD">
            <w:pPr>
              <w:pStyle w:val="12"/>
              <w:keepNext w:val="0"/>
              <w:keepLines w:val="0"/>
              <w:pageBreakBefore w:val="0"/>
              <w:widowControl w:val="0"/>
              <w:suppressLineNumbers w:val="0"/>
              <w:kinsoku/>
              <w:wordWrap/>
              <w:overflowPunct/>
              <w:topLinePunct/>
              <w:bidi w:val="0"/>
              <w:snapToGrid/>
              <w:spacing w:before="0" w:beforeAutospacing="0" w:after="0" w:afterAutospacing="0" w:line="300" w:lineRule="auto"/>
              <w:ind w:left="0" w:right="0"/>
              <w:textAlignment w:val="auto"/>
              <w:rPr>
                <w:rFonts w:hint="eastAsia" w:ascii="宋体" w:hAnsi="宋体" w:eastAsia="宋体" w:cs="宋体"/>
                <w:bCs/>
                <w:color w:val="auto"/>
                <w:kern w:val="0"/>
                <w:sz w:val="24"/>
                <w:lang w:val="en-US" w:eastAsia="zh-CN" w:bidi="ar-SA"/>
              </w:rPr>
            </w:pPr>
            <w:r>
              <w:rPr>
                <w:rFonts w:hint="eastAsia" w:ascii="宋体" w:hAnsi="宋体" w:cs="宋体"/>
                <w:bCs/>
                <w:color w:val="auto"/>
                <w:kern w:val="0"/>
                <w:sz w:val="24"/>
                <w:lang w:val="en-US" w:eastAsia="zh-CN" w:bidi="ar-SA"/>
              </w:rPr>
              <w:t>☑</w:t>
            </w:r>
            <w:r>
              <w:rPr>
                <w:rFonts w:hint="eastAsia" w:ascii="宋体" w:hAnsi="宋体" w:eastAsia="宋体" w:cs="宋体"/>
                <w:bCs/>
                <w:color w:val="auto"/>
                <w:kern w:val="0"/>
                <w:sz w:val="24"/>
                <w:lang w:val="en-US" w:eastAsia="zh-CN" w:bidi="ar-SA"/>
              </w:rPr>
              <w:t>不组织</w:t>
            </w:r>
          </w:p>
          <w:p w14:paraId="0A17010F">
            <w:pPr>
              <w:keepNext w:val="0"/>
              <w:keepLines w:val="0"/>
              <w:pageBreakBefore w:val="0"/>
              <w:widowControl w:val="0"/>
              <w:suppressLineNumbers w:val="0"/>
              <w:kinsoku/>
              <w:wordWrap/>
              <w:overflowPunct/>
              <w:bidi w:val="0"/>
              <w:snapToGrid/>
              <w:spacing w:before="0" w:beforeAutospacing="0" w:after="0" w:afterAutospacing="0" w:line="300" w:lineRule="auto"/>
              <w:ind w:left="0" w:right="0"/>
              <w:textAlignment w:val="auto"/>
              <w:rPr>
                <w:rFonts w:hint="eastAsia" w:ascii="宋体" w:hAnsi="宋体" w:eastAsia="宋体" w:cs="宋体"/>
                <w:b/>
                <w:bCs w:val="0"/>
                <w:color w:val="auto"/>
                <w:kern w:val="0"/>
                <w:sz w:val="24"/>
                <w:lang w:val="en-US" w:eastAsia="zh-CN" w:bidi="ar-SA"/>
              </w:rPr>
            </w:pPr>
            <w:r>
              <w:rPr>
                <w:rFonts w:hint="eastAsia" w:ascii="宋体" w:hAnsi="宋体" w:cs="宋体"/>
                <w:b/>
                <w:bCs w:val="0"/>
                <w:color w:val="auto"/>
                <w:kern w:val="0"/>
                <w:sz w:val="24"/>
                <w:lang w:val="en-US" w:eastAsia="zh-CN" w:bidi="ar-SA"/>
              </w:rPr>
              <w:t>□</w:t>
            </w:r>
            <w:r>
              <w:rPr>
                <w:rFonts w:hint="eastAsia" w:ascii="宋体" w:hAnsi="宋体" w:eastAsia="宋体" w:cs="宋体"/>
                <w:b/>
                <w:bCs w:val="0"/>
                <w:color w:val="auto"/>
                <w:kern w:val="0"/>
                <w:sz w:val="24"/>
                <w:lang w:val="en-US" w:eastAsia="zh-CN" w:bidi="ar-SA"/>
              </w:rPr>
              <w:t>组织</w:t>
            </w:r>
          </w:p>
          <w:p w14:paraId="6D75CF14">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auto"/>
              <w:ind w:left="0" w:right="0"/>
              <w:textAlignment w:val="auto"/>
              <w:rPr>
                <w:rFonts w:hint="default" w:ascii="宋体" w:hAnsi="宋体" w:eastAsia="宋体" w:cs="宋体"/>
                <w:bCs/>
                <w:color w:val="auto"/>
                <w:kern w:val="0"/>
                <w:sz w:val="24"/>
                <w:lang w:val="en-US" w:eastAsia="zh-CN" w:bidi="ar-SA"/>
              </w:rPr>
            </w:pPr>
            <w:r>
              <w:rPr>
                <w:rFonts w:hint="eastAsia" w:ascii="宋体" w:hAnsi="宋体" w:eastAsia="宋体" w:cs="宋体"/>
                <w:bCs/>
                <w:color w:val="auto"/>
                <w:kern w:val="0"/>
                <w:sz w:val="24"/>
                <w:lang w:val="en-US" w:eastAsia="zh-CN" w:bidi="ar-SA"/>
              </w:rPr>
              <w:t>目的：</w:t>
            </w:r>
            <w:r>
              <w:rPr>
                <w:rFonts w:hint="eastAsia" w:ascii="宋体" w:hAnsi="宋体" w:cs="宋体"/>
                <w:bCs/>
                <w:color w:val="auto"/>
                <w:kern w:val="0"/>
                <w:sz w:val="24"/>
                <w:lang w:val="en-US" w:eastAsia="zh-CN" w:bidi="ar-SA"/>
              </w:rPr>
              <w:t>/</w:t>
            </w:r>
          </w:p>
          <w:p w14:paraId="4D704C71">
            <w:pPr>
              <w:keepNext w:val="0"/>
              <w:keepLines w:val="0"/>
              <w:pageBreakBefore w:val="0"/>
              <w:widowControl w:val="0"/>
              <w:suppressLineNumbers w:val="0"/>
              <w:kinsoku/>
              <w:wordWrap/>
              <w:overflowPunct/>
              <w:topLinePunct w:val="0"/>
              <w:bidi w:val="0"/>
              <w:adjustRightInd/>
              <w:snapToGrid/>
              <w:spacing w:before="0" w:beforeAutospacing="0" w:after="0" w:afterAutospacing="0" w:line="300" w:lineRule="auto"/>
              <w:ind w:left="0" w:right="0"/>
              <w:textAlignment w:val="auto"/>
              <w:rPr>
                <w:rFonts w:hint="default" w:ascii="宋体" w:hAnsi="宋体" w:eastAsia="宋体" w:cs="宋体"/>
                <w:bCs/>
                <w:color w:val="auto"/>
                <w:kern w:val="0"/>
                <w:sz w:val="24"/>
                <w:lang w:val="en-US" w:eastAsia="zh-CN" w:bidi="ar-SA"/>
              </w:rPr>
            </w:pPr>
            <w:r>
              <w:rPr>
                <w:rFonts w:hint="eastAsia" w:ascii="宋体" w:hAnsi="宋体" w:eastAsia="宋体" w:cs="宋体"/>
                <w:bCs/>
                <w:color w:val="auto"/>
                <w:kern w:val="0"/>
                <w:sz w:val="24"/>
                <w:lang w:val="en-US" w:eastAsia="zh-CN" w:bidi="ar-SA"/>
              </w:rPr>
              <w:t>现场勘察时间：</w:t>
            </w:r>
            <w:r>
              <w:rPr>
                <w:rFonts w:hint="eastAsia" w:ascii="宋体" w:hAnsi="宋体" w:cs="宋体"/>
                <w:bCs/>
                <w:color w:val="auto"/>
                <w:kern w:val="0"/>
                <w:sz w:val="24"/>
                <w:lang w:val="en-US" w:eastAsia="zh-CN" w:bidi="ar-SA"/>
              </w:rPr>
              <w:t>/</w:t>
            </w:r>
          </w:p>
          <w:p w14:paraId="01B051A5">
            <w:pPr>
              <w:keepNext w:val="0"/>
              <w:keepLines w:val="0"/>
              <w:suppressLineNumbers w:val="0"/>
              <w:spacing w:before="0" w:beforeAutospacing="0" w:after="0" w:afterAutospacing="0" w:line="300" w:lineRule="auto"/>
              <w:ind w:left="0" w:right="0"/>
              <w:rPr>
                <w:rFonts w:hint="default" w:ascii="宋体" w:hAnsi="宋体" w:eastAsia="宋体" w:cs="宋体"/>
                <w:color w:val="auto"/>
                <w:sz w:val="24"/>
                <w:lang w:val="en-US" w:eastAsia="zh-CN"/>
              </w:rPr>
            </w:pPr>
            <w:r>
              <w:rPr>
                <w:rFonts w:hint="eastAsia" w:ascii="宋体" w:hAnsi="宋体" w:eastAsia="宋体" w:cs="宋体"/>
                <w:bCs/>
                <w:color w:val="auto"/>
                <w:kern w:val="0"/>
                <w:sz w:val="24"/>
                <w:lang w:val="en-US" w:eastAsia="zh-CN" w:bidi="ar-SA"/>
              </w:rPr>
              <w:t>联系人</w:t>
            </w:r>
            <w:r>
              <w:rPr>
                <w:rFonts w:hint="eastAsia" w:ascii="宋体" w:hAnsi="宋体" w:cs="宋体"/>
                <w:bCs/>
                <w:color w:val="auto"/>
                <w:kern w:val="0"/>
                <w:sz w:val="24"/>
                <w:lang w:val="en-US" w:eastAsia="zh-CN" w:bidi="ar-SA"/>
              </w:rPr>
              <w:t>、</w:t>
            </w:r>
            <w:r>
              <w:rPr>
                <w:rFonts w:hint="eastAsia" w:ascii="宋体" w:hAnsi="宋体" w:eastAsia="宋体" w:cs="宋体"/>
                <w:bCs/>
                <w:color w:val="auto"/>
                <w:kern w:val="0"/>
                <w:sz w:val="24"/>
                <w:lang w:val="en-US" w:eastAsia="zh-CN" w:bidi="ar-SA"/>
              </w:rPr>
              <w:t>电话：</w:t>
            </w:r>
            <w:r>
              <w:rPr>
                <w:rFonts w:hint="eastAsia" w:ascii="宋体" w:hAnsi="宋体" w:cs="宋体"/>
                <w:bCs/>
                <w:color w:val="auto"/>
                <w:kern w:val="0"/>
                <w:sz w:val="24"/>
                <w:lang w:val="en-US" w:eastAsia="zh-CN" w:bidi="ar-SA"/>
              </w:rPr>
              <w:t>/</w:t>
            </w:r>
          </w:p>
        </w:tc>
      </w:tr>
      <w:tr w14:paraId="709E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525E728">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29</w:t>
            </w:r>
          </w:p>
        </w:tc>
        <w:tc>
          <w:tcPr>
            <w:tcW w:w="8534" w:type="dxa"/>
            <w:tcBorders>
              <w:top w:val="single" w:color="auto" w:sz="4" w:space="0"/>
              <w:left w:val="single" w:color="auto" w:sz="4" w:space="0"/>
              <w:bottom w:val="single" w:color="auto" w:sz="4" w:space="0"/>
              <w:right w:val="single" w:color="auto" w:sz="4" w:space="0"/>
            </w:tcBorders>
            <w:vAlign w:val="center"/>
          </w:tcPr>
          <w:p w14:paraId="59809F58">
            <w:pPr>
              <w:keepNext w:val="0"/>
              <w:keepLines w:val="0"/>
              <w:suppressLineNumbers w:val="0"/>
              <w:spacing w:before="68" w:beforeAutospacing="0" w:after="0" w:afterAutospacing="0" w:line="300" w:lineRule="auto"/>
              <w:ind w:left="0" w:right="0"/>
              <w:rPr>
                <w:rFonts w:hint="eastAsia" w:ascii="宋体" w:hAnsi="宋体" w:cs="宋体"/>
                <w:b/>
                <w:bCs/>
                <w:color w:val="auto"/>
                <w:spacing w:val="11"/>
                <w:sz w:val="24"/>
              </w:rPr>
            </w:pPr>
            <w:r>
              <w:rPr>
                <w:rFonts w:hint="eastAsia" w:ascii="宋体" w:hAnsi="宋体" w:cs="宋体"/>
                <w:b/>
                <w:bCs/>
                <w:color w:val="auto"/>
                <w:spacing w:val="11"/>
                <w:sz w:val="24"/>
              </w:rPr>
              <w:t>1.重要说明：</w:t>
            </w:r>
          </w:p>
          <w:p w14:paraId="110A7005">
            <w:pPr>
              <w:keepNext w:val="0"/>
              <w:keepLines w:val="0"/>
              <w:suppressLineNumbers w:val="0"/>
              <w:spacing w:before="68" w:beforeAutospacing="0" w:after="0" w:afterAutospacing="0" w:line="300" w:lineRule="auto"/>
              <w:ind w:left="0" w:right="0"/>
              <w:rPr>
                <w:rFonts w:hint="eastAsia" w:ascii="宋体" w:hAnsi="宋体" w:cs="宋体"/>
                <w:color w:val="auto"/>
                <w:sz w:val="24"/>
              </w:rPr>
            </w:pPr>
            <w:r>
              <w:rPr>
                <w:rFonts w:hint="eastAsia" w:ascii="宋体" w:hAnsi="宋体" w:cs="宋体"/>
                <w:color w:val="auto"/>
                <w:spacing w:val="11"/>
                <w:sz w:val="24"/>
              </w:rPr>
              <w:t>（1）本项目采用全流程不见面电子开评标，投标供应商需要使用CA 加密设备，供应商可通过新疆数字证书认证中心官网(</w:t>
            </w:r>
            <w:r>
              <w:rPr>
                <w:rFonts w:hint="default"/>
                <w:color w:val="auto"/>
              </w:rPr>
              <w:fldChar w:fldCharType="begin"/>
            </w:r>
            <w:r>
              <w:rPr>
                <w:rFonts w:hint="default"/>
                <w:color w:val="auto"/>
              </w:rPr>
              <w:instrText xml:space="preserve"> HYPERLINK "https://www.xjca.com.cn/" </w:instrText>
            </w:r>
            <w:r>
              <w:rPr>
                <w:rFonts w:hint="default"/>
                <w:color w:val="auto"/>
              </w:rPr>
              <w:fldChar w:fldCharType="separate"/>
            </w:r>
            <w:r>
              <w:rPr>
                <w:rFonts w:hint="eastAsia" w:ascii="宋体" w:hAnsi="宋体" w:cs="宋体"/>
                <w:color w:val="auto"/>
                <w:spacing w:val="11"/>
                <w:sz w:val="24"/>
              </w:rPr>
              <w:t>https://www.xjca.com.cn/</w:t>
            </w:r>
            <w:r>
              <w:rPr>
                <w:rFonts w:hint="eastAsia" w:ascii="宋体" w:hAnsi="宋体" w:cs="宋体"/>
                <w:color w:val="auto"/>
                <w:spacing w:val="11"/>
                <w:sz w:val="24"/>
              </w:rPr>
              <w:fldChar w:fldCharType="end"/>
            </w:r>
            <w:r>
              <w:rPr>
                <w:rFonts w:hint="eastAsia" w:ascii="宋体" w:hAnsi="宋体" w:cs="宋体"/>
                <w:color w:val="auto"/>
                <w:spacing w:val="11"/>
                <w:sz w:val="24"/>
              </w:rPr>
              <w:t>)或下载“新</w:t>
            </w:r>
            <w:r>
              <w:rPr>
                <w:rFonts w:hint="eastAsia" w:ascii="宋体" w:hAnsi="宋体" w:cs="宋体"/>
                <w:color w:val="auto"/>
                <w:spacing w:val="5"/>
                <w:sz w:val="24"/>
              </w:rPr>
              <w:t>疆政务通”</w:t>
            </w:r>
            <w:r>
              <w:rPr>
                <w:rFonts w:hint="eastAsia" w:ascii="宋体" w:hAnsi="宋体" w:cs="宋体"/>
                <w:color w:val="auto"/>
                <w:sz w:val="24"/>
              </w:rPr>
              <w:t>APP</w:t>
            </w:r>
            <w:r>
              <w:rPr>
                <w:rFonts w:hint="eastAsia" w:ascii="宋体" w:hAnsi="宋体" w:cs="宋体"/>
                <w:color w:val="auto"/>
                <w:spacing w:val="5"/>
                <w:sz w:val="24"/>
              </w:rPr>
              <w:t xml:space="preserve"> 自行进行申领。</w:t>
            </w:r>
          </w:p>
          <w:p w14:paraId="6C09A05B">
            <w:pPr>
              <w:keepNext w:val="0"/>
              <w:keepLines w:val="0"/>
              <w:suppressLineNumbers w:val="0"/>
              <w:spacing w:before="40" w:beforeAutospacing="0" w:after="0" w:afterAutospacing="0" w:line="300" w:lineRule="auto"/>
              <w:ind w:left="0" w:right="97"/>
              <w:jc w:val="left"/>
              <w:rPr>
                <w:rFonts w:hint="eastAsia" w:ascii="宋体" w:hAnsi="宋体" w:cs="宋体"/>
                <w:color w:val="auto"/>
                <w:spacing w:val="13"/>
                <w:sz w:val="24"/>
              </w:rPr>
            </w:pPr>
            <w:r>
              <w:rPr>
                <w:rFonts w:hint="eastAsia" w:ascii="宋体" w:hAnsi="宋体" w:cs="宋体"/>
                <w:color w:val="auto"/>
                <w:spacing w:val="12"/>
                <w:sz w:val="24"/>
              </w:rPr>
              <w:t>（2）本</w:t>
            </w:r>
            <w:r>
              <w:rPr>
                <w:rFonts w:hint="eastAsia" w:ascii="宋体" w:hAnsi="宋体" w:cs="宋体"/>
                <w:color w:val="auto"/>
                <w:spacing w:val="9"/>
                <w:sz w:val="24"/>
              </w:rPr>
              <w:t>项</w:t>
            </w:r>
            <w:r>
              <w:rPr>
                <w:rFonts w:hint="eastAsia" w:ascii="宋体" w:hAnsi="宋体" w:cs="宋体"/>
                <w:color w:val="auto"/>
                <w:spacing w:val="6"/>
                <w:sz w:val="24"/>
              </w:rPr>
              <w:t>目实行网上投标，采用加密电子投标响应文件(供应商须使用</w:t>
            </w:r>
            <w:r>
              <w:rPr>
                <w:rFonts w:hint="eastAsia" w:ascii="宋体" w:hAnsi="宋体" w:cs="宋体"/>
                <w:color w:val="auto"/>
                <w:sz w:val="24"/>
              </w:rPr>
              <w:t>CA</w:t>
            </w:r>
            <w:r>
              <w:rPr>
                <w:rFonts w:hint="eastAsia" w:ascii="宋体" w:hAnsi="宋体" w:cs="宋体"/>
                <w:color w:val="auto"/>
                <w:spacing w:val="6"/>
                <w:sz w:val="24"/>
              </w:rPr>
              <w:t xml:space="preserve"> 加密设备通过</w:t>
            </w:r>
            <w:r>
              <w:rPr>
                <w:rFonts w:hint="eastAsia" w:ascii="宋体" w:hAnsi="宋体" w:cs="宋体"/>
                <w:color w:val="auto"/>
                <w:spacing w:val="12"/>
                <w:sz w:val="24"/>
              </w:rPr>
              <w:t>政采云</w:t>
            </w:r>
            <w:r>
              <w:rPr>
                <w:rFonts w:hint="eastAsia" w:ascii="宋体" w:hAnsi="宋体" w:cs="宋体"/>
                <w:color w:val="auto"/>
                <w:spacing w:val="7"/>
                <w:sz w:val="24"/>
              </w:rPr>
              <w:t>电</w:t>
            </w:r>
            <w:r>
              <w:rPr>
                <w:rFonts w:hint="eastAsia" w:ascii="宋体" w:hAnsi="宋体" w:cs="宋体"/>
                <w:color w:val="auto"/>
                <w:spacing w:val="6"/>
                <w:sz w:val="24"/>
              </w:rPr>
              <w:t>子投标客户端制作投标响应文件)。若供应商参与投标自行承担投标一切</w:t>
            </w:r>
            <w:r>
              <w:rPr>
                <w:rFonts w:hint="eastAsia" w:ascii="宋体" w:hAnsi="宋体" w:cs="宋体"/>
                <w:color w:val="auto"/>
                <w:spacing w:val="15"/>
                <w:sz w:val="24"/>
              </w:rPr>
              <w:t>费</w:t>
            </w:r>
            <w:r>
              <w:rPr>
                <w:rFonts w:hint="eastAsia" w:ascii="宋体" w:hAnsi="宋体" w:cs="宋体"/>
                <w:color w:val="auto"/>
                <w:spacing w:val="13"/>
                <w:sz w:val="24"/>
              </w:rPr>
              <w:t>用。</w:t>
            </w:r>
          </w:p>
          <w:p w14:paraId="38854429">
            <w:pPr>
              <w:keepNext w:val="0"/>
              <w:keepLines w:val="0"/>
              <w:suppressLineNumbers w:val="0"/>
              <w:spacing w:before="40" w:beforeAutospacing="0" w:after="0" w:afterAutospacing="0" w:line="300" w:lineRule="auto"/>
              <w:ind w:left="0" w:right="97"/>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pacing w:val="9"/>
                <w:sz w:val="24"/>
              </w:rPr>
              <w:t>各供应商在开标前应确保成为新疆维吾尔自治区政府采购网正式注册入库供</w:t>
            </w:r>
            <w:r>
              <w:rPr>
                <w:rFonts w:hint="eastAsia" w:ascii="宋体" w:hAnsi="宋体" w:cs="宋体"/>
                <w:color w:val="auto"/>
                <w:spacing w:val="2"/>
                <w:sz w:val="24"/>
              </w:rPr>
              <w:t xml:space="preserve">应商，并完成 </w:t>
            </w:r>
            <w:r>
              <w:rPr>
                <w:rFonts w:hint="eastAsia" w:ascii="宋体" w:hAnsi="宋体" w:cs="宋体"/>
                <w:color w:val="auto"/>
                <w:sz w:val="24"/>
              </w:rPr>
              <w:t>CA</w:t>
            </w:r>
            <w:r>
              <w:rPr>
                <w:rFonts w:hint="eastAsia" w:ascii="宋体" w:hAnsi="宋体" w:cs="宋体"/>
                <w:color w:val="auto"/>
                <w:spacing w:val="1"/>
                <w:sz w:val="24"/>
              </w:rPr>
              <w:t xml:space="preserve"> 数字证书申领。因未注册入库、未办理 </w:t>
            </w:r>
            <w:r>
              <w:rPr>
                <w:rFonts w:hint="eastAsia" w:ascii="宋体" w:hAnsi="宋体" w:cs="宋体"/>
                <w:color w:val="auto"/>
                <w:sz w:val="24"/>
              </w:rPr>
              <w:t>CA</w:t>
            </w:r>
            <w:r>
              <w:rPr>
                <w:rFonts w:hint="eastAsia" w:ascii="宋体" w:hAnsi="宋体" w:cs="宋体"/>
                <w:color w:val="auto"/>
                <w:spacing w:val="1"/>
                <w:sz w:val="24"/>
              </w:rPr>
              <w:t xml:space="preserve"> 数字证书等原因造成</w:t>
            </w:r>
            <w:r>
              <w:rPr>
                <w:rFonts w:hint="eastAsia" w:ascii="宋体" w:hAnsi="宋体" w:cs="宋体"/>
                <w:color w:val="auto"/>
                <w:sz w:val="24"/>
              </w:rPr>
              <w:t xml:space="preserve"> </w:t>
            </w:r>
            <w:r>
              <w:rPr>
                <w:rFonts w:hint="eastAsia" w:ascii="宋体" w:hAnsi="宋体" w:cs="宋体"/>
                <w:color w:val="auto"/>
                <w:spacing w:val="20"/>
                <w:sz w:val="24"/>
              </w:rPr>
              <w:t>无</w:t>
            </w:r>
            <w:r>
              <w:rPr>
                <w:rFonts w:hint="eastAsia" w:ascii="宋体" w:hAnsi="宋体" w:cs="宋体"/>
                <w:color w:val="auto"/>
                <w:spacing w:val="11"/>
                <w:sz w:val="24"/>
              </w:rPr>
              <w:t>法</w:t>
            </w:r>
            <w:r>
              <w:rPr>
                <w:rFonts w:hint="eastAsia" w:ascii="宋体" w:hAnsi="宋体" w:cs="宋体"/>
                <w:color w:val="auto"/>
                <w:spacing w:val="10"/>
                <w:sz w:val="24"/>
              </w:rPr>
              <w:t>投标或投标失败等后果由供应商自行承担。</w:t>
            </w:r>
          </w:p>
          <w:p w14:paraId="6D137439">
            <w:pPr>
              <w:keepNext w:val="0"/>
              <w:keepLines w:val="0"/>
              <w:suppressLineNumbers w:val="0"/>
              <w:spacing w:before="40" w:beforeAutospacing="0" w:after="0" w:afterAutospacing="0" w:line="300" w:lineRule="auto"/>
              <w:ind w:left="0" w:right="97"/>
              <w:rPr>
                <w:rFonts w:hint="eastAsia" w:ascii="宋体" w:hAnsi="宋体" w:cs="宋体"/>
                <w:color w:val="auto"/>
                <w:sz w:val="24"/>
              </w:rPr>
            </w:pPr>
            <w:r>
              <w:rPr>
                <w:rFonts w:hint="eastAsia" w:ascii="宋体" w:hAnsi="宋体" w:cs="宋体"/>
                <w:color w:val="auto"/>
                <w:spacing w:val="12"/>
                <w:sz w:val="24"/>
              </w:rPr>
              <w:t>（4）供</w:t>
            </w:r>
            <w:r>
              <w:rPr>
                <w:rFonts w:hint="eastAsia" w:ascii="宋体" w:hAnsi="宋体" w:cs="宋体"/>
                <w:color w:val="auto"/>
                <w:spacing w:val="8"/>
                <w:sz w:val="24"/>
              </w:rPr>
              <w:t>应</w:t>
            </w:r>
            <w:r>
              <w:rPr>
                <w:rFonts w:hint="eastAsia" w:ascii="宋体" w:hAnsi="宋体" w:cs="宋体"/>
                <w:color w:val="auto"/>
                <w:spacing w:val="6"/>
                <w:sz w:val="24"/>
              </w:rPr>
              <w:t xml:space="preserve">商将政采云电子交易客户端下载、安装完成后，可通过账号密码或 </w:t>
            </w:r>
            <w:r>
              <w:rPr>
                <w:rFonts w:hint="eastAsia" w:ascii="宋体" w:hAnsi="宋体" w:cs="宋体"/>
                <w:color w:val="auto"/>
                <w:sz w:val="24"/>
              </w:rPr>
              <w:t>CA</w:t>
            </w:r>
            <w:r>
              <w:rPr>
                <w:rFonts w:hint="eastAsia" w:ascii="宋体" w:hAnsi="宋体" w:cs="宋体"/>
                <w:color w:val="auto"/>
                <w:spacing w:val="6"/>
                <w:sz w:val="24"/>
              </w:rPr>
              <w:t xml:space="preserve"> 登</w:t>
            </w:r>
            <w:r>
              <w:rPr>
                <w:rFonts w:hint="eastAsia" w:ascii="宋体" w:hAnsi="宋体" w:cs="宋体"/>
                <w:color w:val="auto"/>
                <w:sz w:val="24"/>
              </w:rPr>
              <w:t xml:space="preserve"> </w:t>
            </w:r>
            <w:r>
              <w:rPr>
                <w:rFonts w:hint="eastAsia" w:ascii="宋体" w:hAnsi="宋体" w:cs="宋体"/>
                <w:color w:val="auto"/>
                <w:spacing w:val="18"/>
                <w:sz w:val="24"/>
              </w:rPr>
              <w:t>录</w:t>
            </w:r>
            <w:r>
              <w:rPr>
                <w:rFonts w:hint="eastAsia" w:ascii="宋体" w:hAnsi="宋体" w:cs="宋体"/>
                <w:color w:val="auto"/>
                <w:spacing w:val="11"/>
                <w:sz w:val="24"/>
              </w:rPr>
              <w:t>客户端进行投标响应文件制作。在使用政采云投标客户端时，建议使用</w:t>
            </w:r>
            <w:r>
              <w:rPr>
                <w:rFonts w:hint="eastAsia" w:ascii="宋体" w:hAnsi="宋体" w:cs="宋体"/>
                <w:color w:val="auto"/>
                <w:sz w:val="24"/>
              </w:rPr>
              <w:t>WIN</w:t>
            </w:r>
            <w:r>
              <w:rPr>
                <w:rFonts w:hint="eastAsia" w:ascii="宋体" w:hAnsi="宋体" w:cs="宋体"/>
                <w:color w:val="auto"/>
                <w:spacing w:val="11"/>
                <w:sz w:val="24"/>
              </w:rPr>
              <w:t>7+64</w:t>
            </w:r>
            <w:r>
              <w:rPr>
                <w:rFonts w:hint="eastAsia" w:ascii="宋体" w:hAnsi="宋体" w:cs="宋体"/>
                <w:color w:val="auto"/>
                <w:sz w:val="24"/>
              </w:rPr>
              <w:t xml:space="preserve"> </w:t>
            </w:r>
            <w:r>
              <w:rPr>
                <w:rFonts w:hint="eastAsia" w:ascii="宋体" w:hAnsi="宋体" w:cs="宋体"/>
                <w:color w:val="auto"/>
                <w:spacing w:val="18"/>
                <w:sz w:val="24"/>
              </w:rPr>
              <w:t>位</w:t>
            </w:r>
            <w:r>
              <w:rPr>
                <w:rFonts w:hint="eastAsia" w:ascii="宋体" w:hAnsi="宋体" w:cs="宋体"/>
                <w:color w:val="auto"/>
                <w:spacing w:val="12"/>
                <w:sz w:val="24"/>
              </w:rPr>
              <w:t>及</w:t>
            </w:r>
            <w:r>
              <w:rPr>
                <w:rFonts w:hint="eastAsia" w:ascii="宋体" w:hAnsi="宋体" w:cs="宋体"/>
                <w:color w:val="auto"/>
                <w:spacing w:val="9"/>
                <w:sz w:val="24"/>
              </w:rPr>
              <w:t>以上操作系统。客户端请至新疆政府采购网</w:t>
            </w:r>
            <w:r>
              <w:rPr>
                <w:rFonts w:hint="eastAsia" w:ascii="宋体" w:hAnsi="宋体" w:cs="宋体"/>
                <w:color w:val="auto"/>
                <w:spacing w:val="22"/>
                <w:sz w:val="24"/>
              </w:rPr>
              <w:t>(</w:t>
            </w:r>
            <w:r>
              <w:rPr>
                <w:rFonts w:hint="default"/>
                <w:color w:val="auto"/>
              </w:rPr>
              <w:fldChar w:fldCharType="begin"/>
            </w:r>
            <w:r>
              <w:rPr>
                <w:rFonts w:hint="default"/>
                <w:color w:val="auto"/>
              </w:rPr>
              <w:instrText xml:space="preserve"> HYPERLINK "http://www.ccgp-xinjiang.gov.cn/" </w:instrText>
            </w:r>
            <w:r>
              <w:rPr>
                <w:rFonts w:hint="default"/>
                <w:color w:val="auto"/>
              </w:rPr>
              <w:fldChar w:fldCharType="separate"/>
            </w:r>
            <w:r>
              <w:rPr>
                <w:rFonts w:hint="eastAsia" w:ascii="宋体" w:hAnsi="宋体" w:cs="宋体"/>
                <w:color w:val="auto"/>
                <w:sz w:val="24"/>
              </w:rPr>
              <w:t>http</w:t>
            </w:r>
            <w:r>
              <w:rPr>
                <w:rFonts w:hint="eastAsia" w:ascii="宋体" w:hAnsi="宋体" w:cs="宋体"/>
                <w:color w:val="auto"/>
                <w:spacing w:val="21"/>
                <w:sz w:val="24"/>
              </w:rPr>
              <w:t>:</w:t>
            </w:r>
            <w:r>
              <w:rPr>
                <w:rFonts w:hint="eastAsia" w:ascii="宋体" w:hAnsi="宋体" w:cs="宋体"/>
                <w:color w:val="auto"/>
                <w:spacing w:val="11"/>
                <w:sz w:val="24"/>
              </w:rPr>
              <w:t>//</w:t>
            </w:r>
            <w:r>
              <w:rPr>
                <w:rFonts w:hint="eastAsia" w:ascii="宋体" w:hAnsi="宋体" w:cs="宋体"/>
                <w:color w:val="auto"/>
                <w:sz w:val="24"/>
              </w:rPr>
              <w:t>www</w:t>
            </w:r>
            <w:r>
              <w:rPr>
                <w:rFonts w:hint="eastAsia" w:ascii="宋体" w:hAnsi="宋体" w:cs="宋体"/>
                <w:color w:val="auto"/>
                <w:spacing w:val="11"/>
                <w:sz w:val="24"/>
              </w:rPr>
              <w:t>.</w:t>
            </w:r>
            <w:r>
              <w:rPr>
                <w:rFonts w:hint="eastAsia" w:ascii="宋体" w:hAnsi="宋体" w:cs="宋体"/>
                <w:color w:val="auto"/>
                <w:sz w:val="24"/>
              </w:rPr>
              <w:t>ccgp</w:t>
            </w:r>
            <w:r>
              <w:rPr>
                <w:rFonts w:hint="eastAsia" w:ascii="宋体" w:hAnsi="宋体" w:cs="宋体"/>
                <w:color w:val="auto"/>
                <w:spacing w:val="11"/>
                <w:sz w:val="24"/>
              </w:rPr>
              <w:t>-</w:t>
            </w:r>
            <w:r>
              <w:rPr>
                <w:rFonts w:hint="eastAsia" w:ascii="宋体" w:hAnsi="宋体" w:cs="宋体"/>
                <w:color w:val="auto"/>
                <w:sz w:val="24"/>
              </w:rPr>
              <w:t>xinjiang</w:t>
            </w:r>
            <w:r>
              <w:rPr>
                <w:rFonts w:hint="eastAsia" w:ascii="宋体" w:hAnsi="宋体" w:cs="宋体"/>
                <w:color w:val="auto"/>
                <w:spacing w:val="11"/>
                <w:sz w:val="24"/>
              </w:rPr>
              <w:t>.</w:t>
            </w:r>
            <w:r>
              <w:rPr>
                <w:rFonts w:hint="eastAsia" w:ascii="宋体" w:hAnsi="宋体" w:cs="宋体"/>
                <w:color w:val="auto"/>
                <w:sz w:val="24"/>
              </w:rPr>
              <w:t>gov</w:t>
            </w:r>
            <w:r>
              <w:rPr>
                <w:rFonts w:hint="eastAsia" w:ascii="宋体" w:hAnsi="宋体" w:cs="宋体"/>
                <w:color w:val="auto"/>
                <w:spacing w:val="11"/>
                <w:sz w:val="24"/>
              </w:rPr>
              <w:t>.</w:t>
            </w:r>
            <w:r>
              <w:rPr>
                <w:rFonts w:hint="eastAsia" w:ascii="宋体" w:hAnsi="宋体" w:cs="宋体"/>
                <w:color w:val="auto"/>
                <w:sz w:val="24"/>
              </w:rPr>
              <w:t>cn</w:t>
            </w:r>
            <w:r>
              <w:rPr>
                <w:rFonts w:hint="eastAsia" w:ascii="宋体" w:hAnsi="宋体" w:cs="宋体"/>
                <w:color w:val="auto"/>
                <w:spacing w:val="11"/>
                <w:sz w:val="24"/>
              </w:rPr>
              <w:t>/</w:t>
            </w:r>
            <w:r>
              <w:rPr>
                <w:rFonts w:hint="eastAsia" w:ascii="宋体" w:hAnsi="宋体" w:cs="宋体"/>
                <w:color w:val="auto"/>
                <w:spacing w:val="11"/>
                <w:sz w:val="24"/>
              </w:rPr>
              <w:fldChar w:fldCharType="end"/>
            </w:r>
            <w:r>
              <w:rPr>
                <w:rFonts w:hint="eastAsia" w:ascii="宋体" w:hAnsi="宋体" w:cs="宋体"/>
                <w:color w:val="auto"/>
                <w:spacing w:val="11"/>
                <w:sz w:val="24"/>
              </w:rPr>
              <w:t>) 下载专区查看，如有问题可拨打政采云</w:t>
            </w:r>
            <w:r>
              <w:rPr>
                <w:rFonts w:hint="eastAsia" w:ascii="宋体" w:hAnsi="宋体" w:cs="宋体"/>
                <w:color w:val="auto"/>
                <w:spacing w:val="12"/>
                <w:sz w:val="24"/>
              </w:rPr>
              <w:t>客</w:t>
            </w:r>
            <w:r>
              <w:rPr>
                <w:rFonts w:hint="eastAsia" w:ascii="宋体" w:hAnsi="宋体" w:cs="宋体"/>
                <w:color w:val="auto"/>
                <w:spacing w:val="9"/>
                <w:sz w:val="24"/>
              </w:rPr>
              <w:t>户服务热线“95763”进行咨询。</w:t>
            </w:r>
            <w:r>
              <w:rPr>
                <w:rFonts w:hint="eastAsia" w:ascii="宋体" w:hAnsi="宋体" w:cs="宋体"/>
                <w:color w:val="auto"/>
                <w:sz w:val="24"/>
              </w:rPr>
              <w:t xml:space="preserve">                                        </w:t>
            </w:r>
            <w:r>
              <w:rPr>
                <w:rFonts w:hint="eastAsia" w:ascii="宋体" w:hAnsi="宋体" w:cs="宋体"/>
                <w:color w:val="auto"/>
                <w:spacing w:val="12"/>
                <w:sz w:val="24"/>
              </w:rPr>
              <w:t>（5）供</w:t>
            </w:r>
            <w:r>
              <w:rPr>
                <w:rFonts w:hint="eastAsia" w:ascii="宋体" w:hAnsi="宋体" w:cs="宋体"/>
                <w:color w:val="auto"/>
                <w:spacing w:val="6"/>
                <w:sz w:val="24"/>
              </w:rPr>
              <w:t>应商在开标时须使用制作加密电子投标响应文件所使用的</w:t>
            </w:r>
            <w:r>
              <w:rPr>
                <w:rFonts w:hint="eastAsia" w:ascii="宋体" w:hAnsi="宋体" w:cs="宋体"/>
                <w:color w:val="auto"/>
                <w:sz w:val="24"/>
              </w:rPr>
              <w:t>CA</w:t>
            </w:r>
            <w:r>
              <w:rPr>
                <w:rFonts w:hint="eastAsia" w:ascii="宋体" w:hAnsi="宋体" w:cs="宋体"/>
                <w:color w:val="auto"/>
                <w:spacing w:val="6"/>
                <w:sz w:val="24"/>
              </w:rPr>
              <w:t xml:space="preserve"> 锁及电脑，电脑须</w:t>
            </w:r>
            <w:r>
              <w:rPr>
                <w:rFonts w:hint="eastAsia" w:ascii="宋体" w:hAnsi="宋体" w:cs="宋体"/>
                <w:color w:val="auto"/>
                <w:spacing w:val="8"/>
                <w:sz w:val="24"/>
              </w:rPr>
              <w:t>提</w:t>
            </w:r>
            <w:r>
              <w:rPr>
                <w:rFonts w:hint="eastAsia" w:ascii="宋体" w:hAnsi="宋体" w:cs="宋体"/>
                <w:color w:val="auto"/>
                <w:spacing w:val="6"/>
                <w:sz w:val="24"/>
              </w:rPr>
              <w:t>前配置好浏览器 (建议使用谷歌浏览器) ，以便开标时解锁。</w:t>
            </w:r>
          </w:p>
          <w:p w14:paraId="0652A47D">
            <w:pPr>
              <w:keepNext w:val="0"/>
              <w:keepLines w:val="0"/>
              <w:suppressLineNumbers w:val="0"/>
              <w:spacing w:before="40" w:beforeAutospacing="0" w:after="0" w:afterAutospacing="0" w:line="300" w:lineRule="auto"/>
              <w:ind w:left="0" w:right="97"/>
              <w:rPr>
                <w:rFonts w:hint="eastAsia" w:ascii="宋体" w:hAnsi="宋体" w:cs="宋体"/>
                <w:color w:val="auto"/>
                <w:sz w:val="24"/>
              </w:rPr>
            </w:pPr>
            <w:r>
              <w:rPr>
                <w:rFonts w:hint="eastAsia" w:ascii="宋体" w:hAnsi="宋体" w:cs="宋体"/>
                <w:color w:val="auto"/>
                <w:spacing w:val="9"/>
                <w:sz w:val="24"/>
              </w:rPr>
              <w:t>（6）供应商对不见面开评标系统的技术操作咨询，可通过</w:t>
            </w:r>
          </w:p>
          <w:p w14:paraId="0988BFBA">
            <w:pPr>
              <w:keepNext w:val="0"/>
              <w:keepLines w:val="0"/>
              <w:suppressLineNumbers w:val="0"/>
              <w:spacing w:before="0" w:beforeAutospacing="0" w:after="0" w:afterAutospacing="0" w:line="300" w:lineRule="auto"/>
              <w:ind w:left="0" w:right="0"/>
              <w:rPr>
                <w:rFonts w:hint="eastAsia" w:ascii="宋体" w:hAnsi="宋体" w:cs="宋体"/>
                <w:color w:val="auto"/>
                <w:spacing w:val="6"/>
                <w:sz w:val="24"/>
              </w:rPr>
            </w:pPr>
            <w:r>
              <w:rPr>
                <w:rFonts w:hint="default"/>
                <w:color w:val="auto"/>
              </w:rPr>
              <w:fldChar w:fldCharType="begin"/>
            </w:r>
            <w:r>
              <w:rPr>
                <w:rFonts w:hint="default"/>
                <w:color w:val="auto"/>
              </w:rPr>
              <w:instrText xml:space="preserve"> HYPERLINK "https://edu.zcygov.cn/luban/xinjiang-e-biding" </w:instrText>
            </w:r>
            <w:r>
              <w:rPr>
                <w:rFonts w:hint="default"/>
                <w:color w:val="auto"/>
              </w:rPr>
              <w:fldChar w:fldCharType="separate"/>
            </w:r>
            <w:r>
              <w:rPr>
                <w:rFonts w:hint="eastAsia" w:ascii="宋体" w:hAnsi="宋体" w:cs="宋体"/>
                <w:color w:val="auto"/>
                <w:sz w:val="24"/>
              </w:rPr>
              <w:t>https</w:t>
            </w:r>
            <w:r>
              <w:rPr>
                <w:rFonts w:hint="eastAsia" w:ascii="宋体" w:hAnsi="宋体" w:cs="宋体"/>
                <w:color w:val="auto"/>
                <w:spacing w:val="13"/>
                <w:sz w:val="24"/>
              </w:rPr>
              <w:t>:</w:t>
            </w:r>
            <w:r>
              <w:rPr>
                <w:rFonts w:hint="eastAsia" w:ascii="宋体" w:hAnsi="宋体" w:cs="宋体"/>
                <w:color w:val="auto"/>
                <w:spacing w:val="11"/>
                <w:sz w:val="24"/>
              </w:rPr>
              <w:t>//</w:t>
            </w:r>
            <w:r>
              <w:rPr>
                <w:rFonts w:hint="eastAsia" w:ascii="宋体" w:hAnsi="宋体" w:cs="宋体"/>
                <w:color w:val="auto"/>
                <w:sz w:val="24"/>
              </w:rPr>
              <w:t>edu</w:t>
            </w:r>
            <w:r>
              <w:rPr>
                <w:rFonts w:hint="eastAsia" w:ascii="宋体" w:hAnsi="宋体" w:cs="宋体"/>
                <w:color w:val="auto"/>
                <w:spacing w:val="11"/>
                <w:sz w:val="24"/>
              </w:rPr>
              <w:t>.</w:t>
            </w:r>
            <w:r>
              <w:rPr>
                <w:rFonts w:hint="eastAsia" w:ascii="宋体" w:hAnsi="宋体" w:cs="宋体"/>
                <w:color w:val="auto"/>
                <w:sz w:val="24"/>
              </w:rPr>
              <w:t>zcygov</w:t>
            </w:r>
            <w:r>
              <w:rPr>
                <w:rFonts w:hint="eastAsia" w:ascii="宋体" w:hAnsi="宋体" w:cs="宋体"/>
                <w:color w:val="auto"/>
                <w:spacing w:val="11"/>
                <w:sz w:val="24"/>
              </w:rPr>
              <w:t>.</w:t>
            </w:r>
            <w:r>
              <w:rPr>
                <w:rFonts w:hint="eastAsia" w:ascii="宋体" w:hAnsi="宋体" w:cs="宋体"/>
                <w:color w:val="auto"/>
                <w:sz w:val="24"/>
              </w:rPr>
              <w:t>cn</w:t>
            </w:r>
            <w:r>
              <w:rPr>
                <w:rFonts w:hint="eastAsia" w:ascii="宋体" w:hAnsi="宋体" w:cs="宋体"/>
                <w:color w:val="auto"/>
                <w:spacing w:val="11"/>
                <w:sz w:val="24"/>
              </w:rPr>
              <w:t>/</w:t>
            </w:r>
            <w:r>
              <w:rPr>
                <w:rFonts w:hint="eastAsia" w:ascii="宋体" w:hAnsi="宋体" w:cs="宋体"/>
                <w:color w:val="auto"/>
                <w:sz w:val="24"/>
              </w:rPr>
              <w:t>luban</w:t>
            </w:r>
            <w:r>
              <w:rPr>
                <w:rFonts w:hint="eastAsia" w:ascii="宋体" w:hAnsi="宋体" w:cs="宋体"/>
                <w:color w:val="auto"/>
                <w:spacing w:val="11"/>
                <w:sz w:val="24"/>
              </w:rPr>
              <w:t>/</w:t>
            </w:r>
            <w:r>
              <w:rPr>
                <w:rFonts w:hint="eastAsia" w:ascii="宋体" w:hAnsi="宋体" w:cs="宋体"/>
                <w:color w:val="auto"/>
                <w:sz w:val="24"/>
              </w:rPr>
              <w:t>xinjiang</w:t>
            </w:r>
            <w:r>
              <w:rPr>
                <w:rFonts w:hint="eastAsia" w:ascii="宋体" w:hAnsi="宋体" w:cs="宋体"/>
                <w:color w:val="auto"/>
                <w:spacing w:val="11"/>
                <w:sz w:val="24"/>
              </w:rPr>
              <w:t>-</w:t>
            </w:r>
            <w:r>
              <w:rPr>
                <w:rFonts w:hint="eastAsia" w:ascii="宋体" w:hAnsi="宋体" w:cs="宋体"/>
                <w:color w:val="auto"/>
                <w:sz w:val="24"/>
              </w:rPr>
              <w:t>e</w:t>
            </w:r>
            <w:r>
              <w:rPr>
                <w:rFonts w:hint="eastAsia" w:ascii="宋体" w:hAnsi="宋体" w:cs="宋体"/>
                <w:color w:val="auto"/>
                <w:spacing w:val="11"/>
                <w:sz w:val="24"/>
              </w:rPr>
              <w:t>-</w:t>
            </w:r>
            <w:r>
              <w:rPr>
                <w:rFonts w:hint="eastAsia" w:ascii="宋体" w:hAnsi="宋体" w:cs="宋体"/>
                <w:color w:val="auto"/>
                <w:sz w:val="24"/>
              </w:rPr>
              <w:t>biding</w:t>
            </w:r>
            <w:r>
              <w:rPr>
                <w:rFonts w:hint="eastAsia" w:ascii="宋体" w:hAnsi="宋体" w:cs="宋体"/>
                <w:color w:val="auto"/>
                <w:sz w:val="24"/>
              </w:rPr>
              <w:fldChar w:fldCharType="end"/>
            </w:r>
            <w:r>
              <w:rPr>
                <w:rFonts w:hint="eastAsia" w:ascii="宋体" w:hAnsi="宋体" w:cs="宋体"/>
                <w:color w:val="auto"/>
                <w:spacing w:val="11"/>
                <w:sz w:val="24"/>
              </w:rPr>
              <w:t>自助查询，也可在政采云帮</w:t>
            </w:r>
            <w:r>
              <w:rPr>
                <w:rFonts w:hint="eastAsia" w:ascii="宋体" w:hAnsi="宋体" w:cs="宋体"/>
                <w:color w:val="auto"/>
                <w:spacing w:val="17"/>
                <w:sz w:val="24"/>
              </w:rPr>
              <w:t>助</w:t>
            </w:r>
            <w:r>
              <w:rPr>
                <w:rFonts w:hint="eastAsia" w:ascii="宋体" w:hAnsi="宋体" w:cs="宋体"/>
                <w:color w:val="auto"/>
                <w:spacing w:val="9"/>
                <w:sz w:val="24"/>
              </w:rPr>
              <w:t>中心常见问题解答和操作流程讲解视频中自助查询，网址为：</w:t>
            </w:r>
            <w:r>
              <w:rPr>
                <w:rFonts w:hint="default"/>
                <w:color w:val="auto"/>
              </w:rPr>
              <w:fldChar w:fldCharType="begin"/>
            </w:r>
            <w:r>
              <w:rPr>
                <w:rFonts w:hint="default"/>
                <w:color w:val="auto"/>
              </w:rPr>
              <w:instrText xml:space="preserve"> HYPERLINK "https://service.zcygov.cn/#/help" </w:instrText>
            </w:r>
            <w:r>
              <w:rPr>
                <w:rFonts w:hint="default"/>
                <w:color w:val="auto"/>
              </w:rPr>
              <w:fldChar w:fldCharType="separate"/>
            </w:r>
            <w:r>
              <w:rPr>
                <w:rFonts w:hint="eastAsia" w:ascii="宋体" w:hAnsi="宋体" w:cs="宋体"/>
                <w:color w:val="auto"/>
                <w:sz w:val="24"/>
              </w:rPr>
              <w:t>https</w:t>
            </w:r>
            <w:r>
              <w:rPr>
                <w:rFonts w:hint="eastAsia" w:ascii="宋体" w:hAnsi="宋体" w:cs="宋体"/>
                <w:color w:val="auto"/>
                <w:spacing w:val="16"/>
                <w:sz w:val="24"/>
              </w:rPr>
              <w:t>:/</w:t>
            </w:r>
            <w:r>
              <w:rPr>
                <w:rFonts w:hint="eastAsia" w:ascii="宋体" w:hAnsi="宋体" w:cs="宋体"/>
                <w:color w:val="auto"/>
                <w:spacing w:val="10"/>
                <w:sz w:val="24"/>
              </w:rPr>
              <w:t>/</w:t>
            </w:r>
            <w:r>
              <w:rPr>
                <w:rFonts w:hint="eastAsia" w:ascii="宋体" w:hAnsi="宋体" w:cs="宋体"/>
                <w:color w:val="auto"/>
                <w:sz w:val="24"/>
              </w:rPr>
              <w:t>service</w:t>
            </w:r>
            <w:r>
              <w:rPr>
                <w:rFonts w:hint="eastAsia" w:ascii="宋体" w:hAnsi="宋体" w:cs="宋体"/>
                <w:color w:val="auto"/>
                <w:spacing w:val="8"/>
                <w:sz w:val="24"/>
              </w:rPr>
              <w:t>.</w:t>
            </w:r>
            <w:r>
              <w:rPr>
                <w:rFonts w:hint="eastAsia" w:ascii="宋体" w:hAnsi="宋体" w:cs="宋体"/>
                <w:color w:val="auto"/>
                <w:sz w:val="24"/>
              </w:rPr>
              <w:t>zcygov</w:t>
            </w:r>
            <w:r>
              <w:rPr>
                <w:rFonts w:hint="eastAsia" w:ascii="宋体" w:hAnsi="宋体" w:cs="宋体"/>
                <w:color w:val="auto"/>
                <w:spacing w:val="8"/>
                <w:sz w:val="24"/>
              </w:rPr>
              <w:t>.</w:t>
            </w:r>
            <w:r>
              <w:rPr>
                <w:rFonts w:hint="eastAsia" w:ascii="宋体" w:hAnsi="宋体" w:cs="宋体"/>
                <w:color w:val="auto"/>
                <w:sz w:val="24"/>
              </w:rPr>
              <w:t>cn</w:t>
            </w:r>
            <w:r>
              <w:rPr>
                <w:rFonts w:hint="eastAsia" w:ascii="宋体" w:hAnsi="宋体" w:cs="宋体"/>
                <w:color w:val="auto"/>
                <w:spacing w:val="8"/>
                <w:sz w:val="24"/>
              </w:rPr>
              <w:t>/#/</w:t>
            </w:r>
            <w:r>
              <w:rPr>
                <w:rFonts w:hint="eastAsia" w:ascii="宋体" w:hAnsi="宋体" w:cs="宋体"/>
                <w:color w:val="auto"/>
                <w:sz w:val="24"/>
              </w:rPr>
              <w:t>help</w:t>
            </w:r>
            <w:r>
              <w:rPr>
                <w:rFonts w:hint="eastAsia" w:ascii="宋体" w:hAnsi="宋体" w:cs="宋体"/>
                <w:color w:val="auto"/>
                <w:sz w:val="24"/>
              </w:rPr>
              <w:fldChar w:fldCharType="end"/>
            </w:r>
            <w:r>
              <w:rPr>
                <w:rFonts w:hint="eastAsia" w:ascii="宋体" w:hAnsi="宋体" w:cs="宋体"/>
                <w:color w:val="auto"/>
                <w:spacing w:val="8"/>
                <w:sz w:val="24"/>
              </w:rPr>
              <w:t>，“项目采购”—“操作流程-电子招投标”</w:t>
            </w:r>
            <w:r>
              <w:rPr>
                <w:rFonts w:hint="eastAsia" w:ascii="宋体" w:hAnsi="宋体" w:cs="宋体"/>
                <w:color w:val="auto"/>
                <w:sz w:val="24"/>
              </w:rPr>
              <w:t xml:space="preserve"> </w:t>
            </w:r>
            <w:r>
              <w:rPr>
                <w:rFonts w:hint="eastAsia" w:ascii="宋体" w:hAnsi="宋体" w:cs="宋体"/>
                <w:color w:val="auto"/>
                <w:spacing w:val="14"/>
                <w:sz w:val="24"/>
              </w:rPr>
              <w:t>—</w:t>
            </w:r>
            <w:r>
              <w:rPr>
                <w:rFonts w:hint="eastAsia" w:ascii="宋体" w:hAnsi="宋体" w:cs="宋体"/>
                <w:color w:val="auto"/>
                <w:spacing w:val="10"/>
                <w:sz w:val="24"/>
              </w:rPr>
              <w:t>“</w:t>
            </w:r>
            <w:r>
              <w:rPr>
                <w:rFonts w:hint="eastAsia" w:ascii="宋体" w:hAnsi="宋体" w:cs="宋体"/>
                <w:color w:val="auto"/>
                <w:spacing w:val="7"/>
                <w:sz w:val="24"/>
              </w:rPr>
              <w:t>政府采购项目电子交易管理操作指南-供应商”版面获取操作指南。</w:t>
            </w:r>
          </w:p>
          <w:p w14:paraId="06CB050E">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2、电子招投标情况说明：</w:t>
            </w:r>
          </w:p>
          <w:p w14:paraId="323406D8">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(1) 电子招投标：本项目以数据电文形式，依托“政府采购云平台 (www.zcygov.cn) ”进行招投标活动。</w:t>
            </w:r>
          </w:p>
          <w:p w14:paraId="24767979">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(2) 投标准备：注册账号--点击“商家入驻” ，进行政府采购供应商资料填写；申领 CA 数字证书---申领流程详见“新疆政府采购网-下载专区-电子交易客户端-CA 驱动和申领流程”；安装“政采云电子交易客户端”----前往“新疆政府采购网-下载专区-电子交易客户端”进行下载并安装。</w:t>
            </w:r>
          </w:p>
          <w:p w14:paraId="3034A650">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(3) 竞争性磋商文件的获取：使用账号登录或者短信验证码或者使用CA 登录政采云平台；进入“项目采购”应用，在获取竞争性磋商文件菜单中选择项目，获取竞争性磋商文件。</w:t>
            </w:r>
          </w:p>
          <w:p w14:paraId="0A69E0D1">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(4) 投标响应文件的制作：在“政采云电子交易客户端”中完成“填写基本信息”、“导入投标响应文件”、“标书关联”、“标书检查”、“电子签名”、“生成电子标书”等操作。</w:t>
            </w:r>
          </w:p>
          <w:p w14:paraId="4297D2E4">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(5) 投标响应文件的传输递交：供应商在投标截止时间前将加密的投标响应文件上传至政府采购云平台，如不提供或未按要求提供的，当电子投标响应文件无法解密时，将导致无备份投标响应文件而失去投标资格。</w:t>
            </w:r>
          </w:p>
          <w:p w14:paraId="4916823F">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(6) 投标响应文件的解密：供应商按照平台提示和竞争性磋商文件的规定在半小时内完成在线解密。</w:t>
            </w:r>
          </w:p>
          <w:p w14:paraId="272FDD19">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(7) 具体操作指南：详见政采云平台“服务中心-帮助文档-项目采购-操作 流程-电子招投标-政府采购项目电子交易管理操作指南-供应商”。</w:t>
            </w:r>
          </w:p>
          <w:p w14:paraId="0A51436A">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(8) 供应商在进行上述操作时，如遇技术问题可登录政采云</w:t>
            </w:r>
          </w:p>
          <w:p w14:paraId="56E33005">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(https://www.zcygov.cn/) ，点击右侧咨询小采，获取采小蜜智能服务管家帮助，或拨打政采云服务热线“95763”获取热线服务帮助。</w:t>
            </w:r>
          </w:p>
          <w:p w14:paraId="1DB6021B">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温馨提醒：供应商应提前上传，以便在上传时遇到技术问题，有充足的时间请教平台的技术人员。</w:t>
            </w:r>
          </w:p>
        </w:tc>
      </w:tr>
      <w:tr w14:paraId="75A0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99B9ED7">
            <w:pPr>
              <w:keepNext w:val="0"/>
              <w:keepLines w:val="0"/>
              <w:suppressLineNumbers w:val="0"/>
              <w:spacing w:before="0" w:beforeAutospacing="0" w:after="0" w:afterAutospacing="0" w:line="300" w:lineRule="auto"/>
              <w:ind w:left="0" w:right="0"/>
              <w:jc w:val="center"/>
              <w:rPr>
                <w:rFonts w:hint="eastAsia" w:ascii="宋体" w:hAnsi="宋体" w:cs="宋体"/>
                <w:color w:val="auto"/>
                <w:sz w:val="24"/>
              </w:rPr>
            </w:pPr>
            <w:r>
              <w:rPr>
                <w:rFonts w:hint="eastAsia" w:ascii="宋体" w:hAnsi="宋体" w:cs="宋体"/>
                <w:color w:val="auto"/>
                <w:sz w:val="24"/>
              </w:rPr>
              <w:t>30</w:t>
            </w:r>
          </w:p>
        </w:tc>
        <w:tc>
          <w:tcPr>
            <w:tcW w:w="8534" w:type="dxa"/>
            <w:tcBorders>
              <w:top w:val="single" w:color="auto" w:sz="4" w:space="0"/>
              <w:left w:val="single" w:color="auto" w:sz="4" w:space="0"/>
              <w:bottom w:val="single" w:color="auto" w:sz="4" w:space="0"/>
              <w:right w:val="single" w:color="auto" w:sz="4" w:space="0"/>
            </w:tcBorders>
            <w:vAlign w:val="center"/>
          </w:tcPr>
          <w:p w14:paraId="1CD9B316">
            <w:pPr>
              <w:keepNext w:val="0"/>
              <w:keepLines w:val="0"/>
              <w:suppressLineNumbers w:val="0"/>
              <w:spacing w:before="0" w:beforeAutospacing="0" w:after="0" w:afterAutospacing="0" w:line="300" w:lineRule="auto"/>
              <w:ind w:left="0" w:right="0"/>
              <w:rPr>
                <w:rFonts w:hint="eastAsia" w:ascii="宋体" w:hAnsi="宋体" w:cs="宋体"/>
                <w:b/>
                <w:bCs/>
                <w:color w:val="auto"/>
                <w:sz w:val="24"/>
              </w:rPr>
            </w:pPr>
            <w:r>
              <w:rPr>
                <w:rFonts w:hint="eastAsia" w:ascii="宋体" w:hAnsi="宋体" w:cs="宋体"/>
                <w:b/>
                <w:bCs/>
                <w:color w:val="auto"/>
                <w:sz w:val="24"/>
              </w:rPr>
              <w:t>特别说明：</w:t>
            </w:r>
          </w:p>
          <w:p w14:paraId="2F4EE208">
            <w:pPr>
              <w:pStyle w:val="2"/>
              <w:keepNext w:val="0"/>
              <w:keepLines w:val="0"/>
              <w:suppressLineNumbers w:val="0"/>
              <w:spacing w:before="0" w:beforeAutospacing="0" w:after="0" w:afterAutospacing="0" w:line="300" w:lineRule="auto"/>
              <w:ind w:left="0" w:right="0"/>
              <w:rPr>
                <w:rFonts w:hint="default"/>
                <w:color w:val="auto"/>
              </w:rPr>
            </w:pPr>
            <w:r>
              <w:rPr>
                <w:rFonts w:hint="default"/>
                <w:color w:val="auto"/>
              </w:rPr>
              <w:t>1、供应商应认真阅读磋商文件中的每一个条款及要求，</w:t>
            </w:r>
            <w:r>
              <w:rPr>
                <w:rFonts w:hint="eastAsia" w:ascii="宋体" w:hAnsi="宋体" w:eastAsia="宋体" w:cs="宋体"/>
                <w:b/>
                <w:color w:val="auto"/>
                <w:sz w:val="24"/>
                <w:szCs w:val="24"/>
                <w:highlight w:val="none"/>
              </w:rPr>
              <w:t>文件中部分加粗、加下划线、废标、无效标、投标被拒绝字样的条款</w:t>
            </w:r>
            <w:r>
              <w:rPr>
                <w:rFonts w:hint="eastAsia" w:ascii="宋体" w:hAnsi="宋体" w:eastAsia="宋体" w:cs="宋体"/>
                <w:b/>
                <w:color w:val="auto"/>
                <w:sz w:val="24"/>
                <w:szCs w:val="24"/>
                <w:highlight w:val="none"/>
                <w:lang w:val="en-US" w:eastAsia="zh-CN"/>
              </w:rPr>
              <w:t>请仔细阅读查看</w:t>
            </w:r>
            <w:r>
              <w:rPr>
                <w:rFonts w:hint="eastAsia" w:ascii="宋体" w:hAnsi="宋体" w:eastAsia="宋体" w:cs="宋体"/>
                <w:b/>
                <w:color w:val="auto"/>
                <w:sz w:val="24"/>
                <w:szCs w:val="24"/>
                <w:highlight w:val="none"/>
              </w:rPr>
              <w:t>，</w:t>
            </w:r>
            <w:r>
              <w:rPr>
                <w:rFonts w:hint="default"/>
                <w:color w:val="auto"/>
              </w:rPr>
              <w:t>因误读磋商文件而造成的后果，采购人概不负责。</w:t>
            </w:r>
          </w:p>
          <w:p w14:paraId="14D7F82B">
            <w:pPr>
              <w:pStyle w:val="2"/>
              <w:keepNext w:val="0"/>
              <w:keepLines w:val="0"/>
              <w:suppressLineNumbers w:val="0"/>
              <w:spacing w:before="0" w:beforeAutospacing="0" w:after="0" w:afterAutospacing="0" w:line="300" w:lineRule="auto"/>
              <w:ind w:left="0" w:right="0"/>
              <w:rPr>
                <w:rFonts w:hint="default"/>
                <w:color w:val="auto"/>
              </w:rPr>
            </w:pPr>
            <w:r>
              <w:rPr>
                <w:rFonts w:hint="default"/>
                <w:color w:val="auto"/>
              </w:rPr>
              <w:t>2、本次成交单位的成交价，作为发放《成交通知书》和签订合同的价格，且此“报价”在合同实施期间，不做任何调整（经采购人同意调整的除外）。</w:t>
            </w:r>
          </w:p>
          <w:p w14:paraId="17784AEE">
            <w:pPr>
              <w:pStyle w:val="2"/>
              <w:keepNext w:val="0"/>
              <w:keepLines w:val="0"/>
              <w:suppressLineNumbers w:val="0"/>
              <w:spacing w:before="0" w:beforeAutospacing="0" w:after="0" w:afterAutospacing="0" w:line="300" w:lineRule="auto"/>
              <w:ind w:left="0" w:right="0"/>
              <w:rPr>
                <w:rFonts w:hint="default"/>
                <w:color w:val="auto"/>
              </w:rPr>
            </w:pPr>
            <w:r>
              <w:rPr>
                <w:rFonts w:hint="default"/>
                <w:color w:val="auto"/>
              </w:rPr>
              <w:t>3、如成交，发生以下终止条款，将终止合同执行：</w:t>
            </w:r>
          </w:p>
          <w:p w14:paraId="426562BA">
            <w:pPr>
              <w:pStyle w:val="2"/>
              <w:keepNext w:val="0"/>
              <w:keepLines w:val="0"/>
              <w:suppressLineNumbers w:val="0"/>
              <w:spacing w:before="0" w:beforeAutospacing="0" w:after="0" w:afterAutospacing="0" w:line="300" w:lineRule="auto"/>
              <w:ind w:left="0" w:right="0"/>
              <w:rPr>
                <w:rFonts w:hint="default"/>
                <w:color w:val="auto"/>
              </w:rPr>
            </w:pPr>
            <w:r>
              <w:rPr>
                <w:rFonts w:hint="default"/>
                <w:color w:val="auto"/>
              </w:rPr>
              <w:t>（1）成交供应商违反有关法律、法规，被司法机关、行政监督等部门或行业自律组织处罚或处理的。</w:t>
            </w:r>
          </w:p>
          <w:p w14:paraId="27DBD49F">
            <w:pPr>
              <w:pStyle w:val="2"/>
              <w:keepNext w:val="0"/>
              <w:keepLines w:val="0"/>
              <w:suppressLineNumbers w:val="0"/>
              <w:spacing w:before="0" w:beforeAutospacing="0" w:after="0" w:afterAutospacing="0" w:line="300" w:lineRule="auto"/>
              <w:ind w:left="0" w:right="0"/>
              <w:rPr>
                <w:rFonts w:hint="default"/>
                <w:color w:val="auto"/>
              </w:rPr>
            </w:pPr>
            <w:r>
              <w:rPr>
                <w:rFonts w:hint="default"/>
                <w:color w:val="auto"/>
              </w:rPr>
              <w:t>（2）成交供应商应遵守职业道德、保守商业秘密，否则委托人有权解除协议，因此造成的损失由成交供应商承担。</w:t>
            </w:r>
          </w:p>
          <w:p w14:paraId="075C40BA">
            <w:pPr>
              <w:pStyle w:val="2"/>
              <w:keepNext w:val="0"/>
              <w:keepLines w:val="0"/>
              <w:suppressLineNumbers w:val="0"/>
              <w:spacing w:before="0" w:beforeAutospacing="0" w:after="0" w:afterAutospacing="0" w:line="300" w:lineRule="auto"/>
              <w:ind w:left="0" w:right="0"/>
              <w:rPr>
                <w:rFonts w:hint="default"/>
                <w:color w:val="auto"/>
              </w:rPr>
            </w:pPr>
            <w:r>
              <w:rPr>
                <w:rFonts w:hint="default"/>
                <w:color w:val="auto"/>
              </w:rPr>
              <w:t>（3）提供的服务方案出现与响应文件中所报内容不一致的，且经甲方告知后仍不改正的，接受甲方处罚。</w:t>
            </w:r>
          </w:p>
          <w:p w14:paraId="5579867A">
            <w:pPr>
              <w:pStyle w:val="2"/>
              <w:keepNext w:val="0"/>
              <w:keepLines w:val="0"/>
              <w:suppressLineNumbers w:val="0"/>
              <w:spacing w:before="0" w:beforeAutospacing="0" w:after="0" w:afterAutospacing="0" w:line="300" w:lineRule="auto"/>
              <w:ind w:left="0" w:right="0"/>
              <w:rPr>
                <w:rFonts w:hint="default"/>
                <w:color w:val="auto"/>
              </w:rPr>
            </w:pPr>
            <w:r>
              <w:rPr>
                <w:rFonts w:hint="eastAsia"/>
                <w:color w:val="auto"/>
              </w:rPr>
              <w:t>4、为了确保采购质量和维护公平的竞争，磋商小组认为供应商的报价明显低于其他通过符合性审查供应商的报价，有可能影响产品质量或者不能诚信履约的，将要求其在评标现场在磋商小组规定的时间内提供书面说明，必要时提交相关证明材料；供应商不能证明其报价合理性的，磋商小组将其作为无效投标处理，建议报价较低的供应商提前准备本项目成本分析报告（包括但不限于）以下支撑证明材料：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材料等），如不提供或评委认定其资料不能详尽合理说明其成本的，则视为报价无效，作投标无效处理。</w:t>
            </w:r>
          </w:p>
        </w:tc>
      </w:tr>
    </w:tbl>
    <w:p w14:paraId="54AD9376">
      <w:pPr>
        <w:pStyle w:val="8"/>
        <w:spacing w:line="360" w:lineRule="auto"/>
        <w:ind w:firstLine="0" w:firstLineChars="0"/>
        <w:jc w:val="center"/>
        <w:outlineLvl w:val="0"/>
        <w:rPr>
          <w:color w:val="auto"/>
          <w:sz w:val="24"/>
        </w:rPr>
      </w:pPr>
      <w:r>
        <w:rPr>
          <w:color w:val="auto"/>
          <w:sz w:val="24"/>
        </w:rPr>
        <w:br w:type="page"/>
      </w:r>
      <w:bookmarkStart w:id="6" w:name="_Toc22590_WPSOffice_Level1"/>
      <w:bookmarkStart w:id="7" w:name="_Toc26561"/>
      <w:r>
        <w:rPr>
          <w:rFonts w:hint="eastAsia"/>
          <w:b/>
          <w:bCs/>
          <w:color w:val="auto"/>
          <w:sz w:val="28"/>
          <w:szCs w:val="28"/>
        </w:rPr>
        <w:t>第三章  供应商须知</w:t>
      </w:r>
      <w:bookmarkEnd w:id="6"/>
      <w:bookmarkEnd w:id="7"/>
    </w:p>
    <w:p w14:paraId="51992683">
      <w:pPr>
        <w:spacing w:line="360" w:lineRule="auto"/>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一、</w:t>
      </w:r>
      <w:r>
        <w:rPr>
          <w:rFonts w:hint="eastAsia" w:asciiTheme="minorEastAsia" w:hAnsiTheme="minorEastAsia" w:eastAsiaTheme="minorEastAsia" w:cstheme="minorEastAsia"/>
          <w:b/>
          <w:color w:val="auto"/>
          <w:sz w:val="24"/>
        </w:rPr>
        <w:t>适用范围</w:t>
      </w:r>
    </w:p>
    <w:p w14:paraId="77A98C7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Style w:val="47"/>
          <w:rFonts w:hint="eastAsia" w:asciiTheme="minorEastAsia" w:hAnsiTheme="minorEastAsia" w:eastAsiaTheme="minorEastAsia" w:cstheme="minorEastAsia"/>
          <w:color w:val="auto"/>
          <w:sz w:val="24"/>
          <w:szCs w:val="24"/>
        </w:rPr>
        <w:t>本竞争性磋商文件仅适用于本次招标活动。</w:t>
      </w:r>
    </w:p>
    <w:p w14:paraId="44F562D1">
      <w:pPr>
        <w:tabs>
          <w:tab w:val="left" w:pos="3088"/>
        </w:tabs>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2、投标资格</w:t>
      </w:r>
    </w:p>
    <w:p w14:paraId="777E345E">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2.1满足《中华人民共和国政府采购法》第二十二条规定；</w:t>
      </w:r>
    </w:p>
    <w:p w14:paraId="3C715D95">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2.2落实政府采购政策需满足的资格要求：本项目为非专门面向中小企业采购，根据《政府采购促进中小企业发展管埋办法》(财库〔2020〕46号〉的规定，评审时将给予此类企业进行价格10%的优惠，用优惠后的价格参与评审。</w:t>
      </w:r>
    </w:p>
    <w:p w14:paraId="72D74401">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2.3本项目的特定资格要求：</w:t>
      </w:r>
      <w:r>
        <w:rPr>
          <w:rFonts w:hint="eastAsia" w:ascii="宋体" w:hAnsi="宋体" w:cs="宋体"/>
          <w:bCs/>
          <w:color w:val="auto"/>
          <w:kern w:val="0"/>
          <w:sz w:val="24"/>
          <w:lang w:val="en-US" w:eastAsia="zh-CN"/>
        </w:rPr>
        <w:t>无</w:t>
      </w:r>
      <w:r>
        <w:rPr>
          <w:rFonts w:hint="eastAsia" w:ascii="宋体" w:hAnsi="宋体" w:cs="宋体"/>
          <w:bCs/>
          <w:color w:val="auto"/>
          <w:kern w:val="0"/>
          <w:sz w:val="24"/>
        </w:rPr>
        <w:t>。</w:t>
      </w:r>
    </w:p>
    <w:p w14:paraId="235728DF">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3、定义</w:t>
      </w:r>
    </w:p>
    <w:p w14:paraId="77001BAF">
      <w:pPr>
        <w:spacing w:line="360" w:lineRule="auto"/>
        <w:ind w:firstLine="480" w:firstLineChars="200"/>
        <w:rPr>
          <w:rStyle w:val="47"/>
          <w:rFonts w:hint="eastAsia" w:asciiTheme="minorEastAsia" w:hAnsiTheme="minorEastAsia" w:eastAsiaTheme="minorEastAsia" w:cstheme="minorEastAsia"/>
          <w:color w:val="auto"/>
          <w:sz w:val="24"/>
          <w:szCs w:val="24"/>
        </w:rPr>
      </w:pPr>
      <w:r>
        <w:rPr>
          <w:rStyle w:val="47"/>
          <w:rFonts w:hint="eastAsia" w:asciiTheme="minorEastAsia" w:hAnsiTheme="minorEastAsia" w:eastAsiaTheme="minorEastAsia" w:cstheme="minorEastAsia"/>
          <w:color w:val="auto"/>
          <w:sz w:val="24"/>
          <w:szCs w:val="24"/>
        </w:rPr>
        <w:t>下列术语和缩写的定义为：</w:t>
      </w:r>
    </w:p>
    <w:p w14:paraId="4F1B6D98">
      <w:pPr>
        <w:spacing w:line="360" w:lineRule="auto"/>
        <w:ind w:firstLine="480" w:firstLineChars="200"/>
        <w:rPr>
          <w:rStyle w:val="47"/>
          <w:rFonts w:hint="eastAsia" w:asciiTheme="minorEastAsia" w:hAnsiTheme="minorEastAsia" w:eastAsiaTheme="minorEastAsia" w:cstheme="minorEastAsia"/>
          <w:color w:val="auto"/>
          <w:sz w:val="24"/>
          <w:szCs w:val="24"/>
        </w:rPr>
      </w:pPr>
      <w:r>
        <w:rPr>
          <w:rStyle w:val="47"/>
          <w:rFonts w:hint="eastAsia" w:asciiTheme="minorEastAsia" w:hAnsiTheme="minorEastAsia" w:eastAsiaTheme="minorEastAsia" w:cstheme="minorEastAsia"/>
          <w:color w:val="auto"/>
          <w:sz w:val="24"/>
          <w:szCs w:val="24"/>
        </w:rPr>
        <w:t>3.1 “采购人”系指</w:t>
      </w:r>
      <w:r>
        <w:rPr>
          <w:rFonts w:hint="eastAsia" w:ascii="宋体" w:hAnsi="宋体" w:cs="宋体" w:eastAsiaTheme="minorEastAsia"/>
          <w:bCs/>
          <w:color w:val="auto"/>
          <w:kern w:val="0"/>
          <w:sz w:val="24"/>
          <w:lang w:eastAsia="zh-CN"/>
        </w:rPr>
        <w:t>喀什地区卫生健康委员会</w:t>
      </w:r>
      <w:r>
        <w:rPr>
          <w:rStyle w:val="47"/>
          <w:rFonts w:hint="eastAsia" w:asciiTheme="minorEastAsia" w:hAnsiTheme="minorEastAsia" w:eastAsiaTheme="minorEastAsia" w:cstheme="minorEastAsia"/>
          <w:color w:val="auto"/>
          <w:sz w:val="24"/>
          <w:szCs w:val="24"/>
        </w:rPr>
        <w:t>。</w:t>
      </w:r>
    </w:p>
    <w:p w14:paraId="09BF0014">
      <w:pPr>
        <w:spacing w:line="360" w:lineRule="auto"/>
        <w:ind w:firstLine="480" w:firstLineChars="200"/>
        <w:rPr>
          <w:rStyle w:val="47"/>
          <w:rFonts w:hint="eastAsia" w:asciiTheme="minorEastAsia" w:hAnsiTheme="minorEastAsia" w:eastAsiaTheme="minorEastAsia" w:cstheme="minorEastAsia"/>
          <w:color w:val="auto"/>
          <w:sz w:val="24"/>
          <w:szCs w:val="24"/>
        </w:rPr>
      </w:pPr>
      <w:r>
        <w:rPr>
          <w:rStyle w:val="47"/>
          <w:rFonts w:hint="eastAsia" w:asciiTheme="minorEastAsia" w:hAnsiTheme="minorEastAsia" w:eastAsiaTheme="minorEastAsia" w:cstheme="minorEastAsia"/>
          <w:color w:val="auto"/>
          <w:sz w:val="24"/>
          <w:szCs w:val="24"/>
        </w:rPr>
        <w:t>3.2 “采购代理机构”系指新疆华展鑫荣项目管理咨询有限公司。</w:t>
      </w:r>
    </w:p>
    <w:p w14:paraId="46CA6BBA">
      <w:pPr>
        <w:spacing w:line="360" w:lineRule="auto"/>
        <w:ind w:firstLine="480" w:firstLineChars="200"/>
        <w:rPr>
          <w:rStyle w:val="47"/>
          <w:rFonts w:hint="eastAsia" w:asciiTheme="minorEastAsia" w:hAnsiTheme="minorEastAsia" w:eastAsiaTheme="minorEastAsia" w:cstheme="minorEastAsia"/>
          <w:color w:val="auto"/>
          <w:sz w:val="24"/>
          <w:szCs w:val="24"/>
        </w:rPr>
      </w:pPr>
      <w:r>
        <w:rPr>
          <w:rStyle w:val="47"/>
          <w:rFonts w:hint="eastAsia" w:asciiTheme="minorEastAsia" w:hAnsiTheme="minorEastAsia" w:eastAsiaTheme="minorEastAsia" w:cstheme="minorEastAsia"/>
          <w:color w:val="auto"/>
          <w:sz w:val="24"/>
          <w:szCs w:val="24"/>
        </w:rPr>
        <w:t>3.3 “供应商”系指向采购人提交投标响应文件的供应商。</w:t>
      </w:r>
    </w:p>
    <w:p w14:paraId="77963F08">
      <w:pPr>
        <w:spacing w:line="360" w:lineRule="auto"/>
        <w:ind w:firstLine="480" w:firstLineChars="200"/>
        <w:rPr>
          <w:rStyle w:val="47"/>
          <w:rFonts w:hint="eastAsia" w:asciiTheme="minorEastAsia" w:hAnsiTheme="minorEastAsia" w:eastAsiaTheme="minorEastAsia" w:cstheme="minorEastAsia"/>
          <w:color w:val="auto"/>
          <w:sz w:val="24"/>
          <w:szCs w:val="24"/>
        </w:rPr>
      </w:pPr>
      <w:r>
        <w:rPr>
          <w:rStyle w:val="47"/>
          <w:rFonts w:hint="eastAsia" w:asciiTheme="minorEastAsia" w:hAnsiTheme="minorEastAsia" w:eastAsiaTheme="minorEastAsia" w:cstheme="minorEastAsia"/>
          <w:color w:val="auto"/>
          <w:sz w:val="24"/>
          <w:szCs w:val="24"/>
        </w:rPr>
        <w:t>3.4 “服务”系指合同规定中标人须提供供货安装等服务中涉及人员成本、售后服务、运输等其他类似的义务。</w:t>
      </w:r>
    </w:p>
    <w:p w14:paraId="29B40261">
      <w:pPr>
        <w:spacing w:line="360" w:lineRule="auto"/>
        <w:ind w:firstLine="480" w:firstLineChars="200"/>
        <w:rPr>
          <w:rStyle w:val="47"/>
          <w:rFonts w:hint="eastAsia" w:asciiTheme="minorEastAsia" w:hAnsiTheme="minorEastAsia" w:eastAsiaTheme="minorEastAsia" w:cstheme="minorEastAsia"/>
          <w:color w:val="auto"/>
          <w:sz w:val="24"/>
          <w:szCs w:val="24"/>
        </w:rPr>
      </w:pPr>
      <w:r>
        <w:rPr>
          <w:rStyle w:val="47"/>
          <w:rFonts w:hint="eastAsia" w:asciiTheme="minorEastAsia" w:hAnsiTheme="minorEastAsia" w:eastAsiaTheme="minorEastAsia" w:cstheme="minorEastAsia"/>
          <w:color w:val="auto"/>
          <w:sz w:val="24"/>
          <w:szCs w:val="24"/>
        </w:rPr>
        <w:t>3.5 “乙方”系指提供合同货物和服务的经济实体。</w:t>
      </w:r>
    </w:p>
    <w:p w14:paraId="7D96170E">
      <w:pPr>
        <w:spacing w:line="360" w:lineRule="auto"/>
        <w:ind w:firstLine="480" w:firstLineChars="200"/>
        <w:rPr>
          <w:rStyle w:val="47"/>
          <w:rFonts w:hint="eastAsia" w:asciiTheme="minorEastAsia" w:hAnsiTheme="minorEastAsia" w:eastAsiaTheme="minorEastAsia" w:cstheme="minorEastAsia"/>
          <w:color w:val="auto"/>
          <w:sz w:val="24"/>
          <w:szCs w:val="24"/>
        </w:rPr>
      </w:pPr>
      <w:r>
        <w:rPr>
          <w:rStyle w:val="47"/>
          <w:rFonts w:hint="eastAsia" w:asciiTheme="minorEastAsia" w:hAnsiTheme="minorEastAsia" w:eastAsiaTheme="minorEastAsia" w:cstheme="minorEastAsia"/>
          <w:color w:val="auto"/>
          <w:sz w:val="24"/>
          <w:szCs w:val="24"/>
        </w:rPr>
        <w:t>3.6 “甲方”系指采购服务的单位。</w:t>
      </w:r>
    </w:p>
    <w:p w14:paraId="3F7D4040">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24"/>
        </w:rPr>
        <w:t>4、投</w:t>
      </w:r>
      <w:r>
        <w:rPr>
          <w:rFonts w:hint="eastAsia" w:asciiTheme="minorEastAsia" w:hAnsiTheme="minorEastAsia" w:eastAsiaTheme="minorEastAsia" w:cstheme="minorEastAsia"/>
          <w:b/>
          <w:color w:val="auto"/>
          <w:sz w:val="24"/>
        </w:rPr>
        <w:t>标费用</w:t>
      </w:r>
    </w:p>
    <w:p w14:paraId="722C2CD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 无论投标结果如何，凡参与招标、投标活动有关的所有费用将由供应商自行承担。</w:t>
      </w:r>
    </w:p>
    <w:p w14:paraId="4C67F2D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4.2 供应商被视为熟悉本招标项目的各种情况以及与履行合同有关的一切情况。</w:t>
      </w:r>
    </w:p>
    <w:p w14:paraId="01145D29">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24"/>
        </w:rPr>
        <w:t>5、竞争性磋商文件</w:t>
      </w:r>
      <w:r>
        <w:rPr>
          <w:rFonts w:hint="eastAsia" w:asciiTheme="minorEastAsia" w:hAnsiTheme="minorEastAsia" w:eastAsiaTheme="minorEastAsia" w:cstheme="minorEastAsia"/>
          <w:b/>
          <w:color w:val="auto"/>
          <w:sz w:val="24"/>
        </w:rPr>
        <w:t>的构成</w:t>
      </w:r>
    </w:p>
    <w:p w14:paraId="565050D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竞争性磋商文件由下述部分组成：</w:t>
      </w:r>
    </w:p>
    <w:p w14:paraId="58FAC52A">
      <w:pPr>
        <w:pStyle w:val="52"/>
        <w:tabs>
          <w:tab w:val="right" w:leader="dot" w:pos="8306"/>
        </w:tabs>
        <w:spacing w:line="360" w:lineRule="auto"/>
        <w:ind w:firstLine="400" w:firstLineChars="200"/>
        <w:rPr>
          <w:rFonts w:hint="eastAsia"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"_Toc8148" </w:instrText>
      </w:r>
      <w:r>
        <w:rPr>
          <w:color w:val="auto"/>
        </w:rPr>
        <w:fldChar w:fldCharType="separate"/>
      </w:r>
      <w:r>
        <w:rPr>
          <w:rFonts w:hint="eastAsia" w:asciiTheme="minorEastAsia" w:hAnsiTheme="minorEastAsia" w:eastAsiaTheme="minorEastAsia" w:cstheme="minorEastAsia"/>
          <w:color w:val="auto"/>
          <w:sz w:val="24"/>
          <w:szCs w:val="24"/>
        </w:rPr>
        <w:t xml:space="preserve">第一章  </w:t>
      </w: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公告</w:t>
      </w:r>
      <w:r>
        <w:rPr>
          <w:rFonts w:hint="eastAsia" w:asciiTheme="minorEastAsia" w:hAnsiTheme="minorEastAsia" w:eastAsiaTheme="minorEastAsia" w:cstheme="minorEastAsia"/>
          <w:color w:val="auto"/>
          <w:sz w:val="24"/>
          <w:szCs w:val="24"/>
        </w:rPr>
        <w:fldChar w:fldCharType="end"/>
      </w:r>
    </w:p>
    <w:p w14:paraId="5BEE2E48">
      <w:pPr>
        <w:pStyle w:val="52"/>
        <w:tabs>
          <w:tab w:val="right" w:leader="dot" w:pos="8306"/>
        </w:tabs>
        <w:spacing w:line="360" w:lineRule="auto"/>
        <w:ind w:firstLine="400" w:firstLineChars="200"/>
        <w:rPr>
          <w:rFonts w:hint="eastAsia"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"_Toc32271" </w:instrText>
      </w:r>
      <w:r>
        <w:rPr>
          <w:color w:val="auto"/>
        </w:rPr>
        <w:fldChar w:fldCharType="separate"/>
      </w:r>
      <w:r>
        <w:rPr>
          <w:rFonts w:hint="eastAsia" w:asciiTheme="minorEastAsia" w:hAnsiTheme="minorEastAsia" w:eastAsiaTheme="minorEastAsia" w:cstheme="minorEastAsia"/>
          <w:color w:val="auto"/>
          <w:sz w:val="24"/>
          <w:szCs w:val="24"/>
        </w:rPr>
        <w:t>第二章  供应商须知前附表</w:t>
      </w:r>
      <w:r>
        <w:rPr>
          <w:rFonts w:hint="eastAsia" w:asciiTheme="minorEastAsia" w:hAnsiTheme="minorEastAsia" w:eastAsiaTheme="minorEastAsia" w:cstheme="minorEastAsia"/>
          <w:color w:val="auto"/>
          <w:sz w:val="24"/>
          <w:szCs w:val="24"/>
        </w:rPr>
        <w:fldChar w:fldCharType="end"/>
      </w:r>
    </w:p>
    <w:p w14:paraId="2E176C01">
      <w:pPr>
        <w:pStyle w:val="52"/>
        <w:tabs>
          <w:tab w:val="right" w:leader="dot" w:pos="8306"/>
        </w:tabs>
        <w:spacing w:line="360" w:lineRule="auto"/>
        <w:ind w:firstLine="400" w:firstLineChars="200"/>
        <w:rPr>
          <w:rFonts w:hint="eastAsia"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"_Toc12619" </w:instrText>
      </w:r>
      <w:r>
        <w:rPr>
          <w:color w:val="auto"/>
        </w:rPr>
        <w:fldChar w:fldCharType="separate"/>
      </w:r>
      <w:r>
        <w:rPr>
          <w:rFonts w:hint="eastAsia" w:asciiTheme="minorEastAsia" w:hAnsiTheme="minorEastAsia" w:eastAsiaTheme="minorEastAsia" w:cstheme="minorEastAsia"/>
          <w:color w:val="auto"/>
          <w:sz w:val="24"/>
          <w:szCs w:val="24"/>
        </w:rPr>
        <w:t>第三章  供应商须知</w:t>
      </w:r>
      <w:r>
        <w:rPr>
          <w:rFonts w:hint="eastAsia" w:asciiTheme="minorEastAsia" w:hAnsiTheme="minorEastAsia" w:eastAsiaTheme="minorEastAsia" w:cstheme="minorEastAsia"/>
          <w:color w:val="auto"/>
          <w:sz w:val="24"/>
          <w:szCs w:val="24"/>
        </w:rPr>
        <w:fldChar w:fldCharType="end"/>
      </w:r>
    </w:p>
    <w:p w14:paraId="2B885112">
      <w:pPr>
        <w:pStyle w:val="52"/>
        <w:tabs>
          <w:tab w:val="right" w:leader="dot" w:pos="8306"/>
        </w:tabs>
        <w:spacing w:line="360" w:lineRule="auto"/>
        <w:ind w:firstLine="400" w:firstLineChars="200"/>
        <w:rPr>
          <w:rFonts w:hint="eastAsia"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"_Toc1557" </w:instrText>
      </w:r>
      <w:r>
        <w:rPr>
          <w:color w:val="auto"/>
        </w:rPr>
        <w:fldChar w:fldCharType="separate"/>
      </w:r>
      <w:r>
        <w:rPr>
          <w:rFonts w:hint="eastAsia" w:asciiTheme="minorEastAsia" w:hAnsiTheme="minorEastAsia" w:eastAsiaTheme="minorEastAsia" w:cstheme="minorEastAsia"/>
          <w:color w:val="auto"/>
          <w:sz w:val="24"/>
          <w:szCs w:val="24"/>
        </w:rPr>
        <w:t>第四章  合同</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条款</w:t>
      </w:r>
    </w:p>
    <w:p w14:paraId="13E7C86F">
      <w:pPr>
        <w:pStyle w:val="52"/>
        <w:tabs>
          <w:tab w:val="right" w:leader="dot" w:pos="8306"/>
        </w:tabs>
        <w:spacing w:line="360" w:lineRule="auto"/>
        <w:ind w:firstLine="400" w:firstLineChars="200"/>
        <w:rPr>
          <w:rFonts w:hint="eastAsia"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"_Toc5996" </w:instrText>
      </w:r>
      <w:r>
        <w:rPr>
          <w:color w:val="auto"/>
        </w:rPr>
        <w:fldChar w:fldCharType="separate"/>
      </w:r>
      <w:r>
        <w:rPr>
          <w:rFonts w:hint="eastAsia" w:asciiTheme="minorEastAsia" w:hAnsiTheme="minorEastAsia" w:eastAsiaTheme="minorEastAsia" w:cstheme="minorEastAsia"/>
          <w:color w:val="auto"/>
          <w:sz w:val="24"/>
          <w:szCs w:val="24"/>
        </w:rPr>
        <w:t>第五章  服务需求及要求</w:t>
      </w:r>
      <w:r>
        <w:rPr>
          <w:rFonts w:hint="eastAsia" w:asciiTheme="minorEastAsia" w:hAnsiTheme="minorEastAsia" w:eastAsiaTheme="minorEastAsia" w:cstheme="minorEastAsia"/>
          <w:color w:val="auto"/>
          <w:sz w:val="24"/>
          <w:szCs w:val="24"/>
        </w:rPr>
        <w:fldChar w:fldCharType="end"/>
      </w:r>
    </w:p>
    <w:p w14:paraId="1DE7E8AB">
      <w:pPr>
        <w:pStyle w:val="52"/>
        <w:tabs>
          <w:tab w:val="right" w:leader="dot" w:pos="8306"/>
        </w:tabs>
        <w:spacing w:line="360" w:lineRule="auto"/>
        <w:ind w:firstLine="400" w:firstLineChars="200"/>
        <w:rPr>
          <w:rFonts w:hint="eastAsia"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"_Toc18961" </w:instrText>
      </w:r>
      <w:r>
        <w:rPr>
          <w:color w:val="auto"/>
        </w:rPr>
        <w:fldChar w:fldCharType="separate"/>
      </w:r>
      <w:r>
        <w:rPr>
          <w:rFonts w:hint="eastAsia" w:asciiTheme="minorEastAsia" w:hAnsiTheme="minorEastAsia" w:eastAsiaTheme="minorEastAsia" w:cstheme="minorEastAsia"/>
          <w:color w:val="auto"/>
          <w:sz w:val="24"/>
          <w:szCs w:val="24"/>
        </w:rPr>
        <w:t>第六章  评标标准及办法</w:t>
      </w:r>
      <w:r>
        <w:rPr>
          <w:rFonts w:hint="eastAsia" w:asciiTheme="minorEastAsia" w:hAnsiTheme="minorEastAsia" w:eastAsiaTheme="minorEastAsia" w:cstheme="minorEastAsia"/>
          <w:color w:val="auto"/>
          <w:sz w:val="24"/>
          <w:szCs w:val="24"/>
        </w:rPr>
        <w:fldChar w:fldCharType="end"/>
      </w:r>
    </w:p>
    <w:p w14:paraId="17B060C8">
      <w:pPr>
        <w:spacing w:line="360" w:lineRule="auto"/>
        <w:ind w:firstLine="420" w:firstLineChars="200"/>
        <w:rPr>
          <w:rFonts w:hint="eastAsia" w:asciiTheme="minorEastAsia" w:hAnsiTheme="minorEastAsia" w:eastAsiaTheme="minorEastAsia" w:cstheme="minorEastAsia"/>
          <w:color w:val="auto"/>
          <w:sz w:val="24"/>
        </w:rPr>
      </w:pPr>
      <w:r>
        <w:rPr>
          <w:color w:val="auto"/>
        </w:rPr>
        <w:fldChar w:fldCharType="begin"/>
      </w:r>
      <w:r>
        <w:rPr>
          <w:color w:val="auto"/>
        </w:rPr>
        <w:instrText xml:space="preserve"> HYPERLINK \l "_Toc28443" </w:instrText>
      </w:r>
      <w:r>
        <w:rPr>
          <w:color w:val="auto"/>
        </w:rPr>
        <w:fldChar w:fldCharType="separate"/>
      </w:r>
      <w:r>
        <w:rPr>
          <w:rFonts w:hint="eastAsia" w:asciiTheme="minorEastAsia" w:hAnsiTheme="minorEastAsia" w:eastAsiaTheme="minorEastAsia" w:cstheme="minorEastAsia"/>
          <w:color w:val="auto"/>
          <w:sz w:val="24"/>
        </w:rPr>
        <w:t>第七章  投标响应文件格式</w:t>
      </w:r>
      <w:r>
        <w:rPr>
          <w:rFonts w:hint="eastAsia" w:asciiTheme="minorEastAsia" w:hAnsiTheme="minorEastAsia" w:eastAsiaTheme="minorEastAsia" w:cstheme="minorEastAsia"/>
          <w:color w:val="auto"/>
          <w:sz w:val="24"/>
        </w:rPr>
        <w:fldChar w:fldCharType="end"/>
      </w:r>
    </w:p>
    <w:p w14:paraId="09AF8201">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6、竞争性磋商文件的澄清</w:t>
      </w:r>
    </w:p>
    <w:p w14:paraId="40B0FFC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对于投标响应文件中含义不明确、同类问题表述不一致或者有明显文字和计算错误的内容，磋商小组将通过“政府采购云平台”在线询标的方式要求投标供应商在规定的时间内作出必要的澄清、说明或者补正，投标供应商澄清、说明或补正时间为 20 分钟。</w:t>
      </w:r>
    </w:p>
    <w:p w14:paraId="1565FB4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供应商的澄清、说明或者补正应当通过“政府采购云平台”在线答复的方式提交，并加盖公章(电子印章)，或者由法定代表人(负责人)或其授权的代表签字。投标供应商的澄清、说明或者补正不得超出投标响应文件的范围或者改变投标响应文件的实质性内容，不接受投标供应商主动对投标响应文件的澄清、说明或者补正。</w:t>
      </w:r>
    </w:p>
    <w:p w14:paraId="3479C1E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CBECAE5">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错误修正的原则</w:t>
      </w:r>
    </w:p>
    <w:p w14:paraId="073859D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电子交易平台客户端里开标一览表录入的投标报价与扫描上传的报价文件信息不一致的，以扫描上传的报价文件信息为准进行修正。</w:t>
      </w:r>
    </w:p>
    <w:p w14:paraId="0C6EFC6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投标响应文件报价出现前后不一致的，除竞争性磋商文件另有规定外，按照下列规定修正：</w:t>
      </w:r>
    </w:p>
    <w:p w14:paraId="064A59A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1）投标函中表述的内容与报价表中不一致的，以报价表为准；报价表中的内容与报价明细表不一致的，以报价表为准；</w:t>
      </w:r>
    </w:p>
    <w:p w14:paraId="36656B4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2）投标响应文件中的大写金额和小写金额不一致的，以大写金额为准；</w:t>
      </w:r>
    </w:p>
    <w:p w14:paraId="0E3BD99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3）单价金额小数点或者百分比有明显错位的，以开标一览表的总价为准，并修改单价；</w:t>
      </w:r>
    </w:p>
    <w:p w14:paraId="34A6D9B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4）总价金额与按单价汇总金额不一致的，以单价金额计算结果为准；</w:t>
      </w:r>
    </w:p>
    <w:p w14:paraId="28F848F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5）若用文字表示的数值与用数字表示的数值不一致，以文字表示的数值为准；</w:t>
      </w:r>
    </w:p>
    <w:p w14:paraId="69D31C6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6）如有多报(指数量超出竞争性磋商文件需求)、重报(指同一货物重复报价)，其投标总价在评标过程中不予调整，如其中标，其合同价按其投标单价予以调整；</w:t>
      </w:r>
    </w:p>
    <w:p w14:paraId="053A70E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7）对不同文字文本投标响应文件的解释发生异议的，以中文文本为准；</w:t>
      </w:r>
    </w:p>
    <w:p w14:paraId="4E9AF7C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同时出现两种以上不一致的，按照前款规定的顺序修正。按上述修正错误的原则及方法调整或修正投标响应文件的投标报价，供应商确认后，以调整或修正后的投标报价为准。如供应商拒绝调整或修正的，其投标响应文件按无效标处理。修正应当采用电子询标的形式，并加盖公章(电子印章)。</w:t>
      </w:r>
    </w:p>
    <w:p w14:paraId="036530AB">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7、竞争性磋商文件的修改或补充</w:t>
      </w:r>
    </w:p>
    <w:p w14:paraId="799933C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响应文件撤回。投标截止时间后传输递交的投标响应文件，“政府采购云平台”将予以拒收。投标截止时间后，供应商不得修改(补充)或撤回其投标响应文件。</w:t>
      </w:r>
    </w:p>
    <w:p w14:paraId="7FDF2CCE">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 为使供应商在准备投标时有适当的时间考虑投标响应文件的修改，招标方有权决定推迟投标截止时间和开标日期，并将此变更通知所有的供应商。</w:t>
      </w:r>
    </w:p>
    <w:p w14:paraId="2D42539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7.3 竞争性磋商文件的修改和补充文件将构成竞争性磋商文件的一部分，并且对供应商具有优先约束力。</w:t>
      </w:r>
    </w:p>
    <w:p w14:paraId="3753AD62">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二、对供应商的资格要求</w:t>
      </w:r>
    </w:p>
    <w:p w14:paraId="21EA6A3C">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24"/>
        </w:rPr>
        <w:t>8、投标</w:t>
      </w:r>
      <w:r>
        <w:rPr>
          <w:rFonts w:hint="eastAsia" w:asciiTheme="minorEastAsia" w:hAnsiTheme="minorEastAsia" w:eastAsiaTheme="minorEastAsia" w:cstheme="minorEastAsia"/>
          <w:b/>
          <w:color w:val="auto"/>
          <w:sz w:val="24"/>
        </w:rPr>
        <w:t>资格</w:t>
      </w:r>
    </w:p>
    <w:p w14:paraId="58930794">
      <w:pPr>
        <w:spacing w:line="360" w:lineRule="auto"/>
        <w:ind w:firstLine="480" w:firstLineChars="200"/>
        <w:rPr>
          <w:rFonts w:hint="eastAsia" w:ascii="宋体" w:hAnsi="宋体" w:cs="宋体"/>
          <w:color w:val="auto"/>
          <w:sz w:val="24"/>
        </w:rPr>
      </w:pPr>
      <w:r>
        <w:rPr>
          <w:rFonts w:hint="eastAsia" w:ascii="宋体" w:hAnsi="宋体" w:cs="宋体"/>
          <w:bCs/>
          <w:color w:val="auto"/>
          <w:kern w:val="0"/>
          <w:sz w:val="24"/>
        </w:rPr>
        <w:t xml:space="preserve">8.1 </w:t>
      </w:r>
      <w:r>
        <w:rPr>
          <w:rFonts w:ascii="宋体" w:hAnsi="宋体" w:cs="宋体"/>
          <w:bCs/>
          <w:color w:val="auto"/>
          <w:kern w:val="0"/>
          <w:sz w:val="24"/>
        </w:rPr>
        <w:t>满</w:t>
      </w:r>
      <w:r>
        <w:rPr>
          <w:rFonts w:hint="eastAsia" w:ascii="宋体" w:hAnsi="宋体" w:cs="宋体"/>
          <w:color w:val="auto"/>
          <w:sz w:val="24"/>
        </w:rPr>
        <w:t>足《中华人民共和国政府采购法》第二十二条规定；</w:t>
      </w:r>
    </w:p>
    <w:p w14:paraId="3659AD8A">
      <w:pPr>
        <w:spacing w:line="360" w:lineRule="auto"/>
        <w:ind w:firstLine="480" w:firstLineChars="200"/>
        <w:rPr>
          <w:rFonts w:hint="eastAsia" w:ascii="宋体" w:hAnsi="宋体" w:cs="宋体"/>
          <w:bCs/>
          <w:color w:val="auto"/>
          <w:kern w:val="0"/>
          <w:sz w:val="24"/>
        </w:rPr>
      </w:pPr>
      <w:r>
        <w:rPr>
          <w:rFonts w:hint="eastAsia" w:ascii="宋体" w:hAnsi="宋体" w:cs="宋体"/>
          <w:color w:val="auto"/>
          <w:sz w:val="24"/>
        </w:rPr>
        <w:t>8.2 落实政府采购政策需满足的资格要求：</w:t>
      </w:r>
      <w:r>
        <w:rPr>
          <w:rFonts w:hint="eastAsia" w:ascii="宋体" w:hAnsi="宋体" w:cs="宋体"/>
          <w:bCs/>
          <w:color w:val="auto"/>
          <w:kern w:val="0"/>
          <w:sz w:val="24"/>
        </w:rPr>
        <w:t>本项目为非专门面向中小企业采购，根据《政府采购促进中小企业发展管埋办法》(财库〔2020〕46号〉的规定，评审时将给予此类企业进行价格10%的优惠，用优惠后的价格参与评审。</w:t>
      </w:r>
    </w:p>
    <w:p w14:paraId="5198370A">
      <w:pPr>
        <w:spacing w:line="360" w:lineRule="auto"/>
        <w:ind w:firstLine="480" w:firstLineChars="200"/>
        <w:rPr>
          <w:rFonts w:hint="eastAsia" w:ascii="宋体" w:hAnsi="宋体" w:cs="宋体"/>
          <w:color w:val="auto"/>
          <w:sz w:val="24"/>
        </w:rPr>
      </w:pPr>
      <w:r>
        <w:rPr>
          <w:rFonts w:hint="eastAsia" w:ascii="宋体" w:hAnsi="宋体" w:cs="宋体"/>
          <w:bCs/>
          <w:color w:val="auto"/>
          <w:kern w:val="0"/>
          <w:sz w:val="24"/>
          <w:lang w:val="en-US" w:eastAsia="zh-CN"/>
        </w:rPr>
        <w:t>8</w:t>
      </w:r>
      <w:r>
        <w:rPr>
          <w:rFonts w:hint="eastAsia" w:ascii="宋体" w:hAnsi="宋体" w:cs="宋体"/>
          <w:bCs/>
          <w:color w:val="auto"/>
          <w:kern w:val="0"/>
          <w:sz w:val="24"/>
        </w:rPr>
        <w:t>.3本项目的特定资格要求：</w:t>
      </w:r>
      <w:r>
        <w:rPr>
          <w:rFonts w:hint="eastAsia" w:ascii="宋体" w:hAnsi="宋体" w:cs="宋体"/>
          <w:bCs/>
          <w:color w:val="auto"/>
          <w:kern w:val="0"/>
          <w:sz w:val="24"/>
          <w:lang w:val="en-US" w:eastAsia="zh-CN"/>
        </w:rPr>
        <w:t>无</w:t>
      </w:r>
      <w:r>
        <w:rPr>
          <w:rFonts w:hint="eastAsia" w:ascii="宋体" w:hAnsi="宋体" w:cs="宋体"/>
          <w:bCs/>
          <w:color w:val="auto"/>
          <w:kern w:val="0"/>
          <w:sz w:val="24"/>
        </w:rPr>
        <w:t>。</w:t>
      </w:r>
    </w:p>
    <w:p w14:paraId="23C3D51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 xml:space="preserve"> 所有资格证明文件必须满足竞争性磋商文件的要求，否则将视为无效标。</w:t>
      </w:r>
    </w:p>
    <w:p w14:paraId="12D0CAB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 xml:space="preserve"> 供应商在投标中违反国家有关法律法规的强制性规定的，其投标按无效标处理。</w:t>
      </w:r>
    </w:p>
    <w:p w14:paraId="61F841B3">
      <w:pPr>
        <w:spacing w:line="360" w:lineRule="auto"/>
        <w:ind w:firstLine="482" w:firstLineChars="200"/>
        <w:jc w:val="left"/>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三、投标响应文件的编写</w:t>
      </w:r>
    </w:p>
    <w:p w14:paraId="74AF7C3A">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9、投标响应文件编写要求</w:t>
      </w:r>
    </w:p>
    <w:p w14:paraId="3658E6FE">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应仔细阅读竞争性磋商文件，了解竞争性磋商文件的要求，按竞争性磋商文件的要求提供投标响应文件，并保证所提供的全部资料的真实性，以确保其投标对竞争性磋商文件做出实质性的响应，否则，其投标可能被拒绝。</w:t>
      </w:r>
    </w:p>
    <w:p w14:paraId="481E714D">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24"/>
        </w:rPr>
        <w:t>10、</w:t>
      </w:r>
      <w:r>
        <w:rPr>
          <w:rFonts w:hint="eastAsia" w:asciiTheme="minorEastAsia" w:hAnsiTheme="minorEastAsia" w:eastAsiaTheme="minorEastAsia" w:cstheme="minorEastAsia"/>
          <w:b/>
          <w:color w:val="auto"/>
          <w:sz w:val="24"/>
        </w:rPr>
        <w:t>投标响应文件语言和度量单位</w:t>
      </w:r>
      <w:r>
        <w:rPr>
          <w:rFonts w:hint="eastAsia" w:asciiTheme="minorEastAsia" w:hAnsiTheme="minorEastAsia" w:eastAsiaTheme="minorEastAsia" w:cstheme="minorEastAsia"/>
          <w:b/>
          <w:color w:val="auto"/>
          <w:sz w:val="24"/>
        </w:rPr>
        <w:tab/>
      </w:r>
    </w:p>
    <w:p w14:paraId="7579CCE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10.1 供应商的投标响应文件以及供应商与采购代理机构就有关招标活动的所有来往函电和文件均应使用中文。如果投标响应文件或与投标有关的其它文件、信件及来往函电以其他语言书写，供应商应将其译成中文。</w:t>
      </w:r>
    </w:p>
    <w:p w14:paraId="1322647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10.2 投标响应文件中所使用的计量单位除竞争性磋商文件中有特殊规定外，一律使用法定计量单位。</w:t>
      </w:r>
    </w:p>
    <w:p w14:paraId="78B03794">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11、投标响应文件的组成</w:t>
      </w:r>
    </w:p>
    <w:p w14:paraId="4D77CFA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 供应商应按下列顺序排列投标响应文件：</w:t>
      </w:r>
    </w:p>
    <w:p w14:paraId="4584957D">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（一）、资格证明文件</w:t>
      </w:r>
    </w:p>
    <w:p w14:paraId="1B48593E">
      <w:pPr>
        <w:spacing w:line="360" w:lineRule="auto"/>
        <w:ind w:firstLine="480" w:firstLineChars="200"/>
        <w:rPr>
          <w:rFonts w:hint="eastAsia" w:ascii="宋体" w:hAnsi="宋体" w:cs="宋体"/>
          <w:color w:val="auto"/>
          <w:sz w:val="24"/>
        </w:rPr>
      </w:pPr>
      <w:r>
        <w:rPr>
          <w:rFonts w:hint="eastAsia" w:ascii="宋体" w:hAnsi="宋体" w:cs="宋体"/>
          <w:color w:val="auto"/>
          <w:sz w:val="24"/>
        </w:rPr>
        <w:t>1、供应商为中小企业</w:t>
      </w:r>
      <w:r>
        <w:rPr>
          <w:rFonts w:hint="eastAsia" w:ascii="宋体" w:hAnsi="宋体" w:cs="宋体"/>
          <w:color w:val="auto"/>
          <w:sz w:val="24"/>
          <w:lang w:eastAsia="zh-CN"/>
        </w:rPr>
        <w:t>（</w:t>
      </w:r>
      <w:r>
        <w:rPr>
          <w:rFonts w:hint="eastAsia" w:ascii="宋体" w:hAnsi="宋体" w:cs="宋体"/>
          <w:color w:val="auto"/>
          <w:sz w:val="24"/>
          <w:lang w:val="en-US" w:eastAsia="zh-CN"/>
        </w:rPr>
        <w:t>如是</w:t>
      </w:r>
      <w:r>
        <w:rPr>
          <w:rFonts w:hint="eastAsia" w:ascii="宋体" w:hAnsi="宋体" w:cs="宋体"/>
          <w:color w:val="auto"/>
          <w:sz w:val="24"/>
          <w:lang w:eastAsia="zh-CN"/>
        </w:rPr>
        <w:t>）</w:t>
      </w:r>
      <w:r>
        <w:rPr>
          <w:rFonts w:hint="eastAsia" w:ascii="宋体" w:hAnsi="宋体" w:cs="宋体"/>
          <w:color w:val="auto"/>
          <w:sz w:val="24"/>
        </w:rPr>
        <w:t>；</w:t>
      </w:r>
    </w:p>
    <w:p w14:paraId="1AB57BE9">
      <w:pPr>
        <w:spacing w:line="360" w:lineRule="auto"/>
        <w:ind w:firstLine="480" w:firstLineChars="200"/>
        <w:rPr>
          <w:rFonts w:hint="eastAsia" w:ascii="宋体" w:hAnsi="宋体" w:cs="宋体"/>
          <w:color w:val="auto"/>
          <w:sz w:val="24"/>
        </w:rPr>
      </w:pPr>
      <w:r>
        <w:rPr>
          <w:rFonts w:hint="eastAsia" w:ascii="宋体" w:hAnsi="宋体" w:cs="宋体"/>
          <w:color w:val="auto"/>
          <w:sz w:val="24"/>
        </w:rPr>
        <w:t>2、具有独立承担民事责任的能力；</w:t>
      </w:r>
    </w:p>
    <w:p w14:paraId="603CE442">
      <w:pPr>
        <w:spacing w:line="360" w:lineRule="auto"/>
        <w:ind w:firstLine="480" w:firstLineChars="200"/>
        <w:rPr>
          <w:rFonts w:hint="eastAsia" w:ascii="宋体" w:hAnsi="宋体" w:cs="宋体"/>
          <w:color w:val="auto"/>
          <w:sz w:val="24"/>
        </w:rPr>
      </w:pPr>
      <w:r>
        <w:rPr>
          <w:rFonts w:hint="eastAsia" w:ascii="宋体" w:hAnsi="宋体" w:cs="宋体"/>
          <w:color w:val="auto"/>
          <w:sz w:val="24"/>
        </w:rPr>
        <w:t>3、良好的商业信誉和健全的财务会计制度；</w:t>
      </w:r>
    </w:p>
    <w:p w14:paraId="61C6B16E">
      <w:pPr>
        <w:spacing w:line="360" w:lineRule="auto"/>
        <w:ind w:firstLine="480" w:firstLineChars="200"/>
        <w:rPr>
          <w:rFonts w:hint="eastAsia" w:ascii="宋体" w:hAnsi="宋体" w:cs="宋体"/>
          <w:color w:val="auto"/>
          <w:sz w:val="24"/>
        </w:rPr>
      </w:pPr>
      <w:r>
        <w:rPr>
          <w:rFonts w:hint="eastAsia" w:ascii="宋体" w:hAnsi="宋体" w:cs="宋体"/>
          <w:color w:val="auto"/>
          <w:sz w:val="24"/>
        </w:rPr>
        <w:t>4、依法缴纳税收和社会保障资金的良好记录；</w:t>
      </w:r>
    </w:p>
    <w:p w14:paraId="566A4413">
      <w:pPr>
        <w:spacing w:line="360" w:lineRule="auto"/>
        <w:ind w:firstLine="480" w:firstLineChars="200"/>
        <w:rPr>
          <w:rFonts w:hint="eastAsia" w:ascii="宋体" w:hAnsi="宋体" w:cs="宋体"/>
          <w:color w:val="auto"/>
          <w:sz w:val="24"/>
        </w:rPr>
      </w:pPr>
      <w:r>
        <w:rPr>
          <w:rFonts w:hint="eastAsia" w:ascii="宋体" w:hAnsi="宋体" w:cs="宋体"/>
          <w:color w:val="auto"/>
          <w:sz w:val="24"/>
        </w:rPr>
        <w:t>5、履行合同所必需的设备和专业技术能力的承诺函；</w:t>
      </w:r>
    </w:p>
    <w:p w14:paraId="67ADE103">
      <w:pPr>
        <w:spacing w:line="360" w:lineRule="auto"/>
        <w:ind w:firstLine="480" w:firstLineChars="200"/>
        <w:rPr>
          <w:rFonts w:hint="eastAsia" w:ascii="宋体" w:hAnsi="宋体" w:cs="宋体"/>
          <w:color w:val="auto"/>
          <w:sz w:val="24"/>
        </w:rPr>
      </w:pPr>
      <w:r>
        <w:rPr>
          <w:rFonts w:hint="eastAsia" w:ascii="宋体" w:hAnsi="宋体" w:cs="宋体"/>
          <w:color w:val="auto"/>
          <w:sz w:val="24"/>
        </w:rPr>
        <w:t>6、参加政府采购活动前3年内，在经营活动中没有重大违法记录的书面声明函；</w:t>
      </w:r>
    </w:p>
    <w:p w14:paraId="22BDAEF4">
      <w:pPr>
        <w:spacing w:line="360" w:lineRule="auto"/>
        <w:ind w:firstLine="480" w:firstLineChars="200"/>
        <w:rPr>
          <w:rFonts w:hint="eastAsia" w:ascii="宋体" w:hAnsi="宋体" w:cs="宋体"/>
          <w:color w:val="auto"/>
          <w:sz w:val="24"/>
        </w:rPr>
      </w:pPr>
      <w:r>
        <w:rPr>
          <w:rFonts w:hint="eastAsia" w:ascii="宋体" w:hAnsi="宋体" w:cs="宋体"/>
          <w:color w:val="auto"/>
          <w:sz w:val="24"/>
        </w:rPr>
        <w:t>7、单位负责人为同一人或者存在直接控股、管理关系的不同供应商，不得参加同一包号投标或者未划分包号的同一招标项目投标；</w:t>
      </w:r>
    </w:p>
    <w:p w14:paraId="14D028A9">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8、本项目不接受联合体投标</w:t>
      </w:r>
      <w:r>
        <w:rPr>
          <w:rFonts w:hint="eastAsia" w:ascii="宋体" w:hAnsi="宋体" w:cs="宋体"/>
          <w:color w:val="auto"/>
          <w:sz w:val="24"/>
          <w:lang w:eastAsia="zh-CN"/>
        </w:rPr>
        <w:t>。</w:t>
      </w:r>
    </w:p>
    <w:p w14:paraId="6B76EF05">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（二）、报价文件</w:t>
      </w:r>
    </w:p>
    <w:p w14:paraId="072943C3">
      <w:pPr>
        <w:spacing w:line="360" w:lineRule="auto"/>
        <w:ind w:firstLine="480" w:firstLineChars="200"/>
        <w:rPr>
          <w:rFonts w:hint="eastAsia" w:ascii="宋体" w:hAnsi="宋体" w:cs="宋体"/>
          <w:color w:val="auto"/>
          <w:sz w:val="24"/>
        </w:rPr>
      </w:pPr>
      <w:r>
        <w:rPr>
          <w:rFonts w:hint="eastAsia" w:ascii="宋体" w:hAnsi="宋体" w:cs="宋体"/>
          <w:color w:val="auto"/>
          <w:sz w:val="24"/>
        </w:rPr>
        <w:t>1.1报价一览表</w:t>
      </w:r>
    </w:p>
    <w:p w14:paraId="486FFF5B">
      <w:pPr>
        <w:spacing w:line="360" w:lineRule="auto"/>
        <w:ind w:firstLine="480" w:firstLineChars="200"/>
        <w:rPr>
          <w:rFonts w:hint="eastAsia" w:ascii="宋体" w:hAnsi="宋体" w:cs="宋体"/>
          <w:color w:val="auto"/>
          <w:sz w:val="24"/>
        </w:rPr>
      </w:pPr>
      <w:r>
        <w:rPr>
          <w:rFonts w:hint="eastAsia" w:ascii="宋体" w:hAnsi="宋体" w:cs="宋体"/>
          <w:color w:val="auto"/>
          <w:sz w:val="24"/>
        </w:rPr>
        <w:t>1.2报价明细表</w:t>
      </w:r>
    </w:p>
    <w:p w14:paraId="55D76971">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（三）、商务、技术文件</w:t>
      </w:r>
    </w:p>
    <w:p w14:paraId="7CBE61DB">
      <w:pPr>
        <w:spacing w:line="360" w:lineRule="auto"/>
        <w:ind w:firstLine="480" w:firstLineChars="200"/>
        <w:rPr>
          <w:rFonts w:hint="eastAsia" w:ascii="宋体" w:hAnsi="宋体" w:cs="宋体"/>
          <w:color w:val="auto"/>
          <w:sz w:val="24"/>
        </w:rPr>
      </w:pPr>
      <w:r>
        <w:rPr>
          <w:rFonts w:hint="eastAsia" w:ascii="宋体" w:hAnsi="宋体" w:cs="宋体"/>
          <w:color w:val="auto"/>
          <w:sz w:val="24"/>
        </w:rPr>
        <w:t>1、投标函</w:t>
      </w:r>
    </w:p>
    <w:p w14:paraId="1ED36301">
      <w:pPr>
        <w:spacing w:line="360" w:lineRule="auto"/>
        <w:ind w:firstLine="480" w:firstLineChars="200"/>
        <w:rPr>
          <w:rFonts w:hint="eastAsia" w:ascii="宋体" w:hAnsi="宋体" w:cs="宋体"/>
          <w:color w:val="auto"/>
          <w:sz w:val="24"/>
        </w:rPr>
      </w:pPr>
      <w:r>
        <w:rPr>
          <w:rFonts w:hint="eastAsia" w:ascii="宋体" w:hAnsi="宋体" w:cs="宋体"/>
          <w:color w:val="auto"/>
          <w:sz w:val="24"/>
        </w:rPr>
        <w:t>2、法定代表人（或非法人组织负责人）身份证明书</w:t>
      </w:r>
    </w:p>
    <w:p w14:paraId="329F2DEF">
      <w:pPr>
        <w:spacing w:line="360" w:lineRule="auto"/>
        <w:ind w:firstLine="480" w:firstLineChars="200"/>
        <w:rPr>
          <w:rFonts w:hint="eastAsia" w:ascii="宋体" w:hAnsi="宋体" w:cs="宋体"/>
          <w:color w:val="auto"/>
          <w:sz w:val="24"/>
        </w:rPr>
      </w:pPr>
      <w:r>
        <w:rPr>
          <w:rFonts w:hint="eastAsia" w:ascii="宋体" w:hAnsi="宋体" w:cs="宋体"/>
          <w:color w:val="auto"/>
          <w:sz w:val="24"/>
        </w:rPr>
        <w:t>3、法定代表人（或非法人组织负责人）授权委托书</w:t>
      </w:r>
    </w:p>
    <w:p w14:paraId="03FFEED5">
      <w:pPr>
        <w:spacing w:line="360" w:lineRule="auto"/>
        <w:ind w:firstLine="480" w:firstLineChars="200"/>
        <w:rPr>
          <w:rFonts w:hint="eastAsia" w:ascii="宋体" w:hAnsi="宋体" w:cs="宋体"/>
          <w:color w:val="auto"/>
          <w:sz w:val="24"/>
        </w:rPr>
      </w:pPr>
      <w:r>
        <w:rPr>
          <w:rFonts w:hint="eastAsia" w:ascii="宋体" w:hAnsi="宋体" w:cs="宋体"/>
          <w:color w:val="auto"/>
          <w:sz w:val="24"/>
        </w:rPr>
        <w:t>4、反商业贿赂承诺书</w:t>
      </w:r>
    </w:p>
    <w:p w14:paraId="76D054BD">
      <w:pPr>
        <w:spacing w:line="360" w:lineRule="auto"/>
        <w:ind w:firstLine="480" w:firstLineChars="200"/>
        <w:rPr>
          <w:rFonts w:hint="eastAsia" w:ascii="宋体" w:hAnsi="宋体" w:cs="宋体"/>
          <w:color w:val="auto"/>
          <w:sz w:val="24"/>
        </w:rPr>
      </w:pPr>
      <w:r>
        <w:rPr>
          <w:rFonts w:hint="eastAsia" w:ascii="宋体" w:hAnsi="宋体" w:cs="宋体"/>
          <w:color w:val="auto"/>
          <w:sz w:val="24"/>
        </w:rPr>
        <w:t>5、供应商参与政府采购活动（招投标活动）无异议承诺书</w:t>
      </w:r>
    </w:p>
    <w:p w14:paraId="78E71BDB">
      <w:pPr>
        <w:spacing w:line="360" w:lineRule="auto"/>
        <w:ind w:firstLine="480" w:firstLineChars="200"/>
        <w:rPr>
          <w:rFonts w:hint="eastAsia" w:ascii="宋体" w:hAnsi="宋体" w:cs="宋体"/>
          <w:color w:val="auto"/>
          <w:sz w:val="24"/>
        </w:rPr>
      </w:pPr>
      <w:r>
        <w:rPr>
          <w:rFonts w:hint="eastAsia" w:ascii="宋体" w:hAnsi="宋体" w:cs="宋体"/>
          <w:color w:val="auto"/>
          <w:sz w:val="24"/>
        </w:rPr>
        <w:t>6、不参与围标串标承诺书</w:t>
      </w:r>
    </w:p>
    <w:p w14:paraId="0846D401">
      <w:pPr>
        <w:spacing w:line="360" w:lineRule="auto"/>
        <w:ind w:firstLine="480" w:firstLineChars="200"/>
        <w:rPr>
          <w:rFonts w:hint="eastAsia" w:ascii="宋体" w:hAnsi="宋体" w:cs="宋体"/>
          <w:color w:val="auto"/>
          <w:sz w:val="24"/>
        </w:rPr>
      </w:pPr>
      <w:r>
        <w:rPr>
          <w:rFonts w:hint="eastAsia" w:ascii="宋体" w:hAnsi="宋体" w:cs="宋体"/>
          <w:color w:val="auto"/>
          <w:sz w:val="24"/>
        </w:rPr>
        <w:t>7、投标保证金</w:t>
      </w:r>
    </w:p>
    <w:p w14:paraId="54108288">
      <w:pPr>
        <w:spacing w:line="360" w:lineRule="auto"/>
        <w:ind w:firstLine="480" w:firstLineChars="200"/>
        <w:rPr>
          <w:rFonts w:hint="eastAsia" w:ascii="宋体" w:hAnsi="宋体" w:cs="宋体"/>
          <w:color w:val="auto"/>
          <w:sz w:val="24"/>
        </w:rPr>
      </w:pPr>
      <w:r>
        <w:rPr>
          <w:rFonts w:hint="eastAsia" w:ascii="宋体" w:hAnsi="宋体" w:cs="宋体"/>
          <w:color w:val="auto"/>
          <w:sz w:val="24"/>
        </w:rPr>
        <w:t>8、商务条款偏离表</w:t>
      </w:r>
    </w:p>
    <w:p w14:paraId="7E002097">
      <w:pPr>
        <w:spacing w:line="360" w:lineRule="auto"/>
        <w:ind w:firstLine="480" w:firstLineChars="200"/>
        <w:rPr>
          <w:rFonts w:hint="eastAsia" w:ascii="宋体" w:hAnsi="宋体" w:cs="宋体"/>
          <w:color w:val="auto"/>
          <w:sz w:val="24"/>
        </w:rPr>
      </w:pPr>
      <w:r>
        <w:rPr>
          <w:rFonts w:hint="eastAsia" w:ascii="宋体" w:hAnsi="宋体" w:cs="宋体"/>
          <w:color w:val="auto"/>
          <w:sz w:val="24"/>
        </w:rPr>
        <w:t>9、供应商202</w:t>
      </w:r>
      <w:r>
        <w:rPr>
          <w:rFonts w:hint="eastAsia" w:ascii="宋体" w:hAnsi="宋体" w:cs="宋体"/>
          <w:color w:val="auto"/>
          <w:sz w:val="24"/>
          <w:lang w:val="en-US" w:eastAsia="zh-CN"/>
        </w:rPr>
        <w:t>2</w:t>
      </w:r>
      <w:r>
        <w:rPr>
          <w:rFonts w:hint="eastAsia" w:ascii="宋体" w:hAnsi="宋体" w:cs="宋体"/>
          <w:color w:val="auto"/>
          <w:sz w:val="24"/>
        </w:rPr>
        <w:t>年1月至今业绩案例一览表</w:t>
      </w:r>
    </w:p>
    <w:p w14:paraId="3E7B3189">
      <w:pPr>
        <w:spacing w:line="360" w:lineRule="auto"/>
        <w:ind w:firstLine="480" w:firstLineChars="200"/>
        <w:rPr>
          <w:rFonts w:hint="eastAsia" w:ascii="宋体" w:hAnsi="宋体" w:cs="宋体"/>
          <w:color w:val="auto"/>
          <w:sz w:val="24"/>
        </w:rPr>
      </w:pPr>
      <w:r>
        <w:rPr>
          <w:rFonts w:hint="eastAsia" w:ascii="宋体" w:hAnsi="宋体" w:cs="宋体"/>
          <w:color w:val="auto"/>
          <w:sz w:val="24"/>
        </w:rPr>
        <w:t>10、拟投入本项目的服务团队</w:t>
      </w:r>
    </w:p>
    <w:p w14:paraId="4C092EA1">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11、</w:t>
      </w:r>
      <w:r>
        <w:rPr>
          <w:rFonts w:hint="eastAsia" w:ascii="宋体" w:hAnsi="宋体" w:cs="宋体"/>
          <w:color w:val="auto"/>
          <w:sz w:val="24"/>
          <w:lang w:eastAsia="zh-CN"/>
        </w:rPr>
        <w:t>方案</w:t>
      </w:r>
    </w:p>
    <w:p w14:paraId="412576ED">
      <w:pPr>
        <w:spacing w:line="360" w:lineRule="auto"/>
        <w:ind w:firstLine="480" w:firstLineChars="200"/>
        <w:rPr>
          <w:rFonts w:hint="eastAsia" w:ascii="宋体" w:hAnsi="宋体" w:cs="宋体"/>
          <w:color w:val="auto"/>
          <w:sz w:val="24"/>
        </w:rPr>
      </w:pPr>
      <w:r>
        <w:rPr>
          <w:rFonts w:hint="eastAsia" w:ascii="宋体" w:hAnsi="宋体" w:cs="宋体"/>
          <w:color w:val="auto"/>
          <w:sz w:val="24"/>
        </w:rPr>
        <w:t>12、其他供应商认为需要提供的资料</w:t>
      </w:r>
    </w:p>
    <w:p w14:paraId="427D5361">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12、投标响应文件格式</w:t>
      </w:r>
    </w:p>
    <w:p w14:paraId="4B93F97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12.1 供应商应按竞争性磋商文件的范本格式中提供的投标响应文件格式认真填写投标响应文件、开标一览表。如投标响应文件中提供的各类表格样式不适，供应商可另行设计表格形式，力求清楚、准确。</w:t>
      </w:r>
    </w:p>
    <w:p w14:paraId="383D4A55">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13、磋商报价</w:t>
      </w:r>
    </w:p>
    <w:p w14:paraId="191B383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13.1 本采购项目使用的货币为人民币，实施时亦以人民币支付。</w:t>
      </w:r>
    </w:p>
    <w:p w14:paraId="25E121D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13.2 磋商报价为本竞争性磋商文件所确定的采购范围内的全部工作内容的价格体现。任何有选择的报价将不予接受（除非采购人另有约定），否则，在评审时将其视为无效响应。</w:t>
      </w:r>
    </w:p>
    <w:p w14:paraId="40B4641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 磋商价格应包括：价格部分是对磋商服务价格构成的说明，每一项服务仅接受一个价格。磋商报价包括供应商为实施本项目提供全部服务内容所包括的全部价格的体现。</w:t>
      </w:r>
    </w:p>
    <w:p w14:paraId="0526E26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13.3.1磋商报价为含税价，应是完成竞争性磋商文件及合同条款上所列采购范围及所需的全部服务费用，供应商不得以任何理由予以重复，未列和没有填写的项目费用，视为已考虑在磋商总报价中。</w:t>
      </w:r>
    </w:p>
    <w:p w14:paraId="18ADFED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14:paraId="24FB5AD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13.3.3供应商应在《报价一览表》标明供应商报价；在《明细报价表》提供明细报价。</w:t>
      </w:r>
    </w:p>
    <w:p w14:paraId="25A71B3D">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rPr>
        <w:t>13.3.4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14:paraId="716B90F2">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highlight w:val="none"/>
        </w:rPr>
        <w:t>提示：开标/磋商时，请供应商随时关注政采云账号内的站内信；注册时留下的注册人的手机短信（系统会推送短信至注册联系</w:t>
      </w:r>
      <w:r>
        <w:rPr>
          <w:rFonts w:hint="eastAsia" w:asciiTheme="minorEastAsia" w:hAnsiTheme="minorEastAsia" w:eastAsiaTheme="minorEastAsia" w:cstheme="minorEastAsia"/>
          <w:b/>
          <w:bCs/>
          <w:color w:val="auto"/>
          <w:sz w:val="24"/>
        </w:rPr>
        <w:t>人的手机），但此短信仅系友情提示，并不具有任何约束性和必要性，采购代理机构不承担供应商未收到短信而引起的一切后果和法律责任。</w:t>
      </w:r>
    </w:p>
    <w:p w14:paraId="6E31615D">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14、服务计划</w:t>
      </w:r>
    </w:p>
    <w:p w14:paraId="346DD2E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供应商可以针对本次招标项目的实际需求拟定完善的服务计划。</w:t>
      </w:r>
    </w:p>
    <w:p w14:paraId="34B71EDF">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15、投标有效期</w:t>
      </w:r>
    </w:p>
    <w:p w14:paraId="2CE0794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15.1 投标响应文件从开标之日起，投标有效期为</w:t>
      </w:r>
      <w:r>
        <w:rPr>
          <w:rFonts w:hint="eastAsia" w:asciiTheme="minorEastAsia" w:hAnsiTheme="minorEastAsia" w:eastAsiaTheme="minorEastAsia" w:cstheme="minorEastAsia"/>
          <w:color w:val="auto"/>
          <w:sz w:val="24"/>
          <w:u w:val="single"/>
        </w:rPr>
        <w:t xml:space="preserve"> 90 </w:t>
      </w:r>
      <w:r>
        <w:rPr>
          <w:rFonts w:hint="eastAsia" w:asciiTheme="minorEastAsia" w:hAnsiTheme="minorEastAsia" w:eastAsiaTheme="minorEastAsia" w:cstheme="minorEastAsia"/>
          <w:color w:val="auto"/>
          <w:sz w:val="24"/>
        </w:rPr>
        <w:t>日历日（投标截止时间后90日历日）。</w:t>
      </w:r>
    </w:p>
    <w:p w14:paraId="5FA4D3D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15.2 在特殊情况下，采购人可与供应商协商延长投标响应文件的有效期。</w:t>
      </w:r>
    </w:p>
    <w:p w14:paraId="52B86CA1">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 xml:space="preserve">16、投标保证金 </w:t>
      </w:r>
    </w:p>
    <w:p w14:paraId="5F79159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16.1 采购人因供应商的违规行为而受到损害时将不予退还供应商的投标保证金，将其作为所受损害的补偿。</w:t>
      </w:r>
    </w:p>
    <w:p w14:paraId="073C199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16.2 供应商应根据供应商须知前附表第</w:t>
      </w:r>
      <w:r>
        <w:rPr>
          <w:rFonts w:hint="eastAsia" w:asciiTheme="minorEastAsia" w:hAnsiTheme="minorEastAsia" w:eastAsiaTheme="minorEastAsia" w:cstheme="minorEastAsia"/>
          <w:color w:val="auto"/>
          <w:sz w:val="24"/>
          <w:u w:val="single"/>
        </w:rPr>
        <w:t xml:space="preserve"> 12 </w:t>
      </w:r>
      <w:r>
        <w:rPr>
          <w:rFonts w:hint="eastAsia" w:asciiTheme="minorEastAsia" w:hAnsiTheme="minorEastAsia" w:eastAsiaTheme="minorEastAsia" w:cstheme="minorEastAsia"/>
          <w:color w:val="auto"/>
          <w:sz w:val="24"/>
        </w:rPr>
        <w:t>条规定的金额与形式提交投标保证金。</w:t>
      </w:r>
    </w:p>
    <w:p w14:paraId="48296F63">
      <w:pPr>
        <w:pStyle w:val="19"/>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16.3 未中标的供应商的投标保证金，将在中标（成交）通知书发出后五个工作日内无息退还。</w:t>
      </w:r>
    </w:p>
    <w:p w14:paraId="315535E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16.4 中标方的投标保证金，将在领取中标（成交）通知书，签订合同后无息退还。</w:t>
      </w:r>
    </w:p>
    <w:p w14:paraId="41D52BF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16.5 未按规定提交投标保证金的投标，将被视为投标无效。</w:t>
      </w:r>
    </w:p>
    <w:p w14:paraId="3E75B23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16.6 下列任何情况发生时，投标保证金将不予退还，转为违约金：</w:t>
      </w:r>
    </w:p>
    <w:p w14:paraId="7DCD80A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（1）供应商在提交投标响应文件截止时间后撤回投标响应文件的；</w:t>
      </w:r>
    </w:p>
    <w:p w14:paraId="192A633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（2）供应商在投标响应文件中提供虚假材料的；</w:t>
      </w:r>
    </w:p>
    <w:p w14:paraId="2A44DFB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（3）除因不可抗力或竞争性磋商文件认可的情形以外，中标（成交）供应商不与采购人签订合同的；</w:t>
      </w:r>
    </w:p>
    <w:p w14:paraId="2D9B1FD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（4）供应商与采购人、其他供应商或者采购代理机构恶意串通的；</w:t>
      </w:r>
    </w:p>
    <w:p w14:paraId="38394E9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（5）招标规定的其他情形；</w:t>
      </w:r>
    </w:p>
    <w:p w14:paraId="65F7B2C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（6）打架斗殴，扰乱开标现场正常秩序；</w:t>
      </w:r>
    </w:p>
    <w:p w14:paraId="027AB02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（7）本竞争性磋商文件中或《政府采购货物和服务招标投标管理办法》第七十五条规定的其他不予退还投标保证金的情形。</w:t>
      </w:r>
    </w:p>
    <w:p w14:paraId="49B7A8A0">
      <w:pPr>
        <w:pStyle w:val="1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上述不予退还投标保证金的情况并给采购代理机构造成损失的，还要承担赔偿责任。</w:t>
      </w:r>
    </w:p>
    <w:p w14:paraId="116DBB8A">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17、投标响应文件的制作、上传及递交要求</w:t>
      </w:r>
    </w:p>
    <w:p w14:paraId="40F505B5">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17.1投标响应文件的制作要求</w:t>
      </w:r>
    </w:p>
    <w:p w14:paraId="4F07F42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供应商应按照投标响应文件组成内容及项目招标需求和新疆政府采购云平台要求制作投标响应文件，不按竞争性磋商文件和新疆政府采购云平台要求制作投标响应文件的将视情况处理(拒收等)，由此产生的责任由供应商自行承担。</w:t>
      </w:r>
    </w:p>
    <w:p w14:paraId="0DB3AEA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电子投标响应文件部分：供应商应根据“政采云供应商项目采购-电子招投标操作指南”及本竞争性磋商文件规定的格式和顺序编制电子投标响应文件并进行关联定位。本文件《第七章  投标响应文件格式》中有提供格式的，供应商应按照格式进行编制(格式中要求提供相关证明材料的还需后附相关证明材料)，并按格式要求在指定位置根据要求进行签章，否则视为未提供；本文件《第七章  投标响应文件格式》未提供格式的，请供应商自行拟定格式，并加盖单位公章，否则视为未提供。</w:t>
      </w:r>
    </w:p>
    <w:p w14:paraId="5A4D36B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备份电子投标响应文件：通过“政采云”平台电子投标工具制作投标响应文件所产生的备份文件。</w:t>
      </w:r>
    </w:p>
    <w:p w14:paraId="79F493B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供应商应对所提供的全部资料的真实性、有效性承担法律责任，电子投标响应文件中所须加盖公章部分均采用CA 签章。</w:t>
      </w:r>
    </w:p>
    <w:p w14:paraId="0F3BF64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投标响应文件以及供应商与采购组织机构就有关投标事宜的所有来往函电，均应以中文汉语书写。除签字、盖章、专用名称等特殊情形外，以中文汉语以外的文字表述的投标响应文件视同未提供。</w:t>
      </w:r>
    </w:p>
    <w:p w14:paraId="26CC955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 投标计量单位，竞争性磋商文件已有明确规定的，使用竞争性磋商文件规定的计量单位；竞争性磋商文件没有规定的，应采用中华人民共和国法定计量单位(货币单位：人民币元)。</w:t>
      </w:r>
    </w:p>
    <w:p w14:paraId="250C1DE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 若供应商不按竞争性磋商文件的要求提供资格审查材料，其风险由供应商自行承担。</w:t>
      </w:r>
    </w:p>
    <w:p w14:paraId="5D744CA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 与本次投标无关的内容请不要制作在内，确保投标响应文件有针对性、简洁明了。</w:t>
      </w:r>
    </w:p>
    <w:p w14:paraId="339DBDD5">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17.2投标响应文件的上传</w:t>
      </w:r>
    </w:p>
    <w:p w14:paraId="7FE55E89">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电子加密投标响应文件(“.jmbs”格式)：</w:t>
      </w:r>
    </w:p>
    <w:p w14:paraId="0002F380">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宋体" w:hAnsi="宋体" w:cs="宋体"/>
          <w:color w:val="auto"/>
          <w:sz w:val="24"/>
        </w:rPr>
        <w:t>a</w:t>
      </w:r>
      <w:r>
        <w:rPr>
          <w:rFonts w:hint="eastAsia" w:ascii="宋体" w:hAnsi="宋体" w:cs="宋体"/>
          <w:color w:val="auto"/>
          <w:spacing w:val="22"/>
          <w:sz w:val="24"/>
        </w:rPr>
        <w:t>.</w:t>
      </w:r>
      <w:r>
        <w:rPr>
          <w:rFonts w:hint="eastAsia" w:ascii="宋体" w:hAnsi="宋体" w:cs="宋体"/>
          <w:color w:val="auto"/>
          <w:spacing w:val="14"/>
          <w:sz w:val="24"/>
        </w:rPr>
        <w:t>供应商</w:t>
      </w:r>
      <w:r>
        <w:rPr>
          <w:rFonts w:hint="eastAsia" w:ascii="宋体" w:hAnsi="宋体" w:cs="宋体"/>
          <w:color w:val="auto"/>
          <w:spacing w:val="11"/>
          <w:sz w:val="24"/>
        </w:rPr>
        <w:t>应在</w:t>
      </w:r>
      <w:r>
        <w:rPr>
          <w:rFonts w:hint="eastAsia" w:asciiTheme="minorEastAsia" w:hAnsiTheme="minorEastAsia" w:eastAsiaTheme="minorEastAsia" w:cstheme="minorEastAsia"/>
          <w:color w:val="auto"/>
          <w:sz w:val="24"/>
        </w:rPr>
        <w:t>投标截止时间前将电子加密投标响应文件成功上传递交至新疆政府采购云平台，否则投标无效；</w:t>
      </w:r>
    </w:p>
    <w:p w14:paraId="552EC105">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b.供应商成功上传电子加密投标响应文件后，可自行打印投标响应文件接收回执。</w:t>
      </w:r>
    </w:p>
    <w:p w14:paraId="51090BA3">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四、开标、评标</w:t>
      </w:r>
    </w:p>
    <w:p w14:paraId="5B303000">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18、开标</w:t>
      </w:r>
      <w:r>
        <w:rPr>
          <w:rFonts w:hint="eastAsia" w:asciiTheme="minorEastAsia" w:hAnsiTheme="minorEastAsia" w:eastAsiaTheme="minorEastAsia" w:cstheme="minorEastAsia"/>
          <w:b/>
          <w:bCs/>
          <w:color w:val="auto"/>
          <w:sz w:val="24"/>
        </w:rPr>
        <w:t>、评标</w:t>
      </w:r>
    </w:p>
    <w:p w14:paraId="0B1F840C">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18.1 (1) 开标准备：本项目开标的准备工作由采购组织机构负责落实，开标过程由采购组织机构负责记录；</w:t>
      </w:r>
    </w:p>
    <w:p w14:paraId="024E9BDC">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开标主持：本项目开标由采购人代表或者采购代理机构主持；</w:t>
      </w:r>
    </w:p>
    <w:p w14:paraId="727980B4">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开标邀请：本项目采用电子交易，采购组织机构将按照竞争性磋商文件规定的时间通过“新疆政府采购云平台，网址：www.zcygov.cn”组织开标、开启投标投标响应文件，所有供应商均应当准时在线参加。</w:t>
      </w:r>
    </w:p>
    <w:p w14:paraId="5C23604D">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(4) 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响应文件无法按时解密等一切后果由供应商自行承担。</w:t>
      </w:r>
    </w:p>
    <w:p w14:paraId="665A123D">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 开标时间到后，主持人宣布开标会议开始。</w:t>
      </w:r>
    </w:p>
    <w:p w14:paraId="0E576EBB">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 投标响应文件解密(解密规定见《供应商须知前附表》)。</w:t>
      </w:r>
    </w:p>
    <w:p w14:paraId="3DF511D1">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 投标响应文件解密异常情况处理(处理办法见《供应商须知前附表》) 。</w:t>
      </w:r>
    </w:p>
    <w:p w14:paraId="11F4DD49">
      <w:pPr>
        <w:autoSpaceDE w:val="0"/>
        <w:autoSpaceDN w:val="0"/>
        <w:adjustRightInd w:val="0"/>
        <w:snapToGrid w:val="0"/>
        <w:spacing w:line="360" w:lineRule="auto"/>
        <w:ind w:firstLine="480" w:firstLineChars="200"/>
        <w:rPr>
          <w:color w:val="auto"/>
          <w:sz w:val="24"/>
        </w:rPr>
      </w:pPr>
      <w:r>
        <w:rPr>
          <w:rFonts w:hint="eastAsia" w:asciiTheme="minorEastAsia" w:hAnsiTheme="minorEastAsia" w:eastAsiaTheme="minorEastAsia" w:cstheme="minorEastAsia"/>
          <w:color w:val="auto"/>
          <w:sz w:val="24"/>
        </w:rPr>
        <w:t>(8) 公布投标响应文件解密情况 (投标响应文件成功解密的供应商名单等信息) 。</w:t>
      </w:r>
    </w:p>
    <w:p w14:paraId="5BB6D4A6">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 开启标书信息(资格证明文件、商务技术文件)。标书信息开启后，首先由采购人代表或采购代理机构或磋商小组依法对投标供应商的资格证明文件进行审查，审查结束公布投标供应商的资格符合情况。资格审查未获通过的供应商，其商务技术文件及报价文件不再进入评审。</w:t>
      </w:r>
    </w:p>
    <w:p w14:paraId="71395B0D">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 在磋商小组对各供应商的响应文件进行初步评审（资格评审、符合性评审）后，由磋商小组开启二次报价。各供应商须在二次报价开启后的30分钟内登录政采云系统进行二次（最后）报价。</w:t>
      </w:r>
    </w:p>
    <w:p w14:paraId="3D931C45">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 磋商小组对各供应商投标响应文件商务、技术部分进行评审。</w:t>
      </w:r>
    </w:p>
    <w:p w14:paraId="2E3DFC3E">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 商务、技术部分评审结束后，开启有效投标供应商的二轮报价，由磋商小组对报价的合理性、准确性等进行审查核实。</w:t>
      </w:r>
    </w:p>
    <w:p w14:paraId="515E2256">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 评审结束后，采购代理机构在系统上公布评审结果。</w:t>
      </w:r>
    </w:p>
    <w:p w14:paraId="25490004">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特别情况说明：</w:t>
      </w:r>
    </w:p>
    <w:p w14:paraId="7F2AF050">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 本项目采用电子交易，如遇“新疆政府采购云平台”电子化开标或评审程序调整的，按调整后程序执行。</w:t>
      </w:r>
    </w:p>
    <w:p w14:paraId="3436A120">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 20 分钟。如未及时签字或盖章确认的，视为无异议。</w:t>
      </w:r>
    </w:p>
    <w:p w14:paraId="787DB8D2">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19、无效的投标响应文件</w:t>
      </w:r>
    </w:p>
    <w:p w14:paraId="4BCB023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开标时，投标响应文件出现下列情形之一的，应当作为无效投标响应文件，不得进入评标：</w:t>
      </w:r>
    </w:p>
    <w:p w14:paraId="6E5509A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（1）投标响应文件未按照竞争性磋商文件的要求予以签章的。</w:t>
      </w:r>
    </w:p>
    <w:p w14:paraId="3560D53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（2）供应商未按照竞争性磋商文件要求缴纳投标保证金的。</w:t>
      </w:r>
    </w:p>
    <w:p w14:paraId="143F0A0E">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（3）按本文件规定的有效证件不齐全的供应商的投标响应文件。</w:t>
      </w:r>
      <w:bookmarkStart w:id="8" w:name="_Toc14129"/>
    </w:p>
    <w:p w14:paraId="6BA2932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（4）供应商的报价明显低于其他通过符合性审查供应商的报价，有可能影响产品质量或者不能诚信履约的，且在规定时间内不能合理说明原因并提供证明材料的。</w:t>
      </w:r>
    </w:p>
    <w:p w14:paraId="084276F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（5）违反国家及政府部门相关法律、法规、文件规定或经磋商小组认定的其他属于重大偏离。</w:t>
      </w:r>
    </w:p>
    <w:p w14:paraId="4DD7ED0A">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20．废标</w:t>
      </w:r>
    </w:p>
    <w:p w14:paraId="7DE5931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20.1 符合竞争性磋商文件规定废标情形的；</w:t>
      </w:r>
    </w:p>
    <w:p w14:paraId="61F76BC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 出现影响采购公正的违法、违规行为的；</w:t>
      </w:r>
    </w:p>
    <w:p w14:paraId="541286A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20.3 供应商的报价均超过了采购预算(或最高限价)，采购人不能支付的；</w:t>
      </w:r>
    </w:p>
    <w:p w14:paraId="2C1B850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20.4 因重大变故，采购任务取消的。</w:t>
      </w:r>
    </w:p>
    <w:p w14:paraId="059D1A62">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21．突发情况处理</w:t>
      </w:r>
    </w:p>
    <w:p w14:paraId="5F5556D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采购过程中出现以下情形，导致电子交易平台无法正常运行，或者无法保证电子交易的公平、公正 和安全时，采购组织机构可中止电子交易活动：</w:t>
      </w:r>
    </w:p>
    <w:p w14:paraId="323A9E7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电子交易平台发生故障而无法登录访问的；</w:t>
      </w:r>
    </w:p>
    <w:p w14:paraId="63AC1A2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电子交易平台应用或数据库出现错误，不能进行正常操作的；</w:t>
      </w:r>
    </w:p>
    <w:p w14:paraId="3E7B8D6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电子交易平台发现严重安全漏洞，有潜在泄密危险的；</w:t>
      </w:r>
    </w:p>
    <w:p w14:paraId="5142DB8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 病毒发作导致不能进行正常操作的；</w:t>
      </w:r>
    </w:p>
    <w:p w14:paraId="1A33442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 其他无法保证电子交易的公平、公正和安全的情况。</w:t>
      </w:r>
    </w:p>
    <w:p w14:paraId="390A32C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24EAB51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 采购代理机构或磋商小组因不可抗力(不可抗力包括但不限于自然灾害、断电、传播疫病等)原因造成电子交易活动无法正常运行的，将采取以下措施：</w:t>
      </w:r>
    </w:p>
    <w:p w14:paraId="32E1FFE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短时间内能消除不可抗力因素的，采购代理机构或磋商小组在消除不可抗力因素后继续组织电子交易活动；</w:t>
      </w:r>
    </w:p>
    <w:p w14:paraId="0C506DFA">
      <w:pPr>
        <w:spacing w:line="360" w:lineRule="auto"/>
        <w:ind w:firstLine="480"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(2) 长时间内无法消除不可抗力因素的，采购代理机构或磋商小组将中止电子交易活动。中止电子交易活动的，采购人应当重新组织政府采购活动。</w:t>
      </w:r>
    </w:p>
    <w:p w14:paraId="50514D6F">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五、投标响应文件的审查、评估和比较</w:t>
      </w:r>
      <w:bookmarkEnd w:id="8"/>
    </w:p>
    <w:p w14:paraId="1B91BD7A">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20、评标</w:t>
      </w:r>
    </w:p>
    <w:p w14:paraId="33BF080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20.1 采购人根据采购项目的特点，组建磋商小组并选定磋商小组组长。</w:t>
      </w:r>
    </w:p>
    <w:p w14:paraId="6CE82A6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 结合本次项目采购特点，采取综合评估法进行评标。</w:t>
      </w:r>
    </w:p>
    <w:p w14:paraId="776C3BF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20.3 评标的依据为竞争性磋商文件和投标响应文件。</w:t>
      </w:r>
    </w:p>
    <w:p w14:paraId="7760627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20.4 评标过程的保密性。开标后，直到授予供应商合同止，凡是属于审查、澄清、评价和比较的有关资料以及授标建议等均不得向供应商或其他无关的人员透露。</w:t>
      </w:r>
    </w:p>
    <w:p w14:paraId="402953DA">
      <w:pPr>
        <w:spacing w:line="360" w:lineRule="auto"/>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20.5 供应商在评标过程中所进行的力图影响评标结果、有悖于招标规则的活动，可能导致取消其中标资格。</w:t>
      </w:r>
    </w:p>
    <w:p w14:paraId="4CDF4C91">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21、对投标响应文件的符合性审查和响应性确定</w:t>
      </w:r>
    </w:p>
    <w:p w14:paraId="4A182C9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开标后采购人将审查投标响应文件的完整性、计算结果的准确性以及保证金提交、文件签署情况。在审查时，如单价与总价有出入，则以单价为准，修正总价；大写与小写有出入，以大写金额为准。若供应商拒绝接受上述修正，其投标将可能被拒绝。</w:t>
      </w:r>
    </w:p>
    <w:p w14:paraId="16AEF7B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 在对投标响应文件进行详细评估之前，磋商小组将审查每一份投标响应文件是否对竞争性磋商文件的要求做出了实质性的响应。实质性响应的投标响应文件应该是与竞争性磋商文件的全部条款、条件相符，而没有重大偏离。</w:t>
      </w:r>
    </w:p>
    <w:p w14:paraId="1565386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 采购人判断投标响应文件的响应性是基于投标响应文件本身而不靠外部证据。</w:t>
      </w:r>
    </w:p>
    <w:p w14:paraId="14E2607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21.4 采购人将拒绝被定为非响应性的投标，供应商不能通过修正或撤消不符之处而使其投标成为响应性投标。</w:t>
      </w:r>
    </w:p>
    <w:p w14:paraId="69CCCB0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21.5 采购人将允许投标中有微小的不正规、不一致或不规则，而该微小之处不致构成重大偏离。</w:t>
      </w:r>
    </w:p>
    <w:p w14:paraId="74513F3A">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24"/>
        </w:rPr>
        <w:t>26、</w:t>
      </w:r>
      <w:r>
        <w:rPr>
          <w:rFonts w:hint="eastAsia" w:asciiTheme="minorEastAsia" w:hAnsiTheme="minorEastAsia" w:eastAsiaTheme="minorEastAsia" w:cstheme="minorEastAsia"/>
          <w:b/>
          <w:color w:val="auto"/>
          <w:sz w:val="24"/>
        </w:rPr>
        <w:t>投标响应文件的澄清</w:t>
      </w:r>
    </w:p>
    <w:p w14:paraId="428CE3F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26.1 磋商小组在评标过程中有权随时请供应商就投标响应文件中含义不明确、对同类问题表述不一致或者有明显文字和计算错误的内容加以澄清或答疑。</w:t>
      </w:r>
    </w:p>
    <w:p w14:paraId="24386E7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26.2 供应商对要求澄清的问题应以书面形式明确答复，并应有法人授权代表的签署。</w:t>
      </w:r>
    </w:p>
    <w:p w14:paraId="7CC7C42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26.3 供应商的澄清文件是投标响应文件的组成部分，并取代投标响应文件中被澄清的部分。</w:t>
      </w:r>
    </w:p>
    <w:p w14:paraId="3B0A65A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26.4 投标响应文件的澄清不得改变投标的实质内容。</w:t>
      </w:r>
    </w:p>
    <w:p w14:paraId="03987D3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26.5 如果供应商在投标响应文件中未对竞争性磋商文件中的条款或参数要求提出偏离意见或澄清，将视同供应商同意竞争性磋商文件的全部或部分要求。</w:t>
      </w:r>
    </w:p>
    <w:p w14:paraId="0E8926E8">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27.定标</w:t>
      </w:r>
    </w:p>
    <w:p w14:paraId="03FD330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27.1 磋商小组有权选择和拒绝供应商中标且无需向供应商进行任何有关评标的解释工作。</w:t>
      </w:r>
    </w:p>
    <w:p w14:paraId="33247DB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27.2 磋商小组根据供应商资格审查情况，投标书的资信内容及开标结果，考虑质量、价格、服务等综合因素评出中标候选人，经招标领导小组审核后确认中标人。</w:t>
      </w:r>
    </w:p>
    <w:p w14:paraId="4F11112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27.3 采购人确定中标人时的原则：排名第一的中标候选人为中标人。排名第一的中标候选人放弃中标、因不可抗力提出不能履行合同，或者竞争性磋商文件规定应当提交履约保证金而在规定的期限内未能提交的，确定排名第二的中标候选人为中标人。排名第二的中标候选人因前款规定的同样原因不能签订合同的，确定排名第三的中标候选人为中标人。</w:t>
      </w:r>
    </w:p>
    <w:p w14:paraId="1F8F7CBC">
      <w:pPr>
        <w:spacing w:line="360" w:lineRule="auto"/>
        <w:ind w:firstLine="500" w:firstLineChars="200"/>
        <w:rPr>
          <w:rFonts w:hint="eastAsia" w:ascii="宋体" w:hAnsi="宋体" w:cs="宋体"/>
          <w:color w:val="auto"/>
          <w:spacing w:val="3"/>
          <w:sz w:val="24"/>
        </w:rPr>
      </w:pPr>
      <w:r>
        <w:rPr>
          <w:rFonts w:hint="eastAsia" w:ascii="宋体" w:hAnsi="宋体" w:cs="宋体"/>
          <w:color w:val="auto"/>
          <w:spacing w:val="5"/>
          <w:sz w:val="24"/>
        </w:rPr>
        <w:t>27.4采购结果确认(确定中标供应商</w:t>
      </w:r>
      <w:r>
        <w:rPr>
          <w:rFonts w:hint="eastAsia" w:ascii="宋体" w:hAnsi="宋体" w:cs="宋体"/>
          <w:color w:val="auto"/>
          <w:spacing w:val="3"/>
          <w:sz w:val="24"/>
        </w:rPr>
        <w:t>)</w:t>
      </w:r>
    </w:p>
    <w:p w14:paraId="57E3A013">
      <w:pPr>
        <w:spacing w:line="360" w:lineRule="auto"/>
        <w:ind w:firstLine="552" w:firstLineChars="200"/>
        <w:rPr>
          <w:rFonts w:hint="eastAsia" w:ascii="宋体" w:hAnsi="宋体" w:cs="宋体"/>
          <w:color w:val="auto"/>
          <w:spacing w:val="9"/>
          <w:sz w:val="24"/>
        </w:rPr>
      </w:pPr>
      <w:r>
        <w:rPr>
          <w:rFonts w:hint="eastAsia" w:ascii="宋体" w:hAnsi="宋体" w:cs="宋体"/>
          <w:color w:val="auto"/>
          <w:spacing w:val="18"/>
          <w:sz w:val="24"/>
        </w:rPr>
        <w:t>采购</w:t>
      </w:r>
      <w:r>
        <w:rPr>
          <w:rFonts w:hint="eastAsia" w:ascii="宋体" w:hAnsi="宋体" w:cs="宋体"/>
          <w:color w:val="auto"/>
          <w:spacing w:val="9"/>
          <w:sz w:val="24"/>
        </w:rPr>
        <w:t>结果确认(确定中标供应商)：本项目由采购人根据磋商小组提交的《评审报告》，通过“政府</w:t>
      </w:r>
      <w:r>
        <w:rPr>
          <w:rFonts w:hint="eastAsia" w:ascii="宋体" w:hAnsi="宋体" w:cs="宋体"/>
          <w:color w:val="auto"/>
          <w:spacing w:val="18"/>
          <w:sz w:val="24"/>
        </w:rPr>
        <w:t>采</w:t>
      </w:r>
      <w:r>
        <w:rPr>
          <w:rFonts w:hint="eastAsia" w:ascii="宋体" w:hAnsi="宋体" w:cs="宋体"/>
          <w:color w:val="auto"/>
          <w:spacing w:val="11"/>
          <w:sz w:val="24"/>
        </w:rPr>
        <w:t>购</w:t>
      </w:r>
      <w:r>
        <w:rPr>
          <w:rFonts w:hint="eastAsia" w:ascii="宋体" w:hAnsi="宋体" w:cs="宋体"/>
          <w:color w:val="auto"/>
          <w:spacing w:val="9"/>
          <w:sz w:val="24"/>
        </w:rPr>
        <w:t>云平台”依法确认采购结果、确定中标供应商。具体流程如下：</w:t>
      </w:r>
    </w:p>
    <w:p w14:paraId="119A47EB">
      <w:pPr>
        <w:numPr>
          <w:ilvl w:val="0"/>
          <w:numId w:val="4"/>
        </w:numPr>
        <w:spacing w:line="360" w:lineRule="auto"/>
        <w:ind w:firstLine="512" w:firstLineChars="200"/>
        <w:rPr>
          <w:rFonts w:hint="eastAsia" w:ascii="宋体" w:hAnsi="宋体" w:cs="宋体"/>
          <w:color w:val="auto"/>
          <w:spacing w:val="8"/>
          <w:sz w:val="24"/>
        </w:rPr>
      </w:pPr>
      <w:r>
        <w:rPr>
          <w:rFonts w:hint="eastAsia" w:ascii="宋体" w:hAnsi="宋体" w:cs="宋体"/>
          <w:color w:val="auto"/>
          <w:spacing w:val="8"/>
          <w:sz w:val="24"/>
        </w:rPr>
        <w:t>采购代理机构将在评审结束后 2 个工作日内将评审报告送采购人。</w:t>
      </w:r>
    </w:p>
    <w:p w14:paraId="35D3CBC1">
      <w:pPr>
        <w:numPr>
          <w:ilvl w:val="0"/>
          <w:numId w:val="4"/>
        </w:numPr>
        <w:spacing w:line="360" w:lineRule="auto"/>
        <w:ind w:firstLine="528" w:firstLineChars="200"/>
        <w:rPr>
          <w:rFonts w:hint="eastAsia" w:ascii="宋体" w:hAnsi="宋体" w:cs="宋体"/>
          <w:color w:val="auto"/>
          <w:sz w:val="24"/>
        </w:rPr>
      </w:pPr>
      <w:r>
        <w:rPr>
          <w:rFonts w:hint="eastAsia" w:ascii="宋体" w:hAnsi="宋体" w:cs="宋体"/>
          <w:color w:val="auto"/>
          <w:spacing w:val="12"/>
          <w:sz w:val="24"/>
        </w:rPr>
        <w:t>采购</w:t>
      </w:r>
      <w:r>
        <w:rPr>
          <w:rFonts w:hint="eastAsia" w:ascii="宋体" w:hAnsi="宋体" w:cs="宋体"/>
          <w:color w:val="auto"/>
          <w:spacing w:val="6"/>
          <w:sz w:val="24"/>
        </w:rPr>
        <w:t>人将在收到评审报告之日起 5 个工作日内，在评审报告推荐的中标候选供应商名单中按顺序确</w:t>
      </w:r>
      <w:r>
        <w:rPr>
          <w:rFonts w:hint="eastAsia" w:ascii="宋体" w:hAnsi="宋体" w:cs="宋体"/>
          <w:color w:val="auto"/>
          <w:spacing w:val="10"/>
          <w:sz w:val="24"/>
        </w:rPr>
        <w:t>定</w:t>
      </w:r>
      <w:r>
        <w:rPr>
          <w:rFonts w:hint="eastAsia" w:ascii="宋体" w:hAnsi="宋体" w:cs="宋体"/>
          <w:color w:val="auto"/>
          <w:spacing w:val="9"/>
          <w:sz w:val="24"/>
        </w:rPr>
        <w:t>中标供应商，并将确认意见以书面形式回复采购代理机构。</w:t>
      </w:r>
    </w:p>
    <w:p w14:paraId="15067E27">
      <w:pPr>
        <w:widowControl/>
        <w:kinsoku w:val="0"/>
        <w:autoSpaceDE w:val="0"/>
        <w:autoSpaceDN w:val="0"/>
        <w:adjustRightInd w:val="0"/>
        <w:snapToGrid w:val="0"/>
        <w:spacing w:before="1" w:line="360" w:lineRule="auto"/>
        <w:ind w:firstLine="500" w:firstLineChars="200"/>
        <w:textAlignment w:val="baseline"/>
        <w:rPr>
          <w:color w:val="auto"/>
          <w:sz w:val="24"/>
        </w:rPr>
      </w:pPr>
      <w:r>
        <w:rPr>
          <w:rFonts w:hint="eastAsia" w:ascii="宋体" w:hAnsi="宋体" w:cs="宋体"/>
          <w:color w:val="auto"/>
          <w:spacing w:val="5"/>
          <w:sz w:val="24"/>
        </w:rPr>
        <w:t>27.5 采购结果经采购人确认后2个工作日内，采购代理机构将在</w:t>
      </w:r>
      <w:r>
        <w:rPr>
          <w:rFonts w:hint="eastAsia" w:ascii="宋体" w:hAnsi="宋体" w:cs="宋体"/>
          <w:color w:val="auto"/>
          <w:spacing w:val="12"/>
          <w:sz w:val="24"/>
        </w:rPr>
        <w:t>新疆政府采购网(www.zjzfcg.gov.cn)上公告采购结果，中标公告期限为1个工作日。</w:t>
      </w:r>
    </w:p>
    <w:p w14:paraId="7F8F8E73">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24"/>
        </w:rPr>
        <w:t>28、</w:t>
      </w:r>
      <w:r>
        <w:rPr>
          <w:rFonts w:hint="eastAsia" w:asciiTheme="minorEastAsia" w:hAnsiTheme="minorEastAsia" w:eastAsiaTheme="minorEastAsia" w:cstheme="minorEastAsia"/>
          <w:b/>
          <w:color w:val="auto"/>
          <w:sz w:val="24"/>
        </w:rPr>
        <w:t>中标通知</w:t>
      </w:r>
    </w:p>
    <w:p w14:paraId="25119CE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28.1 采购人根据定标结果，在投标有效期届满前，以书面形式向中标单位发出中标通知书。</w:t>
      </w:r>
    </w:p>
    <w:p w14:paraId="60A919A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28.2 采购代理机构将中标结果及时通知未中标单位并于5日内退还投标保证金。无需解释未中标原因。</w:t>
      </w:r>
    </w:p>
    <w:p w14:paraId="41B6E40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28.3在中标通知书发出前，采购人将中</w:t>
      </w:r>
      <w:r>
        <w:rPr>
          <w:rFonts w:hint="eastAsia" w:asciiTheme="minorEastAsia" w:hAnsiTheme="minorEastAsia" w:eastAsiaTheme="minorEastAsia" w:cstheme="minorEastAsia"/>
          <w:color w:val="auto"/>
          <w:sz w:val="24"/>
          <w:highlight w:val="none"/>
        </w:rPr>
        <w:t>标候选人的情况</w:t>
      </w:r>
      <w:r>
        <w:rPr>
          <w:rFonts w:hint="eastAsia" w:asciiTheme="minorEastAsia" w:hAnsiTheme="minorEastAsia" w:eastAsiaTheme="minorEastAsia" w:cstheme="minorEastAsia"/>
          <w:color w:val="auto"/>
          <w:sz w:val="24"/>
        </w:rPr>
        <w:t>在新疆政府采购网予以公示，公示期为一个工作日。待公示期结束后，采购组织机构向中标人发出中标通知书。</w:t>
      </w:r>
    </w:p>
    <w:p w14:paraId="7911186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28.4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17CD3A32">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29、拒绝某些或所有投标的权力</w:t>
      </w:r>
    </w:p>
    <w:p w14:paraId="3BF7B53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29.1标人有权在定标之前拒绝任何有不正当行为或扰乱正常招标工作的供应商，由此对供应商造成的损失不负任何责任，同时对此无需做任何解释。</w:t>
      </w:r>
    </w:p>
    <w:p w14:paraId="30B00726">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24"/>
        </w:rPr>
        <w:t>30</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color w:val="auto"/>
          <w:sz w:val="24"/>
        </w:rPr>
        <w:t>保密</w:t>
      </w:r>
    </w:p>
    <w:p w14:paraId="36DC325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30.1 有关投标响应文件的审查、澄清、评估、比较以及有关授予合同的意向的一切情况不得透露给供应商或与上述评标工作无关的人员。</w:t>
      </w:r>
    </w:p>
    <w:p w14:paraId="54DE3311">
      <w:pPr>
        <w:pStyle w:val="1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30.2 采购人和采购代理机构对未中标单位不做任何书面解释。</w:t>
      </w:r>
      <w:bookmarkStart w:id="9" w:name="_Toc21533"/>
    </w:p>
    <w:bookmarkEnd w:id="9"/>
    <w:p w14:paraId="14B19CE6">
      <w:pPr>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六、授予合同</w:t>
      </w:r>
    </w:p>
    <w:p w14:paraId="2AA7BA2C">
      <w:pPr>
        <w:autoSpaceDE w:val="0"/>
        <w:autoSpaceDN w:val="0"/>
        <w:adjustRightInd w:val="0"/>
        <w:snapToGrid w:val="0"/>
        <w:spacing w:line="360" w:lineRule="auto"/>
        <w:ind w:firstLine="482"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bCs/>
          <w:color w:val="auto"/>
          <w:kern w:val="0"/>
          <w:sz w:val="24"/>
        </w:rPr>
        <w:t>31、合同签订</w:t>
      </w:r>
    </w:p>
    <w:p w14:paraId="547127DC">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rPr>
        <w:t>31.1 中标人确定后，采购人向中标人发出中标通知书，同时通知未中标人。采购人和中标人应当自中标通知书发出之日起</w:t>
      </w:r>
      <w:r>
        <w:rPr>
          <w:rFonts w:hint="eastAsia" w:asciiTheme="minorEastAsia" w:hAnsiTheme="minorEastAsia" w:eastAsiaTheme="minorEastAsia" w:cstheme="minorEastAsia"/>
          <w:color w:val="auto"/>
          <w:kern w:val="0"/>
          <w:sz w:val="24"/>
          <w:u w:val="single"/>
        </w:rPr>
        <w:t xml:space="preserve"> 30 </w:t>
      </w:r>
      <w:r>
        <w:rPr>
          <w:rFonts w:hint="eastAsia" w:asciiTheme="minorEastAsia" w:hAnsiTheme="minorEastAsia" w:eastAsiaTheme="minorEastAsia" w:cstheme="minorEastAsia"/>
          <w:color w:val="auto"/>
          <w:kern w:val="0"/>
          <w:sz w:val="24"/>
          <w:highlight w:val="none"/>
        </w:rPr>
        <w:t xml:space="preserve">日之内签订合同。 </w:t>
      </w:r>
    </w:p>
    <w:p w14:paraId="74223B06">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highlight w:val="none"/>
        </w:rPr>
        <w:t>31.2 中标通知书对采购人和中标人具有法</w:t>
      </w:r>
      <w:r>
        <w:rPr>
          <w:rFonts w:hint="eastAsia" w:asciiTheme="minorEastAsia" w:hAnsiTheme="minorEastAsia" w:eastAsiaTheme="minorEastAsia" w:cstheme="minorEastAsia"/>
          <w:color w:val="auto"/>
          <w:kern w:val="0"/>
          <w:sz w:val="24"/>
        </w:rPr>
        <w:t xml:space="preserve">律约束力。中标通知书发出后，采购人改变中标结果或者中标人放弃中标的，应当承担法律责任。 </w:t>
      </w:r>
    </w:p>
    <w:p w14:paraId="1E3BF001">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31.3 采购人与中标人应按照竞争性磋商文件和中标人的投标响应文件订立书面合同，并签订保密协议。</w:t>
      </w:r>
    </w:p>
    <w:p w14:paraId="011AB097">
      <w:pPr>
        <w:spacing w:line="360" w:lineRule="auto"/>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Cs/>
          <w:color w:val="auto"/>
          <w:sz w:val="24"/>
        </w:rPr>
        <w:t>31.4 合同的组成</w:t>
      </w:r>
    </w:p>
    <w:p w14:paraId="773D4DA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下列文件均为合同不可分割部分：</w:t>
      </w:r>
    </w:p>
    <w:p w14:paraId="5D0C12B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（1）服务合同；</w:t>
      </w:r>
    </w:p>
    <w:p w14:paraId="65B1C966">
      <w:pPr>
        <w:spacing w:line="360" w:lineRule="auto"/>
        <w:ind w:firstLine="480" w:firstLineChars="200"/>
        <w:rPr>
          <w:rFonts w:hint="eastAsia" w:ascii="宋体" w:hAnsi="宋体" w:cs="宋体"/>
          <w:color w:val="auto"/>
          <w:sz w:val="24"/>
        </w:rPr>
      </w:pPr>
      <w:r>
        <w:rPr>
          <w:rFonts w:hint="eastAsia" w:asciiTheme="minorEastAsia" w:hAnsiTheme="minorEastAsia" w:eastAsiaTheme="minorEastAsia" w:cstheme="minorEastAsia"/>
          <w:color w:val="auto"/>
          <w:sz w:val="24"/>
        </w:rPr>
        <w:t>（2</w:t>
      </w:r>
      <w:r>
        <w:rPr>
          <w:rFonts w:hint="eastAsia" w:ascii="宋体" w:hAnsi="宋体" w:cs="宋体"/>
          <w:color w:val="auto"/>
          <w:sz w:val="24"/>
        </w:rPr>
        <w:t>）合同条款；</w:t>
      </w:r>
    </w:p>
    <w:p w14:paraId="6294E634">
      <w:pPr>
        <w:spacing w:line="360" w:lineRule="auto"/>
        <w:ind w:firstLine="480" w:firstLineChars="200"/>
        <w:rPr>
          <w:rFonts w:hint="eastAsia" w:ascii="宋体" w:hAnsi="宋体" w:cs="宋体"/>
          <w:color w:val="auto"/>
          <w:sz w:val="24"/>
        </w:rPr>
      </w:pPr>
      <w:r>
        <w:rPr>
          <w:rFonts w:hint="eastAsia" w:ascii="宋体" w:hAnsi="宋体" w:cs="宋体"/>
          <w:color w:val="auto"/>
          <w:sz w:val="24"/>
        </w:rPr>
        <w:t>（3）中标通知书；</w:t>
      </w:r>
    </w:p>
    <w:p w14:paraId="629C39E8">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（4）乙方中标的投标响应文件；</w:t>
      </w:r>
    </w:p>
    <w:p w14:paraId="653BC210">
      <w:pPr>
        <w:spacing w:line="360" w:lineRule="auto"/>
        <w:ind w:firstLine="480" w:firstLineChars="200"/>
        <w:rPr>
          <w:rFonts w:hint="eastAsia" w:ascii="宋体" w:hAnsi="宋体" w:cs="宋体"/>
          <w:color w:val="auto"/>
          <w:sz w:val="24"/>
        </w:rPr>
      </w:pPr>
      <w:r>
        <w:rPr>
          <w:rFonts w:hint="eastAsia" w:ascii="宋体" w:hAnsi="宋体" w:cs="宋体"/>
          <w:color w:val="auto"/>
          <w:sz w:val="24"/>
        </w:rPr>
        <w:t>（5）竞争性磋商文件；</w:t>
      </w:r>
    </w:p>
    <w:p w14:paraId="59C7714B">
      <w:pPr>
        <w:spacing w:line="360" w:lineRule="auto"/>
        <w:ind w:firstLine="480" w:firstLineChars="200"/>
        <w:rPr>
          <w:rFonts w:hint="eastAsia" w:ascii="宋体" w:hAnsi="宋体" w:cs="宋体"/>
          <w:color w:val="auto"/>
          <w:sz w:val="24"/>
        </w:rPr>
      </w:pPr>
      <w:r>
        <w:rPr>
          <w:rFonts w:hint="eastAsia" w:ascii="宋体" w:hAnsi="宋体" w:cs="宋体"/>
          <w:color w:val="auto"/>
          <w:sz w:val="24"/>
        </w:rPr>
        <w:t>（6）评标答疑记录。</w:t>
      </w:r>
    </w:p>
    <w:p w14:paraId="6B03AED8">
      <w:pPr>
        <w:autoSpaceDE w:val="0"/>
        <w:autoSpaceDN w:val="0"/>
        <w:adjustRightInd w:val="0"/>
        <w:snapToGrid w:val="0"/>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七、纪律和监督</w:t>
      </w:r>
    </w:p>
    <w:p w14:paraId="437C7FF3">
      <w:pPr>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32. 对采购人的纪律要求</w:t>
      </w:r>
    </w:p>
    <w:p w14:paraId="7844A78A">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32.1 采购人不得</w:t>
      </w:r>
      <w:r>
        <w:rPr>
          <w:rFonts w:hint="eastAsia" w:asciiTheme="minorEastAsia" w:hAnsiTheme="minorEastAsia" w:eastAsiaTheme="minorEastAsia" w:cstheme="minorEastAsia"/>
          <w:color w:val="auto"/>
          <w:kern w:val="0"/>
          <w:sz w:val="24"/>
          <w:lang w:val="en-US" w:eastAsia="zh-CN"/>
        </w:rPr>
        <w:t>泄露</w:t>
      </w:r>
      <w:r>
        <w:rPr>
          <w:rFonts w:hint="eastAsia" w:asciiTheme="minorEastAsia" w:hAnsiTheme="minorEastAsia" w:eastAsiaTheme="minorEastAsia" w:cstheme="minorEastAsia"/>
          <w:color w:val="auto"/>
          <w:kern w:val="0"/>
          <w:sz w:val="24"/>
        </w:rPr>
        <w:t>招标投标活动中应当保密的情况和资料，不得与供应商串通损害国家利益，社会公共利益或者他人合法权益。</w:t>
      </w:r>
    </w:p>
    <w:p w14:paraId="0475F01D">
      <w:pPr>
        <w:autoSpaceDE w:val="0"/>
        <w:autoSpaceDN w:val="0"/>
        <w:adjustRightInd w:val="0"/>
        <w:snapToGrid w:val="0"/>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33. 对供应商的纪律要求</w:t>
      </w:r>
    </w:p>
    <w:p w14:paraId="30E57BB6">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33.1 供应商不得相互串通投标或者与采购人串通投标，不得向采购人或者磋商小组成员行贿谋取中标，不得以他人名义投标或者以其他方式弄虚作假骗取中标；供应商不得以任何方式干扰、影响评标工作。</w:t>
      </w:r>
    </w:p>
    <w:p w14:paraId="069CC224">
      <w:pPr>
        <w:autoSpaceDE w:val="0"/>
        <w:autoSpaceDN w:val="0"/>
        <w:adjustRightInd w:val="0"/>
        <w:snapToGrid w:val="0"/>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34. 对磋商小组成员的纪律要求</w:t>
      </w:r>
    </w:p>
    <w:p w14:paraId="76C1071E">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34.1 磋商小组成员不得收受他人的财物或者其他好处，不得向他人透漏对投标响应文件的评审和比较、中标候选人的推荐情况以及评标有关的其他情况。</w:t>
      </w:r>
    </w:p>
    <w:p w14:paraId="4BF2C05F">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34.2 在评标活动中，磋商小组成员不得擅离职守，影响评标程序正常进行，不得使用第六章“评标标准及办法”没有规定的评审因素和标准进行评标。</w:t>
      </w:r>
    </w:p>
    <w:p w14:paraId="3388E4E1">
      <w:pPr>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35. 对与评标活动有关的工作人员的纪律要求</w:t>
      </w:r>
    </w:p>
    <w:p w14:paraId="3F7E6424">
      <w:pPr>
        <w:autoSpaceDE w:val="0"/>
        <w:autoSpaceDN w:val="0"/>
        <w:adjustRightInd w:val="0"/>
        <w:snapToGrid w:val="0"/>
        <w:spacing w:line="360" w:lineRule="auto"/>
        <w:ind w:firstLine="480" w:firstLineChars="200"/>
        <w:rPr>
          <w:rFonts w:hint="eastAsia" w:ascii="宋体" w:hAnsi="宋体" w:cs="宋体"/>
          <w:color w:val="auto"/>
          <w:sz w:val="24"/>
        </w:rPr>
      </w:pPr>
      <w:r>
        <w:rPr>
          <w:rFonts w:hint="eastAsia" w:asciiTheme="minorEastAsia" w:hAnsiTheme="minorEastAsia" w:eastAsiaTheme="minorEastAsia" w:cstheme="minorEastAsia"/>
          <w:color w:val="auto"/>
          <w:kern w:val="0"/>
          <w:sz w:val="24"/>
        </w:rPr>
        <w:t>35.1 与评标活动有关的工作人员不得收受他人的财物或者其他好处，不得向他人透漏对投标响应文件的评审和比较、中标候选人的推荐情况以及评标有关的其他情况。在评标活动中，与评标活动有关</w:t>
      </w:r>
      <w:r>
        <w:rPr>
          <w:rFonts w:hint="eastAsia" w:ascii="宋体" w:hAnsi="宋体" w:cs="宋体"/>
          <w:color w:val="auto"/>
          <w:spacing w:val="11"/>
          <w:sz w:val="24"/>
        </w:rPr>
        <w:t>的工作人员不</w:t>
      </w:r>
      <w:r>
        <w:rPr>
          <w:rFonts w:hint="eastAsia" w:ascii="宋体" w:hAnsi="宋体" w:cs="宋体"/>
          <w:color w:val="auto"/>
          <w:spacing w:val="16"/>
          <w:sz w:val="24"/>
        </w:rPr>
        <w:t>得</w:t>
      </w:r>
      <w:r>
        <w:rPr>
          <w:rFonts w:hint="eastAsia" w:ascii="宋体" w:hAnsi="宋体" w:cs="宋体"/>
          <w:color w:val="auto"/>
          <w:spacing w:val="12"/>
          <w:sz w:val="24"/>
        </w:rPr>
        <w:t>擅</w:t>
      </w:r>
      <w:r>
        <w:rPr>
          <w:rFonts w:hint="eastAsia" w:ascii="宋体" w:hAnsi="宋体" w:cs="宋体"/>
          <w:color w:val="auto"/>
          <w:spacing w:val="8"/>
          <w:sz w:val="24"/>
        </w:rPr>
        <w:t>离职守，影响评标程序正常进行。</w:t>
      </w:r>
    </w:p>
    <w:p w14:paraId="326BED78">
      <w:pPr>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八、质疑与投诉</w:t>
      </w:r>
    </w:p>
    <w:p w14:paraId="40569843">
      <w:pPr>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36. 质疑和投诉</w:t>
      </w:r>
    </w:p>
    <w:p w14:paraId="071D4619">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36.1 供应商认为竞争性磋商文件、采购过程和中标、成交结果使自己的权益受到损害的，可以在知道或者应知其权益受到损害之日起七个工作日内，以书面形式向采购人、采购代理机构提出质疑。供应商应当在法定质疑期内一次性提出针对同一采购程序环节的质疑。供应商应知其权益受到损害之日，是指：</w:t>
      </w:r>
    </w:p>
    <w:p w14:paraId="61E7E005">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(一) 对可以质疑的竞争性磋商文件提出质疑的，为收到竞争性磋商文件之日或者竞争性磋商文件公告期限届满之日；</w:t>
      </w:r>
    </w:p>
    <w:p w14:paraId="0C3EB646">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(二) 对采购过程提出质疑的，为各采购程序环节结束之日；</w:t>
      </w:r>
    </w:p>
    <w:p w14:paraId="6B721B43">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(三) 对中标或者成交结果提出质疑的，为中标或者成交结果公告期限届满之日。</w:t>
      </w:r>
    </w:p>
    <w:p w14:paraId="6ED146E9">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36.2 供应商提出质疑应当提交质疑函和必要的证明材料。质疑函应当包括下列内容：供应商的姓名或者 名称、地址、邮编、联系人及联系电话；质疑项目的名称、编号；具体、明确的质疑事项和与质疑事项相 关的请求；事实依据；必要的法律依据；提出质疑的日期。(具体格式详见附件)</w:t>
      </w:r>
    </w:p>
    <w:p w14:paraId="12ED7FBB">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供应商为自然人的，应当由本人签字；供应商为法人或者其他组织的，应当由法定代表人、主要负责人，或者其授权代表签字或者盖章，并加盖公章。</w:t>
      </w:r>
    </w:p>
    <w:p w14:paraId="0FB5DE71">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36.3 供应商质疑、投诉应当有明确的请求和必要的证明材料。供应商投诉的事项不得超出已质疑事项的范围。采购人及采购代理机构按《政府采购质疑和投诉办法》进行处理供应商质疑事项。</w:t>
      </w:r>
    </w:p>
    <w:p w14:paraId="7E438CB1">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36.4 质疑供应商对采购人、采购代理机构的质疑答复不满意，或者采购人、采购代理机构未在规定期限内作出答复的，供应商可以在答复期满后 15 个工作日内向同级财政部门提起投诉。</w:t>
      </w:r>
    </w:p>
    <w:p w14:paraId="19343EFF">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36.5 供应商有下列情形之一的，将其列入不良行为记录名单：</w:t>
      </w:r>
    </w:p>
    <w:p w14:paraId="2BF13BA3">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(一) 一年内三次以上质疑均查无实据的；</w:t>
      </w:r>
    </w:p>
    <w:p w14:paraId="694761D4">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(二) 捏造事实或者提供虚假质疑材料的。</w:t>
      </w:r>
    </w:p>
    <w:p w14:paraId="6612C63E">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(三) 以非法手段取得证明材料。证据来源的合法性存在明显疑问，质疑人无法证明其取得方式合法的，视为以非法手段取得证明材料。</w:t>
      </w:r>
    </w:p>
    <w:p w14:paraId="6E70B583">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37、招标代理费</w:t>
      </w:r>
    </w:p>
    <w:p w14:paraId="141EDDE1">
      <w:pPr>
        <w:spacing w:line="360" w:lineRule="auto"/>
        <w:ind w:firstLine="480" w:firstLineChars="200"/>
        <w:rPr>
          <w:rFonts w:hint="eastAsia" w:asciiTheme="minorEastAsia" w:hAnsiTheme="minorEastAsia" w:eastAsiaTheme="minorEastAsia" w:cstheme="minorEastAsia"/>
          <w:color w:val="auto"/>
          <w:sz w:val="24"/>
        </w:rPr>
      </w:pPr>
      <w:r>
        <w:rPr>
          <w:rFonts w:hint="eastAsia" w:ascii="宋体" w:hAnsi="宋体"/>
          <w:bCs/>
          <w:color w:val="auto"/>
          <w:sz w:val="24"/>
        </w:rPr>
        <w:t>按照《招标代理服务收费管理暂行办法》《关于招标代理服务收费有关问题的通知》相关规定，参照发改价格[2011]534号及计价格[2002]1980号文件计算的代理服务收费标准，由成交单位支付代理报酬。</w:t>
      </w:r>
    </w:p>
    <w:p w14:paraId="526F46B6">
      <w:pPr>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38、其它</w:t>
      </w:r>
    </w:p>
    <w:p w14:paraId="76C48DE8">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本竞争性磋商文件是根据《中华人民共和国政府采购法》及《中华人民共和国政府采购法实施条例》的规定编制的，解释权属采购代理机构。</w:t>
      </w:r>
    </w:p>
    <w:p w14:paraId="24F4EB04">
      <w:pPr>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br w:type="page"/>
      </w:r>
    </w:p>
    <w:p w14:paraId="352144E9">
      <w:pPr>
        <w:autoSpaceDE w:val="0"/>
        <w:autoSpaceDN w:val="0"/>
        <w:adjustRightInd w:val="0"/>
        <w:spacing w:line="360" w:lineRule="auto"/>
        <w:jc w:val="center"/>
        <w:outlineLvl w:val="0"/>
        <w:rPr>
          <w:rFonts w:hint="eastAsia" w:ascii="宋体" w:hAnsi="宋体" w:cs="宋体"/>
          <w:b/>
          <w:bCs/>
          <w:color w:val="auto"/>
          <w:kern w:val="0"/>
          <w:sz w:val="30"/>
          <w:szCs w:val="30"/>
        </w:rPr>
      </w:pPr>
      <w:bookmarkStart w:id="10" w:name="_Toc30897"/>
      <w:bookmarkStart w:id="11" w:name="_Toc4181_WPSOffice_Level1"/>
      <w:r>
        <w:rPr>
          <w:rFonts w:hint="eastAsia" w:asciiTheme="minorEastAsia" w:hAnsiTheme="minorEastAsia" w:eastAsiaTheme="minorEastAsia" w:cstheme="minorEastAsia"/>
          <w:b/>
          <w:bCs/>
          <w:color w:val="auto"/>
          <w:kern w:val="0"/>
          <w:sz w:val="28"/>
          <w:szCs w:val="28"/>
        </w:rPr>
        <w:t xml:space="preserve">第四章  </w:t>
      </w:r>
      <w:r>
        <w:rPr>
          <w:rFonts w:hint="eastAsia" w:ascii="宋体" w:hAnsi="宋体" w:cs="宋体"/>
          <w:b/>
          <w:bCs/>
          <w:color w:val="auto"/>
          <w:kern w:val="0"/>
          <w:sz w:val="30"/>
          <w:szCs w:val="30"/>
        </w:rPr>
        <w:t>合同条款</w:t>
      </w:r>
      <w:bookmarkEnd w:id="10"/>
      <w:bookmarkEnd w:id="11"/>
    </w:p>
    <w:p w14:paraId="09EE046B">
      <w:pPr>
        <w:pStyle w:val="13"/>
        <w:rPr>
          <w:color w:val="auto"/>
        </w:rPr>
      </w:pPr>
    </w:p>
    <w:p w14:paraId="58BF47A0">
      <w:pPr>
        <w:rPr>
          <w:rFonts w:hint="eastAsia" w:ascii="宋体" w:hAnsi="宋体" w:cs="宋体"/>
          <w:b/>
          <w:snapToGrid w:val="0"/>
          <w:color w:val="auto"/>
          <w:szCs w:val="21"/>
        </w:rPr>
      </w:pPr>
    </w:p>
    <w:p w14:paraId="31A3B362">
      <w:pPr>
        <w:pStyle w:val="2"/>
        <w:rPr>
          <w:rFonts w:hint="eastAsia" w:ascii="宋体" w:hAnsi="宋体" w:cs="宋体"/>
          <w:b/>
          <w:snapToGrid w:val="0"/>
          <w:color w:val="auto"/>
          <w:szCs w:val="21"/>
        </w:rPr>
      </w:pPr>
    </w:p>
    <w:p w14:paraId="15A7B9E2">
      <w:pPr>
        <w:pStyle w:val="2"/>
        <w:rPr>
          <w:rFonts w:hint="eastAsia" w:ascii="宋体" w:hAnsi="宋体" w:cs="宋体"/>
          <w:b/>
          <w:snapToGrid w:val="0"/>
          <w:color w:val="auto"/>
          <w:szCs w:val="21"/>
        </w:rPr>
      </w:pPr>
    </w:p>
    <w:p w14:paraId="6D36EDBD">
      <w:pPr>
        <w:pStyle w:val="2"/>
        <w:rPr>
          <w:rFonts w:hint="eastAsia" w:ascii="宋体" w:hAnsi="宋体" w:cs="宋体"/>
          <w:b/>
          <w:snapToGrid w:val="0"/>
          <w:color w:val="auto"/>
          <w:szCs w:val="21"/>
        </w:rPr>
      </w:pPr>
    </w:p>
    <w:p w14:paraId="2ADB6277">
      <w:pPr>
        <w:pStyle w:val="2"/>
        <w:rPr>
          <w:rFonts w:hint="eastAsia" w:ascii="宋体" w:hAnsi="宋体" w:cs="宋体"/>
          <w:b/>
          <w:snapToGrid w:val="0"/>
          <w:color w:val="auto"/>
          <w:szCs w:val="21"/>
        </w:rPr>
      </w:pPr>
    </w:p>
    <w:p w14:paraId="1E4A05A0">
      <w:pPr>
        <w:pStyle w:val="94"/>
        <w:jc w:val="center"/>
        <w:outlineLvl w:val="0"/>
        <w:rPr>
          <w:rFonts w:hint="eastAsia" w:ascii="宋体" w:hAnsi="宋体" w:eastAsia="宋体" w:cs="宋体"/>
          <w:b/>
          <w:color w:val="auto"/>
          <w:sz w:val="52"/>
          <w:szCs w:val="52"/>
          <w:highlight w:val="none"/>
          <w:lang w:eastAsia="zh-CN"/>
        </w:rPr>
      </w:pPr>
      <w:bookmarkStart w:id="12" w:name="_Toc16457"/>
      <w:bookmarkStart w:id="13" w:name="_Toc24335"/>
      <w:r>
        <w:rPr>
          <w:rFonts w:hint="eastAsia" w:ascii="宋体" w:hAnsi="宋体" w:eastAsia="宋体" w:cs="宋体"/>
          <w:b/>
          <w:color w:val="auto"/>
          <w:sz w:val="52"/>
          <w:szCs w:val="52"/>
          <w:highlight w:val="none"/>
        </w:rPr>
        <w:t>政府采购合同</w:t>
      </w:r>
      <w:r>
        <w:rPr>
          <w:rFonts w:hint="eastAsia" w:ascii="宋体" w:hAnsi="宋体" w:eastAsia="宋体" w:cs="宋体"/>
          <w:b/>
          <w:color w:val="auto"/>
          <w:sz w:val="52"/>
          <w:szCs w:val="52"/>
          <w:highlight w:val="none"/>
          <w:lang w:eastAsia="zh-CN"/>
        </w:rPr>
        <w:t>（</w:t>
      </w:r>
      <w:r>
        <w:rPr>
          <w:rFonts w:hint="eastAsia" w:ascii="宋体" w:hAnsi="宋体" w:eastAsia="宋体" w:cs="宋体"/>
          <w:b/>
          <w:color w:val="auto"/>
          <w:sz w:val="52"/>
          <w:szCs w:val="52"/>
          <w:highlight w:val="none"/>
          <w:lang w:val="en-US" w:eastAsia="zh-CN"/>
        </w:rPr>
        <w:t>参考合同</w:t>
      </w:r>
      <w:r>
        <w:rPr>
          <w:rFonts w:hint="eastAsia" w:ascii="宋体" w:hAnsi="宋体" w:eastAsia="宋体" w:cs="宋体"/>
          <w:b/>
          <w:color w:val="auto"/>
          <w:sz w:val="52"/>
          <w:szCs w:val="52"/>
          <w:highlight w:val="none"/>
          <w:lang w:eastAsia="zh-CN"/>
        </w:rPr>
        <w:t>）</w:t>
      </w:r>
      <w:bookmarkEnd w:id="12"/>
      <w:bookmarkEnd w:id="13"/>
    </w:p>
    <w:p w14:paraId="315B29E4">
      <w:pPr>
        <w:pStyle w:val="94"/>
        <w:jc w:val="center"/>
        <w:rPr>
          <w:rFonts w:hint="eastAsia" w:ascii="宋体" w:hAnsi="宋体" w:eastAsia="宋体" w:cs="宋体"/>
          <w:b/>
          <w:color w:val="auto"/>
          <w:sz w:val="52"/>
          <w:szCs w:val="52"/>
          <w:highlight w:val="none"/>
        </w:rPr>
      </w:pPr>
    </w:p>
    <w:p w14:paraId="6F74E1F9">
      <w:pPr>
        <w:pStyle w:val="94"/>
        <w:jc w:val="center"/>
        <w:rPr>
          <w:rFonts w:hint="eastAsia" w:ascii="宋体" w:hAnsi="宋体" w:eastAsia="宋体" w:cs="宋体"/>
          <w:b/>
          <w:color w:val="auto"/>
          <w:sz w:val="52"/>
          <w:szCs w:val="52"/>
          <w:highlight w:val="none"/>
        </w:rPr>
      </w:pPr>
    </w:p>
    <w:p w14:paraId="00E1E2C9">
      <w:pPr>
        <w:pStyle w:val="94"/>
        <w:jc w:val="center"/>
        <w:rPr>
          <w:rFonts w:hint="eastAsia" w:ascii="宋体" w:hAnsi="宋体" w:eastAsia="宋体" w:cs="宋体"/>
          <w:b/>
          <w:color w:val="auto"/>
          <w:sz w:val="52"/>
          <w:szCs w:val="52"/>
          <w:highlight w:val="none"/>
        </w:rPr>
      </w:pPr>
    </w:p>
    <w:p w14:paraId="0D4A10FA">
      <w:pPr>
        <w:pStyle w:val="94"/>
        <w:jc w:val="center"/>
        <w:rPr>
          <w:rFonts w:hint="eastAsia" w:ascii="宋体" w:hAnsi="宋体" w:eastAsia="宋体" w:cs="宋体"/>
          <w:b/>
          <w:color w:val="auto"/>
          <w:sz w:val="52"/>
          <w:szCs w:val="52"/>
          <w:highlight w:val="none"/>
        </w:rPr>
      </w:pPr>
    </w:p>
    <w:p w14:paraId="221AB6EA">
      <w:pPr>
        <w:pStyle w:val="94"/>
        <w:jc w:val="center"/>
        <w:rPr>
          <w:rFonts w:hint="eastAsia" w:ascii="宋体" w:hAnsi="宋体" w:eastAsia="宋体" w:cs="宋体"/>
          <w:b/>
          <w:color w:val="auto"/>
          <w:sz w:val="52"/>
          <w:szCs w:val="52"/>
          <w:highlight w:val="none"/>
        </w:rPr>
      </w:pPr>
    </w:p>
    <w:p w14:paraId="63A70731">
      <w:pPr>
        <w:pStyle w:val="94"/>
        <w:jc w:val="center"/>
        <w:rPr>
          <w:rFonts w:hint="eastAsia" w:ascii="宋体" w:hAnsi="宋体" w:eastAsia="宋体" w:cs="宋体"/>
          <w:b/>
          <w:color w:val="auto"/>
          <w:sz w:val="52"/>
          <w:szCs w:val="52"/>
          <w:highlight w:val="none"/>
        </w:rPr>
      </w:pPr>
    </w:p>
    <w:p w14:paraId="486E90A4">
      <w:pPr>
        <w:pStyle w:val="94"/>
        <w:jc w:val="center"/>
        <w:rPr>
          <w:rFonts w:hint="eastAsia" w:ascii="宋体" w:hAnsi="宋体" w:eastAsia="宋体" w:cs="宋体"/>
          <w:b/>
          <w:color w:val="auto"/>
          <w:sz w:val="52"/>
          <w:szCs w:val="52"/>
          <w:highlight w:val="none"/>
        </w:rPr>
      </w:pPr>
    </w:p>
    <w:p w14:paraId="413EDF99">
      <w:pPr>
        <w:pStyle w:val="94"/>
        <w:jc w:val="center"/>
        <w:rPr>
          <w:rFonts w:hint="eastAsia" w:ascii="宋体" w:hAnsi="宋体" w:eastAsia="宋体" w:cs="宋体"/>
          <w:b/>
          <w:color w:val="auto"/>
          <w:sz w:val="52"/>
          <w:szCs w:val="52"/>
          <w:highlight w:val="none"/>
        </w:rPr>
      </w:pPr>
    </w:p>
    <w:p w14:paraId="4CED6565">
      <w:pPr>
        <w:pStyle w:val="94"/>
        <w:jc w:val="center"/>
        <w:rPr>
          <w:rFonts w:hint="eastAsia" w:ascii="宋体" w:hAnsi="宋体" w:eastAsia="宋体" w:cs="宋体"/>
          <w:b/>
          <w:color w:val="auto"/>
          <w:sz w:val="52"/>
          <w:szCs w:val="52"/>
          <w:highlight w:val="none"/>
        </w:rPr>
      </w:pPr>
    </w:p>
    <w:p w14:paraId="2D05D7B6">
      <w:pPr>
        <w:pStyle w:val="94"/>
        <w:jc w:val="center"/>
        <w:rPr>
          <w:rFonts w:hint="eastAsia" w:ascii="宋体" w:hAnsi="宋体" w:eastAsia="宋体" w:cs="宋体"/>
          <w:b/>
          <w:color w:val="auto"/>
          <w:sz w:val="52"/>
          <w:szCs w:val="52"/>
          <w:highlight w:val="none"/>
        </w:rPr>
      </w:pPr>
    </w:p>
    <w:p w14:paraId="62F4EAB1">
      <w:pPr>
        <w:pStyle w:val="94"/>
        <w:ind w:left="0" w:leftChars="0" w:firstLine="2107" w:firstLineChars="656"/>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u w:val="single"/>
        </w:rPr>
        <w:t xml:space="preserve">                    </w:t>
      </w:r>
    </w:p>
    <w:p w14:paraId="0ACD55CE">
      <w:pPr>
        <w:pStyle w:val="94"/>
        <w:spacing w:before="312" w:beforeLines="100"/>
        <w:ind w:left="0" w:leftChars="0" w:firstLine="2107" w:firstLineChars="656"/>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u w:val="single"/>
        </w:rPr>
        <w:t xml:space="preserve">                    </w:t>
      </w:r>
    </w:p>
    <w:p w14:paraId="24CD5257">
      <w:pPr>
        <w:pStyle w:val="94"/>
        <w:spacing w:before="312" w:beforeLines="100"/>
        <w:ind w:left="0" w:leftChars="0" w:firstLine="2107" w:firstLineChars="656"/>
        <w:rPr>
          <w:rFonts w:hint="eastAsia" w:ascii="宋体" w:hAnsi="宋体" w:eastAsia="宋体" w:cs="宋体"/>
          <w:b/>
          <w:color w:val="auto"/>
          <w:sz w:val="32"/>
          <w:szCs w:val="32"/>
          <w:highlight w:val="none"/>
          <w:u w:val="single"/>
        </w:rPr>
      </w:pPr>
      <w:r>
        <w:rPr>
          <w:rFonts w:hint="eastAsia" w:ascii="宋体" w:hAnsi="宋体" w:eastAsia="宋体" w:cs="宋体"/>
          <w:b/>
          <w:bCs/>
          <w:color w:val="auto"/>
          <w:kern w:val="0"/>
          <w:sz w:val="32"/>
          <w:szCs w:val="32"/>
          <w:highlight w:val="none"/>
        </w:rPr>
        <w:t>合同编号:</w:t>
      </w:r>
      <w:r>
        <w:rPr>
          <w:rFonts w:hint="eastAsia" w:ascii="宋体" w:hAnsi="宋体" w:eastAsia="宋体" w:cs="宋体"/>
          <w:b/>
          <w:color w:val="auto"/>
          <w:sz w:val="32"/>
          <w:szCs w:val="32"/>
          <w:highlight w:val="none"/>
          <w:u w:val="single"/>
        </w:rPr>
        <w:t xml:space="preserve">                    </w:t>
      </w:r>
    </w:p>
    <w:p w14:paraId="5348DFA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755124D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5889CE0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7B52B68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2B0F00D4">
      <w:pPr>
        <w:spacing w:line="360" w:lineRule="auto"/>
        <w:ind w:firstLine="434" w:firstLineChars="200"/>
        <w:rPr>
          <w:rFonts w:ascii="宋体" w:hAnsi="宋体" w:cs="宋体"/>
          <w:color w:val="auto"/>
          <w:sz w:val="24"/>
        </w:rPr>
      </w:pPr>
      <w:bookmarkStart w:id="14" w:name="OLE_LINK4"/>
      <w:r>
        <w:rPr>
          <w:b/>
          <w:bCs/>
          <w:color w:val="auto"/>
          <w:spacing w:val="3"/>
        </w:rPr>
        <w:br w:type="page"/>
      </w:r>
      <w:bookmarkEnd w:id="14"/>
      <w:r>
        <w:rPr>
          <w:rFonts w:hint="eastAsia" w:ascii="宋体" w:hAnsi="宋体" w:cs="宋体"/>
          <w:color w:val="auto"/>
          <w:sz w:val="24"/>
          <w:lang w:val="zh-CN"/>
        </w:rPr>
        <w:t>年</w:t>
      </w:r>
      <w:r>
        <w:rPr>
          <w:rFonts w:hint="eastAsia" w:ascii="宋体" w:hAnsi="宋体" w:cs="宋体"/>
          <w:color w:val="auto"/>
          <w:sz w:val="24"/>
          <w:lang w:val="en-US" w:eastAsia="zh-CN"/>
        </w:rPr>
        <w:t xml:space="preserve"> </w:t>
      </w:r>
      <w:r>
        <w:rPr>
          <w:rFonts w:hint="eastAsia" w:ascii="宋体" w:hAnsi="宋体" w:cs="宋体"/>
          <w:color w:val="auto"/>
          <w:sz w:val="24"/>
          <w:lang w:val="zh-CN"/>
        </w:rPr>
        <w:t>月</w:t>
      </w:r>
      <w:r>
        <w:rPr>
          <w:rFonts w:hint="eastAsia" w:ascii="宋体" w:hAnsi="宋体" w:cs="宋体"/>
          <w:color w:val="auto"/>
          <w:sz w:val="24"/>
          <w:lang w:val="en-US" w:eastAsia="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（采购人名称）   </w:t>
      </w:r>
      <w:r>
        <w:rPr>
          <w:rFonts w:hint="eastAsia" w:ascii="宋体" w:hAnsi="宋体" w:cs="宋体"/>
          <w:color w:val="auto"/>
          <w:sz w:val="24"/>
        </w:rPr>
        <w:t>以</w:t>
      </w:r>
      <w:r>
        <w:rPr>
          <w:rFonts w:hint="eastAsia" w:ascii="宋体" w:hAnsi="宋体" w:cs="宋体"/>
          <w:color w:val="auto"/>
          <w:sz w:val="24"/>
          <w:u w:val="single"/>
        </w:rPr>
        <w:t xml:space="preserve">   （政府采购方式）  </w:t>
      </w:r>
      <w:r>
        <w:rPr>
          <w:rFonts w:hint="eastAsia" w:ascii="宋体" w:hAnsi="宋体" w:cs="宋体"/>
          <w:color w:val="auto"/>
          <w:sz w:val="24"/>
        </w:rPr>
        <w:t>对</w:t>
      </w:r>
      <w:r>
        <w:rPr>
          <w:rFonts w:hint="eastAsia" w:ascii="宋体" w:hAnsi="宋体" w:cs="宋体"/>
          <w:color w:val="auto"/>
          <w:sz w:val="24"/>
          <w:u w:val="single"/>
        </w:rPr>
        <w:t xml:space="preserve">   （同前页项目名称）   </w:t>
      </w:r>
      <w:r>
        <w:rPr>
          <w:rFonts w:hint="eastAsia" w:ascii="宋体" w:hAnsi="宋体" w:cs="宋体"/>
          <w:color w:val="auto"/>
          <w:sz w:val="24"/>
        </w:rPr>
        <w:t>项目进行了采购。经</w:t>
      </w:r>
      <w:r>
        <w:rPr>
          <w:rFonts w:hint="eastAsia" w:ascii="宋体" w:hAnsi="宋体" w:cs="宋体"/>
          <w:color w:val="auto"/>
          <w:sz w:val="24"/>
          <w:u w:val="single"/>
        </w:rPr>
        <w:t xml:space="preserve">   （相关评定主体名称）   </w:t>
      </w:r>
      <w:r>
        <w:rPr>
          <w:rFonts w:hint="eastAsia" w:ascii="宋体" w:hAnsi="宋体" w:cs="宋体"/>
          <w:color w:val="auto"/>
          <w:sz w:val="24"/>
        </w:rPr>
        <w:t>评定，</w:t>
      </w:r>
      <w:r>
        <w:rPr>
          <w:rFonts w:hint="eastAsia" w:ascii="宋体" w:hAnsi="宋体" w:cs="宋体"/>
          <w:color w:val="auto"/>
          <w:sz w:val="24"/>
          <w:u w:val="single"/>
        </w:rPr>
        <w:t xml:space="preserve">   （中标供应商名称） </w:t>
      </w:r>
      <w:r>
        <w:rPr>
          <w:rFonts w:hint="eastAsia" w:ascii="宋体" w:hAnsi="宋体" w:cs="宋体"/>
          <w:color w:val="auto"/>
          <w:sz w:val="24"/>
        </w:rPr>
        <w:t>为该项目中标供应商。现于成交通知书发出之日起三十日内，按照采购文件确定的事项签订本合同。</w:t>
      </w:r>
    </w:p>
    <w:p w14:paraId="4268EEA7">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根据《中华人民共和国合同法》、《中华人民共和国政府采购法》等相关法律法规之规定，按照平等、自愿、公平和诚实信用的原则，经</w:t>
      </w:r>
      <w:r>
        <w:rPr>
          <w:rFonts w:hint="eastAsia" w:ascii="宋体" w:hAnsi="宋体" w:cs="宋体"/>
          <w:color w:val="auto"/>
          <w:sz w:val="24"/>
          <w:u w:val="single"/>
        </w:rPr>
        <w:t xml:space="preserve">   （采购人名称）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（中标供应商名称）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4D7C8D5E">
      <w:pPr>
        <w:spacing w:line="360" w:lineRule="auto"/>
        <w:ind w:firstLine="482" w:firstLineChars="200"/>
        <w:outlineLvl w:val="0"/>
        <w:rPr>
          <w:rFonts w:ascii="宋体" w:hAnsi="宋体" w:cs="宋体"/>
          <w:color w:val="auto"/>
          <w:sz w:val="24"/>
        </w:rPr>
      </w:pPr>
      <w:bookmarkStart w:id="15" w:name="_Toc19273"/>
      <w:bookmarkStart w:id="16" w:name="_Toc20421"/>
      <w:bookmarkStart w:id="17" w:name="_Toc15367"/>
      <w:bookmarkStart w:id="18" w:name="_Toc20801"/>
      <w:bookmarkStart w:id="19" w:name="_Toc22967"/>
      <w:bookmarkStart w:id="20" w:name="_Toc28855"/>
      <w:bookmarkStart w:id="21" w:name="_Toc20261"/>
      <w:r>
        <w:rPr>
          <w:rFonts w:hint="eastAsia" w:ascii="宋体" w:hAnsi="宋体" w:cs="宋体"/>
          <w:b/>
          <w:color w:val="auto"/>
          <w:sz w:val="24"/>
        </w:rPr>
        <w:t>1.1 合同组成部分</w:t>
      </w:r>
      <w:bookmarkEnd w:id="15"/>
      <w:bookmarkEnd w:id="16"/>
      <w:bookmarkEnd w:id="17"/>
      <w:bookmarkEnd w:id="18"/>
      <w:bookmarkEnd w:id="19"/>
      <w:bookmarkEnd w:id="20"/>
      <w:bookmarkEnd w:id="21"/>
    </w:p>
    <w:p w14:paraId="52521A87">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103357D">
      <w:pPr>
        <w:spacing w:line="360" w:lineRule="auto"/>
        <w:ind w:firstLine="480" w:firstLineChars="200"/>
        <w:rPr>
          <w:rFonts w:ascii="宋体" w:hAnsi="宋体" w:cs="宋体"/>
          <w:color w:val="auto"/>
          <w:sz w:val="24"/>
        </w:rPr>
      </w:pPr>
      <w:r>
        <w:rPr>
          <w:rFonts w:hint="eastAsia" w:ascii="宋体" w:hAnsi="宋体" w:cs="宋体"/>
          <w:color w:val="auto"/>
          <w:sz w:val="24"/>
        </w:rPr>
        <w:t>1.1.1 本合同及其补充合同、变更协议；</w:t>
      </w:r>
    </w:p>
    <w:p w14:paraId="5D72DFB8">
      <w:pPr>
        <w:spacing w:line="360" w:lineRule="auto"/>
        <w:ind w:firstLine="480" w:firstLineChars="200"/>
        <w:rPr>
          <w:rFonts w:ascii="宋体" w:hAnsi="宋体" w:cs="宋体"/>
          <w:color w:val="auto"/>
          <w:sz w:val="24"/>
        </w:rPr>
      </w:pPr>
      <w:r>
        <w:rPr>
          <w:rFonts w:hint="eastAsia" w:ascii="宋体" w:hAnsi="宋体" w:cs="宋体"/>
          <w:color w:val="auto"/>
          <w:sz w:val="24"/>
        </w:rPr>
        <w:t>1.1.2 成交通知书；</w:t>
      </w:r>
    </w:p>
    <w:p w14:paraId="3F4100EA">
      <w:pPr>
        <w:spacing w:line="360" w:lineRule="auto"/>
        <w:ind w:firstLine="480" w:firstLineChars="200"/>
        <w:rPr>
          <w:rFonts w:ascii="宋体" w:hAnsi="宋体" w:cs="宋体"/>
          <w:color w:val="auto"/>
          <w:sz w:val="24"/>
        </w:rPr>
      </w:pPr>
      <w:r>
        <w:rPr>
          <w:rFonts w:hint="eastAsia" w:ascii="宋体" w:hAnsi="宋体" w:cs="宋体"/>
          <w:color w:val="auto"/>
          <w:sz w:val="24"/>
        </w:rPr>
        <w:t>1.1.3 投标文件（含澄清或者说明文件）；</w:t>
      </w:r>
    </w:p>
    <w:p w14:paraId="5EB24F6A">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1.1.4 </w:t>
      </w:r>
      <w:r>
        <w:rPr>
          <w:rFonts w:hint="eastAsia" w:ascii="宋体" w:hAnsi="宋体" w:cs="宋体"/>
          <w:color w:val="auto"/>
          <w:sz w:val="24"/>
          <w:lang w:eastAsia="zh-CN"/>
        </w:rPr>
        <w:t>磋商文件</w:t>
      </w:r>
      <w:r>
        <w:rPr>
          <w:rFonts w:hint="eastAsia" w:ascii="宋体" w:hAnsi="宋体" w:cs="宋体"/>
          <w:color w:val="auto"/>
          <w:sz w:val="24"/>
        </w:rPr>
        <w:t>（含澄清或者修改文件）；</w:t>
      </w:r>
    </w:p>
    <w:p w14:paraId="0430A878">
      <w:pPr>
        <w:spacing w:line="360" w:lineRule="auto"/>
        <w:ind w:firstLine="480" w:firstLineChars="200"/>
        <w:rPr>
          <w:rFonts w:ascii="宋体" w:hAnsi="宋体" w:cs="宋体"/>
          <w:color w:val="auto"/>
          <w:sz w:val="24"/>
        </w:rPr>
      </w:pPr>
      <w:r>
        <w:rPr>
          <w:rFonts w:hint="eastAsia" w:ascii="宋体" w:hAnsi="宋体" w:cs="宋体"/>
          <w:color w:val="auto"/>
          <w:sz w:val="24"/>
        </w:rPr>
        <w:t>1.1.5 其他相关采购文件。</w:t>
      </w:r>
    </w:p>
    <w:p w14:paraId="3BBCF94E">
      <w:pPr>
        <w:spacing w:line="360" w:lineRule="auto"/>
        <w:ind w:firstLine="482" w:firstLineChars="200"/>
        <w:outlineLvl w:val="0"/>
        <w:rPr>
          <w:rFonts w:ascii="宋体" w:hAnsi="宋体" w:cs="宋体"/>
          <w:b/>
          <w:color w:val="auto"/>
          <w:sz w:val="24"/>
        </w:rPr>
      </w:pPr>
      <w:bookmarkStart w:id="22" w:name="_Toc2918"/>
      <w:bookmarkStart w:id="23" w:name="_Toc6311"/>
      <w:bookmarkStart w:id="24" w:name="_Toc17511"/>
      <w:bookmarkStart w:id="25" w:name="_Toc18585"/>
      <w:bookmarkStart w:id="26" w:name="_Toc22185"/>
      <w:bookmarkStart w:id="27" w:name="_Toc6773"/>
      <w:bookmarkStart w:id="28" w:name="_Toc20552"/>
      <w:r>
        <w:rPr>
          <w:rFonts w:hint="eastAsia" w:ascii="宋体" w:hAnsi="宋体" w:cs="宋体"/>
          <w:b/>
          <w:color w:val="auto"/>
          <w:sz w:val="24"/>
        </w:rPr>
        <w:t>1.2 标的</w:t>
      </w:r>
      <w:bookmarkEnd w:id="22"/>
      <w:bookmarkEnd w:id="23"/>
      <w:bookmarkEnd w:id="24"/>
      <w:bookmarkEnd w:id="25"/>
      <w:bookmarkEnd w:id="26"/>
      <w:bookmarkEnd w:id="27"/>
      <w:bookmarkEnd w:id="28"/>
    </w:p>
    <w:p w14:paraId="512ACC67">
      <w:pPr>
        <w:spacing w:line="360" w:lineRule="auto"/>
        <w:ind w:firstLine="480" w:firstLineChars="200"/>
        <w:rPr>
          <w:rFonts w:ascii="宋体" w:hAnsi="宋体" w:cs="宋体"/>
          <w:color w:val="auto"/>
          <w:sz w:val="24"/>
          <w:u w:val="single"/>
        </w:rPr>
      </w:pPr>
      <w:r>
        <w:rPr>
          <w:rFonts w:hint="eastAsia" w:ascii="宋体" w:hAnsi="宋体" w:cs="宋体"/>
          <w:color w:val="auto"/>
          <w:sz w:val="24"/>
        </w:rPr>
        <w:t>1.2.1 标的名称：；</w:t>
      </w:r>
    </w:p>
    <w:p w14:paraId="49293466">
      <w:pPr>
        <w:spacing w:line="360" w:lineRule="auto"/>
        <w:ind w:firstLine="480" w:firstLineChars="200"/>
        <w:rPr>
          <w:rFonts w:ascii="宋体" w:hAnsi="宋体" w:cs="宋体"/>
          <w:color w:val="auto"/>
          <w:sz w:val="24"/>
          <w:u w:val="single"/>
        </w:rPr>
      </w:pPr>
      <w:r>
        <w:rPr>
          <w:rFonts w:hint="eastAsia" w:ascii="宋体" w:hAnsi="宋体" w:cs="宋体"/>
          <w:color w:val="auto"/>
          <w:sz w:val="24"/>
        </w:rPr>
        <w:t>1.2.2 标的数量：；</w:t>
      </w:r>
    </w:p>
    <w:p w14:paraId="19072B46">
      <w:pPr>
        <w:spacing w:line="360" w:lineRule="auto"/>
        <w:ind w:firstLine="480" w:firstLineChars="200"/>
        <w:rPr>
          <w:rFonts w:ascii="宋体" w:hAnsi="宋体" w:cs="宋体"/>
          <w:color w:val="auto"/>
          <w:sz w:val="24"/>
        </w:rPr>
      </w:pPr>
      <w:r>
        <w:rPr>
          <w:rFonts w:hint="eastAsia" w:ascii="宋体" w:hAnsi="宋体" w:cs="宋体"/>
          <w:color w:val="auto"/>
          <w:sz w:val="24"/>
        </w:rPr>
        <w:t>1.2.3 标的质量：</w:t>
      </w:r>
      <w:r>
        <w:rPr>
          <w:rFonts w:hint="eastAsia" w:ascii="宋体" w:hAnsi="宋体" w:cs="宋体"/>
          <w:color w:val="auto"/>
          <w:sz w:val="24"/>
          <w:u w:val="single"/>
        </w:rPr>
        <w:t xml:space="preserve">　　　　　　　　　                      　      </w:t>
      </w:r>
      <w:r>
        <w:rPr>
          <w:rFonts w:hint="eastAsia" w:ascii="宋体" w:hAnsi="宋体" w:cs="宋体"/>
          <w:color w:val="auto"/>
          <w:sz w:val="24"/>
        </w:rPr>
        <w:t>。</w:t>
      </w:r>
    </w:p>
    <w:p w14:paraId="419516A9">
      <w:pPr>
        <w:spacing w:line="360" w:lineRule="auto"/>
        <w:ind w:firstLine="482" w:firstLineChars="200"/>
        <w:outlineLvl w:val="0"/>
        <w:rPr>
          <w:rFonts w:ascii="宋体" w:hAnsi="宋体" w:cs="宋体"/>
          <w:b/>
          <w:color w:val="auto"/>
          <w:sz w:val="24"/>
        </w:rPr>
      </w:pPr>
      <w:bookmarkStart w:id="29" w:name="_Toc22508"/>
      <w:bookmarkStart w:id="30" w:name="_Toc4929"/>
      <w:bookmarkStart w:id="31" w:name="_Toc5635"/>
      <w:bookmarkStart w:id="32" w:name="_Toc1386"/>
      <w:bookmarkStart w:id="33" w:name="_Toc20584"/>
      <w:bookmarkStart w:id="34" w:name="_Toc13918"/>
      <w:bookmarkStart w:id="35" w:name="_Toc21124"/>
      <w:r>
        <w:rPr>
          <w:rFonts w:hint="eastAsia" w:ascii="宋体" w:hAnsi="宋体" w:cs="宋体"/>
          <w:b/>
          <w:color w:val="auto"/>
          <w:sz w:val="24"/>
        </w:rPr>
        <w:t>1.3 价款</w:t>
      </w:r>
      <w:bookmarkEnd w:id="29"/>
      <w:bookmarkEnd w:id="30"/>
      <w:bookmarkEnd w:id="31"/>
      <w:bookmarkEnd w:id="32"/>
      <w:bookmarkEnd w:id="33"/>
      <w:bookmarkEnd w:id="34"/>
      <w:bookmarkEnd w:id="35"/>
    </w:p>
    <w:p w14:paraId="3EA35971">
      <w:pPr>
        <w:spacing w:line="360" w:lineRule="auto"/>
        <w:ind w:firstLine="480" w:firstLineChars="200"/>
        <w:rPr>
          <w:rFonts w:ascii="宋体" w:hAnsi="宋体" w:cs="宋体"/>
          <w:color w:val="auto"/>
          <w:sz w:val="24"/>
        </w:rPr>
      </w:pPr>
      <w:r>
        <w:rPr>
          <w:rFonts w:hint="eastAsia" w:ascii="宋体" w:hAnsi="宋体" w:cs="宋体"/>
          <w:color w:val="auto"/>
          <w:sz w:val="24"/>
        </w:rPr>
        <w:t>本合同总价为：￥元（大写：元人民币）。</w:t>
      </w:r>
    </w:p>
    <w:p w14:paraId="56014C0D">
      <w:pPr>
        <w:spacing w:line="360" w:lineRule="auto"/>
        <w:ind w:firstLine="480" w:firstLineChars="200"/>
        <w:rPr>
          <w:rFonts w:ascii="宋体" w:hAnsi="宋体" w:cs="宋体"/>
          <w:color w:val="auto"/>
          <w:sz w:val="24"/>
          <w:u w:val="single"/>
        </w:rPr>
      </w:pPr>
      <w:r>
        <w:rPr>
          <w:rFonts w:hint="eastAsia" w:ascii="宋体" w:hAnsi="宋体" w:cs="宋体"/>
          <w:color w:val="auto"/>
          <w:sz w:val="24"/>
        </w:rPr>
        <w:t>分项价格：</w:t>
      </w:r>
    </w:p>
    <w:tbl>
      <w:tblPr>
        <w:tblStyle w:val="33"/>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3746"/>
        <w:gridCol w:w="2810"/>
      </w:tblGrid>
      <w:tr w14:paraId="2363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2" w:type="dxa"/>
            <w:noWrap w:val="0"/>
            <w:vAlign w:val="center"/>
          </w:tcPr>
          <w:p w14:paraId="41F6CAD1">
            <w:pPr>
              <w:pStyle w:val="102"/>
              <w:keepNext w:val="0"/>
              <w:keepLines w:val="0"/>
              <w:suppressLineNumbers w:val="0"/>
              <w:spacing w:before="0" w:beforeAutospacing="0" w:after="0" w:afterAutospacing="0" w:line="560" w:lineRule="exact"/>
              <w:ind w:left="0" w:right="0"/>
              <w:jc w:val="center"/>
              <w:rPr>
                <w:rFonts w:hint="default" w:hAnsi="宋体" w:cs="宋体"/>
                <w:color w:val="auto"/>
                <w:sz w:val="24"/>
                <w:szCs w:val="24"/>
              </w:rPr>
            </w:pPr>
            <w:r>
              <w:rPr>
                <w:rFonts w:hint="eastAsia" w:hAnsi="宋体" w:cs="宋体"/>
                <w:color w:val="auto"/>
                <w:sz w:val="24"/>
                <w:szCs w:val="24"/>
              </w:rPr>
              <w:t>序号</w:t>
            </w:r>
          </w:p>
        </w:tc>
        <w:tc>
          <w:tcPr>
            <w:tcW w:w="3746" w:type="dxa"/>
            <w:noWrap w:val="0"/>
            <w:vAlign w:val="center"/>
          </w:tcPr>
          <w:p w14:paraId="4FE2BD16">
            <w:pPr>
              <w:pStyle w:val="102"/>
              <w:keepNext w:val="0"/>
              <w:keepLines w:val="0"/>
              <w:suppressLineNumbers w:val="0"/>
              <w:spacing w:before="0" w:beforeAutospacing="0" w:after="0" w:afterAutospacing="0" w:line="560" w:lineRule="exact"/>
              <w:ind w:left="0" w:right="0" w:firstLine="200"/>
              <w:jc w:val="center"/>
              <w:rPr>
                <w:rFonts w:hint="default" w:hAnsi="宋体" w:cs="宋体"/>
                <w:color w:val="auto"/>
                <w:sz w:val="24"/>
                <w:szCs w:val="24"/>
              </w:rPr>
            </w:pPr>
            <w:r>
              <w:rPr>
                <w:rFonts w:hint="eastAsia" w:hAnsi="宋体" w:cs="宋体"/>
                <w:color w:val="auto"/>
                <w:sz w:val="24"/>
                <w:szCs w:val="24"/>
              </w:rPr>
              <w:t>分项名称</w:t>
            </w:r>
          </w:p>
        </w:tc>
        <w:tc>
          <w:tcPr>
            <w:tcW w:w="2810" w:type="dxa"/>
            <w:noWrap w:val="0"/>
            <w:vAlign w:val="center"/>
          </w:tcPr>
          <w:p w14:paraId="7C4895A3">
            <w:pPr>
              <w:pStyle w:val="102"/>
              <w:keepNext w:val="0"/>
              <w:keepLines w:val="0"/>
              <w:suppressLineNumbers w:val="0"/>
              <w:spacing w:before="0" w:beforeAutospacing="0" w:after="0" w:afterAutospacing="0" w:line="560" w:lineRule="exact"/>
              <w:ind w:left="0" w:right="0"/>
              <w:jc w:val="center"/>
              <w:rPr>
                <w:rFonts w:hint="default" w:hAnsi="宋体" w:cs="宋体"/>
                <w:color w:val="auto"/>
                <w:sz w:val="24"/>
                <w:szCs w:val="24"/>
              </w:rPr>
            </w:pPr>
            <w:r>
              <w:rPr>
                <w:rFonts w:hint="eastAsia" w:hAnsi="宋体" w:cs="宋体"/>
                <w:color w:val="auto"/>
                <w:sz w:val="24"/>
                <w:szCs w:val="24"/>
              </w:rPr>
              <w:t>分项价格</w:t>
            </w:r>
          </w:p>
        </w:tc>
      </w:tr>
      <w:tr w14:paraId="35A5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2" w:type="dxa"/>
            <w:noWrap w:val="0"/>
            <w:vAlign w:val="center"/>
          </w:tcPr>
          <w:p w14:paraId="36486282">
            <w:pPr>
              <w:pStyle w:val="102"/>
              <w:keepNext w:val="0"/>
              <w:keepLines w:val="0"/>
              <w:suppressLineNumbers w:val="0"/>
              <w:spacing w:before="0" w:beforeAutospacing="0" w:after="0" w:afterAutospacing="0" w:line="560" w:lineRule="exact"/>
              <w:ind w:left="0" w:right="0" w:firstLine="200"/>
              <w:jc w:val="center"/>
              <w:rPr>
                <w:rFonts w:hint="default" w:hAnsi="宋体" w:cs="宋体"/>
                <w:color w:val="auto"/>
                <w:sz w:val="24"/>
                <w:szCs w:val="24"/>
              </w:rPr>
            </w:pPr>
          </w:p>
        </w:tc>
        <w:tc>
          <w:tcPr>
            <w:tcW w:w="3746" w:type="dxa"/>
            <w:noWrap w:val="0"/>
            <w:vAlign w:val="center"/>
          </w:tcPr>
          <w:p w14:paraId="7E8F0F8A">
            <w:pPr>
              <w:pStyle w:val="102"/>
              <w:keepNext w:val="0"/>
              <w:keepLines w:val="0"/>
              <w:suppressLineNumbers w:val="0"/>
              <w:spacing w:before="0" w:beforeAutospacing="0" w:after="0" w:afterAutospacing="0" w:line="560" w:lineRule="exact"/>
              <w:ind w:left="0" w:right="0" w:firstLine="200"/>
              <w:jc w:val="center"/>
              <w:rPr>
                <w:rFonts w:hint="default" w:hAnsi="宋体" w:cs="宋体"/>
                <w:color w:val="auto"/>
                <w:sz w:val="24"/>
                <w:szCs w:val="24"/>
              </w:rPr>
            </w:pPr>
          </w:p>
        </w:tc>
        <w:tc>
          <w:tcPr>
            <w:tcW w:w="2810" w:type="dxa"/>
            <w:noWrap w:val="0"/>
            <w:vAlign w:val="center"/>
          </w:tcPr>
          <w:p w14:paraId="1AE98D27">
            <w:pPr>
              <w:pStyle w:val="102"/>
              <w:keepNext w:val="0"/>
              <w:keepLines w:val="0"/>
              <w:suppressLineNumbers w:val="0"/>
              <w:spacing w:before="0" w:beforeAutospacing="0" w:after="0" w:afterAutospacing="0" w:line="560" w:lineRule="exact"/>
              <w:ind w:left="0" w:right="0" w:firstLine="200"/>
              <w:jc w:val="center"/>
              <w:rPr>
                <w:rFonts w:hint="default" w:hAnsi="宋体" w:cs="宋体"/>
                <w:color w:val="auto"/>
                <w:sz w:val="24"/>
                <w:szCs w:val="24"/>
              </w:rPr>
            </w:pPr>
          </w:p>
        </w:tc>
      </w:tr>
      <w:tr w14:paraId="601E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2" w:type="dxa"/>
            <w:noWrap w:val="0"/>
            <w:vAlign w:val="center"/>
          </w:tcPr>
          <w:p w14:paraId="1DB48B49">
            <w:pPr>
              <w:pStyle w:val="102"/>
              <w:keepNext w:val="0"/>
              <w:keepLines w:val="0"/>
              <w:suppressLineNumbers w:val="0"/>
              <w:spacing w:before="0" w:beforeAutospacing="0" w:after="0" w:afterAutospacing="0" w:line="560" w:lineRule="exact"/>
              <w:ind w:left="0" w:right="0" w:firstLine="200"/>
              <w:jc w:val="center"/>
              <w:rPr>
                <w:rFonts w:hint="default" w:hAnsi="宋体" w:cs="宋体"/>
                <w:color w:val="auto"/>
                <w:sz w:val="24"/>
                <w:szCs w:val="24"/>
              </w:rPr>
            </w:pPr>
          </w:p>
        </w:tc>
        <w:tc>
          <w:tcPr>
            <w:tcW w:w="3746" w:type="dxa"/>
            <w:noWrap w:val="0"/>
            <w:vAlign w:val="center"/>
          </w:tcPr>
          <w:p w14:paraId="65F3B458">
            <w:pPr>
              <w:pStyle w:val="102"/>
              <w:keepNext w:val="0"/>
              <w:keepLines w:val="0"/>
              <w:suppressLineNumbers w:val="0"/>
              <w:spacing w:before="0" w:beforeAutospacing="0" w:after="0" w:afterAutospacing="0" w:line="560" w:lineRule="exact"/>
              <w:ind w:left="0" w:right="0" w:firstLine="200"/>
              <w:jc w:val="center"/>
              <w:rPr>
                <w:rFonts w:hint="default" w:hAnsi="宋体" w:cs="宋体"/>
                <w:color w:val="auto"/>
                <w:sz w:val="24"/>
                <w:szCs w:val="24"/>
              </w:rPr>
            </w:pPr>
          </w:p>
        </w:tc>
        <w:tc>
          <w:tcPr>
            <w:tcW w:w="2810" w:type="dxa"/>
            <w:noWrap w:val="0"/>
            <w:vAlign w:val="center"/>
          </w:tcPr>
          <w:p w14:paraId="109665F5">
            <w:pPr>
              <w:pStyle w:val="102"/>
              <w:keepNext w:val="0"/>
              <w:keepLines w:val="0"/>
              <w:suppressLineNumbers w:val="0"/>
              <w:spacing w:before="0" w:beforeAutospacing="0" w:after="0" w:afterAutospacing="0" w:line="560" w:lineRule="exact"/>
              <w:ind w:left="0" w:right="0" w:firstLine="200"/>
              <w:jc w:val="center"/>
              <w:rPr>
                <w:rFonts w:hint="default" w:hAnsi="宋体" w:cs="宋体"/>
                <w:color w:val="auto"/>
                <w:sz w:val="24"/>
                <w:szCs w:val="24"/>
              </w:rPr>
            </w:pPr>
          </w:p>
        </w:tc>
      </w:tr>
      <w:tr w14:paraId="20C7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068" w:type="dxa"/>
            <w:gridSpan w:val="2"/>
            <w:noWrap w:val="0"/>
            <w:vAlign w:val="center"/>
          </w:tcPr>
          <w:p w14:paraId="0156FBB9">
            <w:pPr>
              <w:pStyle w:val="102"/>
              <w:keepNext w:val="0"/>
              <w:keepLines w:val="0"/>
              <w:suppressLineNumbers w:val="0"/>
              <w:spacing w:before="0" w:beforeAutospacing="0" w:after="0" w:afterAutospacing="0" w:line="560" w:lineRule="exact"/>
              <w:ind w:left="0" w:right="0" w:firstLine="200"/>
              <w:jc w:val="center"/>
              <w:rPr>
                <w:rFonts w:hint="default" w:hAnsi="宋体" w:cs="宋体"/>
                <w:color w:val="auto"/>
                <w:sz w:val="24"/>
                <w:szCs w:val="24"/>
              </w:rPr>
            </w:pPr>
            <w:r>
              <w:rPr>
                <w:rFonts w:hint="eastAsia" w:hAnsi="宋体" w:cs="宋体"/>
                <w:color w:val="auto"/>
                <w:sz w:val="24"/>
                <w:szCs w:val="24"/>
              </w:rPr>
              <w:t>总价</w:t>
            </w:r>
          </w:p>
        </w:tc>
        <w:tc>
          <w:tcPr>
            <w:tcW w:w="2810" w:type="dxa"/>
            <w:noWrap w:val="0"/>
            <w:vAlign w:val="center"/>
          </w:tcPr>
          <w:p w14:paraId="1BA13654">
            <w:pPr>
              <w:pStyle w:val="102"/>
              <w:keepNext w:val="0"/>
              <w:keepLines w:val="0"/>
              <w:suppressLineNumbers w:val="0"/>
              <w:spacing w:before="0" w:beforeAutospacing="0" w:after="0" w:afterAutospacing="0" w:line="560" w:lineRule="exact"/>
              <w:ind w:left="0" w:right="0" w:firstLine="200"/>
              <w:jc w:val="center"/>
              <w:rPr>
                <w:rFonts w:hint="default" w:hAnsi="宋体" w:cs="宋体"/>
                <w:color w:val="auto"/>
                <w:sz w:val="24"/>
                <w:szCs w:val="24"/>
              </w:rPr>
            </w:pPr>
          </w:p>
        </w:tc>
      </w:tr>
    </w:tbl>
    <w:p w14:paraId="778E533F">
      <w:pPr>
        <w:spacing w:line="360" w:lineRule="auto"/>
        <w:ind w:firstLine="482" w:firstLineChars="200"/>
        <w:outlineLvl w:val="0"/>
        <w:rPr>
          <w:rFonts w:hint="eastAsia" w:ascii="宋体" w:hAnsi="宋体" w:cs="宋体"/>
          <w:b/>
          <w:color w:val="auto"/>
          <w:sz w:val="24"/>
        </w:rPr>
      </w:pPr>
      <w:bookmarkStart w:id="36" w:name="_Toc14993"/>
      <w:bookmarkStart w:id="37" w:name="_Toc2333"/>
      <w:bookmarkStart w:id="38" w:name="_Toc26916"/>
      <w:bookmarkStart w:id="39" w:name="_Toc30506"/>
      <w:bookmarkStart w:id="40" w:name="_Toc16172"/>
      <w:bookmarkStart w:id="41" w:name="_Toc3654"/>
    </w:p>
    <w:p w14:paraId="2FB64444">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1.4 付款方式和发票开具方式</w:t>
      </w:r>
      <w:bookmarkEnd w:id="36"/>
      <w:bookmarkEnd w:id="37"/>
      <w:bookmarkEnd w:id="38"/>
      <w:bookmarkEnd w:id="39"/>
      <w:bookmarkEnd w:id="40"/>
      <w:bookmarkEnd w:id="41"/>
    </w:p>
    <w:p w14:paraId="6F03C40E">
      <w:pPr>
        <w:spacing w:line="360" w:lineRule="auto"/>
        <w:ind w:firstLine="480" w:firstLineChars="200"/>
        <w:rPr>
          <w:rFonts w:ascii="宋体" w:hAnsi="宋体" w:cs="宋体"/>
          <w:color w:val="auto"/>
          <w:sz w:val="24"/>
        </w:rPr>
      </w:pPr>
      <w:r>
        <w:rPr>
          <w:rFonts w:hint="eastAsia" w:ascii="宋体" w:hAnsi="宋体" w:cs="宋体"/>
          <w:color w:val="auto"/>
          <w:sz w:val="24"/>
        </w:rPr>
        <w:t>1.4.1付款方式：；</w:t>
      </w:r>
    </w:p>
    <w:p w14:paraId="75BA9AFD">
      <w:pPr>
        <w:spacing w:line="360" w:lineRule="auto"/>
        <w:ind w:firstLine="480" w:firstLineChars="200"/>
        <w:rPr>
          <w:rFonts w:ascii="宋体" w:hAnsi="宋体" w:cs="宋体"/>
          <w:color w:val="auto"/>
          <w:sz w:val="24"/>
        </w:rPr>
      </w:pPr>
      <w:r>
        <w:rPr>
          <w:rFonts w:hint="eastAsia" w:ascii="宋体" w:hAnsi="宋体" w:cs="宋体"/>
          <w:color w:val="auto"/>
          <w:sz w:val="24"/>
        </w:rPr>
        <w:t>1.4.2 发票开具方式：。</w:t>
      </w:r>
    </w:p>
    <w:p w14:paraId="5894261A">
      <w:pPr>
        <w:spacing w:line="360" w:lineRule="auto"/>
        <w:ind w:firstLine="482" w:firstLineChars="200"/>
        <w:outlineLvl w:val="0"/>
        <w:rPr>
          <w:rFonts w:ascii="宋体" w:hAnsi="宋体" w:cs="宋体"/>
          <w:b/>
          <w:color w:val="auto"/>
          <w:sz w:val="24"/>
        </w:rPr>
      </w:pPr>
      <w:bookmarkStart w:id="42" w:name="_Toc3625"/>
      <w:bookmarkStart w:id="43" w:name="_Toc31421"/>
      <w:bookmarkStart w:id="44" w:name="_Toc8772"/>
      <w:bookmarkStart w:id="45" w:name="_Toc11108"/>
      <w:bookmarkStart w:id="46" w:name="_Toc28912"/>
      <w:bookmarkStart w:id="47" w:name="_Toc4760"/>
      <w:bookmarkStart w:id="48" w:name="_Toc25014"/>
      <w:r>
        <w:rPr>
          <w:rFonts w:hint="eastAsia" w:ascii="宋体" w:hAnsi="宋体" w:cs="宋体"/>
          <w:b/>
          <w:color w:val="auto"/>
          <w:sz w:val="24"/>
        </w:rPr>
        <w:t>1.5 履行期限、地点和方式</w:t>
      </w:r>
      <w:bookmarkEnd w:id="42"/>
      <w:bookmarkEnd w:id="43"/>
      <w:bookmarkEnd w:id="44"/>
      <w:bookmarkEnd w:id="45"/>
      <w:bookmarkEnd w:id="46"/>
      <w:bookmarkEnd w:id="47"/>
      <w:bookmarkEnd w:id="48"/>
    </w:p>
    <w:p w14:paraId="50B2D474">
      <w:pPr>
        <w:spacing w:line="360" w:lineRule="auto"/>
        <w:ind w:firstLine="480" w:firstLineChars="200"/>
        <w:rPr>
          <w:rFonts w:ascii="宋体" w:hAnsi="宋体" w:cs="宋体"/>
          <w:color w:val="auto"/>
          <w:sz w:val="24"/>
          <w:u w:val="single"/>
        </w:rPr>
      </w:pPr>
      <w:r>
        <w:rPr>
          <w:rFonts w:hint="eastAsia" w:ascii="宋体" w:hAnsi="宋体" w:cs="宋体"/>
          <w:color w:val="auto"/>
          <w:sz w:val="24"/>
        </w:rPr>
        <w:t>1.5.1 履行期限：；</w:t>
      </w:r>
    </w:p>
    <w:p w14:paraId="65320760">
      <w:pPr>
        <w:spacing w:line="360" w:lineRule="auto"/>
        <w:ind w:firstLine="480" w:firstLineChars="200"/>
        <w:rPr>
          <w:rFonts w:ascii="宋体" w:hAnsi="宋体" w:cs="宋体"/>
          <w:color w:val="auto"/>
          <w:sz w:val="24"/>
        </w:rPr>
      </w:pPr>
      <w:r>
        <w:rPr>
          <w:rFonts w:hint="eastAsia" w:ascii="宋体" w:hAnsi="宋体" w:cs="宋体"/>
          <w:color w:val="auto"/>
          <w:sz w:val="24"/>
        </w:rPr>
        <w:t>1.5.2 履行地点：；</w:t>
      </w:r>
    </w:p>
    <w:p w14:paraId="23A727DB">
      <w:pPr>
        <w:spacing w:line="360" w:lineRule="auto"/>
        <w:ind w:firstLine="480" w:firstLineChars="200"/>
        <w:rPr>
          <w:rFonts w:ascii="宋体" w:hAnsi="宋体" w:cs="宋体"/>
          <w:color w:val="auto"/>
          <w:sz w:val="24"/>
        </w:rPr>
      </w:pPr>
      <w:r>
        <w:rPr>
          <w:rFonts w:hint="eastAsia" w:ascii="宋体" w:hAnsi="宋体" w:cs="宋体"/>
          <w:color w:val="auto"/>
          <w:sz w:val="24"/>
        </w:rPr>
        <w:t>1.5.3 履行方式：</w:t>
      </w:r>
      <w:r>
        <w:rPr>
          <w:rFonts w:hint="eastAsia" w:ascii="宋体" w:hAnsi="宋体" w:cs="宋体"/>
          <w:color w:val="auto"/>
          <w:sz w:val="24"/>
          <w:u w:val="single"/>
        </w:rPr>
        <w:t xml:space="preserve">　　　　　　　　　                      　      </w:t>
      </w:r>
      <w:r>
        <w:rPr>
          <w:rFonts w:hint="eastAsia" w:ascii="宋体" w:hAnsi="宋体" w:cs="宋体"/>
          <w:color w:val="auto"/>
          <w:sz w:val="24"/>
        </w:rPr>
        <w:t>。</w:t>
      </w:r>
    </w:p>
    <w:p w14:paraId="547843B1">
      <w:pPr>
        <w:spacing w:line="360" w:lineRule="auto"/>
        <w:ind w:firstLine="482" w:firstLineChars="200"/>
        <w:outlineLvl w:val="0"/>
        <w:rPr>
          <w:rFonts w:ascii="宋体" w:hAnsi="宋体" w:cs="宋体"/>
          <w:color w:val="auto"/>
          <w:sz w:val="24"/>
          <w:u w:val="single"/>
        </w:rPr>
      </w:pPr>
      <w:bookmarkStart w:id="49" w:name="_Toc2375"/>
      <w:bookmarkStart w:id="50" w:name="_Toc5698"/>
      <w:bookmarkStart w:id="51" w:name="_Toc32326"/>
      <w:bookmarkStart w:id="52" w:name="_Toc1523"/>
      <w:bookmarkStart w:id="53" w:name="_Toc24662"/>
      <w:bookmarkStart w:id="54" w:name="_Toc3079"/>
      <w:bookmarkStart w:id="55" w:name="_Toc8586"/>
      <w:r>
        <w:rPr>
          <w:rFonts w:hint="eastAsia" w:ascii="宋体" w:hAnsi="宋体" w:cs="宋体"/>
          <w:b/>
          <w:color w:val="auto"/>
          <w:sz w:val="24"/>
        </w:rPr>
        <w:t>1.6 违约责任</w:t>
      </w:r>
      <w:bookmarkEnd w:id="49"/>
      <w:bookmarkEnd w:id="50"/>
      <w:bookmarkEnd w:id="51"/>
      <w:bookmarkEnd w:id="52"/>
      <w:bookmarkEnd w:id="53"/>
      <w:bookmarkEnd w:id="54"/>
      <w:bookmarkEnd w:id="55"/>
    </w:p>
    <w:p w14:paraId="710C23DA">
      <w:pPr>
        <w:spacing w:line="360" w:lineRule="auto"/>
        <w:ind w:firstLine="480" w:firstLineChars="200"/>
        <w:rPr>
          <w:rFonts w:ascii="宋体" w:hAnsi="宋体" w:cs="宋体"/>
          <w:color w:val="auto"/>
          <w:sz w:val="24"/>
        </w:rPr>
      </w:pPr>
      <w:r>
        <w:rPr>
          <w:rFonts w:hint="eastAsia" w:ascii="宋体" w:hAnsi="宋体" w:cs="宋体"/>
          <w:color w:val="auto"/>
          <w:sz w:val="24"/>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23A25966">
      <w:pPr>
        <w:spacing w:line="360" w:lineRule="auto"/>
        <w:ind w:firstLine="480" w:firstLineChars="200"/>
        <w:rPr>
          <w:rFonts w:ascii="宋体" w:hAnsi="宋体" w:cs="宋体"/>
          <w:color w:val="auto"/>
          <w:sz w:val="24"/>
        </w:rPr>
      </w:pPr>
      <w:r>
        <w:rPr>
          <w:rFonts w:hint="eastAsia" w:ascii="宋体" w:hAnsi="宋体" w:cs="宋体"/>
          <w:color w:val="auto"/>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26A48988">
      <w:pPr>
        <w:spacing w:line="360" w:lineRule="auto"/>
        <w:ind w:firstLine="480" w:firstLineChars="200"/>
        <w:rPr>
          <w:rFonts w:ascii="宋体" w:hAnsi="宋体" w:cs="宋体"/>
          <w:color w:val="auto"/>
          <w:sz w:val="24"/>
        </w:rPr>
      </w:pPr>
      <w:r>
        <w:rPr>
          <w:rFonts w:hint="eastAsia" w:ascii="宋体" w:hAnsi="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AA9E8F1">
      <w:pPr>
        <w:spacing w:line="360" w:lineRule="auto"/>
        <w:ind w:firstLine="480" w:firstLineChars="200"/>
        <w:rPr>
          <w:rFonts w:ascii="宋体" w:hAnsi="宋体" w:cs="宋体"/>
          <w:color w:val="auto"/>
          <w:sz w:val="24"/>
        </w:rPr>
      </w:pPr>
      <w:r>
        <w:rPr>
          <w:rFonts w:hint="eastAsia" w:ascii="宋体" w:hAnsi="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8C7503F">
      <w:pPr>
        <w:spacing w:line="360" w:lineRule="auto"/>
        <w:ind w:firstLine="480" w:firstLineChars="200"/>
        <w:rPr>
          <w:rFonts w:ascii="宋体" w:hAnsi="宋体" w:cs="宋体"/>
          <w:color w:val="auto"/>
          <w:sz w:val="24"/>
        </w:rPr>
      </w:pPr>
      <w:r>
        <w:rPr>
          <w:rFonts w:hint="eastAsia" w:ascii="宋体" w:hAnsi="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3F1ED06">
      <w:pPr>
        <w:spacing w:line="360" w:lineRule="auto"/>
        <w:ind w:firstLine="480" w:firstLineChars="200"/>
        <w:rPr>
          <w:rFonts w:ascii="宋体" w:hAnsi="宋体" w:cs="宋体"/>
          <w:color w:val="auto"/>
          <w:sz w:val="24"/>
        </w:rPr>
      </w:pPr>
      <w:r>
        <w:rPr>
          <w:rFonts w:hint="eastAsia" w:ascii="宋体" w:hAnsi="宋体" w:cs="宋体"/>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14:paraId="3C01A7B2">
      <w:pPr>
        <w:spacing w:line="360" w:lineRule="auto"/>
        <w:ind w:firstLine="482" w:firstLineChars="200"/>
        <w:outlineLvl w:val="0"/>
        <w:rPr>
          <w:rFonts w:ascii="宋体" w:hAnsi="宋体" w:cs="宋体"/>
          <w:b/>
          <w:color w:val="auto"/>
          <w:sz w:val="24"/>
        </w:rPr>
      </w:pPr>
      <w:bookmarkStart w:id="56" w:name="_Toc26807"/>
      <w:bookmarkStart w:id="57" w:name="_Toc18683"/>
      <w:bookmarkStart w:id="58" w:name="_Toc32454"/>
      <w:bookmarkStart w:id="59" w:name="_Toc9497"/>
      <w:bookmarkStart w:id="60" w:name="_Toc8910"/>
      <w:bookmarkStart w:id="61" w:name="_Toc11411"/>
      <w:bookmarkStart w:id="62" w:name="_Toc30329"/>
      <w:r>
        <w:rPr>
          <w:rFonts w:hint="eastAsia" w:ascii="宋体" w:hAnsi="宋体" w:cs="宋体"/>
          <w:b/>
          <w:color w:val="auto"/>
          <w:sz w:val="24"/>
        </w:rPr>
        <w:t>1.7 合同争议的解决</w:t>
      </w:r>
      <w:bookmarkEnd w:id="56"/>
      <w:bookmarkEnd w:id="57"/>
      <w:bookmarkEnd w:id="58"/>
      <w:bookmarkEnd w:id="59"/>
      <w:bookmarkEnd w:id="60"/>
      <w:bookmarkEnd w:id="61"/>
      <w:bookmarkEnd w:id="62"/>
    </w:p>
    <w:p w14:paraId="3167123E">
      <w:pPr>
        <w:spacing w:line="360" w:lineRule="auto"/>
        <w:ind w:firstLine="480" w:firstLineChars="200"/>
        <w:rPr>
          <w:rFonts w:ascii="宋体" w:hAnsi="宋体" w:cs="宋体"/>
          <w:color w:val="auto"/>
          <w:sz w:val="24"/>
        </w:rPr>
      </w:pPr>
      <w:r>
        <w:rPr>
          <w:rFonts w:hint="eastAsia" w:ascii="宋体" w:hAnsi="宋体" w:cs="宋体"/>
          <w:color w:val="auto"/>
          <w:sz w:val="24"/>
        </w:rPr>
        <w:t>本合同履行过程中发生的任何争议，双方当事人均可通过和解或者调解解决；不愿和解、调解或者和解、调解不成的，可以选择下列第种方式解决：</w:t>
      </w:r>
    </w:p>
    <w:p w14:paraId="1B46A7BC">
      <w:pPr>
        <w:spacing w:line="360" w:lineRule="auto"/>
        <w:ind w:firstLine="480" w:firstLineChars="200"/>
        <w:rPr>
          <w:rFonts w:ascii="宋体" w:hAnsi="宋体" w:cs="宋体"/>
          <w:color w:val="auto"/>
          <w:sz w:val="24"/>
        </w:rPr>
      </w:pPr>
      <w:r>
        <w:rPr>
          <w:rFonts w:hint="eastAsia" w:ascii="宋体" w:hAnsi="宋体" w:cs="宋体"/>
          <w:color w:val="auto"/>
          <w:sz w:val="24"/>
        </w:rPr>
        <w:t>1.7.1 将争议提交仲裁委员会依申请仲裁时其现行有效的仲裁规则裁决；</w:t>
      </w:r>
    </w:p>
    <w:p w14:paraId="1DAEF5AD">
      <w:pPr>
        <w:spacing w:line="360" w:lineRule="auto"/>
        <w:ind w:firstLine="480" w:firstLineChars="200"/>
        <w:rPr>
          <w:rFonts w:ascii="宋体" w:hAnsi="宋体" w:cs="宋体"/>
          <w:color w:val="auto"/>
          <w:sz w:val="24"/>
        </w:rPr>
      </w:pPr>
      <w:r>
        <w:rPr>
          <w:rFonts w:hint="eastAsia" w:ascii="宋体" w:hAnsi="宋体" w:cs="宋体"/>
          <w:color w:val="auto"/>
          <w:sz w:val="24"/>
        </w:rPr>
        <w:t>1.7.2 向</w:t>
      </w:r>
      <w:r>
        <w:rPr>
          <w:rFonts w:hint="eastAsia" w:ascii="宋体" w:hAnsi="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cs="宋体"/>
          <w:color w:val="auto"/>
          <w:sz w:val="24"/>
        </w:rPr>
        <w:t>人民法院起诉。</w:t>
      </w:r>
    </w:p>
    <w:p w14:paraId="4F46B58D">
      <w:pPr>
        <w:spacing w:line="360" w:lineRule="auto"/>
        <w:ind w:firstLine="482" w:firstLineChars="200"/>
        <w:outlineLvl w:val="0"/>
        <w:rPr>
          <w:rFonts w:ascii="宋体" w:hAnsi="宋体" w:cs="宋体"/>
          <w:b/>
          <w:color w:val="auto"/>
          <w:sz w:val="24"/>
        </w:rPr>
      </w:pPr>
      <w:bookmarkStart w:id="63" w:name="_Toc12273"/>
      <w:bookmarkStart w:id="64" w:name="_Toc26208"/>
      <w:bookmarkStart w:id="65" w:name="_Toc29261"/>
      <w:bookmarkStart w:id="66" w:name="_Toc15827"/>
      <w:bookmarkStart w:id="67" w:name="_Toc23784"/>
      <w:bookmarkStart w:id="68" w:name="_Toc16417"/>
      <w:bookmarkStart w:id="69" w:name="_Toc26227"/>
      <w:r>
        <w:rPr>
          <w:rFonts w:hint="eastAsia" w:ascii="宋体" w:hAnsi="宋体" w:cs="宋体"/>
          <w:b/>
          <w:color w:val="auto"/>
          <w:sz w:val="24"/>
        </w:rPr>
        <w:t>1.8 合同生效</w:t>
      </w:r>
      <w:bookmarkEnd w:id="63"/>
      <w:bookmarkEnd w:id="64"/>
      <w:bookmarkEnd w:id="65"/>
      <w:bookmarkEnd w:id="66"/>
      <w:bookmarkEnd w:id="67"/>
      <w:bookmarkEnd w:id="68"/>
      <w:bookmarkEnd w:id="69"/>
    </w:p>
    <w:p w14:paraId="21D638B0">
      <w:pPr>
        <w:spacing w:line="360" w:lineRule="auto"/>
        <w:ind w:firstLine="480" w:firstLineChars="200"/>
        <w:rPr>
          <w:rFonts w:ascii="宋体" w:hAnsi="宋体" w:cs="宋体"/>
          <w:b/>
          <w:color w:val="auto"/>
          <w:sz w:val="24"/>
        </w:rPr>
      </w:pPr>
      <w:r>
        <w:rPr>
          <w:rFonts w:hint="eastAsia" w:ascii="宋体" w:hAnsi="宋体" w:cs="宋体"/>
          <w:color w:val="auto"/>
          <w:sz w:val="24"/>
        </w:rPr>
        <w:t>本合同自双方当事人盖章或者签字时生效。</w:t>
      </w:r>
    </w:p>
    <w:p w14:paraId="01375D0F">
      <w:pPr>
        <w:autoSpaceDE w:val="0"/>
        <w:autoSpaceDN w:val="0"/>
        <w:adjustRightInd w:val="0"/>
        <w:spacing w:line="360" w:lineRule="auto"/>
        <w:rPr>
          <w:rFonts w:ascii="宋体" w:hAnsi="宋体" w:cs="宋体"/>
          <w:color w:val="auto"/>
          <w:sz w:val="24"/>
          <w:lang w:val="zh-CN"/>
        </w:rPr>
      </w:pPr>
      <w:r>
        <w:rPr>
          <w:rFonts w:hint="eastAsia" w:ascii="宋体" w:hAnsi="宋体" w:cs="宋体"/>
          <w:b/>
          <w:color w:val="auto"/>
          <w:sz w:val="24"/>
          <w:lang w:val="zh-CN"/>
        </w:rPr>
        <w:t>甲方</w:t>
      </w:r>
      <w:r>
        <w:rPr>
          <w:rFonts w:hint="eastAsia" w:ascii="宋体" w:hAnsi="宋体" w:cs="宋体"/>
          <w:color w:val="auto"/>
          <w:sz w:val="24"/>
          <w:lang w:val="zh-CN"/>
        </w:rPr>
        <w:t xml:space="preserve">：                             </w:t>
      </w:r>
      <w:r>
        <w:rPr>
          <w:rFonts w:hint="eastAsia" w:ascii="宋体" w:hAnsi="宋体" w:cs="宋体"/>
          <w:b/>
          <w:color w:val="auto"/>
          <w:sz w:val="24"/>
          <w:lang w:val="zh-CN"/>
        </w:rPr>
        <w:t xml:space="preserve">      乙方</w:t>
      </w:r>
      <w:r>
        <w:rPr>
          <w:rFonts w:hint="eastAsia" w:ascii="宋体" w:hAnsi="宋体" w:cs="宋体"/>
          <w:color w:val="auto"/>
          <w:sz w:val="24"/>
          <w:lang w:val="zh-CN"/>
        </w:rPr>
        <w:t>：</w:t>
      </w:r>
    </w:p>
    <w:p w14:paraId="06D656E9">
      <w:pPr>
        <w:autoSpaceDE w:val="0"/>
        <w:autoSpaceDN w:val="0"/>
        <w:adjustRightInd w:val="0"/>
        <w:spacing w:line="360" w:lineRule="auto"/>
        <w:rPr>
          <w:rFonts w:ascii="宋体" w:hAnsi="宋体" w:cs="宋体"/>
          <w:color w:val="auto"/>
          <w:sz w:val="24"/>
          <w:lang w:val="zh-CN"/>
        </w:rPr>
      </w:pPr>
      <w:r>
        <w:rPr>
          <w:rFonts w:hint="eastAsia" w:ascii="宋体" w:hAnsi="宋体" w:cs="宋体"/>
          <w:color w:val="auto"/>
          <w:sz w:val="24"/>
          <w:lang w:val="zh-CN"/>
        </w:rPr>
        <w:t>统一社会信用代码：                       统一社会信用代码或身份证号码：</w:t>
      </w:r>
    </w:p>
    <w:p w14:paraId="78429F87">
      <w:pPr>
        <w:autoSpaceDE w:val="0"/>
        <w:autoSpaceDN w:val="0"/>
        <w:adjustRightInd w:val="0"/>
        <w:spacing w:line="360" w:lineRule="auto"/>
        <w:rPr>
          <w:rFonts w:ascii="宋体" w:hAnsi="宋体" w:cs="宋体"/>
          <w:color w:val="auto"/>
          <w:sz w:val="24"/>
          <w:lang w:val="zh-CN"/>
        </w:rPr>
      </w:pPr>
      <w:r>
        <w:rPr>
          <w:rFonts w:hint="eastAsia" w:ascii="宋体" w:hAnsi="宋体" w:cs="宋体"/>
          <w:color w:val="auto"/>
          <w:sz w:val="24"/>
          <w:lang w:val="zh-CN"/>
        </w:rPr>
        <w:t>住所：                                   住所：</w:t>
      </w:r>
    </w:p>
    <w:p w14:paraId="555B237E">
      <w:pPr>
        <w:autoSpaceDE w:val="0"/>
        <w:autoSpaceDN w:val="0"/>
        <w:adjustRightInd w:val="0"/>
        <w:spacing w:line="360" w:lineRule="auto"/>
        <w:rPr>
          <w:rFonts w:ascii="宋体" w:hAnsi="宋体" w:cs="宋体"/>
          <w:color w:val="auto"/>
          <w:sz w:val="24"/>
          <w:lang w:val="zh-CN"/>
        </w:rPr>
      </w:pPr>
      <w:r>
        <w:rPr>
          <w:rFonts w:hint="eastAsia" w:ascii="宋体" w:hAnsi="宋体" w:cs="宋体"/>
          <w:color w:val="auto"/>
          <w:sz w:val="24"/>
          <w:lang w:val="zh-CN"/>
        </w:rPr>
        <w:t>法定代表人或                             法定代表人</w:t>
      </w:r>
    </w:p>
    <w:p w14:paraId="31E07E45">
      <w:pPr>
        <w:autoSpaceDE w:val="0"/>
        <w:autoSpaceDN w:val="0"/>
        <w:adjustRightInd w:val="0"/>
        <w:spacing w:line="360" w:lineRule="auto"/>
        <w:rPr>
          <w:rFonts w:ascii="宋体" w:hAnsi="宋体" w:cs="宋体"/>
          <w:color w:val="auto"/>
          <w:sz w:val="24"/>
          <w:lang w:val="zh-CN"/>
        </w:rPr>
      </w:pPr>
      <w:r>
        <w:rPr>
          <w:rFonts w:hint="eastAsia" w:ascii="宋体" w:hAnsi="宋体" w:cs="宋体"/>
          <w:color w:val="auto"/>
          <w:sz w:val="24"/>
          <w:lang w:val="zh-CN"/>
        </w:rPr>
        <w:t xml:space="preserve">授权代表（签字）：                        或授权代表（签字）: </w:t>
      </w:r>
    </w:p>
    <w:p w14:paraId="51AA0508">
      <w:pPr>
        <w:autoSpaceDE w:val="0"/>
        <w:autoSpaceDN w:val="0"/>
        <w:adjustRightInd w:val="0"/>
        <w:spacing w:line="360" w:lineRule="auto"/>
        <w:rPr>
          <w:rFonts w:ascii="宋体" w:hAnsi="宋体" w:cs="宋体"/>
          <w:color w:val="auto"/>
          <w:sz w:val="24"/>
          <w:lang w:val="zh-CN"/>
        </w:rPr>
      </w:pPr>
      <w:r>
        <w:rPr>
          <w:rFonts w:hint="eastAsia" w:ascii="宋体" w:hAnsi="宋体" w:cs="宋体"/>
          <w:color w:val="auto"/>
          <w:sz w:val="24"/>
          <w:lang w:val="zh-CN"/>
        </w:rPr>
        <w:t>联系人：                                 联系人：</w:t>
      </w:r>
    </w:p>
    <w:p w14:paraId="2853BEDC">
      <w:pPr>
        <w:autoSpaceDE w:val="0"/>
        <w:autoSpaceDN w:val="0"/>
        <w:adjustRightInd w:val="0"/>
        <w:spacing w:line="360" w:lineRule="auto"/>
        <w:rPr>
          <w:rFonts w:ascii="宋体" w:hAnsi="宋体" w:cs="宋体"/>
          <w:color w:val="auto"/>
          <w:sz w:val="24"/>
          <w:lang w:val="zh-CN"/>
        </w:rPr>
      </w:pPr>
      <w:r>
        <w:rPr>
          <w:rFonts w:hint="eastAsia" w:ascii="宋体" w:hAnsi="宋体" w:cs="宋体"/>
          <w:color w:val="auto"/>
          <w:sz w:val="24"/>
          <w:lang w:val="zh-CN"/>
        </w:rPr>
        <w:t>约定送达地址：                           约定送达地址：</w:t>
      </w:r>
    </w:p>
    <w:p w14:paraId="67BC9204">
      <w:pPr>
        <w:autoSpaceDE w:val="0"/>
        <w:autoSpaceDN w:val="0"/>
        <w:adjustRightInd w:val="0"/>
        <w:spacing w:line="360" w:lineRule="auto"/>
        <w:rPr>
          <w:rFonts w:ascii="宋体" w:hAnsi="宋体" w:cs="宋体"/>
          <w:color w:val="auto"/>
          <w:sz w:val="24"/>
          <w:lang w:val="zh-CN"/>
        </w:rPr>
      </w:pPr>
      <w:r>
        <w:rPr>
          <w:rFonts w:hint="eastAsia" w:ascii="宋体" w:hAnsi="宋体" w:cs="宋体"/>
          <w:color w:val="auto"/>
          <w:sz w:val="24"/>
          <w:lang w:val="zh-CN"/>
        </w:rPr>
        <w:t>邮政编码：                               邮政编码：</w:t>
      </w:r>
    </w:p>
    <w:p w14:paraId="7D348A71">
      <w:pPr>
        <w:autoSpaceDE w:val="0"/>
        <w:autoSpaceDN w:val="0"/>
        <w:adjustRightInd w:val="0"/>
        <w:spacing w:line="360" w:lineRule="auto"/>
        <w:rPr>
          <w:rFonts w:ascii="宋体" w:hAnsi="宋体" w:cs="宋体"/>
          <w:color w:val="auto"/>
          <w:sz w:val="24"/>
          <w:lang w:val="zh-CN"/>
        </w:rPr>
      </w:pPr>
      <w:r>
        <w:rPr>
          <w:rFonts w:hint="eastAsia" w:ascii="宋体" w:hAnsi="宋体" w:cs="宋体"/>
          <w:color w:val="auto"/>
          <w:sz w:val="24"/>
          <w:lang w:val="zh-CN"/>
        </w:rPr>
        <w:t xml:space="preserve">电话:                                    电话: </w:t>
      </w:r>
    </w:p>
    <w:p w14:paraId="1CB4CEE2">
      <w:pPr>
        <w:autoSpaceDE w:val="0"/>
        <w:autoSpaceDN w:val="0"/>
        <w:adjustRightInd w:val="0"/>
        <w:spacing w:line="360" w:lineRule="auto"/>
        <w:rPr>
          <w:rFonts w:ascii="宋体" w:hAnsi="宋体" w:cs="宋体"/>
          <w:color w:val="auto"/>
          <w:sz w:val="24"/>
          <w:lang w:val="zh-CN"/>
        </w:rPr>
      </w:pPr>
      <w:r>
        <w:rPr>
          <w:rFonts w:hint="eastAsia" w:ascii="宋体" w:hAnsi="宋体" w:cs="宋体"/>
          <w:color w:val="auto"/>
          <w:sz w:val="24"/>
          <w:lang w:val="zh-CN"/>
        </w:rPr>
        <w:t>传真:                                    传真:</w:t>
      </w:r>
    </w:p>
    <w:p w14:paraId="4FD23594">
      <w:pPr>
        <w:autoSpaceDE w:val="0"/>
        <w:autoSpaceDN w:val="0"/>
        <w:adjustRightInd w:val="0"/>
        <w:spacing w:line="360" w:lineRule="auto"/>
        <w:rPr>
          <w:rFonts w:ascii="宋体" w:hAnsi="宋体" w:cs="宋体"/>
          <w:color w:val="auto"/>
          <w:sz w:val="24"/>
        </w:rPr>
      </w:pPr>
      <w:r>
        <w:rPr>
          <w:rFonts w:hint="eastAsia" w:ascii="宋体" w:hAnsi="宋体" w:cs="宋体"/>
          <w:color w:val="auto"/>
          <w:sz w:val="24"/>
          <w:lang w:val="zh-CN"/>
        </w:rPr>
        <w:t>电子邮箱：                               电子邮箱：</w:t>
      </w:r>
    </w:p>
    <w:p w14:paraId="08E1F0CD">
      <w:pPr>
        <w:autoSpaceDE w:val="0"/>
        <w:autoSpaceDN w:val="0"/>
        <w:adjustRightInd w:val="0"/>
        <w:spacing w:line="360" w:lineRule="auto"/>
        <w:rPr>
          <w:rFonts w:ascii="宋体" w:hAnsi="宋体" w:cs="宋体"/>
          <w:color w:val="auto"/>
          <w:sz w:val="24"/>
        </w:rPr>
      </w:pPr>
      <w:r>
        <w:rPr>
          <w:rFonts w:hint="eastAsia" w:ascii="宋体" w:hAnsi="宋体" w:cs="宋体"/>
          <w:color w:val="auto"/>
          <w:sz w:val="24"/>
        </w:rPr>
        <w:t xml:space="preserve">开户银行：                               开户银行： </w:t>
      </w:r>
    </w:p>
    <w:p w14:paraId="0FF8D0E8">
      <w:pPr>
        <w:autoSpaceDE w:val="0"/>
        <w:autoSpaceDN w:val="0"/>
        <w:adjustRightInd w:val="0"/>
        <w:spacing w:line="360" w:lineRule="auto"/>
        <w:rPr>
          <w:rFonts w:ascii="宋体" w:hAnsi="宋体" w:cs="宋体"/>
          <w:color w:val="auto"/>
          <w:sz w:val="24"/>
        </w:rPr>
      </w:pPr>
      <w:r>
        <w:rPr>
          <w:rFonts w:hint="eastAsia" w:ascii="宋体" w:hAnsi="宋体" w:cs="宋体"/>
          <w:color w:val="auto"/>
          <w:sz w:val="24"/>
        </w:rPr>
        <w:t xml:space="preserve">开户名称：                               开户名称： </w:t>
      </w:r>
    </w:p>
    <w:p w14:paraId="01D50BB7">
      <w:pPr>
        <w:autoSpaceDE w:val="0"/>
        <w:autoSpaceDN w:val="0"/>
        <w:adjustRightInd w:val="0"/>
        <w:spacing w:line="360" w:lineRule="auto"/>
        <w:rPr>
          <w:rFonts w:ascii="宋体" w:hAnsi="宋体" w:cs="宋体"/>
          <w:color w:val="auto"/>
          <w:sz w:val="24"/>
        </w:rPr>
      </w:pPr>
      <w:r>
        <w:rPr>
          <w:rFonts w:hint="eastAsia" w:ascii="宋体" w:hAnsi="宋体" w:cs="宋体"/>
          <w:color w:val="auto"/>
          <w:sz w:val="24"/>
        </w:rPr>
        <w:t xml:space="preserve">开户账号： </w:t>
      </w:r>
      <w:r>
        <w:rPr>
          <w:rFonts w:ascii="宋体" w:hAnsi="宋体" w:cs="宋体"/>
          <w:color w:val="auto"/>
          <w:sz w:val="24"/>
        </w:rPr>
        <w:t xml:space="preserve">                              </w:t>
      </w:r>
      <w:r>
        <w:rPr>
          <w:rFonts w:hint="eastAsia" w:ascii="宋体" w:hAnsi="宋体" w:cs="宋体"/>
          <w:color w:val="auto"/>
          <w:sz w:val="24"/>
        </w:rPr>
        <w:t>开户账号：</w:t>
      </w:r>
    </w:p>
    <w:p w14:paraId="46642C48">
      <w:pPr>
        <w:widowControl/>
        <w:spacing w:line="560" w:lineRule="exact"/>
        <w:jc w:val="left"/>
        <w:rPr>
          <w:rFonts w:ascii="宋体" w:hAnsi="宋体" w:cs="宋体"/>
          <w:b/>
          <w:color w:val="auto"/>
        </w:rPr>
      </w:pPr>
      <w:bookmarkStart w:id="70" w:name="_Toc331685783"/>
    </w:p>
    <w:p w14:paraId="71B82A96">
      <w:pPr>
        <w:widowControl/>
        <w:spacing w:line="560" w:lineRule="exact"/>
        <w:jc w:val="left"/>
        <w:rPr>
          <w:rFonts w:ascii="宋体" w:hAnsi="宋体" w:cs="宋体"/>
          <w:b/>
          <w:color w:val="auto"/>
          <w:kern w:val="0"/>
          <w:sz w:val="24"/>
        </w:rPr>
        <w:sectPr>
          <w:footerReference r:id="rId5" w:type="default"/>
          <w:pgSz w:w="11906" w:h="16838"/>
          <w:pgMar w:top="1440" w:right="1797" w:bottom="1440" w:left="1797" w:header="851" w:footer="992" w:gutter="0"/>
          <w:pgNumType w:fmt="decimal" w:start="1"/>
          <w:cols w:space="720" w:num="1"/>
          <w:docGrid w:linePitch="312" w:charSpace="0"/>
        </w:sectPr>
      </w:pPr>
    </w:p>
    <w:p w14:paraId="72F4B289">
      <w:pPr>
        <w:pStyle w:val="103"/>
        <w:spacing w:line="560" w:lineRule="exact"/>
        <w:ind w:firstLine="200"/>
        <w:jc w:val="center"/>
        <w:rPr>
          <w:rFonts w:hint="eastAsia" w:hAnsi="宋体" w:cs="宋体"/>
          <w:b/>
          <w:color w:val="auto"/>
          <w:szCs w:val="24"/>
        </w:rPr>
      </w:pPr>
    </w:p>
    <w:p w14:paraId="3F6F62B0">
      <w:pPr>
        <w:pStyle w:val="103"/>
        <w:spacing w:line="560" w:lineRule="exact"/>
        <w:ind w:firstLine="200"/>
        <w:jc w:val="center"/>
        <w:rPr>
          <w:rFonts w:hAnsi="宋体" w:cs="宋体"/>
          <w:b/>
          <w:color w:val="auto"/>
          <w:szCs w:val="24"/>
        </w:rPr>
      </w:pPr>
      <w:r>
        <w:rPr>
          <w:rFonts w:hint="eastAsia" w:hAnsi="宋体" w:cs="宋体"/>
          <w:b/>
          <w:color w:val="auto"/>
          <w:szCs w:val="24"/>
        </w:rPr>
        <w:t>第二部分 合同一般条款</w:t>
      </w:r>
      <w:bookmarkEnd w:id="70"/>
    </w:p>
    <w:p w14:paraId="283BC838">
      <w:pPr>
        <w:spacing w:line="360" w:lineRule="auto"/>
        <w:ind w:firstLine="482" w:firstLineChars="200"/>
        <w:outlineLvl w:val="0"/>
        <w:rPr>
          <w:rFonts w:ascii="宋体" w:hAnsi="宋体" w:cs="宋体"/>
          <w:b/>
          <w:color w:val="auto"/>
          <w:sz w:val="24"/>
        </w:rPr>
      </w:pPr>
      <w:bookmarkStart w:id="71" w:name="_Toc9344"/>
      <w:bookmarkStart w:id="72" w:name="_Ref467378463"/>
      <w:bookmarkStart w:id="73" w:name="_Ref467379205"/>
      <w:bookmarkStart w:id="74" w:name="_Ref467378499"/>
      <w:bookmarkStart w:id="75" w:name="_Toc5228"/>
      <w:bookmarkStart w:id="76" w:name="_Ref467379225"/>
      <w:bookmarkStart w:id="77" w:name="_Toc487900349"/>
      <w:bookmarkStart w:id="78" w:name="_Toc259093669"/>
      <w:bookmarkStart w:id="79" w:name="_Ref467379109"/>
      <w:bookmarkStart w:id="80" w:name="_Toc25079"/>
      <w:bookmarkStart w:id="81" w:name="_Ref467379101"/>
      <w:bookmarkStart w:id="82" w:name="_Toc279701240"/>
      <w:bookmarkStart w:id="83" w:name="_Toc14561"/>
      <w:bookmarkStart w:id="84" w:name="_Toc14021"/>
      <w:bookmarkStart w:id="85" w:name="_Toc31297"/>
      <w:bookmarkStart w:id="86" w:name="_Ref467379214"/>
      <w:bookmarkStart w:id="87" w:name="_Ref467378404"/>
      <w:bookmarkStart w:id="88" w:name="_Ref467379195"/>
      <w:bookmarkStart w:id="89" w:name="_Ref467379094"/>
      <w:bookmarkStart w:id="90" w:name="_Toc19680"/>
      <w:r>
        <w:rPr>
          <w:rFonts w:hint="eastAsia" w:ascii="宋体" w:hAnsi="宋体" w:cs="宋体"/>
          <w:b/>
          <w:color w:val="auto"/>
          <w:sz w:val="24"/>
        </w:rPr>
        <w:t>2.1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DE187F0">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3C9E7FC5">
      <w:pPr>
        <w:spacing w:line="360" w:lineRule="auto"/>
        <w:ind w:firstLine="480" w:firstLineChars="200"/>
        <w:rPr>
          <w:rFonts w:ascii="宋体" w:hAnsi="宋体" w:cs="宋体"/>
          <w:color w:val="auto"/>
          <w:sz w:val="24"/>
        </w:rPr>
      </w:pPr>
      <w:r>
        <w:rPr>
          <w:rFonts w:hint="eastAsia" w:ascii="宋体" w:hAnsi="宋体" w:cs="宋体"/>
          <w:color w:val="auto"/>
          <w:sz w:val="24"/>
        </w:rPr>
        <w:t>2.1.1 “合同”系指采购人和中标供应商签订的载明双方当事人所达成的协议，并包括所有的附件、附录和构成合同的其他文件。</w:t>
      </w:r>
    </w:p>
    <w:p w14:paraId="457899A6">
      <w:pPr>
        <w:spacing w:line="360" w:lineRule="auto"/>
        <w:ind w:firstLine="480" w:firstLineChars="200"/>
        <w:rPr>
          <w:rFonts w:ascii="宋体" w:hAnsi="宋体" w:cs="宋体"/>
          <w:color w:val="auto"/>
          <w:sz w:val="24"/>
        </w:rPr>
      </w:pPr>
      <w:r>
        <w:rPr>
          <w:rFonts w:hint="eastAsia" w:ascii="宋体" w:hAnsi="宋体" w:cs="宋体"/>
          <w:color w:val="auto"/>
          <w:sz w:val="24"/>
        </w:rPr>
        <w:t>2.1.2 “合同价”系指根据合同约定，中标供应商在完全履行合同义务后，采购人应支付给中标供应商的价格。</w:t>
      </w:r>
    </w:p>
    <w:p w14:paraId="53665274">
      <w:pPr>
        <w:spacing w:line="360" w:lineRule="auto"/>
        <w:ind w:firstLine="480" w:firstLineChars="200"/>
        <w:rPr>
          <w:rFonts w:ascii="宋体" w:hAnsi="宋体" w:cs="宋体"/>
          <w:color w:val="auto"/>
          <w:sz w:val="24"/>
        </w:rPr>
      </w:pPr>
      <w:r>
        <w:rPr>
          <w:rFonts w:hint="eastAsia" w:ascii="宋体" w:hAnsi="宋体" w:cs="宋体"/>
          <w:color w:val="auto"/>
          <w:sz w:val="24"/>
        </w:rPr>
        <w:t>2.1.3 “服务”系指中标供应商根据合同约定应向采购人履行的除货物和工程以外的其他政府采购对象，包括采购人自身需要的服务和向社会公众提供的公共服务。</w:t>
      </w:r>
    </w:p>
    <w:p w14:paraId="75FF527D">
      <w:pPr>
        <w:spacing w:line="360" w:lineRule="auto"/>
        <w:ind w:firstLine="480" w:firstLineChars="200"/>
        <w:rPr>
          <w:rFonts w:ascii="宋体" w:hAnsi="宋体" w:cs="宋体"/>
          <w:color w:val="auto"/>
          <w:sz w:val="24"/>
        </w:rPr>
      </w:pPr>
      <w:bookmarkStart w:id="91" w:name="_Ref467378840"/>
      <w:r>
        <w:rPr>
          <w:rFonts w:hint="eastAsia" w:ascii="宋体" w:hAnsi="宋体" w:cs="宋体"/>
          <w:color w:val="auto"/>
          <w:sz w:val="24"/>
        </w:rPr>
        <w:t>2.1.4 “甲方”系指与中标供应商签署合同的采购人</w:t>
      </w:r>
      <w:bookmarkEnd w:id="91"/>
      <w:r>
        <w:rPr>
          <w:rFonts w:hint="eastAsia" w:ascii="宋体" w:hAnsi="宋体" w:cs="宋体"/>
          <w:color w:val="auto"/>
          <w:sz w:val="24"/>
        </w:rPr>
        <w:t>；采购人委托采购代理机构代表其与乙方签订合同的，采购人的授权委托书作为合同附件。</w:t>
      </w:r>
    </w:p>
    <w:p w14:paraId="7A5B1CC0">
      <w:pPr>
        <w:spacing w:line="360" w:lineRule="auto"/>
        <w:ind w:firstLine="480" w:firstLineChars="200"/>
        <w:rPr>
          <w:rFonts w:ascii="宋体" w:hAnsi="宋体" w:cs="宋体"/>
          <w:color w:val="auto"/>
          <w:sz w:val="24"/>
        </w:rPr>
      </w:pPr>
      <w:bookmarkStart w:id="92" w:name="_Ref467379400"/>
      <w:r>
        <w:rPr>
          <w:rFonts w:hint="eastAsia" w:ascii="宋体" w:hAnsi="宋体" w:cs="宋体"/>
          <w:color w:val="auto"/>
          <w:sz w:val="24"/>
        </w:rPr>
        <w:t>2.1.5 “乙方”系指根据合同约定提供服务的中标供应商</w:t>
      </w:r>
      <w:bookmarkEnd w:id="92"/>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D5A268B">
      <w:pPr>
        <w:spacing w:line="360" w:lineRule="auto"/>
        <w:ind w:firstLine="480" w:firstLineChars="200"/>
        <w:rPr>
          <w:rFonts w:ascii="宋体" w:hAnsi="宋体" w:cs="宋体"/>
          <w:color w:val="auto"/>
          <w:sz w:val="24"/>
        </w:rPr>
      </w:pPr>
      <w:bookmarkStart w:id="93" w:name="_Ref467379436"/>
      <w:r>
        <w:rPr>
          <w:rFonts w:hint="eastAsia" w:ascii="宋体" w:hAnsi="宋体" w:cs="宋体"/>
          <w:color w:val="auto"/>
          <w:sz w:val="24"/>
        </w:rPr>
        <w:t>2.1.6 “现场”系指合同约定提供服务的地点。</w:t>
      </w:r>
      <w:bookmarkEnd w:id="93"/>
    </w:p>
    <w:p w14:paraId="048AB97B">
      <w:pPr>
        <w:spacing w:line="360" w:lineRule="auto"/>
        <w:ind w:firstLine="482" w:firstLineChars="200"/>
        <w:outlineLvl w:val="0"/>
        <w:rPr>
          <w:rFonts w:ascii="宋体" w:hAnsi="宋体" w:cs="宋体"/>
          <w:b/>
          <w:color w:val="auto"/>
          <w:sz w:val="24"/>
        </w:rPr>
      </w:pPr>
      <w:bookmarkStart w:id="94" w:name="_Toc259093670"/>
      <w:bookmarkStart w:id="95" w:name="_Toc279701241"/>
      <w:bookmarkStart w:id="96" w:name="_Toc487900350"/>
      <w:bookmarkStart w:id="97" w:name="_Toc25605"/>
      <w:bookmarkStart w:id="98" w:name="_Toc3769"/>
      <w:bookmarkStart w:id="99" w:name="_Toc26327"/>
      <w:bookmarkStart w:id="100" w:name="_Toc19539"/>
      <w:bookmarkStart w:id="101" w:name="_Toc16752"/>
      <w:bookmarkStart w:id="102" w:name="_Toc23289"/>
      <w:bookmarkStart w:id="103" w:name="_Toc31402"/>
      <w:r>
        <w:rPr>
          <w:rFonts w:hint="eastAsia" w:ascii="宋体" w:hAnsi="宋体" w:cs="宋体"/>
          <w:b/>
          <w:color w:val="auto"/>
          <w:sz w:val="24"/>
        </w:rPr>
        <w:t>2.2 技术规范</w:t>
      </w:r>
      <w:bookmarkEnd w:id="94"/>
      <w:bookmarkEnd w:id="95"/>
      <w:bookmarkEnd w:id="96"/>
      <w:bookmarkEnd w:id="97"/>
      <w:bookmarkEnd w:id="98"/>
      <w:bookmarkEnd w:id="99"/>
      <w:bookmarkEnd w:id="100"/>
      <w:bookmarkEnd w:id="101"/>
      <w:bookmarkEnd w:id="102"/>
      <w:bookmarkEnd w:id="103"/>
    </w:p>
    <w:p w14:paraId="36CE431A">
      <w:pPr>
        <w:spacing w:line="360" w:lineRule="auto"/>
        <w:ind w:firstLine="480" w:firstLineChars="200"/>
        <w:rPr>
          <w:rFonts w:ascii="宋体" w:hAnsi="宋体" w:cs="宋体"/>
          <w:color w:val="auto"/>
          <w:sz w:val="24"/>
        </w:rPr>
      </w:pPr>
      <w:r>
        <w:rPr>
          <w:rFonts w:hint="eastAsia" w:ascii="宋体" w:hAnsi="宋体" w:cs="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27D0790">
      <w:pPr>
        <w:spacing w:line="360" w:lineRule="auto"/>
        <w:ind w:firstLine="482" w:firstLineChars="200"/>
        <w:outlineLvl w:val="0"/>
        <w:rPr>
          <w:rFonts w:ascii="宋体" w:hAnsi="宋体" w:cs="宋体"/>
          <w:b/>
          <w:color w:val="auto"/>
          <w:sz w:val="24"/>
        </w:rPr>
      </w:pPr>
      <w:bookmarkStart w:id="104" w:name="_Toc4133"/>
      <w:bookmarkStart w:id="105" w:name="_Toc14985"/>
      <w:bookmarkStart w:id="106" w:name="_Toc279701242"/>
      <w:bookmarkStart w:id="107" w:name="_Toc487900351"/>
      <w:bookmarkStart w:id="108" w:name="_Toc13673"/>
      <w:bookmarkStart w:id="109" w:name="_Toc12412"/>
      <w:bookmarkStart w:id="110" w:name="_Toc9161"/>
      <w:bookmarkStart w:id="111" w:name="_Toc15608"/>
      <w:bookmarkStart w:id="112" w:name="_Toc27945"/>
      <w:bookmarkStart w:id="113" w:name="_Toc259093671"/>
      <w:r>
        <w:rPr>
          <w:rFonts w:hint="eastAsia" w:ascii="宋体" w:hAnsi="宋体" w:cs="宋体"/>
          <w:b/>
          <w:color w:val="auto"/>
          <w:sz w:val="24"/>
        </w:rPr>
        <w:t>2.3 知识产权</w:t>
      </w:r>
      <w:bookmarkEnd w:id="104"/>
      <w:bookmarkEnd w:id="105"/>
      <w:bookmarkEnd w:id="106"/>
      <w:bookmarkEnd w:id="107"/>
      <w:bookmarkEnd w:id="108"/>
      <w:bookmarkEnd w:id="109"/>
      <w:bookmarkEnd w:id="110"/>
      <w:bookmarkEnd w:id="111"/>
      <w:bookmarkEnd w:id="112"/>
      <w:bookmarkEnd w:id="113"/>
    </w:p>
    <w:p w14:paraId="19465F80">
      <w:pPr>
        <w:spacing w:line="360" w:lineRule="auto"/>
        <w:ind w:firstLine="480" w:firstLineChars="200"/>
        <w:rPr>
          <w:rFonts w:ascii="宋体" w:hAnsi="宋体" w:cs="宋体"/>
          <w:color w:val="auto"/>
          <w:sz w:val="24"/>
        </w:rPr>
      </w:pPr>
      <w:r>
        <w:rPr>
          <w:rFonts w:hint="eastAsia" w:ascii="宋体" w:hAnsi="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1D4F763">
      <w:pPr>
        <w:spacing w:line="360" w:lineRule="auto"/>
        <w:ind w:firstLine="480" w:firstLineChars="200"/>
        <w:rPr>
          <w:rFonts w:ascii="宋体" w:hAnsi="宋体" w:cs="宋体"/>
          <w:color w:val="auto"/>
          <w:sz w:val="24"/>
        </w:rPr>
      </w:pPr>
      <w:r>
        <w:rPr>
          <w:rFonts w:hint="eastAsia" w:ascii="宋体" w:hAnsi="宋体" w:cs="宋体"/>
          <w:color w:val="auto"/>
          <w:sz w:val="24"/>
        </w:rPr>
        <w:t>2.3.2 合同涉及技术成果的归属和收益的分成办法的，详见</w:t>
      </w:r>
      <w:r>
        <w:rPr>
          <w:rFonts w:hint="eastAsia" w:ascii="宋体" w:hAnsi="宋体" w:cs="宋体"/>
          <w:b/>
          <w:i/>
          <w:color w:val="auto"/>
          <w:sz w:val="24"/>
          <w:u w:val="single"/>
        </w:rPr>
        <w:t>合同专用条款</w:t>
      </w:r>
      <w:r>
        <w:rPr>
          <w:rFonts w:hint="eastAsia" w:ascii="宋体" w:hAnsi="宋体" w:cs="宋体"/>
          <w:color w:val="auto"/>
          <w:sz w:val="24"/>
        </w:rPr>
        <w:t>。</w:t>
      </w:r>
    </w:p>
    <w:p w14:paraId="03E7FC4A">
      <w:pPr>
        <w:spacing w:line="360" w:lineRule="auto"/>
        <w:ind w:firstLine="482" w:firstLineChars="200"/>
        <w:rPr>
          <w:rFonts w:ascii="宋体" w:hAnsi="宋体" w:cs="宋体"/>
          <w:b/>
          <w:color w:val="auto"/>
          <w:sz w:val="24"/>
        </w:rPr>
      </w:pPr>
      <w:r>
        <w:rPr>
          <w:rFonts w:hint="eastAsia" w:ascii="宋体" w:hAnsi="宋体" w:cs="宋体"/>
          <w:b/>
          <w:color w:val="auto"/>
          <w:sz w:val="24"/>
        </w:rPr>
        <w:t>2.4 履约检查和问题反馈</w:t>
      </w:r>
    </w:p>
    <w:p w14:paraId="315B8F51">
      <w:pPr>
        <w:spacing w:line="360" w:lineRule="auto"/>
        <w:ind w:firstLine="480" w:firstLineChars="200"/>
        <w:rPr>
          <w:rFonts w:ascii="宋体" w:hAnsi="宋体" w:cs="宋体"/>
          <w:color w:val="auto"/>
          <w:sz w:val="24"/>
        </w:rPr>
      </w:pPr>
      <w:bookmarkStart w:id="114" w:name="_Ref467379657"/>
      <w:r>
        <w:rPr>
          <w:rFonts w:hint="eastAsia" w:ascii="宋体" w:hAnsi="宋体" w:cs="宋体"/>
          <w:color w:val="auto"/>
          <w:sz w:val="24"/>
        </w:rPr>
        <w:t>2.4.1</w:t>
      </w:r>
      <w:bookmarkEnd w:id="114"/>
      <w:bookmarkStart w:id="115" w:name="_Toc186431854"/>
      <w:bookmarkStart w:id="116" w:name="_Toc259093676"/>
      <w:bookmarkStart w:id="117" w:name="_Toc279701247"/>
      <w:bookmarkStart w:id="118" w:name="_Toc487900357"/>
      <w:bookmarkStart w:id="119" w:name="_Ref467379807"/>
      <w:bookmarkStart w:id="120" w:name="_Ref467379793"/>
      <w:r>
        <w:rPr>
          <w:rFonts w:hint="eastAsia" w:ascii="宋体" w:hAnsi="宋体" w:cs="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26156AD8">
      <w:pPr>
        <w:spacing w:line="360" w:lineRule="auto"/>
        <w:ind w:firstLine="480" w:firstLineChars="200"/>
        <w:rPr>
          <w:rFonts w:ascii="宋体" w:hAnsi="宋体" w:cs="宋体"/>
          <w:color w:val="auto"/>
          <w:sz w:val="24"/>
        </w:rPr>
      </w:pPr>
      <w:r>
        <w:rPr>
          <w:rFonts w:hint="eastAsia" w:ascii="宋体" w:hAnsi="宋体" w:cs="宋体"/>
          <w:color w:val="auto"/>
          <w:sz w:val="24"/>
        </w:rPr>
        <w:t>2.4.2 合同履行期间，甲方有权将履行过程中出现的问题反馈给乙方，双方当事人应以书面形式约定需要完善和改进的内容</w:t>
      </w:r>
      <w:bookmarkEnd w:id="115"/>
      <w:bookmarkStart w:id="121" w:name="_Toc186431855"/>
      <w:r>
        <w:rPr>
          <w:rFonts w:hint="eastAsia" w:ascii="宋体" w:hAnsi="宋体" w:cs="宋体"/>
          <w:color w:val="auto"/>
          <w:sz w:val="24"/>
        </w:rPr>
        <w:t>。</w:t>
      </w:r>
    </w:p>
    <w:bookmarkEnd w:id="121"/>
    <w:p w14:paraId="4C38343B">
      <w:pPr>
        <w:spacing w:line="360" w:lineRule="auto"/>
        <w:ind w:firstLine="482" w:firstLineChars="200"/>
        <w:outlineLvl w:val="0"/>
        <w:rPr>
          <w:rFonts w:ascii="宋体" w:hAnsi="宋体" w:cs="宋体"/>
          <w:b/>
          <w:color w:val="auto"/>
          <w:sz w:val="24"/>
        </w:rPr>
      </w:pPr>
      <w:bookmarkStart w:id="122" w:name="_Toc31233"/>
      <w:bookmarkStart w:id="123" w:name="_Toc26938"/>
      <w:bookmarkStart w:id="124" w:name="_Toc26555"/>
      <w:bookmarkStart w:id="125" w:name="_Toc22011"/>
      <w:bookmarkStart w:id="126" w:name="_Toc15447"/>
      <w:bookmarkStart w:id="127" w:name="_Toc29045"/>
      <w:bookmarkStart w:id="128" w:name="_Toc32670"/>
      <w:r>
        <w:rPr>
          <w:rFonts w:hint="eastAsia" w:ascii="宋体" w:hAnsi="宋体" w:cs="宋体"/>
          <w:b/>
          <w:color w:val="auto"/>
          <w:sz w:val="24"/>
        </w:rPr>
        <w:t>2.5 结算方式和付款条件</w:t>
      </w:r>
      <w:bookmarkEnd w:id="116"/>
      <w:bookmarkEnd w:id="117"/>
      <w:bookmarkEnd w:id="118"/>
      <w:bookmarkEnd w:id="119"/>
      <w:bookmarkEnd w:id="120"/>
      <w:bookmarkEnd w:id="122"/>
      <w:bookmarkEnd w:id="123"/>
      <w:bookmarkEnd w:id="124"/>
      <w:bookmarkEnd w:id="125"/>
      <w:bookmarkEnd w:id="126"/>
      <w:bookmarkEnd w:id="127"/>
      <w:bookmarkEnd w:id="128"/>
    </w:p>
    <w:p w14:paraId="5537511B">
      <w:pPr>
        <w:spacing w:line="360" w:lineRule="auto"/>
        <w:ind w:firstLine="480" w:firstLineChars="200"/>
        <w:rPr>
          <w:rFonts w:ascii="宋体" w:hAnsi="宋体" w:cs="宋体"/>
          <w:color w:val="auto"/>
          <w:sz w:val="24"/>
        </w:rPr>
      </w:pPr>
      <w:r>
        <w:rPr>
          <w:rFonts w:hint="eastAsia" w:ascii="宋体" w:hAnsi="宋体" w:cs="宋体"/>
          <w:color w:val="auto"/>
          <w:sz w:val="24"/>
        </w:rPr>
        <w:t>详见</w:t>
      </w:r>
      <w:r>
        <w:rPr>
          <w:rFonts w:hint="eastAsia" w:ascii="宋体" w:hAnsi="宋体" w:cs="宋体"/>
          <w:b/>
          <w:i/>
          <w:color w:val="auto"/>
          <w:sz w:val="24"/>
          <w:u w:val="single"/>
        </w:rPr>
        <w:t>合同专用条款</w:t>
      </w:r>
      <w:r>
        <w:rPr>
          <w:rFonts w:hint="eastAsia" w:ascii="宋体" w:hAnsi="宋体" w:cs="宋体"/>
          <w:color w:val="auto"/>
          <w:sz w:val="24"/>
        </w:rPr>
        <w:t>。</w:t>
      </w:r>
    </w:p>
    <w:p w14:paraId="2538B598">
      <w:pPr>
        <w:spacing w:line="360" w:lineRule="auto"/>
        <w:ind w:firstLine="482" w:firstLineChars="200"/>
        <w:outlineLvl w:val="0"/>
        <w:rPr>
          <w:rFonts w:ascii="宋体" w:hAnsi="宋体" w:cs="宋体"/>
          <w:b/>
          <w:color w:val="auto"/>
          <w:sz w:val="24"/>
        </w:rPr>
      </w:pPr>
      <w:bookmarkStart w:id="129" w:name="_Ref467379923"/>
      <w:bookmarkStart w:id="130" w:name="_Toc487900358"/>
      <w:bookmarkStart w:id="131" w:name="_Toc279701248"/>
      <w:bookmarkStart w:id="132" w:name="_Ref467379852"/>
      <w:bookmarkStart w:id="133" w:name="_Toc259093677"/>
      <w:bookmarkStart w:id="134" w:name="_Ref467379863"/>
      <w:bookmarkStart w:id="135" w:name="_Toc13154"/>
      <w:bookmarkStart w:id="136" w:name="_Toc13467"/>
      <w:bookmarkStart w:id="137" w:name="_Toc16163"/>
      <w:bookmarkStart w:id="138" w:name="_Toc28728"/>
      <w:bookmarkStart w:id="139" w:name="_Toc11381"/>
      <w:bookmarkStart w:id="140" w:name="_Toc18990"/>
      <w:bookmarkStart w:id="141" w:name="_Toc30507"/>
      <w:r>
        <w:rPr>
          <w:rFonts w:hint="eastAsia" w:ascii="宋体" w:hAnsi="宋体" w:cs="宋体"/>
          <w:b/>
          <w:color w:val="auto"/>
          <w:sz w:val="24"/>
        </w:rPr>
        <w:t>2.6 技术资料</w:t>
      </w:r>
      <w:bookmarkEnd w:id="129"/>
      <w:bookmarkEnd w:id="130"/>
      <w:bookmarkEnd w:id="131"/>
      <w:bookmarkEnd w:id="132"/>
      <w:bookmarkEnd w:id="133"/>
      <w:bookmarkEnd w:id="134"/>
      <w:r>
        <w:rPr>
          <w:rFonts w:hint="eastAsia" w:ascii="宋体" w:hAnsi="宋体" w:cs="宋体"/>
          <w:b/>
          <w:color w:val="auto"/>
          <w:sz w:val="24"/>
        </w:rPr>
        <w:t>和保密义务</w:t>
      </w:r>
      <w:bookmarkEnd w:id="135"/>
      <w:bookmarkEnd w:id="136"/>
      <w:bookmarkEnd w:id="137"/>
      <w:bookmarkEnd w:id="138"/>
      <w:bookmarkEnd w:id="139"/>
      <w:bookmarkEnd w:id="140"/>
      <w:bookmarkEnd w:id="141"/>
    </w:p>
    <w:p w14:paraId="211D3AD4">
      <w:pPr>
        <w:spacing w:line="360" w:lineRule="auto"/>
        <w:ind w:firstLine="480" w:firstLineChars="200"/>
        <w:rPr>
          <w:rFonts w:ascii="宋体" w:hAnsi="宋体" w:cs="宋体"/>
          <w:color w:val="auto"/>
          <w:sz w:val="24"/>
        </w:rPr>
      </w:pPr>
      <w:r>
        <w:rPr>
          <w:rFonts w:hint="eastAsia" w:ascii="宋体" w:hAnsi="宋体" w:cs="宋体"/>
          <w:color w:val="auto"/>
          <w:sz w:val="24"/>
        </w:rPr>
        <w:t>2.6.1 乙方有权依据合同约定和项目需要，向甲方了解有关情况，调阅有关资料等，甲方应予积极配合；</w:t>
      </w:r>
    </w:p>
    <w:p w14:paraId="4E5FECF2">
      <w:pPr>
        <w:spacing w:line="360" w:lineRule="auto"/>
        <w:ind w:firstLine="480" w:firstLineChars="200"/>
        <w:rPr>
          <w:rFonts w:ascii="宋体" w:hAnsi="宋体" w:cs="宋体"/>
          <w:color w:val="auto"/>
          <w:sz w:val="24"/>
        </w:rPr>
      </w:pPr>
      <w:r>
        <w:rPr>
          <w:rFonts w:hint="eastAsia" w:ascii="宋体" w:hAnsi="宋体" w:cs="宋体"/>
          <w:color w:val="auto"/>
          <w:sz w:val="24"/>
        </w:rPr>
        <w:t>2.6.2 乙方有义务妥善保管和保护由甲方提供的前款信息和资料等；</w:t>
      </w:r>
    </w:p>
    <w:p w14:paraId="1414F3F1">
      <w:pPr>
        <w:spacing w:line="360" w:lineRule="auto"/>
        <w:ind w:firstLine="480" w:firstLineChars="200"/>
        <w:rPr>
          <w:rFonts w:ascii="宋体" w:hAnsi="宋体" w:cs="宋体"/>
          <w:color w:val="auto"/>
          <w:sz w:val="24"/>
        </w:rPr>
      </w:pPr>
      <w:r>
        <w:rPr>
          <w:rFonts w:hint="eastAsia" w:ascii="宋体" w:hAnsi="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AD02B5C">
      <w:pPr>
        <w:spacing w:line="360" w:lineRule="auto"/>
        <w:ind w:firstLine="482" w:firstLineChars="200"/>
        <w:outlineLvl w:val="0"/>
        <w:rPr>
          <w:rFonts w:ascii="宋体" w:hAnsi="宋体" w:cs="宋体"/>
          <w:b/>
          <w:color w:val="auto"/>
          <w:sz w:val="24"/>
        </w:rPr>
      </w:pPr>
      <w:bookmarkStart w:id="142" w:name="_Toc20202"/>
      <w:bookmarkStart w:id="143" w:name="_Toc19069"/>
      <w:bookmarkStart w:id="144" w:name="_Toc20615"/>
      <w:bookmarkStart w:id="145" w:name="_Toc259093681"/>
      <w:bookmarkStart w:id="146" w:name="_Toc487900362"/>
      <w:bookmarkStart w:id="147" w:name="_Toc279701252"/>
      <w:r>
        <w:rPr>
          <w:rFonts w:hint="eastAsia" w:ascii="宋体" w:hAnsi="宋体" w:cs="宋体"/>
          <w:b/>
          <w:color w:val="auto"/>
          <w:sz w:val="24"/>
        </w:rPr>
        <w:t>2.7 质量保证</w:t>
      </w:r>
      <w:bookmarkEnd w:id="142"/>
      <w:bookmarkEnd w:id="143"/>
      <w:bookmarkEnd w:id="144"/>
    </w:p>
    <w:p w14:paraId="5C5B61DD">
      <w:pPr>
        <w:spacing w:line="360" w:lineRule="auto"/>
        <w:ind w:firstLine="480" w:firstLineChars="200"/>
        <w:rPr>
          <w:rFonts w:ascii="宋体" w:hAnsi="宋体" w:cs="宋体"/>
          <w:color w:val="auto"/>
          <w:sz w:val="24"/>
        </w:rPr>
      </w:pPr>
      <w:r>
        <w:rPr>
          <w:rFonts w:hint="eastAsia" w:ascii="宋体" w:hAnsi="宋体" w:cs="宋体"/>
          <w:color w:val="auto"/>
          <w:sz w:val="24"/>
        </w:rPr>
        <w:t>2.7.1 乙方应建立和完善履行合同的内部质量保证体系，并提供相关内部规章制度给甲方，以便甲方进行监督检查；</w:t>
      </w:r>
    </w:p>
    <w:p w14:paraId="4DF8FBBC">
      <w:pPr>
        <w:spacing w:line="360" w:lineRule="auto"/>
        <w:ind w:firstLine="480" w:firstLineChars="200"/>
        <w:rPr>
          <w:rFonts w:ascii="宋体" w:hAnsi="宋体" w:cs="宋体"/>
          <w:color w:val="auto"/>
          <w:sz w:val="24"/>
        </w:rPr>
      </w:pPr>
      <w:r>
        <w:rPr>
          <w:rFonts w:hint="eastAsia" w:ascii="宋体" w:hAnsi="宋体" w:cs="宋体"/>
          <w:color w:val="auto"/>
          <w:sz w:val="24"/>
        </w:rPr>
        <w:t>2.7.2 乙方应保证履行合同的人员数量和素质、软件和硬件设备的配置、场地、环境和设施等满足全面履行合同的要求，并应接受甲方的监督检查。</w:t>
      </w:r>
    </w:p>
    <w:p w14:paraId="6D324624">
      <w:pPr>
        <w:spacing w:line="360" w:lineRule="auto"/>
        <w:ind w:firstLine="482" w:firstLineChars="200"/>
        <w:outlineLvl w:val="0"/>
        <w:rPr>
          <w:rFonts w:ascii="宋体" w:hAnsi="宋体" w:cs="宋体"/>
          <w:b/>
          <w:color w:val="auto"/>
          <w:sz w:val="24"/>
        </w:rPr>
      </w:pPr>
      <w:bookmarkStart w:id="148" w:name="_Toc1092"/>
      <w:bookmarkStart w:id="149" w:name="_Toc5770"/>
      <w:bookmarkStart w:id="150" w:name="_Toc22267"/>
      <w:r>
        <w:rPr>
          <w:rFonts w:hint="eastAsia" w:ascii="宋体" w:hAnsi="宋体" w:cs="宋体"/>
          <w:b/>
          <w:color w:val="auto"/>
          <w:sz w:val="24"/>
        </w:rPr>
        <w:t>2.8 延迟</w:t>
      </w:r>
      <w:bookmarkEnd w:id="145"/>
      <w:bookmarkEnd w:id="146"/>
      <w:bookmarkEnd w:id="147"/>
      <w:r>
        <w:rPr>
          <w:rFonts w:hint="eastAsia" w:ascii="宋体" w:hAnsi="宋体" w:cs="宋体"/>
          <w:b/>
          <w:color w:val="auto"/>
          <w:sz w:val="24"/>
        </w:rPr>
        <w:t>履行</w:t>
      </w:r>
      <w:bookmarkEnd w:id="148"/>
      <w:bookmarkEnd w:id="149"/>
      <w:bookmarkEnd w:id="150"/>
    </w:p>
    <w:p w14:paraId="42A2586A">
      <w:pPr>
        <w:spacing w:line="360" w:lineRule="auto"/>
        <w:ind w:firstLine="480" w:firstLineChars="200"/>
        <w:rPr>
          <w:rFonts w:ascii="宋体" w:hAnsi="宋体" w:cs="宋体"/>
          <w:color w:val="auto"/>
          <w:sz w:val="24"/>
        </w:rPr>
      </w:pPr>
      <w:r>
        <w:rPr>
          <w:rFonts w:hint="eastAsia" w:ascii="宋体" w:hAnsi="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E7829F5">
      <w:pPr>
        <w:spacing w:line="360" w:lineRule="auto"/>
        <w:ind w:firstLine="482" w:firstLineChars="200"/>
        <w:outlineLvl w:val="0"/>
        <w:rPr>
          <w:rFonts w:ascii="宋体" w:hAnsi="宋体" w:cs="宋体"/>
          <w:b/>
          <w:color w:val="auto"/>
          <w:sz w:val="24"/>
        </w:rPr>
      </w:pPr>
      <w:bookmarkStart w:id="151" w:name="_Toc27587"/>
      <w:bookmarkStart w:id="152" w:name="_Toc10611"/>
      <w:bookmarkStart w:id="153" w:name="_Toc6240"/>
      <w:bookmarkStart w:id="154" w:name="_Toc259093683"/>
      <w:bookmarkStart w:id="155" w:name="_Toc487900364"/>
      <w:bookmarkStart w:id="156" w:name="_Ref467378121"/>
      <w:bookmarkStart w:id="157" w:name="_Toc279701254"/>
      <w:r>
        <w:rPr>
          <w:rFonts w:hint="eastAsia" w:ascii="宋体" w:hAnsi="宋体" w:cs="宋体"/>
          <w:b/>
          <w:color w:val="auto"/>
          <w:sz w:val="24"/>
        </w:rPr>
        <w:t>2.9 合同变更</w:t>
      </w:r>
      <w:bookmarkEnd w:id="151"/>
      <w:bookmarkEnd w:id="152"/>
      <w:bookmarkEnd w:id="153"/>
    </w:p>
    <w:p w14:paraId="0213EA5A">
      <w:pPr>
        <w:spacing w:line="360" w:lineRule="auto"/>
        <w:ind w:firstLine="480" w:firstLineChars="200"/>
        <w:rPr>
          <w:rFonts w:ascii="宋体" w:hAnsi="宋体" w:cs="宋体"/>
          <w:color w:val="auto"/>
          <w:sz w:val="24"/>
        </w:rPr>
      </w:pPr>
      <w:r>
        <w:rPr>
          <w:rFonts w:hint="eastAsia" w:ascii="宋体" w:hAnsi="宋体" w:cs="宋体"/>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224BAD99">
      <w:pPr>
        <w:spacing w:line="360" w:lineRule="auto"/>
        <w:ind w:firstLine="480" w:firstLineChars="200"/>
        <w:rPr>
          <w:rFonts w:ascii="宋体" w:hAnsi="宋体" w:cs="宋体"/>
          <w:color w:val="auto"/>
          <w:sz w:val="24"/>
        </w:rPr>
      </w:pPr>
      <w:r>
        <w:rPr>
          <w:rFonts w:hint="eastAsia" w:ascii="宋体" w:hAnsi="宋体" w:cs="宋体"/>
          <w:color w:val="auto"/>
          <w:sz w:val="24"/>
        </w:rPr>
        <w:t>2.9.2 合同继续履行将损害国家利益和社会公共利益的，双方当事人应当以书面形式变更合同。有过错的一方应当承担赔偿责任，双方当事人都有过错的，各自承担相应的责任。</w:t>
      </w:r>
      <w:bookmarkStart w:id="158" w:name="_Toc487900369"/>
      <w:bookmarkStart w:id="159" w:name="_Toc279701259"/>
      <w:bookmarkStart w:id="160" w:name="_Toc259093688"/>
    </w:p>
    <w:p w14:paraId="3274EA95">
      <w:pPr>
        <w:spacing w:line="360" w:lineRule="auto"/>
        <w:ind w:firstLine="482" w:firstLineChars="200"/>
        <w:outlineLvl w:val="0"/>
        <w:rPr>
          <w:rFonts w:ascii="宋体" w:hAnsi="宋体" w:cs="宋体"/>
          <w:b/>
          <w:color w:val="auto"/>
          <w:sz w:val="24"/>
        </w:rPr>
      </w:pPr>
      <w:bookmarkStart w:id="161" w:name="_Toc26689"/>
      <w:bookmarkStart w:id="162" w:name="_Toc27411"/>
      <w:bookmarkStart w:id="163" w:name="_Toc21830"/>
      <w:bookmarkStart w:id="164" w:name="_Toc6058"/>
      <w:bookmarkStart w:id="165" w:name="_Toc23368"/>
      <w:bookmarkStart w:id="166" w:name="_Toc10663"/>
      <w:bookmarkStart w:id="167" w:name="_Toc42"/>
      <w:r>
        <w:rPr>
          <w:rFonts w:hint="eastAsia" w:ascii="宋体" w:hAnsi="宋体" w:cs="宋体"/>
          <w:b/>
          <w:color w:val="auto"/>
          <w:sz w:val="24"/>
        </w:rPr>
        <w:t>2.10 合同转让</w:t>
      </w:r>
      <w:bookmarkEnd w:id="158"/>
      <w:bookmarkEnd w:id="159"/>
      <w:bookmarkEnd w:id="160"/>
      <w:r>
        <w:rPr>
          <w:rFonts w:hint="eastAsia" w:ascii="宋体" w:hAnsi="宋体" w:cs="宋体"/>
          <w:b/>
          <w:color w:val="auto"/>
          <w:sz w:val="24"/>
        </w:rPr>
        <w:t>和分包</w:t>
      </w:r>
      <w:bookmarkEnd w:id="161"/>
      <w:bookmarkEnd w:id="162"/>
      <w:bookmarkEnd w:id="163"/>
      <w:bookmarkEnd w:id="164"/>
      <w:bookmarkEnd w:id="165"/>
      <w:bookmarkEnd w:id="166"/>
      <w:bookmarkEnd w:id="167"/>
    </w:p>
    <w:p w14:paraId="48CC3C8B">
      <w:pPr>
        <w:spacing w:line="360" w:lineRule="auto"/>
        <w:ind w:firstLine="480" w:firstLineChars="200"/>
        <w:rPr>
          <w:rFonts w:ascii="宋体" w:hAnsi="宋体" w:cs="宋体"/>
          <w:color w:val="auto"/>
          <w:sz w:val="24"/>
        </w:rPr>
      </w:pPr>
      <w:r>
        <w:rPr>
          <w:rFonts w:hint="eastAsia" w:ascii="宋体" w:hAnsi="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1474496">
      <w:pPr>
        <w:spacing w:line="360" w:lineRule="auto"/>
        <w:ind w:firstLine="482" w:firstLineChars="200"/>
        <w:outlineLvl w:val="0"/>
        <w:rPr>
          <w:rFonts w:ascii="宋体" w:hAnsi="宋体" w:cs="宋体"/>
          <w:b/>
          <w:color w:val="auto"/>
          <w:sz w:val="24"/>
        </w:rPr>
      </w:pPr>
      <w:bookmarkStart w:id="168" w:name="_Toc25571"/>
      <w:bookmarkStart w:id="169" w:name="_Toc14371"/>
      <w:bookmarkStart w:id="170" w:name="_Toc7835"/>
      <w:bookmarkStart w:id="171" w:name="_Toc4720"/>
      <w:bookmarkStart w:id="172" w:name="_Toc26633"/>
      <w:bookmarkStart w:id="173" w:name="_Toc20975"/>
      <w:bookmarkStart w:id="174" w:name="_Toc32494"/>
      <w:r>
        <w:rPr>
          <w:rFonts w:hint="eastAsia" w:ascii="宋体" w:hAnsi="宋体" w:cs="宋体"/>
          <w:b/>
          <w:color w:val="auto"/>
          <w:sz w:val="24"/>
        </w:rPr>
        <w:t>2.11 不可抗力</w:t>
      </w:r>
      <w:bookmarkEnd w:id="168"/>
      <w:bookmarkEnd w:id="169"/>
      <w:bookmarkEnd w:id="170"/>
      <w:bookmarkEnd w:id="171"/>
      <w:bookmarkEnd w:id="172"/>
      <w:bookmarkEnd w:id="173"/>
      <w:bookmarkEnd w:id="174"/>
    </w:p>
    <w:p w14:paraId="6EF2AB28">
      <w:pPr>
        <w:spacing w:line="360" w:lineRule="auto"/>
        <w:ind w:firstLine="480" w:firstLineChars="200"/>
        <w:rPr>
          <w:rFonts w:ascii="宋体" w:hAnsi="宋体" w:cs="宋体"/>
          <w:color w:val="auto"/>
          <w:sz w:val="24"/>
        </w:rPr>
      </w:pPr>
      <w:r>
        <w:rPr>
          <w:rFonts w:hint="eastAsia" w:ascii="宋体" w:hAnsi="宋体" w:cs="宋体"/>
          <w:color w:val="auto"/>
          <w:sz w:val="24"/>
        </w:rPr>
        <w:t>2.11.1如果任何一方遭遇法律规定的不可抗力，致使合同履行受阻时，履行合同的期限应予延长，延长的期限应相当于不可抗力所影响的时间；</w:t>
      </w:r>
    </w:p>
    <w:p w14:paraId="5BF5D038">
      <w:pPr>
        <w:spacing w:line="360" w:lineRule="auto"/>
        <w:ind w:firstLine="480" w:firstLineChars="200"/>
        <w:rPr>
          <w:rFonts w:ascii="宋体" w:hAnsi="宋体" w:cs="宋体"/>
          <w:color w:val="auto"/>
          <w:sz w:val="24"/>
        </w:rPr>
      </w:pPr>
      <w:r>
        <w:rPr>
          <w:rFonts w:hint="eastAsia" w:ascii="宋体" w:hAnsi="宋体" w:cs="宋体"/>
          <w:color w:val="auto"/>
          <w:sz w:val="24"/>
        </w:rPr>
        <w:t>2.11.2 因不可抗力致使不能实现合同目的的，当事人可以解除合同；</w:t>
      </w:r>
    </w:p>
    <w:p w14:paraId="3947B6F5">
      <w:pPr>
        <w:spacing w:line="360" w:lineRule="auto"/>
        <w:ind w:firstLine="480" w:firstLineChars="200"/>
        <w:rPr>
          <w:rFonts w:ascii="宋体" w:hAnsi="宋体" w:cs="宋体"/>
          <w:color w:val="auto"/>
          <w:sz w:val="24"/>
        </w:rPr>
      </w:pPr>
      <w:r>
        <w:rPr>
          <w:rFonts w:hint="eastAsia" w:ascii="宋体" w:hAnsi="宋体" w:cs="宋体"/>
          <w:color w:val="auto"/>
          <w:sz w:val="24"/>
        </w:rPr>
        <w:t>2.11.3 因不可抗力致使合同有变更必要的，双方当事人应在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约定时间内以书面形式变更合同；</w:t>
      </w:r>
    </w:p>
    <w:p w14:paraId="668D4703">
      <w:pPr>
        <w:spacing w:line="360" w:lineRule="auto"/>
        <w:ind w:firstLine="480" w:firstLineChars="200"/>
        <w:rPr>
          <w:rFonts w:ascii="宋体" w:hAnsi="宋体" w:cs="宋体"/>
          <w:color w:val="auto"/>
          <w:sz w:val="24"/>
        </w:rPr>
      </w:pPr>
      <w:r>
        <w:rPr>
          <w:rFonts w:hint="eastAsia" w:ascii="宋体" w:hAnsi="宋体" w:cs="宋体"/>
          <w:color w:val="auto"/>
          <w:sz w:val="24"/>
        </w:rPr>
        <w:t>2.11.4受不可抗力影响的一方在不可抗力发生后，应在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约定时间内以书面形式通知对方当事人，并在</w:t>
      </w:r>
      <w:r>
        <w:rPr>
          <w:rFonts w:hint="eastAsia" w:ascii="宋体" w:hAnsi="宋体" w:cs="宋体"/>
          <w:b/>
          <w:i/>
          <w:color w:val="auto"/>
          <w:sz w:val="24"/>
          <w:u w:val="single"/>
        </w:rPr>
        <w:t>合同专用条款</w:t>
      </w:r>
      <w:r>
        <w:rPr>
          <w:rFonts w:hint="eastAsia" w:ascii="宋体" w:hAnsi="宋体" w:cs="宋体"/>
          <w:color w:val="auto"/>
          <w:sz w:val="24"/>
        </w:rPr>
        <w:t>约定时间内，将有关部门出具的证明文件送达对方当事人。</w:t>
      </w:r>
    </w:p>
    <w:p w14:paraId="180C14DA">
      <w:pPr>
        <w:spacing w:line="360" w:lineRule="auto"/>
        <w:ind w:firstLine="482" w:firstLineChars="200"/>
        <w:outlineLvl w:val="0"/>
        <w:rPr>
          <w:rFonts w:ascii="宋体" w:hAnsi="宋体" w:cs="宋体"/>
          <w:b/>
          <w:color w:val="auto"/>
          <w:sz w:val="24"/>
        </w:rPr>
      </w:pPr>
      <w:bookmarkStart w:id="175" w:name="_Toc259093684"/>
      <w:bookmarkStart w:id="176" w:name="_Toc279701255"/>
      <w:bookmarkStart w:id="177" w:name="_Toc3638"/>
      <w:bookmarkStart w:id="178" w:name="_Toc7269"/>
      <w:bookmarkStart w:id="179" w:name="_Toc458"/>
      <w:bookmarkStart w:id="180" w:name="_Toc487900365"/>
      <w:bookmarkStart w:id="181" w:name="_Toc23854"/>
      <w:bookmarkStart w:id="182" w:name="_Toc14115"/>
      <w:bookmarkStart w:id="183" w:name="_Toc24465"/>
      <w:bookmarkStart w:id="184" w:name="_Toc25783"/>
      <w:r>
        <w:rPr>
          <w:rFonts w:hint="eastAsia" w:ascii="宋体" w:hAnsi="宋体" w:cs="宋体"/>
          <w:b/>
          <w:color w:val="auto"/>
          <w:sz w:val="24"/>
        </w:rPr>
        <w:t>2.12 税费</w:t>
      </w:r>
      <w:bookmarkEnd w:id="175"/>
      <w:bookmarkEnd w:id="176"/>
      <w:bookmarkEnd w:id="177"/>
      <w:bookmarkEnd w:id="178"/>
      <w:bookmarkEnd w:id="179"/>
      <w:bookmarkEnd w:id="180"/>
      <w:bookmarkEnd w:id="181"/>
      <w:bookmarkEnd w:id="182"/>
      <w:bookmarkEnd w:id="183"/>
      <w:bookmarkEnd w:id="184"/>
    </w:p>
    <w:p w14:paraId="7B99DB7C">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与合同有关的一切税费，均按照中华人民共和国法律的相关规定缴纳。</w:t>
      </w:r>
    </w:p>
    <w:p w14:paraId="332DF1F4">
      <w:pPr>
        <w:spacing w:line="360" w:lineRule="auto"/>
        <w:ind w:firstLine="482" w:firstLineChars="200"/>
        <w:outlineLvl w:val="0"/>
        <w:rPr>
          <w:rFonts w:ascii="宋体" w:hAnsi="宋体" w:cs="宋体"/>
          <w:b/>
          <w:color w:val="auto"/>
          <w:sz w:val="24"/>
        </w:rPr>
      </w:pPr>
      <w:bookmarkStart w:id="185" w:name="_Toc30105"/>
      <w:bookmarkStart w:id="186" w:name="_Toc30612"/>
      <w:bookmarkStart w:id="187" w:name="_Toc279701258"/>
      <w:bookmarkStart w:id="188" w:name="_Toc7315"/>
      <w:bookmarkStart w:id="189" w:name="_Toc25525"/>
      <w:bookmarkStart w:id="190" w:name="_Toc7395"/>
      <w:bookmarkStart w:id="191" w:name="_Toc487900368"/>
      <w:bookmarkStart w:id="192" w:name="_Toc259093687"/>
      <w:bookmarkStart w:id="193" w:name="_Toc14814"/>
      <w:r>
        <w:rPr>
          <w:rFonts w:hint="eastAsia" w:ascii="宋体" w:hAnsi="宋体" w:cs="宋体"/>
          <w:b/>
          <w:color w:val="auto"/>
          <w:sz w:val="24"/>
        </w:rPr>
        <w:t>2.13 乙方破产</w:t>
      </w:r>
      <w:bookmarkEnd w:id="185"/>
      <w:bookmarkEnd w:id="186"/>
      <w:bookmarkEnd w:id="187"/>
      <w:bookmarkEnd w:id="188"/>
      <w:bookmarkEnd w:id="189"/>
      <w:bookmarkEnd w:id="190"/>
      <w:bookmarkEnd w:id="191"/>
      <w:bookmarkEnd w:id="192"/>
      <w:bookmarkEnd w:id="193"/>
    </w:p>
    <w:p w14:paraId="04F101E5">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BC3112C">
      <w:pPr>
        <w:spacing w:line="360" w:lineRule="auto"/>
        <w:ind w:firstLine="482" w:firstLineChars="200"/>
        <w:outlineLvl w:val="0"/>
        <w:rPr>
          <w:rFonts w:ascii="宋体" w:hAnsi="宋体" w:cs="宋体"/>
          <w:b/>
          <w:color w:val="auto"/>
          <w:sz w:val="24"/>
        </w:rPr>
      </w:pPr>
      <w:bookmarkStart w:id="194" w:name="_Toc23323"/>
      <w:bookmarkStart w:id="195" w:name="_Toc2016"/>
      <w:bookmarkStart w:id="196" w:name="_Toc14232"/>
      <w:bookmarkStart w:id="197" w:name="_Toc1123"/>
      <w:bookmarkStart w:id="198" w:name="_Toc20290"/>
      <w:r>
        <w:rPr>
          <w:rFonts w:hint="eastAsia" w:ascii="宋体" w:hAnsi="宋体" w:cs="宋体"/>
          <w:b/>
          <w:color w:val="auto"/>
          <w:sz w:val="24"/>
        </w:rPr>
        <w:t>2.14 合同中止、终止</w:t>
      </w:r>
      <w:bookmarkEnd w:id="194"/>
      <w:bookmarkEnd w:id="195"/>
      <w:bookmarkEnd w:id="196"/>
      <w:bookmarkEnd w:id="197"/>
      <w:bookmarkEnd w:id="198"/>
    </w:p>
    <w:p w14:paraId="011F607F">
      <w:pPr>
        <w:spacing w:line="360" w:lineRule="auto"/>
        <w:ind w:firstLine="480" w:firstLineChars="200"/>
        <w:rPr>
          <w:rFonts w:ascii="宋体" w:hAnsi="宋体" w:cs="宋体"/>
          <w:color w:val="auto"/>
          <w:sz w:val="24"/>
        </w:rPr>
      </w:pPr>
      <w:r>
        <w:rPr>
          <w:rFonts w:hint="eastAsia" w:ascii="宋体" w:hAnsi="宋体" w:cs="宋体"/>
          <w:color w:val="auto"/>
          <w:sz w:val="24"/>
        </w:rPr>
        <w:t>2.14.1 双方当事人不得擅自中止或者终止合同；</w:t>
      </w:r>
    </w:p>
    <w:p w14:paraId="1AB3CC2F">
      <w:pPr>
        <w:spacing w:line="360" w:lineRule="auto"/>
        <w:ind w:firstLine="480" w:firstLineChars="200"/>
        <w:rPr>
          <w:rFonts w:ascii="宋体" w:hAnsi="宋体" w:cs="宋体"/>
          <w:color w:val="auto"/>
          <w:sz w:val="24"/>
        </w:rPr>
      </w:pPr>
      <w:r>
        <w:rPr>
          <w:rFonts w:hint="eastAsia" w:ascii="宋体" w:hAnsi="宋体" w:cs="宋体"/>
          <w:color w:val="auto"/>
          <w:sz w:val="24"/>
        </w:rPr>
        <w:t>2.14.2合同继续履行将损害国家利益和社会公共利益的，双方当事人应当中止或者终止合同。有过错的一方应当承担赔偿责任，双方当事人都有过错的，各自承担相应的责任。</w:t>
      </w:r>
    </w:p>
    <w:p w14:paraId="69564699">
      <w:pPr>
        <w:spacing w:line="360" w:lineRule="auto"/>
        <w:ind w:firstLine="482" w:firstLineChars="200"/>
        <w:outlineLvl w:val="0"/>
        <w:rPr>
          <w:rFonts w:ascii="宋体" w:hAnsi="宋体" w:cs="宋体"/>
          <w:b/>
          <w:color w:val="auto"/>
          <w:sz w:val="24"/>
        </w:rPr>
      </w:pPr>
      <w:bookmarkStart w:id="199" w:name="_Toc14525"/>
      <w:bookmarkStart w:id="200" w:name="_Toc1969"/>
      <w:bookmarkStart w:id="201" w:name="_Toc437"/>
      <w:bookmarkStart w:id="202" w:name="_Toc17363"/>
      <w:bookmarkStart w:id="203" w:name="_Toc13740"/>
      <w:r>
        <w:rPr>
          <w:rFonts w:hint="eastAsia" w:ascii="宋体" w:hAnsi="宋体" w:cs="宋体"/>
          <w:b/>
          <w:color w:val="auto"/>
          <w:sz w:val="24"/>
        </w:rPr>
        <w:t>2.15 检验和验收</w:t>
      </w:r>
      <w:bookmarkEnd w:id="199"/>
      <w:bookmarkEnd w:id="200"/>
      <w:bookmarkEnd w:id="201"/>
      <w:bookmarkEnd w:id="202"/>
      <w:bookmarkEnd w:id="203"/>
    </w:p>
    <w:p w14:paraId="4E03983F">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2.15.1 乙方按照</w:t>
      </w:r>
      <w:r>
        <w:rPr>
          <w:rFonts w:hint="eastAsia" w:ascii="宋体" w:hAnsi="宋体" w:cs="宋体"/>
          <w:b/>
          <w:i/>
          <w:color w:val="auto"/>
          <w:sz w:val="24"/>
          <w:u w:val="single"/>
        </w:rPr>
        <w:t>合同专用条款</w:t>
      </w:r>
      <w:r>
        <w:rPr>
          <w:rFonts w:hint="eastAsia" w:ascii="宋体" w:hAnsi="宋体" w:cs="宋体"/>
          <w:color w:val="auto"/>
          <w:sz w:val="24"/>
        </w:rPr>
        <w:t>的约定，定期提交服务报告，甲方按照</w:t>
      </w:r>
      <w:r>
        <w:rPr>
          <w:rFonts w:hint="eastAsia" w:ascii="宋体" w:hAnsi="宋体" w:cs="宋体"/>
          <w:b/>
          <w:i/>
          <w:color w:val="auto"/>
          <w:sz w:val="24"/>
          <w:u w:val="single"/>
        </w:rPr>
        <w:t>合同专用条款</w:t>
      </w:r>
      <w:r>
        <w:rPr>
          <w:rFonts w:hint="eastAsia" w:ascii="宋体" w:hAnsi="宋体" w:cs="宋体"/>
          <w:color w:val="auto"/>
          <w:sz w:val="24"/>
        </w:rPr>
        <w:t>的约定进行定期验收；</w:t>
      </w:r>
    </w:p>
    <w:p w14:paraId="3B8E7838">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E0C2379">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2.15.3 检验和验收标准、程序等具体内容以及前述验收书的效力详见</w:t>
      </w:r>
      <w:r>
        <w:rPr>
          <w:rFonts w:hint="eastAsia" w:ascii="宋体" w:hAnsi="宋体" w:cs="宋体"/>
          <w:b/>
          <w:i/>
          <w:color w:val="auto"/>
          <w:sz w:val="24"/>
          <w:u w:val="single"/>
        </w:rPr>
        <w:t>合同专用条款</w:t>
      </w:r>
      <w:r>
        <w:rPr>
          <w:rFonts w:hint="eastAsia" w:ascii="宋体" w:hAnsi="宋体" w:cs="宋体"/>
          <w:i/>
          <w:color w:val="auto"/>
          <w:sz w:val="24"/>
        </w:rPr>
        <w:t>。</w:t>
      </w:r>
    </w:p>
    <w:bookmarkEnd w:id="154"/>
    <w:bookmarkEnd w:id="155"/>
    <w:bookmarkEnd w:id="156"/>
    <w:bookmarkEnd w:id="157"/>
    <w:p w14:paraId="792B15CE">
      <w:pPr>
        <w:spacing w:line="360" w:lineRule="auto"/>
        <w:ind w:firstLine="482" w:firstLineChars="200"/>
        <w:outlineLvl w:val="0"/>
        <w:rPr>
          <w:rFonts w:ascii="宋体" w:hAnsi="宋体" w:cs="宋体"/>
          <w:b/>
          <w:color w:val="auto"/>
          <w:sz w:val="24"/>
        </w:rPr>
      </w:pPr>
      <w:bookmarkStart w:id="204" w:name="_Toc279701261"/>
      <w:bookmarkStart w:id="205" w:name="_Toc259093690"/>
      <w:bookmarkStart w:id="206" w:name="_Toc487900371"/>
      <w:bookmarkStart w:id="207" w:name="_Toc31892"/>
      <w:bookmarkStart w:id="208" w:name="_Toc12666"/>
      <w:bookmarkStart w:id="209" w:name="_Toc7764"/>
      <w:bookmarkStart w:id="210" w:name="_Toc2308"/>
      <w:bookmarkStart w:id="211" w:name="_Toc23110"/>
      <w:bookmarkStart w:id="212" w:name="_Toc9808"/>
      <w:bookmarkStart w:id="213" w:name="_Toc25198"/>
      <w:r>
        <w:rPr>
          <w:rFonts w:hint="eastAsia" w:ascii="宋体" w:hAnsi="宋体" w:cs="宋体"/>
          <w:b/>
          <w:color w:val="auto"/>
          <w:sz w:val="24"/>
        </w:rPr>
        <w:t>2.16 通知</w:t>
      </w:r>
      <w:bookmarkEnd w:id="204"/>
      <w:bookmarkEnd w:id="205"/>
      <w:bookmarkEnd w:id="206"/>
      <w:r>
        <w:rPr>
          <w:rFonts w:hint="eastAsia" w:ascii="宋体" w:hAnsi="宋体" w:cs="宋体"/>
          <w:b/>
          <w:color w:val="auto"/>
          <w:sz w:val="24"/>
        </w:rPr>
        <w:t>和送达</w:t>
      </w:r>
      <w:bookmarkEnd w:id="207"/>
      <w:bookmarkEnd w:id="208"/>
      <w:bookmarkEnd w:id="209"/>
      <w:bookmarkEnd w:id="210"/>
      <w:bookmarkEnd w:id="211"/>
      <w:bookmarkEnd w:id="212"/>
      <w:bookmarkEnd w:id="213"/>
    </w:p>
    <w:p w14:paraId="3E36493B">
      <w:pPr>
        <w:spacing w:line="360" w:lineRule="auto"/>
        <w:ind w:firstLine="480" w:firstLineChars="200"/>
        <w:rPr>
          <w:rFonts w:ascii="宋体" w:hAnsi="宋体" w:cs="宋体"/>
          <w:color w:val="auto"/>
          <w:sz w:val="24"/>
        </w:rPr>
      </w:pPr>
      <w:bookmarkStart w:id="214" w:name="_Toc29220"/>
      <w:bookmarkStart w:id="215" w:name="_Toc7073"/>
      <w:bookmarkStart w:id="216" w:name="_Toc487900372"/>
      <w:bookmarkStart w:id="217" w:name="_Toc259093691"/>
      <w:bookmarkStart w:id="218" w:name="_Toc279701262"/>
      <w:r>
        <w:rPr>
          <w:rFonts w:hint="eastAsia" w:ascii="宋体" w:hAnsi="宋体" w:cs="宋体"/>
          <w:color w:val="auto"/>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14"/>
      <w:bookmarkEnd w:id="215"/>
    </w:p>
    <w:p w14:paraId="2B59B0A8">
      <w:pPr>
        <w:spacing w:line="360" w:lineRule="auto"/>
        <w:ind w:firstLine="480" w:firstLineChars="200"/>
        <w:rPr>
          <w:rFonts w:ascii="宋体" w:hAnsi="宋体" w:cs="宋体"/>
          <w:color w:val="auto"/>
          <w:sz w:val="24"/>
        </w:rPr>
      </w:pPr>
      <w:bookmarkStart w:id="219" w:name="_Toc27674"/>
      <w:bookmarkStart w:id="220" w:name="_Toc18401"/>
      <w:r>
        <w:rPr>
          <w:rFonts w:hint="eastAsia" w:ascii="宋体" w:hAnsi="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9"/>
      <w:bookmarkEnd w:id="220"/>
    </w:p>
    <w:bookmarkEnd w:id="216"/>
    <w:bookmarkEnd w:id="217"/>
    <w:bookmarkEnd w:id="218"/>
    <w:p w14:paraId="6536EBE5">
      <w:pPr>
        <w:spacing w:line="360" w:lineRule="auto"/>
        <w:ind w:firstLine="482" w:firstLineChars="200"/>
        <w:outlineLvl w:val="0"/>
        <w:rPr>
          <w:rFonts w:ascii="宋体" w:hAnsi="宋体" w:cs="宋体"/>
          <w:b/>
          <w:color w:val="auto"/>
          <w:sz w:val="24"/>
        </w:rPr>
      </w:pPr>
      <w:bookmarkStart w:id="221" w:name="_Toc12254"/>
      <w:bookmarkStart w:id="222" w:name="_Toc279701263"/>
      <w:bookmarkStart w:id="223" w:name="_Toc27644"/>
      <w:bookmarkStart w:id="224" w:name="_Toc20808"/>
      <w:bookmarkStart w:id="225" w:name="_Toc259093692"/>
      <w:bookmarkStart w:id="226" w:name="_Toc487900373"/>
      <w:bookmarkStart w:id="227" w:name="_Toc28906"/>
      <w:bookmarkStart w:id="228" w:name="_Toc5063"/>
      <w:bookmarkStart w:id="229" w:name="_Toc19263"/>
      <w:bookmarkStart w:id="230" w:name="_Toc13223"/>
      <w:r>
        <w:rPr>
          <w:rFonts w:hint="eastAsia" w:ascii="宋体" w:hAnsi="宋体" w:cs="宋体"/>
          <w:b/>
          <w:color w:val="auto"/>
          <w:sz w:val="24"/>
        </w:rPr>
        <w:t>2.17 合同使用的文字和适用的法律</w:t>
      </w:r>
      <w:bookmarkEnd w:id="221"/>
      <w:bookmarkEnd w:id="222"/>
      <w:bookmarkEnd w:id="223"/>
      <w:bookmarkEnd w:id="224"/>
      <w:bookmarkEnd w:id="225"/>
      <w:bookmarkEnd w:id="226"/>
      <w:bookmarkEnd w:id="227"/>
      <w:bookmarkEnd w:id="228"/>
      <w:bookmarkEnd w:id="229"/>
      <w:bookmarkEnd w:id="230"/>
    </w:p>
    <w:p w14:paraId="054127D2">
      <w:pPr>
        <w:spacing w:line="360" w:lineRule="auto"/>
        <w:ind w:firstLine="480" w:firstLineChars="200"/>
        <w:rPr>
          <w:rFonts w:ascii="宋体" w:hAnsi="宋体" w:cs="宋体"/>
          <w:color w:val="auto"/>
          <w:sz w:val="24"/>
        </w:rPr>
      </w:pPr>
      <w:r>
        <w:rPr>
          <w:rFonts w:hint="eastAsia" w:ascii="宋体" w:hAnsi="宋体" w:cs="宋体"/>
          <w:color w:val="auto"/>
          <w:sz w:val="24"/>
        </w:rPr>
        <w:t>2.17.1 合同使用汉语书就、变更和解释；</w:t>
      </w:r>
    </w:p>
    <w:p w14:paraId="132AED40">
      <w:pPr>
        <w:spacing w:line="360" w:lineRule="auto"/>
        <w:ind w:firstLine="480" w:firstLineChars="200"/>
        <w:rPr>
          <w:rFonts w:ascii="宋体" w:hAnsi="宋体" w:cs="宋体"/>
          <w:color w:val="auto"/>
          <w:sz w:val="24"/>
        </w:rPr>
      </w:pPr>
      <w:r>
        <w:rPr>
          <w:rFonts w:hint="eastAsia" w:ascii="宋体" w:hAnsi="宋体" w:cs="宋体"/>
          <w:color w:val="auto"/>
          <w:sz w:val="24"/>
        </w:rPr>
        <w:t>2.17.2 合同适用中华人民共和国法律。</w:t>
      </w:r>
    </w:p>
    <w:p w14:paraId="33D6B9D4">
      <w:pPr>
        <w:spacing w:line="360" w:lineRule="auto"/>
        <w:ind w:firstLine="482" w:firstLineChars="200"/>
        <w:outlineLvl w:val="0"/>
        <w:rPr>
          <w:rFonts w:ascii="宋体" w:hAnsi="宋体" w:cs="宋体"/>
          <w:b/>
          <w:color w:val="auto"/>
          <w:sz w:val="24"/>
        </w:rPr>
      </w:pPr>
      <w:bookmarkStart w:id="231" w:name="_Toc9956"/>
      <w:bookmarkStart w:id="232" w:name="_Toc30096"/>
      <w:bookmarkStart w:id="233" w:name="_Toc8215"/>
      <w:bookmarkStart w:id="234" w:name="_Toc259093693"/>
      <w:bookmarkStart w:id="235" w:name="_Toc22266"/>
      <w:bookmarkStart w:id="236" w:name="_Toc27403"/>
      <w:bookmarkStart w:id="237" w:name="_Toc27127"/>
      <w:bookmarkStart w:id="238" w:name="_Toc279701264"/>
      <w:bookmarkStart w:id="239" w:name="_Toc1492"/>
      <w:bookmarkStart w:id="240" w:name="_Toc487900374"/>
      <w:r>
        <w:rPr>
          <w:rFonts w:hint="eastAsia" w:ascii="宋体" w:hAnsi="宋体" w:cs="宋体"/>
          <w:b/>
          <w:color w:val="auto"/>
          <w:sz w:val="24"/>
        </w:rPr>
        <w:t>2.18 履约保证金</w:t>
      </w:r>
      <w:bookmarkEnd w:id="231"/>
      <w:bookmarkEnd w:id="232"/>
      <w:bookmarkEnd w:id="233"/>
      <w:bookmarkEnd w:id="234"/>
      <w:bookmarkEnd w:id="235"/>
      <w:bookmarkEnd w:id="236"/>
      <w:bookmarkEnd w:id="237"/>
      <w:bookmarkEnd w:id="238"/>
      <w:bookmarkEnd w:id="239"/>
    </w:p>
    <w:p w14:paraId="59FBCA21">
      <w:pPr>
        <w:spacing w:line="360" w:lineRule="auto"/>
        <w:ind w:firstLine="480" w:firstLineChars="200"/>
        <w:rPr>
          <w:rFonts w:ascii="宋体" w:hAnsi="宋体" w:cs="宋体"/>
          <w:color w:val="auto"/>
          <w:sz w:val="24"/>
        </w:rPr>
      </w:pPr>
      <w:r>
        <w:rPr>
          <w:rFonts w:hint="eastAsia" w:ascii="宋体" w:hAnsi="宋体" w:cs="宋体"/>
          <w:color w:val="auto"/>
          <w:sz w:val="24"/>
        </w:rPr>
        <w:t>2.18.1 采购文件要求乙方提交履约保证金的，乙方应按</w:t>
      </w:r>
      <w:r>
        <w:rPr>
          <w:rFonts w:hint="eastAsia" w:ascii="宋体" w:hAnsi="宋体" w:cs="宋体"/>
          <w:b/>
          <w:i/>
          <w:color w:val="auto"/>
          <w:sz w:val="24"/>
          <w:u w:val="single"/>
        </w:rPr>
        <w:t>合同专用条款</w:t>
      </w:r>
      <w:r>
        <w:rPr>
          <w:rFonts w:hint="eastAsia" w:ascii="宋体" w:hAnsi="宋体" w:cs="宋体"/>
          <w:color w:val="auto"/>
          <w:sz w:val="24"/>
        </w:rPr>
        <w:t>约定的方式，以支票、汇票、本票或者金融机构、担保机构出具的保函等非现金形式，提交不超过合同价10%的履约保证金；</w:t>
      </w:r>
    </w:p>
    <w:p w14:paraId="687EBCF2">
      <w:pPr>
        <w:spacing w:line="360" w:lineRule="auto"/>
        <w:ind w:firstLine="480" w:firstLineChars="200"/>
        <w:rPr>
          <w:rFonts w:ascii="宋体" w:hAnsi="宋体" w:cs="宋体"/>
          <w:color w:val="auto"/>
          <w:sz w:val="24"/>
        </w:rPr>
      </w:pPr>
      <w:r>
        <w:rPr>
          <w:rFonts w:hint="eastAsia" w:ascii="宋体" w:hAnsi="宋体" w:cs="宋体"/>
          <w:color w:val="auto"/>
          <w:sz w:val="24"/>
        </w:rPr>
        <w:t>2.18.2 履约保证金在</w:t>
      </w:r>
      <w:r>
        <w:rPr>
          <w:rFonts w:hint="eastAsia" w:ascii="宋体" w:hAnsi="宋体" w:cs="宋体"/>
          <w:b/>
          <w:i/>
          <w:color w:val="auto"/>
          <w:sz w:val="24"/>
          <w:u w:val="single"/>
        </w:rPr>
        <w:t>合同专用条款</w:t>
      </w:r>
      <w:r>
        <w:rPr>
          <w:rFonts w:hint="eastAsia" w:ascii="宋体" w:hAnsi="宋体" w:cs="宋体"/>
          <w:color w:val="auto"/>
          <w:sz w:val="24"/>
        </w:rPr>
        <w:t>约定期间内不予退还或者应完全有效，前述约定期间届满之日起个工作日内，甲方应将履约保证金退还乙方；</w:t>
      </w:r>
    </w:p>
    <w:p w14:paraId="1DDEA36E">
      <w:pPr>
        <w:spacing w:line="360" w:lineRule="auto"/>
        <w:ind w:firstLine="480" w:firstLineChars="200"/>
        <w:rPr>
          <w:rFonts w:ascii="宋体" w:hAnsi="宋体" w:cs="宋体"/>
          <w:color w:val="auto"/>
          <w:sz w:val="24"/>
        </w:rPr>
      </w:pPr>
      <w:r>
        <w:rPr>
          <w:rFonts w:hint="eastAsia" w:ascii="宋体" w:hAnsi="宋体" w:cs="宋体"/>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40"/>
    <w:p w14:paraId="19AD1D73">
      <w:pPr>
        <w:spacing w:line="360" w:lineRule="auto"/>
        <w:ind w:firstLine="482" w:firstLineChars="200"/>
        <w:rPr>
          <w:rFonts w:ascii="宋体" w:hAnsi="宋体" w:cs="宋体"/>
          <w:b/>
          <w:color w:val="auto"/>
          <w:sz w:val="24"/>
        </w:rPr>
      </w:pPr>
      <w:r>
        <w:rPr>
          <w:rFonts w:hint="eastAsia" w:ascii="宋体" w:hAnsi="宋体" w:cs="宋体"/>
          <w:b/>
          <w:color w:val="auto"/>
          <w:sz w:val="24"/>
        </w:rPr>
        <w:t>2.19 合同份数</w:t>
      </w:r>
    </w:p>
    <w:p w14:paraId="1AD53951">
      <w:pPr>
        <w:spacing w:line="360" w:lineRule="auto"/>
        <w:ind w:firstLine="480" w:firstLineChars="200"/>
        <w:rPr>
          <w:rFonts w:ascii="宋体" w:hAnsi="宋体" w:cs="宋体"/>
          <w:color w:val="auto"/>
          <w:sz w:val="24"/>
        </w:rPr>
      </w:pPr>
      <w:r>
        <w:rPr>
          <w:rFonts w:hint="eastAsia" w:ascii="宋体" w:hAnsi="宋体" w:cs="宋体"/>
          <w:color w:val="auto"/>
          <w:sz w:val="24"/>
        </w:rPr>
        <w:t>合同份数按</w:t>
      </w:r>
      <w:r>
        <w:rPr>
          <w:rFonts w:hint="eastAsia" w:ascii="宋体" w:hAnsi="宋体" w:cs="宋体"/>
          <w:b/>
          <w:i/>
          <w:color w:val="auto"/>
          <w:sz w:val="24"/>
          <w:u w:val="single"/>
        </w:rPr>
        <w:t>合同专用条款</w:t>
      </w:r>
      <w:r>
        <w:rPr>
          <w:rFonts w:hint="eastAsia" w:ascii="宋体" w:hAnsi="宋体" w:cs="宋体"/>
          <w:color w:val="auto"/>
          <w:sz w:val="24"/>
        </w:rPr>
        <w:t>规定，每份均具有同等法律效力。</w:t>
      </w:r>
    </w:p>
    <w:p w14:paraId="0BCBDF65">
      <w:pPr>
        <w:pStyle w:val="103"/>
        <w:spacing w:line="560" w:lineRule="exact"/>
        <w:ind w:firstLine="0"/>
        <w:jc w:val="center"/>
        <w:rPr>
          <w:rFonts w:hAnsi="宋体" w:cs="宋体"/>
          <w:b/>
          <w:color w:val="auto"/>
          <w:szCs w:val="24"/>
        </w:rPr>
      </w:pPr>
      <w:r>
        <w:rPr>
          <w:rFonts w:hint="eastAsia" w:hAnsi="宋体" w:cs="宋体"/>
          <w:color w:val="auto"/>
          <w:szCs w:val="24"/>
        </w:rPr>
        <w:br w:type="page"/>
      </w:r>
      <w:bookmarkStart w:id="241" w:name="_Toc331685784"/>
      <w:r>
        <w:rPr>
          <w:rFonts w:hint="eastAsia" w:hAnsi="宋体" w:cs="宋体"/>
          <w:b/>
          <w:color w:val="auto"/>
          <w:szCs w:val="24"/>
        </w:rPr>
        <w:t>第三部分  合同专用条款</w:t>
      </w:r>
      <w:bookmarkEnd w:id="241"/>
    </w:p>
    <w:p w14:paraId="3F8A8695">
      <w:pPr>
        <w:spacing w:line="360" w:lineRule="auto"/>
        <w:ind w:firstLine="480" w:firstLineChars="200"/>
        <w:rPr>
          <w:rFonts w:ascii="宋体" w:hAnsi="宋体" w:cs="宋体"/>
          <w:color w:val="auto"/>
          <w:sz w:val="24"/>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03A9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27F1C028">
            <w:pPr>
              <w:keepNext w:val="0"/>
              <w:keepLines w:val="0"/>
              <w:suppressLineNumbers w:val="0"/>
              <w:spacing w:before="0" w:beforeAutospacing="0" w:after="0" w:afterAutospacing="0" w:line="560" w:lineRule="exact"/>
              <w:ind w:left="0" w:right="0"/>
              <w:jc w:val="center"/>
              <w:rPr>
                <w:rFonts w:hint="default" w:ascii="宋体" w:hAnsi="宋体" w:cs="宋体"/>
                <w:b/>
                <w:color w:val="auto"/>
                <w:sz w:val="24"/>
              </w:rPr>
            </w:pPr>
            <w:r>
              <w:rPr>
                <w:rFonts w:hint="eastAsia" w:ascii="宋体" w:hAnsi="宋体" w:cs="宋体"/>
                <w:b/>
                <w:color w:val="auto"/>
                <w:sz w:val="24"/>
              </w:rPr>
              <w:t>条款号</w:t>
            </w:r>
          </w:p>
        </w:tc>
        <w:tc>
          <w:tcPr>
            <w:tcW w:w="7633" w:type="dxa"/>
            <w:noWrap w:val="0"/>
            <w:vAlign w:val="center"/>
          </w:tcPr>
          <w:p w14:paraId="724F64BA">
            <w:pPr>
              <w:keepNext w:val="0"/>
              <w:keepLines w:val="0"/>
              <w:suppressLineNumbers w:val="0"/>
              <w:spacing w:before="0" w:beforeAutospacing="0" w:after="0" w:afterAutospacing="0" w:line="560" w:lineRule="exact"/>
              <w:ind w:left="0" w:right="0"/>
              <w:jc w:val="center"/>
              <w:rPr>
                <w:rFonts w:hint="default" w:ascii="宋体" w:hAnsi="宋体" w:cs="宋体"/>
                <w:b/>
                <w:color w:val="auto"/>
                <w:sz w:val="24"/>
              </w:rPr>
            </w:pPr>
            <w:r>
              <w:rPr>
                <w:rFonts w:hint="eastAsia" w:ascii="宋体" w:hAnsi="宋体" w:cs="宋体"/>
                <w:b/>
                <w:color w:val="auto"/>
                <w:sz w:val="24"/>
              </w:rPr>
              <w:t>约定内容</w:t>
            </w:r>
          </w:p>
        </w:tc>
      </w:tr>
      <w:tr w14:paraId="121B2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5CED4624">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55990910">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r>
      <w:tr w14:paraId="665A0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6B1901C">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13C4A6EF">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r>
      <w:tr w14:paraId="13BB7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76FD5D8">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17DC3007">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r>
      <w:tr w14:paraId="0FBD9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867E5E6">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6A4F91E9">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r>
      <w:tr w14:paraId="2161C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950DA51">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127A8340">
            <w:pPr>
              <w:keepNext w:val="0"/>
              <w:keepLines w:val="0"/>
              <w:suppressLineNumbers w:val="0"/>
              <w:spacing w:before="0" w:beforeAutospacing="0" w:after="0" w:afterAutospacing="0" w:line="560" w:lineRule="exact"/>
              <w:ind w:left="0" w:right="0"/>
              <w:rPr>
                <w:rFonts w:hint="default" w:ascii="宋体" w:hAnsi="宋体" w:cs="宋体"/>
                <w:color w:val="auto"/>
                <w:sz w:val="24"/>
                <w:u w:val="single"/>
              </w:rPr>
            </w:pPr>
          </w:p>
        </w:tc>
      </w:tr>
      <w:tr w14:paraId="37F63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CD272C5">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5FCCD741">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r>
      <w:tr w14:paraId="2529A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45E50B4">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3BFB7620">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r>
      <w:tr w14:paraId="0693A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E1E9722">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02F33120">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r>
      <w:tr w14:paraId="7D7A3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EA4329A">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07FD2731">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r>
      <w:tr w14:paraId="5ED56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C5EFE8B">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c>
          <w:tcPr>
            <w:tcW w:w="7633" w:type="dxa"/>
            <w:noWrap w:val="0"/>
            <w:vAlign w:val="center"/>
          </w:tcPr>
          <w:p w14:paraId="64D24F3B">
            <w:pPr>
              <w:keepNext w:val="0"/>
              <w:keepLines w:val="0"/>
              <w:suppressLineNumbers w:val="0"/>
              <w:spacing w:before="0" w:beforeAutospacing="0" w:after="0" w:afterAutospacing="0" w:line="560" w:lineRule="exact"/>
              <w:ind w:left="0" w:right="0"/>
              <w:rPr>
                <w:rFonts w:hint="default" w:ascii="宋体" w:hAnsi="宋体" w:cs="宋体"/>
                <w:color w:val="auto"/>
                <w:sz w:val="24"/>
              </w:rPr>
            </w:pPr>
          </w:p>
        </w:tc>
      </w:tr>
    </w:tbl>
    <w:p w14:paraId="722F7407">
      <w:pPr>
        <w:spacing w:line="360" w:lineRule="auto"/>
        <w:ind w:firstLine="315" w:firstLineChars="150"/>
        <w:rPr>
          <w:color w:val="auto"/>
          <w:szCs w:val="21"/>
        </w:rPr>
      </w:pPr>
    </w:p>
    <w:p w14:paraId="48A4329F">
      <w:pPr>
        <w:bidi w:val="0"/>
        <w:rPr>
          <w:rFonts w:hint="eastAsia"/>
          <w:color w:val="auto"/>
        </w:rPr>
      </w:pPr>
    </w:p>
    <w:p w14:paraId="7110823E">
      <w:pPr>
        <w:bidi w:val="0"/>
        <w:rPr>
          <w:rFonts w:hint="eastAsia"/>
          <w:color w:val="auto"/>
        </w:rPr>
      </w:pPr>
    </w:p>
    <w:p w14:paraId="69AAB07B">
      <w:pPr>
        <w:rPr>
          <w:rFonts w:hint="eastAsia"/>
          <w:color w:val="auto"/>
        </w:rPr>
      </w:pPr>
    </w:p>
    <w:p w14:paraId="1A4EF4EB">
      <w:pPr>
        <w:rPr>
          <w:rFonts w:hint="eastAsia"/>
          <w:color w:val="auto"/>
        </w:rPr>
      </w:pPr>
      <w:r>
        <w:rPr>
          <w:rFonts w:hint="eastAsia"/>
          <w:color w:val="auto"/>
        </w:rPr>
        <w:br w:type="page"/>
      </w:r>
    </w:p>
    <w:p w14:paraId="32299170">
      <w:pPr>
        <w:numPr>
          <w:ilvl w:val="0"/>
          <w:numId w:val="5"/>
        </w:numPr>
        <w:shd w:val="clear"/>
        <w:spacing w:line="360" w:lineRule="auto"/>
        <w:jc w:val="center"/>
        <w:outlineLvl w:val="0"/>
        <w:rPr>
          <w:rFonts w:hint="eastAsia" w:ascii="宋体" w:hAnsi="宋体" w:cs="宋体"/>
          <w:b/>
          <w:bCs/>
          <w:color w:val="auto"/>
          <w:sz w:val="28"/>
          <w:szCs w:val="28"/>
          <w:highlight w:val="none"/>
        </w:rPr>
      </w:pPr>
      <w:bookmarkStart w:id="242" w:name="_Toc2103"/>
      <w:bookmarkStart w:id="243" w:name="_Toc19204"/>
      <w:bookmarkStart w:id="244" w:name="_Toc19192_WPSOffice_Level1"/>
      <w:bookmarkStart w:id="245" w:name="_Toc92733679"/>
      <w:bookmarkStart w:id="246" w:name="_Toc267301295"/>
      <w:r>
        <w:rPr>
          <w:rFonts w:hint="eastAsia" w:ascii="宋体" w:hAnsi="宋体" w:cs="宋体"/>
          <w:b/>
          <w:bCs/>
          <w:color w:val="auto"/>
          <w:sz w:val="28"/>
          <w:szCs w:val="28"/>
          <w:highlight w:val="none"/>
        </w:rPr>
        <w:t xml:space="preserve"> </w:t>
      </w:r>
      <w:bookmarkEnd w:id="242"/>
      <w:bookmarkEnd w:id="243"/>
      <w:bookmarkEnd w:id="244"/>
      <w:r>
        <w:rPr>
          <w:rFonts w:hint="eastAsia" w:ascii="宋体" w:hAnsi="宋体" w:cs="宋体"/>
          <w:b/>
          <w:bCs/>
          <w:color w:val="auto"/>
          <w:sz w:val="28"/>
          <w:szCs w:val="28"/>
          <w:highlight w:val="none"/>
        </w:rPr>
        <w:t>服务需求及要求</w:t>
      </w:r>
    </w:p>
    <w:p w14:paraId="126FB09A">
      <w:pPr>
        <w:keepNext w:val="0"/>
        <w:keepLines w:val="0"/>
        <w:pageBreakBefore w:val="0"/>
        <w:widowControl w:val="0"/>
        <w:kinsoku/>
        <w:wordWrap/>
        <w:overflowPunct/>
        <w:topLinePunct w:val="0"/>
        <w:autoSpaceDE/>
        <w:autoSpaceDN/>
        <w:bidi w:val="0"/>
        <w:adjustRightInd/>
        <w:snapToGrid w:val="0"/>
        <w:spacing w:line="360" w:lineRule="auto"/>
        <w:ind w:right="0"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一、项目情况</w:t>
      </w:r>
    </w:p>
    <w:p w14:paraId="0F56C4CD">
      <w:pPr>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1.项目名称:2024年喀什地区乡村医生中医药适宜技术推广项目</w:t>
      </w:r>
    </w:p>
    <w:p w14:paraId="365F1DAC">
      <w:pPr>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2.项目实施单位:喀什地区卫生健康委员会。</w:t>
      </w:r>
    </w:p>
    <w:p w14:paraId="09640AE1">
      <w:pPr>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3.项目总投资:总投资180万元。</w:t>
      </w:r>
    </w:p>
    <w:p w14:paraId="61143785">
      <w:pPr>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4.项目资金来源:依托山东援疆资金</w:t>
      </w:r>
    </w:p>
    <w:p w14:paraId="2FC86C01">
      <w:pPr>
        <w:keepNext w:val="0"/>
        <w:keepLines w:val="0"/>
        <w:pageBreakBefore w:val="0"/>
        <w:widowControl w:val="0"/>
        <w:kinsoku/>
        <w:wordWrap/>
        <w:overflowPunct/>
        <w:topLinePunct w:val="0"/>
        <w:autoSpaceDE/>
        <w:autoSpaceDN/>
        <w:bidi w:val="0"/>
        <w:adjustRightInd/>
        <w:snapToGrid w:val="0"/>
        <w:spacing w:line="360" w:lineRule="auto"/>
        <w:ind w:right="0"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二、项目背景</w:t>
      </w:r>
    </w:p>
    <w:p w14:paraId="1C1A3EA9">
      <w:pPr>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国务院办公厅关于印发“十四五”中医药发展规划的通知》（国办发〔2022〕5号）文件要求：做实基层中医药服务网络，推进中医药特色人才建设，进一步提高基层中医药人才数量和质量，通过以提高基层卫生技术人员运用中医药知识与技能防治常见病和多发病的能力以及中医药适宜技术培养需求为导向，加强中医药人才培养，更好地满足城乡居民对中医药服务的需求。为进一步加强喀什地区卫生健康服务能力，根据自治区《贯彻落实国务院办公厅关于进一步加强乡村医生队伍建设实施意见的意见》（新政办发〔2015〕159号）、《关于助力脱贫攻坚加强乡村医生队伍建设的通知》（新卫基层卫生发〔2020〕1号）工作要求，依托山东援疆资金，在疏勒县、英吉沙县、麦盖提县、岳普湖县四个县对1539名乡村医生开展中医药服务能力提升培训，增强村卫生室中医药服务供给、中医药保健能力，逐步保障人民群众健康权益。</w:t>
      </w:r>
    </w:p>
    <w:p w14:paraId="41196344">
      <w:pPr>
        <w:keepNext w:val="0"/>
        <w:keepLines w:val="0"/>
        <w:pageBreakBefore w:val="0"/>
        <w:widowControl w:val="0"/>
        <w:kinsoku/>
        <w:wordWrap/>
        <w:overflowPunct/>
        <w:topLinePunct w:val="0"/>
        <w:autoSpaceDE/>
        <w:autoSpaceDN/>
        <w:bidi w:val="0"/>
        <w:adjustRightInd/>
        <w:snapToGrid w:val="0"/>
        <w:spacing w:line="360" w:lineRule="auto"/>
        <w:ind w:right="0"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三、项目目标</w:t>
      </w:r>
    </w:p>
    <w:p w14:paraId="776550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通过“三级阶梯”的培训模式，培训遵循“知识趋于基本，能力注重实用，素质普遍提高”的原则，全员覆盖，应培尽培。建立以岗位需求为导向、以岗位胜任力为核心的培训制度，不断提高村卫生室中医药人才队伍建设和中医药服务能力。</w:t>
      </w:r>
    </w:p>
    <w:p w14:paraId="7A68B0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color w:val="auto"/>
          <w:lang w:val="en-US" w:eastAsia="zh-CN"/>
        </w:rPr>
      </w:pPr>
      <w:r>
        <w:rPr>
          <w:rFonts w:hint="eastAsia" w:ascii="宋体" w:hAnsi="宋体" w:eastAsia="宋体" w:cs="宋体"/>
          <w:b w:val="0"/>
          <w:bCs w:val="0"/>
          <w:color w:val="auto"/>
          <w:sz w:val="24"/>
          <w:szCs w:val="24"/>
          <w:highlight w:val="none"/>
          <w:lang w:val="en-US" w:eastAsia="zh-CN" w:bidi="ar-SA"/>
        </w:rPr>
        <w:t>采取分批次、分年度的培养方式，逐步完成地区12个县的村卫生室中医药适宜技术专项培训，在地区内建立一套完善的村医中医药人才培养框架。</w:t>
      </w:r>
    </w:p>
    <w:p w14:paraId="1842C1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三、合同履约期限、地点及合同签订</w:t>
      </w:r>
    </w:p>
    <w:p w14:paraId="4F3D5D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1、合同履约期限：按照三级阶梯分层级培养形式，逐步完成各类型培训。2025年6月之前完成，根据实际可调整时间。</w:t>
      </w:r>
    </w:p>
    <w:p w14:paraId="370F8A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 xml:space="preserve">2、付款方式：合同签订后,甲方向乙方支付合同总价款的 50%预付款,整个活动结束后支付至合同总价款 90%，项目验收合格后支付至合同总价款 100%;【具体以签订合同为准】。 </w:t>
      </w:r>
    </w:p>
    <w:p w14:paraId="619310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3、服务地点：甲方指定地点。</w:t>
      </w:r>
    </w:p>
    <w:p w14:paraId="6E34B3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签订合同：中标通知书发出后在3日内签订政府采购合同，若第一中标人拒绝签订政府采购合同，将取消中标资格，应当承担相应的法律责任。采购人可以按照评审报告推荐的中标候选人名单排序，确定一下候选人为中标人，也可以重新开展政府采购活动。</w:t>
      </w:r>
    </w:p>
    <w:p w14:paraId="4B978CA0">
      <w:pPr>
        <w:keepNext w:val="0"/>
        <w:keepLines w:val="0"/>
        <w:pageBreakBefore w:val="0"/>
        <w:widowControl w:val="0"/>
        <w:kinsoku/>
        <w:wordWrap/>
        <w:overflowPunct/>
        <w:topLinePunct w:val="0"/>
        <w:autoSpaceDE/>
        <w:autoSpaceDN/>
        <w:bidi w:val="0"/>
        <w:adjustRightInd/>
        <w:snapToGrid w:val="0"/>
        <w:spacing w:line="360" w:lineRule="auto"/>
        <w:ind w:right="0"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四、项目实施内容</w:t>
      </w:r>
    </w:p>
    <w:p w14:paraId="356D3BA4">
      <w:pPr>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2024年喀什地区乡村医生中医药适宜技术推广培训项目按夯实赋能培训、拓展技能提升培训、创新服务交流观摩培训等三个层次进行，具体如下：</w:t>
      </w:r>
    </w:p>
    <w:p w14:paraId="085078A4">
      <w:pPr>
        <w:keepNext w:val="0"/>
        <w:keepLines w:val="0"/>
        <w:pageBreakBefore w:val="0"/>
        <w:widowControl w:val="0"/>
        <w:kinsoku/>
        <w:wordWrap/>
        <w:overflowPunct/>
        <w:topLinePunct w:val="0"/>
        <w:autoSpaceDE/>
        <w:autoSpaceDN/>
        <w:bidi w:val="0"/>
        <w:adjustRightInd/>
        <w:snapToGrid w:val="0"/>
        <w:spacing w:line="360" w:lineRule="auto"/>
        <w:ind w:right="0" w:firstLine="482"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（一）夯基赋能全员培训。</w:t>
      </w:r>
      <w:r>
        <w:rPr>
          <w:rFonts w:hint="eastAsia" w:ascii="宋体" w:hAnsi="宋体" w:eastAsia="宋体" w:cs="宋体"/>
          <w:b w:val="0"/>
          <w:bCs w:val="0"/>
          <w:color w:val="auto"/>
          <w:sz w:val="24"/>
          <w:szCs w:val="24"/>
          <w:highlight w:val="none"/>
          <w:lang w:val="en-US" w:eastAsia="zh-CN" w:bidi="ar-SA"/>
        </w:rPr>
        <w:t>喀什地区疏勒县、英吉沙县、麦盖提县、岳普湖县四县，共1539名乡村医生参加。分为线上基础培训和面授专题培训两部分。线上基础培训通过自学的远程培训形式（线上学习、练习、考核、调研等，全国优选师资授课，适宜实用的中医药适宜技术，培训学习数据留痕管理），乡村医生回顾、强化中医基础知识，利于线下专题面授培训效果；线下专题面授培训分为12期，一期5天，每期128人，培训内容主要包括村卫生室4类6项中医药适宜推广技术理论知识和实践技能。</w:t>
      </w:r>
    </w:p>
    <w:p w14:paraId="0B7ABD83">
      <w:pPr>
        <w:keepNext w:val="0"/>
        <w:keepLines w:val="0"/>
        <w:pageBreakBefore w:val="0"/>
        <w:widowControl w:val="0"/>
        <w:kinsoku/>
        <w:wordWrap/>
        <w:overflowPunct/>
        <w:topLinePunct w:val="0"/>
        <w:autoSpaceDE/>
        <w:autoSpaceDN/>
        <w:bidi w:val="0"/>
        <w:adjustRightInd/>
        <w:snapToGrid w:val="0"/>
        <w:spacing w:line="360" w:lineRule="auto"/>
        <w:ind w:right="0" w:firstLine="482"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（二）拓展技能提升培训（技能强化培训）。</w:t>
      </w:r>
      <w:r>
        <w:rPr>
          <w:rFonts w:hint="eastAsia" w:ascii="宋体" w:hAnsi="宋体" w:eastAsia="宋体" w:cs="宋体"/>
          <w:b w:val="0"/>
          <w:bCs w:val="0"/>
          <w:color w:val="auto"/>
          <w:sz w:val="24"/>
          <w:szCs w:val="24"/>
          <w:highlight w:val="none"/>
          <w:lang w:val="en-US" w:eastAsia="zh-CN" w:bidi="ar-SA"/>
        </w:rPr>
        <w:t>从四县乡村医生全部学员中，遴选理论和业务能力突出的骨干乡村医生150人（10%），开展为一期4天的中医技能临床应用拓展培训（分为：针刺技术类、艾灸技术类、推拿技术类、刮痧技术类、拔罐技术类等）。</w:t>
      </w:r>
    </w:p>
    <w:p w14:paraId="786EE259">
      <w:pPr>
        <w:keepNext w:val="0"/>
        <w:keepLines w:val="0"/>
        <w:pageBreakBefore w:val="0"/>
        <w:widowControl w:val="0"/>
        <w:kinsoku/>
        <w:wordWrap/>
        <w:overflowPunct/>
        <w:topLinePunct w:val="0"/>
        <w:autoSpaceDE/>
        <w:autoSpaceDN/>
        <w:bidi w:val="0"/>
        <w:adjustRightInd/>
        <w:snapToGrid w:val="0"/>
        <w:spacing w:line="360" w:lineRule="auto"/>
        <w:ind w:right="0" w:firstLine="482" w:firstLineChars="200"/>
        <w:jc w:val="both"/>
        <w:textAlignment w:val="auto"/>
        <w:rPr>
          <w:rFonts w:hint="default"/>
          <w:color w:val="auto"/>
          <w:lang w:val="en-US" w:eastAsia="zh-CN"/>
        </w:rPr>
      </w:pPr>
      <w:r>
        <w:rPr>
          <w:rFonts w:hint="eastAsia" w:ascii="宋体" w:hAnsi="宋体" w:eastAsia="宋体" w:cs="宋体"/>
          <w:b/>
          <w:bCs/>
          <w:color w:val="auto"/>
          <w:sz w:val="24"/>
          <w:szCs w:val="24"/>
          <w:highlight w:val="none"/>
          <w:lang w:val="en-US" w:eastAsia="zh-CN" w:bidi="ar-SA"/>
        </w:rPr>
        <w:t>（三）创新服务交流培训（出疆交流观摩）。</w:t>
      </w:r>
      <w:r>
        <w:rPr>
          <w:rFonts w:hint="eastAsia" w:ascii="宋体" w:hAnsi="宋体" w:eastAsia="宋体" w:cs="宋体"/>
          <w:b w:val="0"/>
          <w:bCs w:val="0"/>
          <w:color w:val="auto"/>
          <w:sz w:val="24"/>
          <w:szCs w:val="24"/>
          <w:highlight w:val="none"/>
          <w:lang w:val="en-US" w:eastAsia="zh-CN" w:bidi="ar-SA"/>
        </w:rPr>
        <w:t>在骨干培训的乡村医生中，推优遴选32人（其中学员30人，领队2人）前往山东学习参观、交流，在具有代表的中医阁、中医馆、中医医院学习先进经验，同时邀请山东省中医药专家进行面授指导授课，为期7天（其中飞机往返2天，3天理论学习、2天参观学习）。</w:t>
      </w:r>
    </w:p>
    <w:p w14:paraId="1EA39459">
      <w:pPr>
        <w:keepNext w:val="0"/>
        <w:keepLines w:val="0"/>
        <w:pageBreakBefore w:val="0"/>
        <w:widowControl w:val="0"/>
        <w:kinsoku/>
        <w:wordWrap/>
        <w:overflowPunct/>
        <w:topLinePunct w:val="0"/>
        <w:autoSpaceDE/>
        <w:autoSpaceDN/>
        <w:bidi w:val="0"/>
        <w:adjustRightInd/>
        <w:snapToGrid w:val="0"/>
        <w:spacing w:line="360" w:lineRule="auto"/>
        <w:ind w:right="0"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五、项目效益:</w:t>
      </w:r>
    </w:p>
    <w:p w14:paraId="05B339F4">
      <w:pPr>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以山东援疆资金为依托，通过分层级分阶梯培训、线上培训与集中面授相结合、理论学习和技能操作相结合、走出去与引进来的综合培训方式，遴选业务能力强的骨干乡村医生掌握和使用中医适宜技术，进一步提升乡村医生中医药服务能力，增强村卫生室中医药服务供给及中医药保健能力，进一步促进健康乡村建设，提升群众获得感、幸福感。</w:t>
      </w:r>
    </w:p>
    <w:p w14:paraId="47AABE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六、参与培训人员清单</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593"/>
        <w:gridCol w:w="3667"/>
        <w:gridCol w:w="1280"/>
        <w:gridCol w:w="1460"/>
      </w:tblGrid>
      <w:tr w14:paraId="5D6C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27" w:type="pct"/>
            <w:noWrap w:val="0"/>
            <w:vAlign w:val="center"/>
          </w:tcPr>
          <w:p w14:paraId="16C74930">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4"/>
                <w:szCs w:val="24"/>
                <w:vertAlign w:val="baseline"/>
                <w:lang w:val="en-US" w:eastAsia="zh-CN"/>
              </w:rPr>
            </w:pPr>
            <w:r>
              <w:rPr>
                <w:rFonts w:hint="eastAsia" w:ascii="宋体" w:hAnsi="宋体" w:eastAsia="宋体" w:cs="宋体"/>
                <w:b/>
                <w:bCs w:val="0"/>
                <w:color w:val="auto"/>
                <w:sz w:val="24"/>
                <w:szCs w:val="24"/>
                <w:vertAlign w:val="baseline"/>
                <w:lang w:val="en-US" w:eastAsia="zh-CN"/>
              </w:rPr>
              <w:t>序号</w:t>
            </w:r>
          </w:p>
        </w:tc>
        <w:tc>
          <w:tcPr>
            <w:tcW w:w="890" w:type="pct"/>
            <w:noWrap w:val="0"/>
            <w:vAlign w:val="center"/>
          </w:tcPr>
          <w:p w14:paraId="53C69310">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4"/>
                <w:szCs w:val="24"/>
                <w:vertAlign w:val="baseline"/>
                <w:lang w:val="en-US" w:eastAsia="zh-CN"/>
              </w:rPr>
            </w:pPr>
            <w:r>
              <w:rPr>
                <w:rFonts w:hint="eastAsia" w:ascii="宋体" w:hAnsi="宋体" w:eastAsia="宋体" w:cs="宋体"/>
                <w:b/>
                <w:bCs w:val="0"/>
                <w:color w:val="auto"/>
                <w:sz w:val="24"/>
                <w:szCs w:val="24"/>
                <w:vertAlign w:val="baseline"/>
                <w:lang w:val="en-US" w:eastAsia="zh-CN"/>
              </w:rPr>
              <w:t>采购项目</w:t>
            </w:r>
          </w:p>
          <w:p w14:paraId="78AF34A0">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4"/>
                <w:szCs w:val="24"/>
                <w:vertAlign w:val="baseline"/>
                <w:lang w:val="en-US" w:eastAsia="zh-CN"/>
              </w:rPr>
            </w:pPr>
            <w:r>
              <w:rPr>
                <w:rFonts w:hint="eastAsia" w:ascii="宋体" w:hAnsi="宋体" w:eastAsia="宋体" w:cs="宋体"/>
                <w:b/>
                <w:bCs w:val="0"/>
                <w:color w:val="auto"/>
                <w:sz w:val="24"/>
                <w:szCs w:val="24"/>
                <w:vertAlign w:val="baseline"/>
                <w:lang w:val="en-US" w:eastAsia="zh-CN"/>
              </w:rPr>
              <w:t>名称</w:t>
            </w:r>
          </w:p>
        </w:tc>
        <w:tc>
          <w:tcPr>
            <w:tcW w:w="2049" w:type="pct"/>
            <w:noWrap w:val="0"/>
            <w:vAlign w:val="center"/>
          </w:tcPr>
          <w:p w14:paraId="4BBA9E75">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4"/>
                <w:szCs w:val="24"/>
                <w:vertAlign w:val="baseline"/>
                <w:lang w:val="en-US" w:eastAsia="zh-CN"/>
              </w:rPr>
            </w:pPr>
            <w:r>
              <w:rPr>
                <w:rFonts w:hint="eastAsia" w:ascii="宋体" w:hAnsi="宋体" w:eastAsia="宋体" w:cs="宋体"/>
                <w:b/>
                <w:bCs w:val="0"/>
                <w:color w:val="auto"/>
                <w:sz w:val="24"/>
                <w:szCs w:val="24"/>
                <w:vertAlign w:val="baseline"/>
                <w:lang w:val="en-US" w:eastAsia="zh-CN"/>
              </w:rPr>
              <w:t>活动内容</w:t>
            </w:r>
          </w:p>
        </w:tc>
        <w:tc>
          <w:tcPr>
            <w:tcW w:w="715" w:type="pct"/>
            <w:noWrap w:val="0"/>
            <w:vAlign w:val="center"/>
          </w:tcPr>
          <w:p w14:paraId="5D3EB168">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4"/>
                <w:szCs w:val="24"/>
                <w:vertAlign w:val="baseline"/>
                <w:lang w:val="en-US" w:eastAsia="zh-CN"/>
              </w:rPr>
            </w:pPr>
            <w:r>
              <w:rPr>
                <w:rFonts w:hint="eastAsia" w:ascii="宋体" w:hAnsi="宋体" w:eastAsia="宋体" w:cs="宋体"/>
                <w:b/>
                <w:bCs w:val="0"/>
                <w:color w:val="auto"/>
                <w:sz w:val="24"/>
                <w:szCs w:val="24"/>
                <w:vertAlign w:val="baseline"/>
                <w:lang w:val="en-US" w:eastAsia="zh-CN"/>
              </w:rPr>
              <w:t>活动地点</w:t>
            </w:r>
          </w:p>
        </w:tc>
        <w:tc>
          <w:tcPr>
            <w:tcW w:w="816" w:type="pct"/>
            <w:noWrap w:val="0"/>
            <w:vAlign w:val="center"/>
          </w:tcPr>
          <w:p w14:paraId="1CB70110">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4"/>
                <w:szCs w:val="24"/>
                <w:vertAlign w:val="baseline"/>
                <w:lang w:val="en-US" w:eastAsia="zh-CN"/>
              </w:rPr>
            </w:pPr>
            <w:r>
              <w:rPr>
                <w:rFonts w:hint="eastAsia" w:ascii="宋体" w:hAnsi="宋体" w:eastAsia="宋体" w:cs="宋体"/>
                <w:b/>
                <w:bCs w:val="0"/>
                <w:color w:val="auto"/>
                <w:sz w:val="24"/>
                <w:szCs w:val="24"/>
                <w:vertAlign w:val="baseline"/>
                <w:lang w:val="en-US" w:eastAsia="zh-CN"/>
              </w:rPr>
              <w:t>活动人数</w:t>
            </w:r>
          </w:p>
        </w:tc>
      </w:tr>
      <w:tr w14:paraId="04E7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27" w:type="pct"/>
            <w:noWrap w:val="0"/>
            <w:vAlign w:val="center"/>
          </w:tcPr>
          <w:p w14:paraId="4F1F910F">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w:t>
            </w:r>
          </w:p>
        </w:tc>
        <w:tc>
          <w:tcPr>
            <w:tcW w:w="890" w:type="pct"/>
            <w:noWrap w:val="0"/>
            <w:vAlign w:val="center"/>
          </w:tcPr>
          <w:p w14:paraId="6A29785C">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rPr>
            </w:pPr>
            <w:r>
              <w:rPr>
                <w:rFonts w:hint="eastAsia" w:ascii="宋体" w:hAnsi="宋体" w:eastAsia="宋体" w:cs="宋体"/>
                <w:b w:val="0"/>
                <w:bCs/>
                <w:color w:val="auto"/>
                <w:sz w:val="24"/>
                <w:szCs w:val="24"/>
                <w:vertAlign w:val="baseline"/>
                <w:lang w:val="en-US" w:eastAsia="zh-CN"/>
              </w:rPr>
              <w:t>夯基赋能全员培训</w:t>
            </w:r>
          </w:p>
        </w:tc>
        <w:tc>
          <w:tcPr>
            <w:tcW w:w="2049" w:type="pct"/>
            <w:noWrap w:val="0"/>
            <w:vAlign w:val="center"/>
          </w:tcPr>
          <w:p w14:paraId="50EC39C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培训资料费、</w:t>
            </w:r>
            <w:r>
              <w:rPr>
                <w:rFonts w:hint="eastAsia" w:ascii="宋体" w:hAnsi="宋体" w:eastAsia="宋体" w:cs="宋体"/>
                <w:bCs/>
                <w:color w:val="auto"/>
                <w:sz w:val="24"/>
                <w:szCs w:val="24"/>
                <w:highlight w:val="none"/>
                <w:lang w:val="en-US" w:eastAsia="zh-CN"/>
              </w:rPr>
              <w:t>授课师资费、线上理论培训、场地费、学员住宿费、学员餐费等</w:t>
            </w:r>
          </w:p>
        </w:tc>
        <w:tc>
          <w:tcPr>
            <w:tcW w:w="715" w:type="pct"/>
            <w:noWrap w:val="0"/>
            <w:vAlign w:val="center"/>
          </w:tcPr>
          <w:p w14:paraId="1695ACD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Cs/>
                <w:color w:val="auto"/>
                <w:sz w:val="24"/>
                <w:szCs w:val="24"/>
                <w:highlight w:val="none"/>
                <w:lang w:val="en-US" w:eastAsia="zh-CN"/>
              </w:rPr>
              <w:t>线上基础培训/面授专题培训</w:t>
            </w:r>
          </w:p>
        </w:tc>
        <w:tc>
          <w:tcPr>
            <w:tcW w:w="816" w:type="pct"/>
            <w:noWrap w:val="0"/>
            <w:vAlign w:val="center"/>
          </w:tcPr>
          <w:p w14:paraId="0041DDAA">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1539人</w:t>
            </w:r>
          </w:p>
        </w:tc>
      </w:tr>
      <w:tr w14:paraId="6C1E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27" w:type="pct"/>
            <w:noWrap w:val="0"/>
            <w:vAlign w:val="center"/>
          </w:tcPr>
          <w:p w14:paraId="35113E28">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w:t>
            </w:r>
          </w:p>
        </w:tc>
        <w:tc>
          <w:tcPr>
            <w:tcW w:w="890" w:type="pct"/>
            <w:noWrap w:val="0"/>
            <w:vAlign w:val="center"/>
          </w:tcPr>
          <w:p w14:paraId="3018E1A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拓展技能提升培训（技能强化培训）</w:t>
            </w:r>
          </w:p>
        </w:tc>
        <w:tc>
          <w:tcPr>
            <w:tcW w:w="2049" w:type="pct"/>
            <w:noWrap w:val="0"/>
            <w:vAlign w:val="center"/>
          </w:tcPr>
          <w:p w14:paraId="482B1603">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培训资料费、</w:t>
            </w:r>
            <w:r>
              <w:rPr>
                <w:rFonts w:hint="eastAsia" w:ascii="宋体" w:hAnsi="宋体" w:eastAsia="宋体" w:cs="宋体"/>
                <w:bCs/>
                <w:color w:val="auto"/>
                <w:sz w:val="24"/>
                <w:szCs w:val="24"/>
                <w:highlight w:val="none"/>
                <w:lang w:val="en-US" w:eastAsia="zh-CN"/>
              </w:rPr>
              <w:t>授课师资费、场地费、学员住宿费、学员餐费等</w:t>
            </w:r>
          </w:p>
        </w:tc>
        <w:tc>
          <w:tcPr>
            <w:tcW w:w="715" w:type="pct"/>
            <w:noWrap w:val="0"/>
            <w:vAlign w:val="center"/>
          </w:tcPr>
          <w:p w14:paraId="4DB0BC1A">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Cs/>
                <w:color w:val="auto"/>
                <w:sz w:val="24"/>
                <w:szCs w:val="24"/>
                <w:highlight w:val="none"/>
                <w:lang w:val="en-US" w:eastAsia="zh-CN"/>
              </w:rPr>
              <w:t>技能强化培训</w:t>
            </w:r>
          </w:p>
        </w:tc>
        <w:tc>
          <w:tcPr>
            <w:tcW w:w="816" w:type="pct"/>
            <w:noWrap w:val="0"/>
            <w:vAlign w:val="center"/>
          </w:tcPr>
          <w:p w14:paraId="20B6AEFC">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150人</w:t>
            </w:r>
          </w:p>
        </w:tc>
      </w:tr>
      <w:tr w14:paraId="137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27" w:type="pct"/>
            <w:noWrap w:val="0"/>
            <w:vAlign w:val="center"/>
          </w:tcPr>
          <w:p w14:paraId="5134C0DA">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w:t>
            </w:r>
          </w:p>
        </w:tc>
        <w:tc>
          <w:tcPr>
            <w:tcW w:w="890" w:type="pct"/>
            <w:noWrap w:val="0"/>
            <w:vAlign w:val="center"/>
          </w:tcPr>
          <w:p w14:paraId="1443E4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创新服务交流培训（出疆交流观摩）</w:t>
            </w:r>
          </w:p>
        </w:tc>
        <w:tc>
          <w:tcPr>
            <w:tcW w:w="2049" w:type="pct"/>
            <w:noWrap w:val="0"/>
            <w:vAlign w:val="center"/>
          </w:tcPr>
          <w:p w14:paraId="1D6A37E9">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培训资料费、授课师资费、学员住宿费、学员餐费、学员往返机票费、车辆使用费</w:t>
            </w:r>
          </w:p>
        </w:tc>
        <w:tc>
          <w:tcPr>
            <w:tcW w:w="715" w:type="pct"/>
            <w:noWrap w:val="0"/>
            <w:vAlign w:val="center"/>
          </w:tcPr>
          <w:p w14:paraId="43DA063F">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Cs/>
                <w:color w:val="auto"/>
                <w:sz w:val="24"/>
                <w:szCs w:val="24"/>
                <w:highlight w:val="none"/>
                <w:lang w:val="en-US" w:eastAsia="zh-CN"/>
              </w:rPr>
              <w:t>出疆交流观摩</w:t>
            </w:r>
          </w:p>
        </w:tc>
        <w:tc>
          <w:tcPr>
            <w:tcW w:w="816" w:type="pct"/>
            <w:noWrap w:val="0"/>
            <w:vAlign w:val="center"/>
          </w:tcPr>
          <w:p w14:paraId="0FF22C97">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32人</w:t>
            </w:r>
          </w:p>
        </w:tc>
      </w:tr>
    </w:tbl>
    <w:p w14:paraId="0C9292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七、方案要求</w:t>
      </w:r>
    </w:p>
    <w:p w14:paraId="3268C7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（1）针对项目提供详尽的项目需求分析以及清晰的描述，对该项目提供总体认识、理解以及整体规划；</w:t>
      </w:r>
    </w:p>
    <w:p w14:paraId="022428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（2）针对项目实施进度计划以及具体时间安排计划表；</w:t>
      </w:r>
    </w:p>
    <w:p w14:paraId="0D39B1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（3）针对本项目有专门负责执行团队，具体的项目负责人及人员组建构成；</w:t>
      </w:r>
    </w:p>
    <w:p w14:paraId="655DAA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（4）从交通出行线路、安全保障措施、交通车辆质量保证措施、急救车安排计划以及对突发性事件预估、应急处理措施；</w:t>
      </w:r>
    </w:p>
    <w:p w14:paraId="6EF3EA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八、中标价包含范围：</w:t>
      </w:r>
      <w:r>
        <w:rPr>
          <w:rFonts w:hint="eastAsia" w:ascii="宋体" w:hAnsi="宋体" w:eastAsia="宋体" w:cs="宋体"/>
          <w:b w:val="0"/>
          <w:bCs w:val="0"/>
          <w:color w:val="auto"/>
          <w:sz w:val="24"/>
          <w:szCs w:val="24"/>
          <w:highlight w:val="none"/>
          <w:lang w:val="en-US" w:eastAsia="zh-CN" w:bidi="ar-SA"/>
        </w:rPr>
        <w:t>活动策划、食宿、交通、培训交流、保险等所有费用。</w:t>
      </w:r>
    </w:p>
    <w:p w14:paraId="149157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（1）针对项目提供详尽的项目需求分析以及清晰的描述，对该项目提供总体认识、理解以及整体规划；</w:t>
      </w:r>
    </w:p>
    <w:p w14:paraId="355739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（2）针对本项目有专门负责执行团队，具体的项目负责人及人员组建构成；</w:t>
      </w:r>
    </w:p>
    <w:p w14:paraId="706166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九、住宿：</w:t>
      </w:r>
      <w:r>
        <w:rPr>
          <w:rFonts w:hint="eastAsia" w:ascii="宋体" w:hAnsi="宋体" w:eastAsia="宋体" w:cs="宋体"/>
          <w:b w:val="0"/>
          <w:bCs w:val="0"/>
          <w:color w:val="auto"/>
          <w:sz w:val="24"/>
          <w:szCs w:val="24"/>
          <w:highlight w:val="none"/>
          <w:lang w:val="en-US" w:eastAsia="zh-CN" w:bidi="ar-SA"/>
        </w:rPr>
        <w:t>以宾馆单间或标准间为最低标准，以接待从事商务旅行者为主的酒店，确保地理位置、环境条件、设备设施配置、清洁卫生、服务水平等达到高质量要求。</w:t>
      </w:r>
    </w:p>
    <w:p w14:paraId="2F6823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十、交通：</w:t>
      </w:r>
      <w:r>
        <w:rPr>
          <w:rFonts w:hint="eastAsia" w:ascii="宋体" w:hAnsi="宋体" w:eastAsia="宋体" w:cs="宋体"/>
          <w:b w:val="0"/>
          <w:bCs w:val="0"/>
          <w:color w:val="auto"/>
          <w:sz w:val="24"/>
          <w:szCs w:val="24"/>
          <w:highlight w:val="none"/>
          <w:lang w:val="en-US" w:eastAsia="zh-CN" w:bidi="ar-SA"/>
        </w:rPr>
        <w:t>根据活动地点确定采用何种交通方式，确保预定、改签、退票、包租等事项顺利进行，不耽误活动时间。县内、市内接送交通工具以大型座席客车高一级为最低标准，全天包接送并安排足够的车辆，确保每批次乘坐人员不得发生拥挤和遗漏情况，制定出完美的出行计划。</w:t>
      </w:r>
    </w:p>
    <w:p w14:paraId="1334CA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十一、餐饮：</w:t>
      </w:r>
      <w:r>
        <w:rPr>
          <w:rFonts w:hint="eastAsia" w:ascii="宋体" w:hAnsi="宋体" w:eastAsia="宋体" w:cs="宋体"/>
          <w:b w:val="0"/>
          <w:bCs w:val="0"/>
          <w:color w:val="auto"/>
          <w:sz w:val="24"/>
          <w:szCs w:val="24"/>
          <w:highlight w:val="none"/>
          <w:lang w:val="en-US" w:eastAsia="zh-CN" w:bidi="ar-SA"/>
        </w:rPr>
        <w:t>以餐饮企业建筑特点、设备设施条件、菜品质量、服务能力、食品安全、环境卫生、民餐等高质量要求，附图片以备评审。</w:t>
      </w:r>
    </w:p>
    <w:p w14:paraId="267FE3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十二、培训交流：</w:t>
      </w:r>
      <w:r>
        <w:rPr>
          <w:rFonts w:hint="eastAsia" w:ascii="宋体" w:hAnsi="宋体" w:eastAsia="宋体" w:cs="宋体"/>
          <w:b w:val="0"/>
          <w:bCs w:val="0"/>
          <w:color w:val="auto"/>
          <w:sz w:val="24"/>
          <w:szCs w:val="24"/>
          <w:highlight w:val="none"/>
          <w:lang w:val="en-US" w:eastAsia="zh-CN" w:bidi="ar-SA"/>
        </w:rPr>
        <w:t>交流地点明确，针对项目实施进度计划以及具体时间安排及计划表，事先做好预定，避免过多的浪费活动时间，具体以培训交流点数量以中标后签订合同为准。</w:t>
      </w:r>
    </w:p>
    <w:p w14:paraId="70B9D0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十三、保险：</w:t>
      </w:r>
      <w:r>
        <w:rPr>
          <w:rFonts w:hint="eastAsia" w:ascii="宋体" w:hAnsi="宋体" w:eastAsia="宋体" w:cs="宋体"/>
          <w:b w:val="0"/>
          <w:bCs w:val="0"/>
          <w:color w:val="auto"/>
          <w:sz w:val="24"/>
          <w:szCs w:val="24"/>
          <w:highlight w:val="none"/>
          <w:lang w:val="en-US" w:eastAsia="zh-CN" w:bidi="ar-SA"/>
        </w:rPr>
        <w:t>为参加本次活动的人员购买意外保险，保险期间从活动开始之日起，直至活动结束之日。</w:t>
      </w:r>
    </w:p>
    <w:p w14:paraId="69A0F5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十四、应急方案：</w:t>
      </w:r>
      <w:r>
        <w:rPr>
          <w:rFonts w:hint="eastAsia" w:ascii="宋体" w:hAnsi="宋体" w:eastAsia="宋体" w:cs="宋体"/>
          <w:b w:val="0"/>
          <w:bCs w:val="0"/>
          <w:color w:val="auto"/>
          <w:sz w:val="24"/>
          <w:szCs w:val="24"/>
          <w:highlight w:val="none"/>
          <w:lang w:val="en-US" w:eastAsia="zh-CN" w:bidi="ar-SA"/>
        </w:rPr>
        <w:t>对本次活动作出应急预案，如：急救车安排计划、天气原因、不可抗力因素、交通方面、餐宿安全等方面。</w:t>
      </w:r>
    </w:p>
    <w:p w14:paraId="0140AA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2" w:firstLineChars="200"/>
        <w:jc w:val="both"/>
        <w:textAlignment w:val="auto"/>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十五、其他要求：</w:t>
      </w:r>
      <w:r>
        <w:rPr>
          <w:rFonts w:hint="eastAsia" w:ascii="宋体" w:hAnsi="宋体" w:eastAsia="宋体" w:cs="宋体"/>
          <w:b w:val="0"/>
          <w:bCs w:val="0"/>
          <w:color w:val="auto"/>
          <w:sz w:val="24"/>
          <w:szCs w:val="24"/>
          <w:highlight w:val="none"/>
          <w:lang w:val="en-US" w:eastAsia="zh-CN" w:bidi="ar-SA"/>
        </w:rPr>
        <w:t>中标后，中标单位应安排管理人员使行程安排更紧凑，时间安排合理，服务期内按时组建团队，活动期间不得安排自费项目。</w:t>
      </w:r>
    </w:p>
    <w:p w14:paraId="2DDD5A81">
      <w:pPr>
        <w:pStyle w:val="32"/>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p>
    <w:p w14:paraId="2AA8873A">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bookmarkEnd w:id="245"/>
    <w:p w14:paraId="154AF4AB">
      <w:pPr>
        <w:shd w:val="clear"/>
        <w:spacing w:line="360" w:lineRule="auto"/>
        <w:jc w:val="center"/>
        <w:outlineLvl w:val="0"/>
        <w:rPr>
          <w:rFonts w:hint="eastAsia" w:asciiTheme="minorEastAsia" w:hAnsiTheme="minorEastAsia" w:eastAsiaTheme="minorEastAsia" w:cstheme="minorEastAsia"/>
          <w:b/>
          <w:bCs/>
          <w:color w:val="auto"/>
          <w:sz w:val="28"/>
          <w:szCs w:val="28"/>
          <w:highlight w:val="none"/>
        </w:rPr>
      </w:pPr>
      <w:bookmarkStart w:id="247" w:name="_Toc12911"/>
      <w:bookmarkStart w:id="248" w:name="_Toc15369_WPSOffice_Level1"/>
      <w:r>
        <w:rPr>
          <w:rFonts w:hint="eastAsia" w:asciiTheme="minorEastAsia" w:hAnsiTheme="minorEastAsia" w:eastAsiaTheme="minorEastAsia" w:cstheme="minorEastAsia"/>
          <w:b/>
          <w:bCs/>
          <w:color w:val="auto"/>
          <w:sz w:val="28"/>
          <w:szCs w:val="28"/>
          <w:highlight w:val="none"/>
        </w:rPr>
        <w:t>第六章  评标标准及办法</w:t>
      </w:r>
      <w:bookmarkEnd w:id="247"/>
      <w:bookmarkEnd w:id="248"/>
    </w:p>
    <w:p w14:paraId="7BA78480">
      <w:pPr>
        <w:pStyle w:val="15"/>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1、初步审查</w:t>
      </w:r>
    </w:p>
    <w:p w14:paraId="1013A88C">
      <w:pPr>
        <w:pStyle w:val="42"/>
        <w:spacing w:line="360" w:lineRule="auto"/>
        <w:jc w:val="center"/>
        <w:rPr>
          <w:color w:val="auto"/>
        </w:rPr>
      </w:pPr>
      <w:r>
        <w:rPr>
          <w:rFonts w:hint="eastAsia" w:asciiTheme="minorEastAsia" w:hAnsiTheme="minorEastAsia" w:eastAsiaTheme="minorEastAsia" w:cstheme="minorEastAsia"/>
          <w:b/>
          <w:bCs/>
          <w:color w:val="auto"/>
          <w:sz w:val="24"/>
        </w:rPr>
        <w:t>《初步审查--资格审查表》</w:t>
      </w:r>
    </w:p>
    <w:tbl>
      <w:tblPr>
        <w:tblStyle w:val="33"/>
        <w:tblW w:w="9782" w:type="dxa"/>
        <w:jc w:val="center"/>
        <w:tblLayout w:type="fixed"/>
        <w:tblCellMar>
          <w:top w:w="0" w:type="dxa"/>
          <w:left w:w="0" w:type="dxa"/>
          <w:bottom w:w="0" w:type="dxa"/>
          <w:right w:w="0" w:type="dxa"/>
        </w:tblCellMar>
      </w:tblPr>
      <w:tblGrid>
        <w:gridCol w:w="587"/>
        <w:gridCol w:w="3158"/>
        <w:gridCol w:w="6037"/>
      </w:tblGrid>
      <w:tr w14:paraId="67274CBA">
        <w:trPr>
          <w:trHeight w:val="774" w:hRule="atLeast"/>
          <w:tblHeader/>
          <w:jc w:val="center"/>
        </w:trPr>
        <w:tc>
          <w:tcPr>
            <w:tcW w:w="5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D73607">
            <w:pPr>
              <w:keepNext w:val="0"/>
              <w:keepLines w:val="0"/>
              <w:suppressLineNumbers w:val="0"/>
              <w:adjustRightInd w:val="0"/>
              <w:snapToGrid w:val="0"/>
              <w:spacing w:before="0" w:beforeAutospacing="0" w:after="0" w:afterAutospacing="0"/>
              <w:ind w:left="0" w:right="0"/>
              <w:jc w:val="center"/>
              <w:rPr>
                <w:rFonts w:hint="eastAsia" w:ascii="宋体" w:hAnsi="宋体" w:cs="宋体"/>
                <w:b/>
                <w:bCs/>
                <w:color w:val="auto"/>
                <w:sz w:val="24"/>
              </w:rPr>
            </w:pPr>
            <w:r>
              <w:rPr>
                <w:rFonts w:hint="eastAsia" w:ascii="宋体" w:hAnsi="宋体" w:cs="宋体"/>
                <w:b/>
                <w:bCs/>
                <w:color w:val="auto"/>
                <w:sz w:val="24"/>
              </w:rPr>
              <w:t>序号</w:t>
            </w:r>
          </w:p>
        </w:tc>
        <w:tc>
          <w:tcPr>
            <w:tcW w:w="3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7D8D1F">
            <w:pPr>
              <w:keepNext w:val="0"/>
              <w:keepLines w:val="0"/>
              <w:suppressLineNumbers w:val="0"/>
              <w:adjustRightInd w:val="0"/>
              <w:snapToGrid w:val="0"/>
              <w:spacing w:before="0" w:beforeAutospacing="0" w:after="0" w:afterAutospacing="0"/>
              <w:ind w:left="0" w:right="0"/>
              <w:jc w:val="center"/>
              <w:rPr>
                <w:rFonts w:hint="eastAsia" w:ascii="宋体" w:hAnsi="宋体" w:cs="宋体"/>
                <w:b/>
                <w:bCs/>
                <w:color w:val="auto"/>
                <w:sz w:val="24"/>
              </w:rPr>
            </w:pPr>
            <w:r>
              <w:rPr>
                <w:rFonts w:hint="eastAsia" w:ascii="宋体" w:hAnsi="宋体" w:cs="宋体"/>
                <w:b/>
                <w:bCs/>
                <w:color w:val="auto"/>
                <w:sz w:val="24"/>
              </w:rPr>
              <w:t>审查标准</w:t>
            </w:r>
          </w:p>
        </w:tc>
        <w:tc>
          <w:tcPr>
            <w:tcW w:w="6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29D3FF">
            <w:pPr>
              <w:keepNext w:val="0"/>
              <w:keepLines w:val="0"/>
              <w:suppressLineNumbers w:val="0"/>
              <w:adjustRightInd w:val="0"/>
              <w:snapToGrid w:val="0"/>
              <w:spacing w:before="0" w:beforeAutospacing="0" w:after="0" w:afterAutospacing="0"/>
              <w:ind w:left="0" w:right="0"/>
              <w:jc w:val="center"/>
              <w:rPr>
                <w:rFonts w:hint="eastAsia" w:ascii="宋体" w:hAnsi="宋体" w:cs="宋体"/>
                <w:b/>
                <w:bCs/>
                <w:color w:val="auto"/>
                <w:sz w:val="24"/>
              </w:rPr>
            </w:pPr>
            <w:r>
              <w:rPr>
                <w:rFonts w:hint="eastAsia" w:ascii="宋体" w:hAnsi="宋体" w:cs="宋体"/>
                <w:b/>
                <w:bCs/>
                <w:color w:val="auto"/>
                <w:sz w:val="24"/>
              </w:rPr>
              <w:t>审查证明材料</w:t>
            </w:r>
          </w:p>
        </w:tc>
      </w:tr>
      <w:tr w14:paraId="2BDFEB4A">
        <w:tblPrEx>
          <w:tblCellMar>
            <w:top w:w="0" w:type="dxa"/>
            <w:left w:w="0" w:type="dxa"/>
            <w:bottom w:w="0" w:type="dxa"/>
            <w:right w:w="0" w:type="dxa"/>
          </w:tblCellMar>
        </w:tblPrEx>
        <w:trPr>
          <w:trHeight w:val="2123" w:hRule="atLeast"/>
          <w:jc w:val="center"/>
        </w:trPr>
        <w:tc>
          <w:tcPr>
            <w:tcW w:w="5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FDBF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3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481A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 w:val="24"/>
              </w:rPr>
            </w:pPr>
            <w:r>
              <w:rPr>
                <w:rFonts w:hint="eastAsia" w:ascii="宋体" w:hAnsi="宋体" w:cs="宋体"/>
                <w:bCs/>
                <w:color w:val="auto"/>
                <w:sz w:val="24"/>
              </w:rPr>
              <w:t>具有独立承担民事责任的能力</w:t>
            </w:r>
          </w:p>
        </w:tc>
        <w:tc>
          <w:tcPr>
            <w:tcW w:w="6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CD0215">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 w:val="24"/>
              </w:rPr>
            </w:pPr>
            <w:r>
              <w:rPr>
                <w:rFonts w:hint="eastAsia" w:ascii="宋体" w:hAnsi="宋体" w:eastAsia="宋体" w:cs="宋体"/>
                <w:b w:val="0"/>
                <w:bCs/>
                <w:color w:val="auto"/>
                <w:kern w:val="0"/>
                <w:sz w:val="24"/>
                <w:szCs w:val="24"/>
                <w:highlight w:val="none"/>
                <w:vertAlign w:val="baseli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4EF52057">
        <w:tblPrEx>
          <w:tblCellMar>
            <w:top w:w="0" w:type="dxa"/>
            <w:left w:w="0" w:type="dxa"/>
            <w:bottom w:w="0" w:type="dxa"/>
            <w:right w:w="0" w:type="dxa"/>
          </w:tblCellMar>
        </w:tblPrEx>
        <w:trPr>
          <w:trHeight w:val="794" w:hRule="atLeast"/>
          <w:jc w:val="center"/>
        </w:trPr>
        <w:tc>
          <w:tcPr>
            <w:tcW w:w="5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F838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3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3C167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具有良好的商业信誉和健全的财务会计制度</w:t>
            </w:r>
          </w:p>
        </w:tc>
        <w:tc>
          <w:tcPr>
            <w:tcW w:w="6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A7C31D">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 w:val="24"/>
              </w:rPr>
            </w:pPr>
            <w:r>
              <w:rPr>
                <w:rFonts w:hint="eastAsia" w:ascii="宋体" w:hAnsi="宋体" w:cs="宋体"/>
                <w:color w:val="auto"/>
                <w:sz w:val="24"/>
              </w:rPr>
              <w:t>须提供本单位上一年度由会计师事务所出具的财务审计报告（当上一年度审计报告未出来时（每年6月前（含）），可提供前一年度审计报告），审计报告须至少包括资产负债表、利润表、现金流量表）。如投标供应商无法提供上年度审计报告，则需提供开标日前三个月内银行出具的资信证明原件或复印件加盖公章。如投标供应商注册成立不足三个月的则提供承诺书（自拟）原件。</w:t>
            </w:r>
          </w:p>
        </w:tc>
      </w:tr>
      <w:tr w14:paraId="171B7156">
        <w:tblPrEx>
          <w:tblCellMar>
            <w:top w:w="0" w:type="dxa"/>
            <w:left w:w="0" w:type="dxa"/>
            <w:bottom w:w="0" w:type="dxa"/>
            <w:right w:w="0" w:type="dxa"/>
          </w:tblCellMar>
        </w:tblPrEx>
        <w:trPr>
          <w:trHeight w:val="794" w:hRule="atLeast"/>
          <w:jc w:val="center"/>
        </w:trPr>
        <w:tc>
          <w:tcPr>
            <w:tcW w:w="5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0D27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3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DEC92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有依法缴纳税收和社会保障资金的良好记录</w:t>
            </w:r>
          </w:p>
        </w:tc>
        <w:tc>
          <w:tcPr>
            <w:tcW w:w="6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D242DD">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b/>
                <w:bCs/>
                <w:color w:val="auto"/>
                <w:sz w:val="24"/>
              </w:rPr>
              <w:t>供应商依法缴纳税收的证明材料：</w:t>
            </w:r>
            <w:r>
              <w:rPr>
                <w:rFonts w:hint="eastAsia" w:ascii="宋体" w:hAnsi="宋体" w:cs="宋体"/>
                <w:color w:val="auto"/>
                <w:sz w:val="24"/>
              </w:rPr>
              <w:t>本项目投标截止时间前6个月内（至少提供1个月）缴纳税收的凭据（完税证明、缴款书、印花税票、银行代扣（代缴）转账凭证等均可）；</w:t>
            </w:r>
          </w:p>
          <w:p w14:paraId="118B947A">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 w:val="24"/>
              </w:rPr>
            </w:pPr>
            <w:r>
              <w:rPr>
                <w:rFonts w:hint="eastAsia" w:ascii="宋体" w:hAnsi="宋体" w:cs="宋体"/>
                <w:color w:val="auto"/>
                <w:sz w:val="24"/>
              </w:rPr>
              <w:t>2.依法免税的供应商，须提供相应文件证明其依法免税。</w:t>
            </w:r>
          </w:p>
          <w:p w14:paraId="168EAE29">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b/>
                <w:bCs/>
                <w:color w:val="auto"/>
                <w:sz w:val="24"/>
              </w:rPr>
              <w:t>供应商依法缴纳社会保障资金的证明材料：</w:t>
            </w:r>
            <w:r>
              <w:rPr>
                <w:rFonts w:hint="eastAsia" w:ascii="宋体" w:hAnsi="宋体" w:cs="宋体"/>
                <w:color w:val="auto"/>
                <w:sz w:val="24"/>
              </w:rPr>
              <w:t>本项目投标截止时间前6个月内（至少提供1个月）缴纳社会保险的凭据；</w:t>
            </w:r>
          </w:p>
          <w:p w14:paraId="7A080431">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 w:val="24"/>
              </w:rPr>
            </w:pPr>
            <w:r>
              <w:rPr>
                <w:rFonts w:hint="eastAsia" w:ascii="宋体" w:hAnsi="宋体" w:cs="宋体"/>
                <w:color w:val="auto"/>
                <w:sz w:val="24"/>
              </w:rPr>
              <w:t>4.供应商为其他组织或自然人的，也需</w:t>
            </w:r>
            <w:r>
              <w:rPr>
                <w:rFonts w:hint="eastAsia" w:ascii="宋体" w:hAnsi="宋体" w:cs="宋体"/>
                <w:color w:val="auto"/>
                <w:sz w:val="24"/>
                <w:highlight w:val="none"/>
              </w:rPr>
              <w:t>要按此项规定提供缴纳税收的凭据和缴纳社会保险的凭据；</w:t>
            </w:r>
          </w:p>
          <w:p w14:paraId="40740A45">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 w:val="24"/>
              </w:rPr>
            </w:pPr>
            <w:r>
              <w:rPr>
                <w:rFonts w:hint="eastAsia" w:ascii="宋体" w:hAnsi="宋体" w:cs="宋体"/>
                <w:color w:val="auto"/>
                <w:sz w:val="24"/>
              </w:rPr>
              <w:t>5.依法不需要缴纳社会保障资金的供应商，须提供相应文件证明其依法不需要缴纳社会保障资金。</w:t>
            </w:r>
          </w:p>
        </w:tc>
      </w:tr>
      <w:tr w14:paraId="6DC08D80">
        <w:tblPrEx>
          <w:tblCellMar>
            <w:top w:w="0" w:type="dxa"/>
            <w:left w:w="0" w:type="dxa"/>
            <w:bottom w:w="0" w:type="dxa"/>
            <w:right w:w="0" w:type="dxa"/>
          </w:tblCellMar>
        </w:tblPrEx>
        <w:trPr>
          <w:trHeight w:val="794" w:hRule="atLeast"/>
          <w:jc w:val="center"/>
        </w:trPr>
        <w:tc>
          <w:tcPr>
            <w:tcW w:w="5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7C82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3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5CBD8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具有履行合同所必需的设备和专业技术能力</w:t>
            </w:r>
          </w:p>
        </w:tc>
        <w:tc>
          <w:tcPr>
            <w:tcW w:w="6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2078B0">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 w:val="24"/>
              </w:rPr>
            </w:pPr>
            <w:r>
              <w:rPr>
                <w:rFonts w:hint="eastAsia" w:ascii="宋体" w:hAnsi="宋体" w:cs="宋体"/>
                <w:color w:val="auto"/>
                <w:sz w:val="24"/>
              </w:rPr>
              <w:t>供应商提供履行合同所必须的设备和专业技术能力承诺函。</w:t>
            </w:r>
          </w:p>
        </w:tc>
      </w:tr>
      <w:tr w14:paraId="001FD6D3">
        <w:tblPrEx>
          <w:tblCellMar>
            <w:top w:w="0" w:type="dxa"/>
            <w:left w:w="0" w:type="dxa"/>
            <w:bottom w:w="0" w:type="dxa"/>
            <w:right w:w="0" w:type="dxa"/>
          </w:tblCellMar>
        </w:tblPrEx>
        <w:trPr>
          <w:trHeight w:val="794" w:hRule="atLeast"/>
          <w:jc w:val="center"/>
        </w:trPr>
        <w:tc>
          <w:tcPr>
            <w:tcW w:w="5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4EE3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3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174AC7">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参加政府采购活动前三年内，在经营活动中没有重大违法记录</w:t>
            </w:r>
          </w:p>
        </w:tc>
        <w:tc>
          <w:tcPr>
            <w:tcW w:w="6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50670F">
            <w:pPr>
              <w:keepNext w:val="0"/>
              <w:keepLines w:val="0"/>
              <w:suppressLineNumbers w:val="0"/>
              <w:adjustRightInd w:val="0"/>
              <w:snapToGrid w:val="0"/>
              <w:spacing w:before="0" w:beforeAutospacing="0" w:after="0" w:afterAutospacing="0"/>
              <w:ind w:left="0" w:right="0"/>
              <w:jc w:val="left"/>
              <w:rPr>
                <w:rFonts w:hint="eastAsia" w:ascii="宋体" w:hAnsi="宋体" w:cs="宋体"/>
                <w:color w:val="auto"/>
                <w:sz w:val="24"/>
              </w:rPr>
            </w:pPr>
            <w:r>
              <w:rPr>
                <w:rFonts w:hint="eastAsia" w:ascii="宋体" w:hAnsi="宋体" w:cs="宋体"/>
                <w:color w:val="auto"/>
                <w:sz w:val="24"/>
              </w:rPr>
              <w:t>供应商提供参加政府采购活动前三年内在经营活动中没有重大违法记录的书面声明函。</w:t>
            </w:r>
          </w:p>
        </w:tc>
      </w:tr>
      <w:tr w14:paraId="0E2E353B">
        <w:tblPrEx>
          <w:tblCellMar>
            <w:top w:w="0" w:type="dxa"/>
            <w:left w:w="0" w:type="dxa"/>
            <w:bottom w:w="0" w:type="dxa"/>
            <w:right w:w="0" w:type="dxa"/>
          </w:tblCellMar>
        </w:tblPrEx>
        <w:trPr>
          <w:trHeight w:val="794" w:hRule="atLeast"/>
          <w:jc w:val="center"/>
        </w:trPr>
        <w:tc>
          <w:tcPr>
            <w:tcW w:w="5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353B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3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7C84EC">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单位负责人为同一人或者存在直接控股、管理关系的不同供应商，不得参加同一包号投标或者未划分包号的同一招标项目投标；</w:t>
            </w:r>
          </w:p>
        </w:tc>
        <w:tc>
          <w:tcPr>
            <w:tcW w:w="6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AE5FC2">
            <w:pPr>
              <w:keepNext w:val="0"/>
              <w:keepLines w:val="0"/>
              <w:suppressLineNumbers w:val="0"/>
              <w:spacing w:before="0" w:beforeAutospacing="0" w:after="0" w:afterAutospacing="0" w:line="460" w:lineRule="exact"/>
              <w:ind w:left="0" w:right="0"/>
              <w:rPr>
                <w:rFonts w:hint="eastAsia" w:ascii="宋体" w:hAnsi="宋体" w:cs="宋体"/>
                <w:color w:val="auto"/>
                <w:sz w:val="24"/>
              </w:rPr>
            </w:pPr>
            <w:r>
              <w:rPr>
                <w:rFonts w:hint="eastAsia" w:ascii="宋体" w:hAnsi="宋体" w:cs="宋体"/>
                <w:color w:val="auto"/>
                <w:sz w:val="24"/>
              </w:rPr>
              <w:t>提供承诺书，格式详见附件。</w:t>
            </w:r>
          </w:p>
        </w:tc>
      </w:tr>
      <w:tr w14:paraId="649D1C69">
        <w:tblPrEx>
          <w:tblCellMar>
            <w:top w:w="0" w:type="dxa"/>
            <w:left w:w="0" w:type="dxa"/>
            <w:bottom w:w="0" w:type="dxa"/>
            <w:right w:w="0" w:type="dxa"/>
          </w:tblCellMar>
        </w:tblPrEx>
        <w:trPr>
          <w:trHeight w:val="805" w:hRule="atLeast"/>
          <w:jc w:val="center"/>
        </w:trPr>
        <w:tc>
          <w:tcPr>
            <w:tcW w:w="5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05F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7</w:t>
            </w:r>
          </w:p>
        </w:tc>
        <w:tc>
          <w:tcPr>
            <w:tcW w:w="3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9EABD1">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本项目不接受联合体投标。</w:t>
            </w:r>
          </w:p>
        </w:tc>
        <w:tc>
          <w:tcPr>
            <w:tcW w:w="6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499CAA">
            <w:pPr>
              <w:keepNext w:val="0"/>
              <w:keepLines w:val="0"/>
              <w:suppressLineNumbers w:val="0"/>
              <w:spacing w:before="0" w:beforeAutospacing="0" w:after="0" w:afterAutospacing="0" w:line="460" w:lineRule="exact"/>
              <w:ind w:left="0" w:right="0"/>
              <w:rPr>
                <w:rFonts w:hint="eastAsia" w:ascii="宋体" w:hAnsi="宋体" w:cs="宋体"/>
                <w:color w:val="auto"/>
                <w:sz w:val="24"/>
              </w:rPr>
            </w:pPr>
            <w:r>
              <w:rPr>
                <w:rFonts w:hint="eastAsia" w:ascii="宋体" w:hAnsi="宋体" w:cs="宋体"/>
                <w:color w:val="auto"/>
                <w:sz w:val="24"/>
              </w:rPr>
              <w:t>提供承诺书，格式详见附件。</w:t>
            </w:r>
          </w:p>
        </w:tc>
      </w:tr>
    </w:tbl>
    <w:p w14:paraId="5BAF45F0">
      <w:pPr>
        <w:rPr>
          <w:color w:val="auto"/>
        </w:rPr>
      </w:pPr>
      <w:r>
        <w:rPr>
          <w:rFonts w:hint="eastAsia" w:ascii="宋体" w:hAnsi="宋体" w:cs="宋体"/>
          <w:b/>
          <w:bCs/>
          <w:color w:val="auto"/>
          <w:sz w:val="24"/>
        </w:rPr>
        <w:t>注：资格审查不通过者，作无效标处理，不得进入下一环节评审。</w:t>
      </w:r>
    </w:p>
    <w:p w14:paraId="70652DEC">
      <w:pPr>
        <w:rPr>
          <w:color w:val="auto"/>
        </w:rPr>
      </w:pPr>
    </w:p>
    <w:p w14:paraId="72CE8BE2">
      <w:pPr>
        <w:pStyle w:val="42"/>
        <w:spacing w:line="360" w:lineRule="auto"/>
        <w:jc w:val="center"/>
        <w:rPr>
          <w:color w:val="auto"/>
        </w:rPr>
      </w:pPr>
      <w:r>
        <w:rPr>
          <w:rFonts w:hint="eastAsia" w:asciiTheme="minorEastAsia" w:hAnsiTheme="minorEastAsia" w:eastAsiaTheme="minorEastAsia" w:cstheme="minorEastAsia"/>
          <w:b/>
          <w:bCs/>
          <w:color w:val="auto"/>
          <w:sz w:val="24"/>
        </w:rPr>
        <w:t>《初步审查--符合性审查表》</w:t>
      </w:r>
    </w:p>
    <w:tbl>
      <w:tblPr>
        <w:tblStyle w:val="34"/>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82"/>
        <w:gridCol w:w="2478"/>
        <w:gridCol w:w="5642"/>
      </w:tblGrid>
      <w:tr w14:paraId="7FDB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vAlign w:val="center"/>
          </w:tcPr>
          <w:p w14:paraId="34ED3881">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符合性审查</w:t>
            </w:r>
          </w:p>
        </w:tc>
        <w:tc>
          <w:tcPr>
            <w:tcW w:w="782" w:type="dxa"/>
            <w:vAlign w:val="center"/>
          </w:tcPr>
          <w:p w14:paraId="5FEE0B2A">
            <w:pPr>
              <w:keepNext w:val="0"/>
              <w:keepLines w:val="0"/>
              <w:suppressLineNumbers w:val="0"/>
              <w:adjustRightInd w:val="0"/>
              <w:snapToGrid w:val="0"/>
              <w:spacing w:before="0" w:beforeAutospacing="0" w:after="0" w:afterAutospacing="0"/>
              <w:ind w:left="0" w:right="0"/>
              <w:jc w:val="center"/>
              <w:rPr>
                <w:rFonts w:hint="eastAsia" w:ascii="宋体" w:hAnsi="宋体" w:cs="宋体"/>
                <w:b/>
                <w:bCs/>
                <w:color w:val="auto"/>
                <w:sz w:val="24"/>
              </w:rPr>
            </w:pPr>
            <w:r>
              <w:rPr>
                <w:rFonts w:hint="eastAsia" w:ascii="宋体" w:hAnsi="宋体" w:cs="宋体"/>
                <w:b/>
                <w:bCs/>
                <w:color w:val="auto"/>
                <w:sz w:val="24"/>
              </w:rPr>
              <w:t>序号</w:t>
            </w:r>
          </w:p>
        </w:tc>
        <w:tc>
          <w:tcPr>
            <w:tcW w:w="2478" w:type="dxa"/>
            <w:vAlign w:val="center"/>
          </w:tcPr>
          <w:p w14:paraId="2C5B7DCC">
            <w:pPr>
              <w:keepNext w:val="0"/>
              <w:keepLines w:val="0"/>
              <w:suppressLineNumbers w:val="0"/>
              <w:adjustRightInd w:val="0"/>
              <w:snapToGrid w:val="0"/>
              <w:spacing w:before="0" w:beforeAutospacing="0" w:after="0" w:afterAutospacing="0"/>
              <w:ind w:left="0" w:right="0"/>
              <w:jc w:val="center"/>
              <w:rPr>
                <w:rFonts w:hint="eastAsia" w:ascii="宋体" w:hAnsi="宋体" w:cs="宋体"/>
                <w:b/>
                <w:bCs/>
                <w:color w:val="auto"/>
                <w:sz w:val="24"/>
              </w:rPr>
            </w:pPr>
            <w:r>
              <w:rPr>
                <w:rFonts w:hint="eastAsia" w:ascii="宋体" w:hAnsi="宋体" w:cs="宋体"/>
                <w:b/>
                <w:bCs/>
                <w:color w:val="auto"/>
                <w:sz w:val="24"/>
              </w:rPr>
              <w:t>审查标准</w:t>
            </w:r>
          </w:p>
        </w:tc>
        <w:tc>
          <w:tcPr>
            <w:tcW w:w="5642" w:type="dxa"/>
            <w:vAlign w:val="center"/>
          </w:tcPr>
          <w:p w14:paraId="4871909E">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b/>
                <w:bCs/>
                <w:color w:val="auto"/>
                <w:sz w:val="24"/>
              </w:rPr>
              <w:t>审查证明材料</w:t>
            </w:r>
          </w:p>
        </w:tc>
      </w:tr>
      <w:tr w14:paraId="02CC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7C6E769">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782" w:type="dxa"/>
            <w:vAlign w:val="center"/>
          </w:tcPr>
          <w:p w14:paraId="0C32729C">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1</w:t>
            </w:r>
          </w:p>
        </w:tc>
        <w:tc>
          <w:tcPr>
            <w:tcW w:w="2478" w:type="dxa"/>
            <w:vAlign w:val="center"/>
          </w:tcPr>
          <w:p w14:paraId="77C0EA8B">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供应商名称</w:t>
            </w:r>
          </w:p>
        </w:tc>
        <w:tc>
          <w:tcPr>
            <w:tcW w:w="5642" w:type="dxa"/>
            <w:vAlign w:val="center"/>
          </w:tcPr>
          <w:p w14:paraId="170B87FA">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供应商名称是否与营业执照及相关资质证件一致。</w:t>
            </w:r>
          </w:p>
        </w:tc>
      </w:tr>
      <w:tr w14:paraId="5176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66F7B5D7">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782" w:type="dxa"/>
            <w:vAlign w:val="center"/>
          </w:tcPr>
          <w:p w14:paraId="31FA3DB1">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2</w:t>
            </w:r>
          </w:p>
        </w:tc>
        <w:tc>
          <w:tcPr>
            <w:tcW w:w="2478" w:type="dxa"/>
            <w:vAlign w:val="center"/>
          </w:tcPr>
          <w:p w14:paraId="4068A94A">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投标响应文件签署、盖章</w:t>
            </w:r>
          </w:p>
        </w:tc>
        <w:tc>
          <w:tcPr>
            <w:tcW w:w="5642" w:type="dxa"/>
            <w:vAlign w:val="center"/>
          </w:tcPr>
          <w:p w14:paraId="5095065C">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投标响应文件是否按竞争性磋商文件规定格式完整提供，是否对竞争性磋商文件的实质性内容完全响应，并按竞争性磋商文件要求签署、盖章。</w:t>
            </w:r>
          </w:p>
        </w:tc>
      </w:tr>
      <w:tr w14:paraId="554E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2A393143">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782" w:type="dxa"/>
            <w:vAlign w:val="center"/>
          </w:tcPr>
          <w:p w14:paraId="1DC10BB1">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3</w:t>
            </w:r>
          </w:p>
        </w:tc>
        <w:tc>
          <w:tcPr>
            <w:tcW w:w="2478" w:type="dxa"/>
            <w:vAlign w:val="center"/>
          </w:tcPr>
          <w:p w14:paraId="274B7728">
            <w:pPr>
              <w:keepNext w:val="0"/>
              <w:keepLines w:val="0"/>
              <w:suppressLineNumbers w:val="0"/>
              <w:spacing w:before="0" w:beforeAutospacing="0" w:after="0" w:afterAutospacing="0"/>
              <w:ind w:left="0" w:right="0"/>
              <w:rPr>
                <w:rFonts w:hint="default" w:ascii="宋体" w:hAnsi="宋体" w:eastAsia="宋体" w:cs="宋体"/>
                <w:color w:val="auto"/>
                <w:sz w:val="24"/>
                <w:lang w:val="en-US" w:eastAsia="zh-CN"/>
              </w:rPr>
            </w:pPr>
            <w:r>
              <w:rPr>
                <w:rFonts w:hint="eastAsia" w:ascii="宋体" w:hAnsi="宋体" w:cs="宋体"/>
                <w:color w:val="auto"/>
                <w:sz w:val="24"/>
              </w:rPr>
              <w:t>合同履约期限及</w:t>
            </w:r>
            <w:r>
              <w:rPr>
                <w:rFonts w:hint="eastAsia" w:ascii="宋体" w:hAnsi="宋体" w:cs="宋体"/>
                <w:color w:val="auto"/>
                <w:sz w:val="24"/>
                <w:lang w:val="en-US" w:eastAsia="zh-CN"/>
              </w:rPr>
              <w:t>投标有效期</w:t>
            </w:r>
          </w:p>
        </w:tc>
        <w:tc>
          <w:tcPr>
            <w:tcW w:w="5642" w:type="dxa"/>
            <w:vAlign w:val="center"/>
          </w:tcPr>
          <w:p w14:paraId="57B29FF7">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合同履约期限及</w:t>
            </w:r>
            <w:r>
              <w:rPr>
                <w:rFonts w:hint="eastAsia" w:ascii="宋体" w:hAnsi="宋体" w:cs="宋体"/>
                <w:color w:val="auto"/>
                <w:sz w:val="24"/>
                <w:lang w:val="en-US" w:eastAsia="zh-CN"/>
              </w:rPr>
              <w:t>投标有效期</w:t>
            </w:r>
            <w:r>
              <w:rPr>
                <w:rFonts w:hint="eastAsia" w:ascii="宋体" w:hAnsi="宋体" w:cs="宋体"/>
                <w:color w:val="auto"/>
                <w:sz w:val="24"/>
              </w:rPr>
              <w:t>等是否满足竞争性磋商文件要求。</w:t>
            </w:r>
          </w:p>
        </w:tc>
      </w:tr>
      <w:tr w14:paraId="1B00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83" w:type="dxa"/>
            <w:vMerge w:val="continue"/>
            <w:vAlign w:val="center"/>
          </w:tcPr>
          <w:p w14:paraId="07108FB1">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782" w:type="dxa"/>
            <w:vAlign w:val="center"/>
          </w:tcPr>
          <w:p w14:paraId="09229772">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2478" w:type="dxa"/>
            <w:vAlign w:val="center"/>
          </w:tcPr>
          <w:p w14:paraId="76EB805B">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围标串标行为</w:t>
            </w:r>
          </w:p>
        </w:tc>
        <w:tc>
          <w:tcPr>
            <w:tcW w:w="5642" w:type="dxa"/>
            <w:vAlign w:val="center"/>
          </w:tcPr>
          <w:p w14:paraId="1BB5FE34">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不参与围标串标承诺书。</w:t>
            </w:r>
          </w:p>
        </w:tc>
      </w:tr>
      <w:tr w14:paraId="0D19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77AD806F">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782" w:type="dxa"/>
            <w:vAlign w:val="center"/>
          </w:tcPr>
          <w:p w14:paraId="5E73B823">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2478" w:type="dxa"/>
            <w:vAlign w:val="center"/>
          </w:tcPr>
          <w:p w14:paraId="072C0E3D">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kern w:val="0"/>
                <w:sz w:val="24"/>
              </w:rPr>
              <w:t>投标报价</w:t>
            </w:r>
          </w:p>
        </w:tc>
        <w:tc>
          <w:tcPr>
            <w:tcW w:w="5642" w:type="dxa"/>
            <w:vAlign w:val="center"/>
          </w:tcPr>
          <w:p w14:paraId="2DEBB7FF">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供应商的投标报价未超出本项目的最高限价且报价唯一。</w:t>
            </w:r>
          </w:p>
        </w:tc>
      </w:tr>
      <w:tr w14:paraId="65AF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vAlign w:val="center"/>
          </w:tcPr>
          <w:p w14:paraId="2896E79D">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782" w:type="dxa"/>
            <w:vAlign w:val="center"/>
          </w:tcPr>
          <w:p w14:paraId="23706B3F">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2478" w:type="dxa"/>
            <w:vAlign w:val="center"/>
          </w:tcPr>
          <w:p w14:paraId="12FDFAE0">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供应商是否缴纳投标保证金</w:t>
            </w:r>
          </w:p>
        </w:tc>
        <w:tc>
          <w:tcPr>
            <w:tcW w:w="5642" w:type="dxa"/>
            <w:vAlign w:val="center"/>
          </w:tcPr>
          <w:p w14:paraId="6A967133">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s="宋体"/>
                <w:color w:val="auto"/>
                <w:sz w:val="24"/>
              </w:rPr>
              <w:t>提供投标保证金汇款凭证并加盖公章。</w:t>
            </w:r>
          </w:p>
        </w:tc>
      </w:tr>
      <w:tr w14:paraId="4DEE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83" w:type="dxa"/>
            <w:vMerge w:val="continue"/>
            <w:vAlign w:val="center"/>
          </w:tcPr>
          <w:p w14:paraId="2371AB7B">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782" w:type="dxa"/>
            <w:shd w:val="clear" w:color="auto" w:fill="auto"/>
            <w:vAlign w:val="center"/>
          </w:tcPr>
          <w:p w14:paraId="28A85B8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7</w:t>
            </w:r>
          </w:p>
        </w:tc>
        <w:tc>
          <w:tcPr>
            <w:tcW w:w="2478" w:type="dxa"/>
            <w:shd w:val="clear" w:color="auto" w:fill="auto"/>
            <w:vAlign w:val="center"/>
          </w:tcPr>
          <w:p w14:paraId="790EE999">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4"/>
                <w:szCs w:val="24"/>
                <w:lang w:val="en-US" w:eastAsia="zh-CN" w:bidi="ar-SA"/>
              </w:rPr>
            </w:pPr>
            <w:r>
              <w:rPr>
                <w:rFonts w:hint="eastAsia" w:ascii="宋体" w:hAnsi="宋体" w:cs="宋体"/>
                <w:color w:val="auto"/>
                <w:sz w:val="24"/>
              </w:rPr>
              <w:t>其他</w:t>
            </w:r>
          </w:p>
        </w:tc>
        <w:tc>
          <w:tcPr>
            <w:tcW w:w="5642" w:type="dxa"/>
            <w:shd w:val="clear" w:color="auto" w:fill="auto"/>
            <w:vAlign w:val="center"/>
          </w:tcPr>
          <w:p w14:paraId="37681116">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磋商响应文件是否附有采购人不能接受的条件。</w:t>
            </w:r>
          </w:p>
        </w:tc>
      </w:tr>
    </w:tbl>
    <w:p w14:paraId="2A704461">
      <w:pPr>
        <w:spacing w:line="360" w:lineRule="auto"/>
        <w:rPr>
          <w:color w:val="auto"/>
        </w:rPr>
      </w:pPr>
      <w:r>
        <w:rPr>
          <w:rFonts w:hint="eastAsia" w:ascii="宋体" w:hAnsi="宋体" w:cs="宋体"/>
          <w:b/>
          <w:bCs/>
          <w:color w:val="auto"/>
          <w:sz w:val="24"/>
        </w:rPr>
        <w:t>注：符合性审查不通过者，作无效标处理，不得进入下一环节评审。</w:t>
      </w:r>
    </w:p>
    <w:p w14:paraId="28E17F79">
      <w:pPr>
        <w:rPr>
          <w:rFonts w:hint="eastAsia" w:asciiTheme="minorEastAsia" w:hAnsiTheme="minorEastAsia" w:eastAsiaTheme="minorEastAsia" w:cstheme="minorEastAsia"/>
          <w:b/>
          <w:bCs/>
          <w:color w:val="auto"/>
          <w:sz w:val="24"/>
        </w:rPr>
      </w:pPr>
    </w:p>
    <w:p w14:paraId="69D84A0E">
      <w:pPr>
        <w:spacing w:line="360"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2、详细评审</w:t>
      </w:r>
    </w:p>
    <w:p w14:paraId="117C53BD">
      <w:pPr>
        <w:spacing w:line="360" w:lineRule="auto"/>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磋商小组将采用综合评分法对投标响应文件所载明的供应商的投标报价、投标响应文件的业绩、项目</w:t>
      </w:r>
      <w:r>
        <w:rPr>
          <w:rFonts w:hint="eastAsia" w:asciiTheme="minorEastAsia" w:hAnsiTheme="minorEastAsia" w:eastAsiaTheme="minorEastAsia" w:cstheme="minorEastAsia"/>
          <w:bCs/>
          <w:color w:val="auto"/>
          <w:sz w:val="24"/>
          <w:lang w:val="en-US" w:eastAsia="zh-CN"/>
        </w:rPr>
        <w:t>团队</w:t>
      </w:r>
      <w:r>
        <w:rPr>
          <w:rFonts w:hint="eastAsia" w:asciiTheme="minorEastAsia" w:hAnsiTheme="minorEastAsia" w:eastAsiaTheme="minorEastAsia" w:cstheme="minorEastAsia"/>
          <w:bCs/>
          <w:color w:val="auto"/>
          <w:sz w:val="24"/>
        </w:rPr>
        <w:t>、</w:t>
      </w:r>
      <w:r>
        <w:rPr>
          <w:rFonts w:hint="eastAsia" w:asciiTheme="minorEastAsia" w:hAnsiTheme="minorEastAsia" w:eastAsiaTheme="minorEastAsia" w:cstheme="minorEastAsia"/>
          <w:bCs/>
          <w:color w:val="auto"/>
          <w:sz w:val="24"/>
          <w:lang w:val="en-US" w:eastAsia="zh-CN"/>
        </w:rPr>
        <w:t>服务</w:t>
      </w:r>
      <w:r>
        <w:rPr>
          <w:rFonts w:hint="eastAsia" w:asciiTheme="minorEastAsia" w:hAnsiTheme="minorEastAsia" w:eastAsiaTheme="minorEastAsia" w:cstheme="minorEastAsia"/>
          <w:bCs/>
          <w:color w:val="auto"/>
          <w:sz w:val="24"/>
        </w:rPr>
        <w:t>方案等内容进行打分，依据得分从高到低的顺序推荐中标候选人。评审标准为100分，经济部分占</w:t>
      </w:r>
      <w:r>
        <w:rPr>
          <w:rFonts w:hint="eastAsia" w:asciiTheme="minorEastAsia" w:hAnsiTheme="minorEastAsia" w:eastAsiaTheme="minorEastAsia" w:cstheme="minorEastAsia"/>
          <w:bCs/>
          <w:color w:val="auto"/>
          <w:sz w:val="24"/>
          <w:lang w:val="en-US" w:eastAsia="zh-CN"/>
        </w:rPr>
        <w:t>20</w:t>
      </w:r>
      <w:r>
        <w:rPr>
          <w:rFonts w:hint="eastAsia" w:asciiTheme="minorEastAsia" w:hAnsiTheme="minorEastAsia" w:eastAsiaTheme="minorEastAsia" w:cstheme="minorEastAsia"/>
          <w:bCs/>
          <w:color w:val="auto"/>
          <w:sz w:val="24"/>
        </w:rPr>
        <w:t>分、商务技术部分占</w:t>
      </w:r>
      <w:r>
        <w:rPr>
          <w:rFonts w:hint="eastAsia" w:asciiTheme="minorEastAsia" w:hAnsiTheme="minorEastAsia" w:eastAsiaTheme="minorEastAsia" w:cstheme="minorEastAsia"/>
          <w:bCs/>
          <w:color w:val="auto"/>
          <w:sz w:val="24"/>
          <w:lang w:val="en-US" w:eastAsia="zh-CN"/>
        </w:rPr>
        <w:t>80</w:t>
      </w:r>
      <w:r>
        <w:rPr>
          <w:rFonts w:hint="eastAsia" w:asciiTheme="minorEastAsia" w:hAnsiTheme="minorEastAsia" w:eastAsiaTheme="minorEastAsia" w:cstheme="minorEastAsia"/>
          <w:bCs/>
          <w:color w:val="auto"/>
          <w:sz w:val="24"/>
        </w:rPr>
        <w:t>分，最终得分=经济得分+商务技术得分，具体评分标准如下：</w:t>
      </w:r>
    </w:p>
    <w:p w14:paraId="33F9EFE0">
      <w:pPr>
        <w:rPr>
          <w:rFonts w:hint="eastAsia" w:ascii="宋体" w:hAnsi="宋体" w:cs="宋体"/>
          <w:b/>
          <w:color w:val="auto"/>
          <w:sz w:val="24"/>
          <w:szCs w:val="32"/>
        </w:rPr>
      </w:pPr>
      <w:r>
        <w:rPr>
          <w:rFonts w:hint="eastAsia" w:ascii="宋体" w:hAnsi="宋体" w:cs="宋体"/>
          <w:b/>
          <w:color w:val="auto"/>
          <w:sz w:val="24"/>
          <w:szCs w:val="32"/>
        </w:rPr>
        <w:br w:type="page"/>
      </w:r>
    </w:p>
    <w:p w14:paraId="7341D6E2">
      <w:pPr>
        <w:spacing w:line="360" w:lineRule="auto"/>
        <w:rPr>
          <w:rFonts w:hint="eastAsia" w:ascii="宋体" w:hAnsi="宋体" w:cs="宋体"/>
          <w:b/>
          <w:color w:val="auto"/>
          <w:sz w:val="24"/>
          <w:szCs w:val="32"/>
        </w:rPr>
      </w:pPr>
      <w:r>
        <w:rPr>
          <w:rFonts w:hint="eastAsia" w:ascii="宋体" w:hAnsi="宋体" w:cs="宋体"/>
          <w:b/>
          <w:color w:val="auto"/>
          <w:sz w:val="24"/>
          <w:szCs w:val="32"/>
        </w:rPr>
        <w:t>（1）报价部分（占总分值的</w:t>
      </w:r>
      <w:r>
        <w:rPr>
          <w:rFonts w:hint="eastAsia" w:ascii="宋体" w:hAnsi="宋体" w:cs="宋体"/>
          <w:b/>
          <w:color w:val="auto"/>
          <w:sz w:val="24"/>
          <w:szCs w:val="32"/>
          <w:lang w:val="en-US" w:eastAsia="zh-CN"/>
        </w:rPr>
        <w:t>2</w:t>
      </w:r>
      <w:r>
        <w:rPr>
          <w:rFonts w:hint="eastAsia" w:ascii="宋体" w:hAnsi="宋体" w:cs="宋体"/>
          <w:b/>
          <w:color w:val="auto"/>
          <w:sz w:val="24"/>
          <w:szCs w:val="32"/>
        </w:rPr>
        <w:t>0%）</w:t>
      </w:r>
    </w:p>
    <w:tbl>
      <w:tblPr>
        <w:tblStyle w:val="33"/>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199"/>
        <w:gridCol w:w="816"/>
      </w:tblGrid>
      <w:tr w14:paraId="1A4E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42" w:type="dxa"/>
            <w:vAlign w:val="center"/>
          </w:tcPr>
          <w:p w14:paraId="08ED96BB">
            <w:pPr>
              <w:keepNext w:val="0"/>
              <w:keepLines w:val="0"/>
              <w:suppressLineNumbers w:val="0"/>
              <w:autoSpaceDE w:val="0"/>
              <w:autoSpaceDN w:val="0"/>
              <w:adjustRightInd w:val="0"/>
              <w:spacing w:before="0" w:beforeAutospacing="0" w:after="0" w:afterAutospacing="0" w:line="300" w:lineRule="auto"/>
              <w:ind w:left="0" w:right="0"/>
              <w:jc w:val="center"/>
              <w:rPr>
                <w:rFonts w:hint="eastAsia" w:ascii="宋体" w:hAnsi="宋体" w:cs="宋体"/>
                <w:b/>
                <w:color w:val="auto"/>
                <w:sz w:val="24"/>
              </w:rPr>
            </w:pPr>
            <w:r>
              <w:rPr>
                <w:rFonts w:hint="eastAsia" w:ascii="宋体" w:hAnsi="宋体" w:cs="宋体"/>
                <w:b/>
                <w:color w:val="auto"/>
                <w:sz w:val="24"/>
              </w:rPr>
              <w:t>项目</w:t>
            </w:r>
          </w:p>
        </w:tc>
        <w:tc>
          <w:tcPr>
            <w:tcW w:w="7199" w:type="dxa"/>
            <w:vAlign w:val="center"/>
          </w:tcPr>
          <w:p w14:paraId="148F75A5">
            <w:pPr>
              <w:keepNext w:val="0"/>
              <w:keepLines w:val="0"/>
              <w:suppressLineNumbers w:val="0"/>
              <w:spacing w:before="0" w:beforeAutospacing="0" w:after="0" w:afterAutospacing="0" w:line="300" w:lineRule="auto"/>
              <w:ind w:left="0" w:right="0"/>
              <w:jc w:val="center"/>
              <w:rPr>
                <w:rFonts w:hint="eastAsia" w:ascii="宋体" w:hAnsi="宋体" w:cs="宋体"/>
                <w:b/>
                <w:color w:val="auto"/>
                <w:sz w:val="24"/>
              </w:rPr>
            </w:pPr>
            <w:r>
              <w:rPr>
                <w:rFonts w:hint="eastAsia" w:ascii="宋体" w:hAnsi="宋体" w:cs="宋体"/>
                <w:b/>
                <w:color w:val="auto"/>
                <w:sz w:val="24"/>
              </w:rPr>
              <w:t>评 分 标 准</w:t>
            </w:r>
          </w:p>
        </w:tc>
        <w:tc>
          <w:tcPr>
            <w:tcW w:w="816" w:type="dxa"/>
            <w:vAlign w:val="center"/>
          </w:tcPr>
          <w:p w14:paraId="5DA307B0">
            <w:pPr>
              <w:keepNext w:val="0"/>
              <w:keepLines w:val="0"/>
              <w:suppressLineNumbers w:val="0"/>
              <w:spacing w:before="0" w:beforeAutospacing="0" w:after="0" w:afterAutospacing="0" w:line="300" w:lineRule="auto"/>
              <w:ind w:left="0" w:right="0"/>
              <w:jc w:val="center"/>
              <w:rPr>
                <w:rFonts w:hint="eastAsia" w:ascii="宋体" w:hAnsi="宋体" w:cs="宋体"/>
                <w:b/>
                <w:color w:val="auto"/>
                <w:sz w:val="24"/>
              </w:rPr>
            </w:pPr>
            <w:r>
              <w:rPr>
                <w:rFonts w:hint="eastAsia" w:ascii="宋体" w:hAnsi="宋体" w:cs="宋体"/>
                <w:b/>
                <w:color w:val="auto"/>
                <w:sz w:val="24"/>
              </w:rPr>
              <w:t>分值</w:t>
            </w:r>
          </w:p>
        </w:tc>
      </w:tr>
      <w:tr w14:paraId="291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342" w:type="dxa"/>
            <w:vAlign w:val="center"/>
          </w:tcPr>
          <w:p w14:paraId="224BCF8E">
            <w:pPr>
              <w:keepNext w:val="0"/>
              <w:keepLines w:val="0"/>
              <w:suppressLineNumbers w:val="0"/>
              <w:autoSpaceDE w:val="0"/>
              <w:autoSpaceDN w:val="0"/>
              <w:adjustRightInd w:val="0"/>
              <w:spacing w:before="0" w:beforeAutospacing="0" w:after="0" w:afterAutospacing="0" w:line="300" w:lineRule="auto"/>
              <w:ind w:left="0" w:right="0"/>
              <w:jc w:val="center"/>
              <w:rPr>
                <w:rFonts w:hint="eastAsia" w:ascii="宋体" w:hAnsi="宋体" w:cs="宋体"/>
                <w:bCs/>
                <w:color w:val="auto"/>
                <w:sz w:val="24"/>
              </w:rPr>
            </w:pPr>
            <w:r>
              <w:rPr>
                <w:rFonts w:hint="eastAsia" w:ascii="宋体" w:hAnsi="宋体" w:cs="宋体"/>
                <w:bCs/>
                <w:color w:val="auto"/>
                <w:sz w:val="24"/>
              </w:rPr>
              <w:t xml:space="preserve">报价部分 </w:t>
            </w:r>
          </w:p>
        </w:tc>
        <w:tc>
          <w:tcPr>
            <w:tcW w:w="7199" w:type="dxa"/>
            <w:vAlign w:val="center"/>
          </w:tcPr>
          <w:p w14:paraId="3EBADF21">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满足磋商文件要求且磋商价格最低的磋商报价为磋商基准价，其价格分为满分；其他供应商的价格分统一按照下列公式计算：</w:t>
            </w:r>
          </w:p>
          <w:p w14:paraId="192F1345">
            <w:pPr>
              <w:keepNext w:val="0"/>
              <w:keepLines w:val="0"/>
              <w:suppressLineNumbers w:val="0"/>
              <w:spacing w:before="0" w:beforeAutospacing="0" w:after="0" w:afterAutospacing="0" w:line="300" w:lineRule="auto"/>
              <w:ind w:left="0" w:right="0"/>
              <w:rPr>
                <w:rFonts w:hint="eastAsia" w:ascii="宋体" w:hAnsi="宋体" w:cs="宋体"/>
                <w:color w:val="auto"/>
                <w:sz w:val="24"/>
              </w:rPr>
            </w:pPr>
            <w:r>
              <w:rPr>
                <w:rFonts w:hint="eastAsia" w:ascii="宋体" w:hAnsi="宋体" w:cs="宋体"/>
                <w:color w:val="auto"/>
                <w:sz w:val="24"/>
              </w:rPr>
              <w:t>磋商报价得分=(磋商基准价／最终报价)×价格权值×100。</w:t>
            </w:r>
          </w:p>
          <w:p w14:paraId="19049704">
            <w:pPr>
              <w:keepNext w:val="0"/>
              <w:keepLines w:val="0"/>
              <w:suppressLineNumbers w:val="0"/>
              <w:spacing w:before="0" w:beforeAutospacing="0" w:after="0" w:afterAutospacing="0" w:line="300" w:lineRule="auto"/>
              <w:ind w:left="0" w:right="0"/>
              <w:rPr>
                <w:rFonts w:hint="default"/>
                <w:color w:val="auto"/>
              </w:rPr>
            </w:pPr>
            <w:r>
              <w:rPr>
                <w:rFonts w:hint="eastAsia" w:ascii="宋体" w:hAnsi="宋体" w:cs="宋体"/>
                <w:color w:val="auto"/>
                <w:sz w:val="24"/>
              </w:rPr>
              <w:t>本项目的价格权值为</w:t>
            </w:r>
            <w:r>
              <w:rPr>
                <w:rFonts w:hint="eastAsia" w:ascii="宋体" w:hAnsi="宋体" w:cs="宋体"/>
                <w:color w:val="auto"/>
                <w:sz w:val="24"/>
                <w:lang w:val="en-US" w:eastAsia="zh-CN"/>
              </w:rPr>
              <w:t>2</w:t>
            </w:r>
            <w:r>
              <w:rPr>
                <w:rFonts w:hint="eastAsia" w:ascii="宋体" w:hAnsi="宋体" w:cs="宋体"/>
                <w:color w:val="auto"/>
                <w:sz w:val="24"/>
              </w:rPr>
              <w:t>0%。</w:t>
            </w:r>
          </w:p>
        </w:tc>
        <w:tc>
          <w:tcPr>
            <w:tcW w:w="816" w:type="dxa"/>
            <w:vAlign w:val="center"/>
          </w:tcPr>
          <w:p w14:paraId="68558C2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Cs/>
                <w:color w:val="auto"/>
                <w:sz w:val="24"/>
              </w:rPr>
            </w:pPr>
            <w:r>
              <w:rPr>
                <w:rFonts w:hint="eastAsia" w:ascii="宋体" w:hAnsi="宋体" w:cs="宋体"/>
                <w:bCs/>
                <w:color w:val="auto"/>
                <w:kern w:val="0"/>
                <w:sz w:val="24"/>
                <w:lang w:val="en-US" w:eastAsia="zh-CN"/>
              </w:rPr>
              <w:t>20</w:t>
            </w:r>
            <w:r>
              <w:rPr>
                <w:rFonts w:hint="eastAsia" w:ascii="宋体" w:hAnsi="宋体" w:cs="宋体"/>
                <w:bCs/>
                <w:color w:val="auto"/>
                <w:kern w:val="0"/>
                <w:sz w:val="24"/>
              </w:rPr>
              <w:t>分</w:t>
            </w:r>
          </w:p>
        </w:tc>
      </w:tr>
    </w:tbl>
    <w:p w14:paraId="3BA475DA">
      <w:pPr>
        <w:spacing w:line="360" w:lineRule="auto"/>
        <w:rPr>
          <w:rFonts w:hint="eastAsia" w:ascii="宋体" w:hAnsi="宋体" w:cs="宋体"/>
          <w:b/>
          <w:color w:val="auto"/>
          <w:sz w:val="24"/>
          <w:szCs w:val="32"/>
        </w:rPr>
      </w:pPr>
      <w:r>
        <w:rPr>
          <w:rFonts w:hint="eastAsia" w:ascii="宋体" w:hAnsi="宋体" w:cs="宋体"/>
          <w:b/>
          <w:color w:val="auto"/>
          <w:sz w:val="24"/>
          <w:szCs w:val="32"/>
        </w:rPr>
        <w:t>（2）商务技术部分（占总分值的</w:t>
      </w:r>
      <w:r>
        <w:rPr>
          <w:rFonts w:hint="eastAsia" w:ascii="宋体" w:hAnsi="宋体" w:cs="宋体"/>
          <w:b/>
          <w:color w:val="auto"/>
          <w:sz w:val="24"/>
          <w:szCs w:val="32"/>
          <w:lang w:val="en-US" w:eastAsia="zh-CN"/>
        </w:rPr>
        <w:t>8</w:t>
      </w:r>
      <w:r>
        <w:rPr>
          <w:rFonts w:hint="eastAsia" w:ascii="宋体" w:hAnsi="宋体" w:cs="宋体"/>
          <w:b/>
          <w:color w:val="auto"/>
          <w:sz w:val="24"/>
          <w:szCs w:val="32"/>
        </w:rPr>
        <w:t>0%）</w:t>
      </w:r>
    </w:p>
    <w:tbl>
      <w:tblPr>
        <w:tblStyle w:val="33"/>
        <w:tblW w:w="53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36"/>
        <w:gridCol w:w="1159"/>
        <w:gridCol w:w="6781"/>
      </w:tblGrid>
      <w:tr w14:paraId="5DCE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66" w:type="pct"/>
            <w:noWrap w:val="0"/>
            <w:vAlign w:val="center"/>
          </w:tcPr>
          <w:p w14:paraId="1468A0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评分因素</w:t>
            </w:r>
          </w:p>
        </w:tc>
        <w:tc>
          <w:tcPr>
            <w:tcW w:w="618" w:type="pct"/>
            <w:noWrap w:val="0"/>
            <w:vAlign w:val="center"/>
          </w:tcPr>
          <w:p w14:paraId="6E3BC0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bidi="ar"/>
              </w:rPr>
              <w:t>评分点</w:t>
            </w:r>
          </w:p>
        </w:tc>
        <w:tc>
          <w:tcPr>
            <w:tcW w:w="3615" w:type="pct"/>
            <w:noWrap w:val="0"/>
            <w:vAlign w:val="center"/>
          </w:tcPr>
          <w:p w14:paraId="6058E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bidi="ar"/>
              </w:rPr>
              <w:t>评分标准</w:t>
            </w:r>
          </w:p>
        </w:tc>
      </w:tr>
      <w:tr w14:paraId="1E47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66" w:type="pct"/>
            <w:vMerge w:val="restart"/>
            <w:noWrap w:val="0"/>
            <w:vAlign w:val="center"/>
          </w:tcPr>
          <w:p w14:paraId="7AC2E4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商务评审</w:t>
            </w:r>
          </w:p>
          <w:p w14:paraId="63CD42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w:t>
            </w:r>
            <w:r>
              <w:rPr>
                <w:rFonts w:hint="eastAsia" w:ascii="宋体" w:hAnsi="宋体" w:eastAsia="宋体" w:cs="宋体"/>
                <w:b/>
                <w:bCs/>
                <w:color w:val="auto"/>
                <w:sz w:val="24"/>
                <w:szCs w:val="24"/>
                <w:lang w:val="en-US" w:eastAsia="zh-CN" w:bidi="ar"/>
              </w:rPr>
              <w:t>15</w:t>
            </w:r>
            <w:r>
              <w:rPr>
                <w:rFonts w:hint="eastAsia" w:ascii="宋体" w:hAnsi="宋体" w:eastAsia="宋体" w:cs="宋体"/>
                <w:b/>
                <w:bCs/>
                <w:color w:val="auto"/>
                <w:sz w:val="24"/>
                <w:szCs w:val="24"/>
                <w:lang w:bidi="ar"/>
              </w:rPr>
              <w:t>分）</w:t>
            </w:r>
          </w:p>
        </w:tc>
        <w:tc>
          <w:tcPr>
            <w:tcW w:w="618" w:type="pct"/>
            <w:noWrap w:val="0"/>
            <w:vAlign w:val="center"/>
          </w:tcPr>
          <w:p w14:paraId="77C7F9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类似业绩</w:t>
            </w:r>
          </w:p>
          <w:p w14:paraId="1D46C8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w:t>
            </w:r>
            <w:r>
              <w:rPr>
                <w:rFonts w:hint="eastAsia" w:ascii="宋体" w:hAnsi="宋体" w:eastAsia="宋体" w:cs="宋体"/>
                <w:b/>
                <w:bCs/>
                <w:color w:val="auto"/>
                <w:sz w:val="24"/>
                <w:szCs w:val="24"/>
                <w:lang w:val="en-US" w:eastAsia="zh-CN" w:bidi="ar"/>
              </w:rPr>
              <w:t>5</w:t>
            </w:r>
            <w:r>
              <w:rPr>
                <w:rFonts w:hint="eastAsia" w:ascii="宋体" w:hAnsi="宋体" w:eastAsia="宋体" w:cs="宋体"/>
                <w:b/>
                <w:bCs/>
                <w:color w:val="auto"/>
                <w:sz w:val="24"/>
                <w:szCs w:val="24"/>
                <w:lang w:bidi="ar"/>
              </w:rPr>
              <w:t>分）</w:t>
            </w:r>
          </w:p>
        </w:tc>
        <w:tc>
          <w:tcPr>
            <w:tcW w:w="3615" w:type="pct"/>
            <w:noWrap w:val="0"/>
            <w:vAlign w:val="center"/>
          </w:tcPr>
          <w:p w14:paraId="6D1822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eastAsia="zh-CN" w:bidi="ar"/>
              </w:rPr>
              <w:t>供应商</w:t>
            </w:r>
            <w:r>
              <w:rPr>
                <w:rFonts w:hint="eastAsia" w:ascii="宋体" w:hAnsi="宋体" w:eastAsia="宋体" w:cs="宋体"/>
                <w:color w:val="auto"/>
                <w:sz w:val="24"/>
                <w:szCs w:val="24"/>
                <w:lang w:bidi="ar"/>
              </w:rPr>
              <w:t>提供近</w:t>
            </w:r>
            <w:r>
              <w:rPr>
                <w:rFonts w:hint="eastAsia" w:ascii="宋体" w:hAnsi="宋体" w:eastAsia="宋体" w:cs="宋体"/>
                <w:color w:val="auto"/>
                <w:sz w:val="24"/>
                <w:szCs w:val="24"/>
                <w:lang w:val="en-US" w:eastAsia="zh-CN" w:bidi="ar"/>
              </w:rPr>
              <w:t>三</w:t>
            </w:r>
            <w:r>
              <w:rPr>
                <w:rFonts w:hint="eastAsia" w:ascii="宋体" w:hAnsi="宋体" w:eastAsia="宋体" w:cs="宋体"/>
                <w:color w:val="auto"/>
                <w:sz w:val="24"/>
                <w:szCs w:val="24"/>
                <w:lang w:bidi="ar"/>
              </w:rPr>
              <w:t>年（</w:t>
            </w:r>
            <w:r>
              <w:rPr>
                <w:rFonts w:hint="eastAsia" w:ascii="宋体" w:hAnsi="宋体" w:eastAsia="宋体" w:cs="宋体"/>
                <w:color w:val="auto"/>
                <w:sz w:val="24"/>
                <w:szCs w:val="24"/>
                <w:lang w:val="en-US" w:eastAsia="zh-CN" w:bidi="ar"/>
              </w:rPr>
              <w:t>2022</w:t>
            </w:r>
            <w:r>
              <w:rPr>
                <w:rFonts w:hint="eastAsia" w:ascii="宋体" w:hAnsi="宋体" w:eastAsia="宋体" w:cs="宋体"/>
                <w:color w:val="auto"/>
                <w:sz w:val="24"/>
                <w:szCs w:val="24"/>
                <w:lang w:bidi="ar"/>
              </w:rPr>
              <w:t>年1月1日之后）类似项目业绩（类似项目业绩指：服务内容相似），每提供一项得</w:t>
            </w: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bidi="ar"/>
              </w:rPr>
              <w:t>分，最多得</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bidi="ar"/>
              </w:rPr>
              <w:t>分；提供合同或中标通知书等证明文件（复印件加盖公章)，未提供或内容模糊不清的，其业绩不予认定。</w:t>
            </w:r>
          </w:p>
        </w:tc>
      </w:tr>
      <w:tr w14:paraId="3896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766" w:type="pct"/>
            <w:vMerge w:val="continue"/>
            <w:noWrap w:val="0"/>
            <w:vAlign w:val="center"/>
          </w:tcPr>
          <w:p w14:paraId="21F69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4"/>
                <w:szCs w:val="24"/>
                <w:lang w:bidi="ar"/>
              </w:rPr>
            </w:pPr>
          </w:p>
        </w:tc>
        <w:tc>
          <w:tcPr>
            <w:tcW w:w="618" w:type="pct"/>
            <w:noWrap w:val="0"/>
            <w:vAlign w:val="center"/>
          </w:tcPr>
          <w:p w14:paraId="126ECE15">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300" w:lineRule="auto"/>
              <w:ind w:left="0" w:right="60"/>
              <w:jc w:val="center"/>
              <w:rPr>
                <w:rFonts w:hint="eastAsia" w:ascii="宋体" w:hAnsi="宋体" w:eastAsia="宋体" w:cs="宋体"/>
                <w:bCs/>
                <w:color w:val="auto"/>
                <w:sz w:val="24"/>
                <w:szCs w:val="24"/>
                <w:lang w:val="en-US" w:eastAsia="zh-CN" w:bidi="ar-SA"/>
              </w:rPr>
            </w:pPr>
            <w:r>
              <w:rPr>
                <w:rFonts w:hint="eastAsia" w:ascii="宋体" w:hAnsi="宋体" w:eastAsia="宋体" w:cs="宋体"/>
                <w:b/>
                <w:bCs/>
                <w:color w:val="auto"/>
                <w:kern w:val="0"/>
                <w:sz w:val="24"/>
                <w:szCs w:val="24"/>
              </w:rPr>
              <w:t>执行团队情况（</w:t>
            </w: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分）</w:t>
            </w:r>
          </w:p>
        </w:tc>
        <w:tc>
          <w:tcPr>
            <w:tcW w:w="3615" w:type="pct"/>
            <w:noWrap w:val="0"/>
            <w:vAlign w:val="center"/>
          </w:tcPr>
          <w:p w14:paraId="7C5E9C3C">
            <w:pPr>
              <w:pStyle w:val="104"/>
              <w:keepNext w:val="0"/>
              <w:keepLines w:val="0"/>
              <w:pageBreakBefore w:val="0"/>
              <w:suppressLineNumbers w:val="0"/>
              <w:kinsoku/>
              <w:wordWrap/>
              <w:overflowPunct/>
              <w:topLinePunct w:val="0"/>
              <w:bidi w:val="0"/>
              <w:snapToGrid/>
              <w:spacing w:before="25" w:beforeAutospacing="0" w:after="0" w:afterAutospacing="0" w:line="300" w:lineRule="auto"/>
              <w:ind w:left="0" w:right="18"/>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项目组组成人员：项目组的人员构成合理，项目经验丰富，有利于项目的执行</w:t>
            </w:r>
            <w:r>
              <w:rPr>
                <w:rFonts w:hint="eastAsia" w:ascii="宋体" w:hAnsi="宋体" w:eastAsia="宋体" w:cs="宋体"/>
                <w:color w:val="auto"/>
                <w:kern w:val="0"/>
                <w:sz w:val="24"/>
                <w:szCs w:val="24"/>
                <w:lang w:eastAsia="zh-CN"/>
              </w:rPr>
              <w:t>，</w:t>
            </w:r>
            <w:r>
              <w:rPr>
                <w:rFonts w:hint="eastAsia" w:ascii="宋体" w:hAnsi="宋体" w:eastAsia="宋体" w:cs="宋体"/>
                <w:color w:val="auto"/>
                <w:spacing w:val="13"/>
                <w:sz w:val="24"/>
                <w:szCs w:val="24"/>
              </w:rPr>
              <w:t>是一支具有专业性、科学性、可靠性的</w:t>
            </w:r>
            <w:r>
              <w:rPr>
                <w:rFonts w:hint="eastAsia" w:ascii="宋体" w:hAnsi="宋体" w:eastAsia="宋体" w:cs="宋体"/>
                <w:color w:val="auto"/>
                <w:spacing w:val="5"/>
                <w:sz w:val="24"/>
                <w:szCs w:val="24"/>
              </w:rPr>
              <w:t>执行团队。</w:t>
            </w:r>
          </w:p>
          <w:p w14:paraId="3F770CD6">
            <w:pPr>
              <w:pStyle w:val="104"/>
              <w:keepNext w:val="0"/>
              <w:keepLines w:val="0"/>
              <w:pageBreakBefore w:val="0"/>
              <w:suppressLineNumbers w:val="0"/>
              <w:kinsoku/>
              <w:wordWrap/>
              <w:overflowPunct/>
              <w:topLinePunct w:val="0"/>
              <w:bidi w:val="0"/>
              <w:snapToGrid/>
              <w:spacing w:before="25" w:beforeAutospacing="0" w:after="0" w:afterAutospacing="0" w:line="300" w:lineRule="auto"/>
              <w:ind w:left="0" w:right="18"/>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cs="宋体"/>
                <w:color w:val="auto"/>
                <w:kern w:val="0"/>
                <w:sz w:val="24"/>
                <w:szCs w:val="24"/>
                <w:lang w:val="en-US" w:eastAsia="zh-CN"/>
              </w:rPr>
              <w:t>1</w:t>
            </w:r>
            <w:r>
              <w:rPr>
                <w:rFonts w:hint="eastAsia" w:cs="宋体"/>
                <w:color w:val="auto"/>
                <w:kern w:val="0"/>
                <w:sz w:val="24"/>
                <w:szCs w:val="24"/>
                <w:lang w:eastAsia="zh-CN"/>
              </w:rPr>
              <w:t>）</w:t>
            </w:r>
            <w:r>
              <w:rPr>
                <w:rFonts w:hint="eastAsia" w:ascii="宋体" w:hAnsi="宋体" w:eastAsia="宋体" w:cs="宋体"/>
                <w:color w:val="auto"/>
                <w:kern w:val="0"/>
                <w:sz w:val="24"/>
                <w:szCs w:val="24"/>
              </w:rPr>
              <w:t>项目团队配置合理、科学性强、专业性强、团队经验丰富得</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 xml:space="preserve"> 分；</w:t>
            </w:r>
          </w:p>
          <w:p w14:paraId="67248CBB">
            <w:pPr>
              <w:pStyle w:val="104"/>
              <w:keepNext w:val="0"/>
              <w:keepLines w:val="0"/>
              <w:pageBreakBefore w:val="0"/>
              <w:suppressLineNumbers w:val="0"/>
              <w:kinsoku/>
              <w:wordWrap/>
              <w:overflowPunct/>
              <w:topLinePunct w:val="0"/>
              <w:bidi w:val="0"/>
              <w:snapToGrid/>
              <w:spacing w:before="25" w:beforeAutospacing="0" w:after="0" w:afterAutospacing="0" w:line="300" w:lineRule="auto"/>
              <w:ind w:left="81" w:right="18" w:firstLine="3"/>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项目团队配置较为合理、科学性较强、专业性较强、团队</w:t>
            </w:r>
            <w:r>
              <w:rPr>
                <w:rFonts w:hint="eastAsia" w:ascii="宋体" w:hAnsi="宋体" w:eastAsia="宋体" w:cs="宋体"/>
                <w:color w:val="auto"/>
                <w:kern w:val="0"/>
                <w:sz w:val="24"/>
                <w:szCs w:val="24"/>
                <w:lang w:val="en-US" w:eastAsia="zh-CN"/>
              </w:rPr>
              <w:t>人员</w:t>
            </w:r>
            <w:r>
              <w:rPr>
                <w:rFonts w:hint="eastAsia" w:ascii="宋体" w:hAnsi="宋体" w:eastAsia="宋体" w:cs="宋体"/>
                <w:color w:val="auto"/>
                <w:kern w:val="0"/>
                <w:sz w:val="24"/>
                <w:szCs w:val="24"/>
              </w:rPr>
              <w:t xml:space="preserve">欠缺得 </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分；</w:t>
            </w:r>
          </w:p>
          <w:p w14:paraId="2DA651B5">
            <w:pPr>
              <w:pStyle w:val="104"/>
              <w:keepNext w:val="0"/>
              <w:keepLines w:val="0"/>
              <w:pageBreakBefore w:val="0"/>
              <w:suppressLineNumbers w:val="0"/>
              <w:kinsoku/>
              <w:wordWrap/>
              <w:overflowPunct/>
              <w:topLinePunct w:val="0"/>
              <w:bidi w:val="0"/>
              <w:snapToGrid/>
              <w:spacing w:before="25" w:beforeAutospacing="0" w:after="0" w:afterAutospacing="0" w:line="300" w:lineRule="auto"/>
              <w:ind w:left="81" w:right="18" w:firstLine="3"/>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项目团队配置不合理、专业性不足、团队无相关经验得 </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 xml:space="preserve"> 分； </w:t>
            </w:r>
          </w:p>
          <w:p w14:paraId="7A73C3E2">
            <w:pPr>
              <w:pStyle w:val="104"/>
              <w:keepNext w:val="0"/>
              <w:keepLines w:val="0"/>
              <w:pageBreakBefore w:val="0"/>
              <w:suppressLineNumbers w:val="0"/>
              <w:kinsoku/>
              <w:wordWrap/>
              <w:overflowPunct/>
              <w:topLinePunct w:val="0"/>
              <w:bidi w:val="0"/>
              <w:snapToGrid/>
              <w:spacing w:before="25" w:beforeAutospacing="0" w:after="0" w:afterAutospacing="0" w:line="300" w:lineRule="auto"/>
              <w:ind w:left="81" w:right="18" w:firstLine="3"/>
              <w:rPr>
                <w:rFonts w:hint="eastAsia" w:ascii="宋体" w:hAnsi="宋体" w:eastAsia="宋体" w:cs="宋体"/>
                <w:bCs/>
                <w:color w:val="auto"/>
                <w:sz w:val="24"/>
                <w:szCs w:val="24"/>
                <w:lang w:val="en-US" w:eastAsia="zh-CN" w:bidi="ar-SA"/>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项目团队配置人数不足、分工严重缺项得 3 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不提供不得分。</w:t>
            </w:r>
          </w:p>
        </w:tc>
      </w:tr>
      <w:tr w14:paraId="4FEB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2" w:hRule="atLeast"/>
          <w:jc w:val="center"/>
        </w:trPr>
        <w:tc>
          <w:tcPr>
            <w:tcW w:w="766" w:type="pct"/>
            <w:vMerge w:val="restart"/>
            <w:noWrap w:val="0"/>
            <w:vAlign w:val="center"/>
          </w:tcPr>
          <w:p w14:paraId="2112B07D">
            <w:pPr>
              <w:pStyle w:val="7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210" w:right="0" w:hanging="241" w:hangingChars="10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技术标</w:t>
            </w:r>
          </w:p>
          <w:p w14:paraId="5646C056">
            <w:pPr>
              <w:pStyle w:val="7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210" w:right="0" w:hanging="241" w:hangingChars="10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评审</w:t>
            </w:r>
          </w:p>
          <w:p w14:paraId="63B287CC">
            <w:pPr>
              <w:pStyle w:val="7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210" w:right="0" w:hanging="241" w:hangingChars="1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2"/>
                <w:sz w:val="24"/>
                <w:szCs w:val="24"/>
              </w:rPr>
              <w:t>（</w:t>
            </w:r>
            <w:r>
              <w:rPr>
                <w:rFonts w:hint="eastAsia" w:ascii="宋体" w:hAnsi="宋体" w:eastAsia="宋体" w:cs="宋体"/>
                <w:b/>
                <w:bCs/>
                <w:color w:val="auto"/>
                <w:kern w:val="2"/>
                <w:sz w:val="24"/>
                <w:szCs w:val="24"/>
                <w:lang w:val="en-US" w:eastAsia="zh-CN"/>
              </w:rPr>
              <w:t>65</w:t>
            </w:r>
            <w:r>
              <w:rPr>
                <w:rFonts w:hint="eastAsia" w:ascii="宋体" w:hAnsi="宋体" w:eastAsia="宋体" w:cs="宋体"/>
                <w:b/>
                <w:bCs/>
                <w:color w:val="auto"/>
                <w:kern w:val="2"/>
                <w:sz w:val="24"/>
                <w:szCs w:val="24"/>
              </w:rPr>
              <w:t>分）</w:t>
            </w:r>
          </w:p>
        </w:tc>
        <w:tc>
          <w:tcPr>
            <w:tcW w:w="618" w:type="pct"/>
            <w:noWrap w:val="0"/>
            <w:vAlign w:val="center"/>
          </w:tcPr>
          <w:p w14:paraId="6EA9285E">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针对本项目服务方案</w:t>
            </w:r>
          </w:p>
          <w:p w14:paraId="46CD8967">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
                <w:bCs w:val="0"/>
                <w:color w:val="auto"/>
                <w:sz w:val="24"/>
                <w:szCs w:val="24"/>
                <w:lang w:val="en-US" w:eastAsia="zh-CN" w:bidi="ar-SA"/>
              </w:rPr>
            </w:pPr>
            <w:r>
              <w:rPr>
                <w:rFonts w:hint="eastAsia" w:ascii="宋体" w:hAnsi="宋体" w:eastAsia="宋体" w:cs="宋体"/>
                <w:b/>
                <w:bCs w:val="0"/>
                <w:color w:val="auto"/>
                <w:kern w:val="0"/>
                <w:sz w:val="24"/>
                <w:szCs w:val="24"/>
              </w:rPr>
              <w:t>（</w:t>
            </w:r>
            <w:r>
              <w:rPr>
                <w:rFonts w:hint="eastAsia" w:ascii="宋体" w:hAnsi="宋体" w:eastAsia="宋体" w:cs="宋体"/>
                <w:b/>
                <w:bCs w:val="0"/>
                <w:color w:val="auto"/>
                <w:kern w:val="0"/>
                <w:sz w:val="24"/>
                <w:szCs w:val="24"/>
                <w:lang w:val="en-US" w:eastAsia="zh-CN"/>
              </w:rPr>
              <w:t>10</w:t>
            </w:r>
            <w:r>
              <w:rPr>
                <w:rFonts w:hint="eastAsia" w:ascii="宋体" w:hAnsi="宋体" w:eastAsia="宋体" w:cs="宋体"/>
                <w:b/>
                <w:bCs w:val="0"/>
                <w:color w:val="auto"/>
                <w:kern w:val="0"/>
                <w:sz w:val="24"/>
                <w:szCs w:val="24"/>
              </w:rPr>
              <w:t>分）</w:t>
            </w:r>
          </w:p>
        </w:tc>
        <w:tc>
          <w:tcPr>
            <w:tcW w:w="3615" w:type="pct"/>
            <w:noWrap w:val="0"/>
            <w:vAlign w:val="center"/>
          </w:tcPr>
          <w:p w14:paraId="7F842903">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根据</w:t>
            </w:r>
            <w:r>
              <w:rPr>
                <w:rFonts w:hint="eastAsia" w:ascii="宋体" w:hAnsi="宋体" w:cs="宋体"/>
                <w:bCs/>
                <w:color w:val="auto"/>
                <w:sz w:val="24"/>
                <w:szCs w:val="24"/>
                <w:lang w:val="en-US" w:eastAsia="zh-CN" w:bidi="ar-SA"/>
              </w:rPr>
              <w:t>供应商</w:t>
            </w:r>
            <w:r>
              <w:rPr>
                <w:rFonts w:hint="eastAsia" w:ascii="宋体" w:hAnsi="宋体" w:eastAsia="宋体" w:cs="宋体"/>
                <w:bCs/>
                <w:color w:val="auto"/>
                <w:sz w:val="24"/>
                <w:szCs w:val="24"/>
                <w:lang w:val="en-US" w:eastAsia="zh-CN" w:bidi="ar-SA"/>
              </w:rPr>
              <w:t>针对本项目提供的服务方案，包括但不限于:(①培训服务质量管理方案、②培训进度管理方案、③培训现场管理制度、④培训宣传推广方案、⑤培训住宿、餐饮、保洁服务方案等)描述详尽且有利于项目实施的得10分，每有一项缺项、漏项的扣2分；</w:t>
            </w:r>
            <w:r>
              <w:rPr>
                <w:rFonts w:hint="eastAsia" w:ascii="宋体" w:hAnsi="宋体" w:eastAsia="宋体" w:cs="宋体"/>
                <w:color w:val="auto"/>
                <w:sz w:val="24"/>
                <w:szCs w:val="24"/>
                <w:lang w:val="en-US" w:eastAsia="zh-CN"/>
              </w:rPr>
              <w:t>每有一项方案内容完整，但针对性较弱的扣0.5分；</w:t>
            </w:r>
            <w:r>
              <w:rPr>
                <w:rFonts w:hint="eastAsia" w:ascii="宋体" w:hAnsi="宋体" w:eastAsia="宋体" w:cs="宋体"/>
                <w:color w:val="auto"/>
                <w:sz w:val="24"/>
                <w:szCs w:val="24"/>
              </w:rPr>
              <w:t>每有一项内容不完整或未能满足</w:t>
            </w:r>
            <w:r>
              <w:rPr>
                <w:rFonts w:hint="eastAsia" w:ascii="宋体" w:hAnsi="宋体" w:eastAsia="宋体" w:cs="宋体"/>
                <w:bCs/>
                <w:color w:val="auto"/>
                <w:sz w:val="24"/>
                <w:szCs w:val="24"/>
                <w:lang w:val="en-US" w:eastAsia="zh-CN" w:bidi="ar-SA"/>
              </w:rPr>
              <w:t>实际情况</w:t>
            </w:r>
            <w:r>
              <w:rPr>
                <w:rFonts w:hint="eastAsia" w:ascii="宋体" w:hAnsi="宋体" w:eastAsia="宋体" w:cs="宋体"/>
                <w:color w:val="auto"/>
                <w:sz w:val="24"/>
                <w:szCs w:val="24"/>
              </w:rPr>
              <w:t>的或每有一处不具有针对性或</w:t>
            </w:r>
            <w:r>
              <w:rPr>
                <w:rFonts w:hint="eastAsia" w:ascii="宋体" w:hAnsi="宋体" w:eastAsia="宋体" w:cs="宋体"/>
                <w:color w:val="auto"/>
                <w:sz w:val="24"/>
                <w:szCs w:val="24"/>
                <w:lang w:val="en-US" w:eastAsia="zh-CN"/>
              </w:rPr>
              <w:t>方案实施性一般或</w:t>
            </w:r>
            <w:r>
              <w:rPr>
                <w:rFonts w:hint="eastAsia" w:ascii="宋体" w:hAnsi="宋体" w:eastAsia="宋体" w:cs="宋体"/>
                <w:color w:val="auto"/>
                <w:sz w:val="24"/>
                <w:szCs w:val="24"/>
              </w:rPr>
              <w:t>逻辑性错误且不完整的扣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分，扣完为止。</w:t>
            </w:r>
          </w:p>
          <w:p w14:paraId="05DE413F">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注:不完整指内容具有明显缺陷，前后内容无法连贯；不满足实际情况指内容脱离了实际情况不具备实施的可能性或套用其他项目方案或引用科学原理错误或前后内容互相矛盾或存在与本项目无关的内容。</w:t>
            </w:r>
          </w:p>
        </w:tc>
      </w:tr>
      <w:tr w14:paraId="5AE3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9" w:hRule="atLeast"/>
          <w:jc w:val="center"/>
        </w:trPr>
        <w:tc>
          <w:tcPr>
            <w:tcW w:w="766" w:type="pct"/>
            <w:vMerge w:val="continue"/>
            <w:noWrap w:val="0"/>
            <w:vAlign w:val="center"/>
          </w:tcPr>
          <w:p w14:paraId="35CEAFAE">
            <w:pPr>
              <w:pStyle w:val="7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210" w:right="0" w:hanging="241" w:hangingChars="100"/>
              <w:jc w:val="both"/>
              <w:textAlignment w:val="auto"/>
              <w:rPr>
                <w:rFonts w:hint="eastAsia" w:ascii="宋体" w:hAnsi="宋体" w:eastAsia="宋体" w:cs="宋体"/>
                <w:b/>
                <w:bCs/>
                <w:color w:val="auto"/>
                <w:kern w:val="2"/>
                <w:sz w:val="24"/>
                <w:szCs w:val="24"/>
              </w:rPr>
            </w:pPr>
          </w:p>
        </w:tc>
        <w:tc>
          <w:tcPr>
            <w:tcW w:w="618" w:type="pct"/>
            <w:noWrap w:val="0"/>
            <w:vAlign w:val="center"/>
          </w:tcPr>
          <w:p w14:paraId="3AD4B3F4">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培训方案</w:t>
            </w:r>
          </w:p>
          <w:p w14:paraId="77601E11">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（21分）</w:t>
            </w:r>
          </w:p>
        </w:tc>
        <w:tc>
          <w:tcPr>
            <w:tcW w:w="3615" w:type="pct"/>
            <w:noWrap w:val="0"/>
            <w:vAlign w:val="center"/>
          </w:tcPr>
          <w:p w14:paraId="4206FDD5">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应充分理解本项目的需求，相关课程的设置应贴合医生的实际，提供的培训方案，包括但不限于:</w:t>
            </w:r>
          </w:p>
          <w:p w14:paraId="15DAFF19">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(①培训计划、②课程安排计划、③实操活动安排、④培训日常活动安排计划、⑤课时效果摸底计划、⑥培训回访计划、⑦师资力量安排制度等)描述详尽且有利于项目实施的得21分，每有一项缺项、漏项的扣3分；</w:t>
            </w:r>
            <w:r>
              <w:rPr>
                <w:rFonts w:hint="eastAsia" w:ascii="宋体" w:hAnsi="宋体" w:eastAsia="宋体" w:cs="宋体"/>
                <w:color w:val="auto"/>
                <w:sz w:val="24"/>
                <w:szCs w:val="24"/>
                <w:lang w:val="en-US" w:eastAsia="zh-CN"/>
              </w:rPr>
              <w:t>每有一项方案内容完整，但针对性较弱的扣1分；</w:t>
            </w:r>
            <w:r>
              <w:rPr>
                <w:rFonts w:hint="eastAsia" w:ascii="宋体" w:hAnsi="宋体" w:eastAsia="宋体" w:cs="宋体"/>
                <w:color w:val="auto"/>
                <w:sz w:val="24"/>
                <w:szCs w:val="24"/>
              </w:rPr>
              <w:t>每有一项内容不完整或未能满足</w:t>
            </w:r>
            <w:r>
              <w:rPr>
                <w:rFonts w:hint="eastAsia" w:ascii="宋体" w:hAnsi="宋体" w:eastAsia="宋体" w:cs="宋体"/>
                <w:bCs/>
                <w:color w:val="auto"/>
                <w:sz w:val="24"/>
                <w:szCs w:val="24"/>
                <w:lang w:val="en-US" w:eastAsia="zh-CN" w:bidi="ar-SA"/>
              </w:rPr>
              <w:t>实际情况</w:t>
            </w:r>
            <w:r>
              <w:rPr>
                <w:rFonts w:hint="eastAsia" w:ascii="宋体" w:hAnsi="宋体" w:eastAsia="宋体" w:cs="宋体"/>
                <w:color w:val="auto"/>
                <w:sz w:val="24"/>
                <w:szCs w:val="24"/>
              </w:rPr>
              <w:t>的或每有一处不具有针对性或</w:t>
            </w:r>
            <w:r>
              <w:rPr>
                <w:rFonts w:hint="eastAsia" w:ascii="宋体" w:hAnsi="宋体" w:eastAsia="宋体" w:cs="宋体"/>
                <w:color w:val="auto"/>
                <w:sz w:val="24"/>
                <w:szCs w:val="24"/>
                <w:lang w:val="en-US" w:eastAsia="zh-CN"/>
              </w:rPr>
              <w:t>方案实施性一般或</w:t>
            </w:r>
            <w:r>
              <w:rPr>
                <w:rFonts w:hint="eastAsia" w:ascii="宋体" w:hAnsi="宋体" w:eastAsia="宋体" w:cs="宋体"/>
                <w:color w:val="auto"/>
                <w:sz w:val="24"/>
                <w:szCs w:val="24"/>
              </w:rPr>
              <w:t>逻辑性错误且不完整的扣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分，扣完为止。</w:t>
            </w:r>
          </w:p>
          <w:p w14:paraId="1B0F4891">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rPr>
              <w:t>注:不完整指内容具有明显缺陷，前后内容无法连贯；不满足实际情况指内容脱离了实际情况不具备实施的可能性或套用其他项目方案或引用科学原理错误或前后内容互相矛盾或存在与本项目无关的内容。</w:t>
            </w:r>
          </w:p>
        </w:tc>
      </w:tr>
      <w:tr w14:paraId="1457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7" w:hRule="atLeast"/>
          <w:jc w:val="center"/>
        </w:trPr>
        <w:tc>
          <w:tcPr>
            <w:tcW w:w="766" w:type="pct"/>
            <w:vMerge w:val="continue"/>
            <w:noWrap w:val="0"/>
            <w:vAlign w:val="center"/>
          </w:tcPr>
          <w:p w14:paraId="1C4960D5">
            <w:pPr>
              <w:pStyle w:val="7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210" w:right="0" w:hanging="241" w:hangingChars="100"/>
              <w:jc w:val="both"/>
              <w:textAlignment w:val="auto"/>
              <w:rPr>
                <w:rFonts w:hint="eastAsia" w:ascii="宋体" w:hAnsi="宋体" w:eastAsia="宋体" w:cs="宋体"/>
                <w:b/>
                <w:bCs/>
                <w:color w:val="auto"/>
                <w:sz w:val="24"/>
                <w:szCs w:val="24"/>
              </w:rPr>
            </w:pPr>
          </w:p>
        </w:tc>
        <w:tc>
          <w:tcPr>
            <w:tcW w:w="618" w:type="pct"/>
            <w:noWrap w:val="0"/>
            <w:vAlign w:val="center"/>
          </w:tcPr>
          <w:p w14:paraId="27EACD92">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300" w:lineRule="auto"/>
              <w:ind w:left="0" w:right="60"/>
              <w:jc w:val="center"/>
              <w:rPr>
                <w:rFonts w:hint="eastAsia" w:ascii="宋体" w:hAnsi="宋体" w:eastAsia="宋体" w:cs="宋体"/>
                <w:b/>
                <w:bCs w:val="0"/>
                <w:color w:val="auto"/>
                <w:sz w:val="24"/>
                <w:szCs w:val="24"/>
                <w:lang w:val="en-US" w:eastAsia="zh-CN" w:bidi="ar-SA"/>
              </w:rPr>
            </w:pPr>
            <w:r>
              <w:rPr>
                <w:rFonts w:hint="eastAsia" w:ascii="宋体" w:hAnsi="宋体" w:eastAsia="宋体" w:cs="宋体"/>
                <w:b/>
                <w:bCs w:val="0"/>
                <w:color w:val="auto"/>
                <w:kern w:val="0"/>
                <w:sz w:val="24"/>
                <w:szCs w:val="24"/>
                <w:lang w:val="en-US" w:eastAsia="zh-CN"/>
              </w:rPr>
              <w:t>保障方案</w:t>
            </w:r>
            <w:r>
              <w:rPr>
                <w:rFonts w:hint="eastAsia" w:ascii="宋体" w:hAnsi="宋体" w:eastAsia="宋体" w:cs="宋体"/>
                <w:b/>
                <w:bCs w:val="0"/>
                <w:color w:val="auto"/>
                <w:kern w:val="0"/>
                <w:sz w:val="24"/>
                <w:szCs w:val="24"/>
              </w:rPr>
              <w:t>（</w:t>
            </w:r>
            <w:r>
              <w:rPr>
                <w:rFonts w:hint="eastAsia" w:ascii="宋体" w:hAnsi="宋体" w:eastAsia="宋体" w:cs="宋体"/>
                <w:b/>
                <w:bCs w:val="0"/>
                <w:color w:val="auto"/>
                <w:kern w:val="0"/>
                <w:sz w:val="24"/>
                <w:szCs w:val="24"/>
                <w:lang w:val="en-US" w:eastAsia="zh-CN"/>
              </w:rPr>
              <w:t>15</w:t>
            </w:r>
            <w:r>
              <w:rPr>
                <w:rFonts w:hint="eastAsia" w:ascii="宋体" w:hAnsi="宋体" w:eastAsia="宋体" w:cs="宋体"/>
                <w:b/>
                <w:bCs w:val="0"/>
                <w:color w:val="auto"/>
                <w:kern w:val="0"/>
                <w:sz w:val="24"/>
                <w:szCs w:val="24"/>
              </w:rPr>
              <w:t>分）</w:t>
            </w:r>
          </w:p>
        </w:tc>
        <w:tc>
          <w:tcPr>
            <w:tcW w:w="3615" w:type="pct"/>
            <w:noWrap w:val="0"/>
            <w:vAlign w:val="center"/>
          </w:tcPr>
          <w:p w14:paraId="3F8856C1">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bCs/>
                <w:color w:val="auto"/>
                <w:sz w:val="24"/>
                <w:szCs w:val="24"/>
                <w:lang w:val="en-US" w:eastAsia="zh-CN" w:bidi="ar-SA"/>
              </w:rPr>
            </w:pPr>
            <w:r>
              <w:rPr>
                <w:rFonts w:hint="eastAsia" w:ascii="宋体" w:hAnsi="宋体" w:eastAsia="宋体" w:cs="宋体"/>
                <w:color w:val="auto"/>
                <w:kern w:val="0"/>
                <w:sz w:val="24"/>
                <w:szCs w:val="24"/>
                <w:lang w:val="en-US" w:eastAsia="zh-CN"/>
              </w:rPr>
              <w:t>针对本项目提供的保障方案进行综合评比，包括①项目成果质量保障措施、②售后服务保障方案、③后勤保障方案、④进度计划保障方案、⑤多方协调保障措施。完全满足项目实际需求的得15分；每有一项缺项、漏项的扣3分；每有一项方案内容完整，但针对性较弱的扣1分；每有一处存在缺陷的扣2 分（注：缺陷是指内容与实际情况不匹配、不符合项目特点、服务方案无法达到预期效果、服务方案不适用于本项目、内容不符合相关规范要求、与本项目无关等任意一种情形），扣完为止。</w:t>
            </w:r>
          </w:p>
        </w:tc>
      </w:tr>
      <w:tr w14:paraId="390B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7" w:hRule="atLeast"/>
          <w:jc w:val="center"/>
        </w:trPr>
        <w:tc>
          <w:tcPr>
            <w:tcW w:w="766" w:type="pct"/>
            <w:vMerge w:val="continue"/>
            <w:noWrap w:val="0"/>
            <w:vAlign w:val="center"/>
          </w:tcPr>
          <w:p w14:paraId="28EF8700">
            <w:pPr>
              <w:pStyle w:val="7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210" w:right="0" w:hanging="241" w:hangingChars="100"/>
              <w:jc w:val="both"/>
              <w:textAlignment w:val="auto"/>
              <w:rPr>
                <w:rFonts w:hint="eastAsia" w:ascii="宋体" w:hAnsi="宋体" w:eastAsia="宋体" w:cs="宋体"/>
                <w:b/>
                <w:bCs/>
                <w:color w:val="auto"/>
                <w:sz w:val="24"/>
                <w:szCs w:val="24"/>
              </w:rPr>
            </w:pPr>
          </w:p>
        </w:tc>
        <w:tc>
          <w:tcPr>
            <w:tcW w:w="618" w:type="pct"/>
            <w:noWrap w:val="0"/>
            <w:vAlign w:val="center"/>
          </w:tcPr>
          <w:p w14:paraId="7509B0B5">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交通、车辆安排方案</w:t>
            </w:r>
          </w:p>
          <w:p w14:paraId="52CE2A49">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
                <w:bCs w:val="0"/>
                <w:color w:val="auto"/>
                <w:sz w:val="24"/>
                <w:szCs w:val="24"/>
                <w:lang w:val="en-US" w:eastAsia="zh-CN" w:bidi="ar-SA"/>
              </w:rPr>
            </w:pPr>
            <w:r>
              <w:rPr>
                <w:rFonts w:hint="eastAsia" w:ascii="宋体" w:hAnsi="宋体" w:eastAsia="宋体" w:cs="宋体"/>
                <w:b/>
                <w:bCs w:val="0"/>
                <w:color w:val="auto"/>
                <w:kern w:val="0"/>
                <w:sz w:val="24"/>
                <w:szCs w:val="24"/>
              </w:rPr>
              <w:t>（</w:t>
            </w:r>
            <w:r>
              <w:rPr>
                <w:rFonts w:hint="eastAsia" w:ascii="宋体" w:hAnsi="宋体" w:eastAsia="宋体" w:cs="宋体"/>
                <w:b/>
                <w:bCs w:val="0"/>
                <w:color w:val="auto"/>
                <w:kern w:val="0"/>
                <w:sz w:val="24"/>
                <w:szCs w:val="24"/>
                <w:lang w:val="en-US" w:eastAsia="zh-CN"/>
              </w:rPr>
              <w:t>5</w:t>
            </w:r>
            <w:r>
              <w:rPr>
                <w:rFonts w:hint="eastAsia" w:ascii="宋体" w:hAnsi="宋体" w:eastAsia="宋体" w:cs="宋体"/>
                <w:b/>
                <w:bCs w:val="0"/>
                <w:color w:val="auto"/>
                <w:kern w:val="0"/>
                <w:sz w:val="24"/>
                <w:szCs w:val="24"/>
              </w:rPr>
              <w:t>分）</w:t>
            </w:r>
          </w:p>
        </w:tc>
        <w:tc>
          <w:tcPr>
            <w:tcW w:w="3615" w:type="pct"/>
            <w:noWrap w:val="0"/>
            <w:vAlign w:val="center"/>
          </w:tcPr>
          <w:p w14:paraId="11DC2E02">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方案内容考虑全面、交通出行线路安排妥当、安全保障措施完善、交通车辆质量保证措施完善，得</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分；</w:t>
            </w:r>
          </w:p>
          <w:p w14:paraId="68B9B26A">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方案内容考虑全面、交通出行线路安排妥当、安全保障措施较完善、交通车辆质量保证措施较完善，得</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eastAsia="zh-CN"/>
              </w:rPr>
              <w:t>分；</w:t>
            </w:r>
          </w:p>
          <w:p w14:paraId="52ED08DD">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方案内容考虑不够全面、交通出行线路安排不够妥当、安全保障措施不够完善、交通车辆质量保证措施不够完善，得</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分；</w:t>
            </w:r>
          </w:p>
          <w:p w14:paraId="7446B8FD">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不提供不得分。</w:t>
            </w:r>
          </w:p>
          <w:p w14:paraId="48257B0D">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eastAsia="zh-CN"/>
              </w:rPr>
              <w:t>注:需提供用车相关证明材料，未提供本项均不得分。</w:t>
            </w:r>
          </w:p>
        </w:tc>
      </w:tr>
      <w:tr w14:paraId="4938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766" w:type="pct"/>
            <w:vMerge w:val="continue"/>
            <w:noWrap w:val="0"/>
            <w:vAlign w:val="center"/>
          </w:tcPr>
          <w:p w14:paraId="2ADB7B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sz w:val="24"/>
                <w:szCs w:val="24"/>
              </w:rPr>
            </w:pPr>
          </w:p>
        </w:tc>
        <w:tc>
          <w:tcPr>
            <w:tcW w:w="618" w:type="pct"/>
            <w:noWrap w:val="0"/>
            <w:vAlign w:val="center"/>
          </w:tcPr>
          <w:p w14:paraId="332AEB10">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应急预案</w:t>
            </w:r>
          </w:p>
          <w:p w14:paraId="5539EE47">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
                <w:bCs w:val="0"/>
                <w:color w:val="auto"/>
                <w:sz w:val="24"/>
                <w:szCs w:val="24"/>
                <w:lang w:val="zh-CN" w:eastAsia="zh-CN" w:bidi="ar-SA"/>
              </w:rPr>
            </w:pPr>
            <w:r>
              <w:rPr>
                <w:rFonts w:hint="eastAsia" w:ascii="宋体" w:hAnsi="宋体" w:eastAsia="宋体" w:cs="宋体"/>
                <w:b/>
                <w:bCs w:val="0"/>
                <w:color w:val="auto"/>
                <w:kern w:val="0"/>
                <w:sz w:val="24"/>
                <w:szCs w:val="24"/>
              </w:rPr>
              <w:t>（</w:t>
            </w:r>
            <w:r>
              <w:rPr>
                <w:rFonts w:hint="eastAsia" w:ascii="宋体" w:hAnsi="宋体" w:eastAsia="宋体" w:cs="宋体"/>
                <w:b/>
                <w:bCs w:val="0"/>
                <w:color w:val="auto"/>
                <w:kern w:val="0"/>
                <w:sz w:val="24"/>
                <w:szCs w:val="24"/>
                <w:lang w:val="en-US" w:eastAsia="zh-CN"/>
              </w:rPr>
              <w:t>8</w:t>
            </w:r>
            <w:r>
              <w:rPr>
                <w:rFonts w:hint="eastAsia" w:ascii="宋体" w:hAnsi="宋体" w:eastAsia="宋体" w:cs="宋体"/>
                <w:b/>
                <w:bCs w:val="0"/>
                <w:color w:val="auto"/>
                <w:kern w:val="0"/>
                <w:sz w:val="24"/>
                <w:szCs w:val="24"/>
              </w:rPr>
              <w:t>分）</w:t>
            </w:r>
          </w:p>
        </w:tc>
        <w:tc>
          <w:tcPr>
            <w:tcW w:w="3615" w:type="pct"/>
            <w:noWrap w:val="0"/>
            <w:vAlign w:val="center"/>
          </w:tcPr>
          <w:p w14:paraId="74DE3658">
            <w:pPr>
              <w:keepNext w:val="0"/>
              <w:keepLines w:val="0"/>
              <w:pageBreakBefore w:val="0"/>
              <w:widowControl/>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响应文件提供的应急预案，判断其对服务期间出现的问题，是否具备有效的预防和应急措施。对应急工作进行了合理规划并制定可行计划，同时根据采购文件技术要求。</w:t>
            </w:r>
          </w:p>
          <w:p w14:paraId="65D4F47E">
            <w:pPr>
              <w:keepNext w:val="0"/>
              <w:keepLines w:val="0"/>
              <w:pageBreakBefore w:val="0"/>
              <w:widowControl/>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1）列出各种应急情景（例如：车辆、天气、突发疾病等）、发现应急情况的方法、应急措施及解决方案，系统地阐述判断和解决方法，制定完善的工作流程，能完全满足采购需求，能较好应对可能的突发情况得8分； </w:t>
            </w:r>
          </w:p>
          <w:p w14:paraId="3EAC6C66">
            <w:pPr>
              <w:keepNext w:val="0"/>
              <w:keepLines w:val="0"/>
              <w:pageBreakBefore w:val="0"/>
              <w:widowControl/>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（2）列出几种应急情景、发现应急情况的方法、应急措施及解决方案，系统地阐述判断和解决方法，基本满足采购需求，能应对部分突发情况得 5分； </w:t>
            </w:r>
          </w:p>
          <w:p w14:paraId="7B792E7A">
            <w:pPr>
              <w:keepNext w:val="0"/>
              <w:keepLines w:val="0"/>
              <w:pageBreakBefore w:val="0"/>
              <w:widowControl/>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（3）所提供方案不满足要求得 2分；</w:t>
            </w:r>
          </w:p>
          <w:p w14:paraId="3A273D1F">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left"/>
              <w:textAlignment w:val="center"/>
              <w:rPr>
                <w:rFonts w:hint="eastAsia" w:ascii="宋体" w:hAnsi="宋体" w:eastAsia="宋体" w:cs="宋体"/>
                <w:bCs/>
                <w:color w:val="auto"/>
                <w:sz w:val="24"/>
                <w:szCs w:val="24"/>
                <w:lang w:val="zh-CN" w:eastAsia="zh-CN" w:bidi="ar-SA"/>
              </w:rPr>
            </w:pPr>
            <w:r>
              <w:rPr>
                <w:rFonts w:hint="eastAsia" w:ascii="宋体" w:hAnsi="宋体" w:eastAsia="宋体" w:cs="宋体"/>
                <w:color w:val="auto"/>
                <w:kern w:val="0"/>
                <w:sz w:val="24"/>
                <w:szCs w:val="24"/>
                <w:lang w:val="en-US" w:eastAsia="zh-CN"/>
              </w:rPr>
              <w:t>（4）未提供方案不得分。</w:t>
            </w:r>
          </w:p>
        </w:tc>
      </w:tr>
      <w:tr w14:paraId="3972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0" w:hRule="atLeast"/>
          <w:jc w:val="center"/>
        </w:trPr>
        <w:tc>
          <w:tcPr>
            <w:tcW w:w="766" w:type="pct"/>
            <w:vMerge w:val="continue"/>
            <w:noWrap w:val="0"/>
            <w:vAlign w:val="center"/>
          </w:tcPr>
          <w:p w14:paraId="1B4A46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bCs/>
                <w:color w:val="auto"/>
                <w:sz w:val="24"/>
                <w:szCs w:val="24"/>
              </w:rPr>
            </w:pPr>
          </w:p>
        </w:tc>
        <w:tc>
          <w:tcPr>
            <w:tcW w:w="618" w:type="pct"/>
            <w:noWrap w:val="0"/>
            <w:vAlign w:val="center"/>
          </w:tcPr>
          <w:p w14:paraId="53561B04">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Cs/>
                <w:color w:val="auto"/>
                <w:sz w:val="24"/>
                <w:szCs w:val="24"/>
                <w:lang w:val="en-US" w:eastAsia="zh-CN" w:bidi="ar-SA"/>
              </w:rPr>
            </w:pPr>
            <w:r>
              <w:rPr>
                <w:rFonts w:hint="eastAsia" w:ascii="宋体" w:hAnsi="宋体" w:eastAsia="宋体" w:cs="宋体"/>
                <w:b/>
                <w:bCs/>
                <w:color w:val="auto"/>
                <w:kern w:val="0"/>
                <w:sz w:val="24"/>
                <w:szCs w:val="24"/>
              </w:rPr>
              <w:t>服务质量</w:t>
            </w:r>
            <w:r>
              <w:rPr>
                <w:rFonts w:hint="eastAsia" w:ascii="宋体" w:hAnsi="宋体" w:eastAsia="宋体" w:cs="宋体"/>
                <w:b/>
                <w:bCs/>
                <w:color w:val="auto"/>
                <w:kern w:val="0"/>
                <w:sz w:val="24"/>
                <w:szCs w:val="24"/>
                <w:lang w:val="en-US" w:eastAsia="zh-CN"/>
              </w:rPr>
              <w:t>承诺</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6</w:t>
            </w:r>
            <w:r>
              <w:rPr>
                <w:rFonts w:hint="eastAsia" w:ascii="宋体" w:hAnsi="宋体" w:eastAsia="宋体" w:cs="宋体"/>
                <w:b/>
                <w:bCs/>
                <w:color w:val="auto"/>
                <w:kern w:val="0"/>
                <w:sz w:val="24"/>
                <w:szCs w:val="24"/>
              </w:rPr>
              <w:t>分）</w:t>
            </w:r>
          </w:p>
        </w:tc>
        <w:tc>
          <w:tcPr>
            <w:tcW w:w="3615" w:type="pct"/>
            <w:noWrap w:val="0"/>
            <w:vAlign w:val="center"/>
          </w:tcPr>
          <w:p w14:paraId="6102DDC4">
            <w:pPr>
              <w:keepNext w:val="0"/>
              <w:keepLines w:val="0"/>
              <w:pageBreakBefore w:val="0"/>
              <w:widowControl/>
              <w:suppressLineNumbers w:val="0"/>
              <w:kinsoku/>
              <w:wordWrap/>
              <w:overflowPunct/>
              <w:topLinePunct w:val="0"/>
              <w:bidi w:val="0"/>
              <w:snapToGrid/>
              <w:spacing w:before="0" w:beforeAutospacing="0" w:after="0" w:afterAutospacing="0" w:line="300" w:lineRule="auto"/>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能根据采购人对本项目的具体需求，制定详细、全面的保障措施，且所提供方案科学合理能完全达到或优于采购人对本项目的需求，</w:t>
            </w:r>
            <w:r>
              <w:rPr>
                <w:rFonts w:hint="eastAsia" w:ascii="宋体" w:hAnsi="宋体" w:eastAsia="宋体" w:cs="宋体"/>
                <w:color w:val="auto"/>
                <w:kern w:val="0"/>
                <w:sz w:val="24"/>
                <w:szCs w:val="24"/>
                <w:lang w:val="en-US" w:eastAsia="zh-CN"/>
              </w:rPr>
              <w:t>且在后续服务中，接到采购人提出的反馈意见后可以尽快修改并完善的得 6分；</w:t>
            </w:r>
          </w:p>
          <w:p w14:paraId="725FDE74">
            <w:pPr>
              <w:keepNext w:val="0"/>
              <w:keepLines w:val="0"/>
              <w:pageBreakBefore w:val="0"/>
              <w:widowControl/>
              <w:suppressLineNumbers w:val="0"/>
              <w:kinsoku/>
              <w:wordWrap/>
              <w:overflowPunct/>
              <w:topLinePunct w:val="0"/>
              <w:bidi w:val="0"/>
              <w:snapToGrid/>
              <w:spacing w:before="0" w:beforeAutospacing="0" w:after="0" w:afterAutospacing="0" w:line="300" w:lineRule="auto"/>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制定保障措施有一定的特点，比较全面且具有一定的可行性，可以达到采购人对本项目的需求，得3分；</w:t>
            </w:r>
          </w:p>
          <w:p w14:paraId="4B21C052">
            <w:pPr>
              <w:keepNext w:val="0"/>
              <w:keepLines w:val="0"/>
              <w:pageBreakBefore w:val="0"/>
              <w:widowControl/>
              <w:suppressLineNumbers w:val="0"/>
              <w:kinsoku/>
              <w:wordWrap/>
              <w:overflowPunct/>
              <w:topLinePunct w:val="0"/>
              <w:bidi w:val="0"/>
              <w:snapToGrid/>
              <w:spacing w:before="0" w:beforeAutospacing="0" w:after="0" w:afterAutospacing="0" w:line="300" w:lineRule="auto"/>
              <w:ind w:left="0" w:right="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0"/>
                <w:sz w:val="24"/>
                <w:szCs w:val="24"/>
                <w:lang w:val="en-US" w:eastAsia="zh-CN"/>
              </w:rPr>
              <w:t>未提供方案不得分</w:t>
            </w:r>
            <w:r>
              <w:rPr>
                <w:rFonts w:hint="eastAsia" w:ascii="宋体" w:hAnsi="宋体" w:eastAsia="宋体" w:cs="宋体"/>
                <w:bCs/>
                <w:color w:val="auto"/>
                <w:sz w:val="24"/>
                <w:szCs w:val="24"/>
                <w:lang w:eastAsia="zh-CN"/>
              </w:rPr>
              <w:t>。</w:t>
            </w:r>
          </w:p>
        </w:tc>
      </w:tr>
      <w:tr w14:paraId="2719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1384" w:type="pct"/>
            <w:gridSpan w:val="2"/>
            <w:noWrap w:val="0"/>
            <w:vAlign w:val="center"/>
          </w:tcPr>
          <w:p w14:paraId="2B0CC415">
            <w:pPr>
              <w:pStyle w:val="105"/>
              <w:keepNext w:val="0"/>
              <w:keepLines w:val="0"/>
              <w:pageBreakBefore w:val="0"/>
              <w:suppressLineNumbers w:val="0"/>
              <w:kinsoku/>
              <w:wordWrap/>
              <w:overflowPunct/>
              <w:topLinePunct w:val="0"/>
              <w:bidi w:val="0"/>
              <w:snapToGrid/>
              <w:spacing w:before="0" w:beforeAutospacing="0" w:after="0" w:afterAutospacing="0" w:line="300" w:lineRule="auto"/>
              <w:ind w:left="0" w:right="0"/>
              <w:jc w:val="center"/>
              <w:textAlignment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合计</w:t>
            </w:r>
          </w:p>
        </w:tc>
        <w:tc>
          <w:tcPr>
            <w:tcW w:w="3615" w:type="pct"/>
            <w:noWrap w:val="0"/>
            <w:vAlign w:val="center"/>
          </w:tcPr>
          <w:p w14:paraId="108793D1">
            <w:pPr>
              <w:keepNext w:val="0"/>
              <w:keepLines w:val="0"/>
              <w:pageBreakBefore w:val="0"/>
              <w:widowControl/>
              <w:suppressLineNumbers w:val="0"/>
              <w:kinsoku/>
              <w:wordWrap/>
              <w:overflowPunct/>
              <w:topLinePunct w:val="0"/>
              <w:bidi w:val="0"/>
              <w:snapToGrid/>
              <w:spacing w:before="0" w:beforeAutospacing="0" w:after="0" w:afterAutospacing="0" w:line="300" w:lineRule="auto"/>
              <w:ind w:left="0" w:right="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100分</w:t>
            </w:r>
          </w:p>
        </w:tc>
      </w:tr>
      <w:tr w14:paraId="1F10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000" w:type="pct"/>
            <w:gridSpan w:val="3"/>
            <w:noWrap w:val="0"/>
            <w:vAlign w:val="center"/>
          </w:tcPr>
          <w:p w14:paraId="3B7866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注：评分分值计算保留小数点后两位，小数点后第三位“四舍五入”</w:t>
            </w:r>
          </w:p>
        </w:tc>
      </w:tr>
      <w:tr w14:paraId="6B52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2" w:hRule="atLeast"/>
          <w:jc w:val="center"/>
        </w:trPr>
        <w:tc>
          <w:tcPr>
            <w:tcW w:w="766" w:type="pct"/>
            <w:noWrap w:val="0"/>
            <w:vAlign w:val="center"/>
          </w:tcPr>
          <w:p w14:paraId="7F9BAC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废标条款</w:t>
            </w:r>
          </w:p>
        </w:tc>
        <w:tc>
          <w:tcPr>
            <w:tcW w:w="4233" w:type="pct"/>
            <w:gridSpan w:val="2"/>
            <w:noWrap w:val="0"/>
            <w:vAlign w:val="center"/>
          </w:tcPr>
          <w:p w14:paraId="2FC506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(1) 未按照</w:t>
            </w:r>
            <w:r>
              <w:rPr>
                <w:rFonts w:hint="eastAsia" w:ascii="宋体" w:hAnsi="宋体" w:eastAsia="宋体" w:cs="宋体"/>
                <w:color w:val="auto"/>
                <w:sz w:val="24"/>
                <w:szCs w:val="24"/>
                <w:lang w:val="en-US" w:eastAsia="zh-CN" w:bidi="ar"/>
              </w:rPr>
              <w:t>磋商文件</w:t>
            </w:r>
            <w:r>
              <w:rPr>
                <w:rFonts w:hint="eastAsia" w:ascii="宋体" w:hAnsi="宋体" w:eastAsia="宋体" w:cs="宋体"/>
                <w:color w:val="auto"/>
                <w:sz w:val="24"/>
                <w:szCs w:val="24"/>
                <w:lang w:bidi="ar"/>
              </w:rPr>
              <w:t>的规定提交投标保证金的</w:t>
            </w:r>
          </w:p>
          <w:p w14:paraId="7F969A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 xml:space="preserve">(2) </w:t>
            </w:r>
            <w:r>
              <w:rPr>
                <w:rFonts w:hint="eastAsia" w:ascii="宋体" w:hAnsi="宋体" w:eastAsia="宋体" w:cs="宋体"/>
                <w:color w:val="auto"/>
                <w:sz w:val="24"/>
                <w:szCs w:val="24"/>
                <w:lang w:eastAsia="zh-CN" w:bidi="ar"/>
              </w:rPr>
              <w:t>投标响应文件</w:t>
            </w:r>
            <w:r>
              <w:rPr>
                <w:rFonts w:hint="eastAsia" w:ascii="宋体" w:hAnsi="宋体" w:eastAsia="宋体" w:cs="宋体"/>
                <w:color w:val="auto"/>
                <w:sz w:val="24"/>
                <w:szCs w:val="24"/>
                <w:lang w:bidi="ar"/>
              </w:rPr>
              <w:t>未按</w:t>
            </w:r>
            <w:r>
              <w:rPr>
                <w:rFonts w:hint="eastAsia" w:ascii="宋体" w:hAnsi="宋体" w:eastAsia="宋体" w:cs="宋体"/>
                <w:color w:val="auto"/>
                <w:sz w:val="24"/>
                <w:szCs w:val="24"/>
                <w:lang w:eastAsia="zh-CN" w:bidi="ar"/>
              </w:rPr>
              <w:t>磋商文件</w:t>
            </w:r>
            <w:r>
              <w:rPr>
                <w:rFonts w:hint="eastAsia" w:ascii="宋体" w:hAnsi="宋体" w:eastAsia="宋体" w:cs="宋体"/>
                <w:color w:val="auto"/>
                <w:sz w:val="24"/>
                <w:szCs w:val="24"/>
                <w:lang w:bidi="ar"/>
              </w:rPr>
              <w:t>要求签署、盖章的</w:t>
            </w:r>
          </w:p>
          <w:p w14:paraId="104B9C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(3) 不具备</w:t>
            </w:r>
            <w:r>
              <w:rPr>
                <w:rFonts w:hint="eastAsia" w:ascii="宋体" w:hAnsi="宋体" w:eastAsia="宋体" w:cs="宋体"/>
                <w:color w:val="auto"/>
                <w:sz w:val="24"/>
                <w:szCs w:val="24"/>
                <w:lang w:eastAsia="zh-CN" w:bidi="ar"/>
              </w:rPr>
              <w:t>磋商文件</w:t>
            </w:r>
            <w:r>
              <w:rPr>
                <w:rFonts w:hint="eastAsia" w:ascii="宋体" w:hAnsi="宋体" w:eastAsia="宋体" w:cs="宋体"/>
                <w:color w:val="auto"/>
                <w:sz w:val="24"/>
                <w:szCs w:val="24"/>
                <w:lang w:bidi="ar"/>
              </w:rPr>
              <w:t>中规定的资格要求</w:t>
            </w:r>
          </w:p>
          <w:p w14:paraId="05ECC8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(4) 报价超过</w:t>
            </w:r>
            <w:r>
              <w:rPr>
                <w:rFonts w:hint="eastAsia" w:ascii="宋体" w:hAnsi="宋体" w:eastAsia="宋体" w:cs="宋体"/>
                <w:color w:val="auto"/>
                <w:sz w:val="24"/>
                <w:szCs w:val="24"/>
                <w:lang w:eastAsia="zh-CN" w:bidi="ar"/>
              </w:rPr>
              <w:t>磋商文件</w:t>
            </w:r>
            <w:r>
              <w:rPr>
                <w:rFonts w:hint="eastAsia" w:ascii="宋体" w:hAnsi="宋体" w:eastAsia="宋体" w:cs="宋体"/>
                <w:color w:val="auto"/>
                <w:sz w:val="24"/>
                <w:szCs w:val="24"/>
                <w:lang w:bidi="ar"/>
              </w:rPr>
              <w:t>中规定的预算金额或者最高限价的</w:t>
            </w:r>
          </w:p>
          <w:p w14:paraId="7A5DCE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 xml:space="preserve">(5) </w:t>
            </w:r>
            <w:r>
              <w:rPr>
                <w:rFonts w:hint="eastAsia" w:ascii="宋体" w:hAnsi="宋体" w:eastAsia="宋体" w:cs="宋体"/>
                <w:color w:val="auto"/>
                <w:sz w:val="24"/>
                <w:szCs w:val="24"/>
                <w:lang w:eastAsia="zh-CN" w:bidi="ar"/>
              </w:rPr>
              <w:t>投标响应文件</w:t>
            </w:r>
            <w:r>
              <w:rPr>
                <w:rFonts w:hint="eastAsia" w:ascii="宋体" w:hAnsi="宋体" w:eastAsia="宋体" w:cs="宋体"/>
                <w:color w:val="auto"/>
                <w:sz w:val="24"/>
                <w:szCs w:val="24"/>
                <w:lang w:bidi="ar"/>
              </w:rPr>
              <w:t>含有采购人不能接受的附加条件的</w:t>
            </w:r>
          </w:p>
          <w:p w14:paraId="21B7F2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(6) 法律、法规和</w:t>
            </w:r>
            <w:r>
              <w:rPr>
                <w:rFonts w:hint="eastAsia" w:ascii="宋体" w:hAnsi="宋体" w:eastAsia="宋体" w:cs="宋体"/>
                <w:color w:val="auto"/>
                <w:sz w:val="24"/>
                <w:szCs w:val="24"/>
                <w:lang w:eastAsia="zh-CN" w:bidi="ar"/>
              </w:rPr>
              <w:t>磋商文件</w:t>
            </w:r>
            <w:r>
              <w:rPr>
                <w:rFonts w:hint="eastAsia" w:ascii="宋体" w:hAnsi="宋体" w:eastAsia="宋体" w:cs="宋体"/>
                <w:color w:val="auto"/>
                <w:sz w:val="24"/>
                <w:szCs w:val="24"/>
                <w:lang w:bidi="ar"/>
              </w:rPr>
              <w:t>规定的其他无效情形</w:t>
            </w:r>
          </w:p>
        </w:tc>
      </w:tr>
    </w:tbl>
    <w:p w14:paraId="4169FD66">
      <w:pPr>
        <w:spacing w:line="360" w:lineRule="auto"/>
        <w:rPr>
          <w:color w:val="auto"/>
          <w:sz w:val="24"/>
        </w:rPr>
      </w:pPr>
      <w:r>
        <w:rPr>
          <w:color w:val="auto"/>
          <w:sz w:val="24"/>
        </w:rPr>
        <w:t>备注：</w:t>
      </w:r>
      <w:r>
        <w:rPr>
          <w:rFonts w:hint="eastAsia"/>
          <w:color w:val="auto"/>
          <w:sz w:val="24"/>
        </w:rPr>
        <w:t>1</w:t>
      </w:r>
      <w:r>
        <w:rPr>
          <w:color w:val="auto"/>
          <w:sz w:val="24"/>
        </w:rPr>
        <w:t>、上表中要求提供佐证材料的，</w:t>
      </w:r>
      <w:r>
        <w:rPr>
          <w:rFonts w:hint="eastAsia"/>
          <w:color w:val="auto"/>
          <w:sz w:val="24"/>
        </w:rPr>
        <w:t>供应商</w:t>
      </w:r>
      <w:r>
        <w:rPr>
          <w:color w:val="auto"/>
          <w:sz w:val="24"/>
        </w:rPr>
        <w:t xml:space="preserve">必须提供，否则计 </w:t>
      </w:r>
      <w:r>
        <w:rPr>
          <w:rFonts w:hint="eastAsia"/>
          <w:color w:val="auto"/>
          <w:sz w:val="24"/>
        </w:rPr>
        <w:t xml:space="preserve">0 </w:t>
      </w:r>
      <w:r>
        <w:rPr>
          <w:color w:val="auto"/>
          <w:sz w:val="24"/>
        </w:rPr>
        <w:t>分。</w:t>
      </w:r>
    </w:p>
    <w:p w14:paraId="01B01674">
      <w:pPr>
        <w:spacing w:line="360" w:lineRule="auto"/>
        <w:ind w:firstLine="720" w:firstLineChars="300"/>
        <w:rPr>
          <w:color w:val="auto"/>
        </w:rPr>
      </w:pPr>
      <w:r>
        <w:rPr>
          <w:rFonts w:hint="eastAsia"/>
          <w:color w:val="auto"/>
          <w:sz w:val="24"/>
        </w:rPr>
        <w:t>2</w:t>
      </w:r>
      <w:r>
        <w:rPr>
          <w:color w:val="auto"/>
          <w:sz w:val="24"/>
        </w:rPr>
        <w:t>、各评委按规定的范围内进行量化打分，并统计总分。</w:t>
      </w:r>
      <w:r>
        <w:rPr>
          <w:rFonts w:hint="eastAsia"/>
          <w:color w:val="auto"/>
        </w:rPr>
        <w:t xml:space="preserve"> </w:t>
      </w:r>
    </w:p>
    <w:p w14:paraId="6F1EB46C">
      <w:pPr>
        <w:spacing w:line="480" w:lineRule="auto"/>
        <w:outlineLvl w:val="0"/>
        <w:rPr>
          <w:rFonts w:ascii="宋体"/>
          <w:color w:val="auto"/>
        </w:rPr>
        <w:sectPr>
          <w:headerReference r:id="rId6" w:type="default"/>
          <w:footerReference r:id="rId7" w:type="default"/>
          <w:pgSz w:w="11906" w:h="16838"/>
          <w:pgMar w:top="1531" w:right="1474" w:bottom="1417" w:left="1701" w:header="851" w:footer="1134" w:gutter="0"/>
          <w:pgNumType w:fmt="decimal"/>
          <w:cols w:space="720" w:num="1"/>
          <w:docGrid w:linePitch="312" w:charSpace="0"/>
        </w:sectPr>
      </w:pPr>
      <w:r>
        <w:rPr>
          <w:rFonts w:hint="eastAsia" w:asciiTheme="minorEastAsia" w:hAnsiTheme="minorEastAsia" w:eastAsiaTheme="minorEastAsia" w:cstheme="minorEastAsia"/>
          <w:b/>
          <w:bCs/>
          <w:color w:val="auto"/>
          <w:sz w:val="28"/>
          <w:szCs w:val="28"/>
        </w:rPr>
        <w:br w:type="page"/>
      </w:r>
    </w:p>
    <w:bookmarkEnd w:id="246"/>
    <w:p w14:paraId="4E35728C">
      <w:pPr>
        <w:pStyle w:val="14"/>
        <w:tabs>
          <w:tab w:val="left" w:pos="0"/>
        </w:tabs>
        <w:spacing w:line="240" w:lineRule="auto"/>
        <w:ind w:firstLine="0" w:firstLineChars="0"/>
        <w:jc w:val="center"/>
        <w:outlineLvl w:val="0"/>
        <w:rPr>
          <w:rFonts w:hint="eastAsia" w:ascii="宋体" w:hAnsi="宋体" w:cs="宋体"/>
          <w:b/>
          <w:color w:val="auto"/>
          <w:sz w:val="36"/>
        </w:rPr>
      </w:pPr>
      <w:bookmarkStart w:id="249" w:name="_Toc30396"/>
      <w:bookmarkStart w:id="250" w:name="_Toc4584"/>
      <w:bookmarkStart w:id="251" w:name="_Toc18340"/>
      <w:bookmarkStart w:id="252" w:name="_Toc26835_WPSOffice_Level1"/>
      <w:r>
        <w:rPr>
          <w:rFonts w:hint="eastAsia" w:ascii="宋体" w:hAnsi="宋体" w:cs="宋体"/>
          <w:b/>
          <w:bCs/>
          <w:color w:val="auto"/>
          <w:sz w:val="44"/>
          <w:szCs w:val="44"/>
        </w:rPr>
        <w:t>第</w:t>
      </w:r>
      <w:bookmarkEnd w:id="249"/>
      <w:bookmarkEnd w:id="250"/>
      <w:r>
        <w:rPr>
          <w:rFonts w:hint="eastAsia" w:ascii="宋体" w:hAnsi="宋体" w:cs="宋体"/>
          <w:b/>
          <w:bCs/>
          <w:color w:val="auto"/>
          <w:sz w:val="44"/>
          <w:szCs w:val="44"/>
        </w:rPr>
        <w:t>七章 投标响应文件格式</w:t>
      </w:r>
      <w:bookmarkEnd w:id="251"/>
      <w:bookmarkEnd w:id="252"/>
    </w:p>
    <w:p w14:paraId="0BE87092">
      <w:pPr>
        <w:rPr>
          <w:rFonts w:hint="eastAsia" w:ascii="宋体" w:hAnsi="宋体" w:cs="宋体"/>
          <w:color w:val="auto"/>
        </w:rPr>
      </w:pPr>
    </w:p>
    <w:p w14:paraId="6989FBF5">
      <w:pPr>
        <w:rPr>
          <w:b/>
          <w:color w:val="auto"/>
          <w:sz w:val="24"/>
          <w:szCs w:val="32"/>
        </w:rPr>
      </w:pPr>
      <w:r>
        <w:rPr>
          <w:rFonts w:hint="eastAsia"/>
          <w:b/>
          <w:color w:val="auto"/>
          <w:sz w:val="24"/>
          <w:szCs w:val="32"/>
        </w:rPr>
        <w:t>投标响应文件封面</w:t>
      </w:r>
    </w:p>
    <w:p w14:paraId="3CA19B7B">
      <w:pPr>
        <w:jc w:val="right"/>
        <w:rPr>
          <w:rFonts w:hint="eastAsia" w:ascii="宋体" w:hAnsi="宋体" w:cs="宋体"/>
          <w:b/>
          <w:color w:val="auto"/>
        </w:rPr>
      </w:pPr>
    </w:p>
    <w:p w14:paraId="0F93C84E">
      <w:pPr>
        <w:spacing w:line="720" w:lineRule="auto"/>
        <w:rPr>
          <w:rFonts w:hint="eastAsia" w:ascii="宋体" w:hAnsi="宋体" w:cs="宋体"/>
          <w:b/>
          <w:color w:val="auto"/>
          <w:u w:val="single"/>
        </w:rPr>
      </w:pPr>
    </w:p>
    <w:p w14:paraId="16D8FE83">
      <w:pPr>
        <w:tabs>
          <w:tab w:val="left" w:pos="2410"/>
        </w:tabs>
        <w:autoSpaceDE w:val="0"/>
        <w:autoSpaceDN w:val="0"/>
        <w:adjustRightInd w:val="0"/>
        <w:snapToGrid w:val="0"/>
        <w:jc w:val="center"/>
        <w:rPr>
          <w:rFonts w:hint="eastAsia"/>
          <w:b/>
          <w:color w:val="auto"/>
          <w:spacing w:val="20"/>
          <w:sz w:val="48"/>
          <w:szCs w:val="48"/>
          <w:lang w:eastAsia="zh-CN"/>
        </w:rPr>
      </w:pPr>
      <w:r>
        <w:rPr>
          <w:rFonts w:hint="eastAsia"/>
          <w:b/>
          <w:color w:val="auto"/>
          <w:spacing w:val="20"/>
          <w:sz w:val="48"/>
          <w:szCs w:val="48"/>
          <w:lang w:eastAsia="zh-CN"/>
        </w:rPr>
        <w:t>2024年喀什地区乡村医生中医药适宜技术推广项目</w:t>
      </w:r>
    </w:p>
    <w:p w14:paraId="23011BE7">
      <w:pPr>
        <w:tabs>
          <w:tab w:val="left" w:pos="2410"/>
        </w:tabs>
        <w:autoSpaceDE w:val="0"/>
        <w:autoSpaceDN w:val="0"/>
        <w:adjustRightInd w:val="0"/>
        <w:snapToGrid w:val="0"/>
        <w:jc w:val="center"/>
        <w:rPr>
          <w:rFonts w:hint="eastAsia"/>
          <w:b/>
          <w:color w:val="auto"/>
          <w:spacing w:val="20"/>
          <w:sz w:val="48"/>
          <w:szCs w:val="48"/>
          <w:lang w:eastAsia="zh-CN"/>
        </w:rPr>
      </w:pPr>
    </w:p>
    <w:p w14:paraId="5FB20865">
      <w:pPr>
        <w:tabs>
          <w:tab w:val="left" w:pos="2410"/>
        </w:tabs>
        <w:autoSpaceDE w:val="0"/>
        <w:autoSpaceDN w:val="0"/>
        <w:adjustRightInd w:val="0"/>
        <w:snapToGrid w:val="0"/>
        <w:jc w:val="center"/>
        <w:rPr>
          <w:rFonts w:hint="eastAsia"/>
          <w:b/>
          <w:color w:val="auto"/>
          <w:spacing w:val="20"/>
          <w:sz w:val="48"/>
          <w:szCs w:val="48"/>
          <w:lang w:eastAsia="zh-CN"/>
        </w:rPr>
      </w:pPr>
    </w:p>
    <w:p w14:paraId="191A6EF1">
      <w:pPr>
        <w:pStyle w:val="9"/>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（项目编号：</w:t>
      </w:r>
      <w:r>
        <w:rPr>
          <w:rFonts w:hint="eastAsia" w:ascii="宋体" w:hAnsi="宋体" w:eastAsia="宋体" w:cs="宋体"/>
          <w:b/>
          <w:color w:val="auto"/>
          <w:spacing w:val="20"/>
          <w:sz w:val="32"/>
          <w:szCs w:val="32"/>
          <w:lang w:eastAsia="zh-CN"/>
        </w:rPr>
        <w:t>NO.2025（HZXR)016</w:t>
      </w:r>
      <w:r>
        <w:rPr>
          <w:rFonts w:hint="eastAsia" w:ascii="宋体" w:hAnsi="宋体" w:eastAsia="宋体" w:cs="宋体"/>
          <w:b/>
          <w:color w:val="auto"/>
          <w:sz w:val="32"/>
          <w:szCs w:val="32"/>
        </w:rPr>
        <w:t>）</w:t>
      </w:r>
    </w:p>
    <w:p w14:paraId="4F114807">
      <w:pPr>
        <w:pStyle w:val="9"/>
        <w:rPr>
          <w:rFonts w:hint="eastAsia" w:ascii="宋体" w:hAnsi="宋体" w:eastAsia="宋体" w:cs="宋体"/>
          <w:color w:val="auto"/>
          <w:sz w:val="32"/>
          <w:szCs w:val="32"/>
        </w:rPr>
      </w:pPr>
    </w:p>
    <w:p w14:paraId="631ED567">
      <w:pPr>
        <w:rPr>
          <w:rFonts w:hint="eastAsia" w:ascii="宋体" w:hAnsi="宋体" w:cs="宋体"/>
          <w:b/>
          <w:color w:val="auto"/>
          <w:sz w:val="32"/>
          <w:szCs w:val="32"/>
        </w:rPr>
      </w:pPr>
    </w:p>
    <w:p w14:paraId="64224617">
      <w:pPr>
        <w:spacing w:line="600" w:lineRule="auto"/>
        <w:jc w:val="center"/>
        <w:rPr>
          <w:rFonts w:hint="eastAsia" w:ascii="宋体" w:hAnsi="宋体" w:cs="宋体"/>
          <w:b/>
          <w:bCs/>
          <w:color w:val="auto"/>
          <w:sz w:val="40"/>
          <w:szCs w:val="40"/>
        </w:rPr>
      </w:pPr>
    </w:p>
    <w:p w14:paraId="46B6AD68">
      <w:pPr>
        <w:spacing w:line="600" w:lineRule="auto"/>
        <w:jc w:val="center"/>
        <w:rPr>
          <w:rFonts w:hint="eastAsia" w:ascii="宋体" w:hAnsi="宋体" w:cs="宋体"/>
          <w:b/>
          <w:bCs/>
          <w:color w:val="auto"/>
          <w:sz w:val="48"/>
          <w:szCs w:val="48"/>
        </w:rPr>
      </w:pPr>
      <w:r>
        <w:rPr>
          <w:rFonts w:hint="eastAsia" w:ascii="宋体" w:hAnsi="宋体" w:cs="宋体"/>
          <w:b/>
          <w:bCs/>
          <w:color w:val="auto"/>
          <w:sz w:val="56"/>
          <w:szCs w:val="56"/>
        </w:rPr>
        <w:t>投标响应文件</w:t>
      </w:r>
    </w:p>
    <w:p w14:paraId="6B127EB5">
      <w:pPr>
        <w:pStyle w:val="41"/>
        <w:rPr>
          <w:rFonts w:hint="eastAsia" w:ascii="宋体" w:hAnsi="宋体" w:cs="宋体"/>
          <w:color w:val="auto"/>
        </w:rPr>
      </w:pPr>
    </w:p>
    <w:p w14:paraId="1B9B7ADA">
      <w:pPr>
        <w:pStyle w:val="41"/>
        <w:rPr>
          <w:color w:val="auto"/>
        </w:rPr>
      </w:pPr>
    </w:p>
    <w:p w14:paraId="17BB50CF">
      <w:pPr>
        <w:rPr>
          <w:color w:val="auto"/>
        </w:rPr>
      </w:pPr>
    </w:p>
    <w:p w14:paraId="70FE0A18">
      <w:pPr>
        <w:spacing w:line="480" w:lineRule="auto"/>
        <w:rPr>
          <w:rFonts w:hint="eastAsia" w:ascii="宋体" w:hAnsi="宋体" w:cs="宋体"/>
          <w:color w:val="auto"/>
          <w:sz w:val="28"/>
          <w:szCs w:val="21"/>
        </w:rPr>
      </w:pPr>
      <w:r>
        <w:rPr>
          <w:rFonts w:hint="eastAsia" w:ascii="宋体" w:hAnsi="宋体" w:cs="宋体"/>
          <w:color w:val="auto"/>
          <w:sz w:val="28"/>
          <w:szCs w:val="21"/>
        </w:rPr>
        <w:t>供应商名称（盖公章）：</w:t>
      </w:r>
    </w:p>
    <w:p w14:paraId="3039DDD7">
      <w:pPr>
        <w:spacing w:line="480" w:lineRule="auto"/>
        <w:rPr>
          <w:rFonts w:hint="eastAsia" w:ascii="宋体" w:hAnsi="宋体" w:cs="宋体"/>
          <w:color w:val="auto"/>
          <w:sz w:val="28"/>
          <w:szCs w:val="21"/>
        </w:rPr>
      </w:pPr>
      <w:r>
        <w:rPr>
          <w:rFonts w:hint="eastAsia" w:ascii="宋体" w:hAnsi="宋体" w:cs="宋体"/>
          <w:color w:val="auto"/>
          <w:sz w:val="28"/>
          <w:szCs w:val="21"/>
        </w:rPr>
        <w:t>法定代表人或授权委托人（签字</w:t>
      </w:r>
      <w:r>
        <w:rPr>
          <w:rFonts w:ascii="宋体" w:hAnsi="宋体" w:cs="宋体"/>
          <w:color w:val="auto"/>
          <w:sz w:val="28"/>
          <w:szCs w:val="21"/>
        </w:rPr>
        <w:t>或</w:t>
      </w:r>
      <w:r>
        <w:rPr>
          <w:rFonts w:hint="eastAsia" w:ascii="宋体" w:hAnsi="宋体" w:cs="宋体"/>
          <w:color w:val="auto"/>
          <w:sz w:val="28"/>
          <w:szCs w:val="21"/>
        </w:rPr>
        <w:t>盖章）：</w:t>
      </w:r>
    </w:p>
    <w:p w14:paraId="39BE818F">
      <w:pPr>
        <w:spacing w:line="480" w:lineRule="auto"/>
        <w:rPr>
          <w:rFonts w:hint="eastAsia" w:ascii="宋体" w:hAnsi="宋体" w:cs="宋体"/>
          <w:color w:val="auto"/>
          <w:sz w:val="28"/>
          <w:szCs w:val="21"/>
        </w:rPr>
      </w:pPr>
      <w:r>
        <w:rPr>
          <w:rFonts w:hint="eastAsia" w:ascii="宋体" w:hAnsi="宋体" w:cs="宋体"/>
          <w:color w:val="auto"/>
          <w:sz w:val="28"/>
          <w:szCs w:val="21"/>
        </w:rPr>
        <w:t>联系人及联系方式：</w:t>
      </w:r>
    </w:p>
    <w:p w14:paraId="7BAA4F40">
      <w:pPr>
        <w:spacing w:line="360" w:lineRule="auto"/>
        <w:rPr>
          <w:b/>
          <w:color w:val="auto"/>
        </w:rPr>
      </w:pPr>
      <w:r>
        <w:rPr>
          <w:rFonts w:hint="eastAsia" w:ascii="宋体" w:hAnsi="宋体" w:cs="宋体"/>
          <w:bCs/>
          <w:color w:val="auto"/>
          <w:sz w:val="28"/>
          <w:szCs w:val="21"/>
        </w:rPr>
        <w:t>日期：</w:t>
      </w:r>
      <w:r>
        <w:rPr>
          <w:rFonts w:hint="eastAsia" w:ascii="宋体" w:hAnsi="宋体" w:cs="宋体"/>
          <w:b/>
          <w:color w:val="auto"/>
          <w:sz w:val="28"/>
          <w:szCs w:val="21"/>
          <w:u w:val="single"/>
        </w:rPr>
        <w:t xml:space="preserve">   </w:t>
      </w:r>
      <w:r>
        <w:rPr>
          <w:rFonts w:hint="eastAsia" w:ascii="宋体" w:hAnsi="宋体" w:cs="宋体"/>
          <w:color w:val="auto"/>
          <w:sz w:val="28"/>
          <w:szCs w:val="21"/>
        </w:rPr>
        <w:t>年</w:t>
      </w:r>
      <w:r>
        <w:rPr>
          <w:rFonts w:hint="eastAsia" w:ascii="宋体" w:hAnsi="宋体" w:cs="宋体"/>
          <w:b/>
          <w:color w:val="auto"/>
          <w:sz w:val="28"/>
          <w:szCs w:val="21"/>
          <w:u w:val="single"/>
        </w:rPr>
        <w:t xml:space="preserve">   </w:t>
      </w:r>
      <w:r>
        <w:rPr>
          <w:rFonts w:hint="eastAsia" w:ascii="宋体" w:hAnsi="宋体" w:cs="宋体"/>
          <w:color w:val="auto"/>
          <w:sz w:val="28"/>
          <w:szCs w:val="21"/>
        </w:rPr>
        <w:t>月</w:t>
      </w:r>
      <w:r>
        <w:rPr>
          <w:rFonts w:hint="eastAsia" w:ascii="宋体" w:hAnsi="宋体" w:cs="宋体"/>
          <w:b/>
          <w:color w:val="auto"/>
          <w:sz w:val="28"/>
          <w:szCs w:val="21"/>
          <w:u w:val="single"/>
        </w:rPr>
        <w:t xml:space="preserve">   </w:t>
      </w:r>
      <w:r>
        <w:rPr>
          <w:rFonts w:hint="eastAsia" w:ascii="宋体" w:hAnsi="宋体" w:cs="宋体"/>
          <w:bCs/>
          <w:color w:val="auto"/>
          <w:sz w:val="28"/>
          <w:szCs w:val="21"/>
        </w:rPr>
        <w:t>日</w:t>
      </w:r>
    </w:p>
    <w:p w14:paraId="061B7624">
      <w:pPr>
        <w:tabs>
          <w:tab w:val="left" w:pos="3600"/>
          <w:tab w:val="left" w:pos="4620"/>
          <w:tab w:val="left" w:pos="5640"/>
        </w:tabs>
        <w:autoSpaceDE w:val="0"/>
        <w:autoSpaceDN w:val="0"/>
        <w:adjustRightInd w:val="0"/>
        <w:spacing w:line="375" w:lineRule="exact"/>
        <w:ind w:left="2877" w:right="-20"/>
        <w:jc w:val="left"/>
        <w:rPr>
          <w:rFonts w:hint="eastAsia" w:ascii="宋体" w:hAnsi="宋体" w:cs="宋体"/>
          <w:color w:val="auto"/>
          <w:kern w:val="0"/>
          <w:sz w:val="28"/>
          <w:szCs w:val="28"/>
        </w:rPr>
      </w:pPr>
    </w:p>
    <w:p w14:paraId="534864EF">
      <w:pPr>
        <w:spacing w:line="360" w:lineRule="auto"/>
        <w:ind w:firstLine="5355" w:firstLineChars="2550"/>
        <w:outlineLvl w:val="0"/>
        <w:rPr>
          <w:rFonts w:ascii="宋体"/>
          <w:color w:val="auto"/>
        </w:rPr>
        <w:sectPr>
          <w:headerReference r:id="rId8" w:type="default"/>
          <w:pgSz w:w="11906" w:h="16838"/>
          <w:pgMar w:top="1531" w:right="1474" w:bottom="1417" w:left="1701" w:header="851" w:footer="794" w:gutter="0"/>
          <w:pgNumType w:fmt="decimal"/>
          <w:cols w:space="720" w:num="1"/>
          <w:docGrid w:linePitch="312" w:charSpace="0"/>
        </w:sectPr>
      </w:pPr>
    </w:p>
    <w:p w14:paraId="476DD4D7">
      <w:pPr>
        <w:jc w:val="center"/>
        <w:rPr>
          <w:rFonts w:hint="eastAsia" w:ascii="宋体" w:hAnsi="宋体" w:cs="宋体"/>
          <w:color w:val="auto"/>
          <w:sz w:val="28"/>
          <w:szCs w:val="28"/>
        </w:rPr>
      </w:pPr>
      <w:bookmarkStart w:id="253" w:name="_Toc27886_WPSOffice_Level1"/>
      <w:bookmarkStart w:id="254" w:name="_Toc6879_WPSOffice_Level1"/>
      <w:bookmarkStart w:id="255" w:name="_Toc30579_WPSOffice_Level1"/>
      <w:bookmarkStart w:id="256" w:name="_Toc18910"/>
      <w:r>
        <w:rPr>
          <w:rFonts w:hint="eastAsia" w:ascii="宋体" w:hAnsi="宋体" w:cs="宋体"/>
          <w:b/>
          <w:bCs/>
          <w:color w:val="auto"/>
          <w:sz w:val="28"/>
          <w:szCs w:val="28"/>
        </w:rPr>
        <w:t>目  录</w:t>
      </w:r>
      <w:bookmarkEnd w:id="253"/>
      <w:bookmarkEnd w:id="254"/>
      <w:bookmarkEnd w:id="255"/>
      <w:bookmarkEnd w:id="256"/>
    </w:p>
    <w:p w14:paraId="0283F270">
      <w:pPr>
        <w:spacing w:line="460" w:lineRule="exact"/>
        <w:rPr>
          <w:rFonts w:hint="eastAsia" w:ascii="宋体" w:hAnsi="宋体" w:cs="宋体"/>
          <w:b/>
          <w:bCs/>
          <w:color w:val="auto"/>
          <w:sz w:val="24"/>
        </w:rPr>
      </w:pPr>
      <w:bookmarkStart w:id="257" w:name="_Toc23787_WPSOffice_Level1"/>
      <w:r>
        <w:rPr>
          <w:rFonts w:hint="eastAsia" w:ascii="宋体" w:hAnsi="宋体" w:cs="宋体"/>
          <w:b/>
          <w:bCs/>
          <w:color w:val="auto"/>
          <w:sz w:val="24"/>
        </w:rPr>
        <w:t>一、资格证明文件</w:t>
      </w:r>
      <w:bookmarkEnd w:id="257"/>
    </w:p>
    <w:p w14:paraId="64EB5CF6">
      <w:pPr>
        <w:spacing w:line="360" w:lineRule="auto"/>
        <w:ind w:firstLine="480" w:firstLineChars="200"/>
        <w:rPr>
          <w:rFonts w:hint="eastAsia" w:ascii="宋体" w:hAnsi="宋体" w:cs="宋体"/>
          <w:color w:val="auto"/>
          <w:sz w:val="24"/>
        </w:rPr>
      </w:pPr>
      <w:r>
        <w:rPr>
          <w:rFonts w:hint="eastAsia" w:ascii="宋体" w:hAnsi="宋体" w:cs="宋体"/>
          <w:color w:val="auto"/>
          <w:sz w:val="24"/>
        </w:rPr>
        <w:t>1、供应商为中小企业</w:t>
      </w:r>
      <w:r>
        <w:rPr>
          <w:rFonts w:hint="eastAsia" w:ascii="宋体" w:hAnsi="宋体" w:cs="宋体"/>
          <w:color w:val="auto"/>
          <w:sz w:val="24"/>
          <w:lang w:eastAsia="zh-CN"/>
        </w:rPr>
        <w:t>（</w:t>
      </w:r>
      <w:r>
        <w:rPr>
          <w:rFonts w:hint="eastAsia" w:ascii="宋体" w:hAnsi="宋体" w:cs="宋体"/>
          <w:color w:val="auto"/>
          <w:sz w:val="24"/>
          <w:lang w:val="en-US" w:eastAsia="zh-CN"/>
        </w:rPr>
        <w:t>如是</w:t>
      </w:r>
      <w:r>
        <w:rPr>
          <w:rFonts w:hint="eastAsia" w:ascii="宋体" w:hAnsi="宋体" w:cs="宋体"/>
          <w:color w:val="auto"/>
          <w:sz w:val="24"/>
          <w:lang w:eastAsia="zh-CN"/>
        </w:rPr>
        <w:t>）</w:t>
      </w:r>
      <w:r>
        <w:rPr>
          <w:rFonts w:hint="eastAsia" w:ascii="宋体" w:hAnsi="宋体" w:cs="宋体"/>
          <w:color w:val="auto"/>
          <w:sz w:val="24"/>
        </w:rPr>
        <w:t>；</w:t>
      </w:r>
    </w:p>
    <w:p w14:paraId="74003388">
      <w:pPr>
        <w:spacing w:line="360" w:lineRule="auto"/>
        <w:ind w:firstLine="480" w:firstLineChars="200"/>
        <w:rPr>
          <w:rFonts w:hint="eastAsia" w:ascii="宋体" w:hAnsi="宋体" w:cs="宋体"/>
          <w:color w:val="auto"/>
          <w:sz w:val="24"/>
        </w:rPr>
      </w:pPr>
      <w:r>
        <w:rPr>
          <w:rFonts w:hint="eastAsia" w:ascii="宋体" w:hAnsi="宋体" w:cs="宋体"/>
          <w:color w:val="auto"/>
          <w:sz w:val="24"/>
        </w:rPr>
        <w:t>2、具有独立承担民事责任的能力；</w:t>
      </w:r>
    </w:p>
    <w:p w14:paraId="7D5D2E1F">
      <w:pPr>
        <w:spacing w:line="360" w:lineRule="auto"/>
        <w:ind w:firstLine="480" w:firstLineChars="200"/>
        <w:rPr>
          <w:rFonts w:hint="eastAsia" w:ascii="宋体" w:hAnsi="宋体" w:cs="宋体"/>
          <w:color w:val="auto"/>
          <w:sz w:val="24"/>
        </w:rPr>
      </w:pPr>
      <w:r>
        <w:rPr>
          <w:rFonts w:hint="eastAsia" w:ascii="宋体" w:hAnsi="宋体" w:cs="宋体"/>
          <w:color w:val="auto"/>
          <w:sz w:val="24"/>
        </w:rPr>
        <w:t>3、良好的商业信誉和健全的财务会计制度；</w:t>
      </w:r>
    </w:p>
    <w:p w14:paraId="4F4B8B1D">
      <w:pPr>
        <w:spacing w:line="360" w:lineRule="auto"/>
        <w:ind w:firstLine="480" w:firstLineChars="200"/>
        <w:rPr>
          <w:rFonts w:hint="eastAsia" w:ascii="宋体" w:hAnsi="宋体" w:cs="宋体"/>
          <w:color w:val="auto"/>
          <w:sz w:val="24"/>
        </w:rPr>
      </w:pPr>
      <w:r>
        <w:rPr>
          <w:rFonts w:hint="eastAsia" w:ascii="宋体" w:hAnsi="宋体" w:cs="宋体"/>
          <w:color w:val="auto"/>
          <w:sz w:val="24"/>
        </w:rPr>
        <w:t>4、依法缴纳税收和社会保障资金的良好记录；</w:t>
      </w:r>
    </w:p>
    <w:p w14:paraId="0571C4DF">
      <w:pPr>
        <w:spacing w:line="360" w:lineRule="auto"/>
        <w:ind w:firstLine="480" w:firstLineChars="200"/>
        <w:rPr>
          <w:rFonts w:hint="eastAsia" w:ascii="宋体" w:hAnsi="宋体" w:cs="宋体"/>
          <w:color w:val="auto"/>
          <w:sz w:val="24"/>
        </w:rPr>
      </w:pPr>
      <w:r>
        <w:rPr>
          <w:rFonts w:hint="eastAsia" w:ascii="宋体" w:hAnsi="宋体" w:cs="宋体"/>
          <w:color w:val="auto"/>
          <w:sz w:val="24"/>
        </w:rPr>
        <w:t>5、履行合同所必需的设备和专业技术能力的承诺函；</w:t>
      </w:r>
    </w:p>
    <w:p w14:paraId="60AC804D">
      <w:pPr>
        <w:spacing w:line="360" w:lineRule="auto"/>
        <w:ind w:firstLine="480" w:firstLineChars="200"/>
        <w:rPr>
          <w:rFonts w:hint="eastAsia" w:ascii="宋体" w:hAnsi="宋体" w:cs="宋体"/>
          <w:color w:val="auto"/>
          <w:sz w:val="24"/>
        </w:rPr>
      </w:pPr>
      <w:r>
        <w:rPr>
          <w:rFonts w:hint="eastAsia" w:ascii="宋体" w:hAnsi="宋体" w:cs="宋体"/>
          <w:color w:val="auto"/>
          <w:sz w:val="24"/>
        </w:rPr>
        <w:t>6、参加政府采购活动前3年内，在经营活动中没有重大违法记录的书面声明函；</w:t>
      </w:r>
    </w:p>
    <w:p w14:paraId="7D89AE18">
      <w:pPr>
        <w:spacing w:line="360" w:lineRule="auto"/>
        <w:ind w:firstLine="480" w:firstLineChars="200"/>
        <w:rPr>
          <w:rFonts w:hint="eastAsia" w:ascii="宋体" w:hAnsi="宋体" w:cs="宋体"/>
          <w:color w:val="auto"/>
          <w:sz w:val="24"/>
        </w:rPr>
      </w:pPr>
      <w:r>
        <w:rPr>
          <w:rFonts w:hint="eastAsia" w:ascii="宋体" w:hAnsi="宋体" w:cs="宋体"/>
          <w:color w:val="auto"/>
          <w:sz w:val="24"/>
        </w:rPr>
        <w:t>7、单位负责人为同一人或者存在直接控股、管理关系的不同供应商，不得参加同一包号投标或者未划分包号的同一招标项目投标；</w:t>
      </w:r>
    </w:p>
    <w:p w14:paraId="3F43CD07">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8、本项目不接受联合体投标</w:t>
      </w:r>
      <w:r>
        <w:rPr>
          <w:rFonts w:hint="eastAsia" w:ascii="宋体" w:hAnsi="宋体" w:cs="宋体"/>
          <w:color w:val="auto"/>
          <w:sz w:val="24"/>
          <w:lang w:eastAsia="zh-CN"/>
        </w:rPr>
        <w:t>。</w:t>
      </w:r>
    </w:p>
    <w:p w14:paraId="44BD8561">
      <w:pPr>
        <w:spacing w:line="460" w:lineRule="exact"/>
        <w:rPr>
          <w:rFonts w:hint="eastAsia" w:ascii="宋体" w:hAnsi="宋体" w:cs="宋体"/>
          <w:b/>
          <w:bCs/>
          <w:color w:val="auto"/>
          <w:sz w:val="24"/>
        </w:rPr>
      </w:pPr>
      <w:bookmarkStart w:id="258" w:name="_Toc11157_WPSOffice_Level1"/>
      <w:r>
        <w:rPr>
          <w:rFonts w:hint="eastAsia" w:ascii="宋体" w:hAnsi="宋体" w:cs="宋体"/>
          <w:b/>
          <w:bCs/>
          <w:color w:val="auto"/>
          <w:sz w:val="24"/>
        </w:rPr>
        <w:t>二、报价文件</w:t>
      </w:r>
      <w:bookmarkEnd w:id="258"/>
    </w:p>
    <w:p w14:paraId="05FCCD6A">
      <w:pPr>
        <w:spacing w:line="460" w:lineRule="exact"/>
        <w:ind w:firstLine="480" w:firstLineChars="200"/>
        <w:rPr>
          <w:rFonts w:hint="eastAsia" w:ascii="宋体" w:hAnsi="宋体" w:cs="宋体"/>
          <w:color w:val="auto"/>
          <w:sz w:val="24"/>
        </w:rPr>
      </w:pPr>
      <w:r>
        <w:rPr>
          <w:rFonts w:hint="eastAsia" w:ascii="宋体" w:hAnsi="宋体" w:cs="宋体"/>
          <w:color w:val="auto"/>
          <w:sz w:val="24"/>
        </w:rPr>
        <w:t>1、报价一览表</w:t>
      </w:r>
    </w:p>
    <w:p w14:paraId="004AA367">
      <w:pPr>
        <w:spacing w:line="460" w:lineRule="exact"/>
        <w:ind w:firstLine="480" w:firstLineChars="200"/>
        <w:rPr>
          <w:rFonts w:hint="eastAsia" w:ascii="宋体" w:hAnsi="宋体" w:cs="宋体"/>
          <w:color w:val="auto"/>
          <w:sz w:val="24"/>
        </w:rPr>
      </w:pPr>
      <w:r>
        <w:rPr>
          <w:rFonts w:hint="eastAsia" w:ascii="宋体" w:hAnsi="宋体" w:cs="宋体"/>
          <w:color w:val="auto"/>
          <w:sz w:val="24"/>
        </w:rPr>
        <w:t>2、报价明细表</w:t>
      </w:r>
    </w:p>
    <w:p w14:paraId="053813B7">
      <w:pPr>
        <w:spacing w:line="460" w:lineRule="exact"/>
        <w:rPr>
          <w:rFonts w:hint="eastAsia" w:ascii="宋体" w:hAnsi="宋体" w:cs="宋体"/>
          <w:b/>
          <w:bCs/>
          <w:color w:val="auto"/>
          <w:sz w:val="24"/>
        </w:rPr>
      </w:pPr>
      <w:bookmarkStart w:id="259" w:name="_Toc21539_WPSOffice_Level1"/>
      <w:r>
        <w:rPr>
          <w:rFonts w:hint="eastAsia" w:ascii="宋体" w:hAnsi="宋体" w:cs="宋体"/>
          <w:b/>
          <w:bCs/>
          <w:color w:val="auto"/>
          <w:sz w:val="24"/>
        </w:rPr>
        <w:t>三、商务、技术文件</w:t>
      </w:r>
      <w:bookmarkEnd w:id="259"/>
    </w:p>
    <w:p w14:paraId="1E4619B3">
      <w:pPr>
        <w:spacing w:line="360" w:lineRule="auto"/>
        <w:ind w:firstLine="480" w:firstLineChars="200"/>
        <w:rPr>
          <w:rFonts w:hint="eastAsia" w:ascii="宋体" w:hAnsi="宋体" w:cs="宋体"/>
          <w:color w:val="auto"/>
          <w:sz w:val="24"/>
        </w:rPr>
      </w:pPr>
      <w:r>
        <w:rPr>
          <w:rFonts w:hint="eastAsia" w:ascii="宋体" w:hAnsi="宋体" w:cs="宋体"/>
          <w:color w:val="auto"/>
          <w:sz w:val="24"/>
        </w:rPr>
        <w:t>1、投标函</w:t>
      </w:r>
    </w:p>
    <w:p w14:paraId="086A618E">
      <w:pPr>
        <w:spacing w:line="360" w:lineRule="auto"/>
        <w:ind w:firstLine="480" w:firstLineChars="200"/>
        <w:rPr>
          <w:rFonts w:hint="eastAsia" w:ascii="宋体" w:hAnsi="宋体" w:cs="宋体"/>
          <w:color w:val="auto"/>
          <w:sz w:val="24"/>
        </w:rPr>
      </w:pPr>
      <w:r>
        <w:rPr>
          <w:rFonts w:hint="eastAsia" w:ascii="宋体" w:hAnsi="宋体" w:cs="宋体"/>
          <w:color w:val="auto"/>
          <w:sz w:val="24"/>
        </w:rPr>
        <w:t>2、法定代表人（或非法人组织负责人）身份证明书</w:t>
      </w:r>
    </w:p>
    <w:p w14:paraId="3A120E69">
      <w:pPr>
        <w:spacing w:line="360" w:lineRule="auto"/>
        <w:ind w:firstLine="480" w:firstLineChars="200"/>
        <w:rPr>
          <w:rFonts w:hint="eastAsia" w:ascii="宋体" w:hAnsi="宋体" w:cs="宋体"/>
          <w:color w:val="auto"/>
          <w:sz w:val="24"/>
        </w:rPr>
      </w:pPr>
      <w:r>
        <w:rPr>
          <w:rFonts w:hint="eastAsia" w:ascii="宋体" w:hAnsi="宋体" w:cs="宋体"/>
          <w:color w:val="auto"/>
          <w:sz w:val="24"/>
        </w:rPr>
        <w:t>3、法定代表人（或非法人组织负责人）授权委托书</w:t>
      </w:r>
    </w:p>
    <w:p w14:paraId="492A82B7">
      <w:pPr>
        <w:spacing w:line="360" w:lineRule="auto"/>
        <w:ind w:firstLine="480" w:firstLineChars="200"/>
        <w:rPr>
          <w:rFonts w:hint="eastAsia" w:ascii="宋体" w:hAnsi="宋体" w:cs="宋体"/>
          <w:color w:val="auto"/>
          <w:sz w:val="24"/>
        </w:rPr>
      </w:pPr>
      <w:r>
        <w:rPr>
          <w:rFonts w:hint="eastAsia" w:ascii="宋体" w:hAnsi="宋体" w:cs="宋体"/>
          <w:color w:val="auto"/>
          <w:sz w:val="24"/>
        </w:rPr>
        <w:t>4、反商业贿赂承诺书</w:t>
      </w:r>
    </w:p>
    <w:p w14:paraId="274DFF95">
      <w:pPr>
        <w:spacing w:line="360" w:lineRule="auto"/>
        <w:ind w:firstLine="480" w:firstLineChars="200"/>
        <w:rPr>
          <w:rFonts w:hint="eastAsia" w:ascii="宋体" w:hAnsi="宋体" w:cs="宋体"/>
          <w:color w:val="auto"/>
          <w:sz w:val="24"/>
        </w:rPr>
      </w:pPr>
      <w:r>
        <w:rPr>
          <w:rFonts w:hint="eastAsia" w:ascii="宋体" w:hAnsi="宋体" w:cs="宋体"/>
          <w:color w:val="auto"/>
          <w:sz w:val="24"/>
        </w:rPr>
        <w:t>5、供应商参与政府采购活动（招投标活动）无异议承诺书</w:t>
      </w:r>
    </w:p>
    <w:p w14:paraId="4F20EEDE">
      <w:pPr>
        <w:spacing w:line="360" w:lineRule="auto"/>
        <w:ind w:firstLine="480" w:firstLineChars="200"/>
        <w:rPr>
          <w:rFonts w:hint="eastAsia" w:ascii="宋体" w:hAnsi="宋体" w:cs="宋体"/>
          <w:color w:val="auto"/>
          <w:sz w:val="24"/>
        </w:rPr>
      </w:pPr>
      <w:r>
        <w:rPr>
          <w:rFonts w:hint="eastAsia" w:ascii="宋体" w:hAnsi="宋体" w:cs="宋体"/>
          <w:color w:val="auto"/>
          <w:sz w:val="24"/>
        </w:rPr>
        <w:t>6、不参与围标串标承诺书</w:t>
      </w:r>
    </w:p>
    <w:p w14:paraId="61C5B584">
      <w:pPr>
        <w:spacing w:line="360" w:lineRule="auto"/>
        <w:ind w:firstLine="480" w:firstLineChars="200"/>
        <w:rPr>
          <w:rFonts w:hint="eastAsia" w:ascii="宋体" w:hAnsi="宋体" w:cs="宋体"/>
          <w:color w:val="auto"/>
          <w:sz w:val="24"/>
        </w:rPr>
      </w:pPr>
      <w:r>
        <w:rPr>
          <w:rFonts w:hint="eastAsia" w:ascii="宋体" w:hAnsi="宋体" w:cs="宋体"/>
          <w:color w:val="auto"/>
          <w:sz w:val="24"/>
        </w:rPr>
        <w:t>7、投标保证金</w:t>
      </w:r>
    </w:p>
    <w:p w14:paraId="1391F138">
      <w:pPr>
        <w:spacing w:line="360" w:lineRule="auto"/>
        <w:ind w:firstLine="480" w:firstLineChars="200"/>
        <w:rPr>
          <w:rFonts w:hint="eastAsia" w:ascii="宋体" w:hAnsi="宋体" w:cs="宋体"/>
          <w:color w:val="auto"/>
          <w:sz w:val="24"/>
        </w:rPr>
      </w:pPr>
      <w:r>
        <w:rPr>
          <w:rFonts w:hint="eastAsia" w:ascii="宋体" w:hAnsi="宋体" w:cs="宋体"/>
          <w:color w:val="auto"/>
          <w:sz w:val="24"/>
        </w:rPr>
        <w:t>8、商务条款偏离表</w:t>
      </w:r>
    </w:p>
    <w:p w14:paraId="2D635C39">
      <w:pPr>
        <w:spacing w:line="360" w:lineRule="auto"/>
        <w:ind w:firstLine="480" w:firstLineChars="200"/>
        <w:rPr>
          <w:rFonts w:hint="eastAsia" w:ascii="宋体" w:hAnsi="宋体" w:cs="宋体"/>
          <w:color w:val="auto"/>
          <w:sz w:val="24"/>
        </w:rPr>
      </w:pPr>
      <w:r>
        <w:rPr>
          <w:rFonts w:hint="eastAsia" w:ascii="宋体" w:hAnsi="宋体" w:cs="宋体"/>
          <w:color w:val="auto"/>
          <w:sz w:val="24"/>
        </w:rPr>
        <w:t>9、供应商202</w:t>
      </w:r>
      <w:r>
        <w:rPr>
          <w:rFonts w:hint="eastAsia" w:ascii="宋体" w:hAnsi="宋体" w:cs="宋体"/>
          <w:color w:val="auto"/>
          <w:sz w:val="24"/>
          <w:lang w:val="en-US" w:eastAsia="zh-CN"/>
        </w:rPr>
        <w:t>2</w:t>
      </w:r>
      <w:r>
        <w:rPr>
          <w:rFonts w:hint="eastAsia" w:ascii="宋体" w:hAnsi="宋体" w:cs="宋体"/>
          <w:color w:val="auto"/>
          <w:sz w:val="24"/>
        </w:rPr>
        <w:t>年1月至今业绩案例一览表</w:t>
      </w:r>
    </w:p>
    <w:p w14:paraId="1187A7AF">
      <w:pPr>
        <w:spacing w:line="360" w:lineRule="auto"/>
        <w:ind w:firstLine="480" w:firstLineChars="200"/>
        <w:rPr>
          <w:rFonts w:hint="eastAsia" w:ascii="宋体" w:hAnsi="宋体" w:cs="宋体"/>
          <w:color w:val="auto"/>
          <w:sz w:val="24"/>
        </w:rPr>
      </w:pPr>
      <w:r>
        <w:rPr>
          <w:rFonts w:hint="eastAsia" w:ascii="宋体" w:hAnsi="宋体" w:cs="宋体"/>
          <w:color w:val="auto"/>
          <w:sz w:val="24"/>
        </w:rPr>
        <w:t>10、拟投入本项目的服务团队</w:t>
      </w:r>
    </w:p>
    <w:p w14:paraId="4628466D">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11、</w:t>
      </w:r>
      <w:r>
        <w:rPr>
          <w:rFonts w:hint="eastAsia" w:ascii="宋体" w:hAnsi="宋体" w:cs="宋体"/>
          <w:color w:val="auto"/>
          <w:sz w:val="24"/>
          <w:lang w:eastAsia="zh-CN"/>
        </w:rPr>
        <w:t>方案</w:t>
      </w:r>
    </w:p>
    <w:p w14:paraId="349AA852">
      <w:pPr>
        <w:spacing w:line="460" w:lineRule="exact"/>
        <w:ind w:firstLine="480" w:firstLineChars="200"/>
        <w:rPr>
          <w:rFonts w:hint="eastAsia" w:ascii="宋体" w:hAnsi="宋体" w:cs="宋体"/>
          <w:color w:val="auto"/>
          <w:sz w:val="24"/>
        </w:rPr>
      </w:pPr>
      <w:r>
        <w:rPr>
          <w:rFonts w:hint="eastAsia" w:ascii="宋体" w:hAnsi="宋体" w:cs="宋体"/>
          <w:color w:val="auto"/>
          <w:sz w:val="24"/>
        </w:rPr>
        <w:t>12、其他供应商认为需要提供的资料</w:t>
      </w:r>
    </w:p>
    <w:p w14:paraId="62C14BE1">
      <w:pPr>
        <w:pStyle w:val="5"/>
        <w:jc w:val="center"/>
        <w:rPr>
          <w:rFonts w:hint="eastAsia" w:ascii="宋体" w:hAnsi="宋体" w:cs="宋体"/>
          <w:color w:val="auto"/>
          <w:sz w:val="28"/>
          <w:szCs w:val="24"/>
        </w:rPr>
      </w:pPr>
      <w:r>
        <w:rPr>
          <w:rFonts w:hint="eastAsia"/>
          <w:color w:val="auto"/>
        </w:rPr>
        <w:br w:type="page"/>
      </w:r>
      <w:bookmarkStart w:id="260" w:name="_Toc21330"/>
      <w:bookmarkStart w:id="261" w:name="_Toc22526_WPSOffice_Level1"/>
      <w:bookmarkStart w:id="262" w:name="_Toc13964"/>
      <w:bookmarkStart w:id="263" w:name="_Toc17962_WPSOffice_Level1"/>
      <w:bookmarkStart w:id="264" w:name="_Toc24699"/>
      <w:bookmarkStart w:id="265" w:name="_Toc9349_WPSOffice_Level1"/>
      <w:bookmarkStart w:id="266" w:name="_Toc3145_WPSOffice_Level1"/>
      <w:r>
        <w:rPr>
          <w:rStyle w:val="86"/>
          <w:rFonts w:hint="eastAsia"/>
          <w:b/>
          <w:bCs/>
          <w:color w:val="auto"/>
        </w:rPr>
        <w:t>一、资格证明文件</w:t>
      </w:r>
      <w:bookmarkEnd w:id="260"/>
      <w:bookmarkEnd w:id="261"/>
      <w:bookmarkEnd w:id="262"/>
      <w:bookmarkEnd w:id="263"/>
      <w:bookmarkEnd w:id="264"/>
      <w:bookmarkEnd w:id="265"/>
    </w:p>
    <w:p w14:paraId="5C2B5148">
      <w:pPr>
        <w:jc w:val="center"/>
        <w:rPr>
          <w:rFonts w:hint="eastAsia" w:eastAsia="宋体"/>
          <w:b/>
          <w:bCs/>
          <w:color w:val="auto"/>
          <w:sz w:val="32"/>
          <w:szCs w:val="32"/>
          <w:lang w:eastAsia="zh-CN"/>
        </w:rPr>
      </w:pPr>
      <w:r>
        <w:rPr>
          <w:rFonts w:hint="eastAsia"/>
          <w:b/>
          <w:bCs/>
          <w:color w:val="auto"/>
          <w:sz w:val="32"/>
          <w:szCs w:val="32"/>
        </w:rPr>
        <w:t>中小企业声明函（服务）</w:t>
      </w:r>
      <w:r>
        <w:rPr>
          <w:rFonts w:hint="eastAsia"/>
          <w:b/>
          <w:bCs/>
          <w:color w:val="auto"/>
          <w:sz w:val="32"/>
          <w:szCs w:val="32"/>
          <w:lang w:eastAsia="zh-CN"/>
        </w:rPr>
        <w:t>（</w:t>
      </w:r>
      <w:r>
        <w:rPr>
          <w:rFonts w:hint="eastAsia"/>
          <w:b/>
          <w:bCs/>
          <w:color w:val="auto"/>
          <w:sz w:val="32"/>
          <w:szCs w:val="32"/>
          <w:lang w:val="en-US" w:eastAsia="zh-CN"/>
        </w:rPr>
        <w:t>如有可提供</w:t>
      </w:r>
      <w:r>
        <w:rPr>
          <w:rFonts w:hint="eastAsia"/>
          <w:b/>
          <w:bCs/>
          <w:color w:val="auto"/>
          <w:sz w:val="32"/>
          <w:szCs w:val="32"/>
          <w:lang w:eastAsia="zh-CN"/>
        </w:rPr>
        <w:t>）</w:t>
      </w:r>
    </w:p>
    <w:p w14:paraId="4740E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2697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，属于</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其他未列明行业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08B904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14:paraId="7E89F1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9D5D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3EA7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2BD793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B84158A">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EB72549">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38BC2C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65A228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从业人员、营业收入、资产总额填报上一年度数据，无上一年度数据的新成立企业可不填报</w:t>
      </w:r>
    </w:p>
    <w:p w14:paraId="346CB10D">
      <w:pPr>
        <w:rPr>
          <w:color w:val="auto"/>
          <w:sz w:val="24"/>
        </w:rPr>
      </w:pPr>
    </w:p>
    <w:p w14:paraId="7C26E007">
      <w:pPr>
        <w:pStyle w:val="13"/>
        <w:spacing w:after="0" w:line="360" w:lineRule="auto"/>
        <w:ind w:firstLine="480" w:firstLineChars="200"/>
        <w:rPr>
          <w:rFonts w:hint="eastAsia" w:ascii="宋体" w:hAnsi="宋体" w:cs="宋体"/>
          <w:color w:val="auto"/>
          <w:sz w:val="24"/>
        </w:rPr>
      </w:pPr>
      <w:r>
        <w:rPr>
          <w:rFonts w:hint="eastAsia" w:ascii="宋体" w:hAnsi="宋体" w:cs="宋体"/>
          <w:color w:val="auto"/>
          <w:sz w:val="24"/>
        </w:rPr>
        <w:br w:type="page"/>
      </w:r>
    </w:p>
    <w:p w14:paraId="404FAB4C">
      <w:pPr>
        <w:spacing w:before="116" w:line="225" w:lineRule="auto"/>
        <w:jc w:val="center"/>
        <w:rPr>
          <w:rFonts w:hint="eastAsia" w:ascii="宋体" w:hAnsi="宋体" w:cs="宋体"/>
          <w:color w:val="auto"/>
          <w:spacing w:val="7"/>
          <w:sz w:val="28"/>
          <w:szCs w:val="28"/>
          <w14:textOutline w14:w="6540" w14:cap="sq" w14:cmpd="sng" w14:algn="ctr">
            <w14:solidFill>
              <w14:srgbClr w14:val="000000"/>
            </w14:solidFill>
            <w14:prstDash w14:val="solid"/>
            <w14:bevel/>
          </w14:textOutline>
        </w:rPr>
      </w:pPr>
      <w:bookmarkStart w:id="267" w:name="_Toc28783_WPSOffice_Level1"/>
      <w:r>
        <w:rPr>
          <w:rFonts w:hint="eastAsia" w:ascii="宋体" w:hAnsi="宋体" w:cs="宋体"/>
          <w:color w:val="auto"/>
          <w:spacing w:val="7"/>
          <w:sz w:val="28"/>
          <w:szCs w:val="28"/>
          <w14:textOutline w14:w="6540" w14:cap="sq" w14:cmpd="sng" w14:algn="ctr">
            <w14:solidFill>
              <w14:srgbClr w14:val="000000"/>
            </w14:solidFill>
            <w14:prstDash w14:val="solid"/>
            <w14:bevel/>
          </w14:textOutline>
        </w:rPr>
        <w:t>监狱企业的证明文件（如有）</w:t>
      </w:r>
      <w:bookmarkEnd w:id="267"/>
    </w:p>
    <w:p w14:paraId="383B004A">
      <w:pPr>
        <w:jc w:val="center"/>
        <w:rPr>
          <w:color w:val="auto"/>
        </w:rPr>
      </w:pPr>
      <w:r>
        <w:rPr>
          <w:rFonts w:hint="eastAsia"/>
          <w:color w:val="auto"/>
        </w:rPr>
        <w:t>（监狱企业适用）</w:t>
      </w:r>
    </w:p>
    <w:p w14:paraId="6CD3CE83">
      <w:pPr>
        <w:spacing w:line="360" w:lineRule="auto"/>
        <w:ind w:firstLine="480" w:firstLineChars="200"/>
        <w:rPr>
          <w:color w:val="auto"/>
          <w:sz w:val="24"/>
        </w:rPr>
      </w:pPr>
    </w:p>
    <w:p w14:paraId="30E348C8">
      <w:pPr>
        <w:spacing w:line="360" w:lineRule="auto"/>
        <w:ind w:firstLine="480" w:firstLineChars="200"/>
        <w:rPr>
          <w:color w:val="auto"/>
          <w:sz w:val="24"/>
        </w:rPr>
      </w:pPr>
      <w:r>
        <w:rPr>
          <w:rFonts w:hint="eastAsia"/>
          <w:color w:val="auto"/>
          <w:sz w:val="24"/>
        </w:rPr>
        <w:t>本公司郑重声明，根据《关于政府采购支持监狱企业发展有关问题的通知》（财库[2014]68号）的规定，本公司为监狱企业。</w:t>
      </w:r>
    </w:p>
    <w:p w14:paraId="080B0D59">
      <w:pPr>
        <w:spacing w:line="360" w:lineRule="auto"/>
        <w:ind w:firstLine="480" w:firstLineChars="200"/>
        <w:rPr>
          <w:color w:val="auto"/>
          <w:sz w:val="24"/>
        </w:rPr>
      </w:pPr>
      <w:r>
        <w:rPr>
          <w:rFonts w:hint="eastAsia"/>
          <w:color w:val="auto"/>
          <w:sz w:val="24"/>
        </w:rPr>
        <w:t>本公司参加______单位的______项目竞标活动，竞标活动提供本企业（填写制造的货物，由本企业承担工程、提供服务）。</w:t>
      </w:r>
    </w:p>
    <w:p w14:paraId="06D5E216">
      <w:pPr>
        <w:spacing w:line="360" w:lineRule="auto"/>
        <w:ind w:firstLine="480" w:firstLineChars="200"/>
        <w:rPr>
          <w:color w:val="auto"/>
          <w:sz w:val="24"/>
        </w:rPr>
      </w:pPr>
      <w:r>
        <w:rPr>
          <w:rFonts w:hint="eastAsia"/>
          <w:color w:val="auto"/>
          <w:sz w:val="24"/>
        </w:rPr>
        <w:t>本条所称货物不包括使用大型企业注册商标的货物和服务。</w:t>
      </w:r>
    </w:p>
    <w:p w14:paraId="7D53E9C1">
      <w:pPr>
        <w:spacing w:line="360" w:lineRule="auto"/>
        <w:ind w:firstLine="480" w:firstLineChars="200"/>
        <w:rPr>
          <w:color w:val="auto"/>
          <w:sz w:val="24"/>
        </w:rPr>
      </w:pPr>
      <w:r>
        <w:rPr>
          <w:rFonts w:hint="eastAsia"/>
          <w:color w:val="auto"/>
          <w:sz w:val="24"/>
        </w:rPr>
        <w:t>本公司对上述声明的真实性负责。如有虚假，将依法承担相应责任。</w:t>
      </w:r>
    </w:p>
    <w:p w14:paraId="2378F635">
      <w:pPr>
        <w:spacing w:line="360" w:lineRule="auto"/>
        <w:ind w:firstLine="480" w:firstLineChars="200"/>
        <w:rPr>
          <w:color w:val="auto"/>
          <w:sz w:val="24"/>
        </w:rPr>
      </w:pPr>
    </w:p>
    <w:p w14:paraId="2FDEE291">
      <w:pPr>
        <w:spacing w:line="360" w:lineRule="auto"/>
        <w:ind w:firstLine="480" w:firstLineChars="200"/>
        <w:rPr>
          <w:color w:val="auto"/>
          <w:sz w:val="24"/>
        </w:rPr>
      </w:pPr>
      <w:r>
        <w:rPr>
          <w:rFonts w:hint="eastAsia"/>
          <w:color w:val="auto"/>
          <w:sz w:val="24"/>
        </w:rPr>
        <w:t>企业名称（盖公章）：</w:t>
      </w:r>
    </w:p>
    <w:p w14:paraId="5581501A">
      <w:pPr>
        <w:spacing w:line="360" w:lineRule="auto"/>
        <w:ind w:firstLine="480" w:firstLineChars="200"/>
        <w:rPr>
          <w:color w:val="auto"/>
          <w:sz w:val="24"/>
        </w:rPr>
      </w:pPr>
      <w:r>
        <w:rPr>
          <w:rFonts w:hint="eastAsia"/>
          <w:color w:val="auto"/>
          <w:sz w:val="24"/>
        </w:rPr>
        <w:t>法定代表人或其授权代表(签字或盖章)：____________</w:t>
      </w:r>
    </w:p>
    <w:p w14:paraId="7E687E9F">
      <w:pPr>
        <w:spacing w:line="360" w:lineRule="auto"/>
        <w:ind w:firstLine="480" w:firstLineChars="200"/>
        <w:rPr>
          <w:color w:val="auto"/>
          <w:sz w:val="24"/>
        </w:rPr>
      </w:pPr>
    </w:p>
    <w:p w14:paraId="438EDCAB">
      <w:pPr>
        <w:spacing w:line="360" w:lineRule="auto"/>
        <w:ind w:firstLine="480" w:firstLineChars="200"/>
        <w:rPr>
          <w:color w:val="auto"/>
          <w:sz w:val="24"/>
        </w:rPr>
      </w:pPr>
      <w:r>
        <w:rPr>
          <w:rFonts w:hint="eastAsia"/>
          <w:color w:val="auto"/>
          <w:sz w:val="24"/>
        </w:rPr>
        <w:t>日期：   年   月   日</w:t>
      </w:r>
    </w:p>
    <w:p w14:paraId="4DAB2283">
      <w:pPr>
        <w:spacing w:line="360" w:lineRule="auto"/>
        <w:ind w:firstLine="480" w:firstLineChars="200"/>
        <w:rPr>
          <w:color w:val="auto"/>
          <w:sz w:val="24"/>
        </w:rPr>
      </w:pPr>
    </w:p>
    <w:p w14:paraId="575B0377">
      <w:pPr>
        <w:spacing w:line="360" w:lineRule="auto"/>
        <w:ind w:firstLine="480" w:firstLineChars="200"/>
        <w:rPr>
          <w:color w:val="auto"/>
          <w:sz w:val="24"/>
        </w:rPr>
      </w:pPr>
      <w:r>
        <w:rPr>
          <w:rFonts w:hint="eastAsia"/>
          <w:color w:val="auto"/>
          <w:sz w:val="24"/>
        </w:rPr>
        <w:t>说明：</w:t>
      </w:r>
    </w:p>
    <w:p w14:paraId="54F0769E">
      <w:pPr>
        <w:spacing w:line="360" w:lineRule="auto"/>
        <w:ind w:firstLine="480" w:firstLineChars="200"/>
        <w:rPr>
          <w:color w:val="auto"/>
          <w:sz w:val="24"/>
        </w:rPr>
      </w:pPr>
      <w:r>
        <w:rPr>
          <w:rFonts w:hint="eastAsia"/>
          <w:color w:val="auto"/>
          <w:sz w:val="24"/>
        </w:rPr>
        <w:t>1.监狱企业参加政府采购活动时，应当提供由省级以上监狱管理局、戒毒管理局（含新疆生产建设兵团）出具的属于监狱企业的证明文件；</w:t>
      </w:r>
    </w:p>
    <w:p w14:paraId="52EEEEFC">
      <w:pPr>
        <w:spacing w:line="360" w:lineRule="auto"/>
        <w:ind w:firstLine="480" w:firstLineChars="200"/>
        <w:rPr>
          <w:color w:val="auto"/>
          <w:sz w:val="24"/>
        </w:rPr>
      </w:pPr>
      <w:r>
        <w:rPr>
          <w:rFonts w:hint="eastAsia"/>
          <w:color w:val="auto"/>
          <w:sz w:val="24"/>
        </w:rPr>
        <w:t>2.如供应商不属于监狱企业，则无须提供。</w:t>
      </w:r>
    </w:p>
    <w:p w14:paraId="4E89B031">
      <w:pPr>
        <w:rPr>
          <w:color w:val="auto"/>
        </w:rPr>
      </w:pPr>
      <w:r>
        <w:rPr>
          <w:rFonts w:hint="eastAsia"/>
          <w:color w:val="auto"/>
        </w:rPr>
        <w:br w:type="page"/>
      </w:r>
      <w:bookmarkStart w:id="268" w:name="_Toc67046901"/>
    </w:p>
    <w:p w14:paraId="6AB93DE9">
      <w:pPr>
        <w:spacing w:before="116" w:line="225" w:lineRule="auto"/>
        <w:jc w:val="center"/>
        <w:rPr>
          <w:rFonts w:hint="eastAsia" w:ascii="宋体" w:hAnsi="宋体" w:cs="宋体"/>
          <w:color w:val="auto"/>
          <w:spacing w:val="7"/>
          <w:sz w:val="28"/>
          <w:szCs w:val="28"/>
          <w14:textOutline w14:w="6540" w14:cap="sq" w14:cmpd="sng" w14:algn="ctr">
            <w14:solidFill>
              <w14:srgbClr w14:val="000000"/>
            </w14:solidFill>
            <w14:prstDash w14:val="solid"/>
            <w14:bevel/>
          </w14:textOutline>
        </w:rPr>
      </w:pPr>
      <w:bookmarkStart w:id="269" w:name="_Toc17121_WPSOffice_Level1"/>
      <w:r>
        <w:rPr>
          <w:rFonts w:hint="eastAsia" w:ascii="宋体" w:hAnsi="宋体" w:cs="宋体"/>
          <w:color w:val="auto"/>
          <w:spacing w:val="7"/>
          <w:sz w:val="28"/>
          <w:szCs w:val="28"/>
          <w14:textOutline w14:w="6540" w14:cap="sq" w14:cmpd="sng" w14:algn="ctr">
            <w14:solidFill>
              <w14:srgbClr w14:val="000000"/>
            </w14:solidFill>
            <w14:prstDash w14:val="solid"/>
            <w14:bevel/>
          </w14:textOutline>
        </w:rPr>
        <w:t>残疾人福利性单位声明函（如有）</w:t>
      </w:r>
      <w:bookmarkEnd w:id="268"/>
      <w:bookmarkEnd w:id="269"/>
    </w:p>
    <w:p w14:paraId="2CD922D6">
      <w:pPr>
        <w:spacing w:line="360" w:lineRule="auto"/>
        <w:ind w:firstLine="480" w:firstLineChars="200"/>
        <w:rPr>
          <w:rFonts w:hint="eastAsia" w:ascii="宋体" w:hAnsi="宋体" w:cs="宋体"/>
          <w:color w:val="auto"/>
          <w:sz w:val="24"/>
        </w:rPr>
      </w:pPr>
    </w:p>
    <w:p w14:paraId="790056A1">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民政部中国残疾人联合会关于促进残疾人就业政府采购政策的通知》（财库〔2017〕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4D6F4248">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792CB113">
      <w:pPr>
        <w:spacing w:line="360" w:lineRule="auto"/>
        <w:ind w:firstLine="480" w:firstLineChars="200"/>
        <w:rPr>
          <w:rFonts w:hint="eastAsia" w:ascii="宋体" w:hAnsi="宋体" w:cs="宋体"/>
          <w:color w:val="auto"/>
          <w:sz w:val="24"/>
        </w:rPr>
      </w:pPr>
    </w:p>
    <w:p w14:paraId="6BC94E55">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供应商法定代表人/授权代表（签字或盖私章）：                   </w:t>
      </w:r>
    </w:p>
    <w:p w14:paraId="56A2F2BB">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供应商名称（加盖公章）：                        </w:t>
      </w:r>
    </w:p>
    <w:p w14:paraId="48825B49">
      <w:pPr>
        <w:spacing w:line="360" w:lineRule="auto"/>
        <w:ind w:firstLine="480" w:firstLineChars="200"/>
        <w:rPr>
          <w:rFonts w:hint="eastAsia" w:ascii="宋体" w:hAnsi="宋体" w:cs="宋体"/>
          <w:color w:val="auto"/>
          <w:sz w:val="24"/>
        </w:rPr>
      </w:pPr>
      <w:r>
        <w:rPr>
          <w:rFonts w:hint="eastAsia" w:ascii="宋体" w:hAnsi="宋体" w:cs="宋体"/>
          <w:color w:val="auto"/>
          <w:sz w:val="24"/>
        </w:rPr>
        <w:t>日期：      年     月    日</w:t>
      </w:r>
    </w:p>
    <w:p w14:paraId="7A9864AB">
      <w:pPr>
        <w:spacing w:line="360" w:lineRule="auto"/>
        <w:ind w:firstLine="480" w:firstLineChars="200"/>
        <w:rPr>
          <w:rFonts w:hint="eastAsia" w:ascii="宋体" w:hAnsi="宋体" w:cs="宋体"/>
          <w:color w:val="auto"/>
          <w:sz w:val="24"/>
        </w:rPr>
      </w:pPr>
    </w:p>
    <w:p w14:paraId="1E995865">
      <w:pPr>
        <w:spacing w:line="360" w:lineRule="auto"/>
        <w:ind w:firstLine="480" w:firstLineChars="200"/>
        <w:rPr>
          <w:rFonts w:hint="eastAsia" w:ascii="宋体" w:hAnsi="宋体" w:cs="宋体"/>
          <w:color w:val="auto"/>
          <w:sz w:val="24"/>
        </w:rPr>
      </w:pPr>
      <w:r>
        <w:rPr>
          <w:rFonts w:hint="eastAsia" w:ascii="宋体" w:hAnsi="宋体" w:cs="宋体"/>
          <w:color w:val="auto"/>
          <w:sz w:val="24"/>
        </w:rPr>
        <w:t>注：如供应商不属于残疾人福利单位，则无须提供。</w:t>
      </w:r>
    </w:p>
    <w:p w14:paraId="52F563E2">
      <w:pPr>
        <w:spacing w:line="360" w:lineRule="auto"/>
        <w:ind w:firstLine="480" w:firstLineChars="200"/>
        <w:rPr>
          <w:rFonts w:hint="eastAsia" w:ascii="宋体" w:hAnsi="宋体" w:cs="宋体"/>
          <w:color w:val="auto"/>
          <w:sz w:val="24"/>
        </w:rPr>
      </w:pPr>
      <w:r>
        <w:rPr>
          <w:rFonts w:hint="eastAsia" w:ascii="宋体" w:hAnsi="宋体" w:cs="宋体"/>
          <w:color w:val="auto"/>
          <w:sz w:val="24"/>
        </w:rPr>
        <w:br w:type="page"/>
      </w:r>
    </w:p>
    <w:p w14:paraId="254F59DD">
      <w:pPr>
        <w:spacing w:before="120"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2、《营业执照》或《执业许可证》或《自然人身份证明》</w:t>
      </w:r>
    </w:p>
    <w:p w14:paraId="38AA00FD">
      <w:pPr>
        <w:pStyle w:val="63"/>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说明：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p w14:paraId="7B6705FE">
      <w:pPr>
        <w:spacing w:line="360" w:lineRule="auto"/>
        <w:jc w:val="center"/>
        <w:rPr>
          <w:rFonts w:hint="eastAsia" w:ascii="宋体" w:hAnsi="宋体" w:cs="宋体"/>
          <w:b/>
          <w:bCs/>
          <w:color w:val="auto"/>
          <w:sz w:val="32"/>
          <w:szCs w:val="32"/>
        </w:rPr>
      </w:pPr>
      <w:bookmarkStart w:id="270" w:name="_Toc10140_WPSOffice_Level1"/>
    </w:p>
    <w:bookmarkEnd w:id="270"/>
    <w:p w14:paraId="2B92DCE3">
      <w:pPr>
        <w:pStyle w:val="21"/>
        <w:spacing w:line="360" w:lineRule="auto"/>
        <w:ind w:left="0" w:leftChars="0"/>
        <w:jc w:val="center"/>
        <w:rPr>
          <w:rFonts w:hint="eastAsia" w:ascii="宋体" w:hAnsi="宋体" w:cs="宋体"/>
          <w:b/>
          <w:bCs/>
          <w:color w:val="auto"/>
          <w:sz w:val="32"/>
          <w:szCs w:val="32"/>
        </w:rPr>
      </w:pPr>
      <w:r>
        <w:rPr>
          <w:rFonts w:hint="eastAsia" w:ascii="宋体" w:hAnsi="宋体" w:eastAsia="宋体" w:cs="宋体"/>
          <w:b/>
          <w:bCs/>
          <w:color w:val="auto"/>
          <w:sz w:val="32"/>
          <w:szCs w:val="32"/>
        </w:rPr>
        <w:t>3、具有良好的商业信誉和健全的财务会计制度</w:t>
      </w:r>
    </w:p>
    <w:p w14:paraId="38ED26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供本单位上一年度由会计师事务所出具的财务审计报告（当上一年度审计报告未出来时（每年6月前（含）），可提供前一年度审计报告），审计报告须至少包括资产负债表、利润表、现金流量表）。如投标供应商无法提供上年度审计报告，则需提供开标日前三个月内银行出具的资信证明原件或复印件加盖公章。如投标供应商注册成立不足三个月的则提供承诺书（自拟）原件。</w:t>
      </w:r>
    </w:p>
    <w:p w14:paraId="51FD0A0F">
      <w:pPr>
        <w:spacing w:before="120" w:line="360" w:lineRule="auto"/>
        <w:ind w:left="420" w:leftChars="200"/>
        <w:jc w:val="center"/>
        <w:rPr>
          <w:rFonts w:hint="eastAsia" w:ascii="宋体" w:hAnsi="宋体" w:eastAsia="仿宋_GB2312" w:cs="宋体"/>
          <w:b/>
          <w:bCs/>
          <w:color w:val="auto"/>
          <w:sz w:val="32"/>
          <w:szCs w:val="32"/>
        </w:rPr>
      </w:pPr>
      <w:r>
        <w:rPr>
          <w:rFonts w:hint="eastAsia" w:ascii="宋体" w:hAnsi="宋体" w:cs="宋体"/>
          <w:b/>
          <w:bCs/>
          <w:color w:val="auto"/>
          <w:sz w:val="32"/>
          <w:szCs w:val="32"/>
        </w:rPr>
        <w:t>4、有依法缴纳税收和社会保障资金的良好记录</w:t>
      </w:r>
    </w:p>
    <w:p w14:paraId="5594526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u w:val="single"/>
          <w:lang w:val="en-US" w:eastAsia="zh-CN"/>
        </w:rPr>
        <w:t>1.供应商依法缴纳税收的证明材料：</w:t>
      </w:r>
      <w:r>
        <w:rPr>
          <w:rFonts w:hint="default" w:ascii="宋体" w:hAnsi="宋体" w:eastAsia="宋体" w:cs="宋体"/>
          <w:color w:val="auto"/>
          <w:sz w:val="24"/>
          <w:szCs w:val="24"/>
          <w:highlight w:val="none"/>
          <w:lang w:val="en-US" w:eastAsia="zh-CN"/>
        </w:rPr>
        <w:t>本项目投标截止时间前6个月内（至少提供1个月）缴纳税收的凭据（完税证明、缴款书、印花税票、银行代扣（代缴）转账凭证等均可）；</w:t>
      </w:r>
    </w:p>
    <w:p w14:paraId="1326B1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2.依法免税的供应商，须提供相应文件证明其依法免税。</w:t>
      </w:r>
    </w:p>
    <w:p w14:paraId="31DAFA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u w:val="single"/>
          <w:lang w:val="en-US" w:eastAsia="zh-CN"/>
        </w:rPr>
        <w:t>3.供应商依法缴纳社会保障资金的证明材料：</w:t>
      </w:r>
      <w:r>
        <w:rPr>
          <w:rFonts w:hint="default" w:ascii="宋体" w:hAnsi="宋体" w:eastAsia="宋体" w:cs="宋体"/>
          <w:color w:val="auto"/>
          <w:sz w:val="24"/>
          <w:szCs w:val="24"/>
          <w:highlight w:val="none"/>
          <w:lang w:val="en-US" w:eastAsia="zh-CN"/>
        </w:rPr>
        <w:t>本项目投标截止时间前6个月内（至少提供1个月）缴纳社会保险的凭据（专用收据或社会保险交纳清单）；</w:t>
      </w:r>
    </w:p>
    <w:p w14:paraId="495ABD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4.供应商为其他组织或自然人的，也需要按此项规定提供缴纳税收的凭据和交纳社会保险的凭据。</w:t>
      </w:r>
    </w:p>
    <w:p w14:paraId="4BDADC51">
      <w:pPr>
        <w:snapToGrid w:val="0"/>
        <w:spacing w:line="480" w:lineRule="auto"/>
        <w:ind w:firstLine="480" w:firstLineChars="200"/>
        <w:rPr>
          <w:rFonts w:hint="eastAsia" w:ascii="仿宋_GB2312" w:hAnsi="仿宋_GB2312" w:eastAsia="仿宋_GB2312" w:cs="仿宋_GB2312"/>
          <w:color w:val="auto"/>
        </w:rPr>
      </w:pPr>
      <w:r>
        <w:rPr>
          <w:rFonts w:hint="default" w:ascii="宋体" w:hAnsi="宋体" w:eastAsia="宋体" w:cs="宋体"/>
          <w:color w:val="auto"/>
          <w:sz w:val="24"/>
          <w:szCs w:val="24"/>
          <w:highlight w:val="none"/>
          <w:lang w:val="en-US" w:eastAsia="zh-CN"/>
        </w:rPr>
        <w:t>5.依法不需要缴纳社会保障资金的供应商，须提供相应文件证明其依法不需要缴纳社会保障资金。</w:t>
      </w:r>
    </w:p>
    <w:p w14:paraId="41C5A0CA">
      <w:pPr>
        <w:pStyle w:val="8"/>
        <w:rPr>
          <w:color w:val="auto"/>
        </w:rPr>
      </w:pPr>
    </w:p>
    <w:p w14:paraId="0C0EEA36">
      <w:pPr>
        <w:rPr>
          <w:color w:val="auto"/>
        </w:rPr>
      </w:pPr>
    </w:p>
    <w:p w14:paraId="17759A95">
      <w:pPr>
        <w:rPr>
          <w:color w:val="auto"/>
        </w:rPr>
      </w:pPr>
    </w:p>
    <w:p w14:paraId="027F6598">
      <w:pPr>
        <w:rPr>
          <w:color w:val="auto"/>
        </w:rPr>
      </w:pPr>
    </w:p>
    <w:p w14:paraId="4E7BB052">
      <w:pPr>
        <w:rPr>
          <w:color w:val="auto"/>
        </w:rPr>
      </w:pPr>
    </w:p>
    <w:p w14:paraId="4BCCE8CA">
      <w:pPr>
        <w:rPr>
          <w:color w:val="auto"/>
        </w:rPr>
      </w:pPr>
    </w:p>
    <w:p w14:paraId="07532CBE">
      <w:pPr>
        <w:spacing w:before="120" w:line="360" w:lineRule="auto"/>
        <w:ind w:left="420" w:leftChars="200"/>
        <w:jc w:val="center"/>
        <w:rPr>
          <w:rFonts w:hint="eastAsia" w:ascii="宋体" w:hAnsi="宋体" w:cs="宋体"/>
          <w:b/>
          <w:bCs/>
          <w:color w:val="auto"/>
          <w:sz w:val="32"/>
          <w:szCs w:val="32"/>
        </w:rPr>
      </w:pPr>
      <w:r>
        <w:rPr>
          <w:rFonts w:hint="eastAsia" w:ascii="宋体" w:hAnsi="宋体" w:cs="宋体"/>
          <w:b/>
          <w:bCs/>
          <w:color w:val="auto"/>
          <w:sz w:val="32"/>
          <w:szCs w:val="32"/>
        </w:rPr>
        <w:t>5、具有履行合同所必需的设备和专业技术能力承诺函</w:t>
      </w:r>
    </w:p>
    <w:p w14:paraId="5F0CE415">
      <w:pPr>
        <w:snapToGrid w:val="0"/>
        <w:spacing w:line="480" w:lineRule="auto"/>
        <w:ind w:firstLine="480" w:firstLineChars="200"/>
        <w:rPr>
          <w:rFonts w:hint="eastAsia" w:ascii="宋体" w:hAnsi="宋体" w:cs="宋体"/>
          <w:color w:val="auto"/>
          <w:sz w:val="24"/>
        </w:rPr>
      </w:pPr>
    </w:p>
    <w:p w14:paraId="1F5D00EE">
      <w:pPr>
        <w:snapToGrid w:val="0"/>
        <w:spacing w:line="480" w:lineRule="auto"/>
        <w:ind w:firstLine="480" w:firstLineChars="200"/>
        <w:rPr>
          <w:rFonts w:hint="eastAsia" w:ascii="宋体" w:hAnsi="宋体" w:cs="宋体"/>
          <w:color w:val="auto"/>
          <w:sz w:val="24"/>
        </w:rPr>
      </w:pPr>
      <w:r>
        <w:rPr>
          <w:rFonts w:hint="eastAsia" w:ascii="宋体" w:hAnsi="宋体" w:cs="宋体"/>
          <w:color w:val="auto"/>
          <w:sz w:val="24"/>
        </w:rPr>
        <w:t>我单位参与</w:t>
      </w:r>
      <w:r>
        <w:rPr>
          <w:rFonts w:hint="eastAsia" w:ascii="宋体" w:hAnsi="宋体" w:cs="宋体"/>
          <w:color w:val="auto"/>
          <w:sz w:val="24"/>
          <w:u w:val="single"/>
        </w:rPr>
        <w:t xml:space="preserve">                          </w:t>
      </w:r>
      <w:r>
        <w:rPr>
          <w:rFonts w:hint="eastAsia" w:ascii="宋体" w:hAnsi="宋体" w:cs="宋体"/>
          <w:color w:val="auto"/>
          <w:sz w:val="24"/>
        </w:rPr>
        <w:t>（项目名称、项目编号）投标，本单位郑重声明，本单位具备本项目履行合同所必需的设备和专业技术能力，特此承诺。</w:t>
      </w:r>
    </w:p>
    <w:p w14:paraId="1529F14B">
      <w:pPr>
        <w:pStyle w:val="8"/>
        <w:ind w:firstLine="480"/>
        <w:rPr>
          <w:rFonts w:hint="eastAsia" w:ascii="宋体" w:hAnsi="宋体" w:cs="宋体"/>
          <w:color w:val="auto"/>
          <w:sz w:val="24"/>
        </w:rPr>
      </w:pPr>
    </w:p>
    <w:p w14:paraId="43D2960B">
      <w:pPr>
        <w:rPr>
          <w:rFonts w:hint="eastAsia" w:ascii="宋体" w:hAnsi="宋体" w:cs="宋体"/>
          <w:color w:val="auto"/>
          <w:sz w:val="24"/>
        </w:rPr>
      </w:pPr>
    </w:p>
    <w:p w14:paraId="5A12001F">
      <w:pPr>
        <w:pStyle w:val="8"/>
        <w:rPr>
          <w:color w:val="auto"/>
        </w:rPr>
      </w:pPr>
    </w:p>
    <w:p w14:paraId="25EE69AB">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供应商名称（单位公章）：</w:t>
      </w:r>
      <w:r>
        <w:rPr>
          <w:rFonts w:hint="eastAsia" w:ascii="仿宋_GB2312" w:hAnsi="仿宋_GB2312" w:eastAsia="仿宋_GB2312" w:cs="仿宋_GB2312"/>
          <w:color w:val="auto"/>
          <w:u w:val="single"/>
        </w:rPr>
        <w:t xml:space="preserve">                          </w:t>
      </w:r>
    </w:p>
    <w:p w14:paraId="407F4D62">
      <w:pPr>
        <w:snapToGrid w:val="0"/>
        <w:spacing w:line="480" w:lineRule="auto"/>
        <w:rPr>
          <w:rFonts w:hint="eastAsia" w:ascii="宋体" w:hAnsi="宋体" w:cs="宋体"/>
          <w:color w:val="auto"/>
          <w:sz w:val="24"/>
        </w:rPr>
      </w:pPr>
      <w:r>
        <w:rPr>
          <w:rFonts w:hint="eastAsia" w:ascii="宋体" w:hAnsi="宋体" w:cs="宋体"/>
          <w:color w:val="auto"/>
          <w:sz w:val="24"/>
        </w:rPr>
        <w:t>法定代表人（或非法人组织负责人）</w:t>
      </w:r>
    </w:p>
    <w:p w14:paraId="0EC6399A">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或其授权委托人(签字或盖章)：</w:t>
      </w:r>
      <w:r>
        <w:rPr>
          <w:rFonts w:hint="eastAsia" w:ascii="仿宋_GB2312" w:hAnsi="仿宋_GB2312" w:eastAsia="仿宋_GB2312" w:cs="仿宋_GB2312"/>
          <w:color w:val="auto"/>
          <w:u w:val="single"/>
        </w:rPr>
        <w:t xml:space="preserve">                         </w:t>
      </w:r>
    </w:p>
    <w:p w14:paraId="3907248B">
      <w:pPr>
        <w:adjustRightInd w:val="0"/>
        <w:snapToGrid w:val="0"/>
        <w:spacing w:line="360" w:lineRule="auto"/>
        <w:ind w:right="105" w:rightChars="50"/>
        <w:jc w:val="left"/>
        <w:rPr>
          <w:rFonts w:hint="eastAsia" w:ascii="仿宋_GB2312" w:hAnsi="仿宋_GB2312" w:eastAsia="仿宋_GB2312" w:cs="仿宋_GB2312"/>
          <w:color w:val="auto"/>
          <w:u w:val="single"/>
        </w:rPr>
      </w:pPr>
      <w:r>
        <w:rPr>
          <w:rFonts w:hint="eastAsia" w:ascii="宋体" w:hAnsi="宋体" w:cs="宋体"/>
          <w:color w:val="auto"/>
          <w:sz w:val="24"/>
        </w:rPr>
        <w:t>日           期：</w:t>
      </w:r>
      <w:r>
        <w:rPr>
          <w:rFonts w:hint="eastAsia" w:ascii="仿宋_GB2312" w:hAnsi="仿宋_GB2312" w:eastAsia="仿宋_GB2312" w:cs="仿宋_GB2312"/>
          <w:color w:val="auto"/>
          <w:u w:val="single"/>
        </w:rPr>
        <w:t xml:space="preserve">                                      </w:t>
      </w:r>
    </w:p>
    <w:p w14:paraId="15AF0244">
      <w:pPr>
        <w:spacing w:before="120"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6、参加政府采购活动前3年内，在经营活动中没有重大违法记录的书面声明函</w:t>
      </w:r>
    </w:p>
    <w:p w14:paraId="3BC42378">
      <w:pPr>
        <w:spacing w:line="520" w:lineRule="exact"/>
        <w:rPr>
          <w:rFonts w:hint="eastAsia" w:ascii="宋体" w:hAnsi="宋体" w:cs="宋体"/>
          <w:color w:val="auto"/>
          <w:sz w:val="24"/>
        </w:rPr>
      </w:pPr>
      <w:r>
        <w:rPr>
          <w:rFonts w:hint="eastAsia" w:ascii="宋体" w:hAnsi="宋体" w:cs="宋体"/>
          <w:color w:val="auto"/>
          <w:sz w:val="24"/>
        </w:rPr>
        <w:t>致：</w:t>
      </w:r>
    </w:p>
    <w:p w14:paraId="2C6B5BD6">
      <w:pPr>
        <w:spacing w:line="520" w:lineRule="exact"/>
        <w:ind w:firstLine="480" w:firstLineChars="200"/>
        <w:rPr>
          <w:rFonts w:hint="eastAsia" w:ascii="宋体" w:hAnsi="宋体" w:cs="宋体"/>
          <w:color w:val="auto"/>
          <w:sz w:val="24"/>
        </w:rPr>
      </w:pPr>
      <w:r>
        <w:rPr>
          <w:rFonts w:hint="eastAsia" w:ascii="宋体" w:hAnsi="宋体" w:cs="宋体"/>
          <w:color w:val="auto"/>
          <w:sz w:val="24"/>
        </w:rPr>
        <w:t>本公司参加</w:t>
      </w:r>
      <w:r>
        <w:rPr>
          <w:rFonts w:hint="eastAsia" w:ascii="宋体" w:hAnsi="宋体" w:cs="宋体"/>
          <w:color w:val="auto"/>
          <w:sz w:val="24"/>
          <w:u w:val="single"/>
        </w:rPr>
        <w:t xml:space="preserve">             </w:t>
      </w:r>
      <w:r>
        <w:rPr>
          <w:rFonts w:hint="eastAsia" w:ascii="宋体" w:hAnsi="宋体" w:cs="宋体"/>
          <w:color w:val="auto"/>
          <w:sz w:val="24"/>
        </w:rPr>
        <w:t xml:space="preserve"> 项目（项目编号：</w:t>
      </w:r>
      <w:r>
        <w:rPr>
          <w:rFonts w:hint="eastAsia" w:ascii="宋体" w:hAnsi="宋体" w:cs="宋体"/>
          <w:color w:val="auto"/>
          <w:sz w:val="24"/>
          <w:u w:val="single"/>
        </w:rPr>
        <w:t>　　　　</w:t>
      </w:r>
      <w:r>
        <w:rPr>
          <w:rFonts w:hint="eastAsia" w:ascii="宋体" w:hAnsi="宋体" w:cs="宋体"/>
          <w:color w:val="auto"/>
          <w:sz w:val="24"/>
        </w:rPr>
        <w:t>）的招标活动，并声明：</w:t>
      </w:r>
    </w:p>
    <w:p w14:paraId="56D56267">
      <w:pPr>
        <w:spacing w:line="520" w:lineRule="exact"/>
        <w:ind w:firstLine="480" w:firstLineChars="200"/>
        <w:rPr>
          <w:rFonts w:hint="eastAsia" w:ascii="宋体" w:hAnsi="宋体" w:cs="宋体"/>
          <w:color w:val="auto"/>
          <w:sz w:val="24"/>
        </w:rPr>
      </w:pPr>
      <w:r>
        <w:rPr>
          <w:rFonts w:hint="eastAsia" w:ascii="宋体" w:hAnsi="宋体" w:cs="宋体"/>
          <w:color w:val="auto"/>
          <w:sz w:val="24"/>
        </w:rPr>
        <w:t>郑重声明，我方参加本项目政府采购活动前三年内无重大违法记录，在经营活动中没有因违法经营受到刑事处罚或者责令停产停业、吊销许可证或者执照、较大数额罚款等行政处罚。符合《政府采购法》规定的供应商条件。若贵方在本项目采购过程中发现我方政府采购活动前三年内有重大违法记录，我公司将无条件退出本项目的投标，并承担因此引起的一切后果。我方对此声明负全部法律责任。特此声明！</w:t>
      </w:r>
    </w:p>
    <w:p w14:paraId="4B205A6B">
      <w:pPr>
        <w:snapToGrid w:val="0"/>
        <w:spacing w:line="480" w:lineRule="auto"/>
        <w:rPr>
          <w:rFonts w:hint="eastAsia" w:ascii="宋体" w:hAnsi="宋体" w:cs="宋体"/>
          <w:color w:val="auto"/>
          <w:sz w:val="24"/>
        </w:rPr>
      </w:pPr>
    </w:p>
    <w:p w14:paraId="07605552">
      <w:pPr>
        <w:snapToGrid w:val="0"/>
        <w:spacing w:line="480" w:lineRule="auto"/>
        <w:ind w:firstLine="480" w:firstLineChars="200"/>
        <w:rPr>
          <w:rFonts w:hint="eastAsia" w:ascii="宋体" w:hAnsi="宋体" w:cs="宋体"/>
          <w:color w:val="auto"/>
          <w:sz w:val="24"/>
        </w:rPr>
      </w:pPr>
    </w:p>
    <w:p w14:paraId="46AA2BB7">
      <w:pPr>
        <w:snapToGrid w:val="0"/>
        <w:spacing w:line="480" w:lineRule="auto"/>
        <w:rPr>
          <w:rFonts w:hint="eastAsia" w:ascii="仿宋_GB2312" w:hAnsi="仿宋_GB2312" w:eastAsia="仿宋_GB2312" w:cs="仿宋_GB2312"/>
          <w:color w:val="auto"/>
        </w:rPr>
      </w:pPr>
    </w:p>
    <w:p w14:paraId="2F4F6DE5">
      <w:pPr>
        <w:snapToGrid w:val="0"/>
        <w:spacing w:line="480" w:lineRule="auto"/>
        <w:rPr>
          <w:rFonts w:hint="eastAsia" w:ascii="仿宋_GB2312" w:hAnsi="仿宋_GB2312" w:eastAsia="仿宋_GB2312" w:cs="仿宋_GB2312"/>
          <w:color w:val="auto"/>
        </w:rPr>
      </w:pPr>
    </w:p>
    <w:p w14:paraId="2B0D57EE">
      <w:pPr>
        <w:snapToGrid w:val="0"/>
        <w:spacing w:line="480" w:lineRule="auto"/>
        <w:rPr>
          <w:rFonts w:hint="eastAsia" w:ascii="仿宋_GB2312" w:hAnsi="仿宋_GB2312" w:eastAsia="仿宋_GB2312" w:cs="仿宋_GB2312"/>
          <w:color w:val="auto"/>
        </w:rPr>
      </w:pPr>
    </w:p>
    <w:p w14:paraId="79D84223">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供应商名称（单位公章）：</w:t>
      </w:r>
      <w:r>
        <w:rPr>
          <w:rFonts w:hint="eastAsia" w:ascii="仿宋_GB2312" w:hAnsi="仿宋_GB2312" w:eastAsia="仿宋_GB2312" w:cs="仿宋_GB2312"/>
          <w:color w:val="auto"/>
          <w:u w:val="single"/>
        </w:rPr>
        <w:t xml:space="preserve">                          </w:t>
      </w:r>
    </w:p>
    <w:p w14:paraId="04D3A649">
      <w:pPr>
        <w:snapToGrid w:val="0"/>
        <w:spacing w:line="480" w:lineRule="auto"/>
        <w:rPr>
          <w:rFonts w:hint="eastAsia" w:ascii="宋体" w:hAnsi="宋体" w:cs="宋体"/>
          <w:color w:val="auto"/>
          <w:sz w:val="24"/>
        </w:rPr>
      </w:pPr>
      <w:r>
        <w:rPr>
          <w:rFonts w:hint="eastAsia" w:ascii="宋体" w:hAnsi="宋体" w:cs="宋体"/>
          <w:color w:val="auto"/>
          <w:sz w:val="24"/>
        </w:rPr>
        <w:t>法定代表人（或非法人组织负责人）</w:t>
      </w:r>
    </w:p>
    <w:p w14:paraId="3984ADBD">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或其授权委托人(签字或盖章)：</w:t>
      </w:r>
      <w:r>
        <w:rPr>
          <w:rFonts w:hint="eastAsia" w:ascii="仿宋_GB2312" w:hAnsi="仿宋_GB2312" w:eastAsia="仿宋_GB2312" w:cs="仿宋_GB2312"/>
          <w:color w:val="auto"/>
          <w:u w:val="single"/>
        </w:rPr>
        <w:t xml:space="preserve">                         </w:t>
      </w:r>
    </w:p>
    <w:p w14:paraId="338A0152">
      <w:pPr>
        <w:adjustRightInd w:val="0"/>
        <w:snapToGrid w:val="0"/>
        <w:spacing w:line="360" w:lineRule="auto"/>
        <w:ind w:right="105" w:rightChars="50"/>
        <w:jc w:val="left"/>
        <w:rPr>
          <w:rFonts w:hint="eastAsia" w:ascii="仿宋_GB2312" w:hAnsi="仿宋_GB2312" w:eastAsia="仿宋_GB2312" w:cs="仿宋_GB2312"/>
          <w:color w:val="auto"/>
          <w:u w:val="single"/>
        </w:rPr>
      </w:pPr>
      <w:r>
        <w:rPr>
          <w:rFonts w:hint="eastAsia" w:ascii="宋体" w:hAnsi="宋体" w:cs="宋体"/>
          <w:color w:val="auto"/>
          <w:sz w:val="24"/>
        </w:rPr>
        <w:t>日           期：</w:t>
      </w:r>
      <w:r>
        <w:rPr>
          <w:rFonts w:hint="eastAsia" w:ascii="仿宋_GB2312" w:hAnsi="仿宋_GB2312" w:eastAsia="仿宋_GB2312" w:cs="仿宋_GB2312"/>
          <w:color w:val="auto"/>
          <w:u w:val="single"/>
        </w:rPr>
        <w:t xml:space="preserve">                                      </w:t>
      </w:r>
    </w:p>
    <w:p w14:paraId="0089EBA8">
      <w:pPr>
        <w:spacing w:line="360" w:lineRule="auto"/>
        <w:jc w:val="center"/>
        <w:rPr>
          <w:rFonts w:hint="eastAsia" w:ascii="宋体" w:hAnsi="宋体" w:cs="宋体"/>
          <w:b/>
          <w:bCs/>
          <w:color w:val="auto"/>
          <w:sz w:val="28"/>
          <w:szCs w:val="28"/>
        </w:rPr>
      </w:pPr>
      <w:r>
        <w:rPr>
          <w:rFonts w:hint="eastAsia" w:ascii="宋体" w:hAnsi="宋体" w:cs="宋体"/>
          <w:b/>
          <w:bCs/>
          <w:color w:val="auto"/>
          <w:sz w:val="32"/>
          <w:szCs w:val="32"/>
        </w:rPr>
        <w:br w:type="page"/>
      </w:r>
      <w:r>
        <w:rPr>
          <w:rFonts w:hint="eastAsia" w:ascii="宋体" w:hAnsi="宋体" w:cs="宋体"/>
          <w:b/>
          <w:bCs/>
          <w:color w:val="auto"/>
          <w:sz w:val="32"/>
          <w:szCs w:val="32"/>
        </w:rPr>
        <w:t>7、</w:t>
      </w:r>
      <w:r>
        <w:rPr>
          <w:rFonts w:hint="eastAsia" w:ascii="宋体" w:hAnsi="宋体" w:cs="宋体"/>
          <w:b/>
          <w:bCs/>
          <w:color w:val="auto"/>
          <w:sz w:val="28"/>
          <w:szCs w:val="28"/>
        </w:rPr>
        <w:t>不存在与参加本项目的其它供应商单位负责人为同一人或者存在直接控股、管理关系承诺</w:t>
      </w:r>
    </w:p>
    <w:p w14:paraId="29370979">
      <w:pPr>
        <w:rPr>
          <w:color w:val="auto"/>
        </w:rPr>
      </w:pPr>
    </w:p>
    <w:p w14:paraId="796035CB">
      <w:pPr>
        <w:pStyle w:val="30"/>
        <w:spacing w:before="0" w:beforeAutospacing="0" w:after="288" w:afterAutospacing="0" w:line="360" w:lineRule="auto"/>
        <w:textAlignment w:val="baseline"/>
        <w:rPr>
          <w:color w:val="auto"/>
          <w:sz w:val="24"/>
        </w:rPr>
      </w:pPr>
      <w:r>
        <w:rPr>
          <w:rFonts w:hint="eastAsia"/>
          <w:color w:val="auto"/>
          <w:sz w:val="24"/>
          <w:lang w:eastAsia="zh-CN"/>
        </w:rPr>
        <w:t>喀什地区卫生健康委员会</w:t>
      </w:r>
      <w:r>
        <w:rPr>
          <w:rFonts w:hint="eastAsia"/>
          <w:color w:val="auto"/>
          <w:sz w:val="24"/>
        </w:rPr>
        <w:t>：</w:t>
      </w:r>
    </w:p>
    <w:p w14:paraId="05D20B79">
      <w:pPr>
        <w:pStyle w:val="30"/>
        <w:spacing w:before="0" w:beforeAutospacing="0" w:after="288" w:afterAutospacing="0" w:line="360" w:lineRule="auto"/>
        <w:textAlignment w:val="baseline"/>
        <w:rPr>
          <w:color w:val="auto"/>
          <w:sz w:val="24"/>
        </w:rPr>
      </w:pPr>
      <w:r>
        <w:rPr>
          <w:rFonts w:hint="eastAsia"/>
          <w:color w:val="auto"/>
          <w:sz w:val="24"/>
        </w:rPr>
        <w:t>新疆华展鑫荣项目管理咨询有限公司：</w:t>
      </w:r>
    </w:p>
    <w:p w14:paraId="2F0F899A">
      <w:pPr>
        <w:pStyle w:val="30"/>
        <w:spacing w:before="0" w:beforeAutospacing="0" w:after="288" w:afterAutospacing="0" w:line="360" w:lineRule="auto"/>
        <w:ind w:firstLine="432"/>
        <w:textAlignment w:val="baseline"/>
        <w:rPr>
          <w:color w:val="auto"/>
          <w:sz w:val="24"/>
        </w:rPr>
      </w:pPr>
      <w:r>
        <w:rPr>
          <w:rFonts w:hint="eastAsia"/>
          <w:color w:val="auto"/>
          <w:sz w:val="24"/>
        </w:rPr>
        <w:t>我公司参加贵单位组织的</w:t>
      </w:r>
      <w:r>
        <w:rPr>
          <w:rFonts w:hint="eastAsia"/>
          <w:color w:val="auto"/>
          <w:sz w:val="24"/>
          <w:u w:val="single"/>
        </w:rPr>
        <w:t xml:space="preserve">                 </w:t>
      </w:r>
      <w:r>
        <w:rPr>
          <w:rFonts w:hint="eastAsia"/>
          <w:color w:val="auto"/>
          <w:sz w:val="24"/>
        </w:rPr>
        <w:t>招标活动，郑重承诺：在参加本项目里不存在与参加本项目的其它投标单位名称单位负责人为同一人或者存在直接控股、管理关系。不存在</w:t>
      </w:r>
      <w:r>
        <w:rPr>
          <w:rFonts w:hint="eastAsia" w:ascii="宋体" w:hAnsi="宋体" w:cs="宋体"/>
          <w:color w:val="auto"/>
          <w:sz w:val="24"/>
        </w:rPr>
        <w:t>生产型企业生产场地为同一地址的，销售型企业之间股东有关联的，</w:t>
      </w:r>
      <w:r>
        <w:rPr>
          <w:rFonts w:hint="eastAsia"/>
          <w:color w:val="auto"/>
          <w:sz w:val="24"/>
        </w:rPr>
        <w:t>我公司对上述承诺的真实性负责。如有虚假，将依法承担相应责任。特此承诺！</w:t>
      </w:r>
    </w:p>
    <w:p w14:paraId="5E1C3BE9">
      <w:pPr>
        <w:spacing w:line="360" w:lineRule="auto"/>
        <w:ind w:firstLine="480" w:firstLineChars="200"/>
        <w:rPr>
          <w:rFonts w:hint="eastAsia" w:ascii="宋体" w:hAnsi="宋体" w:cs="宋体"/>
          <w:bCs/>
          <w:color w:val="auto"/>
          <w:sz w:val="24"/>
        </w:rPr>
      </w:pPr>
    </w:p>
    <w:p w14:paraId="45F1CC98">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供应商名称（单位公章）：</w:t>
      </w:r>
      <w:r>
        <w:rPr>
          <w:rFonts w:hint="eastAsia" w:ascii="仿宋_GB2312" w:hAnsi="仿宋_GB2312" w:eastAsia="仿宋_GB2312" w:cs="仿宋_GB2312"/>
          <w:color w:val="auto"/>
          <w:u w:val="single"/>
        </w:rPr>
        <w:t xml:space="preserve">                          </w:t>
      </w:r>
    </w:p>
    <w:p w14:paraId="1F4F3240">
      <w:pPr>
        <w:snapToGrid w:val="0"/>
        <w:spacing w:line="480" w:lineRule="auto"/>
        <w:rPr>
          <w:rFonts w:hint="eastAsia" w:ascii="宋体" w:hAnsi="宋体" w:cs="宋体"/>
          <w:color w:val="auto"/>
          <w:sz w:val="24"/>
        </w:rPr>
      </w:pPr>
      <w:r>
        <w:rPr>
          <w:rFonts w:hint="eastAsia" w:ascii="宋体" w:hAnsi="宋体" w:cs="宋体"/>
          <w:color w:val="auto"/>
          <w:sz w:val="24"/>
        </w:rPr>
        <w:t>法定代表人（或非法人组织负责人）</w:t>
      </w:r>
    </w:p>
    <w:p w14:paraId="43CAA91F">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或其授权委托人(签字或盖章)：</w:t>
      </w:r>
      <w:r>
        <w:rPr>
          <w:rFonts w:hint="eastAsia" w:ascii="仿宋_GB2312" w:hAnsi="仿宋_GB2312" w:eastAsia="仿宋_GB2312" w:cs="仿宋_GB2312"/>
          <w:color w:val="auto"/>
          <w:u w:val="single"/>
        </w:rPr>
        <w:t xml:space="preserve">                         </w:t>
      </w:r>
    </w:p>
    <w:p w14:paraId="675F2C61">
      <w:pPr>
        <w:autoSpaceDE w:val="0"/>
        <w:autoSpaceDN w:val="0"/>
        <w:adjustRightInd w:val="0"/>
        <w:spacing w:line="360" w:lineRule="auto"/>
        <w:jc w:val="left"/>
        <w:rPr>
          <w:rFonts w:hint="eastAsia" w:ascii="宋体" w:hAnsi="宋体" w:cs="宋体"/>
          <w:bCs/>
          <w:color w:val="auto"/>
          <w:sz w:val="24"/>
        </w:rPr>
      </w:pPr>
      <w:r>
        <w:rPr>
          <w:rFonts w:hint="eastAsia" w:ascii="宋体" w:hAnsi="宋体" w:cs="宋体"/>
          <w:color w:val="auto"/>
          <w:sz w:val="24"/>
        </w:rPr>
        <w:t>日           期：</w:t>
      </w:r>
      <w:r>
        <w:rPr>
          <w:rFonts w:hint="eastAsia" w:ascii="仿宋_GB2312" w:hAnsi="仿宋_GB2312" w:eastAsia="仿宋_GB2312" w:cs="仿宋_GB2312"/>
          <w:color w:val="auto"/>
          <w:u w:val="single"/>
        </w:rPr>
        <w:t xml:space="preserve">                                      </w:t>
      </w:r>
    </w:p>
    <w:p w14:paraId="50D71CC8">
      <w:pPr>
        <w:pStyle w:val="65"/>
        <w:spacing w:line="640" w:lineRule="exact"/>
        <w:ind w:firstLine="480" w:firstLineChars="200"/>
        <w:rPr>
          <w:rFonts w:hint="eastAsia" w:ascii="宋体" w:hAnsi="宋体" w:eastAsia="宋体" w:cs="宋体"/>
          <w:b w:val="0"/>
          <w:bCs/>
          <w:color w:val="auto"/>
          <w:sz w:val="24"/>
        </w:rPr>
      </w:pPr>
    </w:p>
    <w:p w14:paraId="6598CF8A">
      <w:pPr>
        <w:rPr>
          <w:rFonts w:hint="eastAsia" w:ascii="宋体" w:hAnsi="宋体" w:cs="宋体"/>
          <w:color w:val="auto"/>
          <w:sz w:val="24"/>
        </w:rPr>
      </w:pPr>
      <w:r>
        <w:rPr>
          <w:rFonts w:hint="eastAsia" w:ascii="宋体" w:hAnsi="宋体" w:cs="宋体"/>
          <w:color w:val="auto"/>
          <w:sz w:val="24"/>
        </w:rPr>
        <w:br w:type="page"/>
      </w:r>
    </w:p>
    <w:p w14:paraId="3C0D975C">
      <w:pPr>
        <w:spacing w:line="360" w:lineRule="auto"/>
        <w:jc w:val="center"/>
        <w:rPr>
          <w:rFonts w:hint="eastAsia" w:ascii="宋体" w:hAnsi="宋体" w:cs="宋体"/>
          <w:b/>
          <w:bCs/>
          <w:color w:val="auto"/>
          <w:sz w:val="28"/>
          <w:szCs w:val="28"/>
        </w:rPr>
      </w:pPr>
      <w:r>
        <w:rPr>
          <w:rFonts w:hint="eastAsia" w:ascii="宋体" w:hAnsi="宋体" w:cs="宋体"/>
          <w:b/>
          <w:bCs/>
          <w:color w:val="auto"/>
          <w:sz w:val="32"/>
          <w:szCs w:val="32"/>
        </w:rPr>
        <w:t>8、</w:t>
      </w:r>
      <w:r>
        <w:rPr>
          <w:rFonts w:hint="eastAsia" w:ascii="宋体" w:hAnsi="宋体" w:cs="宋体"/>
          <w:b/>
          <w:bCs/>
          <w:color w:val="auto"/>
          <w:sz w:val="28"/>
          <w:szCs w:val="28"/>
        </w:rPr>
        <w:t>非联合体投标承诺函</w:t>
      </w:r>
    </w:p>
    <w:p w14:paraId="06D9922C">
      <w:pPr>
        <w:pStyle w:val="32"/>
        <w:tabs>
          <w:tab w:val="left" w:pos="567"/>
        </w:tabs>
        <w:ind w:firstLine="210"/>
        <w:rPr>
          <w:color w:val="auto"/>
        </w:rPr>
      </w:pPr>
    </w:p>
    <w:p w14:paraId="60F77AEE">
      <w:pPr>
        <w:spacing w:line="360" w:lineRule="auto"/>
        <w:jc w:val="left"/>
        <w:rPr>
          <w:rFonts w:hint="eastAsia" w:ascii="宋体" w:hAnsi="宋体" w:cs="宋体"/>
          <w:bCs/>
          <w:color w:val="auto"/>
          <w:spacing w:val="14"/>
          <w:sz w:val="24"/>
          <w:u w:val="single"/>
        </w:rPr>
      </w:pPr>
      <w:r>
        <w:rPr>
          <w:rFonts w:hint="eastAsia" w:ascii="宋体" w:hAnsi="宋体"/>
          <w:color w:val="auto"/>
          <w:sz w:val="24"/>
          <w:u w:val="single"/>
        </w:rPr>
        <w:t xml:space="preserve">                    （采购人）</w:t>
      </w:r>
      <w:r>
        <w:rPr>
          <w:rFonts w:hint="eastAsia" w:ascii="宋体" w:hAnsi="宋体" w:cs="宋体"/>
          <w:bCs/>
          <w:color w:val="auto"/>
          <w:spacing w:val="14"/>
          <w:sz w:val="24"/>
          <w:u w:val="single"/>
        </w:rPr>
        <w:t>：</w:t>
      </w:r>
    </w:p>
    <w:p w14:paraId="43C61E9B">
      <w:pPr>
        <w:pStyle w:val="32"/>
        <w:tabs>
          <w:tab w:val="left" w:pos="567"/>
        </w:tabs>
        <w:spacing w:line="360" w:lineRule="auto"/>
        <w:ind w:firstLine="480" w:firstLineChars="200"/>
        <w:rPr>
          <w:rFonts w:hint="eastAsia" w:ascii="宋体" w:hAnsi="宋体" w:cs="宋体"/>
          <w:color w:val="auto"/>
          <w:sz w:val="24"/>
        </w:rPr>
      </w:pPr>
      <w:r>
        <w:rPr>
          <w:rFonts w:hint="eastAsia" w:ascii="宋体" w:hAnsi="宋体" w:cs="宋体"/>
          <w:color w:val="auto"/>
          <w:sz w:val="24"/>
        </w:rPr>
        <w:t>我公司参加</w:t>
      </w:r>
      <w:r>
        <w:rPr>
          <w:rFonts w:hint="eastAsia" w:ascii="宋体" w:hAnsi="宋体" w:cs="宋体"/>
          <w:b/>
          <w:bCs/>
          <w:color w:val="auto"/>
          <w:sz w:val="24"/>
          <w:u w:val="single"/>
        </w:rPr>
        <w:t xml:space="preserve">                     项目</w:t>
      </w:r>
      <w:r>
        <w:rPr>
          <w:rFonts w:hint="eastAsia" w:ascii="宋体" w:hAnsi="宋体" w:cs="宋体"/>
          <w:color w:val="auto"/>
          <w:sz w:val="24"/>
        </w:rPr>
        <w:t>的投标，非联合体投标，特此承诺！</w:t>
      </w:r>
    </w:p>
    <w:p w14:paraId="13CCAF4F">
      <w:pPr>
        <w:snapToGrid w:val="0"/>
        <w:spacing w:line="480" w:lineRule="auto"/>
        <w:rPr>
          <w:rFonts w:hint="eastAsia" w:ascii="宋体" w:hAnsi="宋体" w:cs="宋体"/>
          <w:color w:val="auto"/>
          <w:sz w:val="24"/>
        </w:rPr>
      </w:pPr>
    </w:p>
    <w:p w14:paraId="45F3E50B">
      <w:pPr>
        <w:snapToGrid w:val="0"/>
        <w:spacing w:line="480" w:lineRule="auto"/>
        <w:rPr>
          <w:rFonts w:hint="eastAsia" w:ascii="宋体" w:hAnsi="宋体" w:cs="宋体"/>
          <w:color w:val="auto"/>
          <w:sz w:val="24"/>
        </w:rPr>
      </w:pPr>
    </w:p>
    <w:p w14:paraId="26EBEB94">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供应商名称（单位公章）：</w:t>
      </w:r>
      <w:r>
        <w:rPr>
          <w:rFonts w:hint="eastAsia" w:ascii="仿宋_GB2312" w:hAnsi="仿宋_GB2312" w:eastAsia="仿宋_GB2312" w:cs="仿宋_GB2312"/>
          <w:color w:val="auto"/>
          <w:u w:val="single"/>
        </w:rPr>
        <w:t xml:space="preserve">                          </w:t>
      </w:r>
    </w:p>
    <w:p w14:paraId="196172E8">
      <w:pPr>
        <w:snapToGrid w:val="0"/>
        <w:spacing w:line="480" w:lineRule="auto"/>
        <w:rPr>
          <w:rFonts w:hint="eastAsia" w:ascii="宋体" w:hAnsi="宋体" w:cs="宋体"/>
          <w:color w:val="auto"/>
          <w:sz w:val="24"/>
        </w:rPr>
      </w:pPr>
      <w:r>
        <w:rPr>
          <w:rFonts w:hint="eastAsia" w:ascii="宋体" w:hAnsi="宋体" w:cs="宋体"/>
          <w:color w:val="auto"/>
          <w:sz w:val="24"/>
        </w:rPr>
        <w:t>法定代表人（或非法人组织负责人）</w:t>
      </w:r>
    </w:p>
    <w:p w14:paraId="6A413195">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或其授权委托人(签字或盖章)：</w:t>
      </w:r>
      <w:r>
        <w:rPr>
          <w:rFonts w:hint="eastAsia" w:ascii="仿宋_GB2312" w:hAnsi="仿宋_GB2312" w:eastAsia="仿宋_GB2312" w:cs="仿宋_GB2312"/>
          <w:color w:val="auto"/>
          <w:u w:val="single"/>
        </w:rPr>
        <w:t xml:space="preserve">                         </w:t>
      </w:r>
    </w:p>
    <w:p w14:paraId="2DA20597">
      <w:pPr>
        <w:autoSpaceDE w:val="0"/>
        <w:autoSpaceDN w:val="0"/>
        <w:adjustRightInd w:val="0"/>
        <w:spacing w:line="360" w:lineRule="auto"/>
        <w:jc w:val="left"/>
        <w:rPr>
          <w:rFonts w:hint="eastAsia" w:ascii="宋体" w:hAnsi="宋体" w:cs="宋体"/>
          <w:bCs/>
          <w:color w:val="auto"/>
          <w:sz w:val="24"/>
        </w:rPr>
      </w:pPr>
      <w:r>
        <w:rPr>
          <w:rFonts w:hint="eastAsia" w:ascii="宋体" w:hAnsi="宋体" w:cs="宋体"/>
          <w:color w:val="auto"/>
          <w:sz w:val="24"/>
        </w:rPr>
        <w:t>日           期：</w:t>
      </w:r>
      <w:r>
        <w:rPr>
          <w:rFonts w:hint="eastAsia" w:ascii="仿宋_GB2312" w:hAnsi="仿宋_GB2312" w:eastAsia="仿宋_GB2312" w:cs="仿宋_GB2312"/>
          <w:color w:val="auto"/>
          <w:u w:val="single"/>
        </w:rPr>
        <w:t xml:space="preserve">                                      </w:t>
      </w:r>
    </w:p>
    <w:p w14:paraId="684A4032">
      <w:pPr>
        <w:jc w:val="center"/>
        <w:rPr>
          <w:rFonts w:hint="eastAsia"/>
          <w:color w:val="auto"/>
          <w:highlight w:val="none"/>
        </w:rPr>
      </w:pPr>
      <w:r>
        <w:rPr>
          <w:rFonts w:hint="eastAsia"/>
          <w:color w:val="auto"/>
        </w:rPr>
        <w:br w:type="page"/>
      </w:r>
      <w:bookmarkStart w:id="271" w:name="_Toc3991_WPSOffice_Level1"/>
      <w:bookmarkStart w:id="272" w:name="_Toc25089"/>
      <w:bookmarkStart w:id="273" w:name="_Toc17028_WPSOffice_Level1"/>
      <w:bookmarkStart w:id="274" w:name="_Toc27018_WPSOffice_Level1"/>
    </w:p>
    <w:p w14:paraId="66963ACE">
      <w:pPr>
        <w:pStyle w:val="5"/>
        <w:jc w:val="center"/>
        <w:rPr>
          <w:color w:val="auto"/>
        </w:rPr>
      </w:pPr>
      <w:r>
        <w:rPr>
          <w:rFonts w:hint="eastAsia"/>
          <w:color w:val="auto"/>
        </w:rPr>
        <w:t>二、报价文件</w:t>
      </w:r>
      <w:bookmarkEnd w:id="271"/>
      <w:bookmarkEnd w:id="272"/>
    </w:p>
    <w:p w14:paraId="16049C41">
      <w:pPr>
        <w:pStyle w:val="6"/>
        <w:spacing w:before="0" w:after="0" w:line="360" w:lineRule="auto"/>
        <w:jc w:val="center"/>
        <w:rPr>
          <w:b w:val="0"/>
          <w:bCs w:val="0"/>
          <w:color w:val="auto"/>
          <w:sz w:val="24"/>
          <w:szCs w:val="24"/>
        </w:rPr>
      </w:pPr>
      <w:r>
        <w:rPr>
          <w:rFonts w:hint="eastAsia"/>
          <w:color w:val="auto"/>
        </w:rPr>
        <w:t>1.1报价一览表</w:t>
      </w:r>
    </w:p>
    <w:p w14:paraId="788FA8D6">
      <w:pPr>
        <w:rPr>
          <w:color w:val="auto"/>
          <w:sz w:val="24"/>
        </w:rPr>
      </w:pPr>
    </w:p>
    <w:p w14:paraId="1C01C24C">
      <w:pPr>
        <w:rPr>
          <w:color w:val="auto"/>
          <w:sz w:val="24"/>
          <w:u w:val="single"/>
        </w:rPr>
      </w:pPr>
      <w:r>
        <w:rPr>
          <w:rFonts w:hint="eastAsia"/>
          <w:color w:val="auto"/>
          <w:sz w:val="24"/>
        </w:rPr>
        <w:t>项目名称：</w:t>
      </w:r>
      <w:r>
        <w:rPr>
          <w:rFonts w:hint="eastAsia"/>
          <w:color w:val="auto"/>
          <w:sz w:val="24"/>
          <w:u w:val="single"/>
        </w:rPr>
        <w:t xml:space="preserve">               </w:t>
      </w:r>
      <w:r>
        <w:rPr>
          <w:rFonts w:hint="eastAsia"/>
          <w:color w:val="auto"/>
          <w:sz w:val="24"/>
        </w:rPr>
        <w:t xml:space="preserve">  项目编号：</w:t>
      </w:r>
      <w:r>
        <w:rPr>
          <w:rFonts w:hint="eastAsia"/>
          <w:color w:val="auto"/>
          <w:sz w:val="24"/>
          <w:u w:val="single"/>
        </w:rPr>
        <w:t xml:space="preserve">               </w:t>
      </w:r>
    </w:p>
    <w:tbl>
      <w:tblPr>
        <w:tblStyle w:val="33"/>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1"/>
        <w:gridCol w:w="6418"/>
      </w:tblGrid>
      <w:tr w14:paraId="7FB6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exact"/>
          <w:jc w:val="center"/>
        </w:trPr>
        <w:tc>
          <w:tcPr>
            <w:tcW w:w="2241" w:type="dxa"/>
            <w:vAlign w:val="center"/>
          </w:tcPr>
          <w:p w14:paraId="17D522EB">
            <w:pPr>
              <w:keepNext w:val="0"/>
              <w:keepLines w:val="0"/>
              <w:suppressLineNumbers w:val="0"/>
              <w:spacing w:before="0" w:beforeAutospacing="0" w:after="0" w:afterAutospacing="0" w:line="300" w:lineRule="auto"/>
              <w:ind w:left="0" w:right="-63" w:rightChars="-3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供应商名称</w:t>
            </w:r>
          </w:p>
        </w:tc>
        <w:tc>
          <w:tcPr>
            <w:tcW w:w="6418" w:type="dxa"/>
            <w:vAlign w:val="center"/>
          </w:tcPr>
          <w:p w14:paraId="2D2943DD">
            <w:pPr>
              <w:keepNext w:val="0"/>
              <w:keepLines w:val="0"/>
              <w:suppressLineNumbers w:val="0"/>
              <w:spacing w:before="0" w:beforeAutospacing="0" w:after="0" w:afterAutospacing="0" w:line="300" w:lineRule="auto"/>
              <w:ind w:left="0" w:right="-63" w:rightChars="-30"/>
              <w:jc w:val="center"/>
              <w:rPr>
                <w:rFonts w:hint="eastAsia" w:asciiTheme="minorEastAsia" w:hAnsiTheme="minorEastAsia" w:eastAsiaTheme="minorEastAsia" w:cstheme="minorEastAsia"/>
                <w:bCs/>
                <w:color w:val="auto"/>
                <w:sz w:val="24"/>
              </w:rPr>
            </w:pPr>
          </w:p>
        </w:tc>
      </w:tr>
      <w:tr w14:paraId="0A9F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1" w:hRule="atLeast"/>
          <w:jc w:val="center"/>
        </w:trPr>
        <w:tc>
          <w:tcPr>
            <w:tcW w:w="2241" w:type="dxa"/>
            <w:vAlign w:val="center"/>
          </w:tcPr>
          <w:p w14:paraId="68416288">
            <w:pPr>
              <w:pStyle w:val="15"/>
              <w:keepNext w:val="0"/>
              <w:keepLines w:val="0"/>
              <w:suppressLineNumbers w:val="0"/>
              <w:spacing w:before="0" w:beforeAutospacing="0" w:after="0" w:afterAutospacing="0" w:line="300" w:lineRule="auto"/>
              <w:ind w:left="0" w:right="0"/>
              <w:jc w:val="center"/>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磋商总报价（元）</w:t>
            </w:r>
          </w:p>
        </w:tc>
        <w:tc>
          <w:tcPr>
            <w:tcW w:w="6418" w:type="dxa"/>
            <w:vAlign w:val="center"/>
          </w:tcPr>
          <w:p w14:paraId="41483E37">
            <w:pPr>
              <w:pStyle w:val="8"/>
              <w:keepNext w:val="0"/>
              <w:keepLines w:val="0"/>
              <w:suppressLineNumbers w:val="0"/>
              <w:spacing w:before="0" w:beforeAutospacing="0" w:after="0" w:afterAutospacing="0" w:line="300" w:lineRule="auto"/>
              <w:ind w:left="0" w:right="0" w:firstLine="0" w:firstLineChars="0"/>
              <w:jc w:val="center"/>
              <w:rPr>
                <w:rFonts w:hint="default"/>
                <w:color w:val="auto"/>
              </w:rPr>
            </w:pPr>
          </w:p>
        </w:tc>
      </w:tr>
      <w:tr w14:paraId="74F0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atLeast"/>
          <w:jc w:val="center"/>
        </w:trPr>
        <w:tc>
          <w:tcPr>
            <w:tcW w:w="2241" w:type="dxa"/>
            <w:vAlign w:val="center"/>
          </w:tcPr>
          <w:p w14:paraId="7C4EF0B6">
            <w:pPr>
              <w:pStyle w:val="15"/>
              <w:keepNext w:val="0"/>
              <w:keepLines w:val="0"/>
              <w:suppressLineNumbers w:val="0"/>
              <w:spacing w:before="0" w:beforeAutospacing="0" w:after="0" w:afterAutospacing="0" w:line="300" w:lineRule="auto"/>
              <w:ind w:left="0" w:right="0"/>
              <w:jc w:val="center"/>
              <w:rPr>
                <w:rFonts w:hint="eastAsia"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b/>
                <w:color w:val="auto"/>
                <w:lang w:val="en-US" w:eastAsia="zh-CN"/>
              </w:rPr>
              <w:t>合同履约期限</w:t>
            </w:r>
          </w:p>
        </w:tc>
        <w:tc>
          <w:tcPr>
            <w:tcW w:w="6418" w:type="dxa"/>
            <w:vAlign w:val="center"/>
          </w:tcPr>
          <w:p w14:paraId="47E6F9AA">
            <w:pPr>
              <w:pStyle w:val="8"/>
              <w:keepNext w:val="0"/>
              <w:keepLines w:val="0"/>
              <w:suppressLineNumbers w:val="0"/>
              <w:spacing w:before="0" w:beforeAutospacing="0" w:after="0" w:afterAutospacing="0" w:line="300" w:lineRule="auto"/>
              <w:ind w:left="0" w:right="0" w:firstLine="0" w:firstLineChars="0"/>
              <w:jc w:val="center"/>
              <w:rPr>
                <w:rFonts w:hint="eastAsia" w:asciiTheme="minorEastAsia" w:hAnsiTheme="minorEastAsia" w:eastAsiaTheme="minorEastAsia" w:cstheme="minorEastAsia"/>
                <w:bCs/>
                <w:color w:val="auto"/>
                <w:sz w:val="24"/>
              </w:rPr>
            </w:pPr>
          </w:p>
        </w:tc>
      </w:tr>
      <w:tr w14:paraId="1A5E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2241" w:type="dxa"/>
            <w:vAlign w:val="center"/>
          </w:tcPr>
          <w:p w14:paraId="14AC5661">
            <w:pPr>
              <w:pStyle w:val="15"/>
              <w:keepNext w:val="0"/>
              <w:keepLines w:val="0"/>
              <w:suppressLineNumbers w:val="0"/>
              <w:spacing w:before="0" w:beforeAutospacing="0" w:after="0" w:afterAutospacing="0" w:line="300" w:lineRule="auto"/>
              <w:ind w:left="0" w:right="0"/>
              <w:jc w:val="center"/>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备注</w:t>
            </w:r>
          </w:p>
        </w:tc>
        <w:tc>
          <w:tcPr>
            <w:tcW w:w="6418" w:type="dxa"/>
            <w:vAlign w:val="center"/>
          </w:tcPr>
          <w:p w14:paraId="2DECEF54">
            <w:pPr>
              <w:pStyle w:val="8"/>
              <w:keepNext w:val="0"/>
              <w:keepLines w:val="0"/>
              <w:suppressLineNumbers w:val="0"/>
              <w:spacing w:before="0" w:beforeAutospacing="0" w:after="0" w:afterAutospacing="0" w:line="300" w:lineRule="auto"/>
              <w:ind w:left="0" w:right="0" w:firstLine="0" w:firstLineChars="0"/>
              <w:jc w:val="center"/>
              <w:rPr>
                <w:rFonts w:hint="eastAsia" w:asciiTheme="minorEastAsia" w:hAnsiTheme="minorEastAsia" w:eastAsiaTheme="minorEastAsia" w:cstheme="minorEastAsia"/>
                <w:bCs/>
                <w:color w:val="auto"/>
                <w:sz w:val="24"/>
              </w:rPr>
            </w:pPr>
          </w:p>
        </w:tc>
      </w:tr>
    </w:tbl>
    <w:p w14:paraId="1B823DC5">
      <w:pPr>
        <w:spacing w:line="360" w:lineRule="auto"/>
        <w:ind w:firstLine="480" w:firstLineChars="200"/>
        <w:rPr>
          <w:rFonts w:hint="eastAsia" w:ascii="宋体" w:hAnsi="宋体" w:cs="宋体"/>
          <w:color w:val="auto"/>
          <w:sz w:val="24"/>
        </w:rPr>
      </w:pPr>
      <w:r>
        <w:rPr>
          <w:rFonts w:hint="eastAsia" w:ascii="宋体" w:hAnsi="宋体" w:cs="宋体"/>
          <w:color w:val="auto"/>
          <w:sz w:val="24"/>
        </w:rPr>
        <w:t>注：1、磋商总报价应为各分项报价之和。</w:t>
      </w:r>
    </w:p>
    <w:p w14:paraId="3D2A1DC9">
      <w:pPr>
        <w:spacing w:line="360" w:lineRule="auto"/>
        <w:ind w:firstLine="480" w:firstLineChars="200"/>
        <w:rPr>
          <w:rFonts w:hint="eastAsia" w:ascii="宋体" w:hAnsi="宋体" w:cs="宋体"/>
          <w:color w:val="auto"/>
          <w:sz w:val="24"/>
        </w:rPr>
      </w:pPr>
      <w:r>
        <w:rPr>
          <w:rFonts w:hint="eastAsia" w:ascii="宋体" w:hAnsi="宋体" w:cs="宋体"/>
          <w:color w:val="auto"/>
          <w:sz w:val="24"/>
        </w:rPr>
        <w:t>2、供应商必须自行考虑本项目在实施期间的一切可能产生的费用。在合同执行过程中，采购人将不再另行支付与本项目相关的任何费用（非本项目要求的其它内容除外）。</w:t>
      </w:r>
    </w:p>
    <w:p w14:paraId="6421DAAA">
      <w:pPr>
        <w:spacing w:line="360" w:lineRule="auto"/>
        <w:ind w:firstLine="480" w:firstLineChars="200"/>
        <w:rPr>
          <w:rFonts w:hint="eastAsia" w:ascii="宋体" w:hAnsi="宋体" w:cs="宋体"/>
          <w:color w:val="auto"/>
          <w:sz w:val="24"/>
        </w:rPr>
      </w:pPr>
      <w:r>
        <w:rPr>
          <w:rFonts w:hint="eastAsia" w:ascii="宋体" w:hAnsi="宋体" w:cs="宋体"/>
          <w:color w:val="auto"/>
          <w:sz w:val="24"/>
        </w:rPr>
        <w:t>3、报价表述限于中文大写或阿拉伯数字小写，均已核定准确无误，若磋商总报价大小写不一致，以大写金额为准。</w:t>
      </w:r>
    </w:p>
    <w:p w14:paraId="3ED9040F">
      <w:pPr>
        <w:pStyle w:val="41"/>
        <w:rPr>
          <w:color w:val="auto"/>
        </w:rPr>
      </w:pPr>
    </w:p>
    <w:p w14:paraId="586B3127">
      <w:pPr>
        <w:rPr>
          <w:color w:val="auto"/>
        </w:rPr>
      </w:pPr>
    </w:p>
    <w:p w14:paraId="53EF5CD6">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供应商名称（单位公章）：</w:t>
      </w:r>
      <w:r>
        <w:rPr>
          <w:rFonts w:hint="eastAsia" w:ascii="仿宋_GB2312" w:hAnsi="仿宋_GB2312" w:eastAsia="仿宋_GB2312" w:cs="仿宋_GB2312"/>
          <w:color w:val="auto"/>
          <w:u w:val="single"/>
        </w:rPr>
        <w:t xml:space="preserve">                          </w:t>
      </w:r>
    </w:p>
    <w:p w14:paraId="32253D24">
      <w:pPr>
        <w:snapToGrid w:val="0"/>
        <w:spacing w:line="480" w:lineRule="auto"/>
        <w:rPr>
          <w:rFonts w:hint="eastAsia" w:ascii="宋体" w:hAnsi="宋体" w:cs="宋体"/>
          <w:color w:val="auto"/>
          <w:sz w:val="24"/>
        </w:rPr>
      </w:pPr>
      <w:r>
        <w:rPr>
          <w:rFonts w:hint="eastAsia" w:ascii="宋体" w:hAnsi="宋体" w:cs="宋体"/>
          <w:color w:val="auto"/>
          <w:sz w:val="24"/>
        </w:rPr>
        <w:t>法定代表人（或非法人组织负责人）</w:t>
      </w:r>
    </w:p>
    <w:p w14:paraId="26A646E7">
      <w:pPr>
        <w:snapToGrid w:val="0"/>
        <w:spacing w:line="480" w:lineRule="auto"/>
        <w:rPr>
          <w:rFonts w:hint="eastAsia" w:ascii="仿宋_GB2312" w:hAnsi="仿宋_GB2312" w:eastAsia="仿宋_GB2312" w:cs="仿宋_GB2312"/>
          <w:color w:val="auto"/>
        </w:rPr>
      </w:pPr>
      <w:r>
        <w:rPr>
          <w:rFonts w:hint="eastAsia" w:ascii="宋体" w:hAnsi="宋体" w:cs="宋体"/>
          <w:color w:val="auto"/>
          <w:sz w:val="24"/>
        </w:rPr>
        <w:t>或其授权委托人(签字或盖章)：</w:t>
      </w:r>
      <w:r>
        <w:rPr>
          <w:rFonts w:hint="eastAsia" w:ascii="仿宋_GB2312" w:hAnsi="仿宋_GB2312" w:eastAsia="仿宋_GB2312" w:cs="仿宋_GB2312"/>
          <w:color w:val="auto"/>
          <w:u w:val="single"/>
        </w:rPr>
        <w:t xml:space="preserve">                         </w:t>
      </w:r>
    </w:p>
    <w:p w14:paraId="7F2037A6">
      <w:pPr>
        <w:adjustRightInd w:val="0"/>
        <w:snapToGrid w:val="0"/>
        <w:spacing w:line="360" w:lineRule="auto"/>
        <w:ind w:right="105" w:rightChars="50"/>
        <w:jc w:val="left"/>
        <w:rPr>
          <w:rFonts w:hint="eastAsia" w:ascii="仿宋_GB2312" w:hAnsi="仿宋_GB2312" w:eastAsia="仿宋_GB2312" w:cs="仿宋_GB2312"/>
          <w:color w:val="auto"/>
          <w:u w:val="single"/>
        </w:rPr>
      </w:pPr>
      <w:r>
        <w:rPr>
          <w:rFonts w:hint="eastAsia" w:ascii="宋体" w:hAnsi="宋体" w:cs="宋体"/>
          <w:color w:val="auto"/>
          <w:sz w:val="24"/>
        </w:rPr>
        <w:t>日          期：</w:t>
      </w:r>
      <w:r>
        <w:rPr>
          <w:rFonts w:hint="eastAsia" w:ascii="仿宋_GB2312" w:hAnsi="仿宋_GB2312" w:eastAsia="仿宋_GB2312" w:cs="仿宋_GB2312"/>
          <w:color w:val="auto"/>
          <w:u w:val="single"/>
        </w:rPr>
        <w:t xml:space="preserve">                                      </w:t>
      </w:r>
    </w:p>
    <w:p w14:paraId="3D76A091">
      <w:pPr>
        <w:rPr>
          <w:color w:val="auto"/>
          <w:sz w:val="24"/>
        </w:rPr>
      </w:pPr>
      <w:r>
        <w:rPr>
          <w:rFonts w:hint="eastAsia"/>
          <w:color w:val="auto"/>
          <w:sz w:val="24"/>
        </w:rPr>
        <w:br w:type="page"/>
      </w:r>
    </w:p>
    <w:p w14:paraId="27BD45E5">
      <w:pPr>
        <w:pStyle w:val="41"/>
        <w:jc w:val="center"/>
        <w:rPr>
          <w:rFonts w:hint="eastAsia" w:ascii="Times New Roman" w:hAnsi="Times New Roman"/>
          <w:b/>
          <w:bCs/>
          <w:color w:val="auto"/>
          <w:sz w:val="28"/>
          <w:szCs w:val="28"/>
        </w:rPr>
      </w:pPr>
      <w:r>
        <w:rPr>
          <w:rFonts w:hint="eastAsia" w:ascii="Times New Roman" w:hAnsi="Times New Roman"/>
          <w:b/>
          <w:bCs/>
          <w:color w:val="auto"/>
          <w:sz w:val="28"/>
          <w:szCs w:val="28"/>
        </w:rPr>
        <w:t>1.2分项报价明细表</w:t>
      </w:r>
    </w:p>
    <w:p w14:paraId="28D19FAC">
      <w:pPr>
        <w:jc w:val="center"/>
        <w:rPr>
          <w:rFonts w:hint="eastAsia" w:eastAsia="宋体"/>
          <w:color w:val="auto"/>
          <w:sz w:val="24"/>
          <w:szCs w:val="24"/>
          <w:lang w:eastAsia="zh-CN"/>
        </w:rPr>
      </w:pPr>
      <w:r>
        <w:rPr>
          <w:rFonts w:hint="eastAsia"/>
          <w:b/>
          <w:bCs/>
          <w:color w:val="auto"/>
          <w:sz w:val="24"/>
          <w:szCs w:val="24"/>
          <w:lang w:eastAsia="zh-CN"/>
        </w:rPr>
        <w:t>（</w:t>
      </w:r>
      <w:r>
        <w:rPr>
          <w:rFonts w:hint="eastAsia"/>
          <w:b/>
          <w:bCs/>
          <w:color w:val="auto"/>
          <w:sz w:val="24"/>
          <w:szCs w:val="24"/>
          <w:lang w:val="en-US" w:eastAsia="zh-CN"/>
        </w:rPr>
        <w:t>格式自拟</w:t>
      </w:r>
      <w:r>
        <w:rPr>
          <w:rFonts w:hint="eastAsia"/>
          <w:b/>
          <w:bCs/>
          <w:color w:val="auto"/>
          <w:sz w:val="24"/>
          <w:szCs w:val="24"/>
          <w:lang w:eastAsia="zh-CN"/>
        </w:rPr>
        <w:t>）</w:t>
      </w:r>
    </w:p>
    <w:p w14:paraId="7E97B2D8">
      <w:pPr>
        <w:spacing w:line="360" w:lineRule="auto"/>
        <w:ind w:firstLine="480" w:firstLineChars="200"/>
        <w:rPr>
          <w:rFonts w:hint="eastAsia" w:ascii="宋体" w:hAnsi="宋体" w:cs="宋体"/>
          <w:color w:val="auto"/>
          <w:sz w:val="24"/>
        </w:rPr>
      </w:pPr>
      <w:r>
        <w:rPr>
          <w:rFonts w:hint="eastAsia" w:ascii="宋体" w:hAnsi="宋体" w:cs="宋体"/>
          <w:color w:val="auto"/>
          <w:sz w:val="24"/>
        </w:rPr>
        <w:t>注：1、</w:t>
      </w:r>
      <w:r>
        <w:rPr>
          <w:rFonts w:hint="eastAsia" w:ascii="宋体" w:hAnsi="宋体" w:cs="宋体"/>
          <w:color w:val="auto"/>
          <w:sz w:val="24"/>
          <w:lang w:val="en-US" w:eastAsia="zh-CN"/>
        </w:rPr>
        <w:t>明细报价</w:t>
      </w:r>
      <w:r>
        <w:rPr>
          <w:rFonts w:hint="eastAsia" w:ascii="宋体" w:hAnsi="宋体" w:cs="宋体"/>
          <w:color w:val="auto"/>
          <w:sz w:val="24"/>
        </w:rPr>
        <w:t>内容必须与实施方案中所介绍的内容相符。</w:t>
      </w:r>
    </w:p>
    <w:p w14:paraId="1E0DFD2B">
      <w:pPr>
        <w:spacing w:line="360" w:lineRule="auto"/>
        <w:ind w:firstLine="960" w:firstLineChars="400"/>
        <w:rPr>
          <w:rFonts w:hint="eastAsia" w:ascii="宋体" w:hAnsi="宋体" w:cs="宋体"/>
          <w:color w:val="auto"/>
          <w:sz w:val="24"/>
        </w:rPr>
      </w:pPr>
      <w:r>
        <w:rPr>
          <w:rFonts w:hint="eastAsia" w:ascii="宋体" w:hAnsi="宋体" w:cs="宋体"/>
          <w:color w:val="auto"/>
          <w:sz w:val="24"/>
        </w:rPr>
        <w:t>2、详细服务量报价清单费用总计须与报价一览表中磋商总报价一致，若不一致，以磋商报价一览表中磋商总报价为准。</w:t>
      </w:r>
    </w:p>
    <w:p w14:paraId="1A15754B">
      <w:pPr>
        <w:rPr>
          <w:color w:val="auto"/>
        </w:rPr>
      </w:pPr>
    </w:p>
    <w:p w14:paraId="1121DBA1">
      <w:pPr>
        <w:rPr>
          <w:color w:val="auto"/>
          <w:sz w:val="24"/>
        </w:rPr>
      </w:pPr>
      <w:r>
        <w:rPr>
          <w:rFonts w:hint="eastAsia"/>
          <w:color w:val="auto"/>
          <w:sz w:val="24"/>
        </w:rPr>
        <w:br w:type="page"/>
      </w:r>
    </w:p>
    <w:p w14:paraId="2F6F326C">
      <w:pPr>
        <w:spacing w:line="460" w:lineRule="exact"/>
        <w:rPr>
          <w:rFonts w:hint="eastAsia" w:ascii="宋体" w:hAnsi="宋体" w:cs="宋体"/>
          <w:b/>
          <w:bCs/>
          <w:color w:val="auto"/>
          <w:sz w:val="24"/>
        </w:rPr>
      </w:pPr>
      <w:bookmarkStart w:id="275" w:name="_Toc17410_WPSOffice_Level1"/>
      <w:r>
        <w:rPr>
          <w:rFonts w:hint="eastAsia" w:ascii="宋体" w:hAnsi="宋体" w:cs="宋体"/>
          <w:b/>
          <w:bCs/>
          <w:color w:val="auto"/>
          <w:sz w:val="32"/>
          <w:szCs w:val="32"/>
        </w:rPr>
        <w:t>三、商务、技术文件</w:t>
      </w:r>
      <w:bookmarkEnd w:id="273"/>
      <w:bookmarkEnd w:id="274"/>
      <w:bookmarkEnd w:id="275"/>
    </w:p>
    <w:p w14:paraId="11E5CDBB">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1、投标函</w:t>
      </w:r>
      <w:bookmarkEnd w:id="266"/>
    </w:p>
    <w:p w14:paraId="3A88C5D0">
      <w:pPr>
        <w:adjustRightInd w:val="0"/>
        <w:snapToGrid w:val="0"/>
        <w:spacing w:line="360" w:lineRule="auto"/>
        <w:ind w:right="630" w:rightChars="300"/>
        <w:rPr>
          <w:rFonts w:hint="eastAsia" w:ascii="宋体" w:hAnsi="宋体" w:cs="宋体"/>
          <w:color w:val="auto"/>
          <w:szCs w:val="21"/>
        </w:rPr>
      </w:pPr>
      <w:r>
        <w:rPr>
          <w:rFonts w:hint="eastAsia" w:ascii="宋体" w:hAnsi="宋体" w:cs="宋体"/>
          <w:color w:val="auto"/>
          <w:szCs w:val="21"/>
        </w:rPr>
        <w:t xml:space="preserve">  </w:t>
      </w:r>
    </w:p>
    <w:p w14:paraId="23448282">
      <w:pPr>
        <w:spacing w:line="360" w:lineRule="auto"/>
        <w:rPr>
          <w:rFonts w:hint="eastAsia" w:ascii="宋体" w:hAnsi="宋体" w:cs="宋体"/>
          <w:color w:val="auto"/>
          <w:sz w:val="24"/>
          <w:u w:val="single"/>
        </w:rPr>
      </w:pPr>
      <w:bookmarkStart w:id="276" w:name="_Toc32380_WPSOffice_Level1"/>
      <w:bookmarkStart w:id="277" w:name="_Toc14185_WPSOffice_Level1"/>
      <w:bookmarkStart w:id="278" w:name="_Toc32535_WPSOffice_Level1"/>
      <w:r>
        <w:rPr>
          <w:rFonts w:hint="eastAsia" w:ascii="宋体" w:hAnsi="宋体" w:cs="宋体"/>
          <w:color w:val="auto"/>
          <w:sz w:val="24"/>
        </w:rPr>
        <w:t>致：</w:t>
      </w:r>
      <w:r>
        <w:rPr>
          <w:rFonts w:hint="eastAsia" w:ascii="宋体" w:hAnsi="宋体" w:cs="宋体"/>
          <w:color w:val="auto"/>
          <w:sz w:val="24"/>
          <w:u w:val="single"/>
        </w:rPr>
        <w:t xml:space="preserve">     （采购人名称）</w:t>
      </w:r>
    </w:p>
    <w:p w14:paraId="18A4BB0B">
      <w:pPr>
        <w:spacing w:line="360" w:lineRule="auto"/>
        <w:ind w:firstLine="437"/>
        <w:rPr>
          <w:rFonts w:hint="eastAsia" w:ascii="宋体" w:hAnsi="宋体" w:cs="宋体"/>
          <w:color w:val="auto"/>
          <w:sz w:val="24"/>
        </w:rPr>
      </w:pPr>
      <w:r>
        <w:rPr>
          <w:rFonts w:hint="eastAsia" w:ascii="宋体" w:hAnsi="宋体" w:cs="宋体"/>
          <w:color w:val="auto"/>
          <w:sz w:val="24"/>
        </w:rPr>
        <w:t>依据贵方</w:t>
      </w:r>
      <w:r>
        <w:rPr>
          <w:rFonts w:hint="eastAsia" w:ascii="宋体" w:hAnsi="宋体" w:cs="宋体"/>
          <w:color w:val="auto"/>
          <w:sz w:val="24"/>
          <w:u w:val="single"/>
        </w:rPr>
        <w:t xml:space="preserve">       （项目名称、项目编号)</w:t>
      </w:r>
      <w:r>
        <w:rPr>
          <w:rFonts w:hint="eastAsia" w:ascii="宋体" w:hAnsi="宋体" w:cs="宋体"/>
          <w:color w:val="auto"/>
          <w:sz w:val="24"/>
        </w:rPr>
        <w:t>项目的磋商公告，我方代表</w:t>
      </w:r>
      <w:r>
        <w:rPr>
          <w:rFonts w:hint="eastAsia" w:ascii="宋体" w:hAnsi="宋体" w:cs="宋体"/>
          <w:color w:val="auto"/>
          <w:sz w:val="24"/>
          <w:u w:val="single"/>
        </w:rPr>
        <w:t xml:space="preserve">     （姓名、职</w:t>
      </w:r>
      <w:r>
        <w:rPr>
          <w:rFonts w:hint="eastAsia" w:ascii="宋体" w:hAnsi="宋体" w:cs="宋体"/>
          <w:color w:val="auto"/>
          <w:sz w:val="24"/>
        </w:rPr>
        <w:t>务）经正式授权并代表</w:t>
      </w:r>
      <w:r>
        <w:rPr>
          <w:rFonts w:hint="eastAsia" w:ascii="宋体" w:hAnsi="宋体" w:cs="宋体"/>
          <w:color w:val="auto"/>
          <w:sz w:val="24"/>
          <w:u w:val="single"/>
        </w:rPr>
        <w:t xml:space="preserve">    （供应商名称、地址）</w:t>
      </w:r>
      <w:r>
        <w:rPr>
          <w:rFonts w:hint="eastAsia" w:ascii="宋体" w:hAnsi="宋体" w:cs="宋体"/>
          <w:color w:val="auto"/>
          <w:sz w:val="24"/>
        </w:rPr>
        <w:t>提交下述文件。</w:t>
      </w:r>
    </w:p>
    <w:p w14:paraId="49D94A2A">
      <w:pPr>
        <w:spacing w:line="360" w:lineRule="auto"/>
        <w:ind w:firstLine="437"/>
        <w:rPr>
          <w:rFonts w:hint="eastAsia" w:ascii="宋体" w:hAnsi="宋体" w:cs="宋体"/>
          <w:b/>
          <w:bCs/>
          <w:color w:val="auto"/>
          <w:sz w:val="24"/>
        </w:rPr>
      </w:pPr>
      <w:r>
        <w:rPr>
          <w:rFonts w:hint="eastAsia" w:ascii="宋体" w:hAnsi="宋体" w:cs="宋体"/>
          <w:b/>
          <w:bCs/>
          <w:color w:val="auto"/>
          <w:sz w:val="24"/>
        </w:rPr>
        <w:t>1）资格性文件</w:t>
      </w:r>
    </w:p>
    <w:p w14:paraId="11988328">
      <w:pPr>
        <w:spacing w:line="360" w:lineRule="auto"/>
        <w:ind w:firstLine="437"/>
        <w:rPr>
          <w:rFonts w:hint="eastAsia" w:ascii="宋体" w:hAnsi="宋体" w:cs="宋体"/>
          <w:b/>
          <w:bCs/>
          <w:color w:val="auto"/>
          <w:sz w:val="24"/>
        </w:rPr>
      </w:pPr>
      <w:r>
        <w:rPr>
          <w:rFonts w:hint="eastAsia" w:ascii="宋体" w:hAnsi="宋体" w:cs="宋体"/>
          <w:b/>
          <w:bCs/>
          <w:color w:val="auto"/>
          <w:sz w:val="24"/>
        </w:rPr>
        <w:t>2）商务技术文件</w:t>
      </w:r>
    </w:p>
    <w:p w14:paraId="35B1FDFB">
      <w:pPr>
        <w:spacing w:line="360" w:lineRule="auto"/>
        <w:ind w:firstLine="437"/>
        <w:rPr>
          <w:rFonts w:hint="eastAsia" w:ascii="宋体" w:hAnsi="宋体" w:cs="宋体"/>
          <w:b/>
          <w:bCs/>
          <w:color w:val="auto"/>
          <w:sz w:val="24"/>
        </w:rPr>
      </w:pPr>
      <w:r>
        <w:rPr>
          <w:rFonts w:hint="eastAsia" w:ascii="宋体" w:hAnsi="宋体" w:cs="宋体"/>
          <w:b/>
          <w:bCs/>
          <w:color w:val="auto"/>
          <w:sz w:val="24"/>
        </w:rPr>
        <w:t>3）报价文件</w:t>
      </w:r>
    </w:p>
    <w:p w14:paraId="7DA6A16D">
      <w:pPr>
        <w:spacing w:line="360" w:lineRule="auto"/>
        <w:ind w:firstLine="437"/>
        <w:rPr>
          <w:rFonts w:hint="eastAsia" w:ascii="宋体" w:hAnsi="宋体" w:cs="宋体"/>
          <w:color w:val="auto"/>
          <w:sz w:val="24"/>
        </w:rPr>
      </w:pPr>
      <w:r>
        <w:rPr>
          <w:rFonts w:hint="eastAsia" w:ascii="宋体" w:hAnsi="宋体" w:cs="宋体"/>
          <w:color w:val="auto"/>
          <w:sz w:val="24"/>
        </w:rPr>
        <w:t>在此，我方声明如下：</w:t>
      </w:r>
    </w:p>
    <w:p w14:paraId="265BCF32">
      <w:pPr>
        <w:spacing w:line="360" w:lineRule="auto"/>
        <w:ind w:firstLine="437"/>
        <w:rPr>
          <w:rFonts w:hint="eastAsia" w:ascii="宋体" w:hAnsi="宋体" w:cs="宋体"/>
          <w:color w:val="auto"/>
          <w:sz w:val="24"/>
        </w:rPr>
      </w:pPr>
      <w:r>
        <w:rPr>
          <w:rFonts w:hint="eastAsia" w:ascii="宋体" w:hAnsi="宋体" w:cs="宋体"/>
          <w:color w:val="auto"/>
          <w:sz w:val="24"/>
        </w:rPr>
        <w:t>1.同意并接受竞争性磋商文件的各项要求，遵守竞争性磋商文件中的各项规定，按竞争性磋商文件的要求提供报价（详见报价文件）。</w:t>
      </w:r>
    </w:p>
    <w:p w14:paraId="7F211F64">
      <w:pPr>
        <w:spacing w:line="360" w:lineRule="auto"/>
        <w:ind w:firstLine="437"/>
        <w:rPr>
          <w:rFonts w:hint="eastAsia" w:ascii="宋体" w:hAnsi="宋体" w:cs="宋体"/>
          <w:color w:val="auto"/>
          <w:sz w:val="24"/>
        </w:rPr>
      </w:pPr>
      <w:r>
        <w:rPr>
          <w:rFonts w:hint="eastAsia" w:ascii="宋体" w:hAnsi="宋体" w:cs="宋体"/>
          <w:color w:val="auto"/>
          <w:sz w:val="24"/>
        </w:rPr>
        <w:t>2.本投标有效期为自递交投标响应文件截止之日起</w:t>
      </w:r>
      <w:r>
        <w:rPr>
          <w:rFonts w:hint="eastAsia" w:ascii="宋体" w:hAnsi="宋体" w:cs="宋体"/>
          <w:color w:val="auto"/>
          <w:sz w:val="24"/>
          <w:u w:val="single"/>
        </w:rPr>
        <w:t xml:space="preserve"> 90 </w:t>
      </w:r>
      <w:r>
        <w:rPr>
          <w:rFonts w:hint="eastAsia" w:ascii="宋体" w:hAnsi="宋体" w:cs="宋体"/>
          <w:color w:val="auto"/>
          <w:sz w:val="24"/>
        </w:rPr>
        <w:t>日历日。</w:t>
      </w:r>
    </w:p>
    <w:p w14:paraId="3AE74830">
      <w:pPr>
        <w:spacing w:line="360" w:lineRule="auto"/>
        <w:ind w:firstLine="437"/>
        <w:rPr>
          <w:rFonts w:hint="eastAsia" w:ascii="宋体" w:hAnsi="宋体" w:cs="宋体"/>
          <w:color w:val="auto"/>
          <w:sz w:val="24"/>
          <w:highlight w:val="none"/>
        </w:rPr>
      </w:pPr>
      <w:r>
        <w:rPr>
          <w:rFonts w:hint="eastAsia" w:ascii="宋体" w:hAnsi="宋体" w:cs="宋体"/>
          <w:color w:val="auto"/>
          <w:sz w:val="24"/>
        </w:rPr>
        <w:t>3.我方已经详细阅读全部竞争性磋商文件及其附件，包括澄清及参考文件(如果有的话)。我方已完全清晰理解竞争性磋商文件的要求，不存在任何含糊不清和误解之处，同意放弃对这些文件所提出的异议和</w:t>
      </w:r>
      <w:r>
        <w:rPr>
          <w:rFonts w:hint="eastAsia" w:ascii="宋体" w:hAnsi="宋体" w:cs="宋体"/>
          <w:color w:val="auto"/>
          <w:sz w:val="24"/>
          <w:highlight w:val="none"/>
        </w:rPr>
        <w:t>质疑的权利。</w:t>
      </w:r>
    </w:p>
    <w:p w14:paraId="47C4D69B">
      <w:pPr>
        <w:spacing w:line="360" w:lineRule="auto"/>
        <w:ind w:firstLine="437"/>
        <w:rPr>
          <w:rFonts w:hint="eastAsia" w:ascii="宋体" w:hAnsi="宋体" w:cs="宋体"/>
          <w:color w:val="auto"/>
          <w:sz w:val="24"/>
          <w:highlight w:val="none"/>
        </w:rPr>
      </w:pPr>
      <w:r>
        <w:rPr>
          <w:rFonts w:hint="eastAsia" w:ascii="宋体" w:hAnsi="宋体" w:cs="宋体"/>
          <w:color w:val="auto"/>
          <w:sz w:val="24"/>
          <w:highlight w:val="none"/>
        </w:rPr>
        <w:t>4.我方已毫无保留地向贵方提供一切所需的证明材料。</w:t>
      </w:r>
    </w:p>
    <w:p w14:paraId="1326F444">
      <w:pPr>
        <w:spacing w:line="360" w:lineRule="auto"/>
        <w:ind w:firstLine="437"/>
        <w:rPr>
          <w:rFonts w:hint="eastAsia" w:ascii="宋体" w:hAnsi="宋体" w:cs="宋体"/>
          <w:color w:val="auto"/>
          <w:sz w:val="24"/>
        </w:rPr>
      </w:pPr>
      <w:r>
        <w:rPr>
          <w:rFonts w:hint="eastAsia" w:ascii="宋体" w:hAnsi="宋体" w:cs="宋体"/>
          <w:color w:val="auto"/>
          <w:sz w:val="24"/>
          <w:highlight w:val="none"/>
        </w:rPr>
        <w:t>5.我方承诺在本次投标响应文件中提供的一切文件，无论是原件还是复印件均为真实和准确的，绝无任何虚假、伪造和夸大的成分，否则，</w:t>
      </w:r>
      <w:r>
        <w:rPr>
          <w:rFonts w:hint="eastAsia" w:ascii="宋体" w:hAnsi="宋体" w:cs="宋体"/>
          <w:color w:val="auto"/>
          <w:sz w:val="24"/>
        </w:rPr>
        <w:t>愿承担相应的后果和法律责任。</w:t>
      </w:r>
    </w:p>
    <w:p w14:paraId="2EE6DE55">
      <w:pPr>
        <w:spacing w:line="360" w:lineRule="auto"/>
        <w:ind w:firstLine="437"/>
        <w:rPr>
          <w:rFonts w:hint="eastAsia" w:ascii="宋体" w:hAnsi="宋体" w:cs="宋体"/>
          <w:color w:val="auto"/>
          <w:sz w:val="24"/>
        </w:rPr>
      </w:pPr>
      <w:r>
        <w:rPr>
          <w:rFonts w:hint="eastAsia" w:ascii="宋体" w:hAnsi="宋体" w:cs="宋体"/>
          <w:color w:val="auto"/>
          <w:sz w:val="24"/>
        </w:rPr>
        <w:t xml:space="preserve">6.我方完全服从和尊重评委会所作的评定结果，同时清楚理解到报价最低并非意味着必定获得中标资格。 </w:t>
      </w:r>
    </w:p>
    <w:p w14:paraId="495F4E00">
      <w:pPr>
        <w:spacing w:line="360" w:lineRule="auto"/>
        <w:ind w:firstLine="437"/>
        <w:rPr>
          <w:rFonts w:hint="eastAsia" w:ascii="宋体" w:hAnsi="宋体" w:cs="宋体"/>
          <w:color w:val="auto"/>
          <w:sz w:val="24"/>
        </w:rPr>
      </w:pPr>
      <w:r>
        <w:rPr>
          <w:rFonts w:hint="eastAsia" w:ascii="宋体" w:hAnsi="宋体" w:cs="宋体"/>
          <w:color w:val="auto"/>
          <w:sz w:val="24"/>
        </w:rPr>
        <w:t>7.我方同意按竞争性磋商文件规定向采购代理机构缴纳代理服务费。</w:t>
      </w:r>
    </w:p>
    <w:p w14:paraId="06A7437C">
      <w:pPr>
        <w:spacing w:line="360" w:lineRule="auto"/>
        <w:ind w:firstLine="437"/>
        <w:rPr>
          <w:rFonts w:hint="eastAsia" w:ascii="宋体" w:hAnsi="宋体" w:cs="宋体"/>
          <w:color w:val="auto"/>
          <w:sz w:val="24"/>
        </w:rPr>
      </w:pPr>
      <w:r>
        <w:rPr>
          <w:rFonts w:hint="eastAsia" w:ascii="宋体" w:hAnsi="宋体" w:cs="宋体"/>
          <w:color w:val="auto"/>
          <w:sz w:val="24"/>
        </w:rPr>
        <w:t>8.按照竞争性磋商文件的规定履行合同责任和义务。</w:t>
      </w:r>
    </w:p>
    <w:p w14:paraId="4ECEDBA7">
      <w:pPr>
        <w:spacing w:line="360" w:lineRule="auto"/>
        <w:ind w:firstLine="437"/>
        <w:rPr>
          <w:rFonts w:hint="eastAsia" w:ascii="宋体" w:hAnsi="宋体" w:cs="宋体"/>
          <w:color w:val="auto"/>
          <w:sz w:val="24"/>
        </w:rPr>
      </w:pPr>
      <w:r>
        <w:rPr>
          <w:rFonts w:hint="eastAsia" w:ascii="宋体" w:hAnsi="宋体" w:cs="宋体"/>
          <w:color w:val="auto"/>
          <w:sz w:val="24"/>
        </w:rPr>
        <w:t>9.我方承诺投标响应文件中的证明材料真实、合法、有效。</w:t>
      </w:r>
    </w:p>
    <w:p w14:paraId="6158F939">
      <w:pPr>
        <w:spacing w:line="360" w:lineRule="auto"/>
        <w:ind w:firstLine="437"/>
        <w:rPr>
          <w:rFonts w:hint="eastAsia" w:ascii="宋体" w:hAnsi="宋体" w:cs="宋体"/>
          <w:color w:val="auto"/>
          <w:sz w:val="24"/>
        </w:rPr>
      </w:pPr>
      <w:r>
        <w:rPr>
          <w:rFonts w:hint="eastAsia" w:ascii="宋体" w:hAnsi="宋体" w:cs="宋体"/>
          <w:color w:val="auto"/>
          <w:sz w:val="24"/>
        </w:rPr>
        <w:t>10.我方承诺我司满足《中华人民共和国政府采购法》第二十二条规定：</w:t>
      </w:r>
    </w:p>
    <w:p w14:paraId="0A809ACA">
      <w:pPr>
        <w:spacing w:line="360" w:lineRule="auto"/>
        <w:ind w:firstLine="437"/>
        <w:rPr>
          <w:rFonts w:hint="eastAsia" w:ascii="宋体" w:hAnsi="宋体" w:cs="宋体"/>
          <w:color w:val="auto"/>
          <w:sz w:val="24"/>
        </w:rPr>
      </w:pPr>
      <w:r>
        <w:rPr>
          <w:rFonts w:hint="eastAsia" w:ascii="宋体" w:hAnsi="宋体" w:cs="宋体"/>
          <w:color w:val="auto"/>
          <w:sz w:val="24"/>
        </w:rPr>
        <w:t>（1）具有独立承担民事责任的能力；</w:t>
      </w:r>
    </w:p>
    <w:p w14:paraId="4F344EE9">
      <w:pPr>
        <w:spacing w:line="360" w:lineRule="auto"/>
        <w:ind w:firstLine="437"/>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24900ADD">
      <w:pPr>
        <w:spacing w:line="360" w:lineRule="auto"/>
        <w:ind w:firstLine="437"/>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32DD56EF">
      <w:pPr>
        <w:spacing w:line="360" w:lineRule="auto"/>
        <w:ind w:firstLine="437"/>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10BB3402">
      <w:pPr>
        <w:spacing w:line="360" w:lineRule="auto"/>
        <w:ind w:firstLine="437"/>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28A84367">
      <w:pPr>
        <w:spacing w:line="360" w:lineRule="auto"/>
        <w:ind w:firstLine="437"/>
        <w:rPr>
          <w:rFonts w:hint="eastAsia" w:ascii="宋体" w:hAnsi="宋体" w:cs="宋体"/>
          <w:color w:val="auto"/>
          <w:sz w:val="24"/>
        </w:rPr>
      </w:pPr>
      <w:r>
        <w:rPr>
          <w:rFonts w:hint="eastAsia" w:ascii="宋体" w:hAnsi="宋体" w:cs="宋体"/>
          <w:color w:val="auto"/>
          <w:sz w:val="24"/>
        </w:rPr>
        <w:t>10.法律、行政法规规定的其他条件；</w:t>
      </w:r>
    </w:p>
    <w:p w14:paraId="7730F8D7">
      <w:pPr>
        <w:spacing w:line="360" w:lineRule="auto"/>
        <w:ind w:firstLine="437"/>
        <w:rPr>
          <w:rFonts w:hint="eastAsia" w:ascii="宋体" w:hAnsi="宋体" w:cs="宋体"/>
          <w:color w:val="auto"/>
          <w:sz w:val="24"/>
        </w:rPr>
      </w:pPr>
      <w:r>
        <w:rPr>
          <w:rFonts w:hint="eastAsia" w:ascii="宋体" w:hAnsi="宋体" w:cs="宋体"/>
          <w:color w:val="auto"/>
          <w:sz w:val="24"/>
        </w:rPr>
        <w:t>其他事项：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33D0641">
      <w:pPr>
        <w:pStyle w:val="17"/>
        <w:ind w:firstLine="480"/>
        <w:rPr>
          <w:rFonts w:hint="eastAsia" w:ascii="宋体" w:hAnsi="宋体" w:cs="宋体"/>
          <w:color w:val="auto"/>
          <w:sz w:val="24"/>
        </w:rPr>
      </w:pPr>
    </w:p>
    <w:p w14:paraId="41E0B005">
      <w:pPr>
        <w:spacing w:line="360" w:lineRule="auto"/>
        <w:ind w:firstLine="437"/>
        <w:rPr>
          <w:rFonts w:hint="eastAsia"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 xml:space="preserve">                         </w:t>
      </w:r>
    </w:p>
    <w:p w14:paraId="0284DE76">
      <w:pPr>
        <w:spacing w:line="360" w:lineRule="auto"/>
        <w:ind w:firstLine="437"/>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                         </w:t>
      </w:r>
    </w:p>
    <w:p w14:paraId="6A57055F">
      <w:pPr>
        <w:spacing w:line="360" w:lineRule="auto"/>
        <w:ind w:firstLine="437"/>
        <w:rPr>
          <w:rFonts w:hint="eastAsia" w:ascii="宋体" w:hAnsi="宋体" w:cs="宋体"/>
          <w:color w:val="auto"/>
          <w:sz w:val="24"/>
        </w:rPr>
      </w:pPr>
      <w:r>
        <w:rPr>
          <w:rFonts w:hint="eastAsia" w:ascii="宋体" w:hAnsi="宋体" w:cs="宋体"/>
          <w:color w:val="auto"/>
          <w:sz w:val="24"/>
        </w:rPr>
        <w:t>电子邮件：</w:t>
      </w:r>
      <w:r>
        <w:rPr>
          <w:rFonts w:hint="eastAsia" w:ascii="宋体" w:hAnsi="宋体" w:cs="宋体"/>
          <w:color w:val="auto"/>
          <w:sz w:val="24"/>
          <w:u w:val="single"/>
        </w:rPr>
        <w:t xml:space="preserve">                         </w:t>
      </w:r>
    </w:p>
    <w:p w14:paraId="046FA103">
      <w:pPr>
        <w:spacing w:line="360" w:lineRule="auto"/>
        <w:ind w:firstLine="437"/>
        <w:rPr>
          <w:rFonts w:hint="eastAsia" w:ascii="宋体" w:hAnsi="宋体" w:cs="宋体"/>
          <w:color w:val="auto"/>
          <w:sz w:val="24"/>
        </w:rPr>
      </w:pPr>
      <w:r>
        <w:rPr>
          <w:rFonts w:hint="eastAsia" w:ascii="宋体" w:hAnsi="宋体" w:cs="宋体"/>
          <w:color w:val="auto"/>
          <w:sz w:val="24"/>
        </w:rPr>
        <w:t>法定代表人/单位负责人（签字或盖私章）：</w:t>
      </w:r>
      <w:r>
        <w:rPr>
          <w:rFonts w:hint="eastAsia" w:ascii="宋体" w:hAnsi="宋体" w:cs="宋体"/>
          <w:color w:val="auto"/>
          <w:sz w:val="24"/>
          <w:u w:val="single"/>
        </w:rPr>
        <w:t xml:space="preserve">                         </w:t>
      </w:r>
    </w:p>
    <w:p w14:paraId="326A37ED">
      <w:pPr>
        <w:spacing w:line="360" w:lineRule="auto"/>
        <w:ind w:firstLine="437"/>
        <w:rPr>
          <w:rFonts w:hint="eastAsia" w:ascii="宋体" w:hAnsi="宋体" w:cs="宋体"/>
          <w:color w:val="auto"/>
          <w:sz w:val="24"/>
        </w:rPr>
      </w:pPr>
      <w:r>
        <w:rPr>
          <w:rFonts w:hint="eastAsia" w:ascii="宋体" w:hAnsi="宋体" w:cs="宋体"/>
          <w:color w:val="auto"/>
          <w:sz w:val="24"/>
        </w:rPr>
        <w:t>供应商名称（加盖公章）：</w:t>
      </w:r>
      <w:r>
        <w:rPr>
          <w:rFonts w:hint="eastAsia" w:ascii="宋体" w:hAnsi="宋体" w:cs="宋体"/>
          <w:color w:val="auto"/>
          <w:sz w:val="24"/>
          <w:u w:val="single"/>
        </w:rPr>
        <w:t xml:space="preserve">                         </w:t>
      </w:r>
    </w:p>
    <w:p w14:paraId="64B2BEBD">
      <w:pPr>
        <w:spacing w:line="360" w:lineRule="auto"/>
        <w:ind w:firstLine="437"/>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8BF2ECA">
      <w:pPr>
        <w:rPr>
          <w:rFonts w:hint="eastAsia" w:ascii="宋体" w:hAnsi="宋体" w:cs="宋体"/>
          <w:color w:val="auto"/>
          <w:sz w:val="24"/>
        </w:rPr>
      </w:pPr>
      <w:r>
        <w:rPr>
          <w:rFonts w:hint="eastAsia" w:ascii="宋体" w:hAnsi="宋体" w:cs="宋体"/>
          <w:color w:val="auto"/>
          <w:sz w:val="24"/>
        </w:rPr>
        <w:br w:type="page"/>
      </w:r>
    </w:p>
    <w:bookmarkEnd w:id="276"/>
    <w:bookmarkEnd w:id="277"/>
    <w:p w14:paraId="062B614A">
      <w:pPr>
        <w:spacing w:before="120" w:line="360" w:lineRule="auto"/>
        <w:jc w:val="center"/>
        <w:rPr>
          <w:rFonts w:hint="eastAsia" w:ascii="宋体" w:hAnsi="宋体" w:cs="宋体"/>
          <w:b/>
          <w:bCs/>
          <w:color w:val="auto"/>
          <w:sz w:val="32"/>
          <w:szCs w:val="32"/>
        </w:rPr>
      </w:pPr>
      <w:bookmarkStart w:id="279" w:name="_Toc24778_WPSOffice_Level1"/>
      <w:bookmarkStart w:id="280" w:name="_Toc30957_WPSOffice_Level1"/>
      <w:bookmarkStart w:id="281" w:name="_Toc13892_WPSOffice_Level1"/>
      <w:r>
        <w:rPr>
          <w:rFonts w:hint="eastAsia" w:ascii="宋体" w:hAnsi="宋体" w:cs="宋体"/>
          <w:b/>
          <w:color w:val="auto"/>
          <w:sz w:val="30"/>
          <w:szCs w:val="30"/>
        </w:rPr>
        <w:t>2、</w:t>
      </w:r>
      <w:r>
        <w:rPr>
          <w:rFonts w:hint="eastAsia" w:ascii="宋体" w:hAnsi="宋体" w:cs="宋体"/>
          <w:b/>
          <w:bCs/>
          <w:color w:val="auto"/>
          <w:sz w:val="32"/>
          <w:szCs w:val="32"/>
        </w:rPr>
        <w:t>法定代表人（或非法人组织负责人）身份证明书</w:t>
      </w:r>
      <w:bookmarkEnd w:id="279"/>
      <w:bookmarkEnd w:id="280"/>
    </w:p>
    <w:p w14:paraId="02428EAA">
      <w:pPr>
        <w:spacing w:line="360" w:lineRule="auto"/>
        <w:rPr>
          <w:rFonts w:hint="eastAsia" w:ascii="宋体" w:hAnsi="宋体" w:cs="宋体"/>
          <w:color w:val="auto"/>
          <w:sz w:val="24"/>
        </w:rPr>
      </w:pPr>
    </w:p>
    <w:p w14:paraId="25449933">
      <w:pPr>
        <w:spacing w:line="360" w:lineRule="auto"/>
        <w:rPr>
          <w:rFonts w:hint="eastAsia" w:ascii="宋体" w:hAnsi="宋体" w:cs="宋体"/>
          <w:color w:val="auto"/>
          <w:sz w:val="24"/>
          <w:u w:val="single"/>
        </w:rPr>
      </w:pPr>
      <w:r>
        <w:rPr>
          <w:rFonts w:hint="eastAsia" w:ascii="宋体" w:hAnsi="宋体" w:cs="宋体"/>
          <w:color w:val="auto"/>
          <w:sz w:val="24"/>
        </w:rPr>
        <w:t>单位名称：</w:t>
      </w:r>
      <w:r>
        <w:rPr>
          <w:rFonts w:hint="eastAsia" w:ascii="宋体" w:hAnsi="宋体" w:cs="宋体"/>
          <w:color w:val="auto"/>
          <w:sz w:val="24"/>
          <w:u w:val="single"/>
        </w:rPr>
        <w:t xml:space="preserve">                                                   </w:t>
      </w:r>
    </w:p>
    <w:p w14:paraId="1C1725FC">
      <w:pPr>
        <w:spacing w:line="360" w:lineRule="auto"/>
        <w:rPr>
          <w:rFonts w:hint="eastAsia" w:ascii="宋体" w:hAnsi="宋体" w:cs="宋体"/>
          <w:color w:val="auto"/>
          <w:sz w:val="24"/>
          <w:u w:val="single"/>
        </w:rPr>
      </w:pPr>
      <w:r>
        <w:rPr>
          <w:rFonts w:hint="eastAsia" w:ascii="宋体" w:hAnsi="宋体" w:cs="宋体"/>
          <w:color w:val="auto"/>
          <w:sz w:val="24"/>
        </w:rPr>
        <w:t>企业类型：</w:t>
      </w:r>
      <w:r>
        <w:rPr>
          <w:rFonts w:hint="eastAsia" w:ascii="宋体" w:hAnsi="宋体" w:cs="宋体"/>
          <w:color w:val="auto"/>
          <w:sz w:val="24"/>
          <w:u w:val="single"/>
        </w:rPr>
        <w:t xml:space="preserve">                                                   </w:t>
      </w:r>
    </w:p>
    <w:p w14:paraId="68BDAC0F">
      <w:pPr>
        <w:spacing w:line="360" w:lineRule="auto"/>
        <w:rPr>
          <w:rFonts w:hint="eastAsia"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 xml:space="preserve">                                                   </w:t>
      </w:r>
    </w:p>
    <w:p w14:paraId="1ACCA3DA">
      <w:pPr>
        <w:spacing w:line="360" w:lineRule="auto"/>
        <w:rPr>
          <w:rFonts w:hint="eastAsia" w:ascii="宋体" w:hAnsi="宋体" w:cs="宋体"/>
          <w:color w:val="auto"/>
          <w:sz w:val="24"/>
          <w:u w:val="single"/>
        </w:rPr>
      </w:pPr>
      <w:r>
        <w:rPr>
          <w:rFonts w:hint="eastAsia" w:ascii="宋体" w:hAnsi="宋体" w:cs="宋体"/>
          <w:color w:val="auto"/>
          <w:sz w:val="24"/>
        </w:rPr>
        <w:t>营业期限：</w:t>
      </w:r>
      <w:r>
        <w:rPr>
          <w:rFonts w:hint="eastAsia" w:ascii="宋体" w:hAnsi="宋体" w:cs="宋体"/>
          <w:color w:val="auto"/>
          <w:sz w:val="24"/>
          <w:u w:val="single"/>
        </w:rPr>
        <w:t xml:space="preserve">                                                   </w:t>
      </w:r>
    </w:p>
    <w:p w14:paraId="1D1F2AAA">
      <w:pPr>
        <w:spacing w:line="360" w:lineRule="auto"/>
        <w:rPr>
          <w:rFonts w:hint="eastAsia" w:ascii="宋体" w:hAnsi="宋体" w:cs="宋体"/>
          <w:color w:val="auto"/>
          <w:sz w:val="24"/>
          <w:u w:val="single"/>
        </w:rPr>
      </w:pPr>
      <w:r>
        <w:rPr>
          <w:rFonts w:hint="eastAsia" w:ascii="宋体" w:hAnsi="宋体" w:cs="宋体"/>
          <w:color w:val="auto"/>
          <w:sz w:val="24"/>
        </w:rPr>
        <w:t>成立时间：</w:t>
      </w:r>
      <w:r>
        <w:rPr>
          <w:rFonts w:hint="eastAsia" w:ascii="宋体" w:hAnsi="宋体" w:cs="宋体"/>
          <w:color w:val="auto"/>
          <w:sz w:val="24"/>
          <w:u w:val="single"/>
        </w:rPr>
        <w:t xml:space="preserve">                                                   </w:t>
      </w:r>
    </w:p>
    <w:p w14:paraId="2CD16955">
      <w:pPr>
        <w:spacing w:line="360" w:lineRule="auto"/>
        <w:ind w:firstLine="840" w:firstLineChars="400"/>
        <w:rPr>
          <w:rFonts w:hint="eastAsia" w:ascii="仿宋_GB2312" w:hAnsi="仿宋_GB2312" w:eastAsia="仿宋_GB2312" w:cs="仿宋_GB2312"/>
          <w:color w:val="auto"/>
          <w:szCs w:val="21"/>
        </w:rPr>
      </w:pPr>
    </w:p>
    <w:p w14:paraId="78DEB1FB">
      <w:pPr>
        <w:spacing w:line="360" w:lineRule="auto"/>
        <w:ind w:firstLine="960" w:firstLineChars="400"/>
        <w:rPr>
          <w:rFonts w:hint="eastAsia" w:ascii="宋体" w:hAnsi="宋体" w:cs="宋体"/>
          <w:color w:val="auto"/>
          <w:sz w:val="24"/>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，出生日期：</w:t>
      </w:r>
      <w:r>
        <w:rPr>
          <w:rFonts w:hint="eastAsia" w:ascii="宋体" w:hAnsi="宋体" w:cs="宋体"/>
          <w:color w:val="auto"/>
          <w:sz w:val="24"/>
          <w:u w:val="single"/>
        </w:rPr>
        <w:t xml:space="preserve">         </w:t>
      </w:r>
      <w:r>
        <w:rPr>
          <w:rFonts w:hint="eastAsia" w:ascii="宋体" w:hAnsi="宋体" w:cs="宋体"/>
          <w:color w:val="auto"/>
          <w:sz w:val="24"/>
        </w:rPr>
        <w:t>，现任职务：</w:t>
      </w:r>
      <w:r>
        <w:rPr>
          <w:rFonts w:hint="eastAsia" w:ascii="宋体" w:hAnsi="宋体" w:cs="宋体"/>
          <w:color w:val="auto"/>
          <w:sz w:val="24"/>
          <w:u w:val="single"/>
        </w:rPr>
        <w:t xml:space="preserve">       </w:t>
      </w: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（供应商名称）的法定代表人（或非法人组织负责人）。</w:t>
      </w:r>
    </w:p>
    <w:p w14:paraId="59C4872E">
      <w:pPr>
        <w:rPr>
          <w:rFonts w:hint="eastAsia" w:ascii="宋体" w:hAnsi="宋体" w:cs="宋体"/>
          <w:color w:val="auto"/>
          <w:sz w:val="24"/>
        </w:rPr>
      </w:pPr>
      <w:r>
        <w:rPr>
          <w:rFonts w:hint="eastAsia" w:ascii="宋体" w:hAnsi="宋体" w:cs="宋体"/>
          <w:color w:val="auto"/>
          <w:sz w:val="24"/>
        </w:rPr>
        <w:t xml:space="preserve">            </w:t>
      </w:r>
    </w:p>
    <w:p w14:paraId="7C751964">
      <w:pPr>
        <w:rPr>
          <w:rFonts w:hint="eastAsia" w:ascii="宋体" w:hAnsi="宋体" w:cs="宋体"/>
          <w:color w:val="auto"/>
          <w:sz w:val="24"/>
        </w:rPr>
      </w:pPr>
      <w:r>
        <w:rPr>
          <w:rFonts w:hint="eastAsia" w:ascii="宋体" w:hAnsi="宋体" w:cs="宋体"/>
          <w:color w:val="auto"/>
          <w:sz w:val="24"/>
        </w:rPr>
        <w:t>特此证明。</w:t>
      </w:r>
    </w:p>
    <w:p w14:paraId="56F1FD86">
      <w:pPr>
        <w:rPr>
          <w:rFonts w:hint="eastAsia" w:ascii="仿宋_GB2312" w:hAnsi="仿宋_GB2312" w:eastAsia="仿宋_GB2312" w:cs="仿宋_GB2312"/>
          <w:color w:val="auto"/>
          <w:szCs w:val="21"/>
        </w:rPr>
      </w:pPr>
    </w:p>
    <w:p w14:paraId="2126CF9D">
      <w:pPr>
        <w:rPr>
          <w:rFonts w:hint="eastAsia" w:ascii="仿宋_GB2312" w:hAnsi="仿宋_GB2312" w:eastAsia="仿宋_GB2312" w:cs="仿宋_GB2312"/>
          <w:color w:val="auto"/>
          <w:szCs w:val="21"/>
        </w:rPr>
      </w:pPr>
    </w:p>
    <w:p w14:paraId="594B6D45">
      <w:pPr>
        <w:rPr>
          <w:rFonts w:hint="eastAsia" w:ascii="仿宋_GB2312" w:hAnsi="仿宋_GB2312" w:eastAsia="仿宋_GB2312" w:cs="仿宋_GB2312"/>
          <w:color w:val="auto"/>
          <w:szCs w:val="21"/>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3F75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5DA047EE">
            <w:pPr>
              <w:keepNext w:val="0"/>
              <w:keepLines w:val="0"/>
              <w:suppressLineNumbers w:val="0"/>
              <w:spacing w:before="0" w:beforeAutospacing="0" w:after="0" w:afterAutospacing="0"/>
              <w:ind w:left="0" w:right="0"/>
              <w:jc w:val="center"/>
              <w:rPr>
                <w:rFonts w:hint="eastAsia" w:ascii="宋体" w:hAnsi="宋体" w:cs="宋体"/>
                <w:color w:val="auto"/>
                <w:sz w:val="24"/>
              </w:rPr>
            </w:pPr>
          </w:p>
          <w:p w14:paraId="2E21D274">
            <w:pPr>
              <w:keepNext w:val="0"/>
              <w:keepLines w:val="0"/>
              <w:suppressLineNumbers w:val="0"/>
              <w:spacing w:before="0" w:beforeAutospacing="0" w:after="0" w:afterAutospacing="0"/>
              <w:ind w:left="0" w:right="0"/>
              <w:jc w:val="center"/>
              <w:rPr>
                <w:rFonts w:hint="eastAsia" w:ascii="宋体" w:hAnsi="宋体" w:cs="宋体"/>
                <w:color w:val="auto"/>
                <w:sz w:val="24"/>
              </w:rPr>
            </w:pPr>
          </w:p>
          <w:p w14:paraId="202E659C">
            <w:pPr>
              <w:keepNext w:val="0"/>
              <w:keepLines w:val="0"/>
              <w:suppressLineNumbers w:val="0"/>
              <w:spacing w:before="0" w:beforeAutospacing="0" w:after="0" w:afterAutospacing="0"/>
              <w:ind w:left="0" w:right="0"/>
              <w:jc w:val="center"/>
              <w:rPr>
                <w:rFonts w:hint="eastAsia" w:ascii="宋体" w:hAnsi="宋体" w:cs="宋体"/>
                <w:color w:val="auto"/>
                <w:sz w:val="24"/>
              </w:rPr>
            </w:pPr>
          </w:p>
          <w:p w14:paraId="5D097C89">
            <w:pPr>
              <w:keepNext w:val="0"/>
              <w:keepLines w:val="0"/>
              <w:suppressLineNumbers w:val="0"/>
              <w:spacing w:before="0" w:beforeAutospacing="0" w:after="0" w:afterAutospacing="0"/>
              <w:ind w:left="0" w:right="0"/>
              <w:jc w:val="center"/>
              <w:rPr>
                <w:rFonts w:hint="eastAsia" w:ascii="宋体" w:hAnsi="宋体" w:cs="宋体"/>
                <w:color w:val="auto"/>
                <w:sz w:val="24"/>
              </w:rPr>
            </w:pPr>
          </w:p>
          <w:p w14:paraId="479452A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宋体" w:hAnsi="宋体" w:cs="宋体"/>
                <w:color w:val="auto"/>
                <w:sz w:val="24"/>
              </w:rPr>
              <w:t>（法定代表人（或非法人组织负责人）身份证正、反面复印件）</w:t>
            </w:r>
          </w:p>
        </w:tc>
      </w:tr>
    </w:tbl>
    <w:p w14:paraId="55783E2E">
      <w:pPr>
        <w:rPr>
          <w:rFonts w:hint="eastAsia" w:ascii="仿宋_GB2312" w:hAnsi="仿宋_GB2312" w:eastAsia="仿宋_GB2312" w:cs="仿宋_GB2312"/>
          <w:color w:val="auto"/>
          <w:szCs w:val="21"/>
        </w:rPr>
      </w:pPr>
    </w:p>
    <w:p w14:paraId="2925C30B">
      <w:pPr>
        <w:rPr>
          <w:rFonts w:hint="eastAsia" w:ascii="仿宋_GB2312" w:hAnsi="仿宋_GB2312" w:eastAsia="仿宋_GB2312" w:cs="仿宋_GB2312"/>
          <w:color w:val="auto"/>
          <w:szCs w:val="21"/>
        </w:rPr>
      </w:pPr>
    </w:p>
    <w:p w14:paraId="04166B3A">
      <w:pPr>
        <w:rPr>
          <w:rFonts w:hint="eastAsia" w:ascii="仿宋_GB2312" w:hAnsi="仿宋_GB2312" w:eastAsia="仿宋_GB2312" w:cs="仿宋_GB2312"/>
          <w:color w:val="auto"/>
          <w:szCs w:val="21"/>
        </w:rPr>
      </w:pPr>
    </w:p>
    <w:p w14:paraId="378C22F0">
      <w:pPr>
        <w:rPr>
          <w:rFonts w:hint="eastAsia" w:ascii="仿宋_GB2312" w:hAnsi="仿宋_GB2312" w:eastAsia="仿宋_GB2312" w:cs="仿宋_GB2312"/>
          <w:color w:val="auto"/>
          <w:szCs w:val="21"/>
        </w:rPr>
      </w:pPr>
    </w:p>
    <w:p w14:paraId="2B843863">
      <w:pPr>
        <w:spacing w:line="360" w:lineRule="auto"/>
        <w:ind w:firstLine="480"/>
        <w:rPr>
          <w:rFonts w:hint="eastAsia" w:ascii="宋体" w:hAnsi="宋体" w:cs="宋体"/>
          <w:color w:val="auto"/>
          <w:sz w:val="24"/>
        </w:rPr>
      </w:pPr>
      <w:r>
        <w:rPr>
          <w:rFonts w:hint="eastAsia" w:ascii="宋体" w:hAnsi="宋体" w:cs="宋体"/>
          <w:color w:val="auto"/>
          <w:sz w:val="24"/>
        </w:rPr>
        <w:t>供应商名称（单位公章）：</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5E24D439">
      <w:pPr>
        <w:spacing w:line="360" w:lineRule="auto"/>
        <w:ind w:firstLine="480" w:firstLineChars="200"/>
        <w:rPr>
          <w:rFonts w:hint="eastAsia" w:ascii="宋体" w:hAnsi="宋体" w:cs="宋体"/>
          <w:color w:val="auto"/>
          <w:sz w:val="24"/>
        </w:rPr>
      </w:pPr>
    </w:p>
    <w:p w14:paraId="329D33F2">
      <w:pPr>
        <w:spacing w:line="360" w:lineRule="auto"/>
        <w:ind w:firstLine="480" w:firstLineChars="200"/>
        <w:rPr>
          <w:rFonts w:hint="eastAsia" w:ascii="仿宋_GB2312" w:hAnsi="仿宋_GB2312" w:eastAsia="仿宋_GB2312" w:cs="仿宋_GB2312"/>
          <w:color w:val="auto"/>
          <w:u w:val="single"/>
        </w:rPr>
      </w:pPr>
      <w:r>
        <w:rPr>
          <w:rFonts w:hint="eastAsia" w:ascii="宋体" w:hAnsi="宋体" w:cs="宋体"/>
          <w:color w:val="auto"/>
          <w:sz w:val="24"/>
        </w:rPr>
        <w:t>日                期：</w:t>
      </w:r>
      <w:r>
        <w:rPr>
          <w:rFonts w:hint="eastAsia" w:ascii="仿宋_GB2312" w:hAnsi="仿宋_GB2312" w:eastAsia="仿宋_GB2312" w:cs="仿宋_GB2312"/>
          <w:color w:val="auto"/>
          <w:u w:val="single"/>
        </w:rPr>
        <w:t xml:space="preserve">                             </w:t>
      </w:r>
    </w:p>
    <w:p w14:paraId="50322DF9">
      <w:pPr>
        <w:spacing w:before="120" w:line="360" w:lineRule="auto"/>
        <w:ind w:left="420" w:leftChars="200"/>
        <w:rPr>
          <w:rFonts w:hint="eastAsia" w:ascii="宋体" w:hAnsi="宋体" w:cs="宋体"/>
          <w:b/>
          <w:bCs/>
          <w:color w:val="auto"/>
          <w:sz w:val="32"/>
          <w:szCs w:val="32"/>
        </w:rPr>
      </w:pPr>
      <w:bookmarkStart w:id="282" w:name="_Toc2816_WPSOffice_Level1"/>
      <w:bookmarkStart w:id="283" w:name="_Toc17821_WPSOffice_Level1"/>
    </w:p>
    <w:p w14:paraId="66A67EF0">
      <w:pPr>
        <w:spacing w:before="120" w:line="360" w:lineRule="auto"/>
        <w:ind w:left="420" w:leftChars="200"/>
        <w:rPr>
          <w:rFonts w:hint="eastAsia" w:ascii="宋体" w:hAnsi="宋体" w:cs="宋体"/>
          <w:b/>
          <w:bCs/>
          <w:color w:val="auto"/>
          <w:sz w:val="32"/>
          <w:szCs w:val="32"/>
        </w:rPr>
      </w:pPr>
      <w:r>
        <w:rPr>
          <w:rFonts w:hint="eastAsia" w:ascii="宋体" w:hAnsi="宋体" w:cs="宋体"/>
          <w:b/>
          <w:bCs/>
          <w:color w:val="auto"/>
          <w:sz w:val="32"/>
          <w:szCs w:val="32"/>
        </w:rPr>
        <w:t>3、法定代表人（或非法人组织负责人）授权委托书</w:t>
      </w:r>
      <w:bookmarkEnd w:id="282"/>
      <w:bookmarkEnd w:id="283"/>
    </w:p>
    <w:p w14:paraId="3D099CDE">
      <w:pPr>
        <w:spacing w:line="360" w:lineRule="auto"/>
        <w:ind w:firstLine="420" w:firstLineChars="200"/>
        <w:rPr>
          <w:rFonts w:hint="eastAsia" w:ascii="仿宋_GB2312" w:hAnsi="仿宋_GB2312" w:eastAsia="仿宋_GB2312" w:cs="仿宋_GB2312"/>
          <w:color w:val="auto"/>
          <w:szCs w:val="21"/>
        </w:rPr>
      </w:pPr>
    </w:p>
    <w:p w14:paraId="01C8AAB2">
      <w:pPr>
        <w:spacing w:line="360" w:lineRule="auto"/>
        <w:ind w:firstLine="480"/>
        <w:rPr>
          <w:rFonts w:hint="eastAsia" w:ascii="宋体" w:hAnsi="宋体" w:cs="宋体"/>
          <w:color w:val="auto"/>
          <w:sz w:val="24"/>
        </w:rPr>
      </w:pPr>
      <w:r>
        <w:rPr>
          <w:rFonts w:hint="eastAsia" w:ascii="宋体" w:hAnsi="宋体" w:cs="宋体"/>
          <w:color w:val="auto"/>
          <w:sz w:val="24"/>
        </w:rPr>
        <w:t>本授权书声明：注册于</w:t>
      </w:r>
      <w:r>
        <w:rPr>
          <w:rFonts w:hint="eastAsia" w:ascii="宋体" w:hAnsi="宋体" w:cs="宋体"/>
          <w:color w:val="auto"/>
          <w:sz w:val="24"/>
          <w:u w:val="single"/>
        </w:rPr>
        <w:t>（地区的名称）</w:t>
      </w:r>
      <w:r>
        <w:rPr>
          <w:rFonts w:hint="eastAsia" w:ascii="宋体" w:hAnsi="宋体" w:cs="宋体"/>
          <w:color w:val="auto"/>
          <w:sz w:val="24"/>
        </w:rPr>
        <w:t>的</w:t>
      </w:r>
      <w:r>
        <w:rPr>
          <w:rFonts w:hint="eastAsia" w:ascii="宋体" w:hAnsi="宋体" w:cs="宋体"/>
          <w:color w:val="auto"/>
          <w:sz w:val="24"/>
          <w:u w:val="single"/>
        </w:rPr>
        <w:t>（公司名称）</w:t>
      </w:r>
      <w:r>
        <w:rPr>
          <w:rFonts w:hint="eastAsia" w:ascii="宋体" w:hAnsi="宋体" w:cs="宋体"/>
          <w:color w:val="auto"/>
          <w:sz w:val="24"/>
        </w:rPr>
        <w:t>，在下面签字的法定代表人</w:t>
      </w:r>
      <w:r>
        <w:rPr>
          <w:rFonts w:hint="eastAsia" w:ascii="宋体" w:hAnsi="宋体" w:cs="宋体"/>
          <w:color w:val="auto"/>
          <w:sz w:val="24"/>
          <w:u w:val="single"/>
        </w:rPr>
        <w:t>（姓名、职务）</w:t>
      </w:r>
      <w:r>
        <w:rPr>
          <w:rFonts w:hint="eastAsia" w:ascii="宋体" w:hAnsi="宋体" w:cs="宋体"/>
          <w:color w:val="auto"/>
          <w:sz w:val="24"/>
        </w:rPr>
        <w:t>，代表本公司授权在下面签字的</w:t>
      </w:r>
      <w:r>
        <w:rPr>
          <w:rFonts w:hint="eastAsia" w:ascii="宋体" w:hAnsi="宋体" w:cs="宋体"/>
          <w:color w:val="auto"/>
          <w:sz w:val="24"/>
          <w:u w:val="single"/>
        </w:rPr>
        <w:t>（委托代理人的姓名、职务）</w:t>
      </w:r>
      <w:r>
        <w:rPr>
          <w:rFonts w:hint="eastAsia" w:ascii="宋体" w:hAnsi="宋体" w:cs="宋体"/>
          <w:color w:val="auto"/>
          <w:sz w:val="24"/>
        </w:rPr>
        <w:t>为本公司的合法代理人，就</w:t>
      </w:r>
      <w:r>
        <w:rPr>
          <w:rFonts w:hint="eastAsia" w:ascii="宋体" w:hAnsi="宋体" w:cs="宋体"/>
          <w:color w:val="auto"/>
          <w:sz w:val="24"/>
          <w:u w:val="single"/>
        </w:rPr>
        <w:t>（项目名称/编号）</w:t>
      </w:r>
      <w:r>
        <w:rPr>
          <w:rFonts w:hint="eastAsia" w:ascii="宋体" w:hAnsi="宋体" w:cs="宋体"/>
          <w:color w:val="auto"/>
          <w:sz w:val="24"/>
        </w:rPr>
        <w:t>的投标，以本公司的名义处理一切与之有关的事务。</w:t>
      </w:r>
    </w:p>
    <w:p w14:paraId="3511F9BA">
      <w:pPr>
        <w:spacing w:line="360" w:lineRule="auto"/>
        <w:ind w:firstLine="480"/>
        <w:rPr>
          <w:rFonts w:hint="eastAsia"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084ED745">
      <w:pPr>
        <w:adjustRightInd w:val="0"/>
        <w:snapToGrid w:val="0"/>
        <w:spacing w:line="360" w:lineRule="auto"/>
        <w:ind w:right="-21" w:rightChars="-10" w:firstLine="480" w:firstLineChars="200"/>
        <w:rPr>
          <w:rFonts w:hint="eastAsia" w:ascii="宋体" w:hAnsi="宋体" w:cs="宋体"/>
          <w:color w:val="auto"/>
          <w:sz w:val="24"/>
        </w:rPr>
      </w:pPr>
    </w:p>
    <w:tbl>
      <w:tblPr>
        <w:tblStyle w:val="33"/>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27E7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tcPr>
          <w:p w14:paraId="77B3845F">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eastAsia" w:ascii="宋体" w:hAnsi="宋体" w:cs="宋体"/>
                <w:color w:val="auto"/>
                <w:sz w:val="24"/>
              </w:rPr>
            </w:pPr>
          </w:p>
          <w:p w14:paraId="5D409A6E">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eastAsia" w:ascii="宋体" w:hAnsi="宋体" w:cs="宋体"/>
                <w:color w:val="auto"/>
                <w:sz w:val="24"/>
              </w:rPr>
            </w:pPr>
          </w:p>
          <w:p w14:paraId="2D2E1E94">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eastAsia" w:ascii="宋体" w:hAnsi="宋体" w:cs="宋体"/>
                <w:color w:val="auto"/>
                <w:sz w:val="24"/>
              </w:rPr>
            </w:pPr>
            <w:r>
              <w:rPr>
                <w:rFonts w:hint="eastAsia" w:ascii="宋体" w:hAnsi="宋体" w:cs="宋体"/>
                <w:color w:val="auto"/>
                <w:sz w:val="24"/>
              </w:rPr>
              <w:t>法定代表人身份证正、反面复印件</w:t>
            </w:r>
          </w:p>
        </w:tc>
        <w:tc>
          <w:tcPr>
            <w:tcW w:w="4429" w:type="dxa"/>
          </w:tcPr>
          <w:p w14:paraId="3502CB12">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eastAsia" w:ascii="宋体" w:hAnsi="宋体" w:cs="宋体"/>
                <w:color w:val="auto"/>
                <w:sz w:val="24"/>
              </w:rPr>
            </w:pPr>
          </w:p>
          <w:p w14:paraId="20DE903D">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eastAsia" w:ascii="宋体" w:hAnsi="宋体" w:cs="宋体"/>
                <w:color w:val="auto"/>
                <w:sz w:val="24"/>
              </w:rPr>
            </w:pPr>
          </w:p>
          <w:p w14:paraId="622975F7">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eastAsia" w:ascii="宋体" w:hAnsi="宋体" w:cs="宋体"/>
                <w:color w:val="auto"/>
                <w:sz w:val="24"/>
              </w:rPr>
            </w:pPr>
            <w:r>
              <w:rPr>
                <w:rFonts w:hint="eastAsia" w:ascii="宋体" w:hAnsi="宋体" w:cs="宋体"/>
                <w:color w:val="auto"/>
                <w:sz w:val="24"/>
              </w:rPr>
              <w:t>委托代理人身份证正、反面复印件</w:t>
            </w:r>
          </w:p>
        </w:tc>
      </w:tr>
    </w:tbl>
    <w:p w14:paraId="304D2770">
      <w:pPr>
        <w:adjustRightInd w:val="0"/>
        <w:snapToGrid w:val="0"/>
        <w:spacing w:line="360" w:lineRule="auto"/>
        <w:ind w:right="-21" w:rightChars="-10" w:firstLine="480" w:firstLineChars="200"/>
        <w:rPr>
          <w:rFonts w:hint="eastAsia" w:ascii="宋体" w:hAnsi="宋体" w:cs="宋体"/>
          <w:color w:val="auto"/>
          <w:sz w:val="24"/>
        </w:rPr>
      </w:pPr>
    </w:p>
    <w:p w14:paraId="7375254E">
      <w:pPr>
        <w:adjustRightInd w:val="0"/>
        <w:snapToGrid w:val="0"/>
        <w:spacing w:line="360" w:lineRule="auto"/>
        <w:ind w:right="-21" w:rightChars="-10" w:firstLine="480" w:firstLineChars="200"/>
        <w:rPr>
          <w:rFonts w:hint="eastAsia" w:ascii="宋体" w:hAnsi="宋体" w:cs="宋体"/>
          <w:color w:val="auto"/>
          <w:sz w:val="24"/>
        </w:rPr>
      </w:pPr>
    </w:p>
    <w:p w14:paraId="68256788">
      <w:pPr>
        <w:adjustRightInd w:val="0"/>
        <w:snapToGrid w:val="0"/>
        <w:spacing w:line="480" w:lineRule="auto"/>
        <w:ind w:right="-21" w:rightChars="-10" w:firstLine="480" w:firstLineChars="200"/>
        <w:rPr>
          <w:rFonts w:hint="eastAsia" w:ascii="宋体" w:hAnsi="宋体" w:cs="宋体"/>
          <w:color w:val="auto"/>
          <w:sz w:val="24"/>
        </w:rPr>
      </w:pPr>
      <w:r>
        <w:rPr>
          <w:rFonts w:hint="eastAsia" w:ascii="宋体" w:hAnsi="宋体" w:cs="宋体"/>
          <w:color w:val="auto"/>
          <w:sz w:val="24"/>
        </w:rPr>
        <w:t xml:space="preserve">供应商名称（单位公章）：              </w:t>
      </w:r>
    </w:p>
    <w:p w14:paraId="0D683209">
      <w:pPr>
        <w:adjustRightInd w:val="0"/>
        <w:snapToGrid w:val="0"/>
        <w:spacing w:line="480" w:lineRule="auto"/>
        <w:ind w:right="-21" w:rightChars="-10" w:firstLine="480" w:firstLineChars="200"/>
        <w:rPr>
          <w:rFonts w:hint="eastAsia" w:ascii="宋体" w:hAnsi="宋体" w:cs="宋体"/>
          <w:color w:val="auto"/>
          <w:sz w:val="24"/>
        </w:rPr>
      </w:pPr>
      <w:r>
        <w:rPr>
          <w:rFonts w:hint="eastAsia" w:ascii="宋体" w:hAnsi="宋体" w:cs="宋体"/>
          <w:color w:val="auto"/>
          <w:sz w:val="24"/>
        </w:rPr>
        <w:t xml:space="preserve">法定代表人（或非法人组织负责人）（签字或盖章）：                    </w:t>
      </w:r>
    </w:p>
    <w:p w14:paraId="5E01ADA3">
      <w:pPr>
        <w:adjustRightInd w:val="0"/>
        <w:snapToGrid w:val="0"/>
        <w:spacing w:line="480" w:lineRule="auto"/>
        <w:ind w:right="-21" w:rightChars="-10" w:firstLine="480" w:firstLineChars="200"/>
        <w:rPr>
          <w:rFonts w:hint="eastAsia" w:ascii="宋体" w:hAnsi="宋体" w:cs="宋体"/>
          <w:color w:val="auto"/>
          <w:sz w:val="24"/>
        </w:rPr>
      </w:pPr>
      <w:r>
        <w:rPr>
          <w:rFonts w:hint="eastAsia" w:ascii="宋体" w:hAnsi="宋体" w:cs="宋体"/>
          <w:color w:val="auto"/>
          <w:sz w:val="24"/>
        </w:rPr>
        <w:t xml:space="preserve">授权委托人（签字或盖章）：                                                        </w:t>
      </w:r>
    </w:p>
    <w:p w14:paraId="43388AAB">
      <w:pPr>
        <w:adjustRightInd w:val="0"/>
        <w:snapToGrid w:val="0"/>
        <w:spacing w:line="480" w:lineRule="auto"/>
        <w:ind w:right="-21" w:rightChars="-10" w:firstLine="480" w:firstLineChars="200"/>
        <w:rPr>
          <w:rFonts w:hint="eastAsia" w:ascii="宋体" w:hAnsi="宋体" w:cs="宋体"/>
          <w:color w:val="auto"/>
          <w:sz w:val="24"/>
        </w:rPr>
      </w:pPr>
      <w:r>
        <w:rPr>
          <w:rFonts w:hint="eastAsia" w:ascii="宋体" w:hAnsi="宋体" w:cs="宋体"/>
          <w:color w:val="auto"/>
          <w:sz w:val="24"/>
        </w:rPr>
        <w:t xml:space="preserve">电    话：              </w:t>
      </w:r>
    </w:p>
    <w:p w14:paraId="52EBB21F">
      <w:pPr>
        <w:adjustRightInd w:val="0"/>
        <w:snapToGrid w:val="0"/>
        <w:spacing w:line="480" w:lineRule="auto"/>
        <w:ind w:right="-21" w:rightChars="-10" w:firstLine="480" w:firstLineChars="200"/>
        <w:rPr>
          <w:rFonts w:hint="eastAsia" w:ascii="宋体" w:hAnsi="宋体" w:cs="宋体"/>
          <w:color w:val="auto"/>
          <w:sz w:val="24"/>
        </w:rPr>
      </w:pPr>
      <w:r>
        <w:rPr>
          <w:rFonts w:hint="eastAsia" w:ascii="宋体" w:hAnsi="宋体" w:cs="宋体"/>
          <w:color w:val="auto"/>
          <w:sz w:val="24"/>
        </w:rPr>
        <w:t xml:space="preserve">日    期：                       </w:t>
      </w:r>
    </w:p>
    <w:p w14:paraId="4708359D">
      <w:pPr>
        <w:spacing w:line="360" w:lineRule="auto"/>
        <w:ind w:firstLine="482"/>
        <w:rPr>
          <w:rFonts w:hint="eastAsia" w:ascii="宋体" w:hAnsi="宋体" w:cs="宋体"/>
          <w:b/>
          <w:color w:val="auto"/>
          <w:sz w:val="24"/>
        </w:rPr>
      </w:pPr>
      <w:r>
        <w:rPr>
          <w:rFonts w:hint="eastAsia" w:ascii="宋体" w:hAnsi="宋体" w:cs="宋体"/>
          <w:b/>
          <w:color w:val="auto"/>
          <w:sz w:val="24"/>
        </w:rPr>
        <w:t>注：1、法定代表人本人作为公司/（单位）代理人前来参加本项目的供应商，可不提供此项证明文件。</w:t>
      </w:r>
    </w:p>
    <w:p w14:paraId="16C562D7">
      <w:pPr>
        <w:spacing w:line="360" w:lineRule="auto"/>
        <w:jc w:val="center"/>
        <w:rPr>
          <w:rFonts w:hint="eastAsia" w:ascii="宋体" w:hAnsi="宋体" w:cs="宋体"/>
          <w:b/>
          <w:color w:val="auto"/>
          <w:sz w:val="30"/>
          <w:szCs w:val="30"/>
        </w:rPr>
      </w:pPr>
      <w:r>
        <w:rPr>
          <w:rFonts w:hint="eastAsia" w:ascii="宋体" w:hAnsi="宋体" w:cs="宋体"/>
          <w:b/>
          <w:color w:val="auto"/>
          <w:sz w:val="24"/>
        </w:rPr>
        <w:t>2、授权书上应当附有法定代表人和委托代理人的居民身份证复印件。</w:t>
      </w:r>
      <w:r>
        <w:rPr>
          <w:rFonts w:hint="eastAsia" w:ascii="宋体" w:hAnsi="宋体" w:cs="宋体"/>
          <w:color w:val="auto"/>
        </w:rPr>
        <w:br w:type="page"/>
      </w:r>
    </w:p>
    <w:p w14:paraId="4C8A0F9E">
      <w:pPr>
        <w:spacing w:line="360" w:lineRule="auto"/>
        <w:jc w:val="center"/>
        <w:rPr>
          <w:rFonts w:hint="eastAsia" w:ascii="宋体" w:hAnsi="宋体" w:cs="宋体"/>
          <w:b/>
          <w:color w:val="auto"/>
          <w:sz w:val="30"/>
          <w:szCs w:val="30"/>
        </w:rPr>
      </w:pPr>
      <w:bookmarkStart w:id="284" w:name="_Toc27459_WPSOffice_Level1"/>
      <w:bookmarkStart w:id="285" w:name="_Toc26224_WPSOffice_Level1"/>
      <w:r>
        <w:rPr>
          <w:rFonts w:hint="eastAsia" w:ascii="宋体" w:hAnsi="宋体" w:cs="宋体"/>
          <w:b/>
          <w:color w:val="auto"/>
          <w:sz w:val="30"/>
          <w:szCs w:val="30"/>
        </w:rPr>
        <w:t>4、反商业贿赂承诺书</w:t>
      </w:r>
      <w:bookmarkEnd w:id="281"/>
      <w:bookmarkEnd w:id="284"/>
      <w:bookmarkEnd w:id="285"/>
    </w:p>
    <w:p w14:paraId="300FCFA4">
      <w:pPr>
        <w:pStyle w:val="14"/>
        <w:rPr>
          <w:rFonts w:hint="eastAsia" w:ascii="宋体" w:hAnsi="宋体" w:cs="宋体"/>
          <w:color w:val="auto"/>
        </w:rPr>
      </w:pPr>
    </w:p>
    <w:p w14:paraId="4E0D31AC">
      <w:pPr>
        <w:pStyle w:val="14"/>
        <w:ind w:firstLine="480"/>
        <w:rPr>
          <w:rFonts w:hint="eastAsia" w:ascii="宋体" w:hAnsi="宋体" w:cs="宋体"/>
          <w:color w:val="auto"/>
          <w:sz w:val="24"/>
        </w:rPr>
      </w:pPr>
      <w:r>
        <w:rPr>
          <w:rFonts w:hint="eastAsia" w:ascii="宋体" w:hAnsi="宋体" w:cs="宋体"/>
          <w:color w:val="auto"/>
          <w:sz w:val="24"/>
        </w:rPr>
        <w:t>我公司承诺在</w:t>
      </w:r>
      <w:r>
        <w:rPr>
          <w:rFonts w:hint="eastAsia" w:ascii="宋体" w:hAnsi="宋体" w:cs="宋体"/>
          <w:color w:val="auto"/>
          <w:sz w:val="24"/>
          <w:u w:val="single"/>
        </w:rPr>
        <w:t>（项目名称、项目编号）</w:t>
      </w:r>
      <w:r>
        <w:rPr>
          <w:rFonts w:hint="eastAsia" w:ascii="宋体" w:hAnsi="宋体" w:cs="宋体"/>
          <w:color w:val="auto"/>
          <w:sz w:val="24"/>
        </w:rPr>
        <w:t xml:space="preserve">投标过程中，不给予国家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6F570F37">
      <w:pPr>
        <w:pStyle w:val="14"/>
        <w:ind w:firstLine="480"/>
        <w:rPr>
          <w:rFonts w:hint="eastAsia" w:ascii="宋体" w:hAnsi="宋体" w:cs="宋体"/>
          <w:color w:val="auto"/>
          <w:sz w:val="24"/>
        </w:rPr>
      </w:pPr>
    </w:p>
    <w:p w14:paraId="62863084">
      <w:pPr>
        <w:spacing w:line="440" w:lineRule="exact"/>
        <w:rPr>
          <w:rFonts w:hint="eastAsia" w:ascii="宋体" w:hAnsi="宋体" w:cs="宋体"/>
          <w:bCs/>
          <w:color w:val="auto"/>
          <w:sz w:val="24"/>
        </w:rPr>
      </w:pPr>
    </w:p>
    <w:p w14:paraId="20DFC6BB">
      <w:pPr>
        <w:spacing w:line="440" w:lineRule="exact"/>
        <w:rPr>
          <w:rFonts w:hint="eastAsia" w:ascii="宋体" w:hAnsi="宋体" w:cs="宋体"/>
          <w:bCs/>
          <w:color w:val="auto"/>
          <w:sz w:val="24"/>
        </w:rPr>
      </w:pPr>
      <w:r>
        <w:rPr>
          <w:rFonts w:hint="eastAsia" w:ascii="宋体" w:hAnsi="宋体" w:cs="宋体"/>
          <w:bCs/>
          <w:color w:val="auto"/>
          <w:sz w:val="24"/>
        </w:rPr>
        <w:t>供应商名称（公章）：</w:t>
      </w:r>
      <w:r>
        <w:rPr>
          <w:rFonts w:hint="eastAsia" w:ascii="宋体" w:hAnsi="宋体" w:cs="宋体"/>
          <w:bCs/>
          <w:color w:val="auto"/>
          <w:sz w:val="24"/>
          <w:u w:val="single"/>
        </w:rPr>
        <w:t xml:space="preserve">                               </w:t>
      </w:r>
    </w:p>
    <w:p w14:paraId="2E4A035A">
      <w:pPr>
        <w:spacing w:line="440" w:lineRule="exact"/>
        <w:rPr>
          <w:rFonts w:hint="eastAsia" w:ascii="宋体" w:hAnsi="宋体" w:cs="宋体"/>
          <w:bCs/>
          <w:color w:val="auto"/>
          <w:sz w:val="24"/>
        </w:rPr>
      </w:pPr>
    </w:p>
    <w:p w14:paraId="2C0A318B">
      <w:pPr>
        <w:spacing w:line="440" w:lineRule="exact"/>
        <w:rPr>
          <w:rFonts w:hint="eastAsia" w:ascii="宋体" w:hAnsi="宋体" w:cs="宋体"/>
          <w:bCs/>
          <w:color w:val="auto"/>
          <w:sz w:val="24"/>
        </w:rPr>
      </w:pPr>
      <w:r>
        <w:rPr>
          <w:rFonts w:hint="eastAsia" w:ascii="宋体" w:hAnsi="宋体" w:cs="宋体"/>
          <w:bCs/>
          <w:color w:val="auto"/>
          <w:sz w:val="24"/>
        </w:rPr>
        <w:t>法定代表人（非法人组织负责人）</w:t>
      </w:r>
    </w:p>
    <w:p w14:paraId="42A62A66">
      <w:pPr>
        <w:spacing w:line="440" w:lineRule="exact"/>
        <w:rPr>
          <w:rFonts w:hint="eastAsia" w:ascii="宋体" w:hAnsi="宋体" w:cs="宋体"/>
          <w:bCs/>
          <w:color w:val="auto"/>
          <w:sz w:val="24"/>
          <w:u w:val="single"/>
        </w:rPr>
      </w:pPr>
      <w:r>
        <w:rPr>
          <w:rFonts w:hint="eastAsia" w:ascii="宋体" w:hAnsi="宋体" w:cs="宋体"/>
          <w:bCs/>
          <w:color w:val="auto"/>
          <w:sz w:val="24"/>
        </w:rPr>
        <w:t>或其授权委托人(签字或盖章)：</w:t>
      </w:r>
      <w:r>
        <w:rPr>
          <w:rFonts w:hint="eastAsia" w:ascii="宋体" w:hAnsi="宋体" w:cs="宋体"/>
          <w:bCs/>
          <w:color w:val="auto"/>
          <w:sz w:val="24"/>
          <w:u w:val="single"/>
        </w:rPr>
        <w:t xml:space="preserve">                     </w:t>
      </w:r>
    </w:p>
    <w:p w14:paraId="39FAC36F">
      <w:pPr>
        <w:spacing w:line="440" w:lineRule="exact"/>
        <w:rPr>
          <w:rFonts w:hint="eastAsia" w:ascii="宋体" w:hAnsi="宋体" w:cs="宋体"/>
          <w:bCs/>
          <w:color w:val="auto"/>
          <w:sz w:val="24"/>
        </w:rPr>
      </w:pPr>
    </w:p>
    <w:p w14:paraId="49202B44">
      <w:pPr>
        <w:spacing w:line="440" w:lineRule="exact"/>
        <w:rPr>
          <w:rFonts w:hint="eastAsia" w:ascii="宋体" w:hAnsi="宋体" w:cs="宋体"/>
          <w:bCs/>
          <w:color w:val="auto"/>
          <w:sz w:val="24"/>
        </w:rPr>
      </w:pPr>
      <w:r>
        <w:rPr>
          <w:rFonts w:hint="eastAsia" w:ascii="宋体" w:hAnsi="宋体" w:cs="宋体"/>
          <w:bCs/>
          <w:color w:val="auto"/>
          <w:sz w:val="24"/>
        </w:rPr>
        <w:t>日期：</w:t>
      </w:r>
      <w:r>
        <w:rPr>
          <w:rFonts w:hint="eastAsia" w:ascii="宋体" w:hAnsi="宋体" w:cs="宋体"/>
          <w:bCs/>
          <w:color w:val="auto"/>
          <w:sz w:val="24"/>
          <w:u w:val="single"/>
        </w:rPr>
        <w:t xml:space="preserve">       </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14:paraId="00E92CBF">
      <w:pPr>
        <w:spacing w:line="440" w:lineRule="exact"/>
        <w:rPr>
          <w:rFonts w:hint="eastAsia" w:ascii="宋体" w:hAnsi="宋体" w:cs="宋体"/>
          <w:b/>
          <w:bCs/>
          <w:color w:val="auto"/>
          <w:sz w:val="24"/>
        </w:rPr>
      </w:pPr>
    </w:p>
    <w:p w14:paraId="0B98DBBE">
      <w:pPr>
        <w:spacing w:line="360" w:lineRule="auto"/>
        <w:jc w:val="left"/>
        <w:rPr>
          <w:rFonts w:hint="eastAsia" w:ascii="宋体" w:hAnsi="宋体" w:cs="宋体"/>
          <w:b/>
          <w:color w:val="auto"/>
          <w:sz w:val="30"/>
          <w:szCs w:val="30"/>
        </w:rPr>
      </w:pPr>
    </w:p>
    <w:p w14:paraId="57757278">
      <w:pPr>
        <w:pStyle w:val="9"/>
        <w:rPr>
          <w:rFonts w:hint="eastAsia" w:ascii="宋体" w:hAnsi="宋体" w:eastAsia="宋体" w:cs="宋体"/>
          <w:color w:val="auto"/>
        </w:rPr>
      </w:pPr>
    </w:p>
    <w:p w14:paraId="79172EF6">
      <w:pPr>
        <w:rPr>
          <w:rFonts w:hint="eastAsia" w:ascii="宋体" w:hAnsi="宋体" w:cs="宋体"/>
          <w:color w:val="auto"/>
        </w:rPr>
      </w:pPr>
    </w:p>
    <w:p w14:paraId="4EF40246">
      <w:pPr>
        <w:pStyle w:val="32"/>
        <w:ind w:firstLine="0" w:firstLineChars="0"/>
        <w:jc w:val="center"/>
        <w:rPr>
          <w:rFonts w:hint="eastAsia" w:ascii="宋体" w:hAnsi="宋体" w:cs="宋体"/>
          <w:color w:val="auto"/>
        </w:rPr>
      </w:pPr>
      <w:bookmarkStart w:id="286" w:name="_Toc32643_WPSOffice_Level1"/>
      <w:bookmarkStart w:id="287" w:name="_Toc30455_WPSOffice_Level1"/>
      <w:r>
        <w:rPr>
          <w:rFonts w:hint="eastAsia" w:ascii="宋体" w:hAnsi="宋体" w:cs="宋体"/>
          <w:b/>
          <w:color w:val="auto"/>
          <w:sz w:val="30"/>
          <w:szCs w:val="30"/>
        </w:rPr>
        <w:br w:type="page"/>
      </w:r>
      <w:r>
        <w:rPr>
          <w:rFonts w:hint="eastAsia" w:ascii="宋体" w:hAnsi="宋体" w:cs="宋体"/>
          <w:b/>
          <w:color w:val="auto"/>
          <w:sz w:val="30"/>
          <w:szCs w:val="30"/>
        </w:rPr>
        <w:t>5、供应商参与政府采购活动（招投标活动）无异议承诺书</w:t>
      </w:r>
    </w:p>
    <w:p w14:paraId="6F014BB6">
      <w:pPr>
        <w:pStyle w:val="32"/>
        <w:ind w:firstLine="240"/>
        <w:rPr>
          <w:rFonts w:hint="eastAsia" w:ascii="宋体" w:hAnsi="宋体" w:cs="宋体"/>
          <w:color w:val="auto"/>
          <w:sz w:val="24"/>
        </w:rPr>
      </w:pPr>
    </w:p>
    <w:p w14:paraId="3F82D307">
      <w:pPr>
        <w:widowControl/>
        <w:autoSpaceDE w:val="0"/>
        <w:autoSpaceDN w:val="0"/>
        <w:spacing w:line="360" w:lineRule="auto"/>
        <w:rPr>
          <w:rFonts w:hint="eastAsia" w:ascii="宋体" w:hAnsi="宋体" w:cs="宋体"/>
          <w:color w:val="auto"/>
          <w:kern w:val="0"/>
          <w:sz w:val="24"/>
          <w:szCs w:val="32"/>
          <w:u w:val="single"/>
        </w:rPr>
      </w:pPr>
      <w:r>
        <w:rPr>
          <w:rFonts w:hint="eastAsia" w:ascii="宋体" w:hAnsi="宋体" w:cs="宋体"/>
          <w:color w:val="auto"/>
          <w:kern w:val="0"/>
          <w:sz w:val="24"/>
          <w:szCs w:val="32"/>
        </w:rPr>
        <w:t>致：</w:t>
      </w:r>
      <w:r>
        <w:rPr>
          <w:rFonts w:hint="eastAsia" w:ascii="宋体" w:hAnsi="宋体" w:cs="宋体"/>
          <w:color w:val="auto"/>
          <w:kern w:val="0"/>
          <w:sz w:val="24"/>
          <w:szCs w:val="32"/>
          <w:u w:val="single"/>
        </w:rPr>
        <w:t>（采购人）</w:t>
      </w:r>
    </w:p>
    <w:p w14:paraId="2FE807AC">
      <w:pPr>
        <w:widowControl/>
        <w:autoSpaceDE w:val="0"/>
        <w:autoSpaceDN w:val="0"/>
        <w:spacing w:line="360" w:lineRule="auto"/>
        <w:ind w:firstLine="480" w:firstLineChars="200"/>
        <w:rPr>
          <w:rFonts w:hint="eastAsia" w:ascii="宋体" w:hAnsi="宋体" w:cs="宋体"/>
          <w:color w:val="auto"/>
          <w:kern w:val="0"/>
          <w:sz w:val="24"/>
          <w:szCs w:val="32"/>
          <w:u w:val="single"/>
        </w:rPr>
      </w:pPr>
      <w:r>
        <w:rPr>
          <w:rFonts w:hint="eastAsia" w:ascii="宋体" w:hAnsi="宋体" w:cs="宋体"/>
          <w:color w:val="auto"/>
          <w:kern w:val="0"/>
          <w:sz w:val="24"/>
          <w:szCs w:val="32"/>
          <w:u w:val="single"/>
        </w:rPr>
        <w:t>（采购代理机构）</w:t>
      </w:r>
    </w:p>
    <w:p w14:paraId="14CF98D6">
      <w:pPr>
        <w:widowControl/>
        <w:autoSpaceDE w:val="0"/>
        <w:autoSpaceDN w:val="0"/>
        <w:spacing w:line="360" w:lineRule="auto"/>
        <w:ind w:firstLine="480" w:firstLineChars="200"/>
        <w:rPr>
          <w:rFonts w:hint="eastAsia" w:ascii="宋体" w:hAnsi="宋体" w:cs="宋体"/>
          <w:color w:val="auto"/>
          <w:kern w:val="0"/>
          <w:sz w:val="24"/>
          <w:szCs w:val="32"/>
        </w:rPr>
      </w:pPr>
    </w:p>
    <w:p w14:paraId="7D23B2D0">
      <w:pPr>
        <w:widowControl/>
        <w:autoSpaceDE w:val="0"/>
        <w:autoSpaceDN w:val="0"/>
        <w:spacing w:line="360" w:lineRule="auto"/>
        <w:ind w:firstLine="480" w:firstLineChars="200"/>
        <w:jc w:val="left"/>
        <w:rPr>
          <w:rFonts w:hint="eastAsia" w:ascii="宋体" w:hAnsi="宋体" w:cs="宋体"/>
          <w:color w:val="auto"/>
          <w:kern w:val="0"/>
          <w:sz w:val="24"/>
          <w:szCs w:val="32"/>
        </w:rPr>
      </w:pPr>
      <w:r>
        <w:rPr>
          <w:rFonts w:hint="eastAsia" w:ascii="宋体" w:hAnsi="宋体" w:cs="宋体"/>
          <w:color w:val="auto"/>
          <w:kern w:val="0"/>
          <w:sz w:val="24"/>
          <w:szCs w:val="32"/>
        </w:rPr>
        <w:t>本人作为法定代表人或经授权供应商代表，清楚知晓我单位本项目投标活动，对以下事项作出承诺：</w:t>
      </w:r>
    </w:p>
    <w:p w14:paraId="5D89B941">
      <w:pPr>
        <w:widowControl/>
        <w:autoSpaceDE w:val="0"/>
        <w:autoSpaceDN w:val="0"/>
        <w:spacing w:line="360" w:lineRule="auto"/>
        <w:ind w:firstLine="480" w:firstLineChars="200"/>
        <w:jc w:val="left"/>
        <w:rPr>
          <w:rFonts w:hint="eastAsia" w:ascii="宋体" w:hAnsi="宋体" w:cs="宋体"/>
          <w:color w:val="auto"/>
          <w:kern w:val="0"/>
          <w:sz w:val="24"/>
          <w:szCs w:val="32"/>
        </w:rPr>
      </w:pPr>
      <w:r>
        <w:rPr>
          <w:rFonts w:hint="eastAsia" w:ascii="宋体" w:hAnsi="宋体" w:cs="宋体"/>
          <w:color w:val="auto"/>
          <w:kern w:val="0"/>
          <w:sz w:val="24"/>
          <w:szCs w:val="32"/>
        </w:rPr>
        <w:t>一、我单位和我本人遵循公开、公平、公正、诚实守信的原则，依法依规参与本项目采购。</w:t>
      </w:r>
    </w:p>
    <w:p w14:paraId="770E21D6">
      <w:pPr>
        <w:widowControl/>
        <w:autoSpaceDE w:val="0"/>
        <w:autoSpaceDN w:val="0"/>
        <w:spacing w:line="360" w:lineRule="auto"/>
        <w:ind w:firstLine="480" w:firstLineChars="200"/>
        <w:jc w:val="left"/>
        <w:rPr>
          <w:rFonts w:hint="eastAsia" w:ascii="宋体" w:hAnsi="宋体" w:cs="宋体"/>
          <w:color w:val="auto"/>
          <w:kern w:val="0"/>
          <w:sz w:val="24"/>
          <w:szCs w:val="32"/>
        </w:rPr>
      </w:pPr>
      <w:r>
        <w:rPr>
          <w:rFonts w:hint="eastAsia" w:ascii="宋体" w:hAnsi="宋体" w:cs="宋体"/>
          <w:color w:val="auto"/>
          <w:kern w:val="0"/>
          <w:sz w:val="24"/>
          <w:szCs w:val="32"/>
        </w:rPr>
        <w:t>二、我单位和我本人在本项目采购活动过程中，一旦参与了开标活动，视为供应商默认对竞争性磋商文件中的所有内容均无异议，予以认可，后期不再对竞争性磋商文件提出质疑或投诉。</w:t>
      </w:r>
    </w:p>
    <w:p w14:paraId="605166B8">
      <w:pPr>
        <w:widowControl/>
        <w:autoSpaceDE w:val="0"/>
        <w:autoSpaceDN w:val="0"/>
        <w:spacing w:line="360" w:lineRule="auto"/>
        <w:ind w:firstLine="480" w:firstLineChars="200"/>
        <w:jc w:val="left"/>
        <w:rPr>
          <w:rFonts w:hint="eastAsia" w:ascii="宋体" w:hAnsi="宋体" w:cs="宋体"/>
          <w:color w:val="auto"/>
          <w:kern w:val="0"/>
          <w:sz w:val="24"/>
          <w:szCs w:val="32"/>
        </w:rPr>
      </w:pPr>
      <w:r>
        <w:rPr>
          <w:rFonts w:hint="eastAsia" w:ascii="宋体" w:hAnsi="宋体" w:cs="宋体"/>
          <w:color w:val="auto"/>
          <w:kern w:val="0"/>
          <w:sz w:val="24"/>
          <w:szCs w:val="32"/>
        </w:rPr>
        <w:t>三、我单位再次承诺：我单位所提供的所有资料均真实有效，无弄虚作假情况。如采购人发现我公司投标响应文件中提供虚假材料，我公司将承担所有法律后果。</w:t>
      </w:r>
    </w:p>
    <w:p w14:paraId="0B37CA3C">
      <w:pPr>
        <w:widowControl/>
        <w:ind w:firstLine="360"/>
        <w:jc w:val="left"/>
        <w:rPr>
          <w:rFonts w:hint="eastAsia" w:ascii="宋体" w:hAnsi="宋体" w:cs="宋体"/>
          <w:color w:val="auto"/>
          <w:kern w:val="0"/>
          <w:sz w:val="24"/>
          <w:szCs w:val="32"/>
        </w:rPr>
      </w:pPr>
    </w:p>
    <w:p w14:paraId="72357C01">
      <w:pPr>
        <w:widowControl/>
        <w:ind w:firstLine="360"/>
        <w:jc w:val="left"/>
        <w:rPr>
          <w:rFonts w:hint="eastAsia" w:ascii="宋体" w:hAnsi="宋体" w:cs="宋体"/>
          <w:color w:val="auto"/>
          <w:kern w:val="0"/>
          <w:sz w:val="24"/>
          <w:szCs w:val="32"/>
        </w:rPr>
      </w:pPr>
    </w:p>
    <w:p w14:paraId="30DF77D4">
      <w:pPr>
        <w:widowControl/>
        <w:ind w:firstLine="360"/>
        <w:jc w:val="left"/>
        <w:rPr>
          <w:rFonts w:hint="eastAsia" w:ascii="宋体" w:hAnsi="宋体" w:cs="宋体"/>
          <w:color w:val="auto"/>
          <w:kern w:val="0"/>
          <w:sz w:val="24"/>
          <w:szCs w:val="32"/>
        </w:rPr>
      </w:pPr>
    </w:p>
    <w:p w14:paraId="7A67BA94">
      <w:pPr>
        <w:spacing w:line="440" w:lineRule="exact"/>
        <w:rPr>
          <w:rFonts w:hint="eastAsia" w:ascii="宋体" w:hAnsi="宋体" w:cs="宋体"/>
          <w:bCs/>
          <w:color w:val="auto"/>
          <w:sz w:val="24"/>
        </w:rPr>
      </w:pPr>
      <w:r>
        <w:rPr>
          <w:rFonts w:hint="eastAsia" w:ascii="宋体" w:hAnsi="宋体" w:cs="宋体"/>
          <w:bCs/>
          <w:color w:val="auto"/>
          <w:sz w:val="24"/>
        </w:rPr>
        <w:t>供应商名称（公章）：</w:t>
      </w:r>
      <w:r>
        <w:rPr>
          <w:rFonts w:hint="eastAsia" w:ascii="宋体" w:hAnsi="宋体" w:cs="宋体"/>
          <w:bCs/>
          <w:color w:val="auto"/>
          <w:sz w:val="24"/>
          <w:u w:val="single"/>
        </w:rPr>
        <w:t xml:space="preserve">                               </w:t>
      </w:r>
    </w:p>
    <w:p w14:paraId="6986775B">
      <w:pPr>
        <w:spacing w:line="440" w:lineRule="exact"/>
        <w:rPr>
          <w:rFonts w:hint="eastAsia" w:ascii="宋体" w:hAnsi="宋体" w:cs="宋体"/>
          <w:bCs/>
          <w:color w:val="auto"/>
          <w:sz w:val="24"/>
        </w:rPr>
      </w:pPr>
    </w:p>
    <w:p w14:paraId="32D6D269">
      <w:pPr>
        <w:spacing w:line="440" w:lineRule="exact"/>
        <w:rPr>
          <w:rFonts w:hint="eastAsia" w:ascii="宋体" w:hAnsi="宋体" w:cs="宋体"/>
          <w:bCs/>
          <w:color w:val="auto"/>
          <w:sz w:val="24"/>
        </w:rPr>
      </w:pPr>
      <w:r>
        <w:rPr>
          <w:rFonts w:hint="eastAsia" w:ascii="宋体" w:hAnsi="宋体" w:cs="宋体"/>
          <w:bCs/>
          <w:color w:val="auto"/>
          <w:sz w:val="24"/>
        </w:rPr>
        <w:t>法定代表人（非法人组织负责人）</w:t>
      </w:r>
    </w:p>
    <w:p w14:paraId="15CBCE40">
      <w:pPr>
        <w:spacing w:line="440" w:lineRule="exact"/>
        <w:rPr>
          <w:rFonts w:hint="eastAsia" w:ascii="宋体" w:hAnsi="宋体" w:cs="宋体"/>
          <w:bCs/>
          <w:color w:val="auto"/>
          <w:sz w:val="24"/>
          <w:u w:val="single"/>
        </w:rPr>
      </w:pPr>
      <w:r>
        <w:rPr>
          <w:rFonts w:hint="eastAsia" w:ascii="宋体" w:hAnsi="宋体" w:cs="宋体"/>
          <w:bCs/>
          <w:color w:val="auto"/>
          <w:sz w:val="24"/>
        </w:rPr>
        <w:t>或其授权委托人(签字或盖章)：</w:t>
      </w:r>
      <w:r>
        <w:rPr>
          <w:rFonts w:hint="eastAsia" w:ascii="宋体" w:hAnsi="宋体" w:cs="宋体"/>
          <w:bCs/>
          <w:color w:val="auto"/>
          <w:sz w:val="24"/>
          <w:u w:val="single"/>
        </w:rPr>
        <w:t xml:space="preserve">                     </w:t>
      </w:r>
    </w:p>
    <w:p w14:paraId="09257EFB">
      <w:pPr>
        <w:spacing w:line="440" w:lineRule="exact"/>
        <w:rPr>
          <w:rFonts w:hint="eastAsia" w:ascii="宋体" w:hAnsi="宋体" w:cs="宋体"/>
          <w:bCs/>
          <w:color w:val="auto"/>
          <w:sz w:val="24"/>
        </w:rPr>
      </w:pPr>
    </w:p>
    <w:p w14:paraId="2BCB303E">
      <w:pPr>
        <w:spacing w:line="440" w:lineRule="exact"/>
        <w:rPr>
          <w:rFonts w:hint="eastAsia" w:ascii="宋体" w:hAnsi="宋体" w:cs="宋体"/>
          <w:bCs/>
          <w:color w:val="auto"/>
          <w:sz w:val="24"/>
        </w:rPr>
      </w:pPr>
      <w:r>
        <w:rPr>
          <w:rFonts w:hint="eastAsia" w:ascii="宋体" w:hAnsi="宋体" w:cs="宋体"/>
          <w:bCs/>
          <w:color w:val="auto"/>
          <w:sz w:val="24"/>
        </w:rPr>
        <w:t>日期：</w:t>
      </w:r>
      <w:r>
        <w:rPr>
          <w:rFonts w:hint="eastAsia" w:ascii="宋体" w:hAnsi="宋体" w:cs="宋体"/>
          <w:bCs/>
          <w:color w:val="auto"/>
          <w:sz w:val="24"/>
          <w:u w:val="single"/>
        </w:rPr>
        <w:t xml:space="preserve">       </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14:paraId="0525E06D">
      <w:pPr>
        <w:rPr>
          <w:rFonts w:hint="eastAsia" w:ascii="宋体" w:hAnsi="宋体" w:cs="宋体"/>
          <w:b/>
          <w:color w:val="auto"/>
          <w:sz w:val="30"/>
          <w:szCs w:val="30"/>
        </w:rPr>
      </w:pPr>
      <w:r>
        <w:rPr>
          <w:rFonts w:hint="eastAsia" w:ascii="宋体" w:hAnsi="宋体" w:cs="宋体"/>
          <w:b/>
          <w:color w:val="auto"/>
          <w:sz w:val="30"/>
          <w:szCs w:val="30"/>
        </w:rPr>
        <w:br w:type="page"/>
      </w:r>
    </w:p>
    <w:p w14:paraId="2F8E840C">
      <w:pPr>
        <w:pStyle w:val="64"/>
        <w:jc w:val="center"/>
        <w:rPr>
          <w:rFonts w:hint="eastAsia" w:ascii="宋体" w:hAnsi="宋体" w:eastAsia="宋体" w:cs="宋体"/>
          <w:color w:val="auto"/>
        </w:rPr>
      </w:pPr>
      <w:r>
        <w:rPr>
          <w:rFonts w:hint="eastAsia" w:ascii="宋体" w:hAnsi="宋体" w:cs="宋体"/>
          <w:color w:val="auto"/>
          <w:sz w:val="30"/>
          <w:szCs w:val="30"/>
        </w:rPr>
        <w:t>6、</w:t>
      </w:r>
      <w:bookmarkStart w:id="288" w:name="_Toc3579"/>
      <w:bookmarkStart w:id="289" w:name="_Toc17901_WPSOffice_Level1"/>
      <w:bookmarkStart w:id="290" w:name="_Toc20884"/>
      <w:r>
        <w:rPr>
          <w:rFonts w:hint="eastAsia" w:ascii="宋体" w:hAnsi="宋体" w:eastAsia="宋体" w:cs="宋体"/>
          <w:color w:val="auto"/>
        </w:rPr>
        <w:t>不参与围标串标承诺书</w:t>
      </w:r>
    </w:p>
    <w:p w14:paraId="3830915B">
      <w:pPr>
        <w:pStyle w:val="65"/>
        <w:spacing w:line="6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本人作为</w:t>
      </w:r>
      <w:r>
        <w:rPr>
          <w:rFonts w:hint="eastAsia" w:ascii="宋体" w:hAnsi="宋体" w:eastAsia="宋体" w:cs="宋体"/>
          <w:b w:val="0"/>
          <w:bCs/>
          <w:color w:val="auto"/>
          <w:sz w:val="24"/>
          <w:u w:val="single"/>
        </w:rPr>
        <w:t xml:space="preserve">（单位名称）                    </w:t>
      </w:r>
      <w:r>
        <w:rPr>
          <w:rFonts w:hint="eastAsia" w:ascii="宋体" w:hAnsi="宋体" w:eastAsia="宋体" w:cs="宋体"/>
          <w:b w:val="0"/>
          <w:bCs/>
          <w:color w:val="auto"/>
          <w:sz w:val="24"/>
        </w:rPr>
        <w:t>的法人，清楚知晓我公司本项目投标活动，对以下事项作出承诺：</w:t>
      </w:r>
    </w:p>
    <w:p w14:paraId="6F1F156B">
      <w:pPr>
        <w:pStyle w:val="65"/>
        <w:spacing w:line="6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一、我单位遵循公开、公平、公正、诚实守信的原则，依法依规参与本项目竞标。</w:t>
      </w:r>
    </w:p>
    <w:p w14:paraId="704BFBA0">
      <w:pPr>
        <w:pStyle w:val="65"/>
        <w:spacing w:line="6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二、我单位在本项目招标投标活动中，未参与围标串标。</w:t>
      </w:r>
    </w:p>
    <w:p w14:paraId="7B2972AB">
      <w:pPr>
        <w:pStyle w:val="65"/>
        <w:spacing w:line="640" w:lineRule="exact"/>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三、我单位如被查实在本项目招标投标活动中存在围标串标的，递交投标响应文件行为作为实施串通投标违法行为的关键环节，本人承担直接责任人员法律责任，接受相应行政处罚和失信惩戒。</w:t>
      </w:r>
    </w:p>
    <w:p w14:paraId="6A7E4106">
      <w:pPr>
        <w:pStyle w:val="65"/>
        <w:spacing w:line="640" w:lineRule="exact"/>
        <w:rPr>
          <w:rFonts w:hint="eastAsia" w:ascii="宋体" w:hAnsi="宋体" w:eastAsia="宋体" w:cs="宋体"/>
          <w:b w:val="0"/>
          <w:bCs/>
          <w:color w:val="auto"/>
          <w:sz w:val="24"/>
        </w:rPr>
      </w:pPr>
    </w:p>
    <w:p w14:paraId="0972B8B6">
      <w:pPr>
        <w:pStyle w:val="65"/>
        <w:spacing w:line="640" w:lineRule="exact"/>
        <w:rPr>
          <w:rFonts w:hint="eastAsia" w:ascii="宋体" w:hAnsi="宋体" w:eastAsia="宋体" w:cs="宋体"/>
          <w:b w:val="0"/>
          <w:bCs/>
          <w:color w:val="auto"/>
          <w:sz w:val="24"/>
        </w:rPr>
      </w:pPr>
      <w:r>
        <w:rPr>
          <w:rFonts w:hint="eastAsia" w:ascii="宋体" w:hAnsi="宋体" w:eastAsia="宋体" w:cs="宋体"/>
          <w:b w:val="0"/>
          <w:bCs/>
          <w:color w:val="auto"/>
          <w:sz w:val="24"/>
        </w:rPr>
        <w:t xml:space="preserve">供应商名称（单位公章）：                          </w:t>
      </w:r>
    </w:p>
    <w:p w14:paraId="163392D2">
      <w:pPr>
        <w:pStyle w:val="65"/>
        <w:spacing w:line="640" w:lineRule="exact"/>
        <w:rPr>
          <w:rFonts w:hint="eastAsia" w:ascii="宋体" w:hAnsi="宋体" w:eastAsia="宋体" w:cs="宋体"/>
          <w:b w:val="0"/>
          <w:bCs/>
          <w:color w:val="auto"/>
          <w:sz w:val="24"/>
        </w:rPr>
      </w:pPr>
      <w:r>
        <w:rPr>
          <w:rFonts w:hint="eastAsia" w:ascii="宋体" w:hAnsi="宋体" w:eastAsia="宋体" w:cs="宋体"/>
          <w:b w:val="0"/>
          <w:bCs/>
          <w:color w:val="auto"/>
          <w:sz w:val="24"/>
        </w:rPr>
        <w:t xml:space="preserve">法定代表人（或非法人组织负责人）(签字或盖章)：                         </w:t>
      </w:r>
    </w:p>
    <w:p w14:paraId="7EE9C136">
      <w:pPr>
        <w:pStyle w:val="65"/>
        <w:spacing w:line="640" w:lineRule="exact"/>
        <w:rPr>
          <w:rFonts w:hint="eastAsia" w:ascii="宋体" w:hAnsi="宋体" w:eastAsia="宋体" w:cs="宋体"/>
          <w:b w:val="0"/>
          <w:bCs/>
          <w:color w:val="auto"/>
          <w:sz w:val="24"/>
        </w:rPr>
      </w:pPr>
      <w:r>
        <w:rPr>
          <w:rFonts w:hint="eastAsia" w:ascii="宋体" w:hAnsi="宋体" w:eastAsia="宋体" w:cs="宋体"/>
          <w:b w:val="0"/>
          <w:bCs/>
          <w:color w:val="auto"/>
          <w:sz w:val="24"/>
        </w:rPr>
        <w:t xml:space="preserve">日           期：                                                                        </w:t>
      </w:r>
    </w:p>
    <w:p w14:paraId="165798CA">
      <w:pPr>
        <w:rPr>
          <w:color w:val="auto"/>
        </w:rPr>
      </w:pPr>
      <w:r>
        <w:rPr>
          <w:rFonts w:hint="eastAsia"/>
          <w:color w:val="auto"/>
        </w:rPr>
        <w:br w:type="page"/>
      </w:r>
    </w:p>
    <w:p w14:paraId="4A0C297D">
      <w:pPr>
        <w:pStyle w:val="6"/>
        <w:spacing w:before="0" w:after="0" w:line="360" w:lineRule="auto"/>
        <w:jc w:val="center"/>
        <w:rPr>
          <w:rFonts w:hint="eastAsia" w:ascii="宋体" w:hAnsi="宋体" w:cs="宋体"/>
          <w:color w:val="auto"/>
          <w:sz w:val="30"/>
          <w:szCs w:val="30"/>
        </w:rPr>
      </w:pPr>
      <w:r>
        <w:rPr>
          <w:rFonts w:hint="eastAsia" w:ascii="宋体" w:hAnsi="宋体" w:cs="宋体"/>
          <w:color w:val="auto"/>
          <w:sz w:val="30"/>
          <w:szCs w:val="30"/>
        </w:rPr>
        <w:t>7、投标保证金</w:t>
      </w:r>
      <w:bookmarkEnd w:id="286"/>
      <w:bookmarkEnd w:id="287"/>
    </w:p>
    <w:p w14:paraId="23A62D6C">
      <w:pPr>
        <w:spacing w:line="360" w:lineRule="auto"/>
        <w:rPr>
          <w:color w:val="auto"/>
          <w:sz w:val="24"/>
        </w:rPr>
      </w:pPr>
      <w:r>
        <w:rPr>
          <w:rFonts w:hint="eastAsia"/>
          <w:color w:val="auto"/>
          <w:sz w:val="24"/>
        </w:rPr>
        <w:t>说明：电汇、转账或银行保函形式，附投标证金汇款凭证复印件（要求复印件内容清晰，能看清采购代理机构、供应商的名称、账号、金额等）</w:t>
      </w:r>
    </w:p>
    <w:p w14:paraId="5837561D">
      <w:pPr>
        <w:pStyle w:val="65"/>
        <w:spacing w:line="640" w:lineRule="exact"/>
        <w:rPr>
          <w:rFonts w:hint="eastAsia" w:ascii="宋体" w:hAnsi="宋体" w:eastAsia="宋体" w:cs="宋体"/>
          <w:b w:val="0"/>
          <w:color w:val="auto"/>
          <w:kern w:val="2"/>
          <w:sz w:val="30"/>
          <w:szCs w:val="30"/>
        </w:rPr>
      </w:pPr>
    </w:p>
    <w:p w14:paraId="3C2318FF">
      <w:pPr>
        <w:pStyle w:val="65"/>
        <w:spacing w:line="640" w:lineRule="exact"/>
        <w:rPr>
          <w:rFonts w:hint="eastAsia" w:ascii="宋体" w:hAnsi="宋体" w:eastAsia="宋体" w:cs="宋体"/>
          <w:b w:val="0"/>
          <w:color w:val="auto"/>
          <w:kern w:val="2"/>
          <w:sz w:val="30"/>
          <w:szCs w:val="30"/>
        </w:rPr>
      </w:pPr>
    </w:p>
    <w:p w14:paraId="7E524913">
      <w:pPr>
        <w:pStyle w:val="65"/>
        <w:spacing w:line="640" w:lineRule="exact"/>
        <w:rPr>
          <w:rFonts w:hint="eastAsia" w:ascii="宋体" w:hAnsi="宋体" w:eastAsia="宋体" w:cs="宋体"/>
          <w:b w:val="0"/>
          <w:color w:val="auto"/>
          <w:kern w:val="2"/>
          <w:sz w:val="30"/>
          <w:szCs w:val="30"/>
        </w:rPr>
      </w:pPr>
    </w:p>
    <w:p w14:paraId="7F96FF43">
      <w:pPr>
        <w:pStyle w:val="65"/>
        <w:spacing w:line="640" w:lineRule="exact"/>
        <w:rPr>
          <w:rFonts w:hint="eastAsia" w:ascii="宋体" w:hAnsi="宋体" w:eastAsia="宋体" w:cs="宋体"/>
          <w:b w:val="0"/>
          <w:color w:val="auto"/>
          <w:kern w:val="2"/>
          <w:sz w:val="30"/>
          <w:szCs w:val="30"/>
        </w:rPr>
      </w:pPr>
    </w:p>
    <w:p w14:paraId="6BFFCC9E">
      <w:pPr>
        <w:pStyle w:val="65"/>
        <w:spacing w:line="640" w:lineRule="exact"/>
        <w:rPr>
          <w:rFonts w:hint="eastAsia" w:ascii="宋体" w:hAnsi="宋体" w:eastAsia="宋体" w:cs="宋体"/>
          <w:b w:val="0"/>
          <w:bCs/>
          <w:color w:val="auto"/>
          <w:sz w:val="24"/>
        </w:rPr>
      </w:pPr>
      <w:r>
        <w:rPr>
          <w:rFonts w:hint="eastAsia" w:ascii="宋体" w:hAnsi="宋体" w:eastAsia="宋体" w:cs="宋体"/>
          <w:b w:val="0"/>
          <w:bCs/>
          <w:color w:val="auto"/>
          <w:kern w:val="2"/>
          <w:sz w:val="24"/>
        </w:rPr>
        <w:t xml:space="preserve">供应商名称（公章）：    </w:t>
      </w:r>
      <w:r>
        <w:rPr>
          <w:rFonts w:hint="eastAsia" w:ascii="宋体" w:hAnsi="宋体" w:eastAsia="宋体" w:cs="宋体"/>
          <w:b w:val="0"/>
          <w:bCs/>
          <w:color w:val="auto"/>
          <w:sz w:val="24"/>
        </w:rPr>
        <w:t xml:space="preserve">                           </w:t>
      </w:r>
    </w:p>
    <w:p w14:paraId="03AF1F94">
      <w:pPr>
        <w:spacing w:line="440" w:lineRule="exact"/>
        <w:rPr>
          <w:rFonts w:hint="eastAsia" w:ascii="宋体" w:hAnsi="宋体" w:cs="宋体"/>
          <w:bCs/>
          <w:color w:val="auto"/>
          <w:sz w:val="24"/>
        </w:rPr>
      </w:pPr>
    </w:p>
    <w:p w14:paraId="5948196E">
      <w:pPr>
        <w:spacing w:line="440" w:lineRule="exact"/>
        <w:rPr>
          <w:rFonts w:hint="eastAsia" w:ascii="宋体" w:hAnsi="宋体" w:cs="宋体"/>
          <w:bCs/>
          <w:color w:val="auto"/>
          <w:sz w:val="24"/>
        </w:rPr>
      </w:pPr>
      <w:r>
        <w:rPr>
          <w:rFonts w:hint="eastAsia" w:ascii="宋体" w:hAnsi="宋体" w:cs="宋体"/>
          <w:bCs/>
          <w:color w:val="auto"/>
          <w:sz w:val="24"/>
        </w:rPr>
        <w:t>日期：</w:t>
      </w:r>
      <w:r>
        <w:rPr>
          <w:rFonts w:hint="eastAsia" w:ascii="宋体" w:hAnsi="宋体" w:cs="宋体"/>
          <w:bCs/>
          <w:color w:val="auto"/>
          <w:sz w:val="24"/>
          <w:u w:val="single"/>
        </w:rPr>
        <w:t xml:space="preserve">       </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14:paraId="725518F3">
      <w:pPr>
        <w:pStyle w:val="6"/>
        <w:spacing w:before="0" w:after="0" w:line="360" w:lineRule="auto"/>
        <w:jc w:val="center"/>
        <w:rPr>
          <w:color w:val="auto"/>
          <w:sz w:val="24"/>
          <w:szCs w:val="24"/>
        </w:rPr>
      </w:pPr>
      <w:r>
        <w:rPr>
          <w:rFonts w:hint="eastAsia" w:ascii="宋体" w:hAnsi="宋体" w:cs="宋体"/>
          <w:color w:val="auto"/>
          <w:sz w:val="30"/>
          <w:szCs w:val="30"/>
        </w:rPr>
        <w:br w:type="page"/>
      </w:r>
      <w:bookmarkStart w:id="291" w:name="_Toc17746_WPSOffice_Level1"/>
      <w:bookmarkStart w:id="292" w:name="_Toc16017_WPSOffice_Level1"/>
      <w:r>
        <w:rPr>
          <w:rFonts w:hint="eastAsia" w:ascii="宋体" w:hAnsi="宋体" w:cs="宋体"/>
          <w:color w:val="auto"/>
          <w:sz w:val="30"/>
          <w:szCs w:val="30"/>
        </w:rPr>
        <w:t>8、</w:t>
      </w:r>
      <w:r>
        <w:rPr>
          <w:rFonts w:hint="eastAsia" w:ascii="宋体" w:hAnsi="宋体" w:cs="宋体"/>
          <w:bCs w:val="0"/>
          <w:color w:val="auto"/>
          <w:sz w:val="32"/>
          <w:szCs w:val="32"/>
        </w:rPr>
        <w:t>商务技术条款偏离表</w:t>
      </w:r>
      <w:bookmarkEnd w:id="291"/>
      <w:bookmarkEnd w:id="292"/>
    </w:p>
    <w:p w14:paraId="2E1B06E9">
      <w:pPr>
        <w:pStyle w:val="51"/>
        <w:spacing w:line="500" w:lineRule="exact"/>
        <w:ind w:left="480"/>
        <w:rPr>
          <w:rFonts w:hint="eastAsia" w:ascii="宋体" w:hAnsi="宋体"/>
          <w:color w:val="auto"/>
          <w:u w:val="single"/>
        </w:rPr>
      </w:pPr>
      <w:r>
        <w:rPr>
          <w:rFonts w:hint="eastAsia" w:ascii="宋体" w:hAnsi="宋体"/>
          <w:b/>
          <w:bCs/>
          <w:color w:val="auto"/>
        </w:rPr>
        <w:t>供应商名称：</w:t>
      </w:r>
      <w:r>
        <w:rPr>
          <w:rFonts w:hint="eastAsia" w:ascii="宋体" w:hAnsi="宋体"/>
          <w:color w:val="auto"/>
          <w:u w:val="single"/>
        </w:rPr>
        <w:t xml:space="preserve">                     </w:t>
      </w:r>
      <w:r>
        <w:rPr>
          <w:rFonts w:hint="eastAsia" w:ascii="宋体" w:hAnsi="宋体"/>
          <w:color w:val="auto"/>
        </w:rPr>
        <w:t xml:space="preserve"> </w:t>
      </w:r>
      <w:r>
        <w:rPr>
          <w:rFonts w:hint="eastAsia" w:ascii="宋体" w:hAnsi="宋体"/>
          <w:b/>
          <w:bCs/>
          <w:color w:val="auto"/>
        </w:rPr>
        <w:t>项目编号：</w:t>
      </w: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 xml:space="preserve">  </w:t>
      </w:r>
    </w:p>
    <w:tbl>
      <w:tblPr>
        <w:tblStyle w:val="33"/>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37AF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vAlign w:val="center"/>
          </w:tcPr>
          <w:p w14:paraId="254CF627">
            <w:pPr>
              <w:pStyle w:val="51"/>
              <w:keepNext w:val="0"/>
              <w:keepLines w:val="0"/>
              <w:suppressLineNumbers w:val="0"/>
              <w:spacing w:before="0" w:beforeAutospacing="0" w:after="0" w:afterAutospacing="0" w:line="500" w:lineRule="exact"/>
              <w:ind w:left="0" w:right="0"/>
              <w:jc w:val="center"/>
              <w:rPr>
                <w:rFonts w:hint="eastAsia" w:ascii="宋体" w:hAnsi="宋体"/>
                <w:color w:val="auto"/>
              </w:rPr>
            </w:pPr>
            <w:r>
              <w:rPr>
                <w:rFonts w:hint="eastAsia" w:ascii="宋体" w:hAnsi="宋体"/>
                <w:color w:val="auto"/>
              </w:rPr>
              <w:t>序号</w:t>
            </w:r>
          </w:p>
        </w:tc>
        <w:tc>
          <w:tcPr>
            <w:tcW w:w="2552" w:type="dxa"/>
            <w:vAlign w:val="center"/>
          </w:tcPr>
          <w:p w14:paraId="19FD7D41">
            <w:pPr>
              <w:pStyle w:val="51"/>
              <w:keepNext w:val="0"/>
              <w:keepLines w:val="0"/>
              <w:suppressLineNumbers w:val="0"/>
              <w:spacing w:before="0" w:beforeAutospacing="0" w:after="0" w:afterAutospacing="0" w:line="500" w:lineRule="exact"/>
              <w:ind w:left="0" w:right="0"/>
              <w:jc w:val="center"/>
              <w:rPr>
                <w:rFonts w:hint="eastAsia" w:ascii="宋体" w:hAnsi="宋体"/>
                <w:color w:val="auto"/>
              </w:rPr>
            </w:pPr>
            <w:r>
              <w:rPr>
                <w:rFonts w:hint="eastAsia" w:ascii="宋体" w:hAnsi="宋体"/>
                <w:color w:val="auto"/>
              </w:rPr>
              <w:t>磋商文件的商务技术条款</w:t>
            </w:r>
          </w:p>
        </w:tc>
        <w:tc>
          <w:tcPr>
            <w:tcW w:w="2409" w:type="dxa"/>
            <w:vAlign w:val="center"/>
          </w:tcPr>
          <w:p w14:paraId="430B3A32">
            <w:pPr>
              <w:pStyle w:val="51"/>
              <w:keepNext w:val="0"/>
              <w:keepLines w:val="0"/>
              <w:suppressLineNumbers w:val="0"/>
              <w:spacing w:before="0" w:beforeAutospacing="0" w:after="0" w:afterAutospacing="0" w:line="500" w:lineRule="exact"/>
              <w:ind w:left="0" w:right="0"/>
              <w:jc w:val="center"/>
              <w:rPr>
                <w:rFonts w:hint="eastAsia" w:ascii="宋体" w:hAnsi="宋体"/>
                <w:color w:val="auto"/>
              </w:rPr>
            </w:pPr>
            <w:r>
              <w:rPr>
                <w:rFonts w:hint="eastAsia" w:ascii="宋体" w:hAnsi="宋体"/>
                <w:color w:val="auto"/>
              </w:rPr>
              <w:t>投标响应文件的商务技术条款</w:t>
            </w:r>
          </w:p>
        </w:tc>
        <w:tc>
          <w:tcPr>
            <w:tcW w:w="1588" w:type="dxa"/>
            <w:vAlign w:val="center"/>
          </w:tcPr>
          <w:p w14:paraId="041B0654">
            <w:pPr>
              <w:pStyle w:val="51"/>
              <w:keepNext w:val="0"/>
              <w:keepLines w:val="0"/>
              <w:suppressLineNumbers w:val="0"/>
              <w:spacing w:before="0" w:beforeAutospacing="0" w:after="0" w:afterAutospacing="0" w:line="500" w:lineRule="exact"/>
              <w:ind w:left="0" w:right="0"/>
              <w:jc w:val="center"/>
              <w:rPr>
                <w:rFonts w:hint="eastAsia" w:ascii="宋体" w:hAnsi="宋体"/>
                <w:color w:val="auto"/>
              </w:rPr>
            </w:pPr>
            <w:r>
              <w:rPr>
                <w:rFonts w:hint="eastAsia" w:ascii="宋体" w:hAnsi="宋体"/>
                <w:color w:val="auto"/>
              </w:rPr>
              <w:t>偏离</w:t>
            </w:r>
          </w:p>
        </w:tc>
        <w:tc>
          <w:tcPr>
            <w:tcW w:w="1815" w:type="dxa"/>
            <w:vAlign w:val="center"/>
          </w:tcPr>
          <w:p w14:paraId="518A8FDB">
            <w:pPr>
              <w:pStyle w:val="51"/>
              <w:keepNext w:val="0"/>
              <w:keepLines w:val="0"/>
              <w:suppressLineNumbers w:val="0"/>
              <w:spacing w:before="0" w:beforeAutospacing="0" w:after="0" w:afterAutospacing="0" w:line="500" w:lineRule="exact"/>
              <w:ind w:left="0" w:right="0"/>
              <w:jc w:val="center"/>
              <w:rPr>
                <w:rFonts w:hint="eastAsia" w:ascii="宋体" w:hAnsi="宋体"/>
                <w:color w:val="auto"/>
              </w:rPr>
            </w:pPr>
            <w:r>
              <w:rPr>
                <w:rFonts w:hint="eastAsia" w:ascii="宋体" w:hAnsi="宋体"/>
                <w:color w:val="auto"/>
              </w:rPr>
              <w:t>备注</w:t>
            </w:r>
          </w:p>
        </w:tc>
      </w:tr>
      <w:tr w14:paraId="60AC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535528A1">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5502EE22">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5ED811A0">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2D8AD43E">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59D35200">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33CF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C894276">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7A5DD231">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63606489">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066AE690">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0F04CEDB">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032C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77B42511">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503CFB4C">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37CABF76">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5717AC8B">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3CF3B44C">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033B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5E67F1EE">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6B5306D8">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37FDB6AA">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12C6D149">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51CDE2D7">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42FD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E9C8749">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74909162">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39855529">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00E49882">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4681B376">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5B2F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EEBDA14">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035D6067">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00E2FC2B">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73356224">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15C20251">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1C55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8C4DEA5">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6AF45632">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2FC272CC">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477CF833">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18E689B9">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5604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62FF092">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46847A3C">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33DCAF4E">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5DA7DDA0">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1909064B">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2EA4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97A0810">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631A441E">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3CA4C745">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7A31F4F3">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6AF26AFE">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53AE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19C2F8C">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469C085D">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7ADB928A">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34EF3CF3">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3AD04F16">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r w14:paraId="5B39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8C8BE36">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552" w:type="dxa"/>
          </w:tcPr>
          <w:p w14:paraId="1D2BADDF">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2409" w:type="dxa"/>
          </w:tcPr>
          <w:p w14:paraId="516F6F56">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588" w:type="dxa"/>
          </w:tcPr>
          <w:p w14:paraId="3FBE9C53">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c>
          <w:tcPr>
            <w:tcW w:w="1815" w:type="dxa"/>
          </w:tcPr>
          <w:p w14:paraId="5A066B93">
            <w:pPr>
              <w:pStyle w:val="51"/>
              <w:keepNext w:val="0"/>
              <w:keepLines w:val="0"/>
              <w:suppressLineNumbers w:val="0"/>
              <w:spacing w:before="0" w:beforeAutospacing="0" w:after="0" w:afterAutospacing="0" w:line="500" w:lineRule="exact"/>
              <w:ind w:left="480" w:right="0" w:firstLine="480"/>
              <w:jc w:val="center"/>
              <w:rPr>
                <w:rFonts w:hint="eastAsia" w:ascii="宋体" w:hAnsi="宋体"/>
                <w:color w:val="auto"/>
              </w:rPr>
            </w:pPr>
          </w:p>
        </w:tc>
      </w:tr>
    </w:tbl>
    <w:p w14:paraId="5F87162B">
      <w:pPr>
        <w:pStyle w:val="51"/>
        <w:spacing w:line="500" w:lineRule="exact"/>
        <w:ind w:firstLine="480" w:firstLineChars="200"/>
        <w:rPr>
          <w:rFonts w:hint="eastAsia" w:ascii="宋体" w:hAnsi="宋体"/>
          <w:color w:val="auto"/>
        </w:rPr>
      </w:pPr>
      <w:r>
        <w:rPr>
          <w:rFonts w:hint="eastAsia" w:ascii="宋体" w:hAnsi="宋体"/>
          <w:color w:val="auto"/>
        </w:rPr>
        <w:t>注：如供应商提交的商务技术条款与竞争性磋商文件的要求存在偏离，需逐项在偏离一栏中详细说明。若无偏离，请在上述表内注明“无偏离”或“/”，不填写视为不响应。</w:t>
      </w:r>
    </w:p>
    <w:p w14:paraId="1C78F164">
      <w:pPr>
        <w:pStyle w:val="51"/>
        <w:spacing w:line="500" w:lineRule="exact"/>
        <w:ind w:left="480" w:firstLine="480"/>
        <w:rPr>
          <w:rFonts w:hint="eastAsia" w:ascii="宋体" w:hAnsi="宋体"/>
          <w:color w:val="auto"/>
        </w:rPr>
      </w:pPr>
    </w:p>
    <w:p w14:paraId="7D36CE08">
      <w:pPr>
        <w:spacing w:line="440" w:lineRule="exact"/>
        <w:rPr>
          <w:rFonts w:hint="eastAsia" w:ascii="宋体" w:hAnsi="宋体" w:cs="宋体"/>
          <w:bCs/>
          <w:color w:val="auto"/>
          <w:sz w:val="24"/>
        </w:rPr>
      </w:pPr>
    </w:p>
    <w:p w14:paraId="242B8F14">
      <w:pPr>
        <w:spacing w:line="440" w:lineRule="exact"/>
        <w:rPr>
          <w:rFonts w:hint="eastAsia" w:ascii="宋体" w:hAnsi="宋体" w:cs="宋体"/>
          <w:bCs/>
          <w:color w:val="auto"/>
          <w:sz w:val="24"/>
        </w:rPr>
      </w:pPr>
      <w:r>
        <w:rPr>
          <w:rFonts w:hint="eastAsia" w:ascii="宋体" w:hAnsi="宋体" w:cs="宋体"/>
          <w:bCs/>
          <w:color w:val="auto"/>
          <w:sz w:val="24"/>
        </w:rPr>
        <w:t>供应商名称（公章）：</w:t>
      </w:r>
      <w:r>
        <w:rPr>
          <w:rFonts w:hint="eastAsia" w:ascii="宋体" w:hAnsi="宋体" w:cs="宋体"/>
          <w:bCs/>
          <w:color w:val="auto"/>
          <w:sz w:val="24"/>
          <w:u w:val="single"/>
        </w:rPr>
        <w:t xml:space="preserve">                               </w:t>
      </w:r>
    </w:p>
    <w:p w14:paraId="3F5B40E8">
      <w:pPr>
        <w:spacing w:line="440" w:lineRule="exact"/>
        <w:rPr>
          <w:rFonts w:hint="eastAsia" w:ascii="宋体" w:hAnsi="宋体" w:cs="宋体"/>
          <w:bCs/>
          <w:color w:val="auto"/>
          <w:sz w:val="24"/>
        </w:rPr>
      </w:pPr>
    </w:p>
    <w:p w14:paraId="060D1024">
      <w:pPr>
        <w:spacing w:line="440" w:lineRule="exact"/>
        <w:rPr>
          <w:rFonts w:hint="eastAsia" w:ascii="宋体" w:hAnsi="宋体" w:cs="宋体"/>
          <w:bCs/>
          <w:color w:val="auto"/>
          <w:sz w:val="24"/>
        </w:rPr>
      </w:pPr>
      <w:r>
        <w:rPr>
          <w:rFonts w:hint="eastAsia" w:ascii="宋体" w:hAnsi="宋体" w:cs="宋体"/>
          <w:bCs/>
          <w:color w:val="auto"/>
          <w:sz w:val="24"/>
        </w:rPr>
        <w:t>法定代表人（非法人组织负责人）</w:t>
      </w:r>
    </w:p>
    <w:p w14:paraId="208A3EC3">
      <w:pPr>
        <w:spacing w:line="440" w:lineRule="exact"/>
        <w:rPr>
          <w:rFonts w:hint="eastAsia" w:ascii="宋体" w:hAnsi="宋体" w:cs="宋体"/>
          <w:bCs/>
          <w:color w:val="auto"/>
          <w:sz w:val="24"/>
          <w:u w:val="single"/>
        </w:rPr>
      </w:pPr>
      <w:r>
        <w:rPr>
          <w:rFonts w:hint="eastAsia" w:ascii="宋体" w:hAnsi="宋体" w:cs="宋体"/>
          <w:bCs/>
          <w:color w:val="auto"/>
          <w:sz w:val="24"/>
        </w:rPr>
        <w:t>或其授权委托人(签字或盖章)：</w:t>
      </w:r>
      <w:r>
        <w:rPr>
          <w:rFonts w:hint="eastAsia" w:ascii="宋体" w:hAnsi="宋体" w:cs="宋体"/>
          <w:bCs/>
          <w:color w:val="auto"/>
          <w:sz w:val="24"/>
          <w:u w:val="single"/>
        </w:rPr>
        <w:t xml:space="preserve">                     </w:t>
      </w:r>
    </w:p>
    <w:p w14:paraId="03E04C81">
      <w:pPr>
        <w:spacing w:line="440" w:lineRule="exact"/>
        <w:rPr>
          <w:rFonts w:hint="eastAsia" w:ascii="宋体" w:hAnsi="宋体" w:cs="宋体"/>
          <w:bCs/>
          <w:color w:val="auto"/>
          <w:sz w:val="24"/>
        </w:rPr>
      </w:pPr>
    </w:p>
    <w:p w14:paraId="26BD89F9">
      <w:pPr>
        <w:spacing w:line="440" w:lineRule="exact"/>
        <w:rPr>
          <w:rFonts w:hint="eastAsia" w:ascii="宋体" w:hAnsi="宋体" w:cs="宋体"/>
          <w:bCs/>
          <w:color w:val="auto"/>
          <w:sz w:val="24"/>
        </w:rPr>
      </w:pPr>
      <w:r>
        <w:rPr>
          <w:rFonts w:hint="eastAsia" w:ascii="宋体" w:hAnsi="宋体" w:cs="宋体"/>
          <w:bCs/>
          <w:color w:val="auto"/>
          <w:sz w:val="24"/>
        </w:rPr>
        <w:t>日期：</w:t>
      </w:r>
      <w:r>
        <w:rPr>
          <w:rFonts w:hint="eastAsia" w:ascii="宋体" w:hAnsi="宋体" w:cs="宋体"/>
          <w:bCs/>
          <w:color w:val="auto"/>
          <w:sz w:val="24"/>
          <w:u w:val="single"/>
        </w:rPr>
        <w:t xml:space="preserve">       </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14:paraId="5DA7D9FA">
      <w:pPr>
        <w:spacing w:line="440" w:lineRule="exact"/>
        <w:rPr>
          <w:rFonts w:hint="eastAsia" w:ascii="宋体" w:hAnsi="宋体" w:cs="宋体"/>
          <w:b/>
          <w:bCs/>
          <w:color w:val="auto"/>
          <w:sz w:val="24"/>
        </w:rPr>
      </w:pPr>
    </w:p>
    <w:p w14:paraId="1E453AD1">
      <w:pPr>
        <w:pStyle w:val="51"/>
        <w:spacing w:line="500" w:lineRule="exact"/>
        <w:ind w:left="480" w:firstLine="480"/>
        <w:rPr>
          <w:rFonts w:hint="eastAsia" w:ascii="宋体" w:hAnsi="宋体"/>
          <w:b/>
          <w:color w:val="auto"/>
        </w:rPr>
      </w:pPr>
      <w:r>
        <w:rPr>
          <w:rFonts w:hint="eastAsia" w:ascii="宋体" w:hAnsi="宋体" w:cs="宋体"/>
          <w:b/>
          <w:color w:val="auto"/>
          <w:sz w:val="30"/>
          <w:szCs w:val="30"/>
        </w:rPr>
        <w:br w:type="page"/>
      </w:r>
      <w:bookmarkStart w:id="293" w:name="_Toc30141_WPSOffice_Level1"/>
      <w:bookmarkStart w:id="294" w:name="_Toc5907_WPSOffice_Level1"/>
    </w:p>
    <w:p w14:paraId="6A3BCD8A">
      <w:pPr>
        <w:tabs>
          <w:tab w:val="left" w:pos="0"/>
        </w:tabs>
        <w:spacing w:line="360" w:lineRule="auto"/>
        <w:jc w:val="center"/>
        <w:outlineLvl w:val="0"/>
        <w:rPr>
          <w:rFonts w:hint="eastAsia" w:ascii="宋体" w:hAnsi="宋体" w:cs="宋体"/>
          <w:b/>
          <w:color w:val="auto"/>
          <w:sz w:val="30"/>
          <w:szCs w:val="30"/>
        </w:rPr>
      </w:pPr>
      <w:bookmarkStart w:id="295" w:name="_Toc14587"/>
      <w:r>
        <w:rPr>
          <w:rFonts w:hint="eastAsia" w:ascii="宋体" w:hAnsi="宋体" w:cs="宋体"/>
          <w:b/>
          <w:color w:val="auto"/>
          <w:sz w:val="30"/>
          <w:szCs w:val="30"/>
        </w:rPr>
        <w:t>9、供应商202</w:t>
      </w:r>
      <w:r>
        <w:rPr>
          <w:rFonts w:hint="eastAsia" w:ascii="宋体" w:hAnsi="宋体" w:cs="宋体"/>
          <w:b/>
          <w:color w:val="auto"/>
          <w:sz w:val="30"/>
          <w:szCs w:val="30"/>
          <w:lang w:val="en-US" w:eastAsia="zh-CN"/>
        </w:rPr>
        <w:t>2</w:t>
      </w:r>
      <w:r>
        <w:rPr>
          <w:rFonts w:hint="eastAsia" w:ascii="宋体" w:hAnsi="宋体" w:cs="宋体"/>
          <w:b/>
          <w:color w:val="auto"/>
          <w:sz w:val="30"/>
          <w:szCs w:val="30"/>
        </w:rPr>
        <w:t>年1月至今业绩案例一览表</w:t>
      </w:r>
      <w:bookmarkEnd w:id="288"/>
      <w:bookmarkEnd w:id="289"/>
      <w:bookmarkEnd w:id="290"/>
      <w:bookmarkEnd w:id="293"/>
      <w:bookmarkEnd w:id="294"/>
      <w:bookmarkEnd w:id="295"/>
    </w:p>
    <w:p w14:paraId="2CB20026">
      <w:pPr>
        <w:pStyle w:val="13"/>
        <w:tabs>
          <w:tab w:val="left" w:pos="0"/>
        </w:tabs>
        <w:ind w:left="479" w:leftChars="228"/>
        <w:rPr>
          <w:color w:val="auto"/>
        </w:rPr>
      </w:pPr>
    </w:p>
    <w:tbl>
      <w:tblPr>
        <w:tblStyle w:val="34"/>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418"/>
        <w:gridCol w:w="1725"/>
        <w:gridCol w:w="1297"/>
        <w:gridCol w:w="1656"/>
        <w:gridCol w:w="1072"/>
      </w:tblGrid>
      <w:tr w14:paraId="53D1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52F84D4D">
            <w:pPr>
              <w:keepNext w:val="0"/>
              <w:keepLines w:val="0"/>
              <w:suppressLineNumbers w:val="0"/>
              <w:spacing w:before="0" w:beforeAutospacing="0" w:after="0" w:afterAutospacing="0"/>
              <w:ind w:left="0" w:right="0"/>
              <w:jc w:val="center"/>
              <w:rPr>
                <w:rFonts w:hint="default"/>
                <w:color w:val="auto"/>
                <w:sz w:val="24"/>
              </w:rPr>
            </w:pPr>
            <w:r>
              <w:rPr>
                <w:rFonts w:hint="eastAsia"/>
                <w:color w:val="auto"/>
                <w:sz w:val="24"/>
              </w:rPr>
              <w:t>序号</w:t>
            </w:r>
          </w:p>
        </w:tc>
        <w:tc>
          <w:tcPr>
            <w:tcW w:w="1559" w:type="dxa"/>
            <w:vAlign w:val="center"/>
          </w:tcPr>
          <w:p w14:paraId="6DED4C5E">
            <w:pPr>
              <w:keepNext w:val="0"/>
              <w:keepLines w:val="0"/>
              <w:suppressLineNumbers w:val="0"/>
              <w:spacing w:before="0" w:beforeAutospacing="0" w:after="0" w:afterAutospacing="0"/>
              <w:ind w:left="0" w:right="0"/>
              <w:jc w:val="center"/>
              <w:rPr>
                <w:rFonts w:hint="default"/>
                <w:color w:val="auto"/>
                <w:sz w:val="24"/>
              </w:rPr>
            </w:pPr>
            <w:r>
              <w:rPr>
                <w:rFonts w:hint="eastAsia"/>
                <w:color w:val="auto"/>
                <w:sz w:val="24"/>
              </w:rPr>
              <w:t>合同名称</w:t>
            </w:r>
          </w:p>
        </w:tc>
        <w:tc>
          <w:tcPr>
            <w:tcW w:w="1418" w:type="dxa"/>
            <w:vAlign w:val="center"/>
          </w:tcPr>
          <w:p w14:paraId="75242F30">
            <w:pPr>
              <w:keepNext w:val="0"/>
              <w:keepLines w:val="0"/>
              <w:suppressLineNumbers w:val="0"/>
              <w:spacing w:before="0" w:beforeAutospacing="0" w:after="0" w:afterAutospacing="0"/>
              <w:ind w:left="0" w:right="0"/>
              <w:jc w:val="center"/>
              <w:rPr>
                <w:rFonts w:hint="default"/>
                <w:color w:val="auto"/>
                <w:sz w:val="24"/>
              </w:rPr>
            </w:pPr>
            <w:r>
              <w:rPr>
                <w:rFonts w:hint="eastAsia"/>
                <w:color w:val="auto"/>
                <w:sz w:val="24"/>
              </w:rPr>
              <w:t>合同金额</w:t>
            </w:r>
          </w:p>
        </w:tc>
        <w:tc>
          <w:tcPr>
            <w:tcW w:w="1725" w:type="dxa"/>
            <w:vAlign w:val="center"/>
          </w:tcPr>
          <w:p w14:paraId="14360BB0">
            <w:pPr>
              <w:keepNext w:val="0"/>
              <w:keepLines w:val="0"/>
              <w:suppressLineNumbers w:val="0"/>
              <w:spacing w:before="0" w:beforeAutospacing="0" w:after="0" w:afterAutospacing="0"/>
              <w:ind w:left="0" w:right="0"/>
              <w:jc w:val="center"/>
              <w:rPr>
                <w:rFonts w:hint="default"/>
                <w:color w:val="auto"/>
                <w:sz w:val="24"/>
              </w:rPr>
            </w:pPr>
            <w:r>
              <w:rPr>
                <w:rFonts w:hint="eastAsia"/>
                <w:color w:val="auto"/>
                <w:sz w:val="24"/>
              </w:rPr>
              <w:t>合同签订时间</w:t>
            </w:r>
          </w:p>
        </w:tc>
        <w:tc>
          <w:tcPr>
            <w:tcW w:w="1297" w:type="dxa"/>
            <w:vAlign w:val="center"/>
          </w:tcPr>
          <w:p w14:paraId="2E88F5EC">
            <w:pPr>
              <w:keepNext w:val="0"/>
              <w:keepLines w:val="0"/>
              <w:suppressLineNumbers w:val="0"/>
              <w:spacing w:before="0" w:beforeAutospacing="0" w:after="0" w:afterAutospacing="0"/>
              <w:ind w:left="0" w:right="0"/>
              <w:jc w:val="center"/>
              <w:rPr>
                <w:rFonts w:hint="default"/>
                <w:color w:val="auto"/>
                <w:sz w:val="24"/>
              </w:rPr>
            </w:pPr>
            <w:r>
              <w:rPr>
                <w:rFonts w:hint="eastAsia"/>
                <w:color w:val="auto"/>
                <w:sz w:val="24"/>
              </w:rPr>
              <w:t>甲方名称</w:t>
            </w:r>
          </w:p>
        </w:tc>
        <w:tc>
          <w:tcPr>
            <w:tcW w:w="1656" w:type="dxa"/>
            <w:vAlign w:val="center"/>
          </w:tcPr>
          <w:p w14:paraId="4EEA4404">
            <w:pPr>
              <w:keepNext w:val="0"/>
              <w:keepLines w:val="0"/>
              <w:suppressLineNumbers w:val="0"/>
              <w:spacing w:before="0" w:beforeAutospacing="0" w:after="0" w:afterAutospacing="0"/>
              <w:ind w:left="0" w:right="0"/>
              <w:jc w:val="center"/>
              <w:rPr>
                <w:rFonts w:hint="default"/>
                <w:color w:val="auto"/>
                <w:sz w:val="24"/>
              </w:rPr>
            </w:pPr>
            <w:r>
              <w:rPr>
                <w:rFonts w:hint="eastAsia"/>
                <w:color w:val="auto"/>
                <w:sz w:val="24"/>
              </w:rPr>
              <w:t>甲方负责人</w:t>
            </w:r>
          </w:p>
        </w:tc>
        <w:tc>
          <w:tcPr>
            <w:tcW w:w="1072" w:type="dxa"/>
            <w:vAlign w:val="center"/>
          </w:tcPr>
          <w:p w14:paraId="18BE0991">
            <w:pPr>
              <w:keepNext w:val="0"/>
              <w:keepLines w:val="0"/>
              <w:suppressLineNumbers w:val="0"/>
              <w:spacing w:before="0" w:beforeAutospacing="0" w:after="0" w:afterAutospacing="0"/>
              <w:ind w:left="0" w:right="0"/>
              <w:jc w:val="center"/>
              <w:rPr>
                <w:rFonts w:hint="default"/>
                <w:color w:val="auto"/>
                <w:sz w:val="24"/>
              </w:rPr>
            </w:pPr>
            <w:r>
              <w:rPr>
                <w:rFonts w:hint="eastAsia"/>
                <w:color w:val="auto"/>
                <w:sz w:val="24"/>
              </w:rPr>
              <w:t>备注</w:t>
            </w:r>
          </w:p>
        </w:tc>
      </w:tr>
      <w:tr w14:paraId="6CF9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54F21189">
            <w:pPr>
              <w:keepNext w:val="0"/>
              <w:keepLines w:val="0"/>
              <w:suppressLineNumbers w:val="0"/>
              <w:spacing w:before="0" w:beforeAutospacing="0" w:after="0" w:afterAutospacing="0"/>
              <w:ind w:left="0" w:right="0"/>
              <w:rPr>
                <w:rFonts w:hint="default"/>
                <w:color w:val="auto"/>
                <w:sz w:val="24"/>
              </w:rPr>
            </w:pPr>
          </w:p>
        </w:tc>
        <w:tc>
          <w:tcPr>
            <w:tcW w:w="1559" w:type="dxa"/>
            <w:vAlign w:val="center"/>
          </w:tcPr>
          <w:p w14:paraId="1A6DB1F5">
            <w:pPr>
              <w:keepNext w:val="0"/>
              <w:keepLines w:val="0"/>
              <w:suppressLineNumbers w:val="0"/>
              <w:spacing w:before="0" w:beforeAutospacing="0" w:after="0" w:afterAutospacing="0"/>
              <w:ind w:left="0" w:right="0"/>
              <w:rPr>
                <w:rFonts w:hint="default"/>
                <w:color w:val="auto"/>
                <w:sz w:val="24"/>
              </w:rPr>
            </w:pPr>
          </w:p>
        </w:tc>
        <w:tc>
          <w:tcPr>
            <w:tcW w:w="1418" w:type="dxa"/>
            <w:vAlign w:val="center"/>
          </w:tcPr>
          <w:p w14:paraId="2A81CB5B">
            <w:pPr>
              <w:keepNext w:val="0"/>
              <w:keepLines w:val="0"/>
              <w:suppressLineNumbers w:val="0"/>
              <w:spacing w:before="0" w:beforeAutospacing="0" w:after="0" w:afterAutospacing="0"/>
              <w:ind w:left="0" w:right="0"/>
              <w:rPr>
                <w:rFonts w:hint="default"/>
                <w:color w:val="auto"/>
                <w:sz w:val="24"/>
              </w:rPr>
            </w:pPr>
          </w:p>
        </w:tc>
        <w:tc>
          <w:tcPr>
            <w:tcW w:w="1725" w:type="dxa"/>
            <w:vAlign w:val="center"/>
          </w:tcPr>
          <w:p w14:paraId="605B92B4">
            <w:pPr>
              <w:keepNext w:val="0"/>
              <w:keepLines w:val="0"/>
              <w:suppressLineNumbers w:val="0"/>
              <w:spacing w:before="0" w:beforeAutospacing="0" w:after="0" w:afterAutospacing="0"/>
              <w:ind w:left="0" w:right="0"/>
              <w:rPr>
                <w:rFonts w:hint="default"/>
                <w:color w:val="auto"/>
                <w:sz w:val="24"/>
              </w:rPr>
            </w:pPr>
          </w:p>
        </w:tc>
        <w:tc>
          <w:tcPr>
            <w:tcW w:w="1297" w:type="dxa"/>
            <w:vAlign w:val="center"/>
          </w:tcPr>
          <w:p w14:paraId="4C2E11BD">
            <w:pPr>
              <w:keepNext w:val="0"/>
              <w:keepLines w:val="0"/>
              <w:suppressLineNumbers w:val="0"/>
              <w:spacing w:before="0" w:beforeAutospacing="0" w:after="0" w:afterAutospacing="0"/>
              <w:ind w:left="0" w:right="0"/>
              <w:rPr>
                <w:rFonts w:hint="default"/>
                <w:color w:val="auto"/>
                <w:sz w:val="24"/>
              </w:rPr>
            </w:pPr>
          </w:p>
        </w:tc>
        <w:tc>
          <w:tcPr>
            <w:tcW w:w="1656" w:type="dxa"/>
            <w:vAlign w:val="center"/>
          </w:tcPr>
          <w:p w14:paraId="3F8996D9">
            <w:pPr>
              <w:keepNext w:val="0"/>
              <w:keepLines w:val="0"/>
              <w:suppressLineNumbers w:val="0"/>
              <w:spacing w:before="0" w:beforeAutospacing="0" w:after="0" w:afterAutospacing="0"/>
              <w:ind w:left="0" w:right="0"/>
              <w:rPr>
                <w:rFonts w:hint="default"/>
                <w:color w:val="auto"/>
                <w:sz w:val="24"/>
              </w:rPr>
            </w:pPr>
          </w:p>
        </w:tc>
        <w:tc>
          <w:tcPr>
            <w:tcW w:w="1072" w:type="dxa"/>
            <w:vAlign w:val="center"/>
          </w:tcPr>
          <w:p w14:paraId="64C5A325">
            <w:pPr>
              <w:keepNext w:val="0"/>
              <w:keepLines w:val="0"/>
              <w:suppressLineNumbers w:val="0"/>
              <w:spacing w:before="0" w:beforeAutospacing="0" w:after="0" w:afterAutospacing="0"/>
              <w:ind w:left="0" w:right="0"/>
              <w:rPr>
                <w:rFonts w:hint="default"/>
                <w:color w:val="auto"/>
                <w:sz w:val="24"/>
              </w:rPr>
            </w:pPr>
          </w:p>
        </w:tc>
      </w:tr>
      <w:tr w14:paraId="7FC8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3AFA1A4C">
            <w:pPr>
              <w:keepNext w:val="0"/>
              <w:keepLines w:val="0"/>
              <w:suppressLineNumbers w:val="0"/>
              <w:spacing w:before="0" w:beforeAutospacing="0" w:after="0" w:afterAutospacing="0"/>
              <w:ind w:left="0" w:right="0"/>
              <w:rPr>
                <w:rFonts w:hint="default"/>
                <w:color w:val="auto"/>
                <w:sz w:val="24"/>
              </w:rPr>
            </w:pPr>
          </w:p>
        </w:tc>
        <w:tc>
          <w:tcPr>
            <w:tcW w:w="1559" w:type="dxa"/>
            <w:vAlign w:val="center"/>
          </w:tcPr>
          <w:p w14:paraId="5448D90B">
            <w:pPr>
              <w:keepNext w:val="0"/>
              <w:keepLines w:val="0"/>
              <w:suppressLineNumbers w:val="0"/>
              <w:spacing w:before="0" w:beforeAutospacing="0" w:after="0" w:afterAutospacing="0"/>
              <w:ind w:left="0" w:right="0"/>
              <w:rPr>
                <w:rFonts w:hint="default"/>
                <w:color w:val="auto"/>
                <w:sz w:val="24"/>
              </w:rPr>
            </w:pPr>
          </w:p>
        </w:tc>
        <w:tc>
          <w:tcPr>
            <w:tcW w:w="1418" w:type="dxa"/>
            <w:vAlign w:val="center"/>
          </w:tcPr>
          <w:p w14:paraId="2749A081">
            <w:pPr>
              <w:keepNext w:val="0"/>
              <w:keepLines w:val="0"/>
              <w:suppressLineNumbers w:val="0"/>
              <w:spacing w:before="0" w:beforeAutospacing="0" w:after="0" w:afterAutospacing="0"/>
              <w:ind w:left="0" w:right="0"/>
              <w:rPr>
                <w:rFonts w:hint="default"/>
                <w:color w:val="auto"/>
                <w:sz w:val="24"/>
              </w:rPr>
            </w:pPr>
          </w:p>
        </w:tc>
        <w:tc>
          <w:tcPr>
            <w:tcW w:w="1725" w:type="dxa"/>
            <w:vAlign w:val="center"/>
          </w:tcPr>
          <w:p w14:paraId="043967D0">
            <w:pPr>
              <w:keepNext w:val="0"/>
              <w:keepLines w:val="0"/>
              <w:suppressLineNumbers w:val="0"/>
              <w:spacing w:before="0" w:beforeAutospacing="0" w:after="0" w:afterAutospacing="0"/>
              <w:ind w:left="0" w:right="0"/>
              <w:rPr>
                <w:rFonts w:hint="default"/>
                <w:color w:val="auto"/>
                <w:sz w:val="24"/>
              </w:rPr>
            </w:pPr>
          </w:p>
        </w:tc>
        <w:tc>
          <w:tcPr>
            <w:tcW w:w="1297" w:type="dxa"/>
            <w:vAlign w:val="center"/>
          </w:tcPr>
          <w:p w14:paraId="3E23F992">
            <w:pPr>
              <w:keepNext w:val="0"/>
              <w:keepLines w:val="0"/>
              <w:suppressLineNumbers w:val="0"/>
              <w:spacing w:before="0" w:beforeAutospacing="0" w:after="0" w:afterAutospacing="0"/>
              <w:ind w:left="0" w:right="0"/>
              <w:rPr>
                <w:rFonts w:hint="default"/>
                <w:color w:val="auto"/>
                <w:sz w:val="24"/>
              </w:rPr>
            </w:pPr>
          </w:p>
        </w:tc>
        <w:tc>
          <w:tcPr>
            <w:tcW w:w="1656" w:type="dxa"/>
            <w:vAlign w:val="center"/>
          </w:tcPr>
          <w:p w14:paraId="70B63551">
            <w:pPr>
              <w:keepNext w:val="0"/>
              <w:keepLines w:val="0"/>
              <w:suppressLineNumbers w:val="0"/>
              <w:spacing w:before="0" w:beforeAutospacing="0" w:after="0" w:afterAutospacing="0"/>
              <w:ind w:left="0" w:right="0"/>
              <w:rPr>
                <w:rFonts w:hint="default"/>
                <w:color w:val="auto"/>
                <w:sz w:val="24"/>
              </w:rPr>
            </w:pPr>
          </w:p>
        </w:tc>
        <w:tc>
          <w:tcPr>
            <w:tcW w:w="1072" w:type="dxa"/>
            <w:vAlign w:val="center"/>
          </w:tcPr>
          <w:p w14:paraId="6EE44C43">
            <w:pPr>
              <w:keepNext w:val="0"/>
              <w:keepLines w:val="0"/>
              <w:suppressLineNumbers w:val="0"/>
              <w:spacing w:before="0" w:beforeAutospacing="0" w:after="0" w:afterAutospacing="0"/>
              <w:ind w:left="0" w:right="0"/>
              <w:rPr>
                <w:rFonts w:hint="default"/>
                <w:color w:val="auto"/>
                <w:sz w:val="24"/>
              </w:rPr>
            </w:pPr>
          </w:p>
        </w:tc>
      </w:tr>
      <w:tr w14:paraId="3292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7A451AA6">
            <w:pPr>
              <w:keepNext w:val="0"/>
              <w:keepLines w:val="0"/>
              <w:suppressLineNumbers w:val="0"/>
              <w:spacing w:before="0" w:beforeAutospacing="0" w:after="0" w:afterAutospacing="0"/>
              <w:ind w:left="0" w:right="0"/>
              <w:rPr>
                <w:rFonts w:hint="default"/>
                <w:color w:val="auto"/>
                <w:sz w:val="24"/>
              </w:rPr>
            </w:pPr>
          </w:p>
        </w:tc>
        <w:tc>
          <w:tcPr>
            <w:tcW w:w="1559" w:type="dxa"/>
            <w:vAlign w:val="center"/>
          </w:tcPr>
          <w:p w14:paraId="64BC10AB">
            <w:pPr>
              <w:keepNext w:val="0"/>
              <w:keepLines w:val="0"/>
              <w:suppressLineNumbers w:val="0"/>
              <w:spacing w:before="0" w:beforeAutospacing="0" w:after="0" w:afterAutospacing="0"/>
              <w:ind w:left="0" w:right="0"/>
              <w:rPr>
                <w:rFonts w:hint="default"/>
                <w:color w:val="auto"/>
                <w:sz w:val="24"/>
              </w:rPr>
            </w:pPr>
          </w:p>
        </w:tc>
        <w:tc>
          <w:tcPr>
            <w:tcW w:w="1418" w:type="dxa"/>
            <w:vAlign w:val="center"/>
          </w:tcPr>
          <w:p w14:paraId="21D5D353">
            <w:pPr>
              <w:keepNext w:val="0"/>
              <w:keepLines w:val="0"/>
              <w:suppressLineNumbers w:val="0"/>
              <w:spacing w:before="0" w:beforeAutospacing="0" w:after="0" w:afterAutospacing="0"/>
              <w:ind w:left="0" w:right="0"/>
              <w:rPr>
                <w:rFonts w:hint="default"/>
                <w:color w:val="auto"/>
                <w:sz w:val="24"/>
              </w:rPr>
            </w:pPr>
          </w:p>
        </w:tc>
        <w:tc>
          <w:tcPr>
            <w:tcW w:w="1725" w:type="dxa"/>
            <w:vAlign w:val="center"/>
          </w:tcPr>
          <w:p w14:paraId="26B5C57E">
            <w:pPr>
              <w:keepNext w:val="0"/>
              <w:keepLines w:val="0"/>
              <w:suppressLineNumbers w:val="0"/>
              <w:spacing w:before="0" w:beforeAutospacing="0" w:after="0" w:afterAutospacing="0"/>
              <w:ind w:left="0" w:right="0"/>
              <w:rPr>
                <w:rFonts w:hint="default"/>
                <w:color w:val="auto"/>
                <w:sz w:val="24"/>
              </w:rPr>
            </w:pPr>
          </w:p>
        </w:tc>
        <w:tc>
          <w:tcPr>
            <w:tcW w:w="1297" w:type="dxa"/>
            <w:vAlign w:val="center"/>
          </w:tcPr>
          <w:p w14:paraId="4F50F605">
            <w:pPr>
              <w:keepNext w:val="0"/>
              <w:keepLines w:val="0"/>
              <w:suppressLineNumbers w:val="0"/>
              <w:spacing w:before="0" w:beforeAutospacing="0" w:after="0" w:afterAutospacing="0"/>
              <w:ind w:left="0" w:right="0"/>
              <w:rPr>
                <w:rFonts w:hint="default"/>
                <w:color w:val="auto"/>
                <w:sz w:val="24"/>
              </w:rPr>
            </w:pPr>
          </w:p>
        </w:tc>
        <w:tc>
          <w:tcPr>
            <w:tcW w:w="1656" w:type="dxa"/>
            <w:vAlign w:val="center"/>
          </w:tcPr>
          <w:p w14:paraId="10BE40B1">
            <w:pPr>
              <w:keepNext w:val="0"/>
              <w:keepLines w:val="0"/>
              <w:suppressLineNumbers w:val="0"/>
              <w:spacing w:before="0" w:beforeAutospacing="0" w:after="0" w:afterAutospacing="0"/>
              <w:ind w:left="0" w:right="0"/>
              <w:rPr>
                <w:rFonts w:hint="default"/>
                <w:color w:val="auto"/>
                <w:sz w:val="24"/>
              </w:rPr>
            </w:pPr>
          </w:p>
        </w:tc>
        <w:tc>
          <w:tcPr>
            <w:tcW w:w="1072" w:type="dxa"/>
            <w:vAlign w:val="center"/>
          </w:tcPr>
          <w:p w14:paraId="229C6309">
            <w:pPr>
              <w:keepNext w:val="0"/>
              <w:keepLines w:val="0"/>
              <w:suppressLineNumbers w:val="0"/>
              <w:spacing w:before="0" w:beforeAutospacing="0" w:after="0" w:afterAutospacing="0"/>
              <w:ind w:left="0" w:right="0"/>
              <w:rPr>
                <w:rFonts w:hint="default"/>
                <w:color w:val="auto"/>
                <w:sz w:val="24"/>
              </w:rPr>
            </w:pPr>
          </w:p>
        </w:tc>
      </w:tr>
      <w:tr w14:paraId="2EE3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3210E448">
            <w:pPr>
              <w:keepNext w:val="0"/>
              <w:keepLines w:val="0"/>
              <w:suppressLineNumbers w:val="0"/>
              <w:spacing w:before="0" w:beforeAutospacing="0" w:after="0" w:afterAutospacing="0"/>
              <w:ind w:left="0" w:right="0"/>
              <w:rPr>
                <w:rFonts w:hint="default"/>
                <w:color w:val="auto"/>
                <w:sz w:val="24"/>
              </w:rPr>
            </w:pPr>
          </w:p>
        </w:tc>
        <w:tc>
          <w:tcPr>
            <w:tcW w:w="1559" w:type="dxa"/>
            <w:vAlign w:val="center"/>
          </w:tcPr>
          <w:p w14:paraId="56A627AC">
            <w:pPr>
              <w:keepNext w:val="0"/>
              <w:keepLines w:val="0"/>
              <w:suppressLineNumbers w:val="0"/>
              <w:spacing w:before="0" w:beforeAutospacing="0" w:after="0" w:afterAutospacing="0"/>
              <w:ind w:left="0" w:right="0"/>
              <w:rPr>
                <w:rFonts w:hint="default"/>
                <w:color w:val="auto"/>
                <w:sz w:val="24"/>
              </w:rPr>
            </w:pPr>
          </w:p>
        </w:tc>
        <w:tc>
          <w:tcPr>
            <w:tcW w:w="1418" w:type="dxa"/>
            <w:vAlign w:val="center"/>
          </w:tcPr>
          <w:p w14:paraId="03BC5B69">
            <w:pPr>
              <w:keepNext w:val="0"/>
              <w:keepLines w:val="0"/>
              <w:suppressLineNumbers w:val="0"/>
              <w:spacing w:before="0" w:beforeAutospacing="0" w:after="0" w:afterAutospacing="0"/>
              <w:ind w:left="0" w:right="0"/>
              <w:rPr>
                <w:rFonts w:hint="default"/>
                <w:color w:val="auto"/>
                <w:sz w:val="24"/>
              </w:rPr>
            </w:pPr>
          </w:p>
        </w:tc>
        <w:tc>
          <w:tcPr>
            <w:tcW w:w="1725" w:type="dxa"/>
            <w:vAlign w:val="center"/>
          </w:tcPr>
          <w:p w14:paraId="367F119D">
            <w:pPr>
              <w:keepNext w:val="0"/>
              <w:keepLines w:val="0"/>
              <w:suppressLineNumbers w:val="0"/>
              <w:spacing w:before="0" w:beforeAutospacing="0" w:after="0" w:afterAutospacing="0"/>
              <w:ind w:left="0" w:right="0"/>
              <w:rPr>
                <w:rFonts w:hint="default"/>
                <w:color w:val="auto"/>
                <w:sz w:val="24"/>
              </w:rPr>
            </w:pPr>
          </w:p>
        </w:tc>
        <w:tc>
          <w:tcPr>
            <w:tcW w:w="1297" w:type="dxa"/>
            <w:vAlign w:val="center"/>
          </w:tcPr>
          <w:p w14:paraId="02749DD3">
            <w:pPr>
              <w:keepNext w:val="0"/>
              <w:keepLines w:val="0"/>
              <w:suppressLineNumbers w:val="0"/>
              <w:spacing w:before="0" w:beforeAutospacing="0" w:after="0" w:afterAutospacing="0"/>
              <w:ind w:left="0" w:right="0"/>
              <w:rPr>
                <w:rFonts w:hint="default"/>
                <w:color w:val="auto"/>
                <w:sz w:val="24"/>
              </w:rPr>
            </w:pPr>
          </w:p>
        </w:tc>
        <w:tc>
          <w:tcPr>
            <w:tcW w:w="1656" w:type="dxa"/>
            <w:vAlign w:val="center"/>
          </w:tcPr>
          <w:p w14:paraId="054234B3">
            <w:pPr>
              <w:keepNext w:val="0"/>
              <w:keepLines w:val="0"/>
              <w:suppressLineNumbers w:val="0"/>
              <w:spacing w:before="0" w:beforeAutospacing="0" w:after="0" w:afterAutospacing="0"/>
              <w:ind w:left="0" w:right="0"/>
              <w:rPr>
                <w:rFonts w:hint="default"/>
                <w:color w:val="auto"/>
                <w:sz w:val="24"/>
              </w:rPr>
            </w:pPr>
          </w:p>
        </w:tc>
        <w:tc>
          <w:tcPr>
            <w:tcW w:w="1072" w:type="dxa"/>
            <w:vAlign w:val="center"/>
          </w:tcPr>
          <w:p w14:paraId="1DE19835">
            <w:pPr>
              <w:keepNext w:val="0"/>
              <w:keepLines w:val="0"/>
              <w:suppressLineNumbers w:val="0"/>
              <w:spacing w:before="0" w:beforeAutospacing="0" w:after="0" w:afterAutospacing="0"/>
              <w:ind w:left="0" w:right="0"/>
              <w:rPr>
                <w:rFonts w:hint="default"/>
                <w:color w:val="auto"/>
                <w:sz w:val="24"/>
              </w:rPr>
            </w:pPr>
          </w:p>
        </w:tc>
      </w:tr>
      <w:tr w14:paraId="0FA9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Align w:val="center"/>
          </w:tcPr>
          <w:p w14:paraId="6379A9B9">
            <w:pPr>
              <w:keepNext w:val="0"/>
              <w:keepLines w:val="0"/>
              <w:suppressLineNumbers w:val="0"/>
              <w:spacing w:before="0" w:beforeAutospacing="0" w:after="0" w:afterAutospacing="0"/>
              <w:ind w:left="0" w:right="0"/>
              <w:rPr>
                <w:rFonts w:hint="default"/>
                <w:color w:val="auto"/>
                <w:sz w:val="24"/>
              </w:rPr>
            </w:pPr>
            <w:r>
              <w:rPr>
                <w:rFonts w:hint="eastAsia"/>
                <w:color w:val="auto"/>
                <w:sz w:val="24"/>
              </w:rPr>
              <w:t>……</w:t>
            </w:r>
          </w:p>
        </w:tc>
        <w:tc>
          <w:tcPr>
            <w:tcW w:w="1559" w:type="dxa"/>
            <w:vAlign w:val="center"/>
          </w:tcPr>
          <w:p w14:paraId="09DCB87F">
            <w:pPr>
              <w:keepNext w:val="0"/>
              <w:keepLines w:val="0"/>
              <w:suppressLineNumbers w:val="0"/>
              <w:spacing w:before="0" w:beforeAutospacing="0" w:after="0" w:afterAutospacing="0"/>
              <w:ind w:left="0" w:right="0"/>
              <w:rPr>
                <w:rFonts w:hint="default"/>
                <w:color w:val="auto"/>
                <w:sz w:val="24"/>
              </w:rPr>
            </w:pPr>
            <w:r>
              <w:rPr>
                <w:rFonts w:hint="eastAsia"/>
                <w:color w:val="auto"/>
                <w:sz w:val="24"/>
              </w:rPr>
              <w:t>……</w:t>
            </w:r>
          </w:p>
        </w:tc>
        <w:tc>
          <w:tcPr>
            <w:tcW w:w="1418" w:type="dxa"/>
            <w:vAlign w:val="center"/>
          </w:tcPr>
          <w:p w14:paraId="3D152122">
            <w:pPr>
              <w:keepNext w:val="0"/>
              <w:keepLines w:val="0"/>
              <w:suppressLineNumbers w:val="0"/>
              <w:spacing w:before="0" w:beforeAutospacing="0" w:after="0" w:afterAutospacing="0"/>
              <w:ind w:left="0" w:right="0"/>
              <w:rPr>
                <w:rFonts w:hint="default"/>
                <w:color w:val="auto"/>
                <w:sz w:val="24"/>
              </w:rPr>
            </w:pPr>
            <w:r>
              <w:rPr>
                <w:rFonts w:hint="eastAsia"/>
                <w:color w:val="auto"/>
                <w:sz w:val="24"/>
              </w:rPr>
              <w:t>……</w:t>
            </w:r>
          </w:p>
        </w:tc>
        <w:tc>
          <w:tcPr>
            <w:tcW w:w="1725" w:type="dxa"/>
            <w:vAlign w:val="center"/>
          </w:tcPr>
          <w:p w14:paraId="71A13480">
            <w:pPr>
              <w:keepNext w:val="0"/>
              <w:keepLines w:val="0"/>
              <w:suppressLineNumbers w:val="0"/>
              <w:spacing w:before="0" w:beforeAutospacing="0" w:after="0" w:afterAutospacing="0"/>
              <w:ind w:left="0" w:right="0"/>
              <w:rPr>
                <w:rFonts w:hint="default"/>
                <w:color w:val="auto"/>
                <w:sz w:val="24"/>
              </w:rPr>
            </w:pPr>
            <w:r>
              <w:rPr>
                <w:rFonts w:hint="eastAsia"/>
                <w:color w:val="auto"/>
                <w:sz w:val="24"/>
              </w:rPr>
              <w:t>……</w:t>
            </w:r>
          </w:p>
        </w:tc>
        <w:tc>
          <w:tcPr>
            <w:tcW w:w="1297" w:type="dxa"/>
            <w:vAlign w:val="center"/>
          </w:tcPr>
          <w:p w14:paraId="6F9F0736">
            <w:pPr>
              <w:keepNext w:val="0"/>
              <w:keepLines w:val="0"/>
              <w:suppressLineNumbers w:val="0"/>
              <w:spacing w:before="0" w:beforeAutospacing="0" w:after="0" w:afterAutospacing="0"/>
              <w:ind w:left="0" w:right="0"/>
              <w:rPr>
                <w:rFonts w:hint="default"/>
                <w:color w:val="auto"/>
                <w:sz w:val="24"/>
              </w:rPr>
            </w:pPr>
            <w:r>
              <w:rPr>
                <w:rFonts w:hint="eastAsia"/>
                <w:color w:val="auto"/>
                <w:sz w:val="24"/>
              </w:rPr>
              <w:t>……</w:t>
            </w:r>
          </w:p>
        </w:tc>
        <w:tc>
          <w:tcPr>
            <w:tcW w:w="1656" w:type="dxa"/>
            <w:vAlign w:val="center"/>
          </w:tcPr>
          <w:p w14:paraId="3B5031B5">
            <w:pPr>
              <w:keepNext w:val="0"/>
              <w:keepLines w:val="0"/>
              <w:suppressLineNumbers w:val="0"/>
              <w:spacing w:before="0" w:beforeAutospacing="0" w:after="0" w:afterAutospacing="0"/>
              <w:ind w:left="0" w:right="0"/>
              <w:rPr>
                <w:rFonts w:hint="default"/>
                <w:color w:val="auto"/>
                <w:sz w:val="24"/>
              </w:rPr>
            </w:pPr>
            <w:r>
              <w:rPr>
                <w:rFonts w:hint="eastAsia"/>
                <w:color w:val="auto"/>
                <w:sz w:val="24"/>
              </w:rPr>
              <w:t>……</w:t>
            </w:r>
          </w:p>
        </w:tc>
        <w:tc>
          <w:tcPr>
            <w:tcW w:w="1072" w:type="dxa"/>
            <w:vAlign w:val="center"/>
          </w:tcPr>
          <w:p w14:paraId="1431F675">
            <w:pPr>
              <w:keepNext w:val="0"/>
              <w:keepLines w:val="0"/>
              <w:suppressLineNumbers w:val="0"/>
              <w:spacing w:before="0" w:beforeAutospacing="0" w:after="0" w:afterAutospacing="0"/>
              <w:ind w:left="0" w:right="0"/>
              <w:rPr>
                <w:rFonts w:hint="default"/>
                <w:color w:val="auto"/>
                <w:sz w:val="24"/>
              </w:rPr>
            </w:pPr>
            <w:r>
              <w:rPr>
                <w:rFonts w:hint="eastAsia"/>
                <w:color w:val="auto"/>
                <w:sz w:val="24"/>
              </w:rPr>
              <w:t>……</w:t>
            </w:r>
          </w:p>
        </w:tc>
      </w:tr>
    </w:tbl>
    <w:p w14:paraId="02932AB7">
      <w:pPr>
        <w:spacing w:line="360" w:lineRule="auto"/>
        <w:ind w:firstLine="480"/>
        <w:rPr>
          <w:rFonts w:hint="eastAsia" w:ascii="宋体" w:hAnsi="宋体" w:cs="宋体"/>
          <w:color w:val="auto"/>
          <w:sz w:val="24"/>
        </w:rPr>
      </w:pPr>
    </w:p>
    <w:p w14:paraId="776B2956">
      <w:pPr>
        <w:spacing w:line="360" w:lineRule="auto"/>
        <w:ind w:firstLine="480"/>
        <w:rPr>
          <w:rFonts w:hint="eastAsia" w:ascii="宋体" w:hAnsi="宋体" w:cs="宋体"/>
          <w:color w:val="auto"/>
          <w:sz w:val="24"/>
        </w:rPr>
      </w:pPr>
      <w:r>
        <w:rPr>
          <w:rFonts w:hint="eastAsia" w:ascii="宋体" w:hAnsi="宋体" w:cs="宋体"/>
          <w:color w:val="auto"/>
          <w:sz w:val="24"/>
        </w:rPr>
        <w:t>注：1、须提供合同关键页（金额页、内容页、盖章页、日期页等）或（如中标（成交）通知书）扫描件，否则不得分。</w:t>
      </w:r>
    </w:p>
    <w:p w14:paraId="20169BC6">
      <w:pPr>
        <w:spacing w:line="360" w:lineRule="auto"/>
        <w:ind w:firstLine="480"/>
        <w:rPr>
          <w:rFonts w:hint="eastAsia" w:ascii="宋体" w:hAnsi="宋体" w:cs="宋体"/>
          <w:color w:val="auto"/>
          <w:sz w:val="24"/>
        </w:rPr>
      </w:pPr>
      <w:r>
        <w:rPr>
          <w:rFonts w:hint="eastAsia" w:ascii="宋体" w:hAnsi="宋体" w:cs="宋体"/>
          <w:color w:val="auto"/>
          <w:sz w:val="24"/>
        </w:rPr>
        <w:t>2、如有多个类似项目，可按此表格扩展。</w:t>
      </w:r>
    </w:p>
    <w:p w14:paraId="3887CC3C">
      <w:pPr>
        <w:spacing w:line="480" w:lineRule="auto"/>
        <w:ind w:firstLine="480" w:firstLineChars="200"/>
        <w:rPr>
          <w:rFonts w:hint="eastAsia" w:ascii="宋体" w:hAnsi="宋体" w:cs="宋体"/>
          <w:color w:val="auto"/>
          <w:sz w:val="24"/>
        </w:rPr>
      </w:pPr>
    </w:p>
    <w:p w14:paraId="154FD73E">
      <w:pPr>
        <w:spacing w:line="480" w:lineRule="auto"/>
        <w:ind w:firstLine="480" w:firstLineChars="200"/>
        <w:rPr>
          <w:rFonts w:hint="eastAsia" w:ascii="宋体" w:hAnsi="宋体" w:cs="宋体"/>
          <w:color w:val="auto"/>
          <w:sz w:val="24"/>
        </w:rPr>
      </w:pPr>
    </w:p>
    <w:p w14:paraId="46610C96">
      <w:pPr>
        <w:spacing w:line="440" w:lineRule="exact"/>
        <w:rPr>
          <w:rFonts w:hint="eastAsia" w:ascii="宋体" w:hAnsi="宋体" w:cs="宋体"/>
          <w:bCs/>
          <w:color w:val="auto"/>
          <w:sz w:val="24"/>
        </w:rPr>
      </w:pPr>
      <w:r>
        <w:rPr>
          <w:rFonts w:hint="eastAsia" w:ascii="宋体" w:hAnsi="宋体" w:cs="宋体"/>
          <w:bCs/>
          <w:color w:val="auto"/>
          <w:sz w:val="24"/>
        </w:rPr>
        <w:t>供应商名称（公章）：</w:t>
      </w:r>
      <w:r>
        <w:rPr>
          <w:rFonts w:hint="eastAsia" w:ascii="宋体" w:hAnsi="宋体" w:cs="宋体"/>
          <w:bCs/>
          <w:color w:val="auto"/>
          <w:sz w:val="24"/>
          <w:u w:val="single"/>
        </w:rPr>
        <w:t xml:space="preserve">                               </w:t>
      </w:r>
    </w:p>
    <w:p w14:paraId="2E9EF434">
      <w:pPr>
        <w:spacing w:line="440" w:lineRule="exact"/>
        <w:rPr>
          <w:rFonts w:hint="eastAsia" w:ascii="宋体" w:hAnsi="宋体" w:cs="宋体"/>
          <w:bCs/>
          <w:color w:val="auto"/>
          <w:sz w:val="24"/>
        </w:rPr>
      </w:pPr>
    </w:p>
    <w:p w14:paraId="10DB6A5C">
      <w:pPr>
        <w:spacing w:line="440" w:lineRule="exact"/>
        <w:rPr>
          <w:rFonts w:hint="eastAsia" w:ascii="宋体" w:hAnsi="宋体" w:cs="宋体"/>
          <w:bCs/>
          <w:color w:val="auto"/>
          <w:sz w:val="24"/>
        </w:rPr>
      </w:pPr>
      <w:r>
        <w:rPr>
          <w:rFonts w:hint="eastAsia" w:ascii="宋体" w:hAnsi="宋体" w:cs="宋体"/>
          <w:bCs/>
          <w:color w:val="auto"/>
          <w:sz w:val="24"/>
        </w:rPr>
        <w:t>法定代表人（非法人组织负责人）</w:t>
      </w:r>
    </w:p>
    <w:p w14:paraId="5B8F1A75">
      <w:pPr>
        <w:spacing w:line="440" w:lineRule="exact"/>
        <w:rPr>
          <w:rFonts w:hint="eastAsia" w:ascii="宋体" w:hAnsi="宋体" w:cs="宋体"/>
          <w:bCs/>
          <w:color w:val="auto"/>
          <w:sz w:val="24"/>
          <w:u w:val="single"/>
        </w:rPr>
      </w:pPr>
      <w:r>
        <w:rPr>
          <w:rFonts w:hint="eastAsia" w:ascii="宋体" w:hAnsi="宋体" w:cs="宋体"/>
          <w:bCs/>
          <w:color w:val="auto"/>
          <w:sz w:val="24"/>
        </w:rPr>
        <w:t>或其授权委托人(签字或盖章)：</w:t>
      </w:r>
      <w:r>
        <w:rPr>
          <w:rFonts w:hint="eastAsia" w:ascii="宋体" w:hAnsi="宋体" w:cs="宋体"/>
          <w:bCs/>
          <w:color w:val="auto"/>
          <w:sz w:val="24"/>
          <w:u w:val="single"/>
        </w:rPr>
        <w:t xml:space="preserve">                     </w:t>
      </w:r>
    </w:p>
    <w:p w14:paraId="4AAAE032">
      <w:pPr>
        <w:spacing w:line="440" w:lineRule="exact"/>
        <w:rPr>
          <w:rFonts w:hint="eastAsia" w:ascii="宋体" w:hAnsi="宋体" w:cs="宋体"/>
          <w:bCs/>
          <w:color w:val="auto"/>
          <w:sz w:val="24"/>
        </w:rPr>
      </w:pPr>
    </w:p>
    <w:p w14:paraId="68465DC0">
      <w:pPr>
        <w:spacing w:line="440" w:lineRule="exact"/>
        <w:rPr>
          <w:rFonts w:hint="eastAsia" w:ascii="宋体" w:hAnsi="宋体" w:cs="宋体"/>
          <w:bCs/>
          <w:color w:val="auto"/>
          <w:sz w:val="24"/>
        </w:rPr>
      </w:pPr>
      <w:r>
        <w:rPr>
          <w:rFonts w:hint="eastAsia" w:ascii="宋体" w:hAnsi="宋体" w:cs="宋体"/>
          <w:bCs/>
          <w:color w:val="auto"/>
          <w:sz w:val="24"/>
        </w:rPr>
        <w:t>日期：</w:t>
      </w:r>
      <w:r>
        <w:rPr>
          <w:rFonts w:hint="eastAsia" w:ascii="宋体" w:hAnsi="宋体" w:cs="宋体"/>
          <w:bCs/>
          <w:color w:val="auto"/>
          <w:sz w:val="24"/>
          <w:u w:val="single"/>
        </w:rPr>
        <w:t xml:space="preserve">       </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14:paraId="07A611EA">
      <w:pPr>
        <w:spacing w:line="440" w:lineRule="exact"/>
        <w:rPr>
          <w:rFonts w:hint="eastAsia" w:ascii="宋体" w:hAnsi="宋体" w:cs="宋体"/>
          <w:b/>
          <w:bCs/>
          <w:color w:val="auto"/>
          <w:sz w:val="24"/>
        </w:rPr>
      </w:pPr>
    </w:p>
    <w:p w14:paraId="7FD39F9A">
      <w:pPr>
        <w:pStyle w:val="9"/>
        <w:jc w:val="center"/>
        <w:rPr>
          <w:rFonts w:hint="eastAsia" w:ascii="宋体" w:hAnsi="宋体" w:eastAsia="宋体" w:cs="宋体"/>
          <w:b/>
          <w:color w:val="auto"/>
          <w:sz w:val="30"/>
          <w:szCs w:val="30"/>
        </w:rPr>
      </w:pPr>
      <w:bookmarkStart w:id="296" w:name="_Toc16587"/>
      <w:bookmarkStart w:id="297" w:name="_Toc25234"/>
      <w:r>
        <w:rPr>
          <w:rFonts w:hint="eastAsia" w:ascii="宋体" w:hAnsi="宋体" w:cs="宋体"/>
          <w:b/>
          <w:color w:val="auto"/>
          <w:sz w:val="30"/>
          <w:szCs w:val="30"/>
        </w:rPr>
        <w:br w:type="page"/>
      </w:r>
      <w:bookmarkEnd w:id="296"/>
      <w:bookmarkEnd w:id="297"/>
      <w:bookmarkStart w:id="298" w:name="_Toc29004_WPSOffice_Level1"/>
      <w:bookmarkStart w:id="299" w:name="_Toc41_WPSOffice_Level1"/>
      <w:bookmarkStart w:id="300" w:name="_Toc5541"/>
      <w:bookmarkStart w:id="301" w:name="_Toc29460"/>
      <w:bookmarkStart w:id="302" w:name="_Toc12611_WPSOffice_Level1"/>
      <w:r>
        <w:rPr>
          <w:rFonts w:hint="eastAsia" w:ascii="宋体" w:hAnsi="宋体" w:eastAsia="宋体" w:cs="宋体"/>
          <w:b/>
          <w:color w:val="auto"/>
          <w:sz w:val="30"/>
          <w:szCs w:val="30"/>
        </w:rPr>
        <w:t>10、</w:t>
      </w:r>
      <w:bookmarkEnd w:id="298"/>
      <w:bookmarkEnd w:id="299"/>
      <w:r>
        <w:rPr>
          <w:rFonts w:hint="eastAsia" w:ascii="宋体" w:hAnsi="宋体" w:eastAsia="宋体" w:cs="宋体"/>
          <w:b/>
          <w:color w:val="auto"/>
          <w:sz w:val="30"/>
          <w:szCs w:val="30"/>
        </w:rPr>
        <w:t>拟投入本项目的服务团队</w:t>
      </w:r>
    </w:p>
    <w:p w14:paraId="6DD30335">
      <w:pPr>
        <w:rPr>
          <w:color w:val="auto"/>
        </w:rPr>
      </w:pPr>
    </w:p>
    <w:tbl>
      <w:tblPr>
        <w:tblStyle w:val="33"/>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44"/>
        <w:gridCol w:w="940"/>
        <w:gridCol w:w="1207"/>
        <w:gridCol w:w="1521"/>
        <w:gridCol w:w="1665"/>
        <w:gridCol w:w="1520"/>
      </w:tblGrid>
      <w:tr w14:paraId="774D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0" w:type="dxa"/>
            <w:vAlign w:val="center"/>
          </w:tcPr>
          <w:p w14:paraId="149F7DAB">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序号</w:t>
            </w:r>
          </w:p>
        </w:tc>
        <w:tc>
          <w:tcPr>
            <w:tcW w:w="1344" w:type="dxa"/>
            <w:vAlign w:val="center"/>
          </w:tcPr>
          <w:p w14:paraId="7BB1D083">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姓名</w:t>
            </w:r>
          </w:p>
        </w:tc>
        <w:tc>
          <w:tcPr>
            <w:tcW w:w="940" w:type="dxa"/>
            <w:vAlign w:val="center"/>
          </w:tcPr>
          <w:p w14:paraId="636551EF">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性别</w:t>
            </w:r>
          </w:p>
        </w:tc>
        <w:tc>
          <w:tcPr>
            <w:tcW w:w="1207" w:type="dxa"/>
            <w:vAlign w:val="center"/>
          </w:tcPr>
          <w:p w14:paraId="3BCF9ED6">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身份证号码</w:t>
            </w:r>
          </w:p>
        </w:tc>
        <w:tc>
          <w:tcPr>
            <w:tcW w:w="1521" w:type="dxa"/>
            <w:vAlign w:val="center"/>
          </w:tcPr>
          <w:p w14:paraId="769C7BC8">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lang w:val="en-US" w:eastAsia="zh-CN"/>
              </w:rPr>
              <w:t>资格证书或职称</w:t>
            </w:r>
          </w:p>
        </w:tc>
        <w:tc>
          <w:tcPr>
            <w:tcW w:w="1665" w:type="dxa"/>
            <w:vAlign w:val="center"/>
          </w:tcPr>
          <w:p w14:paraId="436B1782">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拟承担工作内容</w:t>
            </w:r>
          </w:p>
        </w:tc>
        <w:tc>
          <w:tcPr>
            <w:tcW w:w="1520" w:type="dxa"/>
            <w:vAlign w:val="center"/>
          </w:tcPr>
          <w:p w14:paraId="62A2D082">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备注</w:t>
            </w:r>
          </w:p>
        </w:tc>
      </w:tr>
      <w:tr w14:paraId="6221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0" w:type="dxa"/>
            <w:vAlign w:val="center"/>
          </w:tcPr>
          <w:p w14:paraId="5AB66965">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1344" w:type="dxa"/>
            <w:vAlign w:val="center"/>
          </w:tcPr>
          <w:p w14:paraId="15FE228A">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940" w:type="dxa"/>
            <w:vAlign w:val="center"/>
          </w:tcPr>
          <w:p w14:paraId="76E859C4">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1207" w:type="dxa"/>
            <w:vAlign w:val="center"/>
          </w:tcPr>
          <w:p w14:paraId="5EA5FC42">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1521" w:type="dxa"/>
            <w:vAlign w:val="center"/>
          </w:tcPr>
          <w:p w14:paraId="51504E69">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1665" w:type="dxa"/>
            <w:vAlign w:val="center"/>
          </w:tcPr>
          <w:p w14:paraId="282ACAD8">
            <w:pPr>
              <w:keepNext w:val="0"/>
              <w:keepLines w:val="0"/>
              <w:suppressLineNumbers w:val="0"/>
              <w:spacing w:before="0" w:beforeAutospacing="0" w:after="0" w:afterAutospacing="0"/>
              <w:ind w:left="0" w:right="0"/>
              <w:jc w:val="center"/>
              <w:rPr>
                <w:rFonts w:hint="eastAsia" w:ascii="宋体" w:hAnsi="宋体" w:cs="宋体"/>
                <w:color w:val="auto"/>
                <w:sz w:val="24"/>
              </w:rPr>
            </w:pPr>
          </w:p>
        </w:tc>
        <w:tc>
          <w:tcPr>
            <w:tcW w:w="1520" w:type="dxa"/>
            <w:vAlign w:val="center"/>
          </w:tcPr>
          <w:p w14:paraId="230A820C">
            <w:pPr>
              <w:keepNext w:val="0"/>
              <w:keepLines w:val="0"/>
              <w:suppressLineNumbers w:val="0"/>
              <w:spacing w:before="0" w:beforeAutospacing="0" w:after="0" w:afterAutospacing="0"/>
              <w:ind w:left="0" w:right="0"/>
              <w:jc w:val="center"/>
              <w:rPr>
                <w:rFonts w:hint="eastAsia" w:ascii="宋体" w:hAnsi="宋体" w:cs="宋体"/>
                <w:color w:val="auto"/>
                <w:sz w:val="24"/>
              </w:rPr>
            </w:pPr>
          </w:p>
        </w:tc>
      </w:tr>
      <w:tr w14:paraId="4EED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75D3760D">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344" w:type="dxa"/>
          </w:tcPr>
          <w:p w14:paraId="7DAC7EC9">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940" w:type="dxa"/>
          </w:tcPr>
          <w:p w14:paraId="2AA787A4">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207" w:type="dxa"/>
          </w:tcPr>
          <w:p w14:paraId="2B83A3CE">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1" w:type="dxa"/>
          </w:tcPr>
          <w:p w14:paraId="6E160532">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665" w:type="dxa"/>
          </w:tcPr>
          <w:p w14:paraId="10895E91">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0" w:type="dxa"/>
          </w:tcPr>
          <w:p w14:paraId="124FA0C8">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r>
      <w:tr w14:paraId="5552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066BCD9C">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344" w:type="dxa"/>
          </w:tcPr>
          <w:p w14:paraId="3C99EE1D">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940" w:type="dxa"/>
          </w:tcPr>
          <w:p w14:paraId="5938B45D">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207" w:type="dxa"/>
          </w:tcPr>
          <w:p w14:paraId="0004358A">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1" w:type="dxa"/>
          </w:tcPr>
          <w:p w14:paraId="1BA1B980">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665" w:type="dxa"/>
          </w:tcPr>
          <w:p w14:paraId="7D4CB5E2">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0" w:type="dxa"/>
          </w:tcPr>
          <w:p w14:paraId="49EA02FF">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r>
      <w:tr w14:paraId="0A6B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4DD4C68F">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344" w:type="dxa"/>
          </w:tcPr>
          <w:p w14:paraId="0B8168DF">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940" w:type="dxa"/>
          </w:tcPr>
          <w:p w14:paraId="22C92C4C">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207" w:type="dxa"/>
          </w:tcPr>
          <w:p w14:paraId="57EA0B77">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1" w:type="dxa"/>
          </w:tcPr>
          <w:p w14:paraId="1E1E199E">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665" w:type="dxa"/>
          </w:tcPr>
          <w:p w14:paraId="4343C6D1">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0" w:type="dxa"/>
          </w:tcPr>
          <w:p w14:paraId="46E913A8">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r>
      <w:tr w14:paraId="19FA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60FD7A24">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344" w:type="dxa"/>
          </w:tcPr>
          <w:p w14:paraId="2BA6956D">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940" w:type="dxa"/>
          </w:tcPr>
          <w:p w14:paraId="67A88E0C">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207" w:type="dxa"/>
          </w:tcPr>
          <w:p w14:paraId="0BFC4D9D">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1" w:type="dxa"/>
          </w:tcPr>
          <w:p w14:paraId="6DFC0075">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665" w:type="dxa"/>
          </w:tcPr>
          <w:p w14:paraId="177C33AC">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0" w:type="dxa"/>
          </w:tcPr>
          <w:p w14:paraId="3B2FB8FB">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r>
      <w:tr w14:paraId="08B2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426F3116">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344" w:type="dxa"/>
          </w:tcPr>
          <w:p w14:paraId="595AB9C0">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940" w:type="dxa"/>
          </w:tcPr>
          <w:p w14:paraId="569512FF">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207" w:type="dxa"/>
          </w:tcPr>
          <w:p w14:paraId="21BCA4CE">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1" w:type="dxa"/>
          </w:tcPr>
          <w:p w14:paraId="4471E087">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665" w:type="dxa"/>
          </w:tcPr>
          <w:p w14:paraId="7EE19848">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0" w:type="dxa"/>
          </w:tcPr>
          <w:p w14:paraId="76A5B458">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r>
      <w:tr w14:paraId="15C8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41B02AAB">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344" w:type="dxa"/>
          </w:tcPr>
          <w:p w14:paraId="71FF91F7">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940" w:type="dxa"/>
          </w:tcPr>
          <w:p w14:paraId="706DAA54">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207" w:type="dxa"/>
          </w:tcPr>
          <w:p w14:paraId="761EA4F7">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1" w:type="dxa"/>
          </w:tcPr>
          <w:p w14:paraId="3E47BC68">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665" w:type="dxa"/>
          </w:tcPr>
          <w:p w14:paraId="4D39C62D">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0" w:type="dxa"/>
          </w:tcPr>
          <w:p w14:paraId="22F0E552">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r>
      <w:tr w14:paraId="5865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1AD629A9">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344" w:type="dxa"/>
          </w:tcPr>
          <w:p w14:paraId="0F1CBC4A">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940" w:type="dxa"/>
          </w:tcPr>
          <w:p w14:paraId="5B47B566">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207" w:type="dxa"/>
          </w:tcPr>
          <w:p w14:paraId="2F066FE6">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1" w:type="dxa"/>
          </w:tcPr>
          <w:p w14:paraId="056FFCBF">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665" w:type="dxa"/>
          </w:tcPr>
          <w:p w14:paraId="4B2A03FC">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c>
          <w:tcPr>
            <w:tcW w:w="1520" w:type="dxa"/>
          </w:tcPr>
          <w:p w14:paraId="28F4CCC5">
            <w:pPr>
              <w:keepNext w:val="0"/>
              <w:keepLines w:val="0"/>
              <w:suppressLineNumbers w:val="0"/>
              <w:spacing w:before="0" w:beforeAutospacing="0" w:after="0" w:afterAutospacing="0"/>
              <w:ind w:left="0" w:right="0"/>
              <w:rPr>
                <w:rFonts w:hint="eastAsia" w:ascii="仿宋_GB2312" w:hAnsi="宋体" w:eastAsia="仿宋_GB2312" w:cs="宋体"/>
                <w:color w:val="auto"/>
                <w:sz w:val="24"/>
              </w:rPr>
            </w:pPr>
          </w:p>
        </w:tc>
      </w:tr>
      <w:tr w14:paraId="52E8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vAlign w:val="center"/>
          </w:tcPr>
          <w:p w14:paraId="4C1DE136">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344" w:type="dxa"/>
            <w:vAlign w:val="center"/>
          </w:tcPr>
          <w:p w14:paraId="2A4667A4">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940" w:type="dxa"/>
            <w:vAlign w:val="center"/>
          </w:tcPr>
          <w:p w14:paraId="3B567F73">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207" w:type="dxa"/>
            <w:vAlign w:val="center"/>
          </w:tcPr>
          <w:p w14:paraId="684E24F1">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521" w:type="dxa"/>
            <w:vAlign w:val="center"/>
          </w:tcPr>
          <w:p w14:paraId="519C628A">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665" w:type="dxa"/>
            <w:vAlign w:val="center"/>
          </w:tcPr>
          <w:p w14:paraId="182C5EA4">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520" w:type="dxa"/>
            <w:vAlign w:val="center"/>
          </w:tcPr>
          <w:p w14:paraId="34549FD9">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r>
      <w:tr w14:paraId="03DE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40" w:type="dxa"/>
            <w:vAlign w:val="center"/>
          </w:tcPr>
          <w:p w14:paraId="55E575D1">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344" w:type="dxa"/>
            <w:vAlign w:val="center"/>
          </w:tcPr>
          <w:p w14:paraId="65891F23">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940" w:type="dxa"/>
            <w:vAlign w:val="center"/>
          </w:tcPr>
          <w:p w14:paraId="193ABBC6">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207" w:type="dxa"/>
            <w:vAlign w:val="center"/>
          </w:tcPr>
          <w:p w14:paraId="1DFD5D19">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521" w:type="dxa"/>
            <w:vAlign w:val="center"/>
          </w:tcPr>
          <w:p w14:paraId="06D57568">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665" w:type="dxa"/>
            <w:vAlign w:val="center"/>
          </w:tcPr>
          <w:p w14:paraId="723A9FBE">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c>
          <w:tcPr>
            <w:tcW w:w="1520" w:type="dxa"/>
            <w:vAlign w:val="center"/>
          </w:tcPr>
          <w:p w14:paraId="37AB3B3C">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rPr>
            </w:pPr>
            <w:r>
              <w:rPr>
                <w:rFonts w:hint="eastAsia"/>
                <w:color w:val="auto"/>
              </w:rPr>
              <w:t>……</w:t>
            </w:r>
          </w:p>
        </w:tc>
      </w:tr>
    </w:tbl>
    <w:p w14:paraId="6E9923A2">
      <w:pPr>
        <w:jc w:val="center"/>
        <w:rPr>
          <w:color w:val="auto"/>
        </w:rPr>
      </w:pPr>
    </w:p>
    <w:p w14:paraId="6E964A29">
      <w:pPr>
        <w:spacing w:line="300" w:lineRule="auto"/>
        <w:rPr>
          <w:b w:val="0"/>
          <w:bCs w:val="0"/>
          <w:color w:val="auto"/>
          <w:sz w:val="24"/>
        </w:rPr>
      </w:pPr>
      <w:r>
        <w:rPr>
          <w:rFonts w:hint="eastAsia"/>
          <w:b w:val="0"/>
          <w:bCs w:val="0"/>
          <w:color w:val="auto"/>
          <w:sz w:val="24"/>
        </w:rPr>
        <w:t>注：</w:t>
      </w:r>
      <w:r>
        <w:rPr>
          <w:rFonts w:hint="eastAsia" w:ascii="宋体" w:hAnsi="宋体" w:eastAsia="宋体" w:cs="宋体"/>
          <w:b w:val="0"/>
          <w:bCs w:val="0"/>
          <w:color w:val="auto"/>
          <w:sz w:val="24"/>
          <w:szCs w:val="24"/>
          <w:highlight w:val="none"/>
        </w:rPr>
        <w:t>身份证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劳务合同</w:t>
      </w:r>
      <w:r>
        <w:rPr>
          <w:rFonts w:hint="eastAsia" w:ascii="宋体" w:hAnsi="宋体" w:cs="宋体"/>
          <w:b w:val="0"/>
          <w:bCs w:val="0"/>
          <w:color w:val="auto"/>
          <w:sz w:val="24"/>
          <w:szCs w:val="24"/>
          <w:highlight w:val="none"/>
          <w:lang w:val="en-US" w:eastAsia="zh-CN"/>
        </w:rPr>
        <w:t>或</w:t>
      </w:r>
      <w:r>
        <w:rPr>
          <w:rFonts w:hint="eastAsia" w:ascii="宋体" w:hAnsi="宋体" w:cs="宋体"/>
          <w:b w:val="0"/>
          <w:bCs w:val="0"/>
          <w:color w:val="auto"/>
          <w:sz w:val="24"/>
        </w:rPr>
        <w:t>近三个月社保</w:t>
      </w:r>
      <w:r>
        <w:rPr>
          <w:rFonts w:hint="eastAsia" w:ascii="宋体" w:hAnsi="宋体" w:cs="宋体"/>
          <w:b w:val="0"/>
          <w:bCs w:val="0"/>
          <w:color w:val="auto"/>
          <w:sz w:val="24"/>
          <w:lang w:val="en-US" w:eastAsia="zh-CN"/>
        </w:rPr>
        <w:t>或聘书</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学历证、资格证件或者职称证书及相关业绩</w:t>
      </w:r>
      <w:r>
        <w:rPr>
          <w:rFonts w:hint="eastAsia" w:ascii="宋体" w:hAnsi="宋体" w:eastAsia="宋体" w:cs="宋体"/>
          <w:b w:val="0"/>
          <w:bCs w:val="0"/>
          <w:color w:val="auto"/>
          <w:sz w:val="24"/>
          <w:szCs w:val="24"/>
          <w:highlight w:val="none"/>
          <w:lang w:eastAsia="zh-CN"/>
        </w:rPr>
        <w:t>证明材料</w:t>
      </w:r>
      <w:r>
        <w:rPr>
          <w:rFonts w:hint="eastAsia" w:ascii="宋体" w:hAnsi="宋体" w:eastAsia="宋体" w:cs="宋体"/>
          <w:b w:val="0"/>
          <w:bCs w:val="0"/>
          <w:color w:val="auto"/>
          <w:sz w:val="24"/>
          <w:szCs w:val="24"/>
          <w:highlight w:val="none"/>
          <w:lang w:val="en-US" w:eastAsia="zh-CN"/>
        </w:rPr>
        <w:t>。</w:t>
      </w:r>
    </w:p>
    <w:p w14:paraId="1B8523F9">
      <w:pPr>
        <w:jc w:val="center"/>
        <w:rPr>
          <w:rFonts w:hint="eastAsia" w:ascii="宋体" w:hAnsi="宋体" w:cs="宋体"/>
          <w:b/>
          <w:color w:val="auto"/>
          <w:sz w:val="30"/>
          <w:szCs w:val="30"/>
        </w:rPr>
      </w:pPr>
      <w:r>
        <w:rPr>
          <w:rFonts w:hint="eastAsia" w:ascii="宋体" w:hAnsi="宋体" w:cs="宋体"/>
          <w:b/>
          <w:color w:val="auto"/>
          <w:sz w:val="30"/>
          <w:szCs w:val="30"/>
        </w:rPr>
        <w:br w:type="page"/>
      </w:r>
    </w:p>
    <w:bookmarkEnd w:id="300"/>
    <w:bookmarkEnd w:id="301"/>
    <w:bookmarkEnd w:id="302"/>
    <w:p w14:paraId="0A0DE06E">
      <w:pPr>
        <w:jc w:val="center"/>
        <w:rPr>
          <w:rFonts w:hint="eastAsia" w:ascii="宋体" w:hAnsi="宋体" w:eastAsia="宋体" w:cs="宋体"/>
          <w:b/>
          <w:color w:val="auto"/>
          <w:sz w:val="30"/>
          <w:szCs w:val="30"/>
          <w:lang w:eastAsia="zh-CN"/>
        </w:rPr>
      </w:pPr>
      <w:bookmarkStart w:id="303" w:name="_Toc8790_WPSOffice_Level1"/>
      <w:bookmarkStart w:id="304" w:name="_Toc27216_WPSOffice_Level1"/>
      <w:r>
        <w:rPr>
          <w:rFonts w:hint="eastAsia" w:ascii="宋体" w:hAnsi="宋体" w:cs="宋体"/>
          <w:b/>
          <w:color w:val="auto"/>
          <w:sz w:val="30"/>
          <w:szCs w:val="30"/>
        </w:rPr>
        <w:t>11、</w:t>
      </w:r>
      <w:r>
        <w:rPr>
          <w:rFonts w:hint="eastAsia" w:ascii="宋体" w:hAnsi="宋体" w:cs="宋体"/>
          <w:b/>
          <w:color w:val="auto"/>
          <w:sz w:val="30"/>
          <w:szCs w:val="30"/>
          <w:lang w:eastAsia="zh-CN"/>
        </w:rPr>
        <w:t>方案</w:t>
      </w:r>
    </w:p>
    <w:p w14:paraId="15D6A291">
      <w:pPr>
        <w:jc w:val="center"/>
        <w:rPr>
          <w:rFonts w:hint="eastAsia" w:ascii="宋体" w:hAnsi="宋体" w:cs="宋体"/>
          <w:bCs/>
          <w:color w:val="auto"/>
          <w:sz w:val="24"/>
        </w:rPr>
      </w:pPr>
      <w:r>
        <w:rPr>
          <w:rFonts w:hint="eastAsia" w:ascii="宋体" w:hAnsi="宋体" w:cs="宋体"/>
          <w:bCs/>
          <w:color w:val="auto"/>
          <w:sz w:val="24"/>
        </w:rPr>
        <w:t>（格式内容自拟）</w:t>
      </w:r>
    </w:p>
    <w:p w14:paraId="1B371787">
      <w:pPr>
        <w:rPr>
          <w:rFonts w:hint="eastAsia" w:ascii="宋体" w:hAnsi="宋体" w:cs="宋体"/>
          <w:b/>
          <w:color w:val="auto"/>
          <w:sz w:val="30"/>
          <w:szCs w:val="30"/>
        </w:rPr>
      </w:pPr>
    </w:p>
    <w:p w14:paraId="2B21B3F4">
      <w:pPr>
        <w:rPr>
          <w:rFonts w:hint="eastAsia" w:ascii="宋体" w:hAnsi="宋体" w:cs="宋体"/>
          <w:b/>
          <w:color w:val="auto"/>
          <w:sz w:val="30"/>
          <w:szCs w:val="30"/>
        </w:rPr>
      </w:pPr>
      <w:r>
        <w:rPr>
          <w:rFonts w:hint="eastAsia" w:ascii="宋体" w:hAnsi="宋体" w:cs="宋体"/>
          <w:b/>
          <w:color w:val="auto"/>
          <w:sz w:val="30"/>
          <w:szCs w:val="30"/>
        </w:rPr>
        <w:br w:type="page"/>
      </w:r>
    </w:p>
    <w:p w14:paraId="31ACAB5E">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Times New Roman" w:hAnsi="Times New Roman" w:eastAsia="宋体" w:cs="Times New Roman"/>
          <w:color w:val="auto"/>
          <w:sz w:val="24"/>
          <w:szCs w:val="24"/>
          <w:lang w:eastAsia="zh-CN"/>
        </w:rPr>
      </w:pPr>
      <w:r>
        <w:rPr>
          <w:rFonts w:hint="eastAsia" w:ascii="宋体" w:hAnsi="宋体" w:cs="宋体"/>
          <w:b/>
          <w:color w:val="auto"/>
          <w:sz w:val="30"/>
          <w:szCs w:val="30"/>
          <w:lang w:val="en-US" w:eastAsia="zh-CN"/>
        </w:rPr>
        <w:t>1</w:t>
      </w:r>
      <w:r>
        <w:rPr>
          <w:rFonts w:hint="eastAsia" w:ascii="宋体" w:hAnsi="宋体" w:eastAsia="宋体" w:cs="宋体"/>
          <w:b/>
          <w:color w:val="auto"/>
          <w:sz w:val="30"/>
          <w:szCs w:val="30"/>
          <w:lang w:val="en-US" w:eastAsia="zh-CN"/>
        </w:rPr>
        <w:t>1、保密承诺书</w:t>
      </w:r>
    </w:p>
    <w:p w14:paraId="6EBB8FB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p>
    <w:p w14:paraId="68A2319F">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u w:val="single"/>
        </w:rPr>
        <w:t>（采购机构名称）</w:t>
      </w:r>
      <w:r>
        <w:rPr>
          <w:rFonts w:hint="eastAsia" w:ascii="宋体" w:hAnsi="宋体" w:eastAsia="宋体" w:cs="宋体"/>
          <w:snapToGrid w:val="0"/>
          <w:color w:val="auto"/>
          <w:sz w:val="24"/>
          <w:szCs w:val="24"/>
        </w:rPr>
        <w:t>：</w:t>
      </w:r>
    </w:p>
    <w:p w14:paraId="499D6BB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我方参加贵公司组织的</w:t>
      </w:r>
      <w:r>
        <w:rPr>
          <w:rFonts w:hint="eastAsia" w:ascii="宋体" w:hAnsi="宋体" w:eastAsia="宋体" w:cs="宋体"/>
          <w:color w:val="auto"/>
          <w:sz w:val="24"/>
          <w:szCs w:val="24"/>
          <w:u w:val="single"/>
        </w:rPr>
        <w:t>（项目编号、项目名称）</w:t>
      </w:r>
      <w:r>
        <w:rPr>
          <w:rFonts w:hint="eastAsia" w:ascii="宋体" w:hAnsi="宋体" w:eastAsia="宋体" w:cs="宋体"/>
          <w:color w:val="auto"/>
          <w:sz w:val="24"/>
          <w:szCs w:val="24"/>
          <w:lang w:val="zh-CN"/>
        </w:rPr>
        <w:t>采购活动，根据有关保密法规制度，知悉应当承担的保密义务和法律责任，承诺如下：</w:t>
      </w:r>
    </w:p>
    <w:p w14:paraId="78A178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一、严格遵守国家的保密法律法规和规章制度，履行保密义务。</w:t>
      </w:r>
    </w:p>
    <w:p w14:paraId="3D3634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二、不以任何方式泄露或传播本次采购项目相关信息。</w:t>
      </w:r>
    </w:p>
    <w:p w14:paraId="3DCAC4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三、不违规记录、存储、复制本次采购项目相关信息。</w:t>
      </w:r>
    </w:p>
    <w:p w14:paraId="6BF41F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w:t>
      </w:r>
      <w:r>
        <w:rPr>
          <w:rFonts w:hint="eastAsia" w:ascii="宋体" w:hAnsi="宋体" w:cs="宋体"/>
          <w:color w:val="auto"/>
          <w:sz w:val="24"/>
          <w:szCs w:val="24"/>
          <w:lang w:val="zh-CN"/>
        </w:rPr>
        <w:t>磋商文件</w:t>
      </w:r>
      <w:r>
        <w:rPr>
          <w:rFonts w:hint="eastAsia" w:ascii="宋体" w:hAnsi="宋体" w:eastAsia="宋体" w:cs="宋体"/>
          <w:color w:val="auto"/>
          <w:sz w:val="24"/>
          <w:szCs w:val="24"/>
          <w:lang w:val="zh-CN"/>
        </w:rPr>
        <w:t>以及相关技术文件专室放置、专盘存储、专人管理。</w:t>
      </w:r>
    </w:p>
    <w:p w14:paraId="4CCE58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五、工作中涉及的敏感资料、电子数据等相关信息，成交应严格执行保密的相关规定，不得以任何方式向任何第三方披露、泄露或许可第三方使用，并于采购单位签订保密协议，否则追究其相应法律责任。</w:t>
      </w:r>
    </w:p>
    <w:p w14:paraId="4556E1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违反上述承诺，愿承担一切法律责任，接受采购管理部门和采购机构按国家规定作出的相关处罚。</w:t>
      </w:r>
    </w:p>
    <w:p w14:paraId="3808C2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p>
    <w:p w14:paraId="6E96B7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p>
    <w:p w14:paraId="6785CC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p>
    <w:p w14:paraId="565181F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盖</w:t>
      </w: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w:t>
      </w:r>
    </w:p>
    <w:p w14:paraId="60118A3C">
      <w:pPr>
        <w:pStyle w:val="32"/>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rPr>
      </w:pPr>
    </w:p>
    <w:p w14:paraId="0B580BE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68FF7B85">
      <w:pPr>
        <w:pStyle w:val="32"/>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rPr>
      </w:pPr>
    </w:p>
    <w:p w14:paraId="37E1F76E">
      <w:pPr>
        <w:pStyle w:val="32"/>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w:t>
      </w:r>
    </w:p>
    <w:p w14:paraId="476049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p>
    <w:p w14:paraId="222A3CE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p>
    <w:p w14:paraId="6C48D5CB">
      <w:pPr>
        <w:rPr>
          <w:rFonts w:hint="eastAsia" w:ascii="宋体" w:hAnsi="宋体" w:cs="宋体"/>
          <w:b/>
          <w:color w:val="auto"/>
          <w:sz w:val="30"/>
          <w:szCs w:val="30"/>
        </w:rPr>
      </w:pPr>
      <w:r>
        <w:rPr>
          <w:rFonts w:hint="eastAsia" w:ascii="宋体" w:hAnsi="宋体" w:cs="宋体"/>
          <w:b/>
          <w:color w:val="auto"/>
          <w:sz w:val="30"/>
          <w:szCs w:val="30"/>
        </w:rPr>
        <w:br w:type="page"/>
      </w:r>
    </w:p>
    <w:p w14:paraId="4507B5E2">
      <w:pPr>
        <w:jc w:val="center"/>
        <w:rPr>
          <w:rFonts w:hint="eastAsia" w:ascii="宋体" w:hAnsi="宋体" w:cs="宋体"/>
          <w:b/>
          <w:color w:val="auto"/>
          <w:sz w:val="30"/>
          <w:szCs w:val="30"/>
        </w:rPr>
      </w:pPr>
      <w:r>
        <w:rPr>
          <w:rFonts w:hint="eastAsia" w:ascii="宋体" w:hAnsi="宋体" w:cs="宋体"/>
          <w:b/>
          <w:color w:val="auto"/>
          <w:sz w:val="30"/>
          <w:szCs w:val="30"/>
        </w:rPr>
        <w:t>12、其他供应商认为需要提供的资料</w:t>
      </w:r>
    </w:p>
    <w:p w14:paraId="14D729F9">
      <w:pPr>
        <w:jc w:val="center"/>
        <w:rPr>
          <w:rFonts w:hint="eastAsia" w:ascii="宋体" w:hAnsi="宋体" w:cs="宋体"/>
          <w:bCs/>
          <w:color w:val="auto"/>
          <w:sz w:val="24"/>
        </w:rPr>
      </w:pPr>
      <w:r>
        <w:rPr>
          <w:rFonts w:hint="eastAsia" w:ascii="宋体" w:hAnsi="宋体" w:cs="宋体"/>
          <w:bCs/>
          <w:color w:val="auto"/>
          <w:sz w:val="24"/>
        </w:rPr>
        <w:t>（格式内容自拟）</w:t>
      </w:r>
    </w:p>
    <w:p w14:paraId="52385DAB">
      <w:pPr>
        <w:rPr>
          <w:rFonts w:hint="eastAsia" w:ascii="宋体" w:hAnsi="宋体" w:cs="宋体"/>
          <w:b/>
          <w:color w:val="auto"/>
          <w:sz w:val="30"/>
          <w:szCs w:val="30"/>
        </w:rPr>
      </w:pPr>
    </w:p>
    <w:bookmarkEnd w:id="303"/>
    <w:bookmarkEnd w:id="304"/>
    <w:p w14:paraId="48A92FEB">
      <w:pPr>
        <w:jc w:val="center"/>
        <w:rPr>
          <w:color w:val="auto"/>
        </w:rPr>
      </w:pPr>
    </w:p>
    <w:p w14:paraId="50134C07">
      <w:pPr>
        <w:pStyle w:val="13"/>
        <w:jc w:val="center"/>
        <w:rPr>
          <w:color w:val="auto"/>
        </w:rPr>
      </w:pPr>
    </w:p>
    <w:p w14:paraId="64F8EAA7">
      <w:pPr>
        <w:rPr>
          <w:color w:val="auto"/>
        </w:rPr>
      </w:pPr>
    </w:p>
    <w:p w14:paraId="08046CE3">
      <w:pPr>
        <w:rPr>
          <w:rFonts w:hint="eastAsia" w:ascii="宋体" w:hAnsi="宋体" w:cs="宋体"/>
          <w:b/>
          <w:color w:val="auto"/>
          <w:sz w:val="30"/>
          <w:szCs w:val="30"/>
        </w:rPr>
      </w:pPr>
      <w:bookmarkStart w:id="305" w:name="_Toc13080_WPSOffice_Level1"/>
      <w:bookmarkStart w:id="306" w:name="_Toc19006_WPSOffice_Level1"/>
      <w:r>
        <w:rPr>
          <w:rFonts w:hint="eastAsia" w:ascii="宋体" w:hAnsi="宋体" w:cs="宋体"/>
          <w:b/>
          <w:color w:val="auto"/>
          <w:sz w:val="30"/>
          <w:szCs w:val="30"/>
        </w:rPr>
        <w:br w:type="page"/>
      </w:r>
    </w:p>
    <w:bookmarkEnd w:id="278"/>
    <w:bookmarkEnd w:id="305"/>
    <w:bookmarkEnd w:id="306"/>
    <w:p w14:paraId="4A22F507">
      <w:pPr>
        <w:pStyle w:val="30"/>
        <w:spacing w:before="0" w:beforeAutospacing="0" w:after="0" w:afterAutospacing="0" w:line="500" w:lineRule="exact"/>
        <w:jc w:val="center"/>
        <w:rPr>
          <w:rFonts w:hint="eastAsia" w:ascii="宋体" w:hAnsi="宋体" w:cs="宋体"/>
          <w:color w:val="auto"/>
          <w:sz w:val="32"/>
          <w:szCs w:val="32"/>
        </w:rPr>
      </w:pPr>
      <w:bookmarkStart w:id="307" w:name="_Toc9451_WPSOffice_Level1"/>
      <w:r>
        <w:rPr>
          <w:rStyle w:val="36"/>
          <w:rFonts w:hint="eastAsia" w:ascii="宋体" w:hAnsi="宋体" w:cs="宋体"/>
          <w:color w:val="auto"/>
          <w:sz w:val="36"/>
          <w:szCs w:val="36"/>
        </w:rPr>
        <w:t>附件1中小企业划型标准规定</w:t>
      </w:r>
      <w:bookmarkEnd w:id="307"/>
    </w:p>
    <w:p w14:paraId="5785B49D">
      <w:pPr>
        <w:pStyle w:val="30"/>
        <w:spacing w:before="0" w:beforeAutospacing="0" w:after="0" w:afterAutospacing="0" w:line="500" w:lineRule="exact"/>
        <w:rPr>
          <w:rFonts w:hint="eastAsia" w:ascii="宋体" w:hAnsi="宋体" w:cs="宋体"/>
          <w:color w:val="auto"/>
          <w:sz w:val="32"/>
          <w:szCs w:val="32"/>
        </w:rPr>
      </w:pPr>
      <w:r>
        <w:rPr>
          <w:rFonts w:hint="eastAsia" w:ascii="宋体" w:hAnsi="宋体" w:cs="宋体"/>
          <w:color w:val="auto"/>
          <w:sz w:val="32"/>
          <w:szCs w:val="32"/>
        </w:rPr>
        <w:t>　</w:t>
      </w:r>
    </w:p>
    <w:p w14:paraId="4283490E">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一、根据《</w:t>
      </w:r>
      <w:r>
        <w:rPr>
          <w:color w:val="auto"/>
        </w:rPr>
        <w:fldChar w:fldCharType="begin"/>
      </w:r>
      <w:r>
        <w:rPr>
          <w:color w:val="auto"/>
        </w:rPr>
        <w:instrText xml:space="preserve"> HYPERLINK "https://baike.so.com/doc/6614161-6827954.html" \t "https://baike.so.com/doc/_blank" </w:instrText>
      </w:r>
      <w:r>
        <w:rPr>
          <w:color w:val="auto"/>
        </w:rPr>
        <w:fldChar w:fldCharType="separate"/>
      </w:r>
      <w:r>
        <w:rPr>
          <w:rFonts w:hint="eastAsia" w:ascii="宋体" w:hAnsi="宋体" w:cs="宋体"/>
          <w:bCs/>
          <w:color w:val="auto"/>
          <w:sz w:val="24"/>
        </w:rPr>
        <w:t>中华人民共和国中小企业促进法</w:t>
      </w:r>
      <w:r>
        <w:rPr>
          <w:rFonts w:hint="eastAsia" w:ascii="宋体" w:hAnsi="宋体" w:cs="宋体"/>
          <w:bCs/>
          <w:color w:val="auto"/>
          <w:sz w:val="24"/>
        </w:rPr>
        <w:fldChar w:fldCharType="end"/>
      </w:r>
      <w:r>
        <w:rPr>
          <w:rFonts w:hint="eastAsia" w:ascii="宋体" w:hAnsi="宋体" w:cs="宋体"/>
          <w:bCs/>
          <w:color w:val="auto"/>
          <w:sz w:val="24"/>
        </w:rPr>
        <w:t>》和《国务院关于进一步促进中小企业发展的若干意见》(国发〔2009〕36号)，制定本规定。</w:t>
      </w:r>
    </w:p>
    <w:p w14:paraId="356DE9DD">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二、中小企业划分为中型、小型、微型三种类型，具体标准根据企业从业人员、营业收入、资产总额等指标，结合行业特点制定。</w:t>
      </w:r>
    </w:p>
    <w:p w14:paraId="1809CF17">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9CBE103">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四、各行业划型标准为：</w:t>
      </w:r>
    </w:p>
    <w:p w14:paraId="64EBFD56">
      <w:pPr>
        <w:pStyle w:val="30"/>
        <w:widowControl/>
        <w:spacing w:before="0" w:beforeAutospacing="0" w:after="0" w:afterAutospacing="0" w:line="500" w:lineRule="atLeast"/>
        <w:ind w:firstLine="480" w:firstLineChars="200"/>
        <w:rPr>
          <w:rFonts w:hint="eastAsia" w:ascii="宋体" w:hAnsi="宋体" w:cs="宋体"/>
          <w:b w:val="0"/>
          <w:bCs/>
          <w:color w:val="auto"/>
          <w:sz w:val="24"/>
        </w:rPr>
      </w:pPr>
      <w:r>
        <w:rPr>
          <w:rFonts w:hint="eastAsia" w:ascii="宋体" w:hAnsi="宋体" w:cs="宋体"/>
          <w:bCs/>
          <w:color w:val="auto"/>
          <w:sz w:val="24"/>
        </w:rPr>
        <w:t>(一)农、林、牧、渔业。营业收入20000万元以下的为中小微型企业。其中，营业收入500万元及以上的为中型企业，营业收入50万元及以上的为小型企业，营业收入50万元以下的为微</w:t>
      </w:r>
      <w:r>
        <w:rPr>
          <w:rFonts w:hint="eastAsia" w:ascii="宋体" w:hAnsi="宋体" w:cs="宋体"/>
          <w:b w:val="0"/>
          <w:bCs/>
          <w:color w:val="auto"/>
          <w:sz w:val="24"/>
        </w:rPr>
        <w:t>型企业。</w:t>
      </w:r>
    </w:p>
    <w:p w14:paraId="1B7D5B99">
      <w:pPr>
        <w:pStyle w:val="30"/>
        <w:widowControl/>
        <w:spacing w:before="0" w:beforeAutospacing="0" w:after="0" w:afterAutospacing="0" w:line="500" w:lineRule="atLeast"/>
        <w:ind w:firstLine="480" w:firstLineChars="200"/>
        <w:rPr>
          <w:rFonts w:hint="eastAsia" w:ascii="宋体" w:hAnsi="宋体" w:cs="宋体"/>
          <w:b w:val="0"/>
          <w:bCs/>
          <w:color w:val="auto"/>
          <w:sz w:val="24"/>
        </w:rPr>
      </w:pPr>
      <w:r>
        <w:rPr>
          <w:rFonts w:hint="eastAsia" w:ascii="宋体" w:hAnsi="宋体" w:cs="宋体"/>
          <w:b w:val="0"/>
          <w:bCs/>
          <w:color w:val="auto"/>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48AEF6">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 w:val="0"/>
          <w:bCs/>
          <w:color w:val="auto"/>
          <w:sz w:val="24"/>
        </w:rPr>
        <w:t>(三)建筑业。营业收入80000万元以下或资产总额80000万元以下的为</w:t>
      </w:r>
      <w:r>
        <w:rPr>
          <w:rFonts w:hint="eastAsia" w:ascii="宋体" w:hAnsi="宋体" w:cs="宋体"/>
          <w:bCs/>
          <w:color w:val="auto"/>
          <w:sz w:val="24"/>
        </w:rPr>
        <w:t>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ECDF7C8">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71314EB">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FF0E91B">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1483D17">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F8BEFA">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126CED">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A72464">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737083">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EA9EC8">
      <w:pPr>
        <w:pStyle w:val="30"/>
        <w:widowControl/>
        <w:spacing w:before="0" w:beforeAutospacing="0" w:after="0" w:afterAutospacing="0" w:line="500" w:lineRule="atLeast"/>
        <w:ind w:firstLine="480" w:firstLineChars="200"/>
        <w:rPr>
          <w:rFonts w:hint="eastAsia" w:ascii="宋体" w:hAnsi="宋体" w:cs="宋体"/>
          <w:b w:val="0"/>
          <w:bCs/>
          <w:color w:val="auto"/>
          <w:sz w:val="24"/>
        </w:rPr>
      </w:pPr>
      <w:r>
        <w:rPr>
          <w:rFonts w:hint="eastAsia" w:ascii="宋体" w:hAnsi="宋体" w:cs="宋体"/>
          <w:b w:val="0"/>
          <w:bCs/>
          <w:color w:val="auto"/>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2264647">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A633644">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ACCAED">
      <w:pPr>
        <w:pStyle w:val="30"/>
        <w:widowControl/>
        <w:spacing w:before="0" w:beforeAutospacing="0" w:after="0" w:afterAutospacing="0" w:line="500" w:lineRule="atLeast"/>
        <w:ind w:firstLine="480" w:firstLineChars="200"/>
        <w:rPr>
          <w:rFonts w:hint="eastAsia" w:ascii="宋体" w:hAnsi="宋体" w:cs="宋体"/>
          <w:b w:val="0"/>
          <w:bCs/>
          <w:color w:val="auto"/>
          <w:sz w:val="24"/>
        </w:rPr>
      </w:pPr>
      <w:r>
        <w:rPr>
          <w:rFonts w:hint="eastAsia" w:ascii="宋体" w:hAnsi="宋体" w:cs="宋体"/>
          <w:b w:val="0"/>
          <w:bCs/>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69F8D4">
      <w:pPr>
        <w:pStyle w:val="30"/>
        <w:widowControl/>
        <w:spacing w:before="0" w:beforeAutospacing="0" w:after="0" w:afterAutospacing="0" w:line="500" w:lineRule="atLeast"/>
        <w:ind w:firstLine="482" w:firstLineChars="200"/>
        <w:rPr>
          <w:rFonts w:hint="eastAsia" w:ascii="宋体" w:hAnsi="宋体" w:cs="宋体"/>
          <w:b/>
          <w:bCs w:val="0"/>
          <w:color w:val="auto"/>
          <w:sz w:val="24"/>
        </w:rPr>
      </w:pPr>
      <w:r>
        <w:rPr>
          <w:rFonts w:hint="eastAsia" w:ascii="宋体" w:hAnsi="宋体" w:cs="宋体"/>
          <w:b/>
          <w:bCs w:val="0"/>
          <w:color w:val="auto"/>
          <w:sz w:val="24"/>
        </w:rPr>
        <w:t>(十六)其他未列明行业。从业人员300人以下的为中小微型企业。其中，从业人员100人及以上的为中型企业；从业人员10人及以上的为小型企业；从业人员10人以下的为微型企业。</w:t>
      </w:r>
    </w:p>
    <w:p w14:paraId="5205E9A7">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五、企业类型的划分以统计部门的统计数据为依据。</w:t>
      </w:r>
    </w:p>
    <w:p w14:paraId="378C3AF4">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六、本规定适用于在中华人民共和国境内依法设立的各类所有制和各种组织形式的企业。个体工商户和本规定以外的行业，参照本规定进行划型。</w:t>
      </w:r>
    </w:p>
    <w:p w14:paraId="14D37203">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6CA52B80">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八、本规定由工业和信息化部、国家统计局会同有关部门根据《</w:t>
      </w:r>
      <w:r>
        <w:rPr>
          <w:color w:val="auto"/>
        </w:rPr>
        <w:fldChar w:fldCharType="begin"/>
      </w:r>
      <w:r>
        <w:rPr>
          <w:color w:val="auto"/>
        </w:rPr>
        <w:instrText xml:space="preserve"> HYPERLINK "https://baike.so.com/doc/5401471-5639092.html" \t "https://baike.so.com/doc/_blank" </w:instrText>
      </w:r>
      <w:r>
        <w:rPr>
          <w:color w:val="auto"/>
        </w:rPr>
        <w:fldChar w:fldCharType="separate"/>
      </w:r>
      <w:r>
        <w:rPr>
          <w:rFonts w:hint="eastAsia" w:ascii="宋体" w:hAnsi="宋体" w:cs="宋体"/>
          <w:bCs/>
          <w:color w:val="auto"/>
          <w:sz w:val="24"/>
        </w:rPr>
        <w:t>国民经济行业分类</w:t>
      </w:r>
      <w:r>
        <w:rPr>
          <w:rFonts w:hint="eastAsia" w:ascii="宋体" w:hAnsi="宋体" w:cs="宋体"/>
          <w:bCs/>
          <w:color w:val="auto"/>
          <w:sz w:val="24"/>
        </w:rPr>
        <w:fldChar w:fldCharType="end"/>
      </w:r>
      <w:r>
        <w:rPr>
          <w:rFonts w:hint="eastAsia" w:ascii="宋体" w:hAnsi="宋体" w:cs="宋体"/>
          <w:bCs/>
          <w:color w:val="auto"/>
          <w:sz w:val="24"/>
        </w:rPr>
        <w:t>》修订情况和企业发展变化情况适时修订。</w:t>
      </w:r>
    </w:p>
    <w:p w14:paraId="2110B081">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九、本规定由工业和信息化部、国家统计局会同有关部门负责解释。</w:t>
      </w:r>
    </w:p>
    <w:p w14:paraId="141E4BBF">
      <w:pPr>
        <w:pStyle w:val="30"/>
        <w:widowControl/>
        <w:spacing w:before="0" w:beforeAutospacing="0" w:after="0" w:afterAutospacing="0" w:line="500" w:lineRule="atLeast"/>
        <w:ind w:firstLine="480" w:firstLineChars="200"/>
        <w:rPr>
          <w:rFonts w:hint="eastAsia" w:ascii="宋体" w:hAnsi="宋体" w:cs="宋体"/>
          <w:bCs/>
          <w:color w:val="auto"/>
          <w:sz w:val="24"/>
        </w:rPr>
      </w:pPr>
      <w:r>
        <w:rPr>
          <w:rFonts w:hint="eastAsia" w:ascii="宋体" w:hAnsi="宋体" w:cs="宋体"/>
          <w:bCs/>
          <w:color w:val="auto"/>
          <w:sz w:val="24"/>
        </w:rPr>
        <w:t>十、本规定自发布之日起执行，原国家经贸委、原国家计委、财政部和国家统计局2003年颁布的《中小企业标准暂行规定》同时废止。</w:t>
      </w:r>
      <w:bookmarkStart w:id="308" w:name="1120129-1185072-3"/>
      <w:bookmarkEnd w:id="308"/>
    </w:p>
    <w:p w14:paraId="7EC912FE">
      <w:pPr>
        <w:pStyle w:val="5"/>
        <w:keepNext w:val="0"/>
        <w:keepLines w:val="0"/>
        <w:widowControl/>
        <w:pBdr>
          <w:bottom w:val="single" w:color="ECECEC" w:sz="6" w:space="9"/>
        </w:pBdr>
        <w:spacing w:before="300" w:after="180" w:line="270" w:lineRule="atLeast"/>
        <w:ind w:firstLine="482" w:firstLineChars="200"/>
        <w:rPr>
          <w:rFonts w:hint="eastAsia" w:ascii="宋体" w:hAnsi="宋体" w:cs="宋体"/>
          <w:color w:val="auto"/>
          <w:sz w:val="24"/>
          <w:szCs w:val="24"/>
        </w:rPr>
      </w:pPr>
      <w:bookmarkStart w:id="309" w:name="1120129-1185072-3_1"/>
      <w:bookmarkEnd w:id="309"/>
    </w:p>
    <w:p w14:paraId="6DC6FE45">
      <w:pPr>
        <w:rPr>
          <w:rFonts w:hint="eastAsia" w:ascii="宋体" w:hAnsi="宋体" w:cs="宋体"/>
          <w:b/>
          <w:color w:val="auto"/>
          <w:sz w:val="30"/>
          <w:szCs w:val="30"/>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E005720E-68A7-4EA3-A063-C53CB5FE1DE9}"/>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D69C">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1A115">
    <w:pPr>
      <w:pStyle w:val="22"/>
      <w:pBdr>
        <w:top w:val="single" w:color="auto" w:sz="4" w:space="0"/>
      </w:pBd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89B0C">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2B89B0C">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新疆华展鑫荣项目管理咨询有限公司</w:t>
    </w:r>
    <w:r>
      <w:rPr>
        <w:rFonts w:hint="eastAsia"/>
        <w:lang w:val="en-US" w:eastAsia="zh-CN"/>
      </w:rPr>
      <w:t xml:space="preserve">                         0991-4182952、18164907517@163.com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3F529">
    <w:pPr>
      <w:pStyle w:val="22"/>
      <w:pBdr>
        <w:top w:val="single" w:color="auto" w:sz="4" w:space="0"/>
      </w:pBdr>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9F712">
                          <w:pPr>
                            <w:pStyle w:val="2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39F712">
                    <w:pPr>
                      <w:pStyle w:val="22"/>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rPr>
      <w:t>新疆华展鑫荣项目管理咨询有限公司                           0991-4182952、18164907517@163.com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44E2">
    <w:pPr>
      <w:pStyle w:val="22"/>
      <w:pBdr>
        <w:top w:val="single" w:color="auto" w:sz="4" w:space="0"/>
      </w:pBdr>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9E2A1">
                          <w:pPr>
                            <w:pStyle w:val="2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B9E2A1">
                    <w:pPr>
                      <w:pStyle w:val="22"/>
                    </w:pPr>
                    <w:r>
                      <w:fldChar w:fldCharType="begin"/>
                    </w:r>
                    <w:r>
                      <w:instrText xml:space="preserve"> PAGE  \* MERGEFORMAT </w:instrText>
                    </w:r>
                    <w:r>
                      <w:fldChar w:fldCharType="separate"/>
                    </w:r>
                    <w:r>
                      <w:t>39</w:t>
                    </w:r>
                    <w:r>
                      <w:fldChar w:fldCharType="end"/>
                    </w:r>
                  </w:p>
                </w:txbxContent>
              </v:textbox>
            </v:shape>
          </w:pict>
        </mc:Fallback>
      </mc:AlternateContent>
    </w:r>
    <w:r>
      <w:rPr>
        <w:rFonts w:hint="eastAsia"/>
      </w:rPr>
      <w:t>新疆华展鑫荣项目管理咨询有限公司                           0991-4182952、18164907517@163.com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D2340">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7C4B">
    <w:pPr>
      <w:pBdr>
        <w:bottom w:val="double" w:color="auto" w:sz="8" w:space="0"/>
      </w:pBdr>
      <w:spacing w:line="400" w:lineRule="exact"/>
      <w:jc w:val="right"/>
    </w:pPr>
    <w:r>
      <w:rPr>
        <w:rFonts w:hint="eastAsia"/>
        <w:lang w:eastAsia="zh-CN"/>
      </w:rPr>
      <w:t>2024年喀什地区乡村医生中医药适宜技术推广项目</w:t>
    </w:r>
    <w:r>
      <w:rPr>
        <w:rFonts w:hint="eastAsia"/>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AE7A">
    <w:pPr>
      <w:pBdr>
        <w:bottom w:val="double" w:color="auto" w:sz="8" w:space="0"/>
      </w:pBdr>
      <w:spacing w:line="400" w:lineRule="exact"/>
      <w:jc w:val="right"/>
      <w:rPr>
        <w:rFonts w:hint="eastAsia" w:eastAsia="宋体"/>
        <w:lang w:eastAsia="zh-CN"/>
      </w:rPr>
    </w:pPr>
    <w:r>
      <w:rPr>
        <w:rFonts w:hint="eastAsia"/>
        <w:lang w:eastAsia="zh-CN"/>
      </w:rPr>
      <w:t>2024年喀什地区乡村医生中医药适宜技术推广项目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1C066"/>
    <w:multiLevelType w:val="singleLevel"/>
    <w:tmpl w:val="99B1C066"/>
    <w:lvl w:ilvl="0" w:tentative="0">
      <w:start w:val="1"/>
      <w:numFmt w:val="decimal"/>
      <w:suff w:val="nothing"/>
      <w:lvlText w:val="（%1）"/>
      <w:lvlJc w:val="left"/>
    </w:lvl>
  </w:abstractNum>
  <w:abstractNum w:abstractNumId="1">
    <w:nsid w:val="AEA61CE5"/>
    <w:multiLevelType w:val="singleLevel"/>
    <w:tmpl w:val="AEA61CE5"/>
    <w:lvl w:ilvl="0" w:tentative="0">
      <w:start w:val="1"/>
      <w:numFmt w:val="decimal"/>
      <w:pStyle w:val="26"/>
      <w:lvlText w:val="%1."/>
      <w:lvlJc w:val="left"/>
      <w:pPr>
        <w:tabs>
          <w:tab w:val="left" w:pos="2040"/>
        </w:tabs>
        <w:ind w:left="2040" w:hanging="360"/>
      </w:pPr>
    </w:lvl>
  </w:abstractNum>
  <w:abstractNum w:abstractNumId="2">
    <w:nsid w:val="B79E758F"/>
    <w:multiLevelType w:val="singleLevel"/>
    <w:tmpl w:val="B79E758F"/>
    <w:lvl w:ilvl="0" w:tentative="0">
      <w:start w:val="1"/>
      <w:numFmt w:val="chineseCounting"/>
      <w:suff w:val="space"/>
      <w:lvlText w:val="第%1章"/>
      <w:lvlJc w:val="left"/>
      <w:rPr>
        <w:rFonts w:hint="eastAsia"/>
      </w:rPr>
    </w:lvl>
  </w:abstractNum>
  <w:abstractNum w:abstractNumId="3">
    <w:nsid w:val="C0C1000E"/>
    <w:multiLevelType w:val="singleLevel"/>
    <w:tmpl w:val="C0C1000E"/>
    <w:lvl w:ilvl="0" w:tentative="0">
      <w:start w:val="5"/>
      <w:numFmt w:val="chineseCounting"/>
      <w:suff w:val="space"/>
      <w:lvlText w:val="第%1章"/>
      <w:lvlJc w:val="left"/>
      <w:rPr>
        <w:rFonts w:hint="eastAsia"/>
      </w:rPr>
    </w:lvl>
  </w:abstractNum>
  <w:abstractNum w:abstractNumId="4">
    <w:nsid w:val="439C69B6"/>
    <w:multiLevelType w:val="singleLevel"/>
    <w:tmpl w:val="439C69B6"/>
    <w:lvl w:ilvl="0" w:tentative="0">
      <w:start w:val="2"/>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OTAwMmQ4OWY0ZTMzZDU3NDBhOTIxNzUyZGVlMzEifQ=="/>
    <w:docVar w:name="KSO_WPS_MARK_KEY" w:val="93d12674-7ce6-4274-85fa-114111fbc6d2"/>
  </w:docVars>
  <w:rsids>
    <w:rsidRoot w:val="00750E9C"/>
    <w:rsid w:val="0008172E"/>
    <w:rsid w:val="000A466C"/>
    <w:rsid w:val="000A6C91"/>
    <w:rsid w:val="00141FEC"/>
    <w:rsid w:val="00146BEF"/>
    <w:rsid w:val="00161899"/>
    <w:rsid w:val="00204F1A"/>
    <w:rsid w:val="00281337"/>
    <w:rsid w:val="00291251"/>
    <w:rsid w:val="00294185"/>
    <w:rsid w:val="002D4797"/>
    <w:rsid w:val="00456B8B"/>
    <w:rsid w:val="00514B03"/>
    <w:rsid w:val="00750E9C"/>
    <w:rsid w:val="008E4165"/>
    <w:rsid w:val="008F0A37"/>
    <w:rsid w:val="00977B14"/>
    <w:rsid w:val="009A59D3"/>
    <w:rsid w:val="009C3FB7"/>
    <w:rsid w:val="009E6472"/>
    <w:rsid w:val="00A167FD"/>
    <w:rsid w:val="00A26E7A"/>
    <w:rsid w:val="00A73409"/>
    <w:rsid w:val="00AD69A3"/>
    <w:rsid w:val="00B62E97"/>
    <w:rsid w:val="00B7652F"/>
    <w:rsid w:val="00C30539"/>
    <w:rsid w:val="00C93CF3"/>
    <w:rsid w:val="00CF16B2"/>
    <w:rsid w:val="00D1294A"/>
    <w:rsid w:val="00E83F87"/>
    <w:rsid w:val="00EA60A3"/>
    <w:rsid w:val="00F05596"/>
    <w:rsid w:val="00F83BBB"/>
    <w:rsid w:val="00FA2858"/>
    <w:rsid w:val="00FA4984"/>
    <w:rsid w:val="00FE6558"/>
    <w:rsid w:val="010D5EC5"/>
    <w:rsid w:val="011E7FE5"/>
    <w:rsid w:val="011F532B"/>
    <w:rsid w:val="01431C28"/>
    <w:rsid w:val="01454888"/>
    <w:rsid w:val="01455F17"/>
    <w:rsid w:val="014A0195"/>
    <w:rsid w:val="01557D86"/>
    <w:rsid w:val="0161161E"/>
    <w:rsid w:val="01883D54"/>
    <w:rsid w:val="018F1F55"/>
    <w:rsid w:val="01937797"/>
    <w:rsid w:val="01A15361"/>
    <w:rsid w:val="01BE7323"/>
    <w:rsid w:val="01BF4FD4"/>
    <w:rsid w:val="01C016C0"/>
    <w:rsid w:val="01C417A4"/>
    <w:rsid w:val="01C82F20"/>
    <w:rsid w:val="01CB3DD3"/>
    <w:rsid w:val="01D41E6A"/>
    <w:rsid w:val="01E128F1"/>
    <w:rsid w:val="01EC66B2"/>
    <w:rsid w:val="01EE2348"/>
    <w:rsid w:val="01EF29DF"/>
    <w:rsid w:val="02015A4B"/>
    <w:rsid w:val="02056CE6"/>
    <w:rsid w:val="020B009E"/>
    <w:rsid w:val="021B59A9"/>
    <w:rsid w:val="02292ACE"/>
    <w:rsid w:val="022A7090"/>
    <w:rsid w:val="022E333E"/>
    <w:rsid w:val="023C343E"/>
    <w:rsid w:val="023C7916"/>
    <w:rsid w:val="024149ED"/>
    <w:rsid w:val="02427EC8"/>
    <w:rsid w:val="02476B75"/>
    <w:rsid w:val="025071C8"/>
    <w:rsid w:val="0252360F"/>
    <w:rsid w:val="025A16AE"/>
    <w:rsid w:val="02682768"/>
    <w:rsid w:val="027327D0"/>
    <w:rsid w:val="02740BB8"/>
    <w:rsid w:val="02766330"/>
    <w:rsid w:val="02881AC5"/>
    <w:rsid w:val="028A6F7C"/>
    <w:rsid w:val="02C14803"/>
    <w:rsid w:val="02C313AB"/>
    <w:rsid w:val="02C820BA"/>
    <w:rsid w:val="02D92D78"/>
    <w:rsid w:val="02E34EE8"/>
    <w:rsid w:val="02EB2C68"/>
    <w:rsid w:val="02ED5985"/>
    <w:rsid w:val="02EE1C6F"/>
    <w:rsid w:val="02EF5C0A"/>
    <w:rsid w:val="02F17034"/>
    <w:rsid w:val="02F261EA"/>
    <w:rsid w:val="02F3345B"/>
    <w:rsid w:val="02F40DB3"/>
    <w:rsid w:val="03175930"/>
    <w:rsid w:val="034B44A3"/>
    <w:rsid w:val="036D5093"/>
    <w:rsid w:val="037E4DB0"/>
    <w:rsid w:val="038124E3"/>
    <w:rsid w:val="0397077B"/>
    <w:rsid w:val="03A369B9"/>
    <w:rsid w:val="03AF6C6B"/>
    <w:rsid w:val="03BF71B5"/>
    <w:rsid w:val="03BF7E06"/>
    <w:rsid w:val="03C15826"/>
    <w:rsid w:val="03D2664B"/>
    <w:rsid w:val="03D81831"/>
    <w:rsid w:val="03DE41AE"/>
    <w:rsid w:val="03E106F7"/>
    <w:rsid w:val="03E37A51"/>
    <w:rsid w:val="04093C03"/>
    <w:rsid w:val="041C29DC"/>
    <w:rsid w:val="0423616E"/>
    <w:rsid w:val="042D60CF"/>
    <w:rsid w:val="043B6D06"/>
    <w:rsid w:val="043D3A66"/>
    <w:rsid w:val="04474DDE"/>
    <w:rsid w:val="04524B2D"/>
    <w:rsid w:val="04594EBE"/>
    <w:rsid w:val="0468091F"/>
    <w:rsid w:val="047B22C9"/>
    <w:rsid w:val="047E3544"/>
    <w:rsid w:val="047F0945"/>
    <w:rsid w:val="04844779"/>
    <w:rsid w:val="04854E8F"/>
    <w:rsid w:val="048F701F"/>
    <w:rsid w:val="04A90DB9"/>
    <w:rsid w:val="04AD7B1C"/>
    <w:rsid w:val="04B50C03"/>
    <w:rsid w:val="04BD0C79"/>
    <w:rsid w:val="04C454DC"/>
    <w:rsid w:val="04D80AE9"/>
    <w:rsid w:val="04E12020"/>
    <w:rsid w:val="04E417BF"/>
    <w:rsid w:val="04E72105"/>
    <w:rsid w:val="04FC391F"/>
    <w:rsid w:val="05050840"/>
    <w:rsid w:val="05135387"/>
    <w:rsid w:val="05174EC2"/>
    <w:rsid w:val="05343800"/>
    <w:rsid w:val="0538530C"/>
    <w:rsid w:val="05393DE8"/>
    <w:rsid w:val="05427102"/>
    <w:rsid w:val="054536D0"/>
    <w:rsid w:val="054E3E49"/>
    <w:rsid w:val="05502949"/>
    <w:rsid w:val="0569410E"/>
    <w:rsid w:val="056D374B"/>
    <w:rsid w:val="05710EC2"/>
    <w:rsid w:val="05732B11"/>
    <w:rsid w:val="05744F19"/>
    <w:rsid w:val="057929FC"/>
    <w:rsid w:val="057D1E6A"/>
    <w:rsid w:val="0587053A"/>
    <w:rsid w:val="05881032"/>
    <w:rsid w:val="05B418E6"/>
    <w:rsid w:val="05B91364"/>
    <w:rsid w:val="05BB24F7"/>
    <w:rsid w:val="05C174EC"/>
    <w:rsid w:val="05C2341A"/>
    <w:rsid w:val="05CC2B24"/>
    <w:rsid w:val="05CC7357"/>
    <w:rsid w:val="05E37A63"/>
    <w:rsid w:val="06002114"/>
    <w:rsid w:val="060E438E"/>
    <w:rsid w:val="061424E5"/>
    <w:rsid w:val="061D443E"/>
    <w:rsid w:val="061F025B"/>
    <w:rsid w:val="06273EBA"/>
    <w:rsid w:val="06344D1B"/>
    <w:rsid w:val="063C481E"/>
    <w:rsid w:val="0648551F"/>
    <w:rsid w:val="065021C5"/>
    <w:rsid w:val="065D2DEC"/>
    <w:rsid w:val="065E07BC"/>
    <w:rsid w:val="066462EE"/>
    <w:rsid w:val="066F5D15"/>
    <w:rsid w:val="06932236"/>
    <w:rsid w:val="06942B4F"/>
    <w:rsid w:val="069D1CFC"/>
    <w:rsid w:val="06B025BD"/>
    <w:rsid w:val="06BB0B67"/>
    <w:rsid w:val="06BF0909"/>
    <w:rsid w:val="06C574A8"/>
    <w:rsid w:val="06DB2C97"/>
    <w:rsid w:val="06E07C48"/>
    <w:rsid w:val="06E12B83"/>
    <w:rsid w:val="06E14136"/>
    <w:rsid w:val="06E95BBD"/>
    <w:rsid w:val="06FB7F21"/>
    <w:rsid w:val="06FD6B9D"/>
    <w:rsid w:val="06FF0635"/>
    <w:rsid w:val="0710782F"/>
    <w:rsid w:val="071A5701"/>
    <w:rsid w:val="0729265A"/>
    <w:rsid w:val="074E7857"/>
    <w:rsid w:val="07500A1D"/>
    <w:rsid w:val="075637AE"/>
    <w:rsid w:val="076467EA"/>
    <w:rsid w:val="07843053"/>
    <w:rsid w:val="078C1C6B"/>
    <w:rsid w:val="07972629"/>
    <w:rsid w:val="07986982"/>
    <w:rsid w:val="079F215D"/>
    <w:rsid w:val="07A82F05"/>
    <w:rsid w:val="07B47D47"/>
    <w:rsid w:val="07D520E2"/>
    <w:rsid w:val="07D92EA2"/>
    <w:rsid w:val="07E9494F"/>
    <w:rsid w:val="07EB416A"/>
    <w:rsid w:val="07FA1B3C"/>
    <w:rsid w:val="080D1F98"/>
    <w:rsid w:val="081311EB"/>
    <w:rsid w:val="081E5B36"/>
    <w:rsid w:val="08202360"/>
    <w:rsid w:val="08242955"/>
    <w:rsid w:val="083737F4"/>
    <w:rsid w:val="083B58EC"/>
    <w:rsid w:val="085302CF"/>
    <w:rsid w:val="085B4869"/>
    <w:rsid w:val="08755BCF"/>
    <w:rsid w:val="088C7A37"/>
    <w:rsid w:val="08987A61"/>
    <w:rsid w:val="08AC29EE"/>
    <w:rsid w:val="08B25CD3"/>
    <w:rsid w:val="08B37162"/>
    <w:rsid w:val="08C138B7"/>
    <w:rsid w:val="08C16CD1"/>
    <w:rsid w:val="08CC2E0B"/>
    <w:rsid w:val="08D36D1C"/>
    <w:rsid w:val="08D824EB"/>
    <w:rsid w:val="08E2228D"/>
    <w:rsid w:val="08F070B8"/>
    <w:rsid w:val="09024EEC"/>
    <w:rsid w:val="0906101C"/>
    <w:rsid w:val="094445DB"/>
    <w:rsid w:val="09495FEF"/>
    <w:rsid w:val="094979E6"/>
    <w:rsid w:val="0953146E"/>
    <w:rsid w:val="09553615"/>
    <w:rsid w:val="095E530E"/>
    <w:rsid w:val="097337E4"/>
    <w:rsid w:val="097D1531"/>
    <w:rsid w:val="098211BD"/>
    <w:rsid w:val="09867A33"/>
    <w:rsid w:val="0994772E"/>
    <w:rsid w:val="099757B6"/>
    <w:rsid w:val="09A90F57"/>
    <w:rsid w:val="09AF41F6"/>
    <w:rsid w:val="09BA1A5E"/>
    <w:rsid w:val="09BB47C3"/>
    <w:rsid w:val="09E81DBB"/>
    <w:rsid w:val="09EA5ED1"/>
    <w:rsid w:val="09F2400E"/>
    <w:rsid w:val="09F84D5E"/>
    <w:rsid w:val="09FA43AB"/>
    <w:rsid w:val="09FF768D"/>
    <w:rsid w:val="0A356F59"/>
    <w:rsid w:val="0A402359"/>
    <w:rsid w:val="0A432AB4"/>
    <w:rsid w:val="0A477B17"/>
    <w:rsid w:val="0A5251A1"/>
    <w:rsid w:val="0A564CAA"/>
    <w:rsid w:val="0A574C4E"/>
    <w:rsid w:val="0A5E59F2"/>
    <w:rsid w:val="0A7A73A4"/>
    <w:rsid w:val="0A7C5D9A"/>
    <w:rsid w:val="0A866C21"/>
    <w:rsid w:val="0A912F60"/>
    <w:rsid w:val="0A981BF0"/>
    <w:rsid w:val="0AA70FFE"/>
    <w:rsid w:val="0AB17A25"/>
    <w:rsid w:val="0AC57D42"/>
    <w:rsid w:val="0AC820C6"/>
    <w:rsid w:val="0AC90CD4"/>
    <w:rsid w:val="0ACB60AD"/>
    <w:rsid w:val="0ADD6518"/>
    <w:rsid w:val="0AE75D97"/>
    <w:rsid w:val="0B001CF2"/>
    <w:rsid w:val="0B116715"/>
    <w:rsid w:val="0B2E5770"/>
    <w:rsid w:val="0B4478EC"/>
    <w:rsid w:val="0B475FFE"/>
    <w:rsid w:val="0B565F3A"/>
    <w:rsid w:val="0B5B7D7E"/>
    <w:rsid w:val="0B670C20"/>
    <w:rsid w:val="0B733F83"/>
    <w:rsid w:val="0B7363F2"/>
    <w:rsid w:val="0B737FDB"/>
    <w:rsid w:val="0B7C48A4"/>
    <w:rsid w:val="0B8515DB"/>
    <w:rsid w:val="0B8B1944"/>
    <w:rsid w:val="0B922411"/>
    <w:rsid w:val="0B9907D1"/>
    <w:rsid w:val="0BB9603D"/>
    <w:rsid w:val="0BBE46B5"/>
    <w:rsid w:val="0BCD51EC"/>
    <w:rsid w:val="0BD94F85"/>
    <w:rsid w:val="0BE63281"/>
    <w:rsid w:val="0BE97E68"/>
    <w:rsid w:val="0BEF2EFA"/>
    <w:rsid w:val="0BF01215"/>
    <w:rsid w:val="0C015BDB"/>
    <w:rsid w:val="0C116A61"/>
    <w:rsid w:val="0C1328F8"/>
    <w:rsid w:val="0C285E4F"/>
    <w:rsid w:val="0C2E162E"/>
    <w:rsid w:val="0C321A7D"/>
    <w:rsid w:val="0C3A5F38"/>
    <w:rsid w:val="0C48055B"/>
    <w:rsid w:val="0C5C3822"/>
    <w:rsid w:val="0C623D5B"/>
    <w:rsid w:val="0C6336EF"/>
    <w:rsid w:val="0C6C5FB4"/>
    <w:rsid w:val="0C724D77"/>
    <w:rsid w:val="0C743FF7"/>
    <w:rsid w:val="0C744623"/>
    <w:rsid w:val="0C7F2FF0"/>
    <w:rsid w:val="0C837BF8"/>
    <w:rsid w:val="0C857F4D"/>
    <w:rsid w:val="0C945EE3"/>
    <w:rsid w:val="0C98256C"/>
    <w:rsid w:val="0CA27F6D"/>
    <w:rsid w:val="0CA51C8C"/>
    <w:rsid w:val="0CAB08F7"/>
    <w:rsid w:val="0CB36A34"/>
    <w:rsid w:val="0CB56ED8"/>
    <w:rsid w:val="0CE12D07"/>
    <w:rsid w:val="0CE4308B"/>
    <w:rsid w:val="0D245D59"/>
    <w:rsid w:val="0D26492B"/>
    <w:rsid w:val="0D2A0944"/>
    <w:rsid w:val="0D3F0A7C"/>
    <w:rsid w:val="0D3F7C13"/>
    <w:rsid w:val="0D411534"/>
    <w:rsid w:val="0D412F0F"/>
    <w:rsid w:val="0D463B94"/>
    <w:rsid w:val="0D503345"/>
    <w:rsid w:val="0D581BA0"/>
    <w:rsid w:val="0D643C9D"/>
    <w:rsid w:val="0D663D36"/>
    <w:rsid w:val="0D6E0B47"/>
    <w:rsid w:val="0D7B0C0D"/>
    <w:rsid w:val="0D8158EB"/>
    <w:rsid w:val="0D8A321D"/>
    <w:rsid w:val="0D8A4D73"/>
    <w:rsid w:val="0D950D58"/>
    <w:rsid w:val="0DA05054"/>
    <w:rsid w:val="0DA475F8"/>
    <w:rsid w:val="0DB24BE8"/>
    <w:rsid w:val="0DB73ADF"/>
    <w:rsid w:val="0DC02014"/>
    <w:rsid w:val="0DC25076"/>
    <w:rsid w:val="0DDA7D8D"/>
    <w:rsid w:val="0DE75C7B"/>
    <w:rsid w:val="0DF77E44"/>
    <w:rsid w:val="0E0B10A1"/>
    <w:rsid w:val="0E17155D"/>
    <w:rsid w:val="0E4229F8"/>
    <w:rsid w:val="0E4A5DCF"/>
    <w:rsid w:val="0E4C1905"/>
    <w:rsid w:val="0E595FA4"/>
    <w:rsid w:val="0E654101"/>
    <w:rsid w:val="0E95406C"/>
    <w:rsid w:val="0EAF3B53"/>
    <w:rsid w:val="0EB222ED"/>
    <w:rsid w:val="0ECB7A7E"/>
    <w:rsid w:val="0ED2734F"/>
    <w:rsid w:val="0ED3639B"/>
    <w:rsid w:val="0ED62152"/>
    <w:rsid w:val="0EE67DBF"/>
    <w:rsid w:val="0EEF0B20"/>
    <w:rsid w:val="0F0D3082"/>
    <w:rsid w:val="0F16276E"/>
    <w:rsid w:val="0F17365F"/>
    <w:rsid w:val="0F1D0A4F"/>
    <w:rsid w:val="0F1F677D"/>
    <w:rsid w:val="0F252A53"/>
    <w:rsid w:val="0F466BF1"/>
    <w:rsid w:val="0F4B56D3"/>
    <w:rsid w:val="0F4C2387"/>
    <w:rsid w:val="0F4C602A"/>
    <w:rsid w:val="0F4E0EC5"/>
    <w:rsid w:val="0F535D74"/>
    <w:rsid w:val="0F611949"/>
    <w:rsid w:val="0F86011A"/>
    <w:rsid w:val="0F981AEB"/>
    <w:rsid w:val="0FB10583"/>
    <w:rsid w:val="0FB610D3"/>
    <w:rsid w:val="0FB87E91"/>
    <w:rsid w:val="0FB9307D"/>
    <w:rsid w:val="0FC74656"/>
    <w:rsid w:val="0FC87A76"/>
    <w:rsid w:val="0FD760AA"/>
    <w:rsid w:val="0FEA5FC2"/>
    <w:rsid w:val="100E0361"/>
    <w:rsid w:val="1013306B"/>
    <w:rsid w:val="101E5995"/>
    <w:rsid w:val="101E758E"/>
    <w:rsid w:val="10382707"/>
    <w:rsid w:val="10412694"/>
    <w:rsid w:val="104B5041"/>
    <w:rsid w:val="104C1526"/>
    <w:rsid w:val="10550BEA"/>
    <w:rsid w:val="10556457"/>
    <w:rsid w:val="105C2FD7"/>
    <w:rsid w:val="10737E12"/>
    <w:rsid w:val="107433A5"/>
    <w:rsid w:val="10944581"/>
    <w:rsid w:val="10950E21"/>
    <w:rsid w:val="10A8024D"/>
    <w:rsid w:val="10AD59D5"/>
    <w:rsid w:val="10B17711"/>
    <w:rsid w:val="10C62C76"/>
    <w:rsid w:val="10EB179B"/>
    <w:rsid w:val="10EF4B23"/>
    <w:rsid w:val="10F92A97"/>
    <w:rsid w:val="11064ADE"/>
    <w:rsid w:val="110B2052"/>
    <w:rsid w:val="1112279C"/>
    <w:rsid w:val="11190CA6"/>
    <w:rsid w:val="113949BB"/>
    <w:rsid w:val="114B2A0F"/>
    <w:rsid w:val="11593A1D"/>
    <w:rsid w:val="11610D9E"/>
    <w:rsid w:val="11734DC4"/>
    <w:rsid w:val="117D32AF"/>
    <w:rsid w:val="118D1B4D"/>
    <w:rsid w:val="11A87DF1"/>
    <w:rsid w:val="11CB05E5"/>
    <w:rsid w:val="11CD0A14"/>
    <w:rsid w:val="11D16C2B"/>
    <w:rsid w:val="11D5346E"/>
    <w:rsid w:val="11D81C09"/>
    <w:rsid w:val="11DC3FBE"/>
    <w:rsid w:val="11DF0347"/>
    <w:rsid w:val="11E058AB"/>
    <w:rsid w:val="11EB0A6E"/>
    <w:rsid w:val="11F333CF"/>
    <w:rsid w:val="11F3549A"/>
    <w:rsid w:val="11F53B87"/>
    <w:rsid w:val="121337FD"/>
    <w:rsid w:val="12165887"/>
    <w:rsid w:val="12167F2D"/>
    <w:rsid w:val="121A609A"/>
    <w:rsid w:val="12221650"/>
    <w:rsid w:val="12241840"/>
    <w:rsid w:val="122B7211"/>
    <w:rsid w:val="12311EE9"/>
    <w:rsid w:val="12312740"/>
    <w:rsid w:val="12337CD3"/>
    <w:rsid w:val="12473E5E"/>
    <w:rsid w:val="124904BB"/>
    <w:rsid w:val="124E79A3"/>
    <w:rsid w:val="124F4532"/>
    <w:rsid w:val="12595AE4"/>
    <w:rsid w:val="125B3ADD"/>
    <w:rsid w:val="126C5111"/>
    <w:rsid w:val="126D6F98"/>
    <w:rsid w:val="126F1D5E"/>
    <w:rsid w:val="12721925"/>
    <w:rsid w:val="12894298"/>
    <w:rsid w:val="128D3ED3"/>
    <w:rsid w:val="129E368A"/>
    <w:rsid w:val="12B73E93"/>
    <w:rsid w:val="12C52EDB"/>
    <w:rsid w:val="12DD0CFF"/>
    <w:rsid w:val="12E07076"/>
    <w:rsid w:val="12E11EDA"/>
    <w:rsid w:val="12EF24EC"/>
    <w:rsid w:val="12EF3504"/>
    <w:rsid w:val="12EF5C46"/>
    <w:rsid w:val="12FF465F"/>
    <w:rsid w:val="13036596"/>
    <w:rsid w:val="13040806"/>
    <w:rsid w:val="130D0DF8"/>
    <w:rsid w:val="13253D9A"/>
    <w:rsid w:val="133311E8"/>
    <w:rsid w:val="133D3589"/>
    <w:rsid w:val="133E4E53"/>
    <w:rsid w:val="13461BDB"/>
    <w:rsid w:val="13693677"/>
    <w:rsid w:val="1384535D"/>
    <w:rsid w:val="138C61F8"/>
    <w:rsid w:val="139E3520"/>
    <w:rsid w:val="139F106B"/>
    <w:rsid w:val="13A46AF3"/>
    <w:rsid w:val="13AB7498"/>
    <w:rsid w:val="13AC02D6"/>
    <w:rsid w:val="13AC331F"/>
    <w:rsid w:val="13AC7ACF"/>
    <w:rsid w:val="13B42377"/>
    <w:rsid w:val="13CB66E1"/>
    <w:rsid w:val="13CF6848"/>
    <w:rsid w:val="13D347C6"/>
    <w:rsid w:val="13D549B5"/>
    <w:rsid w:val="13D83EFE"/>
    <w:rsid w:val="13D958DB"/>
    <w:rsid w:val="14060050"/>
    <w:rsid w:val="141023CE"/>
    <w:rsid w:val="1412533E"/>
    <w:rsid w:val="14160299"/>
    <w:rsid w:val="141A221F"/>
    <w:rsid w:val="141B163F"/>
    <w:rsid w:val="144109FD"/>
    <w:rsid w:val="144F18F5"/>
    <w:rsid w:val="1453086B"/>
    <w:rsid w:val="145862E8"/>
    <w:rsid w:val="145D1D0F"/>
    <w:rsid w:val="146077B6"/>
    <w:rsid w:val="14656D97"/>
    <w:rsid w:val="146A6309"/>
    <w:rsid w:val="146F72F4"/>
    <w:rsid w:val="1470123B"/>
    <w:rsid w:val="148150FF"/>
    <w:rsid w:val="148C0304"/>
    <w:rsid w:val="14927F29"/>
    <w:rsid w:val="14B800A6"/>
    <w:rsid w:val="14B91EAB"/>
    <w:rsid w:val="14C85DBE"/>
    <w:rsid w:val="14CC0610"/>
    <w:rsid w:val="14EB1588"/>
    <w:rsid w:val="14EF5D5B"/>
    <w:rsid w:val="14F02D82"/>
    <w:rsid w:val="14F07B4B"/>
    <w:rsid w:val="14FA53FE"/>
    <w:rsid w:val="151B1A81"/>
    <w:rsid w:val="153342E1"/>
    <w:rsid w:val="153835C5"/>
    <w:rsid w:val="15466D1F"/>
    <w:rsid w:val="156E201F"/>
    <w:rsid w:val="157C1BB0"/>
    <w:rsid w:val="157F73F1"/>
    <w:rsid w:val="15882AAF"/>
    <w:rsid w:val="158E5E52"/>
    <w:rsid w:val="15903BF7"/>
    <w:rsid w:val="15903F61"/>
    <w:rsid w:val="15AF07CC"/>
    <w:rsid w:val="15B10E05"/>
    <w:rsid w:val="15B44636"/>
    <w:rsid w:val="15C04DA1"/>
    <w:rsid w:val="15CD7FE6"/>
    <w:rsid w:val="15CF541B"/>
    <w:rsid w:val="15D67D69"/>
    <w:rsid w:val="15D93539"/>
    <w:rsid w:val="15E3769B"/>
    <w:rsid w:val="15E44A47"/>
    <w:rsid w:val="15FF5FF0"/>
    <w:rsid w:val="16133FB5"/>
    <w:rsid w:val="16140ACE"/>
    <w:rsid w:val="161645B2"/>
    <w:rsid w:val="16172CD0"/>
    <w:rsid w:val="1618494F"/>
    <w:rsid w:val="161A7216"/>
    <w:rsid w:val="162D4D4B"/>
    <w:rsid w:val="16336886"/>
    <w:rsid w:val="163B65F5"/>
    <w:rsid w:val="16430322"/>
    <w:rsid w:val="164A07A8"/>
    <w:rsid w:val="164C0E1F"/>
    <w:rsid w:val="16550A4B"/>
    <w:rsid w:val="16581073"/>
    <w:rsid w:val="166354BF"/>
    <w:rsid w:val="166C6378"/>
    <w:rsid w:val="167859EC"/>
    <w:rsid w:val="169074B5"/>
    <w:rsid w:val="169135ED"/>
    <w:rsid w:val="16934F52"/>
    <w:rsid w:val="169B5B99"/>
    <w:rsid w:val="169D39F1"/>
    <w:rsid w:val="16A20335"/>
    <w:rsid w:val="16A232B5"/>
    <w:rsid w:val="16C7558D"/>
    <w:rsid w:val="16D922FE"/>
    <w:rsid w:val="16DC0A41"/>
    <w:rsid w:val="16DC1398"/>
    <w:rsid w:val="16F87717"/>
    <w:rsid w:val="171123C9"/>
    <w:rsid w:val="171673CC"/>
    <w:rsid w:val="17195FD9"/>
    <w:rsid w:val="1739389B"/>
    <w:rsid w:val="17426B41"/>
    <w:rsid w:val="17442EB6"/>
    <w:rsid w:val="1744341B"/>
    <w:rsid w:val="174E7E6A"/>
    <w:rsid w:val="1752072D"/>
    <w:rsid w:val="175569EB"/>
    <w:rsid w:val="176766C9"/>
    <w:rsid w:val="17706AD1"/>
    <w:rsid w:val="17760A21"/>
    <w:rsid w:val="177F38A8"/>
    <w:rsid w:val="17A45CF3"/>
    <w:rsid w:val="17AB0F43"/>
    <w:rsid w:val="17B460A0"/>
    <w:rsid w:val="17BD58C0"/>
    <w:rsid w:val="17C80986"/>
    <w:rsid w:val="17C83968"/>
    <w:rsid w:val="17CD2363"/>
    <w:rsid w:val="17E64CBC"/>
    <w:rsid w:val="17EA25AE"/>
    <w:rsid w:val="17EF6733"/>
    <w:rsid w:val="17F20534"/>
    <w:rsid w:val="18000DA2"/>
    <w:rsid w:val="18221B76"/>
    <w:rsid w:val="18264E11"/>
    <w:rsid w:val="182800CE"/>
    <w:rsid w:val="182A1654"/>
    <w:rsid w:val="182F5D74"/>
    <w:rsid w:val="18335339"/>
    <w:rsid w:val="184C0485"/>
    <w:rsid w:val="184F14A2"/>
    <w:rsid w:val="185724EA"/>
    <w:rsid w:val="186E3872"/>
    <w:rsid w:val="187D159A"/>
    <w:rsid w:val="18876EF7"/>
    <w:rsid w:val="188C1B1D"/>
    <w:rsid w:val="188F21DB"/>
    <w:rsid w:val="18A34E47"/>
    <w:rsid w:val="18BA2656"/>
    <w:rsid w:val="18D23D64"/>
    <w:rsid w:val="18D75E45"/>
    <w:rsid w:val="18DA05D5"/>
    <w:rsid w:val="18DA12F8"/>
    <w:rsid w:val="18E72936"/>
    <w:rsid w:val="19083AE7"/>
    <w:rsid w:val="190B5B85"/>
    <w:rsid w:val="19122426"/>
    <w:rsid w:val="19157D20"/>
    <w:rsid w:val="191E0E00"/>
    <w:rsid w:val="19397763"/>
    <w:rsid w:val="193D01D8"/>
    <w:rsid w:val="194115A9"/>
    <w:rsid w:val="19475905"/>
    <w:rsid w:val="194C143C"/>
    <w:rsid w:val="19544D3A"/>
    <w:rsid w:val="195C3AA7"/>
    <w:rsid w:val="1966511E"/>
    <w:rsid w:val="197B110A"/>
    <w:rsid w:val="19813634"/>
    <w:rsid w:val="198712C9"/>
    <w:rsid w:val="199E351A"/>
    <w:rsid w:val="19A366B4"/>
    <w:rsid w:val="19AA39B2"/>
    <w:rsid w:val="19B23773"/>
    <w:rsid w:val="19BD3438"/>
    <w:rsid w:val="19BF7CA0"/>
    <w:rsid w:val="19CA0299"/>
    <w:rsid w:val="19D776CE"/>
    <w:rsid w:val="19D96C75"/>
    <w:rsid w:val="19E5653F"/>
    <w:rsid w:val="19EC6985"/>
    <w:rsid w:val="19F075FF"/>
    <w:rsid w:val="19F81560"/>
    <w:rsid w:val="19FE1268"/>
    <w:rsid w:val="19FE7890"/>
    <w:rsid w:val="1A155EFE"/>
    <w:rsid w:val="1A19012B"/>
    <w:rsid w:val="1A191401"/>
    <w:rsid w:val="1A19693D"/>
    <w:rsid w:val="1A275376"/>
    <w:rsid w:val="1A3A76B3"/>
    <w:rsid w:val="1A4817D2"/>
    <w:rsid w:val="1A5A51FF"/>
    <w:rsid w:val="1A767127"/>
    <w:rsid w:val="1A767A16"/>
    <w:rsid w:val="1A775BA1"/>
    <w:rsid w:val="1A7E5B1F"/>
    <w:rsid w:val="1A820AB7"/>
    <w:rsid w:val="1A8D5210"/>
    <w:rsid w:val="1A974755"/>
    <w:rsid w:val="1AA61C46"/>
    <w:rsid w:val="1AC0262D"/>
    <w:rsid w:val="1ACC1BF6"/>
    <w:rsid w:val="1ADD372D"/>
    <w:rsid w:val="1AE34D03"/>
    <w:rsid w:val="1AEB08AE"/>
    <w:rsid w:val="1B067919"/>
    <w:rsid w:val="1B084CBE"/>
    <w:rsid w:val="1B13686F"/>
    <w:rsid w:val="1B257F7D"/>
    <w:rsid w:val="1B2B4328"/>
    <w:rsid w:val="1B2C1E5D"/>
    <w:rsid w:val="1B451566"/>
    <w:rsid w:val="1B4B15E7"/>
    <w:rsid w:val="1B5D45F6"/>
    <w:rsid w:val="1B5F444E"/>
    <w:rsid w:val="1B6036C8"/>
    <w:rsid w:val="1B70239F"/>
    <w:rsid w:val="1B9C202B"/>
    <w:rsid w:val="1BAE3275"/>
    <w:rsid w:val="1BB41072"/>
    <w:rsid w:val="1BBD320E"/>
    <w:rsid w:val="1BBD7B09"/>
    <w:rsid w:val="1BC12731"/>
    <w:rsid w:val="1BCC5083"/>
    <w:rsid w:val="1BD7261C"/>
    <w:rsid w:val="1BE45682"/>
    <w:rsid w:val="1BEA4FEC"/>
    <w:rsid w:val="1BEE7A4F"/>
    <w:rsid w:val="1BFB15ED"/>
    <w:rsid w:val="1C052FB3"/>
    <w:rsid w:val="1C0B2F31"/>
    <w:rsid w:val="1C0D5877"/>
    <w:rsid w:val="1C164D29"/>
    <w:rsid w:val="1C320C8A"/>
    <w:rsid w:val="1C4073D3"/>
    <w:rsid w:val="1C43031D"/>
    <w:rsid w:val="1C463D7C"/>
    <w:rsid w:val="1C4F0E07"/>
    <w:rsid w:val="1C6315F6"/>
    <w:rsid w:val="1C812F25"/>
    <w:rsid w:val="1C917921"/>
    <w:rsid w:val="1C9300A3"/>
    <w:rsid w:val="1C982A38"/>
    <w:rsid w:val="1C9B2541"/>
    <w:rsid w:val="1CA01F2E"/>
    <w:rsid w:val="1CA349A7"/>
    <w:rsid w:val="1CA82D2E"/>
    <w:rsid w:val="1CCA4013"/>
    <w:rsid w:val="1CD52FEA"/>
    <w:rsid w:val="1CD922F5"/>
    <w:rsid w:val="1CE562B9"/>
    <w:rsid w:val="1CEC44F0"/>
    <w:rsid w:val="1CED4BD6"/>
    <w:rsid w:val="1CF314D4"/>
    <w:rsid w:val="1CF50629"/>
    <w:rsid w:val="1D04432C"/>
    <w:rsid w:val="1D097D79"/>
    <w:rsid w:val="1D0B3946"/>
    <w:rsid w:val="1D1B63EF"/>
    <w:rsid w:val="1D1C5E58"/>
    <w:rsid w:val="1D2247B2"/>
    <w:rsid w:val="1D330F1C"/>
    <w:rsid w:val="1D3946F2"/>
    <w:rsid w:val="1D452B63"/>
    <w:rsid w:val="1D4E4A14"/>
    <w:rsid w:val="1D64050B"/>
    <w:rsid w:val="1D6478AF"/>
    <w:rsid w:val="1D662C9C"/>
    <w:rsid w:val="1D7501A1"/>
    <w:rsid w:val="1D790FCC"/>
    <w:rsid w:val="1D7E436A"/>
    <w:rsid w:val="1D7F1DD1"/>
    <w:rsid w:val="1D887FDD"/>
    <w:rsid w:val="1D891FC7"/>
    <w:rsid w:val="1D906B60"/>
    <w:rsid w:val="1DB149DD"/>
    <w:rsid w:val="1DB2580B"/>
    <w:rsid w:val="1DB32351"/>
    <w:rsid w:val="1DD468BA"/>
    <w:rsid w:val="1DE974EE"/>
    <w:rsid w:val="1DEF3669"/>
    <w:rsid w:val="1DF33DB2"/>
    <w:rsid w:val="1E05531A"/>
    <w:rsid w:val="1E0A7420"/>
    <w:rsid w:val="1E1A5215"/>
    <w:rsid w:val="1E2752F7"/>
    <w:rsid w:val="1E317BBC"/>
    <w:rsid w:val="1E36795E"/>
    <w:rsid w:val="1E475F88"/>
    <w:rsid w:val="1E482465"/>
    <w:rsid w:val="1E483B20"/>
    <w:rsid w:val="1E4B1048"/>
    <w:rsid w:val="1E6432D4"/>
    <w:rsid w:val="1E676EDF"/>
    <w:rsid w:val="1E6B45E5"/>
    <w:rsid w:val="1E724DE3"/>
    <w:rsid w:val="1E7361AA"/>
    <w:rsid w:val="1EBC7DE0"/>
    <w:rsid w:val="1EC2015F"/>
    <w:rsid w:val="1ECA7131"/>
    <w:rsid w:val="1ECF0F2F"/>
    <w:rsid w:val="1ED03DE9"/>
    <w:rsid w:val="1ED27C99"/>
    <w:rsid w:val="1EDA4C19"/>
    <w:rsid w:val="1EE21E4B"/>
    <w:rsid w:val="1F007BC5"/>
    <w:rsid w:val="1F051E2B"/>
    <w:rsid w:val="1F083A58"/>
    <w:rsid w:val="1F0A6460"/>
    <w:rsid w:val="1F112270"/>
    <w:rsid w:val="1F2234BC"/>
    <w:rsid w:val="1F2D0557"/>
    <w:rsid w:val="1F397700"/>
    <w:rsid w:val="1F3E3D05"/>
    <w:rsid w:val="1F536D3F"/>
    <w:rsid w:val="1F5A0A27"/>
    <w:rsid w:val="1F6477E0"/>
    <w:rsid w:val="1F784C48"/>
    <w:rsid w:val="1F860486"/>
    <w:rsid w:val="1F896F37"/>
    <w:rsid w:val="1F9454A9"/>
    <w:rsid w:val="1FA176DF"/>
    <w:rsid w:val="1FA60DAF"/>
    <w:rsid w:val="1FC61ED5"/>
    <w:rsid w:val="1FC92A24"/>
    <w:rsid w:val="1FD73527"/>
    <w:rsid w:val="1FDC5B1C"/>
    <w:rsid w:val="1FE11A78"/>
    <w:rsid w:val="20127B0E"/>
    <w:rsid w:val="201B6695"/>
    <w:rsid w:val="201D462F"/>
    <w:rsid w:val="20255FD9"/>
    <w:rsid w:val="202B5901"/>
    <w:rsid w:val="20390BAA"/>
    <w:rsid w:val="203F45A7"/>
    <w:rsid w:val="2042312F"/>
    <w:rsid w:val="204A02A8"/>
    <w:rsid w:val="204C004D"/>
    <w:rsid w:val="204E3240"/>
    <w:rsid w:val="20544DFE"/>
    <w:rsid w:val="20765AE9"/>
    <w:rsid w:val="20800C04"/>
    <w:rsid w:val="2090032A"/>
    <w:rsid w:val="209D4B49"/>
    <w:rsid w:val="20A60A09"/>
    <w:rsid w:val="20B17816"/>
    <w:rsid w:val="20BB4CAB"/>
    <w:rsid w:val="20C150A1"/>
    <w:rsid w:val="20C40B24"/>
    <w:rsid w:val="20C5226D"/>
    <w:rsid w:val="20E13C43"/>
    <w:rsid w:val="20E75F11"/>
    <w:rsid w:val="21141DD0"/>
    <w:rsid w:val="211E2230"/>
    <w:rsid w:val="213372B5"/>
    <w:rsid w:val="213C0BDF"/>
    <w:rsid w:val="21486BA6"/>
    <w:rsid w:val="21494AB6"/>
    <w:rsid w:val="215749BA"/>
    <w:rsid w:val="216A793E"/>
    <w:rsid w:val="217D1658"/>
    <w:rsid w:val="21876357"/>
    <w:rsid w:val="21973A69"/>
    <w:rsid w:val="21986894"/>
    <w:rsid w:val="219D5C62"/>
    <w:rsid w:val="219E0893"/>
    <w:rsid w:val="21A84A35"/>
    <w:rsid w:val="21AC60B7"/>
    <w:rsid w:val="21AD6E52"/>
    <w:rsid w:val="21B90C61"/>
    <w:rsid w:val="21BF7D7F"/>
    <w:rsid w:val="21C22705"/>
    <w:rsid w:val="21C43B80"/>
    <w:rsid w:val="21E64A84"/>
    <w:rsid w:val="22052DC8"/>
    <w:rsid w:val="220F3DD9"/>
    <w:rsid w:val="223C6316"/>
    <w:rsid w:val="22412AA4"/>
    <w:rsid w:val="22522021"/>
    <w:rsid w:val="225C6F01"/>
    <w:rsid w:val="22664AEB"/>
    <w:rsid w:val="226748AD"/>
    <w:rsid w:val="2274375B"/>
    <w:rsid w:val="229828DE"/>
    <w:rsid w:val="22AB192E"/>
    <w:rsid w:val="22AD011B"/>
    <w:rsid w:val="22AD51B0"/>
    <w:rsid w:val="22B57C5B"/>
    <w:rsid w:val="22B819A2"/>
    <w:rsid w:val="22B93ACA"/>
    <w:rsid w:val="22D14A7D"/>
    <w:rsid w:val="22DA55A5"/>
    <w:rsid w:val="22E83154"/>
    <w:rsid w:val="22FE0F77"/>
    <w:rsid w:val="230620AA"/>
    <w:rsid w:val="23275032"/>
    <w:rsid w:val="23475340"/>
    <w:rsid w:val="236153B7"/>
    <w:rsid w:val="236173E4"/>
    <w:rsid w:val="2366189C"/>
    <w:rsid w:val="237C79BA"/>
    <w:rsid w:val="238D484F"/>
    <w:rsid w:val="23A349DF"/>
    <w:rsid w:val="23A73B8E"/>
    <w:rsid w:val="23AC2440"/>
    <w:rsid w:val="23C23745"/>
    <w:rsid w:val="23CB75DA"/>
    <w:rsid w:val="23CC2836"/>
    <w:rsid w:val="23E075A7"/>
    <w:rsid w:val="23F46333"/>
    <w:rsid w:val="24023F65"/>
    <w:rsid w:val="240E2B19"/>
    <w:rsid w:val="2413504A"/>
    <w:rsid w:val="24243C4E"/>
    <w:rsid w:val="24296F7F"/>
    <w:rsid w:val="242B4415"/>
    <w:rsid w:val="24362A37"/>
    <w:rsid w:val="24387D06"/>
    <w:rsid w:val="244B6ED4"/>
    <w:rsid w:val="245D66E7"/>
    <w:rsid w:val="24640FE3"/>
    <w:rsid w:val="246E40F1"/>
    <w:rsid w:val="24762AA5"/>
    <w:rsid w:val="247B1FE7"/>
    <w:rsid w:val="24A222AD"/>
    <w:rsid w:val="24A432D9"/>
    <w:rsid w:val="24AD11BA"/>
    <w:rsid w:val="24AD3E08"/>
    <w:rsid w:val="24B271F1"/>
    <w:rsid w:val="24CD1E83"/>
    <w:rsid w:val="24D33ED6"/>
    <w:rsid w:val="24DA5696"/>
    <w:rsid w:val="24EC61D3"/>
    <w:rsid w:val="24F149FA"/>
    <w:rsid w:val="251175E6"/>
    <w:rsid w:val="252866F3"/>
    <w:rsid w:val="252E065E"/>
    <w:rsid w:val="254A5846"/>
    <w:rsid w:val="25561369"/>
    <w:rsid w:val="25610EE2"/>
    <w:rsid w:val="256237B8"/>
    <w:rsid w:val="256B397C"/>
    <w:rsid w:val="25791BC4"/>
    <w:rsid w:val="25822E10"/>
    <w:rsid w:val="25910727"/>
    <w:rsid w:val="25AC4FBE"/>
    <w:rsid w:val="25BA05FA"/>
    <w:rsid w:val="25CF6CDD"/>
    <w:rsid w:val="25D26BF1"/>
    <w:rsid w:val="25DC32E7"/>
    <w:rsid w:val="25E27E8F"/>
    <w:rsid w:val="26066C92"/>
    <w:rsid w:val="260757FB"/>
    <w:rsid w:val="26230C1A"/>
    <w:rsid w:val="262B5006"/>
    <w:rsid w:val="263F18CA"/>
    <w:rsid w:val="26403AF5"/>
    <w:rsid w:val="265A6A68"/>
    <w:rsid w:val="267F78C7"/>
    <w:rsid w:val="268D2189"/>
    <w:rsid w:val="26A65F2E"/>
    <w:rsid w:val="26AA7B90"/>
    <w:rsid w:val="26AE2A83"/>
    <w:rsid w:val="26B17617"/>
    <w:rsid w:val="26BE52D9"/>
    <w:rsid w:val="26C718EF"/>
    <w:rsid w:val="26CA63EC"/>
    <w:rsid w:val="26D406C1"/>
    <w:rsid w:val="26E02BF7"/>
    <w:rsid w:val="26FC74E3"/>
    <w:rsid w:val="26FD4EF1"/>
    <w:rsid w:val="2708121B"/>
    <w:rsid w:val="270A79AF"/>
    <w:rsid w:val="27216B9E"/>
    <w:rsid w:val="2728510E"/>
    <w:rsid w:val="272B7B38"/>
    <w:rsid w:val="2738729D"/>
    <w:rsid w:val="274D73A3"/>
    <w:rsid w:val="2751456D"/>
    <w:rsid w:val="27653C1A"/>
    <w:rsid w:val="276E1EDD"/>
    <w:rsid w:val="277841EE"/>
    <w:rsid w:val="277F3615"/>
    <w:rsid w:val="27832D0B"/>
    <w:rsid w:val="278C6770"/>
    <w:rsid w:val="278D30D3"/>
    <w:rsid w:val="27AC219C"/>
    <w:rsid w:val="27BA1C0D"/>
    <w:rsid w:val="27CD3795"/>
    <w:rsid w:val="27CD66E6"/>
    <w:rsid w:val="27D11AB5"/>
    <w:rsid w:val="27DA17F9"/>
    <w:rsid w:val="27E506DE"/>
    <w:rsid w:val="28080567"/>
    <w:rsid w:val="281404E4"/>
    <w:rsid w:val="281A5F65"/>
    <w:rsid w:val="282D3B7A"/>
    <w:rsid w:val="28320BEF"/>
    <w:rsid w:val="2835183D"/>
    <w:rsid w:val="285579A3"/>
    <w:rsid w:val="286136B2"/>
    <w:rsid w:val="286835D0"/>
    <w:rsid w:val="286C3EFE"/>
    <w:rsid w:val="28764D45"/>
    <w:rsid w:val="28815308"/>
    <w:rsid w:val="288B3B53"/>
    <w:rsid w:val="288D4D90"/>
    <w:rsid w:val="289363ED"/>
    <w:rsid w:val="28A44971"/>
    <w:rsid w:val="28A7566A"/>
    <w:rsid w:val="28AB365F"/>
    <w:rsid w:val="28BB5C8C"/>
    <w:rsid w:val="28C820DE"/>
    <w:rsid w:val="28CB31AE"/>
    <w:rsid w:val="28CB60C5"/>
    <w:rsid w:val="28D64F00"/>
    <w:rsid w:val="28D84929"/>
    <w:rsid w:val="28E27260"/>
    <w:rsid w:val="28F83DF8"/>
    <w:rsid w:val="28FD6BEC"/>
    <w:rsid w:val="290E450D"/>
    <w:rsid w:val="29312557"/>
    <w:rsid w:val="29373017"/>
    <w:rsid w:val="29447C90"/>
    <w:rsid w:val="29513F9E"/>
    <w:rsid w:val="29523185"/>
    <w:rsid w:val="29531179"/>
    <w:rsid w:val="295E40CB"/>
    <w:rsid w:val="296C76B4"/>
    <w:rsid w:val="29772B08"/>
    <w:rsid w:val="297B57EB"/>
    <w:rsid w:val="298505A2"/>
    <w:rsid w:val="29A12388"/>
    <w:rsid w:val="29A2341F"/>
    <w:rsid w:val="29A247B8"/>
    <w:rsid w:val="29A66843"/>
    <w:rsid w:val="29A906AC"/>
    <w:rsid w:val="29AB3EBD"/>
    <w:rsid w:val="29B027A3"/>
    <w:rsid w:val="29BD5A2D"/>
    <w:rsid w:val="29C06E6B"/>
    <w:rsid w:val="29C67A86"/>
    <w:rsid w:val="29CE5BFF"/>
    <w:rsid w:val="29DD1501"/>
    <w:rsid w:val="29F556B9"/>
    <w:rsid w:val="29FC2F7D"/>
    <w:rsid w:val="2A06455B"/>
    <w:rsid w:val="2A067467"/>
    <w:rsid w:val="2A0E179C"/>
    <w:rsid w:val="2A0F2FCC"/>
    <w:rsid w:val="2A1249D6"/>
    <w:rsid w:val="2A213B26"/>
    <w:rsid w:val="2A2E43A1"/>
    <w:rsid w:val="2A496A6A"/>
    <w:rsid w:val="2A5C0AED"/>
    <w:rsid w:val="2A6E2985"/>
    <w:rsid w:val="2A6F5F9E"/>
    <w:rsid w:val="2A7722C8"/>
    <w:rsid w:val="2A7C06B4"/>
    <w:rsid w:val="2AAC2374"/>
    <w:rsid w:val="2AAD4509"/>
    <w:rsid w:val="2AB87F34"/>
    <w:rsid w:val="2ABA315A"/>
    <w:rsid w:val="2ABC010F"/>
    <w:rsid w:val="2AC824BE"/>
    <w:rsid w:val="2ADE00FE"/>
    <w:rsid w:val="2AF40B26"/>
    <w:rsid w:val="2AF815A9"/>
    <w:rsid w:val="2B033859"/>
    <w:rsid w:val="2B1B2D6A"/>
    <w:rsid w:val="2B215656"/>
    <w:rsid w:val="2B271173"/>
    <w:rsid w:val="2B2B370F"/>
    <w:rsid w:val="2B4D7E1F"/>
    <w:rsid w:val="2B53763F"/>
    <w:rsid w:val="2B6E6791"/>
    <w:rsid w:val="2B7F02AD"/>
    <w:rsid w:val="2B8B413B"/>
    <w:rsid w:val="2BBB5724"/>
    <w:rsid w:val="2BD372F7"/>
    <w:rsid w:val="2BD441CC"/>
    <w:rsid w:val="2BE42958"/>
    <w:rsid w:val="2BEE2055"/>
    <w:rsid w:val="2C0B4624"/>
    <w:rsid w:val="2C115363"/>
    <w:rsid w:val="2C243785"/>
    <w:rsid w:val="2C3312C1"/>
    <w:rsid w:val="2C513745"/>
    <w:rsid w:val="2C647115"/>
    <w:rsid w:val="2C6818B4"/>
    <w:rsid w:val="2C7C30FA"/>
    <w:rsid w:val="2C830635"/>
    <w:rsid w:val="2C885AA5"/>
    <w:rsid w:val="2C9D6E3E"/>
    <w:rsid w:val="2CAA4E81"/>
    <w:rsid w:val="2CBC1D1B"/>
    <w:rsid w:val="2CCF4551"/>
    <w:rsid w:val="2CE23732"/>
    <w:rsid w:val="2CE37D43"/>
    <w:rsid w:val="2CE7380B"/>
    <w:rsid w:val="2CE952A3"/>
    <w:rsid w:val="2D2156A2"/>
    <w:rsid w:val="2D3673F2"/>
    <w:rsid w:val="2D381FF5"/>
    <w:rsid w:val="2D3845E6"/>
    <w:rsid w:val="2D38772A"/>
    <w:rsid w:val="2D3E3463"/>
    <w:rsid w:val="2D3F04E7"/>
    <w:rsid w:val="2D445D96"/>
    <w:rsid w:val="2D53008F"/>
    <w:rsid w:val="2D6931B5"/>
    <w:rsid w:val="2D6A7FB8"/>
    <w:rsid w:val="2D6B462B"/>
    <w:rsid w:val="2D6E26B8"/>
    <w:rsid w:val="2D7005F4"/>
    <w:rsid w:val="2D751490"/>
    <w:rsid w:val="2D76006E"/>
    <w:rsid w:val="2D7E7BD3"/>
    <w:rsid w:val="2D92277A"/>
    <w:rsid w:val="2D956C21"/>
    <w:rsid w:val="2DB604B0"/>
    <w:rsid w:val="2DBA384D"/>
    <w:rsid w:val="2DDB6288"/>
    <w:rsid w:val="2DDC6497"/>
    <w:rsid w:val="2DE04046"/>
    <w:rsid w:val="2DEA11CB"/>
    <w:rsid w:val="2DEB7215"/>
    <w:rsid w:val="2DFA5A75"/>
    <w:rsid w:val="2DFB204D"/>
    <w:rsid w:val="2E0732D5"/>
    <w:rsid w:val="2E103B52"/>
    <w:rsid w:val="2E1B5AC0"/>
    <w:rsid w:val="2E216777"/>
    <w:rsid w:val="2E310269"/>
    <w:rsid w:val="2E322D3A"/>
    <w:rsid w:val="2E4B39E3"/>
    <w:rsid w:val="2E710D80"/>
    <w:rsid w:val="2E730F8A"/>
    <w:rsid w:val="2E7749D4"/>
    <w:rsid w:val="2E7F2D87"/>
    <w:rsid w:val="2E886779"/>
    <w:rsid w:val="2E8D3377"/>
    <w:rsid w:val="2E8D73C3"/>
    <w:rsid w:val="2E8E6D20"/>
    <w:rsid w:val="2E937607"/>
    <w:rsid w:val="2E956024"/>
    <w:rsid w:val="2EA56A2B"/>
    <w:rsid w:val="2EA746CD"/>
    <w:rsid w:val="2EB4686A"/>
    <w:rsid w:val="2EB66590"/>
    <w:rsid w:val="2EB7060A"/>
    <w:rsid w:val="2EC65056"/>
    <w:rsid w:val="2ECA1357"/>
    <w:rsid w:val="2ED24BD4"/>
    <w:rsid w:val="2EDB150E"/>
    <w:rsid w:val="2EF77BB3"/>
    <w:rsid w:val="2F053DEC"/>
    <w:rsid w:val="2F1C6F44"/>
    <w:rsid w:val="2F241A7A"/>
    <w:rsid w:val="2F2C2BC7"/>
    <w:rsid w:val="2F3462D4"/>
    <w:rsid w:val="2F365B49"/>
    <w:rsid w:val="2F3E4FCD"/>
    <w:rsid w:val="2F405B63"/>
    <w:rsid w:val="2F450834"/>
    <w:rsid w:val="2F521E00"/>
    <w:rsid w:val="2F56009D"/>
    <w:rsid w:val="2F566550"/>
    <w:rsid w:val="2F5D2A4A"/>
    <w:rsid w:val="2F6A544C"/>
    <w:rsid w:val="2F6B4248"/>
    <w:rsid w:val="2F7366CB"/>
    <w:rsid w:val="2F7650AD"/>
    <w:rsid w:val="2F83315F"/>
    <w:rsid w:val="2F9D27C7"/>
    <w:rsid w:val="2FAC68B5"/>
    <w:rsid w:val="2FAF213D"/>
    <w:rsid w:val="2FB71D1A"/>
    <w:rsid w:val="2FBA5300"/>
    <w:rsid w:val="2FBC4CD9"/>
    <w:rsid w:val="2FC44220"/>
    <w:rsid w:val="2FE71BC4"/>
    <w:rsid w:val="2FE8319B"/>
    <w:rsid w:val="2FF40DE3"/>
    <w:rsid w:val="2FF50078"/>
    <w:rsid w:val="30017543"/>
    <w:rsid w:val="300824F8"/>
    <w:rsid w:val="30082943"/>
    <w:rsid w:val="300A0D8F"/>
    <w:rsid w:val="300D123A"/>
    <w:rsid w:val="30121E1C"/>
    <w:rsid w:val="3015744F"/>
    <w:rsid w:val="302C0757"/>
    <w:rsid w:val="30326D59"/>
    <w:rsid w:val="30364B8B"/>
    <w:rsid w:val="303F3FE9"/>
    <w:rsid w:val="304A65CF"/>
    <w:rsid w:val="305014D9"/>
    <w:rsid w:val="305A2656"/>
    <w:rsid w:val="30603E4D"/>
    <w:rsid w:val="307009F3"/>
    <w:rsid w:val="307433AA"/>
    <w:rsid w:val="307D7E96"/>
    <w:rsid w:val="30952A87"/>
    <w:rsid w:val="30A60134"/>
    <w:rsid w:val="30B03E85"/>
    <w:rsid w:val="30B05E95"/>
    <w:rsid w:val="30B47D68"/>
    <w:rsid w:val="30B84A87"/>
    <w:rsid w:val="30C1776C"/>
    <w:rsid w:val="30D2634C"/>
    <w:rsid w:val="30E0568A"/>
    <w:rsid w:val="30F14CD5"/>
    <w:rsid w:val="30F9053F"/>
    <w:rsid w:val="30FE7F03"/>
    <w:rsid w:val="31084B91"/>
    <w:rsid w:val="310F7E8C"/>
    <w:rsid w:val="31102E48"/>
    <w:rsid w:val="31110BCE"/>
    <w:rsid w:val="311510C2"/>
    <w:rsid w:val="311A35B4"/>
    <w:rsid w:val="312A7702"/>
    <w:rsid w:val="312C19D4"/>
    <w:rsid w:val="3132038F"/>
    <w:rsid w:val="314A0D46"/>
    <w:rsid w:val="314E5E3F"/>
    <w:rsid w:val="315136FC"/>
    <w:rsid w:val="315A25ED"/>
    <w:rsid w:val="315D6678"/>
    <w:rsid w:val="31662B54"/>
    <w:rsid w:val="31912424"/>
    <w:rsid w:val="31957115"/>
    <w:rsid w:val="31A17989"/>
    <w:rsid w:val="31AF6900"/>
    <w:rsid w:val="31CC3470"/>
    <w:rsid w:val="31DD3FBE"/>
    <w:rsid w:val="31F7367C"/>
    <w:rsid w:val="32047EB3"/>
    <w:rsid w:val="320D241D"/>
    <w:rsid w:val="321405BB"/>
    <w:rsid w:val="321E3ECC"/>
    <w:rsid w:val="32203688"/>
    <w:rsid w:val="325F110F"/>
    <w:rsid w:val="327706BE"/>
    <w:rsid w:val="32A11EA0"/>
    <w:rsid w:val="32A9114A"/>
    <w:rsid w:val="32D656FE"/>
    <w:rsid w:val="32DB1CEF"/>
    <w:rsid w:val="32F368A2"/>
    <w:rsid w:val="330905CD"/>
    <w:rsid w:val="331B6025"/>
    <w:rsid w:val="331F355D"/>
    <w:rsid w:val="332F39E9"/>
    <w:rsid w:val="333251E6"/>
    <w:rsid w:val="3339430A"/>
    <w:rsid w:val="3355340B"/>
    <w:rsid w:val="335F213E"/>
    <w:rsid w:val="33690F4F"/>
    <w:rsid w:val="336B7D69"/>
    <w:rsid w:val="33756644"/>
    <w:rsid w:val="337566C2"/>
    <w:rsid w:val="337A048F"/>
    <w:rsid w:val="3386214C"/>
    <w:rsid w:val="338B299E"/>
    <w:rsid w:val="338F0A74"/>
    <w:rsid w:val="33917D65"/>
    <w:rsid w:val="33A3020C"/>
    <w:rsid w:val="33A43F7B"/>
    <w:rsid w:val="33A502E8"/>
    <w:rsid w:val="33B37AE8"/>
    <w:rsid w:val="33BB46BC"/>
    <w:rsid w:val="33D51916"/>
    <w:rsid w:val="33E62675"/>
    <w:rsid w:val="33E972AB"/>
    <w:rsid w:val="33EC5E56"/>
    <w:rsid w:val="33ED3D45"/>
    <w:rsid w:val="33F31EFB"/>
    <w:rsid w:val="33F56F37"/>
    <w:rsid w:val="33F93374"/>
    <w:rsid w:val="34167076"/>
    <w:rsid w:val="34192A85"/>
    <w:rsid w:val="342C0CBF"/>
    <w:rsid w:val="34311A53"/>
    <w:rsid w:val="34371FDB"/>
    <w:rsid w:val="34397FF5"/>
    <w:rsid w:val="34484903"/>
    <w:rsid w:val="34485595"/>
    <w:rsid w:val="344B2A41"/>
    <w:rsid w:val="34553478"/>
    <w:rsid w:val="345C3B23"/>
    <w:rsid w:val="3466422C"/>
    <w:rsid w:val="346E38DD"/>
    <w:rsid w:val="34721080"/>
    <w:rsid w:val="347D600F"/>
    <w:rsid w:val="348E2E5C"/>
    <w:rsid w:val="349B3405"/>
    <w:rsid w:val="34AA07B0"/>
    <w:rsid w:val="34AD579D"/>
    <w:rsid w:val="34B62671"/>
    <w:rsid w:val="34B934E0"/>
    <w:rsid w:val="34BA3CF0"/>
    <w:rsid w:val="34BD150C"/>
    <w:rsid w:val="34C7210A"/>
    <w:rsid w:val="34D45687"/>
    <w:rsid w:val="34E475F8"/>
    <w:rsid w:val="34FB516A"/>
    <w:rsid w:val="35196837"/>
    <w:rsid w:val="351B2C32"/>
    <w:rsid w:val="352246A7"/>
    <w:rsid w:val="352C5BEF"/>
    <w:rsid w:val="354350F3"/>
    <w:rsid w:val="3547790F"/>
    <w:rsid w:val="355E5BCB"/>
    <w:rsid w:val="356559A9"/>
    <w:rsid w:val="356D3A55"/>
    <w:rsid w:val="35701B86"/>
    <w:rsid w:val="35732362"/>
    <w:rsid w:val="3573293B"/>
    <w:rsid w:val="35735344"/>
    <w:rsid w:val="357540AF"/>
    <w:rsid w:val="357868EB"/>
    <w:rsid w:val="358523D0"/>
    <w:rsid w:val="358B4A9D"/>
    <w:rsid w:val="35922636"/>
    <w:rsid w:val="35BD778E"/>
    <w:rsid w:val="35BD7A13"/>
    <w:rsid w:val="35C16E06"/>
    <w:rsid w:val="35C71F04"/>
    <w:rsid w:val="35C96397"/>
    <w:rsid w:val="35CA68AB"/>
    <w:rsid w:val="35D47B2B"/>
    <w:rsid w:val="35DC779C"/>
    <w:rsid w:val="35E410ED"/>
    <w:rsid w:val="35EB2FD4"/>
    <w:rsid w:val="35EF20C9"/>
    <w:rsid w:val="35F332E8"/>
    <w:rsid w:val="36044441"/>
    <w:rsid w:val="3604696C"/>
    <w:rsid w:val="360C625B"/>
    <w:rsid w:val="36106BA5"/>
    <w:rsid w:val="361B3581"/>
    <w:rsid w:val="362E46EB"/>
    <w:rsid w:val="3633415F"/>
    <w:rsid w:val="363611DD"/>
    <w:rsid w:val="363D0C4C"/>
    <w:rsid w:val="367364E1"/>
    <w:rsid w:val="369763B5"/>
    <w:rsid w:val="369E142E"/>
    <w:rsid w:val="36A0221E"/>
    <w:rsid w:val="36A11284"/>
    <w:rsid w:val="36A45069"/>
    <w:rsid w:val="36A84D62"/>
    <w:rsid w:val="36A971CE"/>
    <w:rsid w:val="36B4678E"/>
    <w:rsid w:val="36B84626"/>
    <w:rsid w:val="36B90B11"/>
    <w:rsid w:val="36C7366A"/>
    <w:rsid w:val="36D00958"/>
    <w:rsid w:val="36D30CA0"/>
    <w:rsid w:val="36D81EED"/>
    <w:rsid w:val="36D83D40"/>
    <w:rsid w:val="37117919"/>
    <w:rsid w:val="37144F35"/>
    <w:rsid w:val="371464A7"/>
    <w:rsid w:val="3717340B"/>
    <w:rsid w:val="37254CF6"/>
    <w:rsid w:val="3737345F"/>
    <w:rsid w:val="374110E2"/>
    <w:rsid w:val="374D1249"/>
    <w:rsid w:val="37544118"/>
    <w:rsid w:val="375B2B26"/>
    <w:rsid w:val="375B3801"/>
    <w:rsid w:val="375F18C4"/>
    <w:rsid w:val="3763753D"/>
    <w:rsid w:val="37654388"/>
    <w:rsid w:val="37683D1E"/>
    <w:rsid w:val="37835258"/>
    <w:rsid w:val="379744F3"/>
    <w:rsid w:val="379B06AC"/>
    <w:rsid w:val="37B40B90"/>
    <w:rsid w:val="37C61F92"/>
    <w:rsid w:val="37C97BEC"/>
    <w:rsid w:val="37E57428"/>
    <w:rsid w:val="37F768B1"/>
    <w:rsid w:val="3802504D"/>
    <w:rsid w:val="380A1A96"/>
    <w:rsid w:val="38132AC7"/>
    <w:rsid w:val="38401AD7"/>
    <w:rsid w:val="385174B2"/>
    <w:rsid w:val="38731012"/>
    <w:rsid w:val="387A423D"/>
    <w:rsid w:val="38857685"/>
    <w:rsid w:val="38883F94"/>
    <w:rsid w:val="388C0EEA"/>
    <w:rsid w:val="389E09CC"/>
    <w:rsid w:val="38AC2BB7"/>
    <w:rsid w:val="38BC42B5"/>
    <w:rsid w:val="38CA5555"/>
    <w:rsid w:val="38D4366C"/>
    <w:rsid w:val="38D82A07"/>
    <w:rsid w:val="38DC6A7D"/>
    <w:rsid w:val="38E64A91"/>
    <w:rsid w:val="38EE1BAC"/>
    <w:rsid w:val="39003FBD"/>
    <w:rsid w:val="39166552"/>
    <w:rsid w:val="391813F5"/>
    <w:rsid w:val="39296717"/>
    <w:rsid w:val="392B5F09"/>
    <w:rsid w:val="39411DB4"/>
    <w:rsid w:val="39494A88"/>
    <w:rsid w:val="39496EDF"/>
    <w:rsid w:val="394A08C1"/>
    <w:rsid w:val="396124D1"/>
    <w:rsid w:val="397C09D4"/>
    <w:rsid w:val="397F44ED"/>
    <w:rsid w:val="398B089B"/>
    <w:rsid w:val="39B06716"/>
    <w:rsid w:val="39B30EA9"/>
    <w:rsid w:val="39C80CDA"/>
    <w:rsid w:val="39D27B89"/>
    <w:rsid w:val="39DF3228"/>
    <w:rsid w:val="39E72100"/>
    <w:rsid w:val="39EE332A"/>
    <w:rsid w:val="39F24C64"/>
    <w:rsid w:val="39F50A1C"/>
    <w:rsid w:val="3A0D71BE"/>
    <w:rsid w:val="3A1B14E1"/>
    <w:rsid w:val="3A236CA2"/>
    <w:rsid w:val="3A26548A"/>
    <w:rsid w:val="3A2715D6"/>
    <w:rsid w:val="3A2736BF"/>
    <w:rsid w:val="3A312FB7"/>
    <w:rsid w:val="3A437DEA"/>
    <w:rsid w:val="3A4E3B48"/>
    <w:rsid w:val="3A4F678F"/>
    <w:rsid w:val="3A5C1DF9"/>
    <w:rsid w:val="3A652D65"/>
    <w:rsid w:val="3A6A4AC3"/>
    <w:rsid w:val="3A6D0814"/>
    <w:rsid w:val="3A6D0882"/>
    <w:rsid w:val="3A76269A"/>
    <w:rsid w:val="3A7D5F3A"/>
    <w:rsid w:val="3A8B3054"/>
    <w:rsid w:val="3A9940F0"/>
    <w:rsid w:val="3AAE22F3"/>
    <w:rsid w:val="3ABB43FF"/>
    <w:rsid w:val="3ABD0BEB"/>
    <w:rsid w:val="3AC578B2"/>
    <w:rsid w:val="3ADD7705"/>
    <w:rsid w:val="3AE46F38"/>
    <w:rsid w:val="3AEB2D9D"/>
    <w:rsid w:val="3AF479B5"/>
    <w:rsid w:val="3AF51BE4"/>
    <w:rsid w:val="3AFC0880"/>
    <w:rsid w:val="3B092937"/>
    <w:rsid w:val="3B114E20"/>
    <w:rsid w:val="3B14504C"/>
    <w:rsid w:val="3B16080F"/>
    <w:rsid w:val="3B186CDD"/>
    <w:rsid w:val="3B4F2158"/>
    <w:rsid w:val="3B5205A1"/>
    <w:rsid w:val="3B5737B6"/>
    <w:rsid w:val="3B6C4D3D"/>
    <w:rsid w:val="3B783AC3"/>
    <w:rsid w:val="3B7B77B8"/>
    <w:rsid w:val="3B8350CC"/>
    <w:rsid w:val="3B8367ED"/>
    <w:rsid w:val="3B86205D"/>
    <w:rsid w:val="3B8B65D4"/>
    <w:rsid w:val="3B92781F"/>
    <w:rsid w:val="3B9A599F"/>
    <w:rsid w:val="3BA0139B"/>
    <w:rsid w:val="3BA22581"/>
    <w:rsid w:val="3BA735B9"/>
    <w:rsid w:val="3BB66353"/>
    <w:rsid w:val="3BC52883"/>
    <w:rsid w:val="3BD41145"/>
    <w:rsid w:val="3BE272D1"/>
    <w:rsid w:val="3BED2EA4"/>
    <w:rsid w:val="3BF14B73"/>
    <w:rsid w:val="3C0021D6"/>
    <w:rsid w:val="3C050F37"/>
    <w:rsid w:val="3C0C2346"/>
    <w:rsid w:val="3C1A1D46"/>
    <w:rsid w:val="3C1D35EE"/>
    <w:rsid w:val="3C2873B6"/>
    <w:rsid w:val="3C2A7809"/>
    <w:rsid w:val="3C3D1C69"/>
    <w:rsid w:val="3C3D30A0"/>
    <w:rsid w:val="3C414037"/>
    <w:rsid w:val="3C46704F"/>
    <w:rsid w:val="3C511526"/>
    <w:rsid w:val="3C571283"/>
    <w:rsid w:val="3C61432F"/>
    <w:rsid w:val="3C6D73A0"/>
    <w:rsid w:val="3C770104"/>
    <w:rsid w:val="3C781317"/>
    <w:rsid w:val="3C7A0774"/>
    <w:rsid w:val="3C7D167D"/>
    <w:rsid w:val="3C7D2F65"/>
    <w:rsid w:val="3C803E26"/>
    <w:rsid w:val="3C8505CD"/>
    <w:rsid w:val="3C86152F"/>
    <w:rsid w:val="3C8A317C"/>
    <w:rsid w:val="3C8D1558"/>
    <w:rsid w:val="3CAA6701"/>
    <w:rsid w:val="3CB01844"/>
    <w:rsid w:val="3CBA314E"/>
    <w:rsid w:val="3CCD78B5"/>
    <w:rsid w:val="3D10624F"/>
    <w:rsid w:val="3D135F4D"/>
    <w:rsid w:val="3D204391"/>
    <w:rsid w:val="3D25510D"/>
    <w:rsid w:val="3D29776B"/>
    <w:rsid w:val="3D2E72E7"/>
    <w:rsid w:val="3D351DF4"/>
    <w:rsid w:val="3D41628E"/>
    <w:rsid w:val="3D466827"/>
    <w:rsid w:val="3D5045AA"/>
    <w:rsid w:val="3D5708C1"/>
    <w:rsid w:val="3D6024FB"/>
    <w:rsid w:val="3D692E2E"/>
    <w:rsid w:val="3D6C643F"/>
    <w:rsid w:val="3D706A98"/>
    <w:rsid w:val="3D72521A"/>
    <w:rsid w:val="3D8B366C"/>
    <w:rsid w:val="3D946B14"/>
    <w:rsid w:val="3D98044D"/>
    <w:rsid w:val="3DAC5A65"/>
    <w:rsid w:val="3DBF00CF"/>
    <w:rsid w:val="3DC95986"/>
    <w:rsid w:val="3DCA2C9E"/>
    <w:rsid w:val="3DE06189"/>
    <w:rsid w:val="3DEA3293"/>
    <w:rsid w:val="3DF90189"/>
    <w:rsid w:val="3E042635"/>
    <w:rsid w:val="3E0A2C48"/>
    <w:rsid w:val="3E0D3030"/>
    <w:rsid w:val="3E0E6D7D"/>
    <w:rsid w:val="3E1F364B"/>
    <w:rsid w:val="3E274166"/>
    <w:rsid w:val="3E647654"/>
    <w:rsid w:val="3E744690"/>
    <w:rsid w:val="3EA20FA0"/>
    <w:rsid w:val="3EC701A5"/>
    <w:rsid w:val="3ECA3044"/>
    <w:rsid w:val="3ECE5CC5"/>
    <w:rsid w:val="3EE0687D"/>
    <w:rsid w:val="3EE60FF4"/>
    <w:rsid w:val="3EEB59B0"/>
    <w:rsid w:val="3EF71AB3"/>
    <w:rsid w:val="3F0C3C07"/>
    <w:rsid w:val="3F333DE0"/>
    <w:rsid w:val="3F355C78"/>
    <w:rsid w:val="3F4409A2"/>
    <w:rsid w:val="3F6253B0"/>
    <w:rsid w:val="3F647E7F"/>
    <w:rsid w:val="3F6A4E56"/>
    <w:rsid w:val="3F6A64F7"/>
    <w:rsid w:val="3F8A4240"/>
    <w:rsid w:val="3F8B304C"/>
    <w:rsid w:val="3F8E5C7D"/>
    <w:rsid w:val="3F981511"/>
    <w:rsid w:val="3F9C5862"/>
    <w:rsid w:val="3F9D38CE"/>
    <w:rsid w:val="3FBA0827"/>
    <w:rsid w:val="3FBA6B59"/>
    <w:rsid w:val="3FC6058A"/>
    <w:rsid w:val="3FCD31D2"/>
    <w:rsid w:val="3FCE63A8"/>
    <w:rsid w:val="3FE714A3"/>
    <w:rsid w:val="3FE84B22"/>
    <w:rsid w:val="3FED5117"/>
    <w:rsid w:val="3FF04220"/>
    <w:rsid w:val="3FFB3AB0"/>
    <w:rsid w:val="3FFB455C"/>
    <w:rsid w:val="400044FA"/>
    <w:rsid w:val="40100C28"/>
    <w:rsid w:val="402538AF"/>
    <w:rsid w:val="402803C2"/>
    <w:rsid w:val="402F0231"/>
    <w:rsid w:val="403141A3"/>
    <w:rsid w:val="403F534F"/>
    <w:rsid w:val="40486B6D"/>
    <w:rsid w:val="40492F59"/>
    <w:rsid w:val="40500C5D"/>
    <w:rsid w:val="40671B36"/>
    <w:rsid w:val="40691F2D"/>
    <w:rsid w:val="406E5359"/>
    <w:rsid w:val="40723D14"/>
    <w:rsid w:val="407A6A5F"/>
    <w:rsid w:val="408556D9"/>
    <w:rsid w:val="408702C9"/>
    <w:rsid w:val="408829E4"/>
    <w:rsid w:val="409C4797"/>
    <w:rsid w:val="409D778E"/>
    <w:rsid w:val="409F587D"/>
    <w:rsid w:val="40A37834"/>
    <w:rsid w:val="40AA2996"/>
    <w:rsid w:val="40AD7E31"/>
    <w:rsid w:val="40B622E0"/>
    <w:rsid w:val="40B856B5"/>
    <w:rsid w:val="40C02C90"/>
    <w:rsid w:val="40C32938"/>
    <w:rsid w:val="40C54587"/>
    <w:rsid w:val="40C600AE"/>
    <w:rsid w:val="40D474E0"/>
    <w:rsid w:val="40E604BB"/>
    <w:rsid w:val="40ED383F"/>
    <w:rsid w:val="40FD00C1"/>
    <w:rsid w:val="410535DA"/>
    <w:rsid w:val="41083028"/>
    <w:rsid w:val="41195558"/>
    <w:rsid w:val="411A02EA"/>
    <w:rsid w:val="411E2A8F"/>
    <w:rsid w:val="41231E1C"/>
    <w:rsid w:val="41273A2A"/>
    <w:rsid w:val="41297F31"/>
    <w:rsid w:val="412D5822"/>
    <w:rsid w:val="413B647B"/>
    <w:rsid w:val="4141169C"/>
    <w:rsid w:val="414420E6"/>
    <w:rsid w:val="4144661B"/>
    <w:rsid w:val="414E2A28"/>
    <w:rsid w:val="415A1E69"/>
    <w:rsid w:val="415C28AC"/>
    <w:rsid w:val="416A47E5"/>
    <w:rsid w:val="41941490"/>
    <w:rsid w:val="41986C3E"/>
    <w:rsid w:val="41AF4535"/>
    <w:rsid w:val="41B85D0C"/>
    <w:rsid w:val="41BC0AB1"/>
    <w:rsid w:val="41D751DE"/>
    <w:rsid w:val="41DA5B4C"/>
    <w:rsid w:val="41F3619F"/>
    <w:rsid w:val="41F56D18"/>
    <w:rsid w:val="41F62566"/>
    <w:rsid w:val="41F710A5"/>
    <w:rsid w:val="41FB7C1B"/>
    <w:rsid w:val="41FD19E7"/>
    <w:rsid w:val="42132341"/>
    <w:rsid w:val="421F302E"/>
    <w:rsid w:val="422E218C"/>
    <w:rsid w:val="4237043D"/>
    <w:rsid w:val="423F6BAA"/>
    <w:rsid w:val="426C096B"/>
    <w:rsid w:val="42812B20"/>
    <w:rsid w:val="42967175"/>
    <w:rsid w:val="42A23EAE"/>
    <w:rsid w:val="42B57906"/>
    <w:rsid w:val="42C537DE"/>
    <w:rsid w:val="42CC27A0"/>
    <w:rsid w:val="42DC0D8F"/>
    <w:rsid w:val="42E07B44"/>
    <w:rsid w:val="42F02C29"/>
    <w:rsid w:val="42F72C47"/>
    <w:rsid w:val="43065A98"/>
    <w:rsid w:val="43085D36"/>
    <w:rsid w:val="43117473"/>
    <w:rsid w:val="431760D2"/>
    <w:rsid w:val="432E7F09"/>
    <w:rsid w:val="436B04CF"/>
    <w:rsid w:val="43701F86"/>
    <w:rsid w:val="43783740"/>
    <w:rsid w:val="437E66CF"/>
    <w:rsid w:val="438410CD"/>
    <w:rsid w:val="438E2903"/>
    <w:rsid w:val="43900D1B"/>
    <w:rsid w:val="43941EF9"/>
    <w:rsid w:val="43AE57C9"/>
    <w:rsid w:val="43BE570B"/>
    <w:rsid w:val="43C053BE"/>
    <w:rsid w:val="43C2326D"/>
    <w:rsid w:val="43DC74C2"/>
    <w:rsid w:val="43DF5F41"/>
    <w:rsid w:val="43E15C5E"/>
    <w:rsid w:val="43E5384B"/>
    <w:rsid w:val="43F23F61"/>
    <w:rsid w:val="440A03A4"/>
    <w:rsid w:val="441A6704"/>
    <w:rsid w:val="442A60BB"/>
    <w:rsid w:val="445033E8"/>
    <w:rsid w:val="4459240E"/>
    <w:rsid w:val="445E09D5"/>
    <w:rsid w:val="446D660C"/>
    <w:rsid w:val="4488558C"/>
    <w:rsid w:val="44A8678C"/>
    <w:rsid w:val="44D21BE9"/>
    <w:rsid w:val="44D82781"/>
    <w:rsid w:val="44DB3AAF"/>
    <w:rsid w:val="44EC3348"/>
    <w:rsid w:val="44F8664A"/>
    <w:rsid w:val="44FA19ED"/>
    <w:rsid w:val="44FB1005"/>
    <w:rsid w:val="44FF4853"/>
    <w:rsid w:val="45065F5D"/>
    <w:rsid w:val="45102DD1"/>
    <w:rsid w:val="45111F84"/>
    <w:rsid w:val="451E16D4"/>
    <w:rsid w:val="4524423D"/>
    <w:rsid w:val="452D285F"/>
    <w:rsid w:val="45381B79"/>
    <w:rsid w:val="454B0E83"/>
    <w:rsid w:val="455604F1"/>
    <w:rsid w:val="45584112"/>
    <w:rsid w:val="457F3CA1"/>
    <w:rsid w:val="45812B97"/>
    <w:rsid w:val="458839BF"/>
    <w:rsid w:val="45887F17"/>
    <w:rsid w:val="458D7FB3"/>
    <w:rsid w:val="458E7AE0"/>
    <w:rsid w:val="458E7B9E"/>
    <w:rsid w:val="459578E9"/>
    <w:rsid w:val="45BF4D22"/>
    <w:rsid w:val="45C4185E"/>
    <w:rsid w:val="45C46745"/>
    <w:rsid w:val="45D47B04"/>
    <w:rsid w:val="45D778F8"/>
    <w:rsid w:val="45DD47D8"/>
    <w:rsid w:val="45DF75B3"/>
    <w:rsid w:val="45EC5B58"/>
    <w:rsid w:val="45F06D5A"/>
    <w:rsid w:val="45F71D50"/>
    <w:rsid w:val="45F934F4"/>
    <w:rsid w:val="45FA6896"/>
    <w:rsid w:val="45FF3F96"/>
    <w:rsid w:val="463E2770"/>
    <w:rsid w:val="46401774"/>
    <w:rsid w:val="4644085C"/>
    <w:rsid w:val="464C4D45"/>
    <w:rsid w:val="464D2D29"/>
    <w:rsid w:val="46535CF2"/>
    <w:rsid w:val="46735148"/>
    <w:rsid w:val="468913B5"/>
    <w:rsid w:val="469A3FCF"/>
    <w:rsid w:val="46AE6F33"/>
    <w:rsid w:val="46C9271D"/>
    <w:rsid w:val="46D0797E"/>
    <w:rsid w:val="46DB78A8"/>
    <w:rsid w:val="46E51F43"/>
    <w:rsid w:val="46E817D0"/>
    <w:rsid w:val="47081865"/>
    <w:rsid w:val="470C0B02"/>
    <w:rsid w:val="470D6A52"/>
    <w:rsid w:val="471450DC"/>
    <w:rsid w:val="472479E2"/>
    <w:rsid w:val="473867FC"/>
    <w:rsid w:val="473F4843"/>
    <w:rsid w:val="473F71EB"/>
    <w:rsid w:val="47466C18"/>
    <w:rsid w:val="47490958"/>
    <w:rsid w:val="474C1B90"/>
    <w:rsid w:val="475445DF"/>
    <w:rsid w:val="475E4D8C"/>
    <w:rsid w:val="475F6FFB"/>
    <w:rsid w:val="47613706"/>
    <w:rsid w:val="47744A88"/>
    <w:rsid w:val="47761971"/>
    <w:rsid w:val="47890476"/>
    <w:rsid w:val="4797006A"/>
    <w:rsid w:val="47A01A89"/>
    <w:rsid w:val="47A950EA"/>
    <w:rsid w:val="47BE18CE"/>
    <w:rsid w:val="47C22283"/>
    <w:rsid w:val="47C64BB4"/>
    <w:rsid w:val="47CB32E2"/>
    <w:rsid w:val="47D71873"/>
    <w:rsid w:val="47E47BD6"/>
    <w:rsid w:val="47FB3EBA"/>
    <w:rsid w:val="47FD5AEF"/>
    <w:rsid w:val="480B2333"/>
    <w:rsid w:val="48167AAA"/>
    <w:rsid w:val="48373870"/>
    <w:rsid w:val="48486D82"/>
    <w:rsid w:val="487A031B"/>
    <w:rsid w:val="4895190E"/>
    <w:rsid w:val="48981E2D"/>
    <w:rsid w:val="48A117EC"/>
    <w:rsid w:val="48AE4C4E"/>
    <w:rsid w:val="48BE01AF"/>
    <w:rsid w:val="48C27E3A"/>
    <w:rsid w:val="48C65766"/>
    <w:rsid w:val="48DE608B"/>
    <w:rsid w:val="48FC2EB6"/>
    <w:rsid w:val="49011B36"/>
    <w:rsid w:val="490536CC"/>
    <w:rsid w:val="490A7305"/>
    <w:rsid w:val="4915438D"/>
    <w:rsid w:val="492A36A1"/>
    <w:rsid w:val="4938244D"/>
    <w:rsid w:val="493A564A"/>
    <w:rsid w:val="493C55DD"/>
    <w:rsid w:val="49497FEC"/>
    <w:rsid w:val="494B402A"/>
    <w:rsid w:val="49556D02"/>
    <w:rsid w:val="49560219"/>
    <w:rsid w:val="49631C5C"/>
    <w:rsid w:val="49794060"/>
    <w:rsid w:val="49816239"/>
    <w:rsid w:val="4987471C"/>
    <w:rsid w:val="49911FF8"/>
    <w:rsid w:val="49957357"/>
    <w:rsid w:val="49986490"/>
    <w:rsid w:val="49AB669F"/>
    <w:rsid w:val="49B2454B"/>
    <w:rsid w:val="49B303F3"/>
    <w:rsid w:val="49E65A94"/>
    <w:rsid w:val="49F679EF"/>
    <w:rsid w:val="4A06561F"/>
    <w:rsid w:val="4A167EEC"/>
    <w:rsid w:val="4A174386"/>
    <w:rsid w:val="4A182E72"/>
    <w:rsid w:val="4A1B239F"/>
    <w:rsid w:val="4A250AF5"/>
    <w:rsid w:val="4A25406F"/>
    <w:rsid w:val="4A290D7C"/>
    <w:rsid w:val="4A2E6757"/>
    <w:rsid w:val="4A40609E"/>
    <w:rsid w:val="4A41428F"/>
    <w:rsid w:val="4A4E51BA"/>
    <w:rsid w:val="4A4E64B2"/>
    <w:rsid w:val="4A536B62"/>
    <w:rsid w:val="4A5A0E17"/>
    <w:rsid w:val="4A5A16B1"/>
    <w:rsid w:val="4A627556"/>
    <w:rsid w:val="4A6536BD"/>
    <w:rsid w:val="4A7033D7"/>
    <w:rsid w:val="4A893060"/>
    <w:rsid w:val="4A934DFD"/>
    <w:rsid w:val="4A9B4822"/>
    <w:rsid w:val="4AAB1FFC"/>
    <w:rsid w:val="4ABF1A80"/>
    <w:rsid w:val="4ACD263C"/>
    <w:rsid w:val="4AF05152"/>
    <w:rsid w:val="4AF46A18"/>
    <w:rsid w:val="4B041530"/>
    <w:rsid w:val="4B094DA8"/>
    <w:rsid w:val="4B123B29"/>
    <w:rsid w:val="4B2C16F1"/>
    <w:rsid w:val="4B341992"/>
    <w:rsid w:val="4B342A49"/>
    <w:rsid w:val="4B382EC2"/>
    <w:rsid w:val="4B4A6671"/>
    <w:rsid w:val="4B4E00F3"/>
    <w:rsid w:val="4B5C75C6"/>
    <w:rsid w:val="4B5D316A"/>
    <w:rsid w:val="4B6717E4"/>
    <w:rsid w:val="4B67770C"/>
    <w:rsid w:val="4B705824"/>
    <w:rsid w:val="4B766CA0"/>
    <w:rsid w:val="4B7C5A8E"/>
    <w:rsid w:val="4B84465D"/>
    <w:rsid w:val="4B8B0E4A"/>
    <w:rsid w:val="4BA1286E"/>
    <w:rsid w:val="4BAE7484"/>
    <w:rsid w:val="4BB01E2B"/>
    <w:rsid w:val="4BB35325"/>
    <w:rsid w:val="4BB51437"/>
    <w:rsid w:val="4BC50363"/>
    <w:rsid w:val="4BC62629"/>
    <w:rsid w:val="4BCD0B56"/>
    <w:rsid w:val="4BD220D9"/>
    <w:rsid w:val="4BE17E7B"/>
    <w:rsid w:val="4BF244BC"/>
    <w:rsid w:val="4BF742E4"/>
    <w:rsid w:val="4BFF78E1"/>
    <w:rsid w:val="4C00529C"/>
    <w:rsid w:val="4C177A54"/>
    <w:rsid w:val="4C18316B"/>
    <w:rsid w:val="4C2552F8"/>
    <w:rsid w:val="4C2C3E0B"/>
    <w:rsid w:val="4C37556E"/>
    <w:rsid w:val="4C501B69"/>
    <w:rsid w:val="4C52540B"/>
    <w:rsid w:val="4C5825DD"/>
    <w:rsid w:val="4C5A3761"/>
    <w:rsid w:val="4C690850"/>
    <w:rsid w:val="4C6958C8"/>
    <w:rsid w:val="4C8776D7"/>
    <w:rsid w:val="4C90243C"/>
    <w:rsid w:val="4C905EA7"/>
    <w:rsid w:val="4C984E71"/>
    <w:rsid w:val="4CA304F0"/>
    <w:rsid w:val="4CAD26EA"/>
    <w:rsid w:val="4CAE37A3"/>
    <w:rsid w:val="4CAF45F6"/>
    <w:rsid w:val="4CB47E59"/>
    <w:rsid w:val="4CB84CD1"/>
    <w:rsid w:val="4CC8569B"/>
    <w:rsid w:val="4CDB5C21"/>
    <w:rsid w:val="4CEF22C2"/>
    <w:rsid w:val="4CF84B5D"/>
    <w:rsid w:val="4CF85267"/>
    <w:rsid w:val="4D026998"/>
    <w:rsid w:val="4D081739"/>
    <w:rsid w:val="4D157F4F"/>
    <w:rsid w:val="4D1C5D83"/>
    <w:rsid w:val="4D213BF7"/>
    <w:rsid w:val="4D30278A"/>
    <w:rsid w:val="4D363FB7"/>
    <w:rsid w:val="4D402AFA"/>
    <w:rsid w:val="4D40746B"/>
    <w:rsid w:val="4D436429"/>
    <w:rsid w:val="4D5109CA"/>
    <w:rsid w:val="4D552358"/>
    <w:rsid w:val="4D563BBD"/>
    <w:rsid w:val="4D761F2F"/>
    <w:rsid w:val="4D793DD7"/>
    <w:rsid w:val="4D8A6E74"/>
    <w:rsid w:val="4D8B2729"/>
    <w:rsid w:val="4DAB7D28"/>
    <w:rsid w:val="4DAE35B1"/>
    <w:rsid w:val="4DB67FFC"/>
    <w:rsid w:val="4DB80E16"/>
    <w:rsid w:val="4DBF3F22"/>
    <w:rsid w:val="4DC5776B"/>
    <w:rsid w:val="4DCF7290"/>
    <w:rsid w:val="4DD424D2"/>
    <w:rsid w:val="4DDD09A1"/>
    <w:rsid w:val="4DE0206F"/>
    <w:rsid w:val="4DEF489C"/>
    <w:rsid w:val="4DF2005D"/>
    <w:rsid w:val="4DF94EFA"/>
    <w:rsid w:val="4E0208A1"/>
    <w:rsid w:val="4E0B6688"/>
    <w:rsid w:val="4E1232D1"/>
    <w:rsid w:val="4E1D19D2"/>
    <w:rsid w:val="4E1E6139"/>
    <w:rsid w:val="4E224F42"/>
    <w:rsid w:val="4E2C707E"/>
    <w:rsid w:val="4E3826D6"/>
    <w:rsid w:val="4E3F1C16"/>
    <w:rsid w:val="4E3F57BC"/>
    <w:rsid w:val="4E4C44CD"/>
    <w:rsid w:val="4E50386D"/>
    <w:rsid w:val="4E55309F"/>
    <w:rsid w:val="4E7474E8"/>
    <w:rsid w:val="4E7B73B3"/>
    <w:rsid w:val="4E7C4BA1"/>
    <w:rsid w:val="4E973A50"/>
    <w:rsid w:val="4E9F4105"/>
    <w:rsid w:val="4EA720E5"/>
    <w:rsid w:val="4EB02476"/>
    <w:rsid w:val="4EE05CAA"/>
    <w:rsid w:val="4EE12346"/>
    <w:rsid w:val="4EE17CA8"/>
    <w:rsid w:val="4EE773E2"/>
    <w:rsid w:val="4EEC30DE"/>
    <w:rsid w:val="4EF76CAE"/>
    <w:rsid w:val="4F114828"/>
    <w:rsid w:val="4F366BC7"/>
    <w:rsid w:val="4F3F7826"/>
    <w:rsid w:val="4F6B689F"/>
    <w:rsid w:val="4F731591"/>
    <w:rsid w:val="4F8E010D"/>
    <w:rsid w:val="4F8F7D82"/>
    <w:rsid w:val="4F9A0837"/>
    <w:rsid w:val="4FAC1042"/>
    <w:rsid w:val="4FB60D92"/>
    <w:rsid w:val="4FB94E52"/>
    <w:rsid w:val="4FBE3AFD"/>
    <w:rsid w:val="4FDF5967"/>
    <w:rsid w:val="4FEB69B0"/>
    <w:rsid w:val="4FFC4363"/>
    <w:rsid w:val="4FFD5A12"/>
    <w:rsid w:val="4FFF6109"/>
    <w:rsid w:val="4FFF6489"/>
    <w:rsid w:val="500B0ED4"/>
    <w:rsid w:val="50102D4A"/>
    <w:rsid w:val="502D6447"/>
    <w:rsid w:val="50360C21"/>
    <w:rsid w:val="503D6F10"/>
    <w:rsid w:val="50401737"/>
    <w:rsid w:val="50526BF2"/>
    <w:rsid w:val="5064689E"/>
    <w:rsid w:val="506E556F"/>
    <w:rsid w:val="50747150"/>
    <w:rsid w:val="507703C6"/>
    <w:rsid w:val="50804F6F"/>
    <w:rsid w:val="50922234"/>
    <w:rsid w:val="50A548F7"/>
    <w:rsid w:val="50A95358"/>
    <w:rsid w:val="50D240A9"/>
    <w:rsid w:val="50E74E4F"/>
    <w:rsid w:val="50F32C05"/>
    <w:rsid w:val="51014856"/>
    <w:rsid w:val="510A7849"/>
    <w:rsid w:val="510E1E6E"/>
    <w:rsid w:val="51100044"/>
    <w:rsid w:val="511B033F"/>
    <w:rsid w:val="5147293F"/>
    <w:rsid w:val="514E559A"/>
    <w:rsid w:val="515570E4"/>
    <w:rsid w:val="515F6445"/>
    <w:rsid w:val="516113B8"/>
    <w:rsid w:val="51744CB0"/>
    <w:rsid w:val="518178BC"/>
    <w:rsid w:val="51846C5D"/>
    <w:rsid w:val="518E4D56"/>
    <w:rsid w:val="51930C54"/>
    <w:rsid w:val="51932D58"/>
    <w:rsid w:val="5198443A"/>
    <w:rsid w:val="519F045E"/>
    <w:rsid w:val="519F23F2"/>
    <w:rsid w:val="51AC2AC8"/>
    <w:rsid w:val="51B21398"/>
    <w:rsid w:val="51B65C8D"/>
    <w:rsid w:val="51B9350B"/>
    <w:rsid w:val="51C82E54"/>
    <w:rsid w:val="51E26886"/>
    <w:rsid w:val="52066D18"/>
    <w:rsid w:val="520F3871"/>
    <w:rsid w:val="521117D6"/>
    <w:rsid w:val="521A36CE"/>
    <w:rsid w:val="5227352B"/>
    <w:rsid w:val="522B0B10"/>
    <w:rsid w:val="52386C48"/>
    <w:rsid w:val="523C6D60"/>
    <w:rsid w:val="524F1CF2"/>
    <w:rsid w:val="525B4D0A"/>
    <w:rsid w:val="525D0DDD"/>
    <w:rsid w:val="525E7D94"/>
    <w:rsid w:val="526A557B"/>
    <w:rsid w:val="527234DF"/>
    <w:rsid w:val="52866E27"/>
    <w:rsid w:val="52933667"/>
    <w:rsid w:val="52A422AF"/>
    <w:rsid w:val="52B40CD1"/>
    <w:rsid w:val="52C73780"/>
    <w:rsid w:val="52D30187"/>
    <w:rsid w:val="52E26ED5"/>
    <w:rsid w:val="52E37F64"/>
    <w:rsid w:val="52E80C5A"/>
    <w:rsid w:val="52EB39D6"/>
    <w:rsid w:val="52F45CCD"/>
    <w:rsid w:val="530D11E7"/>
    <w:rsid w:val="53194497"/>
    <w:rsid w:val="532B274E"/>
    <w:rsid w:val="532B79AE"/>
    <w:rsid w:val="53301642"/>
    <w:rsid w:val="53383909"/>
    <w:rsid w:val="533A55FD"/>
    <w:rsid w:val="533E1C9D"/>
    <w:rsid w:val="535911AD"/>
    <w:rsid w:val="536034E5"/>
    <w:rsid w:val="53717427"/>
    <w:rsid w:val="53756F3F"/>
    <w:rsid w:val="538237C6"/>
    <w:rsid w:val="53B0409F"/>
    <w:rsid w:val="53C31326"/>
    <w:rsid w:val="53E00D9A"/>
    <w:rsid w:val="53E05B8F"/>
    <w:rsid w:val="53E8049B"/>
    <w:rsid w:val="53F112A8"/>
    <w:rsid w:val="54065CB8"/>
    <w:rsid w:val="54157FC5"/>
    <w:rsid w:val="541A2918"/>
    <w:rsid w:val="54204C9F"/>
    <w:rsid w:val="5426167E"/>
    <w:rsid w:val="54385FD8"/>
    <w:rsid w:val="543D19F2"/>
    <w:rsid w:val="543F078D"/>
    <w:rsid w:val="545A6004"/>
    <w:rsid w:val="54624A1A"/>
    <w:rsid w:val="5467079A"/>
    <w:rsid w:val="546F53E5"/>
    <w:rsid w:val="547C4670"/>
    <w:rsid w:val="54834761"/>
    <w:rsid w:val="54842B46"/>
    <w:rsid w:val="54992160"/>
    <w:rsid w:val="54B13FCD"/>
    <w:rsid w:val="54C07BCA"/>
    <w:rsid w:val="54F07210"/>
    <w:rsid w:val="550D21E2"/>
    <w:rsid w:val="55106B9E"/>
    <w:rsid w:val="55293CD7"/>
    <w:rsid w:val="55397F95"/>
    <w:rsid w:val="553B72BC"/>
    <w:rsid w:val="55402FD8"/>
    <w:rsid w:val="5562356C"/>
    <w:rsid w:val="557612C1"/>
    <w:rsid w:val="55794AFE"/>
    <w:rsid w:val="557A22BF"/>
    <w:rsid w:val="558D63DE"/>
    <w:rsid w:val="55A91797"/>
    <w:rsid w:val="55A955BC"/>
    <w:rsid w:val="55CD6CE1"/>
    <w:rsid w:val="55D128B6"/>
    <w:rsid w:val="55D3548E"/>
    <w:rsid w:val="55E820F0"/>
    <w:rsid w:val="55ED3A66"/>
    <w:rsid w:val="55FC5BB6"/>
    <w:rsid w:val="56032E96"/>
    <w:rsid w:val="562F7218"/>
    <w:rsid w:val="563811F3"/>
    <w:rsid w:val="563B47EF"/>
    <w:rsid w:val="563D2F23"/>
    <w:rsid w:val="56442AC9"/>
    <w:rsid w:val="565705C0"/>
    <w:rsid w:val="565A1A66"/>
    <w:rsid w:val="56696A15"/>
    <w:rsid w:val="566E6F0C"/>
    <w:rsid w:val="56781559"/>
    <w:rsid w:val="568147E6"/>
    <w:rsid w:val="56905AE9"/>
    <w:rsid w:val="56AD7F56"/>
    <w:rsid w:val="56B14A4E"/>
    <w:rsid w:val="56DB6B9E"/>
    <w:rsid w:val="56E47121"/>
    <w:rsid w:val="56F332BC"/>
    <w:rsid w:val="56F72AE0"/>
    <w:rsid w:val="56FC0A62"/>
    <w:rsid w:val="57121C92"/>
    <w:rsid w:val="57285CD2"/>
    <w:rsid w:val="5729650D"/>
    <w:rsid w:val="573202DA"/>
    <w:rsid w:val="5734273B"/>
    <w:rsid w:val="57512180"/>
    <w:rsid w:val="5763554D"/>
    <w:rsid w:val="57730938"/>
    <w:rsid w:val="577E549B"/>
    <w:rsid w:val="578904F9"/>
    <w:rsid w:val="57A817F7"/>
    <w:rsid w:val="57C344BA"/>
    <w:rsid w:val="57CE0C4E"/>
    <w:rsid w:val="57D727B4"/>
    <w:rsid w:val="57DD6074"/>
    <w:rsid w:val="57E11A79"/>
    <w:rsid w:val="57EE1A96"/>
    <w:rsid w:val="57F6321B"/>
    <w:rsid w:val="57FB18AC"/>
    <w:rsid w:val="58025991"/>
    <w:rsid w:val="580B590A"/>
    <w:rsid w:val="58123DE6"/>
    <w:rsid w:val="581F1405"/>
    <w:rsid w:val="582B4A6E"/>
    <w:rsid w:val="583A7F2A"/>
    <w:rsid w:val="584863F5"/>
    <w:rsid w:val="5853793A"/>
    <w:rsid w:val="58543C7C"/>
    <w:rsid w:val="5858263B"/>
    <w:rsid w:val="585869BD"/>
    <w:rsid w:val="58923CB1"/>
    <w:rsid w:val="58927B2F"/>
    <w:rsid w:val="589D3BF4"/>
    <w:rsid w:val="58AA6661"/>
    <w:rsid w:val="58AB6F65"/>
    <w:rsid w:val="58B32ECD"/>
    <w:rsid w:val="58C16F0F"/>
    <w:rsid w:val="58C83C33"/>
    <w:rsid w:val="58DC71A7"/>
    <w:rsid w:val="58DE696E"/>
    <w:rsid w:val="58E63860"/>
    <w:rsid w:val="58F07B9D"/>
    <w:rsid w:val="58F410EC"/>
    <w:rsid w:val="592074AC"/>
    <w:rsid w:val="592E72DE"/>
    <w:rsid w:val="5938443B"/>
    <w:rsid w:val="593D04C8"/>
    <w:rsid w:val="59460173"/>
    <w:rsid w:val="594C24B0"/>
    <w:rsid w:val="59570D64"/>
    <w:rsid w:val="59822B75"/>
    <w:rsid w:val="598850C0"/>
    <w:rsid w:val="59B52CD9"/>
    <w:rsid w:val="59BE124D"/>
    <w:rsid w:val="59C84CDF"/>
    <w:rsid w:val="59CA4C89"/>
    <w:rsid w:val="59E309B6"/>
    <w:rsid w:val="59E37ED8"/>
    <w:rsid w:val="59E63DC8"/>
    <w:rsid w:val="59EF48C8"/>
    <w:rsid w:val="5A247CDB"/>
    <w:rsid w:val="5A335194"/>
    <w:rsid w:val="5A356DDA"/>
    <w:rsid w:val="5A371A5D"/>
    <w:rsid w:val="5A4C19A3"/>
    <w:rsid w:val="5A575D91"/>
    <w:rsid w:val="5A581480"/>
    <w:rsid w:val="5A6A2BD2"/>
    <w:rsid w:val="5A6E7822"/>
    <w:rsid w:val="5A894444"/>
    <w:rsid w:val="5A8F7875"/>
    <w:rsid w:val="5A9579D4"/>
    <w:rsid w:val="5A994586"/>
    <w:rsid w:val="5AA248EB"/>
    <w:rsid w:val="5AAD63E9"/>
    <w:rsid w:val="5AC053E4"/>
    <w:rsid w:val="5ACE09A3"/>
    <w:rsid w:val="5ADE17FA"/>
    <w:rsid w:val="5AF91A16"/>
    <w:rsid w:val="5B006CAA"/>
    <w:rsid w:val="5B0C5194"/>
    <w:rsid w:val="5B152458"/>
    <w:rsid w:val="5B264A86"/>
    <w:rsid w:val="5B396F85"/>
    <w:rsid w:val="5B3C37FD"/>
    <w:rsid w:val="5B475858"/>
    <w:rsid w:val="5B491849"/>
    <w:rsid w:val="5B567D36"/>
    <w:rsid w:val="5B5C7179"/>
    <w:rsid w:val="5B6416F3"/>
    <w:rsid w:val="5B676EA6"/>
    <w:rsid w:val="5B6D56EA"/>
    <w:rsid w:val="5B6E3384"/>
    <w:rsid w:val="5B7127AA"/>
    <w:rsid w:val="5B802A5A"/>
    <w:rsid w:val="5B80588C"/>
    <w:rsid w:val="5B8A0154"/>
    <w:rsid w:val="5B904646"/>
    <w:rsid w:val="5B996C0C"/>
    <w:rsid w:val="5BA046D8"/>
    <w:rsid w:val="5BA248C9"/>
    <w:rsid w:val="5BB271D5"/>
    <w:rsid w:val="5BC4536F"/>
    <w:rsid w:val="5BD708F5"/>
    <w:rsid w:val="5BE11D3E"/>
    <w:rsid w:val="5BE32481"/>
    <w:rsid w:val="5BE76365"/>
    <w:rsid w:val="5BF54256"/>
    <w:rsid w:val="5C1108FE"/>
    <w:rsid w:val="5C25620A"/>
    <w:rsid w:val="5C3A0AA8"/>
    <w:rsid w:val="5C3F2070"/>
    <w:rsid w:val="5C435E0B"/>
    <w:rsid w:val="5C4444BD"/>
    <w:rsid w:val="5C6C6B4D"/>
    <w:rsid w:val="5C6F0385"/>
    <w:rsid w:val="5C8017A6"/>
    <w:rsid w:val="5C863906"/>
    <w:rsid w:val="5C864881"/>
    <w:rsid w:val="5C924B81"/>
    <w:rsid w:val="5C9E09E2"/>
    <w:rsid w:val="5CA363E0"/>
    <w:rsid w:val="5CA70719"/>
    <w:rsid w:val="5CB82EBF"/>
    <w:rsid w:val="5CBE05E3"/>
    <w:rsid w:val="5CC708B0"/>
    <w:rsid w:val="5CDA71D3"/>
    <w:rsid w:val="5CE54876"/>
    <w:rsid w:val="5CEF5874"/>
    <w:rsid w:val="5CF47C39"/>
    <w:rsid w:val="5CFB2FDE"/>
    <w:rsid w:val="5D1A10B2"/>
    <w:rsid w:val="5D1A6F31"/>
    <w:rsid w:val="5D1E5536"/>
    <w:rsid w:val="5D1F5A7E"/>
    <w:rsid w:val="5D236ED9"/>
    <w:rsid w:val="5D2A1B13"/>
    <w:rsid w:val="5D2C20B7"/>
    <w:rsid w:val="5D393E6A"/>
    <w:rsid w:val="5D476082"/>
    <w:rsid w:val="5D4A0A98"/>
    <w:rsid w:val="5D4B4145"/>
    <w:rsid w:val="5D4C6C2E"/>
    <w:rsid w:val="5D5059DF"/>
    <w:rsid w:val="5D5A52FA"/>
    <w:rsid w:val="5D755474"/>
    <w:rsid w:val="5D766193"/>
    <w:rsid w:val="5D8F6D1E"/>
    <w:rsid w:val="5D966AF6"/>
    <w:rsid w:val="5D9E18CE"/>
    <w:rsid w:val="5DAC6B99"/>
    <w:rsid w:val="5DBF4C78"/>
    <w:rsid w:val="5DC0691D"/>
    <w:rsid w:val="5DD26EE0"/>
    <w:rsid w:val="5DE514EE"/>
    <w:rsid w:val="5DE53F7C"/>
    <w:rsid w:val="5E013701"/>
    <w:rsid w:val="5E0513FB"/>
    <w:rsid w:val="5E1570CE"/>
    <w:rsid w:val="5E171C43"/>
    <w:rsid w:val="5E1C6562"/>
    <w:rsid w:val="5E231B5D"/>
    <w:rsid w:val="5E2800BA"/>
    <w:rsid w:val="5E2C09B6"/>
    <w:rsid w:val="5E2D14BF"/>
    <w:rsid w:val="5E306B8A"/>
    <w:rsid w:val="5E3C0189"/>
    <w:rsid w:val="5E404FB0"/>
    <w:rsid w:val="5E42301F"/>
    <w:rsid w:val="5E467B9F"/>
    <w:rsid w:val="5E51227F"/>
    <w:rsid w:val="5E514CD5"/>
    <w:rsid w:val="5E52263A"/>
    <w:rsid w:val="5E6E104D"/>
    <w:rsid w:val="5E731849"/>
    <w:rsid w:val="5E7C1280"/>
    <w:rsid w:val="5E8F2D4E"/>
    <w:rsid w:val="5EAB53C3"/>
    <w:rsid w:val="5EAF39DF"/>
    <w:rsid w:val="5EB874C0"/>
    <w:rsid w:val="5EC31AC3"/>
    <w:rsid w:val="5EC91D37"/>
    <w:rsid w:val="5EE564C9"/>
    <w:rsid w:val="5EEE7B08"/>
    <w:rsid w:val="5EF55234"/>
    <w:rsid w:val="5F1624F5"/>
    <w:rsid w:val="5F182D44"/>
    <w:rsid w:val="5F193A26"/>
    <w:rsid w:val="5F1C125D"/>
    <w:rsid w:val="5F2522A0"/>
    <w:rsid w:val="5F2B4794"/>
    <w:rsid w:val="5F2D1625"/>
    <w:rsid w:val="5F357A2D"/>
    <w:rsid w:val="5F4B2EB5"/>
    <w:rsid w:val="5F4C3A88"/>
    <w:rsid w:val="5F4D7AE0"/>
    <w:rsid w:val="5F5A4C82"/>
    <w:rsid w:val="5F870365"/>
    <w:rsid w:val="5F886238"/>
    <w:rsid w:val="5F981562"/>
    <w:rsid w:val="5FA161BA"/>
    <w:rsid w:val="5FC001D5"/>
    <w:rsid w:val="5FC240D0"/>
    <w:rsid w:val="5FCA38F9"/>
    <w:rsid w:val="5FD84A30"/>
    <w:rsid w:val="5FE170F8"/>
    <w:rsid w:val="5FE86F17"/>
    <w:rsid w:val="5FF200BA"/>
    <w:rsid w:val="5FF20A16"/>
    <w:rsid w:val="5FF6085F"/>
    <w:rsid w:val="5FF8256B"/>
    <w:rsid w:val="5FFC1120"/>
    <w:rsid w:val="5FFD12A5"/>
    <w:rsid w:val="60046551"/>
    <w:rsid w:val="60064D2A"/>
    <w:rsid w:val="601158D1"/>
    <w:rsid w:val="6017480A"/>
    <w:rsid w:val="601D045C"/>
    <w:rsid w:val="602653D2"/>
    <w:rsid w:val="60270FD4"/>
    <w:rsid w:val="60303AFA"/>
    <w:rsid w:val="604324D0"/>
    <w:rsid w:val="604B60D3"/>
    <w:rsid w:val="605C2055"/>
    <w:rsid w:val="60646268"/>
    <w:rsid w:val="606D7CFC"/>
    <w:rsid w:val="606F505F"/>
    <w:rsid w:val="60831404"/>
    <w:rsid w:val="60884998"/>
    <w:rsid w:val="608942B2"/>
    <w:rsid w:val="60A15641"/>
    <w:rsid w:val="60B27E50"/>
    <w:rsid w:val="60B44302"/>
    <w:rsid w:val="60B658E9"/>
    <w:rsid w:val="60B928B7"/>
    <w:rsid w:val="60C66B21"/>
    <w:rsid w:val="60C80EC0"/>
    <w:rsid w:val="60CD2CF0"/>
    <w:rsid w:val="60D2369F"/>
    <w:rsid w:val="60DF67A6"/>
    <w:rsid w:val="60E52C42"/>
    <w:rsid w:val="60E855DE"/>
    <w:rsid w:val="60E96F99"/>
    <w:rsid w:val="60EF662F"/>
    <w:rsid w:val="60F71F45"/>
    <w:rsid w:val="60F80C24"/>
    <w:rsid w:val="610231C1"/>
    <w:rsid w:val="610278FD"/>
    <w:rsid w:val="61073070"/>
    <w:rsid w:val="611C05A5"/>
    <w:rsid w:val="611E5474"/>
    <w:rsid w:val="61376941"/>
    <w:rsid w:val="613F7A7D"/>
    <w:rsid w:val="61592BF5"/>
    <w:rsid w:val="615C5FB8"/>
    <w:rsid w:val="61634209"/>
    <w:rsid w:val="61693B6C"/>
    <w:rsid w:val="61AE7948"/>
    <w:rsid w:val="61B57F79"/>
    <w:rsid w:val="61D25A07"/>
    <w:rsid w:val="61E6608D"/>
    <w:rsid w:val="61ED7533"/>
    <w:rsid w:val="61FC0F2C"/>
    <w:rsid w:val="61FD7DB0"/>
    <w:rsid w:val="62037CDB"/>
    <w:rsid w:val="62114372"/>
    <w:rsid w:val="62161890"/>
    <w:rsid w:val="62202443"/>
    <w:rsid w:val="62275A5B"/>
    <w:rsid w:val="622C3001"/>
    <w:rsid w:val="623561A0"/>
    <w:rsid w:val="624314DE"/>
    <w:rsid w:val="62483FD7"/>
    <w:rsid w:val="62500F5E"/>
    <w:rsid w:val="626204F3"/>
    <w:rsid w:val="62731C1A"/>
    <w:rsid w:val="62867571"/>
    <w:rsid w:val="629F5531"/>
    <w:rsid w:val="62AB40A1"/>
    <w:rsid w:val="62AF7586"/>
    <w:rsid w:val="62B13D98"/>
    <w:rsid w:val="62B560E9"/>
    <w:rsid w:val="62BB65DD"/>
    <w:rsid w:val="62BE3E96"/>
    <w:rsid w:val="62D338B4"/>
    <w:rsid w:val="62D5294D"/>
    <w:rsid w:val="62EC385F"/>
    <w:rsid w:val="62FB5BA7"/>
    <w:rsid w:val="6301326C"/>
    <w:rsid w:val="63050A1F"/>
    <w:rsid w:val="63080E5B"/>
    <w:rsid w:val="6309206C"/>
    <w:rsid w:val="630E5098"/>
    <w:rsid w:val="63100770"/>
    <w:rsid w:val="631F224A"/>
    <w:rsid w:val="632035A5"/>
    <w:rsid w:val="63294E5F"/>
    <w:rsid w:val="633C082B"/>
    <w:rsid w:val="633C2410"/>
    <w:rsid w:val="633F63DA"/>
    <w:rsid w:val="63545C98"/>
    <w:rsid w:val="635F65AF"/>
    <w:rsid w:val="63620628"/>
    <w:rsid w:val="636C7B02"/>
    <w:rsid w:val="63870CB8"/>
    <w:rsid w:val="638B7A69"/>
    <w:rsid w:val="63903BC1"/>
    <w:rsid w:val="639248EB"/>
    <w:rsid w:val="63967850"/>
    <w:rsid w:val="639C3EF7"/>
    <w:rsid w:val="63BE19B4"/>
    <w:rsid w:val="640333E3"/>
    <w:rsid w:val="640970FF"/>
    <w:rsid w:val="640B6395"/>
    <w:rsid w:val="640C2139"/>
    <w:rsid w:val="641522A9"/>
    <w:rsid w:val="641C35B1"/>
    <w:rsid w:val="641F101E"/>
    <w:rsid w:val="64237E60"/>
    <w:rsid w:val="642E543B"/>
    <w:rsid w:val="643353CD"/>
    <w:rsid w:val="64442D14"/>
    <w:rsid w:val="64533B61"/>
    <w:rsid w:val="64537D8A"/>
    <w:rsid w:val="645529CF"/>
    <w:rsid w:val="64582752"/>
    <w:rsid w:val="645B42E9"/>
    <w:rsid w:val="64632D49"/>
    <w:rsid w:val="646F6A4F"/>
    <w:rsid w:val="64734452"/>
    <w:rsid w:val="64741109"/>
    <w:rsid w:val="6474752A"/>
    <w:rsid w:val="647868BD"/>
    <w:rsid w:val="64831720"/>
    <w:rsid w:val="648F71C6"/>
    <w:rsid w:val="64A245EC"/>
    <w:rsid w:val="64A82A8C"/>
    <w:rsid w:val="64AA707D"/>
    <w:rsid w:val="64BD683C"/>
    <w:rsid w:val="64C55F55"/>
    <w:rsid w:val="64C834FC"/>
    <w:rsid w:val="64E119E4"/>
    <w:rsid w:val="64E149E6"/>
    <w:rsid w:val="64EB7DFD"/>
    <w:rsid w:val="65003032"/>
    <w:rsid w:val="65050F4E"/>
    <w:rsid w:val="650C334E"/>
    <w:rsid w:val="650D3E92"/>
    <w:rsid w:val="65164922"/>
    <w:rsid w:val="65190895"/>
    <w:rsid w:val="653D616B"/>
    <w:rsid w:val="65482211"/>
    <w:rsid w:val="65653B74"/>
    <w:rsid w:val="6569417B"/>
    <w:rsid w:val="656D4997"/>
    <w:rsid w:val="657F5034"/>
    <w:rsid w:val="65923A57"/>
    <w:rsid w:val="65971A81"/>
    <w:rsid w:val="65980F79"/>
    <w:rsid w:val="659E7533"/>
    <w:rsid w:val="65A97453"/>
    <w:rsid w:val="65AF3B9A"/>
    <w:rsid w:val="65BE38C9"/>
    <w:rsid w:val="65C1644B"/>
    <w:rsid w:val="65E75F6F"/>
    <w:rsid w:val="65EF01E5"/>
    <w:rsid w:val="65FC5496"/>
    <w:rsid w:val="65FC6E6D"/>
    <w:rsid w:val="6605765F"/>
    <w:rsid w:val="660F2AC1"/>
    <w:rsid w:val="662304CB"/>
    <w:rsid w:val="66464E42"/>
    <w:rsid w:val="66551F6F"/>
    <w:rsid w:val="665C3A62"/>
    <w:rsid w:val="66644E66"/>
    <w:rsid w:val="66770B4B"/>
    <w:rsid w:val="667D1B95"/>
    <w:rsid w:val="668058D3"/>
    <w:rsid w:val="66827D54"/>
    <w:rsid w:val="668A6259"/>
    <w:rsid w:val="66916C3F"/>
    <w:rsid w:val="66974852"/>
    <w:rsid w:val="66AC7DC6"/>
    <w:rsid w:val="66B8113E"/>
    <w:rsid w:val="66BD26E5"/>
    <w:rsid w:val="66D125F5"/>
    <w:rsid w:val="66D9630D"/>
    <w:rsid w:val="66E75B0D"/>
    <w:rsid w:val="66E77BFC"/>
    <w:rsid w:val="66FA4F21"/>
    <w:rsid w:val="6712048C"/>
    <w:rsid w:val="671B3B7A"/>
    <w:rsid w:val="67266141"/>
    <w:rsid w:val="673C081D"/>
    <w:rsid w:val="674F0550"/>
    <w:rsid w:val="67565996"/>
    <w:rsid w:val="676E3F41"/>
    <w:rsid w:val="67713305"/>
    <w:rsid w:val="677752E1"/>
    <w:rsid w:val="67A82628"/>
    <w:rsid w:val="67B04EEE"/>
    <w:rsid w:val="67B970C3"/>
    <w:rsid w:val="67CB7146"/>
    <w:rsid w:val="67D33980"/>
    <w:rsid w:val="67D8630C"/>
    <w:rsid w:val="67DE5264"/>
    <w:rsid w:val="67EE4F89"/>
    <w:rsid w:val="67F35DF1"/>
    <w:rsid w:val="67FC76A6"/>
    <w:rsid w:val="68092B5E"/>
    <w:rsid w:val="680D364D"/>
    <w:rsid w:val="680F5AE3"/>
    <w:rsid w:val="6820477D"/>
    <w:rsid w:val="68427665"/>
    <w:rsid w:val="684B1376"/>
    <w:rsid w:val="684D136C"/>
    <w:rsid w:val="6865733B"/>
    <w:rsid w:val="68684609"/>
    <w:rsid w:val="686B477F"/>
    <w:rsid w:val="687141FF"/>
    <w:rsid w:val="68831B76"/>
    <w:rsid w:val="68835AA2"/>
    <w:rsid w:val="68844ECD"/>
    <w:rsid w:val="688A2354"/>
    <w:rsid w:val="688C1BB2"/>
    <w:rsid w:val="6894390C"/>
    <w:rsid w:val="6895754F"/>
    <w:rsid w:val="689A781C"/>
    <w:rsid w:val="68A42548"/>
    <w:rsid w:val="68AD27CD"/>
    <w:rsid w:val="68C64618"/>
    <w:rsid w:val="68CE053F"/>
    <w:rsid w:val="68D7007A"/>
    <w:rsid w:val="68D7712D"/>
    <w:rsid w:val="68E727E3"/>
    <w:rsid w:val="68F266B3"/>
    <w:rsid w:val="6909085B"/>
    <w:rsid w:val="690D2738"/>
    <w:rsid w:val="69176A78"/>
    <w:rsid w:val="69234699"/>
    <w:rsid w:val="69262D4A"/>
    <w:rsid w:val="692C1F12"/>
    <w:rsid w:val="69366B94"/>
    <w:rsid w:val="69617970"/>
    <w:rsid w:val="697D3DF1"/>
    <w:rsid w:val="69817A0A"/>
    <w:rsid w:val="69877BD5"/>
    <w:rsid w:val="69883909"/>
    <w:rsid w:val="698C7784"/>
    <w:rsid w:val="6996284D"/>
    <w:rsid w:val="6999757A"/>
    <w:rsid w:val="69A27DC6"/>
    <w:rsid w:val="69A67461"/>
    <w:rsid w:val="69B361C6"/>
    <w:rsid w:val="69BB76DC"/>
    <w:rsid w:val="69BD2488"/>
    <w:rsid w:val="69C34C7C"/>
    <w:rsid w:val="69CD7A7A"/>
    <w:rsid w:val="69E3443A"/>
    <w:rsid w:val="69E65023"/>
    <w:rsid w:val="69EE1BDC"/>
    <w:rsid w:val="69F81080"/>
    <w:rsid w:val="6A007DE8"/>
    <w:rsid w:val="6A11613C"/>
    <w:rsid w:val="6A256586"/>
    <w:rsid w:val="6A302DD5"/>
    <w:rsid w:val="6A396A80"/>
    <w:rsid w:val="6A461F5E"/>
    <w:rsid w:val="6A5A0FF9"/>
    <w:rsid w:val="6A5A4DFC"/>
    <w:rsid w:val="6A654291"/>
    <w:rsid w:val="6A680E8F"/>
    <w:rsid w:val="6A703E49"/>
    <w:rsid w:val="6A730966"/>
    <w:rsid w:val="6A735D1F"/>
    <w:rsid w:val="6A797550"/>
    <w:rsid w:val="6A7E689E"/>
    <w:rsid w:val="6A891457"/>
    <w:rsid w:val="6AA652D2"/>
    <w:rsid w:val="6AA72340"/>
    <w:rsid w:val="6ACF25A6"/>
    <w:rsid w:val="6AD60DC8"/>
    <w:rsid w:val="6AD97268"/>
    <w:rsid w:val="6AEB0476"/>
    <w:rsid w:val="6B204E64"/>
    <w:rsid w:val="6B33492D"/>
    <w:rsid w:val="6B3F0486"/>
    <w:rsid w:val="6B4B4F61"/>
    <w:rsid w:val="6B5D3298"/>
    <w:rsid w:val="6B6946AD"/>
    <w:rsid w:val="6B7436DD"/>
    <w:rsid w:val="6B846633"/>
    <w:rsid w:val="6B861AFC"/>
    <w:rsid w:val="6BAD411E"/>
    <w:rsid w:val="6BB07A53"/>
    <w:rsid w:val="6BB72063"/>
    <w:rsid w:val="6BBD7915"/>
    <w:rsid w:val="6BBE0A12"/>
    <w:rsid w:val="6BC11AEE"/>
    <w:rsid w:val="6BD15E73"/>
    <w:rsid w:val="6BE0750D"/>
    <w:rsid w:val="6BE916E2"/>
    <w:rsid w:val="6BF250F0"/>
    <w:rsid w:val="6BFD5174"/>
    <w:rsid w:val="6C032272"/>
    <w:rsid w:val="6C090CE8"/>
    <w:rsid w:val="6C0B7728"/>
    <w:rsid w:val="6C0D1647"/>
    <w:rsid w:val="6C0E71A4"/>
    <w:rsid w:val="6C180D76"/>
    <w:rsid w:val="6C326AF7"/>
    <w:rsid w:val="6C3B3B64"/>
    <w:rsid w:val="6C5B440E"/>
    <w:rsid w:val="6C5F40C9"/>
    <w:rsid w:val="6C653C4C"/>
    <w:rsid w:val="6C6B7426"/>
    <w:rsid w:val="6C6C6DC9"/>
    <w:rsid w:val="6C724308"/>
    <w:rsid w:val="6C8B1137"/>
    <w:rsid w:val="6C9047E9"/>
    <w:rsid w:val="6CAC4790"/>
    <w:rsid w:val="6CD44D00"/>
    <w:rsid w:val="6CDF505E"/>
    <w:rsid w:val="6CE32E09"/>
    <w:rsid w:val="6CEC6037"/>
    <w:rsid w:val="6D0501AC"/>
    <w:rsid w:val="6D0E6B36"/>
    <w:rsid w:val="6D2324B0"/>
    <w:rsid w:val="6D2867C4"/>
    <w:rsid w:val="6D2A67DF"/>
    <w:rsid w:val="6D2D081F"/>
    <w:rsid w:val="6D2E5003"/>
    <w:rsid w:val="6D2F25FE"/>
    <w:rsid w:val="6D38139C"/>
    <w:rsid w:val="6D421CE6"/>
    <w:rsid w:val="6D554C2B"/>
    <w:rsid w:val="6D5D0770"/>
    <w:rsid w:val="6D614390"/>
    <w:rsid w:val="6D680AD9"/>
    <w:rsid w:val="6D7320FC"/>
    <w:rsid w:val="6D7F7C0A"/>
    <w:rsid w:val="6D891878"/>
    <w:rsid w:val="6DAC6531"/>
    <w:rsid w:val="6DC53456"/>
    <w:rsid w:val="6DC91E26"/>
    <w:rsid w:val="6DCC36C7"/>
    <w:rsid w:val="6DCE16F6"/>
    <w:rsid w:val="6DD47B0C"/>
    <w:rsid w:val="6DD90D09"/>
    <w:rsid w:val="6DE361D8"/>
    <w:rsid w:val="6DE615F1"/>
    <w:rsid w:val="6DFC60DE"/>
    <w:rsid w:val="6E0820D7"/>
    <w:rsid w:val="6E197336"/>
    <w:rsid w:val="6E1E5789"/>
    <w:rsid w:val="6E252535"/>
    <w:rsid w:val="6E256CE8"/>
    <w:rsid w:val="6E280525"/>
    <w:rsid w:val="6E285844"/>
    <w:rsid w:val="6E3E3FF3"/>
    <w:rsid w:val="6E4603B2"/>
    <w:rsid w:val="6E483075"/>
    <w:rsid w:val="6E4E0DED"/>
    <w:rsid w:val="6E4F4250"/>
    <w:rsid w:val="6E540DBD"/>
    <w:rsid w:val="6E55134A"/>
    <w:rsid w:val="6E5B3D71"/>
    <w:rsid w:val="6E6146D4"/>
    <w:rsid w:val="6E626043"/>
    <w:rsid w:val="6E6D6DFA"/>
    <w:rsid w:val="6E7454FB"/>
    <w:rsid w:val="6E9E2DA7"/>
    <w:rsid w:val="6EA9209B"/>
    <w:rsid w:val="6EB12C72"/>
    <w:rsid w:val="6EC65D5F"/>
    <w:rsid w:val="6EC66750"/>
    <w:rsid w:val="6EC75EF8"/>
    <w:rsid w:val="6ED0100B"/>
    <w:rsid w:val="6ED72C7F"/>
    <w:rsid w:val="6EE163A3"/>
    <w:rsid w:val="6EE60768"/>
    <w:rsid w:val="6EEE791B"/>
    <w:rsid w:val="6EFE367D"/>
    <w:rsid w:val="6F1D0497"/>
    <w:rsid w:val="6F1E4E6F"/>
    <w:rsid w:val="6F254CE6"/>
    <w:rsid w:val="6F2E2F5A"/>
    <w:rsid w:val="6F3573A8"/>
    <w:rsid w:val="6F3D4088"/>
    <w:rsid w:val="6F4F25A6"/>
    <w:rsid w:val="6F6F11E3"/>
    <w:rsid w:val="6F8136B2"/>
    <w:rsid w:val="6F8A5CED"/>
    <w:rsid w:val="6F8C1474"/>
    <w:rsid w:val="6F965EAE"/>
    <w:rsid w:val="6F991B91"/>
    <w:rsid w:val="6F9D0044"/>
    <w:rsid w:val="6FB13CF0"/>
    <w:rsid w:val="6FB4208D"/>
    <w:rsid w:val="6FB77CB5"/>
    <w:rsid w:val="6FDB7183"/>
    <w:rsid w:val="6FDD487B"/>
    <w:rsid w:val="6FE16CDF"/>
    <w:rsid w:val="6FE17B80"/>
    <w:rsid w:val="6FE8152F"/>
    <w:rsid w:val="6FFE4939"/>
    <w:rsid w:val="701142D5"/>
    <w:rsid w:val="702039C6"/>
    <w:rsid w:val="70220651"/>
    <w:rsid w:val="702432DB"/>
    <w:rsid w:val="70247FB9"/>
    <w:rsid w:val="702F7C58"/>
    <w:rsid w:val="70366918"/>
    <w:rsid w:val="703D24BF"/>
    <w:rsid w:val="70505DA3"/>
    <w:rsid w:val="706008FD"/>
    <w:rsid w:val="706143B5"/>
    <w:rsid w:val="706416A4"/>
    <w:rsid w:val="706A6530"/>
    <w:rsid w:val="706E286A"/>
    <w:rsid w:val="70715E81"/>
    <w:rsid w:val="708006AE"/>
    <w:rsid w:val="70855FE8"/>
    <w:rsid w:val="70984617"/>
    <w:rsid w:val="70992996"/>
    <w:rsid w:val="70C47C11"/>
    <w:rsid w:val="70C52F14"/>
    <w:rsid w:val="70C91C07"/>
    <w:rsid w:val="70DF53F6"/>
    <w:rsid w:val="70E520FB"/>
    <w:rsid w:val="70E73597"/>
    <w:rsid w:val="70E77ABF"/>
    <w:rsid w:val="70EE0232"/>
    <w:rsid w:val="70EE0AA3"/>
    <w:rsid w:val="7110138D"/>
    <w:rsid w:val="71183F87"/>
    <w:rsid w:val="711B3D70"/>
    <w:rsid w:val="71201024"/>
    <w:rsid w:val="712D6B72"/>
    <w:rsid w:val="713922D3"/>
    <w:rsid w:val="714E4AD4"/>
    <w:rsid w:val="7156089A"/>
    <w:rsid w:val="715F216C"/>
    <w:rsid w:val="71635D44"/>
    <w:rsid w:val="716D1800"/>
    <w:rsid w:val="716F71B1"/>
    <w:rsid w:val="717226C5"/>
    <w:rsid w:val="71823A6C"/>
    <w:rsid w:val="71881558"/>
    <w:rsid w:val="718E0149"/>
    <w:rsid w:val="718F2EAC"/>
    <w:rsid w:val="71A410DC"/>
    <w:rsid w:val="71AA0E32"/>
    <w:rsid w:val="71AB11DF"/>
    <w:rsid w:val="71C30BF1"/>
    <w:rsid w:val="71E015FD"/>
    <w:rsid w:val="71E72EEB"/>
    <w:rsid w:val="71F05038"/>
    <w:rsid w:val="71F10FFC"/>
    <w:rsid w:val="71F6413C"/>
    <w:rsid w:val="720F7144"/>
    <w:rsid w:val="72134629"/>
    <w:rsid w:val="72215C67"/>
    <w:rsid w:val="723F1032"/>
    <w:rsid w:val="72407DBB"/>
    <w:rsid w:val="72415169"/>
    <w:rsid w:val="724167EC"/>
    <w:rsid w:val="72657315"/>
    <w:rsid w:val="726F35E9"/>
    <w:rsid w:val="72715A32"/>
    <w:rsid w:val="727C1377"/>
    <w:rsid w:val="727C75F4"/>
    <w:rsid w:val="72870D7F"/>
    <w:rsid w:val="72B92789"/>
    <w:rsid w:val="72BE70BB"/>
    <w:rsid w:val="72C43BB5"/>
    <w:rsid w:val="72D26D9D"/>
    <w:rsid w:val="72DC71C3"/>
    <w:rsid w:val="72E87E96"/>
    <w:rsid w:val="72E90827"/>
    <w:rsid w:val="72FD1063"/>
    <w:rsid w:val="730205E8"/>
    <w:rsid w:val="73095FCE"/>
    <w:rsid w:val="732263F9"/>
    <w:rsid w:val="732A215B"/>
    <w:rsid w:val="73310666"/>
    <w:rsid w:val="73314063"/>
    <w:rsid w:val="73321BC9"/>
    <w:rsid w:val="733533A4"/>
    <w:rsid w:val="733B7DEF"/>
    <w:rsid w:val="734325B6"/>
    <w:rsid w:val="73504EC4"/>
    <w:rsid w:val="73636AF7"/>
    <w:rsid w:val="737A7A8E"/>
    <w:rsid w:val="73894681"/>
    <w:rsid w:val="73956FD0"/>
    <w:rsid w:val="73A043E4"/>
    <w:rsid w:val="73B77990"/>
    <w:rsid w:val="73B8252E"/>
    <w:rsid w:val="73D414D7"/>
    <w:rsid w:val="73DC7BC2"/>
    <w:rsid w:val="73E01BEC"/>
    <w:rsid w:val="73E65B0F"/>
    <w:rsid w:val="73FC3876"/>
    <w:rsid w:val="74012C08"/>
    <w:rsid w:val="741D733B"/>
    <w:rsid w:val="742167A4"/>
    <w:rsid w:val="74390B33"/>
    <w:rsid w:val="743F1E08"/>
    <w:rsid w:val="74414A70"/>
    <w:rsid w:val="74535E78"/>
    <w:rsid w:val="745862A9"/>
    <w:rsid w:val="7482388F"/>
    <w:rsid w:val="749709B4"/>
    <w:rsid w:val="74A83EB4"/>
    <w:rsid w:val="74B2594D"/>
    <w:rsid w:val="74BB16A3"/>
    <w:rsid w:val="74C176BB"/>
    <w:rsid w:val="74DB02F4"/>
    <w:rsid w:val="74ED3428"/>
    <w:rsid w:val="74F64F37"/>
    <w:rsid w:val="74FB7801"/>
    <w:rsid w:val="74FC79C6"/>
    <w:rsid w:val="75074E9E"/>
    <w:rsid w:val="751D6E79"/>
    <w:rsid w:val="75201781"/>
    <w:rsid w:val="752765A4"/>
    <w:rsid w:val="754054B6"/>
    <w:rsid w:val="754923C3"/>
    <w:rsid w:val="7555679F"/>
    <w:rsid w:val="755A5C07"/>
    <w:rsid w:val="756468FA"/>
    <w:rsid w:val="756B0759"/>
    <w:rsid w:val="757C0A36"/>
    <w:rsid w:val="75851FA9"/>
    <w:rsid w:val="75B1424A"/>
    <w:rsid w:val="75B15533"/>
    <w:rsid w:val="75C55E4B"/>
    <w:rsid w:val="75D04609"/>
    <w:rsid w:val="75D5182E"/>
    <w:rsid w:val="75DC2EE9"/>
    <w:rsid w:val="75DF0362"/>
    <w:rsid w:val="75E06DDA"/>
    <w:rsid w:val="75F05F7D"/>
    <w:rsid w:val="75F7411B"/>
    <w:rsid w:val="75F90750"/>
    <w:rsid w:val="75FB217F"/>
    <w:rsid w:val="76063755"/>
    <w:rsid w:val="760910BC"/>
    <w:rsid w:val="760D0C61"/>
    <w:rsid w:val="763923C6"/>
    <w:rsid w:val="764122A7"/>
    <w:rsid w:val="76553823"/>
    <w:rsid w:val="765608FC"/>
    <w:rsid w:val="767545EC"/>
    <w:rsid w:val="76777861"/>
    <w:rsid w:val="768E1277"/>
    <w:rsid w:val="7694298E"/>
    <w:rsid w:val="769F6A79"/>
    <w:rsid w:val="76A95B6E"/>
    <w:rsid w:val="76AE63BC"/>
    <w:rsid w:val="76B332B4"/>
    <w:rsid w:val="76BB0769"/>
    <w:rsid w:val="76BC3C22"/>
    <w:rsid w:val="76BF021D"/>
    <w:rsid w:val="76D5748A"/>
    <w:rsid w:val="76D70321"/>
    <w:rsid w:val="77041AF3"/>
    <w:rsid w:val="7707189B"/>
    <w:rsid w:val="77251168"/>
    <w:rsid w:val="772A449D"/>
    <w:rsid w:val="77320F1E"/>
    <w:rsid w:val="773C7ABF"/>
    <w:rsid w:val="774C609C"/>
    <w:rsid w:val="77541D32"/>
    <w:rsid w:val="7764047F"/>
    <w:rsid w:val="777101B9"/>
    <w:rsid w:val="777419A5"/>
    <w:rsid w:val="778B7CBA"/>
    <w:rsid w:val="77A75D03"/>
    <w:rsid w:val="77AB1518"/>
    <w:rsid w:val="77B207C5"/>
    <w:rsid w:val="77D37B47"/>
    <w:rsid w:val="77D93177"/>
    <w:rsid w:val="77D97A23"/>
    <w:rsid w:val="77F443D5"/>
    <w:rsid w:val="780D7714"/>
    <w:rsid w:val="781142A0"/>
    <w:rsid w:val="78150AED"/>
    <w:rsid w:val="78240373"/>
    <w:rsid w:val="783109E9"/>
    <w:rsid w:val="783B10C2"/>
    <w:rsid w:val="78483EA9"/>
    <w:rsid w:val="785A1E30"/>
    <w:rsid w:val="785D284E"/>
    <w:rsid w:val="7866572F"/>
    <w:rsid w:val="78690B16"/>
    <w:rsid w:val="786D623F"/>
    <w:rsid w:val="78702BD9"/>
    <w:rsid w:val="787170CD"/>
    <w:rsid w:val="787E0C0C"/>
    <w:rsid w:val="78811BBF"/>
    <w:rsid w:val="78904AF8"/>
    <w:rsid w:val="789A1E33"/>
    <w:rsid w:val="78A204E1"/>
    <w:rsid w:val="78A33548"/>
    <w:rsid w:val="78A97962"/>
    <w:rsid w:val="78AA5A39"/>
    <w:rsid w:val="78AD7EF2"/>
    <w:rsid w:val="78B2607D"/>
    <w:rsid w:val="78C94DED"/>
    <w:rsid w:val="78D30F09"/>
    <w:rsid w:val="78DD76EE"/>
    <w:rsid w:val="78DE6224"/>
    <w:rsid w:val="790F77CE"/>
    <w:rsid w:val="79165D39"/>
    <w:rsid w:val="791D0E14"/>
    <w:rsid w:val="792A002F"/>
    <w:rsid w:val="792C14EF"/>
    <w:rsid w:val="792D08F7"/>
    <w:rsid w:val="79421BC3"/>
    <w:rsid w:val="79450345"/>
    <w:rsid w:val="794569F7"/>
    <w:rsid w:val="79456DEF"/>
    <w:rsid w:val="794613B8"/>
    <w:rsid w:val="79494AD9"/>
    <w:rsid w:val="794E23D8"/>
    <w:rsid w:val="79571A0F"/>
    <w:rsid w:val="796444AC"/>
    <w:rsid w:val="79685409"/>
    <w:rsid w:val="796C3F60"/>
    <w:rsid w:val="796F1BB2"/>
    <w:rsid w:val="797343FB"/>
    <w:rsid w:val="797A3DC2"/>
    <w:rsid w:val="797A52C9"/>
    <w:rsid w:val="797C66E4"/>
    <w:rsid w:val="798535C5"/>
    <w:rsid w:val="799A18DA"/>
    <w:rsid w:val="799A54B2"/>
    <w:rsid w:val="79AF5B7C"/>
    <w:rsid w:val="79B402AC"/>
    <w:rsid w:val="79B46429"/>
    <w:rsid w:val="79B71626"/>
    <w:rsid w:val="79C30125"/>
    <w:rsid w:val="79CA4571"/>
    <w:rsid w:val="79DE3F03"/>
    <w:rsid w:val="79E35935"/>
    <w:rsid w:val="79E43C88"/>
    <w:rsid w:val="79E519B9"/>
    <w:rsid w:val="79E9159A"/>
    <w:rsid w:val="79F357E3"/>
    <w:rsid w:val="79FC7E8B"/>
    <w:rsid w:val="79FD15C9"/>
    <w:rsid w:val="79FD3D06"/>
    <w:rsid w:val="7A1D7EB6"/>
    <w:rsid w:val="7A202D75"/>
    <w:rsid w:val="7A226176"/>
    <w:rsid w:val="7A350D55"/>
    <w:rsid w:val="7A3C333A"/>
    <w:rsid w:val="7A4F3740"/>
    <w:rsid w:val="7A5D1673"/>
    <w:rsid w:val="7A62556E"/>
    <w:rsid w:val="7A7A10A3"/>
    <w:rsid w:val="7A7D167B"/>
    <w:rsid w:val="7A7D2E5E"/>
    <w:rsid w:val="7A8607CB"/>
    <w:rsid w:val="7A881869"/>
    <w:rsid w:val="7A943E55"/>
    <w:rsid w:val="7A9762A8"/>
    <w:rsid w:val="7A996A33"/>
    <w:rsid w:val="7AAB24DC"/>
    <w:rsid w:val="7AAC0D7F"/>
    <w:rsid w:val="7ACD17E9"/>
    <w:rsid w:val="7AD409A4"/>
    <w:rsid w:val="7ADA7D8C"/>
    <w:rsid w:val="7AE36C78"/>
    <w:rsid w:val="7AE73FDE"/>
    <w:rsid w:val="7AFD3CA9"/>
    <w:rsid w:val="7B0B0D89"/>
    <w:rsid w:val="7B13204F"/>
    <w:rsid w:val="7B1B1275"/>
    <w:rsid w:val="7B1F3EF6"/>
    <w:rsid w:val="7B260239"/>
    <w:rsid w:val="7B40606A"/>
    <w:rsid w:val="7B4B6302"/>
    <w:rsid w:val="7B5B428C"/>
    <w:rsid w:val="7B7376E0"/>
    <w:rsid w:val="7B7B2C26"/>
    <w:rsid w:val="7B7C6C8D"/>
    <w:rsid w:val="7B83642F"/>
    <w:rsid w:val="7B8B6E8D"/>
    <w:rsid w:val="7B8D1365"/>
    <w:rsid w:val="7B920DF9"/>
    <w:rsid w:val="7BBB0378"/>
    <w:rsid w:val="7BBB1184"/>
    <w:rsid w:val="7BBC2061"/>
    <w:rsid w:val="7BDC02E3"/>
    <w:rsid w:val="7BE00D04"/>
    <w:rsid w:val="7BE74D9F"/>
    <w:rsid w:val="7BEB7A2B"/>
    <w:rsid w:val="7BF53138"/>
    <w:rsid w:val="7C0C3423"/>
    <w:rsid w:val="7C0F1373"/>
    <w:rsid w:val="7C104214"/>
    <w:rsid w:val="7C123AA9"/>
    <w:rsid w:val="7C3F157D"/>
    <w:rsid w:val="7C403511"/>
    <w:rsid w:val="7C4930AC"/>
    <w:rsid w:val="7C641B7B"/>
    <w:rsid w:val="7C653452"/>
    <w:rsid w:val="7C6B656D"/>
    <w:rsid w:val="7C7C362A"/>
    <w:rsid w:val="7C8567F9"/>
    <w:rsid w:val="7C860AE5"/>
    <w:rsid w:val="7C8666A5"/>
    <w:rsid w:val="7C941047"/>
    <w:rsid w:val="7CC11A55"/>
    <w:rsid w:val="7CCE2EB1"/>
    <w:rsid w:val="7CD41C08"/>
    <w:rsid w:val="7CD568DC"/>
    <w:rsid w:val="7CE46A05"/>
    <w:rsid w:val="7CE6661E"/>
    <w:rsid w:val="7CFE15DE"/>
    <w:rsid w:val="7D0019EE"/>
    <w:rsid w:val="7D02203A"/>
    <w:rsid w:val="7D0D2B40"/>
    <w:rsid w:val="7D2535FF"/>
    <w:rsid w:val="7D2605B6"/>
    <w:rsid w:val="7D324510"/>
    <w:rsid w:val="7D3C17C7"/>
    <w:rsid w:val="7D3E0998"/>
    <w:rsid w:val="7D421BBC"/>
    <w:rsid w:val="7D594363"/>
    <w:rsid w:val="7D5F438F"/>
    <w:rsid w:val="7D7F6AD2"/>
    <w:rsid w:val="7D9817C8"/>
    <w:rsid w:val="7D986822"/>
    <w:rsid w:val="7D9B3C00"/>
    <w:rsid w:val="7DD80DB5"/>
    <w:rsid w:val="7DDE7A42"/>
    <w:rsid w:val="7DE402A9"/>
    <w:rsid w:val="7E24400D"/>
    <w:rsid w:val="7E2F3A3B"/>
    <w:rsid w:val="7E320D54"/>
    <w:rsid w:val="7E344CCE"/>
    <w:rsid w:val="7E471977"/>
    <w:rsid w:val="7E4E601B"/>
    <w:rsid w:val="7E627264"/>
    <w:rsid w:val="7E6504D7"/>
    <w:rsid w:val="7E6B4E98"/>
    <w:rsid w:val="7E6F5E8D"/>
    <w:rsid w:val="7E756B34"/>
    <w:rsid w:val="7E9C180F"/>
    <w:rsid w:val="7EA85760"/>
    <w:rsid w:val="7EB0669D"/>
    <w:rsid w:val="7EBA06EE"/>
    <w:rsid w:val="7EBD69B4"/>
    <w:rsid w:val="7EC127D4"/>
    <w:rsid w:val="7EC43B98"/>
    <w:rsid w:val="7ECA5D39"/>
    <w:rsid w:val="7ECA7590"/>
    <w:rsid w:val="7ED5251E"/>
    <w:rsid w:val="7EF937D1"/>
    <w:rsid w:val="7EFE285D"/>
    <w:rsid w:val="7F174816"/>
    <w:rsid w:val="7F37216C"/>
    <w:rsid w:val="7F3C4409"/>
    <w:rsid w:val="7F433469"/>
    <w:rsid w:val="7F516910"/>
    <w:rsid w:val="7F5725D5"/>
    <w:rsid w:val="7F5E1A9C"/>
    <w:rsid w:val="7F6C1BC1"/>
    <w:rsid w:val="7F6F54D4"/>
    <w:rsid w:val="7F7E03BE"/>
    <w:rsid w:val="7FCA64E6"/>
    <w:rsid w:val="7FD17419"/>
    <w:rsid w:val="7FD60D09"/>
    <w:rsid w:val="7FE474D2"/>
    <w:rsid w:val="7FEE1326"/>
    <w:rsid w:val="7FF156C4"/>
    <w:rsid w:val="7FFB2662"/>
    <w:rsid w:val="B6EFEACE"/>
    <w:rsid w:val="EF3F00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tabs>
        <w:tab w:val="left" w:pos="980"/>
      </w:tabs>
      <w:ind w:left="980" w:hanging="420"/>
      <w:outlineLvl w:val="1"/>
    </w:pPr>
    <w:rPr>
      <w:rFonts w:ascii="幼圆" w:eastAsia="幼圆"/>
      <w:kern w:val="0"/>
      <w:sz w:val="28"/>
    </w:rPr>
  </w:style>
  <w:style w:type="paragraph" w:styleId="5">
    <w:name w:val="heading 3"/>
    <w:basedOn w:val="1"/>
    <w:next w:val="1"/>
    <w:link w:val="86"/>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Char"/>
    <w:basedOn w:val="1"/>
    <w:qFormat/>
    <w:uiPriority w:val="0"/>
    <w:pPr>
      <w:tabs>
        <w:tab w:val="left" w:pos="360"/>
      </w:tabs>
    </w:pPr>
    <w:rPr>
      <w:sz w:val="24"/>
    </w:rPr>
  </w:style>
  <w:style w:type="paragraph" w:styleId="7">
    <w:name w:val="List 3"/>
    <w:basedOn w:val="1"/>
    <w:qFormat/>
    <w:uiPriority w:val="0"/>
    <w:pPr>
      <w:ind w:left="100" w:leftChars="400" w:hanging="200" w:hangingChars="200"/>
    </w:pPr>
  </w:style>
  <w:style w:type="paragraph" w:styleId="8">
    <w:name w:val="Normal Indent"/>
    <w:basedOn w:val="1"/>
    <w:unhideWhenUsed/>
    <w:qFormat/>
    <w:uiPriority w:val="0"/>
    <w:pPr>
      <w:ind w:firstLine="420" w:firstLineChars="200"/>
    </w:pPr>
  </w:style>
  <w:style w:type="paragraph" w:styleId="9">
    <w:name w:val="toa heading"/>
    <w:basedOn w:val="1"/>
    <w:next w:val="1"/>
    <w:qFormat/>
    <w:uiPriority w:val="0"/>
    <w:pPr>
      <w:spacing w:before="120"/>
    </w:pPr>
    <w:rPr>
      <w:rFonts w:ascii="Arial" w:hAnsi="Arial" w:eastAsia="仿宋"/>
      <w:sz w:val="24"/>
      <w:szCs w:val="20"/>
    </w:rPr>
  </w:style>
  <w:style w:type="paragraph" w:styleId="10">
    <w:name w:val="annotation text"/>
    <w:basedOn w:val="1"/>
    <w:link w:val="9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1">
    <w:name w:val="Salutation"/>
    <w:basedOn w:val="1"/>
    <w:next w:val="1"/>
    <w:qFormat/>
    <w:uiPriority w:val="0"/>
  </w:style>
  <w:style w:type="paragraph" w:styleId="12">
    <w:name w:val="Body Text 3"/>
    <w:basedOn w:val="1"/>
    <w:qFormat/>
    <w:uiPriority w:val="0"/>
    <w:pPr>
      <w:spacing w:line="440" w:lineRule="exact"/>
    </w:pPr>
    <w:rPr>
      <w:color w:val="000000"/>
    </w:rPr>
  </w:style>
  <w:style w:type="paragraph" w:styleId="13">
    <w:name w:val="Body Text"/>
    <w:basedOn w:val="1"/>
    <w:next w:val="1"/>
    <w:qFormat/>
    <w:uiPriority w:val="0"/>
    <w:pPr>
      <w:spacing w:after="120"/>
    </w:pPr>
  </w:style>
  <w:style w:type="paragraph" w:styleId="14">
    <w:name w:val="Body Text Indent"/>
    <w:basedOn w:val="1"/>
    <w:next w:val="15"/>
    <w:qFormat/>
    <w:uiPriority w:val="0"/>
    <w:pPr>
      <w:adjustRightInd w:val="0"/>
      <w:snapToGrid w:val="0"/>
      <w:spacing w:line="360" w:lineRule="auto"/>
      <w:ind w:firstLine="420" w:firstLineChars="200"/>
    </w:pPr>
  </w:style>
  <w:style w:type="paragraph" w:customStyle="1" w:styleId="15">
    <w:name w:val="Default"/>
    <w:next w:val="16"/>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6">
    <w:name w:val="大标题"/>
    <w:basedOn w:val="1"/>
    <w:next w:val="17"/>
    <w:qFormat/>
    <w:uiPriority w:val="0"/>
    <w:pPr>
      <w:jc w:val="center"/>
    </w:pPr>
    <w:rPr>
      <w:rFonts w:ascii="Arial" w:hAnsi="Arial" w:eastAsia="宋体" w:cs="Times New Roman"/>
      <w:b/>
      <w:sz w:val="28"/>
      <w:szCs w:val="24"/>
    </w:rPr>
  </w:style>
  <w:style w:type="paragraph" w:styleId="17">
    <w:name w:val="Body Text First Indent 2"/>
    <w:basedOn w:val="14"/>
    <w:next w:val="1"/>
    <w:qFormat/>
    <w:uiPriority w:val="0"/>
    <w:pPr>
      <w:adjustRightInd/>
      <w:snapToGrid/>
      <w:spacing w:after="120" w:line="240" w:lineRule="auto"/>
      <w:ind w:left="420" w:leftChars="200"/>
    </w:pPr>
  </w:style>
  <w:style w:type="paragraph" w:styleId="18">
    <w:name w:val="toc 3"/>
    <w:basedOn w:val="1"/>
    <w:next w:val="1"/>
    <w:qFormat/>
    <w:uiPriority w:val="0"/>
    <w:pPr>
      <w:ind w:left="840" w:leftChars="400"/>
    </w:pPr>
  </w:style>
  <w:style w:type="paragraph" w:styleId="19">
    <w:name w:val="Plain Text"/>
    <w:basedOn w:val="1"/>
    <w:qFormat/>
    <w:uiPriority w:val="99"/>
    <w:rPr>
      <w:rFonts w:ascii="宋体" w:hAnsi="Courier New"/>
    </w:rPr>
  </w:style>
  <w:style w:type="paragraph" w:styleId="20">
    <w:name w:val="Date"/>
    <w:basedOn w:val="1"/>
    <w:next w:val="1"/>
    <w:qFormat/>
    <w:uiPriority w:val="0"/>
    <w:rPr>
      <w:rFonts w:ascii="Arial" w:hAnsi="Arial" w:cs="Arial"/>
      <w:b/>
      <w:sz w:val="28"/>
    </w:rPr>
  </w:style>
  <w:style w:type="paragraph" w:styleId="21">
    <w:name w:val="Body Text Indent 2"/>
    <w:basedOn w:val="1"/>
    <w:unhideWhenUsed/>
    <w:qFormat/>
    <w:uiPriority w:val="99"/>
    <w:pPr>
      <w:spacing w:after="120" w:line="480" w:lineRule="auto"/>
      <w:ind w:left="420" w:leftChars="200"/>
    </w:pPr>
    <w:rPr>
      <w:rFonts w:eastAsia="仿宋"/>
    </w:rPr>
  </w:style>
  <w:style w:type="paragraph" w:styleId="22">
    <w:name w:val="footer"/>
    <w:basedOn w:val="1"/>
    <w:qFormat/>
    <w:uiPriority w:val="0"/>
    <w:pPr>
      <w:tabs>
        <w:tab w:val="center" w:pos="4153"/>
        <w:tab w:val="right" w:pos="8306"/>
      </w:tabs>
      <w:snapToGrid w:val="0"/>
      <w:jc w:val="left"/>
    </w:pPr>
    <w:rPr>
      <w:sz w:val="18"/>
    </w:rPr>
  </w:style>
  <w:style w:type="paragraph" w:styleId="23">
    <w:name w:val="envelope return"/>
    <w:basedOn w:val="1"/>
    <w:qFormat/>
    <w:uiPriority w:val="99"/>
    <w:pPr>
      <w:snapToGrid w:val="0"/>
    </w:pPr>
    <w:rPr>
      <w:rFonts w:ascii="Arial" w:hAnsi="Arial" w:cs="Arial"/>
    </w:rPr>
  </w:style>
  <w:style w:type="paragraph" w:styleId="2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qFormat/>
    <w:uiPriority w:val="0"/>
  </w:style>
  <w:style w:type="paragraph" w:styleId="26">
    <w:name w:val="List Number 5"/>
    <w:basedOn w:val="1"/>
    <w:qFormat/>
    <w:uiPriority w:val="0"/>
    <w:pPr>
      <w:numPr>
        <w:ilvl w:val="0"/>
        <w:numId w:val="1"/>
      </w:numPr>
    </w:pPr>
  </w:style>
  <w:style w:type="paragraph" w:styleId="27">
    <w:name w:val="footnote text"/>
    <w:basedOn w:val="1"/>
    <w:qFormat/>
    <w:uiPriority w:val="0"/>
    <w:pPr>
      <w:snapToGrid w:val="0"/>
      <w:jc w:val="left"/>
    </w:pPr>
    <w:rPr>
      <w:sz w:val="18"/>
    </w:rPr>
  </w:style>
  <w:style w:type="paragraph" w:styleId="28">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9">
    <w:name w:val="toc 2"/>
    <w:basedOn w:val="1"/>
    <w:next w:val="1"/>
    <w:qFormat/>
    <w:uiPriority w:val="0"/>
    <w:pPr>
      <w:ind w:left="420" w:leftChars="200"/>
    </w:pPr>
  </w:style>
  <w:style w:type="paragraph" w:styleId="30">
    <w:name w:val="Normal (Web)"/>
    <w:basedOn w:val="1"/>
    <w:qFormat/>
    <w:uiPriority w:val="99"/>
    <w:pPr>
      <w:spacing w:before="100" w:beforeAutospacing="1" w:after="100" w:afterAutospacing="1"/>
    </w:pPr>
    <w:rPr>
      <w:rFonts w:ascii="Courier New" w:hAnsi="Courier New"/>
      <w:color w:val="000000"/>
    </w:rPr>
  </w:style>
  <w:style w:type="paragraph" w:styleId="31">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32">
    <w:name w:val="Body Text First Indent"/>
    <w:basedOn w:val="13"/>
    <w:next w:val="1"/>
    <w:qFormat/>
    <w:uiPriority w:val="0"/>
    <w:pPr>
      <w:ind w:firstLine="420" w:firstLineChars="100"/>
    </w:pPr>
    <w:rPr>
      <w:rFonts w:hAnsi="Calibri"/>
    </w:rPr>
  </w:style>
  <w:style w:type="table" w:styleId="34">
    <w:name w:val="Table Grid"/>
    <w:basedOn w:val="3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Hyperlink"/>
    <w:basedOn w:val="35"/>
    <w:qFormat/>
    <w:uiPriority w:val="0"/>
    <w:rPr>
      <w:color w:val="0000FF"/>
      <w:u w:val="single"/>
    </w:rPr>
  </w:style>
  <w:style w:type="character" w:styleId="38">
    <w:name w:val="annotation reference"/>
    <w:basedOn w:val="35"/>
    <w:qFormat/>
    <w:uiPriority w:val="0"/>
    <w:rPr>
      <w:sz w:val="21"/>
      <w:szCs w:val="21"/>
    </w:rPr>
  </w:style>
  <w:style w:type="character" w:styleId="39">
    <w:name w:val="HTML Sample"/>
    <w:basedOn w:val="35"/>
    <w:qFormat/>
    <w:uiPriority w:val="0"/>
    <w:rPr>
      <w:rFonts w:ascii="Courier New" w:hAnsi="Courier New"/>
    </w:rPr>
  </w:style>
  <w:style w:type="paragraph" w:customStyle="1" w:styleId="40">
    <w:name w:val="Fließtext"/>
    <w:basedOn w:val="1"/>
    <w:qFormat/>
    <w:uiPriority w:val="0"/>
    <w:pPr>
      <w:overflowPunct w:val="0"/>
      <w:autoSpaceDE w:val="0"/>
      <w:autoSpaceDN w:val="0"/>
      <w:adjustRightInd w:val="0"/>
      <w:textAlignment w:val="baseline"/>
    </w:pPr>
    <w:rPr>
      <w:kern w:val="28"/>
      <w:szCs w:val="20"/>
    </w:rPr>
  </w:style>
  <w:style w:type="paragraph" w:customStyle="1" w:styleId="41">
    <w:name w:val="TOAHeading"/>
    <w:basedOn w:val="1"/>
    <w:next w:val="1"/>
    <w:qFormat/>
    <w:uiPriority w:val="0"/>
    <w:pPr>
      <w:spacing w:before="120"/>
      <w:textAlignment w:val="baseline"/>
    </w:pPr>
    <w:rPr>
      <w:rFonts w:ascii="Arial" w:hAnsi="Arial"/>
      <w:sz w:val="24"/>
      <w:szCs w:val="22"/>
    </w:rPr>
  </w:style>
  <w:style w:type="paragraph" w:customStyle="1" w:styleId="42">
    <w:name w:val="Char Char10 Char Char Char Char"/>
    <w:basedOn w:val="1"/>
    <w:next w:val="1"/>
    <w:qFormat/>
    <w:uiPriority w:val="0"/>
    <w:rPr>
      <w:rFonts w:ascii="Calibri" w:hAnsi="Calibri"/>
      <w:kern w:val="0"/>
    </w:rPr>
  </w:style>
  <w:style w:type="paragraph" w:customStyle="1" w:styleId="43">
    <w:name w:val="样式 首行缩进:  2 字符"/>
    <w:basedOn w:val="1"/>
    <w:qFormat/>
    <w:uiPriority w:val="99"/>
    <w:pPr>
      <w:spacing w:beforeLines="50" w:afterLines="50"/>
      <w:ind w:firstLine="200" w:firstLineChars="200"/>
    </w:pPr>
    <w:rPr>
      <w:rFonts w:eastAsia="仿宋" w:cs="宋体"/>
      <w:sz w:val="24"/>
      <w:szCs w:val="20"/>
    </w:rPr>
  </w:style>
  <w:style w:type="paragraph" w:customStyle="1" w:styleId="44">
    <w:name w:val="BodyText1I2"/>
    <w:basedOn w:val="45"/>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45">
    <w:name w:val="BodyTextIndent"/>
    <w:basedOn w:val="1"/>
    <w:next w:val="46"/>
    <w:qFormat/>
    <w:uiPriority w:val="0"/>
    <w:pPr>
      <w:spacing w:line="360" w:lineRule="auto"/>
      <w:ind w:firstLine="480"/>
      <w:jc w:val="left"/>
      <w:textAlignment w:val="baseline"/>
    </w:pPr>
    <w:rPr>
      <w:rFonts w:ascii="宋体" w:hAnsi="宋体"/>
      <w:kern w:val="0"/>
      <w:sz w:val="24"/>
    </w:rPr>
  </w:style>
  <w:style w:type="paragraph" w:customStyle="1" w:styleId="46">
    <w:name w:val="EnvelopeReturn"/>
    <w:basedOn w:val="1"/>
    <w:qFormat/>
    <w:uiPriority w:val="0"/>
    <w:pPr>
      <w:snapToGrid w:val="0"/>
      <w:textAlignment w:val="baseline"/>
    </w:pPr>
    <w:rPr>
      <w:rFonts w:ascii="Arial" w:hAnsi="Arial"/>
    </w:rPr>
  </w:style>
  <w:style w:type="character" w:customStyle="1" w:styleId="47">
    <w:name w:val="case31"/>
    <w:qFormat/>
    <w:uiPriority w:val="0"/>
    <w:rPr>
      <w:rFonts w:hint="default" w:ascii="ˎ̥" w:hAnsi="ˎ̥"/>
      <w:sz w:val="21"/>
      <w:szCs w:val="21"/>
    </w:rPr>
  </w:style>
  <w:style w:type="paragraph" w:customStyle="1" w:styleId="4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9">
    <w:name w:val="列表段落1"/>
    <w:basedOn w:val="1"/>
    <w:qFormat/>
    <w:uiPriority w:val="0"/>
    <w:pPr>
      <w:ind w:firstLine="420" w:firstLineChars="200"/>
    </w:pPr>
    <w:rPr>
      <w:rFonts w:ascii="Calibri" w:hAnsi="Calibri"/>
      <w:szCs w:val="22"/>
    </w:rPr>
  </w:style>
  <w:style w:type="paragraph" w:customStyle="1" w:styleId="50">
    <w:name w:val="È±Ê¡ÎÄ±¾"/>
    <w:basedOn w:val="1"/>
    <w:qFormat/>
    <w:uiPriority w:val="0"/>
    <w:pPr>
      <w:widowControl/>
      <w:overflowPunct w:val="0"/>
      <w:autoSpaceDE w:val="0"/>
      <w:autoSpaceDN w:val="0"/>
      <w:adjustRightInd w:val="0"/>
      <w:jc w:val="left"/>
    </w:pPr>
    <w:rPr>
      <w:kern w:val="0"/>
      <w:sz w:val="24"/>
    </w:rPr>
  </w:style>
  <w:style w:type="paragraph" w:customStyle="1" w:styleId="51">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2">
    <w:name w:val="WPSOffice手动目录 1"/>
    <w:qFormat/>
    <w:uiPriority w:val="0"/>
    <w:rPr>
      <w:rFonts w:ascii="Times New Roman" w:hAnsi="Times New Roman" w:eastAsia="宋体" w:cs="Times New Roman"/>
      <w:lang w:val="en-US" w:eastAsia="zh-CN" w:bidi="ar-SA"/>
    </w:rPr>
  </w:style>
  <w:style w:type="character" w:customStyle="1" w:styleId="53">
    <w:name w:val="font31"/>
    <w:basedOn w:val="35"/>
    <w:qFormat/>
    <w:uiPriority w:val="0"/>
    <w:rPr>
      <w:rFonts w:hint="eastAsia" w:ascii="宋体" w:hAnsi="宋体" w:eastAsia="宋体" w:cs="宋体"/>
      <w:color w:val="000000"/>
      <w:sz w:val="18"/>
      <w:szCs w:val="18"/>
      <w:u w:val="none"/>
    </w:rPr>
  </w:style>
  <w:style w:type="character" w:customStyle="1" w:styleId="54">
    <w:name w:val="font01"/>
    <w:basedOn w:val="35"/>
    <w:qFormat/>
    <w:uiPriority w:val="0"/>
    <w:rPr>
      <w:rFonts w:hint="default" w:ascii="Times New Roman" w:hAnsi="Times New Roman" w:cs="Times New Roman"/>
      <w:color w:val="000000"/>
      <w:sz w:val="18"/>
      <w:szCs w:val="18"/>
      <w:u w:val="none"/>
    </w:rPr>
  </w:style>
  <w:style w:type="character" w:customStyle="1" w:styleId="55">
    <w:name w:val="font21"/>
    <w:basedOn w:val="35"/>
    <w:qFormat/>
    <w:uiPriority w:val="0"/>
    <w:rPr>
      <w:rFonts w:hint="eastAsia" w:ascii="宋体" w:hAnsi="宋体" w:eastAsia="宋体" w:cs="宋体"/>
      <w:color w:val="000000"/>
      <w:sz w:val="21"/>
      <w:szCs w:val="21"/>
      <w:u w:val="none"/>
    </w:rPr>
  </w:style>
  <w:style w:type="character" w:customStyle="1" w:styleId="56">
    <w:name w:val="font11"/>
    <w:basedOn w:val="35"/>
    <w:qFormat/>
    <w:uiPriority w:val="0"/>
    <w:rPr>
      <w:rFonts w:ascii="Calibri" w:hAnsi="Calibri" w:cs="Calibri"/>
      <w:color w:val="000000"/>
      <w:sz w:val="21"/>
      <w:szCs w:val="21"/>
      <w:u w:val="none"/>
    </w:rPr>
  </w:style>
  <w:style w:type="paragraph" w:customStyle="1" w:styleId="57">
    <w:name w:val="Table Paragraph"/>
    <w:basedOn w:val="58"/>
    <w:qFormat/>
    <w:uiPriority w:val="1"/>
    <w:rPr>
      <w:rFonts w:ascii="宋体" w:hAnsi="宋体" w:cs="宋体"/>
      <w:lang w:val="zh-CN" w:bidi="zh-CN"/>
    </w:rPr>
  </w:style>
  <w:style w:type="paragraph" w:customStyle="1" w:styleId="58">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章节内容"/>
    <w:basedOn w:val="1"/>
    <w:qFormat/>
    <w:uiPriority w:val="0"/>
    <w:pPr>
      <w:shd w:val="clear" w:color="auto" w:fill="FFFFFF"/>
    </w:pPr>
  </w:style>
  <w:style w:type="character" w:customStyle="1" w:styleId="60">
    <w:name w:val="fontstyle01"/>
    <w:basedOn w:val="35"/>
    <w:qFormat/>
    <w:uiPriority w:val="0"/>
    <w:rPr>
      <w:rFonts w:hint="eastAsia" w:ascii="宋体" w:hAnsi="宋体" w:eastAsia="宋体"/>
      <w:color w:val="000000"/>
      <w:sz w:val="22"/>
      <w:szCs w:val="22"/>
    </w:rPr>
  </w:style>
  <w:style w:type="character" w:customStyle="1" w:styleId="61">
    <w:name w:val="fontstyle21"/>
    <w:basedOn w:val="35"/>
    <w:qFormat/>
    <w:uiPriority w:val="0"/>
    <w:rPr>
      <w:rFonts w:hint="default" w:ascii="TimesNewRomanPSMT" w:hAnsi="TimesNewRomanPSMT"/>
      <w:color w:val="000000"/>
      <w:sz w:val="22"/>
      <w:szCs w:val="22"/>
    </w:rPr>
  </w:style>
  <w:style w:type="paragraph" w:customStyle="1" w:styleId="62">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4">
    <w:name w:val="Normal_6"/>
    <w:qFormat/>
    <w:uiPriority w:val="0"/>
    <w:rPr>
      <w:rFonts w:ascii="黑体" w:hAnsi="黑体" w:eastAsia="黑体" w:cs="Times New Roman"/>
      <w:b/>
      <w:sz w:val="32"/>
      <w:szCs w:val="24"/>
      <w:lang w:val="en-US" w:eastAsia="zh-CN" w:bidi="ar-SA"/>
    </w:rPr>
  </w:style>
  <w:style w:type="paragraph" w:customStyle="1" w:styleId="65">
    <w:name w:val="Normal_7"/>
    <w:qFormat/>
    <w:uiPriority w:val="0"/>
    <w:rPr>
      <w:rFonts w:ascii="黑体" w:hAnsi="黑体" w:eastAsia="黑体" w:cs="Times New Roman"/>
      <w:b/>
      <w:sz w:val="32"/>
      <w:szCs w:val="24"/>
      <w:lang w:val="en-US" w:eastAsia="zh-CN" w:bidi="ar-SA"/>
    </w:rPr>
  </w:style>
  <w:style w:type="character" w:customStyle="1" w:styleId="66">
    <w:name w:val="NormalCharacter"/>
    <w:qFormat/>
    <w:uiPriority w:val="0"/>
  </w:style>
  <w:style w:type="paragraph" w:customStyle="1" w:styleId="67">
    <w:name w:val="日期_0"/>
    <w:basedOn w:val="68"/>
    <w:next w:val="69"/>
    <w:qFormat/>
    <w:uiPriority w:val="0"/>
    <w:pPr>
      <w:ind w:left="100" w:leftChars="2500"/>
    </w:pPr>
    <w:rPr>
      <w:rFonts w:ascii="Times New Roman" w:hAnsi="Times New Roman"/>
      <w:szCs w:val="24"/>
    </w:rPr>
  </w:style>
  <w:style w:type="paragraph" w:customStyle="1" w:styleId="68">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12"/>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Normal_0"/>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黑体" w:hAnsi="黑体" w:eastAsia="黑体" w:cs="Times New Roman"/>
      <w:b/>
      <w:sz w:val="32"/>
      <w:szCs w:val="24"/>
      <w:lang w:val="en-US" w:eastAsia="zh-CN" w:bidi="ar-SA"/>
    </w:rPr>
  </w:style>
  <w:style w:type="paragraph" w:customStyle="1" w:styleId="7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Normal_3"/>
    <w:qFormat/>
    <w:uiPriority w:val="0"/>
    <w:rPr>
      <w:rFonts w:ascii="黑体" w:hAnsi="黑体" w:eastAsia="黑体" w:cs="Times New Roman"/>
      <w:b/>
      <w:sz w:val="32"/>
      <w:szCs w:val="24"/>
      <w:lang w:val="en-US" w:eastAsia="zh-CN" w:bidi="ar-SA"/>
    </w:rPr>
  </w:style>
  <w:style w:type="paragraph" w:customStyle="1" w:styleId="75">
    <w:name w:val="正文1"/>
    <w:next w:val="76"/>
    <w:qFormat/>
    <w:uiPriority w:val="0"/>
    <w:rPr>
      <w:rFonts w:ascii="Times New Roman" w:hAnsi="Times New Roman" w:eastAsia="Times New Roman" w:cs="Times New Roman"/>
      <w:sz w:val="24"/>
      <w:szCs w:val="24"/>
      <w:lang w:val="en-US" w:eastAsia="zh-CN" w:bidi="ar-SA"/>
    </w:rPr>
  </w:style>
  <w:style w:type="paragraph" w:customStyle="1" w:styleId="76">
    <w:name w:val="引文目录标题1"/>
    <w:basedOn w:val="75"/>
    <w:next w:val="75"/>
    <w:qFormat/>
    <w:uiPriority w:val="0"/>
    <w:pPr>
      <w:spacing w:before="120"/>
    </w:pPr>
    <w:rPr>
      <w:rFonts w:ascii="Arial" w:hAnsi="Arial"/>
      <w:szCs w:val="21"/>
    </w:rPr>
  </w:style>
  <w:style w:type="table" w:customStyle="1" w:styleId="77">
    <w:name w:val="TableGrid"/>
    <w:qFormat/>
    <w:uiPriority w:val="0"/>
    <w:rPr>
      <w:rFonts w:ascii="Calibri" w:hAnsi="Calibri"/>
      <w:kern w:val="2"/>
      <w:sz w:val="21"/>
      <w:szCs w:val="24"/>
    </w:rPr>
    <w:tblPr>
      <w:tblCellMar>
        <w:top w:w="0" w:type="dxa"/>
        <w:left w:w="0" w:type="dxa"/>
        <w:bottom w:w="0" w:type="dxa"/>
        <w:right w:w="0" w:type="dxa"/>
      </w:tblCellMar>
    </w:tblPr>
  </w:style>
  <w:style w:type="paragraph" w:customStyle="1" w:styleId="78">
    <w:name w:val="纯文本_1"/>
    <w:basedOn w:val="79"/>
    <w:unhideWhenUsed/>
    <w:qFormat/>
    <w:uiPriority w:val="0"/>
    <w:rPr>
      <w:rFonts w:ascii="宋体" w:hAnsi="Courier New" w:cs="Courier New"/>
      <w:szCs w:val="21"/>
    </w:rPr>
  </w:style>
  <w:style w:type="paragraph" w:customStyle="1" w:styleId="7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4"/>
    <w:next w:val="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首行缩进"/>
    <w:basedOn w:val="80"/>
    <w:qFormat/>
    <w:uiPriority w:val="0"/>
    <w:pPr>
      <w:ind w:firstLine="480" w:firstLineChars="200"/>
    </w:pPr>
    <w:rPr>
      <w:lang w:val="zh-CN"/>
    </w:rPr>
  </w:style>
  <w:style w:type="paragraph" w:customStyle="1" w:styleId="82">
    <w:name w:val="Normal_11"/>
    <w:qFormat/>
    <w:uiPriority w:val="0"/>
    <w:rPr>
      <w:rFonts w:ascii="黑体" w:hAnsi="黑体" w:eastAsia="黑体" w:cs="Times New Roman"/>
      <w:b/>
      <w:sz w:val="32"/>
      <w:szCs w:val="24"/>
      <w:lang w:val="en-US" w:eastAsia="zh-CN" w:bidi="ar-SA"/>
    </w:rPr>
  </w:style>
  <w:style w:type="paragraph" w:customStyle="1" w:styleId="83">
    <w:name w:val="列出段落1"/>
    <w:basedOn w:val="1"/>
    <w:qFormat/>
    <w:uiPriority w:val="99"/>
    <w:pPr>
      <w:adjustRightInd w:val="0"/>
      <w:snapToGrid w:val="0"/>
      <w:spacing w:line="300" w:lineRule="auto"/>
      <w:ind w:firstLine="420" w:firstLineChars="200"/>
    </w:pPr>
    <w:rPr>
      <w:rFonts w:ascii="宋体" w:hAnsi="Calibri"/>
      <w:sz w:val="24"/>
      <w:szCs w:val="22"/>
    </w:rPr>
  </w:style>
  <w:style w:type="paragraph" w:customStyle="1" w:styleId="84">
    <w:name w:val="正文11"/>
    <w:basedOn w:val="1"/>
    <w:qFormat/>
    <w:uiPriority w:val="0"/>
    <w:pPr>
      <w:spacing w:line="480" w:lineRule="exact"/>
      <w:ind w:firstLine="480" w:firstLineChars="200"/>
    </w:pPr>
    <w:rPr>
      <w:rFonts w:ascii="宋体"/>
      <w:sz w:val="24"/>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6">
    <w:name w:val="标题 3 字符"/>
    <w:link w:val="5"/>
    <w:qFormat/>
    <w:uiPriority w:val="9"/>
    <w:rPr>
      <w:b/>
      <w:bCs/>
      <w:sz w:val="32"/>
      <w:szCs w:val="32"/>
    </w:rPr>
  </w:style>
  <w:style w:type="paragraph" w:customStyle="1" w:styleId="87">
    <w:name w:val="Style1"/>
    <w:qFormat/>
    <w:uiPriority w:val="0"/>
    <w:pPr>
      <w:tabs>
        <w:tab w:val="left" w:pos="-720"/>
      </w:tabs>
      <w:spacing w:after="120"/>
      <w:jc w:val="both"/>
    </w:pPr>
    <w:rPr>
      <w:rFonts w:ascii="Times New Roman" w:hAnsi="Times New Roman" w:eastAsia="宋体" w:cs="Times New Roman"/>
      <w:spacing w:val="-3"/>
      <w:sz w:val="24"/>
      <w:lang w:val="en-AU" w:eastAsia="en-US" w:bidi="ar-SA"/>
    </w:rPr>
  </w:style>
  <w:style w:type="paragraph" w:customStyle="1" w:styleId="88">
    <w:name w:val="null3"/>
    <w:qFormat/>
    <w:uiPriority w:val="0"/>
    <w:rPr>
      <w:rFonts w:hint="eastAsia" w:ascii="Calibri" w:hAnsi="Calibri" w:eastAsia="宋体" w:cs="Times New Roman"/>
      <w:lang w:val="en-US" w:eastAsia="zh-Hans" w:bidi="ar-SA"/>
    </w:rPr>
  </w:style>
  <w:style w:type="paragraph" w:styleId="89">
    <w:name w:val="List Paragraph"/>
    <w:basedOn w:val="1"/>
    <w:unhideWhenUsed/>
    <w:qFormat/>
    <w:uiPriority w:val="99"/>
    <w:pPr>
      <w:ind w:firstLine="420" w:firstLineChars="200"/>
    </w:pPr>
  </w:style>
  <w:style w:type="paragraph" w:customStyle="1" w:styleId="9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91">
    <w:name w:val="批注文字 字符"/>
    <w:basedOn w:val="35"/>
    <w:link w:val="10"/>
    <w:qFormat/>
    <w:uiPriority w:val="0"/>
    <w:rPr>
      <w:kern w:val="2"/>
      <w:sz w:val="21"/>
      <w:szCs w:val="24"/>
    </w:rPr>
  </w:style>
  <w:style w:type="paragraph" w:customStyle="1" w:styleId="92">
    <w:name w:val="正文_0"/>
    <w:next w:val="93"/>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93">
    <w:name w:val="正文文本_0"/>
    <w:basedOn w:val="94"/>
    <w:qFormat/>
    <w:uiPriority w:val="0"/>
    <w:pPr>
      <w:keepNext w:val="0"/>
      <w:keepLines w:val="0"/>
      <w:widowControl w:val="0"/>
      <w:suppressLineNumbers w:val="0"/>
      <w:spacing w:before="0" w:beforeAutospacing="0" w:after="120" w:afterAutospacing="0"/>
      <w:ind w:left="0" w:right="0"/>
      <w:jc w:val="both"/>
    </w:pPr>
    <w:rPr>
      <w:kern w:val="0"/>
      <w:sz w:val="20"/>
    </w:rPr>
  </w:style>
  <w:style w:type="paragraph" w:customStyle="1" w:styleId="94">
    <w:name w:val="正文_1_0"/>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95">
    <w:name w:val="正文首行缩进1"/>
    <w:basedOn w:val="96"/>
    <w:unhideWhenUsed/>
    <w:qFormat/>
    <w:uiPriority w:val="99"/>
    <w:pPr>
      <w:ind w:firstLine="420" w:firstLineChars="100"/>
    </w:pPr>
    <w:rPr>
      <w:szCs w:val="22"/>
    </w:rPr>
  </w:style>
  <w:style w:type="paragraph" w:customStyle="1" w:styleId="96">
    <w:name w:val="正文文本_0_0"/>
    <w:basedOn w:val="97"/>
    <w:qFormat/>
    <w:uiPriority w:val="0"/>
    <w:pPr>
      <w:spacing w:after="120"/>
    </w:pPr>
    <w:rPr>
      <w:rFonts w:ascii="Times New Roman" w:hAnsi="Times New Roman" w:eastAsia="宋体"/>
      <w:szCs w:val="24"/>
    </w:rPr>
  </w:style>
  <w:style w:type="paragraph" w:customStyle="1" w:styleId="97">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4_0_0"/>
    <w:basedOn w:val="99"/>
    <w:qFormat/>
    <w:uiPriority w:val="0"/>
  </w:style>
  <w:style w:type="paragraph" w:customStyle="1" w:styleId="99">
    <w:name w:val="正文_4_1"/>
    <w:next w:val="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Heading2"/>
    <w:basedOn w:val="1"/>
    <w:next w:val="1"/>
    <w:qFormat/>
    <w:uiPriority w:val="0"/>
    <w:pPr>
      <w:spacing w:before="100" w:beforeAutospacing="1" w:after="100" w:afterAutospacing="1"/>
      <w:jc w:val="left"/>
      <w:textAlignment w:val="baseline"/>
    </w:pPr>
    <w:rPr>
      <w:rFonts w:ascii="宋体" w:hAnsi="宋体" w:eastAsia="宋体" w:cs="Times New Roman"/>
      <w:color w:val="000000"/>
      <w:kern w:val="0"/>
      <w:sz w:val="36"/>
      <w:szCs w:val="36"/>
    </w:rPr>
  </w:style>
  <w:style w:type="character" w:customStyle="1" w:styleId="101">
    <w:name w:val="font51"/>
    <w:basedOn w:val="35"/>
    <w:qFormat/>
    <w:uiPriority w:val="0"/>
    <w:rPr>
      <w:rFonts w:hint="eastAsia" w:ascii="宋体" w:hAnsi="宋体" w:eastAsia="宋体" w:cs="宋体"/>
      <w:color w:val="FF0000"/>
      <w:sz w:val="22"/>
      <w:szCs w:val="22"/>
      <w:u w:val="none"/>
    </w:rPr>
  </w:style>
  <w:style w:type="paragraph" w:customStyle="1" w:styleId="102">
    <w:name w:val="纯文本1"/>
    <w:basedOn w:val="1"/>
    <w:qFormat/>
    <w:uiPriority w:val="99"/>
    <w:rPr>
      <w:rFonts w:ascii="宋体" w:hAnsi="Courier New"/>
      <w:kern w:val="0"/>
      <w:sz w:val="20"/>
      <w:szCs w:val="20"/>
    </w:rPr>
  </w:style>
  <w:style w:type="paragraph" w:customStyle="1" w:styleId="103">
    <w:name w:val="正文缩进1"/>
    <w:basedOn w:val="1"/>
    <w:qFormat/>
    <w:uiPriority w:val="99"/>
    <w:pPr>
      <w:ind w:firstLine="420" w:firstLineChars="200"/>
    </w:pPr>
    <w:rPr>
      <w:rFonts w:ascii="Calibri" w:hAnsi="Calibri"/>
    </w:rPr>
  </w:style>
  <w:style w:type="paragraph" w:customStyle="1" w:styleId="104">
    <w:name w:val="Table Text"/>
    <w:basedOn w:val="1"/>
    <w:semiHidden/>
    <w:qFormat/>
    <w:uiPriority w:val="0"/>
    <w:rPr>
      <w:rFonts w:ascii="宋体" w:hAnsi="宋体" w:eastAsia="宋体" w:cs="宋体"/>
      <w:sz w:val="24"/>
      <w:szCs w:val="24"/>
      <w:lang w:val="en-US" w:eastAsia="en-US" w:bidi="ar-SA"/>
    </w:rPr>
  </w:style>
  <w:style w:type="paragraph" w:customStyle="1" w:styleId="105">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12593</Words>
  <Characters>13588</Characters>
  <Lines>322</Lines>
  <Paragraphs>90</Paragraphs>
  <TotalTime>1</TotalTime>
  <ScaleCrop>false</ScaleCrop>
  <LinksUpToDate>false</LinksUpToDate>
  <CharactersWithSpaces>13797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  </cp:lastModifiedBy>
  <cp:lastPrinted>2023-03-20T22:18:00Z</cp:lastPrinted>
  <dcterms:modified xsi:type="dcterms:W3CDTF">2025-04-23T08:01:34Z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F3B69E8DB3274C36BC188C61056225A7_13</vt:lpwstr>
  </property>
  <property fmtid="{D5CDD505-2E9C-101B-9397-08002B2CF9AE}" pid="4" name="KSOTemplateDocerSaveRecord">
    <vt:lpwstr>eyJoZGlkIjoiZTUyNDliOWNjMzM0NTk0ZmQ0YTk3YTk3NjY3MDVkYjgiLCJ1c2VySWQiOiIyODIyNTIyNTAifQ==</vt:lpwstr>
  </property>
</Properties>
</file>