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5C70E">
      <w:pPr>
        <w:rPr>
          <w:rFonts w:hint="eastAsia" w:ascii="仿宋" w:hAnsi="仿宋" w:eastAsia="仿宋" w:cs="仿宋"/>
        </w:rPr>
      </w:pPr>
      <w:r>
        <w:rPr>
          <w:rFonts w:hint="eastAsia" w:ascii="仿宋" w:hAnsi="仿宋" w:eastAsia="仿宋" w:cs="仿宋"/>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-840105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7769225" cy="10739755"/>
                    </a:xfrm>
                    <a:prstGeom prst="rect">
                      <a:avLst/>
                    </a:prstGeom>
                    <a:noFill/>
                    <a:ln>
                      <a:noFill/>
                    </a:ln>
                  </pic:spPr>
                </pic:pic>
              </a:graphicData>
            </a:graphic>
          </wp:anchor>
        </w:drawing>
      </w:r>
    </w:p>
    <w:p w14:paraId="05309B94">
      <w:pPr>
        <w:rPr>
          <w:rFonts w:hint="eastAsia" w:ascii="仿宋" w:hAnsi="仿宋" w:eastAsia="仿宋" w:cs="仿宋"/>
        </w:rPr>
      </w:pPr>
    </w:p>
    <w:p w14:paraId="0841FA3E">
      <w:pPr>
        <w:tabs>
          <w:tab w:val="left" w:pos="5196"/>
        </w:tabs>
        <w:jc w:val="left"/>
        <w:rPr>
          <w:rFonts w:hint="eastAsia" w:ascii="仿宋" w:hAnsi="仿宋" w:eastAsia="仿宋" w:cs="仿宋"/>
          <w:sz w:val="36"/>
          <w:szCs w:val="36"/>
          <w:lang w:eastAsia="zh-CN"/>
        </w:rPr>
      </w:pPr>
      <w:r>
        <w:rPr>
          <w:rFonts w:hint="eastAsia" w:ascii="仿宋" w:hAnsi="仿宋" w:eastAsia="仿宋" w:cs="仿宋"/>
          <w:sz w:val="21"/>
        </w:rPr>
        <mc:AlternateContent>
          <mc:Choice Requires="wps">
            <w:drawing>
              <wp:anchor distT="0" distB="0" distL="114300" distR="114300" simplePos="0" relativeHeight="251663360" behindDoc="0" locked="0" layoutInCell="1" allowOverlap="1">
                <wp:simplePos x="0" y="0"/>
                <wp:positionH relativeFrom="column">
                  <wp:posOffset>-605155</wp:posOffset>
                </wp:positionH>
                <wp:positionV relativeFrom="paragraph">
                  <wp:posOffset>243840</wp:posOffset>
                </wp:positionV>
                <wp:extent cx="6174740" cy="2123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174740" cy="2123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2AB9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新疆医科大学第一附属医院中心开闭所供电外网改造项目、数字骨科供电、排水维修项目（监理）（二次）</w:t>
                            </w:r>
                          </w:p>
                          <w:p w14:paraId="645119A4">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（项目编号：SJX-2025-099-01）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5pt;margin-top:19.2pt;height:167.2pt;width:486.2pt;z-index:251663360;mso-width-relative:page;mso-height-relative:page;" filled="f" stroked="f" coordsize="21600,21600" o:gfxdata="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7P3AAAAAoBAAAPAAAAAAAAAAEAIAAAACIAAABk&#10;cnMvZG93bnJldi54bWxQSwECFAAUAAAACACHTuJAa55skDsCAABnBAAADgAAAAAAAAABACAAAAAr&#10;AQAAZHJzL2Uyb0RvYy54bWxQSwUGAAAAAAYABgBZAQAA2AUAAAAA&#10;">
                <v:fill on="f" focussize="0,0"/>
                <v:stroke on="f" weight="0.5pt"/>
                <v:imagedata o:title=""/>
                <o:lock v:ext="edit" aspectratio="f"/>
                <v:textbox>
                  <w:txbxContent>
                    <w:p w14:paraId="37C2AB9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新疆医科大学第一附属医院中心开闭所供电外网改造项目、数字骨科供电、排水维修项目（监理）（二次）</w:t>
                      </w:r>
                    </w:p>
                    <w:p w14:paraId="645119A4">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（项目编号：SJX-2025-099-01）</w:t>
                      </w:r>
                    </w:p>
                  </w:txbxContent>
                </v:textbox>
              </v:shape>
            </w:pict>
          </mc:Fallback>
        </mc:AlternateContent>
      </w:r>
      <w:r>
        <w:rPr>
          <w:rFonts w:hint="eastAsia" w:ascii="仿宋" w:hAnsi="仿宋" w:eastAsia="仿宋" w:cs="仿宋"/>
          <w:sz w:val="36"/>
          <w:szCs w:val="36"/>
          <w:lang w:eastAsia="zh-CN"/>
        </w:rPr>
        <w:tab/>
      </w:r>
    </w:p>
    <w:p w14:paraId="08F96752">
      <w:pPr>
        <w:jc w:val="center"/>
        <w:rPr>
          <w:rFonts w:hint="eastAsia" w:ascii="仿宋" w:hAnsi="仿宋" w:eastAsia="仿宋" w:cs="仿宋"/>
          <w:sz w:val="32"/>
          <w:szCs w:val="32"/>
        </w:rPr>
        <w:sectPr>
          <w:footerReference r:id="rId3" w:type="default"/>
          <w:pgSz w:w="11906" w:h="16838"/>
          <w:pgMar w:top="1440" w:right="1800" w:bottom="1440" w:left="1800" w:header="851" w:footer="992" w:gutter="0"/>
          <w:pgNumType w:fmt="decimal"/>
          <w:cols w:space="0" w:num="1"/>
          <w:rtlGutter w:val="0"/>
          <w:docGrid w:type="lines" w:linePitch="387" w:charSpace="0"/>
        </w:sectPr>
      </w:pPr>
      <w:r>
        <w:rPr>
          <w:rFonts w:hint="eastAsia" w:ascii="仿宋" w:hAnsi="仿宋" w:eastAsia="仿宋" w:cs="仿宋"/>
          <w:lang w:eastAsia="zh-CN"/>
        </w:rPr>
        <w:drawing>
          <wp:anchor distT="0" distB="0" distL="114300" distR="114300" simplePos="0" relativeHeight="251667456"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3"/>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sz w:val="21"/>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2F4E1">
                            <w:pPr>
                              <w:pStyle w:val="2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0682F4E1">
                      <w:pPr>
                        <w:pStyle w:val="2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仿宋" w:hAnsi="仿宋" w:eastAsia="仿宋" w:cs="仿宋"/>
          <w:sz w:val="21"/>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3A247">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采购人：新疆医科大学第一附属医院</w:t>
                            </w:r>
                          </w:p>
                          <w:p w14:paraId="51BD1935">
                            <w:pPr>
                              <w:jc w:val="left"/>
                              <w:rPr>
                                <w:rFonts w:hint="eastAsia" w:ascii="微软雅黑" w:hAnsi="微软雅黑" w:eastAsia="微软雅黑" w:cs="微软雅黑"/>
                                <w:b/>
                                <w:bCs/>
                                <w:color w:val="237085"/>
                                <w:sz w:val="32"/>
                                <w:szCs w:val="32"/>
                                <w:highlight w:val="none"/>
                                <w:lang w:val="en-US" w:eastAsia="zh-CN"/>
                              </w:rPr>
                            </w:pPr>
                          </w:p>
                          <w:p w14:paraId="28FDBB4A">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w:t>
                            </w:r>
                          </w:p>
                          <w:p w14:paraId="632C784D">
                            <w:pPr>
                              <w:jc w:val="center"/>
                              <w:rPr>
                                <w:rFonts w:hint="eastAsia" w:ascii="微软雅黑" w:hAnsi="微软雅黑" w:eastAsia="微软雅黑" w:cs="微软雅黑"/>
                                <w:b/>
                                <w:bCs/>
                                <w:color w:val="237085"/>
                                <w:sz w:val="32"/>
                                <w:szCs w:val="32"/>
                                <w:lang w:val="en-US" w:eastAsia="zh-CN"/>
                              </w:rPr>
                            </w:pPr>
                          </w:p>
                          <w:p w14:paraId="3EF57FB0">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日期：2025年4月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3AD3A247">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采购人：新疆医科大学第一附属医院</w:t>
                      </w:r>
                    </w:p>
                    <w:p w14:paraId="51BD1935">
                      <w:pPr>
                        <w:jc w:val="left"/>
                        <w:rPr>
                          <w:rFonts w:hint="eastAsia" w:ascii="微软雅黑" w:hAnsi="微软雅黑" w:eastAsia="微软雅黑" w:cs="微软雅黑"/>
                          <w:b/>
                          <w:bCs/>
                          <w:color w:val="237085"/>
                          <w:sz w:val="32"/>
                          <w:szCs w:val="32"/>
                          <w:highlight w:val="none"/>
                          <w:lang w:val="en-US" w:eastAsia="zh-CN"/>
                        </w:rPr>
                      </w:pPr>
                    </w:p>
                    <w:p w14:paraId="28FDBB4A">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w:t>
                      </w:r>
                    </w:p>
                    <w:p w14:paraId="632C784D">
                      <w:pPr>
                        <w:jc w:val="center"/>
                        <w:rPr>
                          <w:rFonts w:hint="eastAsia" w:ascii="微软雅黑" w:hAnsi="微软雅黑" w:eastAsia="微软雅黑" w:cs="微软雅黑"/>
                          <w:b/>
                          <w:bCs/>
                          <w:color w:val="237085"/>
                          <w:sz w:val="32"/>
                          <w:szCs w:val="32"/>
                          <w:lang w:val="en-US" w:eastAsia="zh-CN"/>
                        </w:rPr>
                      </w:pPr>
                    </w:p>
                    <w:p w14:paraId="3EF57FB0">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日期：2025年4月</w:t>
                      </w:r>
                    </w:p>
                  </w:txbxContent>
                </v:textbox>
              </v:shape>
            </w:pict>
          </mc:Fallback>
        </mc:AlternateContent>
      </w:r>
    </w:p>
    <w:p w14:paraId="37A13FF2">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目 录</w:t>
      </w:r>
    </w:p>
    <w:sdt>
      <w:sdtPr>
        <w:rPr>
          <w:rFonts w:hint="eastAsia" w:ascii="仿宋" w:hAnsi="仿宋" w:eastAsia="仿宋" w:cs="仿宋"/>
          <w:kern w:val="2"/>
          <w:sz w:val="21"/>
          <w:szCs w:val="24"/>
          <w:lang w:val="en-US" w:eastAsia="zh-CN" w:bidi="ar-SA"/>
        </w:rPr>
        <w:id w:val="147458556"/>
        <w15:color w:val="DBDBDB"/>
        <w:docPartObj>
          <w:docPartGallery w:val="Table of Contents"/>
          <w:docPartUnique/>
        </w:docPartObj>
      </w:sdtPr>
      <w:sdtEndPr>
        <w:rPr>
          <w:rFonts w:hint="eastAsia" w:ascii="仿宋" w:hAnsi="仿宋" w:eastAsia="仿宋" w:cs="仿宋"/>
          <w:b/>
          <w:kern w:val="2"/>
          <w:sz w:val="21"/>
          <w:szCs w:val="24"/>
          <w:lang w:val="en-US" w:eastAsia="zh-CN" w:bidi="ar-SA"/>
        </w:rPr>
      </w:sdtEndPr>
      <w:sdtContent>
        <w:p w14:paraId="426A3B7C">
          <w:pPr>
            <w:jc w:val="both"/>
            <w:rPr>
              <w:rFonts w:hint="eastAsia" w:ascii="仿宋" w:hAnsi="仿宋" w:eastAsia="仿宋" w:cs="仿宋"/>
              <w:b/>
              <w:kern w:val="2"/>
              <w:sz w:val="24"/>
              <w:szCs w:val="24"/>
              <w:lang w:val="en-US" w:eastAsia="zh-CN" w:bidi="ar-SA"/>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TOC \o "1-2" \h \u </w:instrText>
          </w:r>
          <w:r>
            <w:rPr>
              <w:rFonts w:hint="eastAsia" w:ascii="仿宋" w:hAnsi="仿宋" w:eastAsia="仿宋" w:cs="仿宋"/>
              <w:sz w:val="24"/>
              <w:szCs w:val="24"/>
              <w:lang w:val="en-US" w:eastAsia="zh-CN"/>
            </w:rPr>
            <w:fldChar w:fldCharType="separate"/>
          </w:r>
        </w:p>
        <w:p w14:paraId="2764FDE5">
          <w:pPr>
            <w:pStyle w:val="20"/>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_Toc24832 </w:instrText>
          </w:r>
          <w:r>
            <w:rPr>
              <w:rFonts w:hint="eastAsia" w:ascii="仿宋" w:hAnsi="仿宋" w:eastAsia="仿宋" w:cs="仿宋"/>
              <w:szCs w:val="24"/>
              <w:lang w:val="en-US" w:eastAsia="zh-CN"/>
            </w:rPr>
            <w:fldChar w:fldCharType="separate"/>
          </w:r>
          <w:r>
            <w:rPr>
              <w:rFonts w:hint="eastAsia" w:ascii="仿宋" w:hAnsi="仿宋" w:eastAsia="仿宋" w:cs="仿宋"/>
              <w:szCs w:val="32"/>
            </w:rPr>
            <w:t xml:space="preserve">第一章 </w:t>
          </w:r>
          <w:r>
            <w:rPr>
              <w:rFonts w:hint="eastAsia" w:ascii="仿宋" w:hAnsi="仿宋" w:eastAsia="仿宋" w:cs="仿宋"/>
              <w:szCs w:val="32"/>
              <w:lang w:val="en-US" w:eastAsia="zh-CN"/>
            </w:rPr>
            <w:t>竞争性磋商</w:t>
          </w:r>
          <w:r>
            <w:rPr>
              <w:rFonts w:hint="eastAsia" w:ascii="仿宋" w:hAnsi="仿宋" w:eastAsia="仿宋" w:cs="仿宋"/>
              <w:szCs w:val="32"/>
            </w:rPr>
            <w:t>公告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_Toc24832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4A655246">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_Toc15783 </w:instrText>
          </w:r>
          <w:r>
            <w:rPr>
              <w:rFonts w:hint="eastAsia" w:ascii="仿宋" w:hAnsi="仿宋" w:eastAsia="仿宋" w:cs="仿宋"/>
              <w:szCs w:val="24"/>
              <w:lang w:val="en-US" w:eastAsia="zh-CN"/>
            </w:rPr>
            <w:fldChar w:fldCharType="separate"/>
          </w:r>
          <w:r>
            <w:rPr>
              <w:rFonts w:hint="eastAsia" w:ascii="仿宋" w:hAnsi="仿宋" w:eastAsia="仿宋" w:cs="仿宋"/>
              <w:bCs/>
              <w:szCs w:val="24"/>
            </w:rPr>
            <w:t>一、 项目基本情况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_Toc15783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39DE5580">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_Toc22187 </w:instrText>
          </w:r>
          <w:r>
            <w:rPr>
              <w:rFonts w:hint="eastAsia" w:ascii="仿宋" w:hAnsi="仿宋" w:eastAsia="仿宋" w:cs="仿宋"/>
              <w:szCs w:val="24"/>
              <w:lang w:val="en-US" w:eastAsia="zh-CN"/>
            </w:rPr>
            <w:fldChar w:fldCharType="separate"/>
          </w:r>
          <w:r>
            <w:rPr>
              <w:rFonts w:hint="eastAsia" w:ascii="仿宋" w:hAnsi="仿宋" w:eastAsia="仿宋" w:cs="仿宋"/>
              <w:bCs/>
              <w:szCs w:val="24"/>
            </w:rPr>
            <w:t>二、 申请人的资格要求：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_Toc22187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50A61BFA">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_Toc24234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三、 获取采购文件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_Toc24234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374BC7AF">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_Toc28094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四、 响应文件提交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_Toc28094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0F5C5372">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_Toc10942 </w:instrText>
          </w:r>
          <w:r>
            <w:rPr>
              <w:rFonts w:hint="eastAsia" w:ascii="仿宋" w:hAnsi="仿宋" w:eastAsia="仿宋" w:cs="仿宋"/>
              <w:szCs w:val="24"/>
              <w:lang w:val="en-US" w:eastAsia="zh-CN"/>
            </w:rPr>
            <w:fldChar w:fldCharType="separate"/>
          </w:r>
          <w:r>
            <w:rPr>
              <w:rFonts w:hint="eastAsia" w:ascii="仿宋" w:hAnsi="仿宋" w:eastAsia="仿宋" w:cs="仿宋"/>
              <w:bCs/>
              <w:szCs w:val="24"/>
            </w:rPr>
            <w:t xml:space="preserve">五、 </w:t>
          </w:r>
          <w:r>
            <w:rPr>
              <w:rFonts w:hint="eastAsia" w:ascii="仿宋" w:hAnsi="仿宋" w:eastAsia="仿宋" w:cs="仿宋"/>
              <w:bCs/>
              <w:szCs w:val="24"/>
              <w:lang w:val="en-US" w:eastAsia="zh-CN"/>
            </w:rPr>
            <w:t>响应文件开启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_Toc10942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4AD10B8E">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_Toc22200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六、 公告期限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_Toc22200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5AB9E4DB">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_Toc1229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七、 其他补充事宜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_Toc1229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616C370B">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_Toc5047 </w:instrText>
          </w:r>
          <w:r>
            <w:rPr>
              <w:rFonts w:hint="eastAsia" w:ascii="仿宋" w:hAnsi="仿宋" w:eastAsia="仿宋" w:cs="仿宋"/>
              <w:szCs w:val="24"/>
              <w:lang w:val="en-US" w:eastAsia="zh-CN"/>
            </w:rPr>
            <w:fldChar w:fldCharType="separate"/>
          </w:r>
          <w:r>
            <w:rPr>
              <w:rFonts w:hint="eastAsia" w:ascii="仿宋" w:hAnsi="仿宋" w:eastAsia="仿宋" w:cs="仿宋"/>
              <w:bCs/>
              <w:szCs w:val="24"/>
            </w:rPr>
            <w:t>八、 对本次采购提出询问，请按以下方式联系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_Toc5047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4A9477EE">
          <w:pPr>
            <w:pStyle w:val="20"/>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_Toc19946 </w:instrText>
          </w:r>
          <w:r>
            <w:rPr>
              <w:rFonts w:hint="eastAsia" w:ascii="仿宋" w:hAnsi="仿宋" w:eastAsia="仿宋" w:cs="仿宋"/>
              <w:szCs w:val="24"/>
              <w:lang w:val="en-US" w:eastAsia="zh-CN"/>
            </w:rPr>
            <w:fldChar w:fldCharType="separate"/>
          </w:r>
          <w:r>
            <w:rPr>
              <w:rFonts w:hint="eastAsia" w:ascii="仿宋" w:hAnsi="仿宋" w:eastAsia="仿宋" w:cs="仿宋"/>
              <w:szCs w:val="32"/>
              <w:lang w:val="en-US" w:eastAsia="zh-CN"/>
            </w:rPr>
            <w:t>第二章 供应商须知前附表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_Toc19946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118F37F4">
          <w:pPr>
            <w:pStyle w:val="20"/>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_Toc4905 </w:instrText>
          </w:r>
          <w:r>
            <w:rPr>
              <w:rFonts w:hint="eastAsia" w:ascii="仿宋" w:hAnsi="仿宋" w:eastAsia="仿宋" w:cs="仿宋"/>
              <w:szCs w:val="24"/>
              <w:lang w:val="en-US" w:eastAsia="zh-CN"/>
            </w:rPr>
            <w:fldChar w:fldCharType="separate"/>
          </w:r>
          <w:r>
            <w:rPr>
              <w:rFonts w:hint="eastAsia" w:ascii="仿宋" w:hAnsi="仿宋" w:eastAsia="仿宋" w:cs="仿宋"/>
              <w:szCs w:val="32"/>
              <w:lang w:val="en-US" w:eastAsia="zh-CN"/>
            </w:rPr>
            <w:t>第三章 供应商须知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_Toc4905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204B38D9">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_Toc11730 </w:instrText>
          </w:r>
          <w:r>
            <w:rPr>
              <w:rFonts w:hint="eastAsia" w:ascii="仿宋" w:hAnsi="仿宋" w:eastAsia="仿宋" w:cs="仿宋"/>
              <w:szCs w:val="24"/>
              <w:lang w:val="en-US" w:eastAsia="zh-CN"/>
            </w:rPr>
            <w:fldChar w:fldCharType="separate"/>
          </w:r>
          <w:r>
            <w:rPr>
              <w:rFonts w:hint="eastAsia" w:ascii="仿宋" w:hAnsi="仿宋" w:eastAsia="仿宋" w:cs="仿宋"/>
              <w:bCs/>
              <w:szCs w:val="24"/>
            </w:rPr>
            <w:t>一、 说 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_Toc11730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72959FEB">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_Toc3286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二、 采购文件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_Toc3286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4B82B04C">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_Toc22592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三、 响应文件的编制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_Toc22592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210A5B4F">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_Toc7253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四、 响应文件的提交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_Toc7253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54CA5EF8">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_Toc32267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五、 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_Toc32267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50665382">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_Toc11319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六、 确定成交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_Toc11319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44944752">
          <w:pPr>
            <w:pStyle w:val="20"/>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_Toc20533 </w:instrText>
          </w:r>
          <w:r>
            <w:rPr>
              <w:rFonts w:hint="eastAsia" w:ascii="仿宋" w:hAnsi="仿宋" w:eastAsia="仿宋" w:cs="仿宋"/>
              <w:szCs w:val="24"/>
              <w:lang w:val="en-US" w:eastAsia="zh-CN"/>
            </w:rPr>
            <w:fldChar w:fldCharType="separate"/>
          </w:r>
          <w:r>
            <w:rPr>
              <w:rFonts w:hint="eastAsia" w:ascii="仿宋" w:hAnsi="仿宋" w:eastAsia="仿宋" w:cs="仿宋"/>
              <w:szCs w:val="32"/>
              <w:lang w:val="en-US" w:eastAsia="zh-CN"/>
            </w:rPr>
            <w:t>第四章 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_Toc20533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2F9151F8">
          <w:pPr>
            <w:pStyle w:val="20"/>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_Toc8038 </w:instrText>
          </w:r>
          <w:r>
            <w:rPr>
              <w:rFonts w:hint="eastAsia" w:ascii="仿宋" w:hAnsi="仿宋" w:eastAsia="仿宋" w:cs="仿宋"/>
              <w:szCs w:val="24"/>
              <w:lang w:val="en-US" w:eastAsia="zh-CN"/>
            </w:rPr>
            <w:fldChar w:fldCharType="separate"/>
          </w:r>
          <w:r>
            <w:rPr>
              <w:rFonts w:hint="eastAsia" w:ascii="仿宋" w:hAnsi="仿宋" w:eastAsia="仿宋" w:cs="仿宋"/>
              <w:szCs w:val="32"/>
              <w:lang w:val="en-US" w:eastAsia="zh-CN"/>
            </w:rPr>
            <w:t>第五章 采购需求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_Toc8038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547816A9">
          <w:pPr>
            <w:pStyle w:val="20"/>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_Toc27718 </w:instrText>
          </w:r>
          <w:r>
            <w:rPr>
              <w:rFonts w:hint="eastAsia" w:ascii="仿宋" w:hAnsi="仿宋" w:eastAsia="仿宋" w:cs="仿宋"/>
              <w:szCs w:val="24"/>
              <w:lang w:val="en-US" w:eastAsia="zh-CN"/>
            </w:rPr>
            <w:fldChar w:fldCharType="separate"/>
          </w:r>
          <w:r>
            <w:rPr>
              <w:rFonts w:hint="eastAsia" w:ascii="仿宋" w:hAnsi="仿宋" w:eastAsia="仿宋" w:cs="仿宋"/>
              <w:szCs w:val="32"/>
              <w:lang w:val="en-US" w:eastAsia="zh-CN"/>
            </w:rPr>
            <w:t>第六章 评标程序、评标方法和评标标准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_Toc27718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2B184096">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_Toc21122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1. 评标方法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_Toc21122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34FC0901">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_Toc1193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2. 评标原则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_Toc1193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4466E880">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_Toc7505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3. 资格审查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_Toc7505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30C0E51A">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_Toc27889 </w:instrText>
          </w:r>
          <w:r>
            <w:rPr>
              <w:rFonts w:hint="eastAsia" w:ascii="仿宋" w:hAnsi="仿宋" w:eastAsia="仿宋" w:cs="仿宋"/>
              <w:szCs w:val="24"/>
              <w:lang w:val="en-US" w:eastAsia="zh-CN"/>
            </w:rPr>
            <w:fldChar w:fldCharType="separate"/>
          </w:r>
          <w:r>
            <w:rPr>
              <w:rFonts w:hint="eastAsia" w:ascii="仿宋" w:hAnsi="仿宋" w:eastAsia="仿宋" w:cs="仿宋"/>
              <w:lang w:val="en-US" w:eastAsia="zh-CN"/>
            </w:rPr>
            <w:t xml:space="preserve">4. </w:t>
          </w:r>
          <w:r>
            <w:rPr>
              <w:rFonts w:hint="eastAsia" w:ascii="仿宋" w:hAnsi="仿宋" w:eastAsia="仿宋" w:cs="仿宋"/>
              <w:bCs/>
              <w:szCs w:val="24"/>
              <w:lang w:val="en-US" w:eastAsia="zh-CN"/>
            </w:rPr>
            <w:t>符合性审查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_Toc27889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1EB98644">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_Toc31864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5. 响应文件澄清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_Toc31864 \h </w:instrText>
          </w:r>
          <w:r>
            <w:rPr>
              <w:rFonts w:hint="eastAsia" w:ascii="仿宋" w:hAnsi="仿宋" w:eastAsia="仿宋" w:cs="仿宋"/>
            </w:rPr>
            <w:fldChar w:fldCharType="separate"/>
          </w:r>
          <w:r>
            <w:rPr>
              <w:rFonts w:hint="eastAsia" w:ascii="仿宋" w:hAnsi="仿宋" w:eastAsia="仿宋" w:cs="仿宋"/>
            </w:rPr>
            <w:t>54</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10BA76C6">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_Toc12580 </w:instrText>
          </w:r>
          <w:r>
            <w:rPr>
              <w:rFonts w:hint="eastAsia" w:ascii="仿宋" w:hAnsi="仿宋" w:eastAsia="仿宋" w:cs="仿宋"/>
              <w:szCs w:val="24"/>
              <w:lang w:val="en-US" w:eastAsia="zh-CN"/>
            </w:rPr>
            <w:fldChar w:fldCharType="separate"/>
          </w:r>
          <w:r>
            <w:rPr>
              <w:rFonts w:hint="eastAsia" w:ascii="仿宋" w:hAnsi="仿宋" w:eastAsia="仿宋" w:cs="仿宋"/>
              <w:szCs w:val="24"/>
              <w:lang w:val="en-US" w:eastAsia="zh-CN"/>
            </w:rPr>
            <w:t xml:space="preserve">7. </w:t>
          </w:r>
          <w:r>
            <w:rPr>
              <w:rFonts w:hint="eastAsia" w:ascii="仿宋" w:hAnsi="仿宋" w:eastAsia="仿宋" w:cs="仿宋"/>
              <w:bCs/>
              <w:szCs w:val="24"/>
              <w:lang w:val="en-US" w:eastAsia="zh-CN"/>
            </w:rPr>
            <w:t>磋商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_Toc12580 \h </w:instrText>
          </w:r>
          <w:r>
            <w:rPr>
              <w:rFonts w:hint="eastAsia" w:ascii="仿宋" w:hAnsi="仿宋" w:eastAsia="仿宋" w:cs="仿宋"/>
            </w:rPr>
            <w:fldChar w:fldCharType="separate"/>
          </w:r>
          <w:r>
            <w:rPr>
              <w:rFonts w:hint="eastAsia" w:ascii="仿宋" w:hAnsi="仿宋" w:eastAsia="仿宋" w:cs="仿宋"/>
            </w:rPr>
            <w:t>55</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64E4CE31">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_Toc3596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8. 最后报价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_Toc3596 \h </w:instrText>
          </w:r>
          <w:r>
            <w:rPr>
              <w:rFonts w:hint="eastAsia" w:ascii="仿宋" w:hAnsi="仿宋" w:eastAsia="仿宋" w:cs="仿宋"/>
            </w:rPr>
            <w:fldChar w:fldCharType="separate"/>
          </w:r>
          <w:r>
            <w:rPr>
              <w:rFonts w:hint="eastAsia" w:ascii="仿宋" w:hAnsi="仿宋" w:eastAsia="仿宋" w:cs="仿宋"/>
            </w:rPr>
            <w:t>55</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51A9BBA7">
          <w:pPr>
            <w:pStyle w:val="22"/>
            <w:tabs>
              <w:tab w:val="right" w:leader="dot" w:pos="8306"/>
            </w:tabs>
            <w:rPr>
              <w:rFonts w:hint="eastAsia" w:ascii="仿宋" w:hAnsi="仿宋" w:eastAsia="仿宋" w:cs="仿宋"/>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_Toc22657 </w:instrText>
          </w:r>
          <w:r>
            <w:rPr>
              <w:rFonts w:hint="eastAsia" w:ascii="仿宋" w:hAnsi="仿宋" w:eastAsia="仿宋" w:cs="仿宋"/>
              <w:szCs w:val="24"/>
              <w:lang w:val="en-US" w:eastAsia="zh-CN"/>
            </w:rPr>
            <w:fldChar w:fldCharType="separate"/>
          </w:r>
          <w:r>
            <w:rPr>
              <w:rFonts w:hint="eastAsia" w:ascii="仿宋" w:hAnsi="仿宋" w:eastAsia="仿宋" w:cs="仿宋"/>
              <w:bCs/>
              <w:szCs w:val="24"/>
              <w:lang w:val="en-US" w:eastAsia="zh-CN"/>
            </w:rPr>
            <w:t>9. 详细评审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_Toc22657 \h </w:instrText>
          </w:r>
          <w:r>
            <w:rPr>
              <w:rFonts w:hint="eastAsia" w:ascii="仿宋" w:hAnsi="仿宋" w:eastAsia="仿宋" w:cs="仿宋"/>
            </w:rPr>
            <w:fldChar w:fldCharType="separate"/>
          </w:r>
          <w:r>
            <w:rPr>
              <w:rFonts w:hint="eastAsia" w:ascii="仿宋" w:hAnsi="仿宋" w:eastAsia="仿宋" w:cs="仿宋"/>
            </w:rPr>
            <w:t>56</w:t>
          </w:r>
          <w:r>
            <w:rPr>
              <w:rFonts w:hint="eastAsia" w:ascii="仿宋" w:hAnsi="仿宋" w:eastAsia="仿宋" w:cs="仿宋"/>
            </w:rPr>
            <w:fldChar w:fldCharType="end"/>
          </w:r>
          <w:r>
            <w:rPr>
              <w:rFonts w:hint="eastAsia" w:ascii="仿宋" w:hAnsi="仿宋" w:eastAsia="仿宋" w:cs="仿宋"/>
              <w:szCs w:val="24"/>
              <w:lang w:val="en-US" w:eastAsia="zh-CN"/>
            </w:rPr>
            <w:fldChar w:fldCharType="end"/>
          </w:r>
        </w:p>
        <w:p w14:paraId="390F468D">
          <w:pPr>
            <w:pStyle w:val="20"/>
            <w:tabs>
              <w:tab w:val="right" w:leader="dot" w:pos="8306"/>
            </w:tabs>
            <w:rPr>
              <w:rFonts w:hint="eastAsia" w:ascii="仿宋" w:hAnsi="仿宋" w:eastAsia="仿宋" w:cs="仿宋"/>
              <w:sz w:val="24"/>
              <w:szCs w:val="24"/>
              <w:lang w:val="en-US" w:eastAsia="zh-CN"/>
            </w:rPr>
          </w:pPr>
          <w:r>
            <w:rPr>
              <w:rFonts w:hint="eastAsia" w:ascii="仿宋" w:hAnsi="仿宋" w:eastAsia="仿宋" w:cs="仿宋"/>
              <w:szCs w:val="24"/>
              <w:lang w:val="en-US" w:eastAsia="zh-CN"/>
            </w:rPr>
            <w:fldChar w:fldCharType="begin"/>
          </w:r>
          <w:r>
            <w:rPr>
              <w:rFonts w:hint="eastAsia" w:ascii="仿宋" w:hAnsi="仿宋" w:eastAsia="仿宋" w:cs="仿宋"/>
              <w:szCs w:val="24"/>
              <w:lang w:val="en-US" w:eastAsia="zh-CN"/>
            </w:rPr>
            <w:instrText xml:space="preserve"> HYPERLINK \l _Toc8139 </w:instrText>
          </w:r>
          <w:r>
            <w:rPr>
              <w:rFonts w:hint="eastAsia" w:ascii="仿宋" w:hAnsi="仿宋" w:eastAsia="仿宋" w:cs="仿宋"/>
              <w:szCs w:val="24"/>
              <w:lang w:val="en-US" w:eastAsia="zh-CN"/>
            </w:rPr>
            <w:fldChar w:fldCharType="separate"/>
          </w:r>
          <w:r>
            <w:rPr>
              <w:rFonts w:hint="eastAsia" w:ascii="仿宋" w:hAnsi="仿宋" w:eastAsia="仿宋" w:cs="仿宋"/>
              <w:bCs/>
              <w:szCs w:val="32"/>
              <w:lang w:val="en-US" w:eastAsia="zh-CN"/>
            </w:rPr>
            <w:t>第七章 响应文件格式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_Toc8139 \h </w:instrText>
          </w:r>
          <w:r>
            <w:rPr>
              <w:rFonts w:hint="eastAsia" w:ascii="仿宋" w:hAnsi="仿宋" w:eastAsia="仿宋" w:cs="仿宋"/>
            </w:rPr>
            <w:fldChar w:fldCharType="separate"/>
          </w:r>
          <w:r>
            <w:rPr>
              <w:rFonts w:hint="eastAsia" w:ascii="仿宋" w:hAnsi="仿宋" w:eastAsia="仿宋" w:cs="仿宋"/>
            </w:rPr>
            <w:t>62</w:t>
          </w:r>
          <w:r>
            <w:rPr>
              <w:rFonts w:hint="eastAsia" w:ascii="仿宋" w:hAnsi="仿宋" w:eastAsia="仿宋" w:cs="仿宋"/>
            </w:rPr>
            <w:fldChar w:fldCharType="end"/>
          </w:r>
          <w:r>
            <w:rPr>
              <w:rFonts w:hint="eastAsia" w:ascii="仿宋" w:hAnsi="仿宋" w:eastAsia="仿宋" w:cs="仿宋"/>
              <w:szCs w:val="24"/>
              <w:lang w:val="en-US" w:eastAsia="zh-CN"/>
            </w:rPr>
            <w:fldChar w:fldCharType="end"/>
          </w:r>
          <w:r>
            <w:rPr>
              <w:rFonts w:hint="eastAsia" w:ascii="仿宋" w:hAnsi="仿宋" w:eastAsia="仿宋" w:cs="仿宋"/>
              <w:b/>
              <w:szCs w:val="24"/>
              <w:lang w:val="en-US" w:eastAsia="zh-CN"/>
            </w:rPr>
            <w:fldChar w:fldCharType="end"/>
          </w:r>
        </w:p>
      </w:sdtContent>
    </w:sdt>
    <w:p w14:paraId="34B8D500">
      <w:pPr>
        <w:pStyle w:val="2"/>
        <w:numPr>
          <w:ilvl w:val="0"/>
          <w:numId w:val="1"/>
        </w:numPr>
        <w:bidi w:val="0"/>
        <w:jc w:val="center"/>
        <w:rPr>
          <w:rFonts w:hint="eastAsia" w:ascii="仿宋" w:hAnsi="仿宋" w:eastAsia="仿宋" w:cs="仿宋"/>
          <w:sz w:val="32"/>
          <w:szCs w:val="32"/>
        </w:rPr>
        <w:sectPr>
          <w:headerReference r:id="rId4" w:type="default"/>
          <w:footerReference r:id="rId5" w:type="default"/>
          <w:pgSz w:w="11906" w:h="16838"/>
          <w:pgMar w:top="1440" w:right="1800" w:bottom="1440" w:left="1800" w:header="851" w:footer="992" w:gutter="0"/>
          <w:pgNumType w:fmt="decimal"/>
          <w:cols w:space="0" w:num="1"/>
          <w:rtlGutter w:val="0"/>
          <w:docGrid w:type="lines" w:linePitch="387" w:charSpace="0"/>
        </w:sectPr>
      </w:pPr>
    </w:p>
    <w:p w14:paraId="0BD47A93">
      <w:pPr>
        <w:pStyle w:val="2"/>
        <w:numPr>
          <w:ilvl w:val="0"/>
          <w:numId w:val="1"/>
        </w:numPr>
        <w:bidi w:val="0"/>
        <w:jc w:val="center"/>
        <w:rPr>
          <w:rFonts w:hint="eastAsia" w:ascii="仿宋" w:hAnsi="仿宋" w:eastAsia="仿宋" w:cs="仿宋"/>
          <w:sz w:val="32"/>
          <w:szCs w:val="32"/>
        </w:rPr>
      </w:pPr>
      <w:bookmarkStart w:id="0" w:name="_Toc24832"/>
      <w:r>
        <w:rPr>
          <w:rFonts w:hint="eastAsia" w:ascii="仿宋" w:hAnsi="仿宋" w:eastAsia="仿宋" w:cs="仿宋"/>
          <w:sz w:val="32"/>
          <w:szCs w:val="32"/>
          <w:lang w:val="en-US" w:eastAsia="zh-CN"/>
        </w:rPr>
        <w:t>采购</w:t>
      </w:r>
      <w:r>
        <w:rPr>
          <w:rFonts w:hint="eastAsia" w:ascii="仿宋" w:hAnsi="仿宋" w:eastAsia="仿宋" w:cs="仿宋"/>
          <w:sz w:val="32"/>
          <w:szCs w:val="32"/>
        </w:rPr>
        <w:t>公告</w:t>
      </w:r>
      <w:bookmarkEnd w:id="0"/>
    </w:p>
    <w:p w14:paraId="42BF2E6A">
      <w:pPr>
        <w:jc w:val="both"/>
        <w:rPr>
          <w:rFonts w:hint="eastAsia" w:ascii="仿宋" w:hAnsi="仿宋" w:eastAsia="仿宋" w:cs="仿宋"/>
          <w:sz w:val="32"/>
          <w:szCs w:val="32"/>
        </w:rPr>
      </w:pPr>
    </w:p>
    <w:p w14:paraId="56DC621A">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rPr>
      </w:pPr>
      <w:bookmarkStart w:id="1" w:name="_Toc15783"/>
      <w:r>
        <w:rPr>
          <w:rFonts w:hint="eastAsia" w:ascii="仿宋" w:hAnsi="仿宋" w:eastAsia="仿宋" w:cs="仿宋"/>
          <w:b/>
          <w:bCs/>
          <w:sz w:val="24"/>
          <w:szCs w:val="24"/>
        </w:rPr>
        <w:t>项目基本情况</w:t>
      </w:r>
      <w:bookmarkEnd w:id="1"/>
    </w:p>
    <w:p w14:paraId="737389B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项目编号：SJX-2025-099</w:t>
      </w:r>
      <w:r>
        <w:rPr>
          <w:rFonts w:hint="eastAsia" w:ascii="仿宋" w:hAnsi="仿宋" w:eastAsia="仿宋" w:cs="仿宋"/>
          <w:sz w:val="24"/>
          <w:szCs w:val="24"/>
          <w:highlight w:val="none"/>
          <w:lang w:val="en-US" w:eastAsia="zh-CN"/>
        </w:rPr>
        <w:t>-01</w:t>
      </w:r>
    </w:p>
    <w:p w14:paraId="7319D4D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新疆医科大学第一附属医院中心开闭所供电外网改造项目、数字骨科供电、排水维修项目（监理）（</w:t>
      </w:r>
      <w:r>
        <w:rPr>
          <w:rFonts w:hint="eastAsia" w:ascii="仿宋" w:hAnsi="仿宋" w:eastAsia="仿宋" w:cs="仿宋"/>
          <w:sz w:val="24"/>
          <w:szCs w:val="24"/>
          <w:highlight w:val="none"/>
          <w:lang w:val="en-US" w:eastAsia="zh-CN"/>
        </w:rPr>
        <w:t>二次</w:t>
      </w:r>
      <w:r>
        <w:rPr>
          <w:rFonts w:hint="eastAsia" w:ascii="仿宋" w:hAnsi="仿宋" w:eastAsia="仿宋" w:cs="仿宋"/>
          <w:sz w:val="24"/>
          <w:szCs w:val="24"/>
          <w:highlight w:val="none"/>
          <w:lang w:eastAsia="zh-CN"/>
        </w:rPr>
        <w:t>）</w:t>
      </w:r>
    </w:p>
    <w:p w14:paraId="48654F9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471DB7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163000</w:t>
      </w:r>
    </w:p>
    <w:p w14:paraId="763868D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最终以工程中标价为准，按《建设工程监理与相关服务收费管理规定》取费标准下浮20%作为招标控制价。</w:t>
      </w:r>
    </w:p>
    <w:p w14:paraId="7AA29F9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采购需求</w:t>
      </w:r>
      <w:r>
        <w:rPr>
          <w:rFonts w:hint="eastAsia" w:ascii="仿宋" w:hAnsi="仿宋" w:eastAsia="仿宋" w:cs="仿宋"/>
          <w:sz w:val="24"/>
          <w:szCs w:val="24"/>
          <w:highlight w:val="none"/>
          <w:lang w:val="en-US" w:eastAsia="zh-CN"/>
        </w:rPr>
        <w:t>:</w:t>
      </w:r>
    </w:p>
    <w:p w14:paraId="6ABBC6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新疆医科大学第一附属医院中心开闭所供电外网改造项目、数字骨科供电、排水维修项目（监理），</w:t>
      </w:r>
      <w:r>
        <w:rPr>
          <w:rFonts w:hint="eastAsia" w:ascii="仿宋" w:hAnsi="仿宋" w:eastAsia="仿宋" w:cs="仿宋"/>
          <w:sz w:val="24"/>
          <w:szCs w:val="24"/>
          <w:highlight w:val="none"/>
          <w:lang w:val="en-US" w:eastAsia="zh-CN"/>
        </w:rPr>
        <w:t>详见采购需求。</w:t>
      </w:r>
    </w:p>
    <w:p w14:paraId="6EB5C7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32269F6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合同履约期限：</w:t>
      </w:r>
      <w:r>
        <w:rPr>
          <w:rFonts w:hint="eastAsia" w:ascii="仿宋" w:hAnsi="仿宋" w:eastAsia="仿宋" w:cs="仿宋"/>
          <w:sz w:val="24"/>
          <w:szCs w:val="24"/>
          <w:highlight w:val="none"/>
          <w:lang w:val="en-US" w:eastAsia="zh-CN"/>
        </w:rPr>
        <w:t>中心开闭所供电外网改造项目工期60天；数字骨科供电、排水维修项目工期60天</w:t>
      </w:r>
      <w:r>
        <w:rPr>
          <w:rFonts w:hint="eastAsia" w:ascii="仿宋" w:hAnsi="仿宋" w:eastAsia="仿宋" w:cs="仿宋"/>
          <w:sz w:val="24"/>
          <w:szCs w:val="24"/>
          <w:highlight w:val="none"/>
        </w:rPr>
        <w:t>。</w:t>
      </w:r>
    </w:p>
    <w:p w14:paraId="750CBB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4C8CBCB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00E02F11">
      <w:pPr>
        <w:spacing w:line="360" w:lineRule="auto"/>
        <w:rPr>
          <w:rFonts w:hint="eastAsia" w:ascii="仿宋" w:hAnsi="仿宋" w:eastAsia="仿宋" w:cs="仿宋"/>
          <w:sz w:val="24"/>
          <w:lang w:eastAsia="zh-CN"/>
        </w:rPr>
      </w:pPr>
      <w:bookmarkStart w:id="3" w:name="_Toc24234"/>
      <w:r>
        <w:rPr>
          <w:rFonts w:hint="eastAsia" w:ascii="仿宋" w:hAnsi="仿宋" w:eastAsia="仿宋" w:cs="仿宋"/>
          <w:sz w:val="24"/>
        </w:rPr>
        <w:t>1.满足《中华人民共和国政府采购法》第二十二条规定</w:t>
      </w:r>
      <w:r>
        <w:rPr>
          <w:rFonts w:hint="eastAsia" w:ascii="仿宋" w:hAnsi="仿宋" w:eastAsia="仿宋" w:cs="仿宋"/>
          <w:sz w:val="24"/>
          <w:lang w:eastAsia="zh-CN"/>
        </w:rPr>
        <w:t>：</w:t>
      </w:r>
    </w:p>
    <w:p w14:paraId="3E33F713">
      <w:pPr>
        <w:pStyle w:val="38"/>
        <w:spacing w:line="360" w:lineRule="auto"/>
        <w:rPr>
          <w:rFonts w:hint="eastAsia" w:ascii="仿宋" w:hAnsi="仿宋" w:eastAsia="仿宋" w:cs="仿宋"/>
          <w:sz w:val="24"/>
          <w:highlight w:val="none"/>
          <w:lang w:eastAsia="zh-CN"/>
        </w:rPr>
      </w:pP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highlight w:val="none"/>
        </w:rPr>
        <w:t>落实政府采购政策需满足的资格要求：</w:t>
      </w:r>
      <w:r>
        <w:rPr>
          <w:rFonts w:hint="eastAsia" w:ascii="仿宋" w:hAnsi="仿宋" w:eastAsia="仿宋" w:cs="仿宋"/>
          <w:sz w:val="24"/>
          <w:highlight w:val="none"/>
          <w:lang w:eastAsia="zh-CN"/>
        </w:rPr>
        <w:t>本项目专门面向中小企业采购。</w:t>
      </w:r>
    </w:p>
    <w:p w14:paraId="7C5AB083">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.本项目的特定资格要求：</w:t>
      </w:r>
      <w:r>
        <w:rPr>
          <w:rFonts w:hint="eastAsia" w:ascii="仿宋" w:hAnsi="仿宋" w:eastAsia="仿宋" w:cs="仿宋"/>
          <w:sz w:val="24"/>
          <w:highlight w:val="none"/>
          <w:lang w:val="en-US" w:eastAsia="zh-CN"/>
        </w:rPr>
        <w:t>投标人须具备有效的资质证书，且具备（满足其中一条要求即可）：要求（1）:工程监理综合甲级资质；要求（2）：房屋建筑工程(专业类监理企业资质)丙级及以上资质和电力工程(专业类监理企业资质)乙级及以上资质；</w:t>
      </w:r>
    </w:p>
    <w:p w14:paraId="3EA93C35">
      <w:pPr>
        <w:spacing w:line="360" w:lineRule="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4、项目负责人要求：投标人拟派项目总监须具备注册监理工程师（房屋建筑工程专业和电力工程专业）（本单位注册），且不得同时监理其他项目（提供承诺书，格式自拟）；</w:t>
      </w:r>
    </w:p>
    <w:p w14:paraId="76C3C2B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lang w:val="en-US" w:eastAsia="zh-CN"/>
        </w:rPr>
        <w:t>获取</w:t>
      </w:r>
      <w:r>
        <w:rPr>
          <w:rFonts w:hint="eastAsia" w:ascii="仿宋" w:hAnsi="仿宋" w:eastAsia="仿宋" w:cs="仿宋"/>
          <w:b/>
          <w:bCs/>
          <w:sz w:val="24"/>
          <w:szCs w:val="24"/>
          <w:highlight w:val="none"/>
          <w:lang w:val="en-US" w:eastAsia="zh-CN"/>
        </w:rPr>
        <w:t>采购文件</w:t>
      </w:r>
      <w:bookmarkEnd w:id="3"/>
    </w:p>
    <w:p w14:paraId="1DB47C20">
      <w:pPr>
        <w:spacing w:line="500" w:lineRule="exact"/>
        <w:rPr>
          <w:rFonts w:hint="eastAsia" w:ascii="仿宋" w:hAnsi="仿宋" w:eastAsia="仿宋" w:cs="仿宋"/>
          <w:kern w:val="2"/>
          <w:sz w:val="24"/>
          <w:szCs w:val="22"/>
          <w:highlight w:val="none"/>
          <w:lang w:val="en-US" w:eastAsia="zh-CN" w:bidi="ar-SA"/>
        </w:rPr>
      </w:pPr>
      <w:r>
        <w:rPr>
          <w:rFonts w:hint="eastAsia" w:ascii="仿宋" w:hAnsi="仿宋" w:eastAsia="仿宋" w:cs="仿宋"/>
          <w:kern w:val="2"/>
          <w:sz w:val="24"/>
          <w:szCs w:val="22"/>
          <w:highlight w:val="none"/>
          <w:lang w:val="en-US" w:eastAsia="zh-CN" w:bidi="ar-SA"/>
        </w:rPr>
        <w:t>时间：2025年04月24日至2025年04月30日，每天上午00:00至12:00，下午12:00至23:59（北京时间，法定节假日除外）</w:t>
      </w:r>
    </w:p>
    <w:p w14:paraId="6E0FCD3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41B81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422931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 xml:space="preserve">售价（元）：0元 </w:t>
      </w:r>
    </w:p>
    <w:p w14:paraId="2CE2330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28094"/>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2CD01BA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截止时间：2025年05月13日11时00分（北京时间）</w:t>
      </w:r>
    </w:p>
    <w:p w14:paraId="6836DC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    点：政采云平台（https://www.zcygov.cn/），本项目采用不见面开标，加密的电子投标文件在投标截止时间前在政采云平台上传。</w:t>
      </w:r>
    </w:p>
    <w:p w14:paraId="78BE86C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10942"/>
      <w:r>
        <w:rPr>
          <w:rFonts w:hint="eastAsia" w:ascii="仿宋" w:hAnsi="仿宋" w:eastAsia="仿宋" w:cs="仿宋"/>
          <w:b/>
          <w:bCs/>
          <w:sz w:val="24"/>
          <w:szCs w:val="24"/>
          <w:highlight w:val="none"/>
          <w:lang w:val="en-US" w:eastAsia="zh-CN"/>
        </w:rPr>
        <w:t>响应文件开启</w:t>
      </w:r>
      <w:bookmarkEnd w:id="5"/>
    </w:p>
    <w:p w14:paraId="3D6ECF5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开标时间：2025年05月13日11时00分（北京时间）</w:t>
      </w:r>
    </w:p>
    <w:p w14:paraId="7180B8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5602610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2200"/>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777EDE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60285265">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04549EF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b w:val="0"/>
          <w:bCs w:val="0"/>
          <w:sz w:val="24"/>
          <w:szCs w:val="24"/>
          <w:highlight w:val="none"/>
        </w:rPr>
        <w:t>发布。</w:t>
      </w:r>
    </w:p>
    <w:p w14:paraId="2956785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354FCB5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0B03D27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CD8E3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0ECF8FC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1D42AB31">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1.采购人信息</w:t>
      </w:r>
    </w:p>
    <w:p w14:paraId="6002DF82">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名 称：新疆医科大学第一附属医院</w:t>
      </w:r>
    </w:p>
    <w:p w14:paraId="2A8BDDAB">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 址：新疆维吾尔自治区乌鲁木齐市鲤鱼山南路137号</w:t>
      </w:r>
    </w:p>
    <w:p w14:paraId="169D557C">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联系方式：0991-4362391</w:t>
      </w:r>
    </w:p>
    <w:p w14:paraId="35748B95">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2.采购代理机构信息</w:t>
      </w:r>
    </w:p>
    <w:p w14:paraId="1BF11AD5">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名 称：新疆世纪星工程咨询有限公司</w:t>
      </w:r>
    </w:p>
    <w:p w14:paraId="5F625206">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 址：乌鲁木齐经济技术开发区二期黄山街一品九点阳光德港大厦B座20楼</w:t>
      </w:r>
    </w:p>
    <w:p w14:paraId="7BC148F7">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联系方式：0991-3678303</w:t>
      </w:r>
    </w:p>
    <w:p w14:paraId="2EDDEC76">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3.项目联系方式</w:t>
      </w:r>
    </w:p>
    <w:p w14:paraId="6B6F10A9">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项目联系人：訾王贝、郑倩如、李航、杜萍</w:t>
      </w:r>
    </w:p>
    <w:p w14:paraId="12931B3D">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 话：0991-3678303</w:t>
      </w:r>
    </w:p>
    <w:p w14:paraId="727CCBC2">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60C70FFE">
      <w:pPr>
        <w:pStyle w:val="2"/>
        <w:numPr>
          <w:ilvl w:val="0"/>
          <w:numId w:val="3"/>
        </w:numPr>
        <w:bidi w:val="0"/>
        <w:jc w:val="center"/>
        <w:rPr>
          <w:rFonts w:hint="eastAsia" w:ascii="仿宋" w:hAnsi="仿宋" w:eastAsia="仿宋" w:cs="仿宋"/>
          <w:sz w:val="32"/>
          <w:szCs w:val="32"/>
          <w:lang w:val="en-US" w:eastAsia="zh-CN"/>
        </w:rPr>
      </w:pPr>
      <w:bookmarkStart w:id="9" w:name="_Toc19946"/>
      <w:r>
        <w:rPr>
          <w:rFonts w:hint="eastAsia" w:ascii="仿宋" w:hAnsi="仿宋" w:eastAsia="仿宋" w:cs="仿宋"/>
          <w:sz w:val="32"/>
          <w:szCs w:val="32"/>
          <w:lang w:val="en-US" w:eastAsia="zh-CN"/>
        </w:rPr>
        <w:t>供应商须知前附表</w:t>
      </w:r>
      <w:bookmarkEnd w:id="9"/>
    </w:p>
    <w:p w14:paraId="6AD44B5E">
      <w:pPr>
        <w:rPr>
          <w:rFonts w:hint="eastAsia" w:ascii="仿宋" w:hAnsi="仿宋" w:eastAsia="仿宋" w:cs="仿宋"/>
          <w:sz w:val="24"/>
          <w:szCs w:val="24"/>
          <w:lang w:val="en-US" w:eastAsia="zh-CN"/>
        </w:rPr>
      </w:pPr>
    </w:p>
    <w:p w14:paraId="3968F70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本表是本采购项目的具体资料，是对供应商须知的具体补充和修改，如有矛盾，均以本资料表为准。标记“☑”的选项意为适用于本项目，标记“□”的选项意为不适用于本项目。</w:t>
      </w:r>
    </w:p>
    <w:p w14:paraId="40DB67DA">
      <w:pPr>
        <w:pStyle w:val="11"/>
        <w:rPr>
          <w:rFonts w:hint="eastAsia" w:ascii="仿宋" w:hAnsi="仿宋" w:eastAsia="仿宋" w:cs="仿宋"/>
          <w:lang w:val="en-US" w:eastAsia="zh-CN"/>
        </w:rPr>
      </w:pP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394A96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6CA26A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vertAlign w:val="baseline"/>
              </w:rPr>
            </w:pPr>
            <w:r>
              <w:rPr>
                <w:rFonts w:hint="eastAsia" w:ascii="仿宋" w:hAnsi="仿宋" w:eastAsia="仿宋" w:cs="仿宋"/>
                <w:b/>
                <w:bCs/>
                <w:sz w:val="24"/>
                <w:szCs w:val="24"/>
                <w:vertAlign w:val="baseline"/>
                <w:lang w:val="en-US" w:eastAsia="zh-CN"/>
              </w:rPr>
              <w:t>条款号</w:t>
            </w:r>
          </w:p>
        </w:tc>
        <w:tc>
          <w:tcPr>
            <w:tcW w:w="6652" w:type="dxa"/>
            <w:tcBorders>
              <w:tl2br w:val="nil"/>
              <w:tr2bl w:val="nil"/>
            </w:tcBorders>
          </w:tcPr>
          <w:p w14:paraId="341D9D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vertAlign w:val="baseline"/>
              </w:rPr>
            </w:pPr>
            <w:r>
              <w:rPr>
                <w:rFonts w:hint="eastAsia" w:ascii="仿宋" w:hAnsi="仿宋" w:eastAsia="仿宋" w:cs="仿宋"/>
                <w:b/>
                <w:bCs/>
                <w:sz w:val="24"/>
                <w:szCs w:val="24"/>
                <w:vertAlign w:val="baseline"/>
                <w:lang w:val="en-US" w:eastAsia="zh-CN"/>
              </w:rPr>
              <w:t>内容</w:t>
            </w:r>
          </w:p>
        </w:tc>
      </w:tr>
      <w:tr w14:paraId="67DE0F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B4142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w:t>
            </w:r>
          </w:p>
        </w:tc>
        <w:tc>
          <w:tcPr>
            <w:tcW w:w="6652" w:type="dxa"/>
            <w:tcBorders>
              <w:tl2br w:val="nil"/>
              <w:tr2bl w:val="nil"/>
            </w:tcBorders>
            <w:vAlign w:val="center"/>
          </w:tcPr>
          <w:p w14:paraId="5A19C17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采购人名称：</w:t>
            </w:r>
            <w:r>
              <w:rPr>
                <w:rFonts w:hint="eastAsia" w:ascii="仿宋" w:hAnsi="仿宋" w:eastAsia="仿宋" w:cs="仿宋"/>
                <w:sz w:val="24"/>
                <w:szCs w:val="24"/>
                <w:highlight w:val="none"/>
                <w:vertAlign w:val="baseline"/>
                <w:lang w:eastAsia="zh-CN"/>
              </w:rPr>
              <w:t>新疆医科大学第一附属医院</w:t>
            </w:r>
          </w:p>
          <w:p w14:paraId="7A90D55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地 址：</w:t>
            </w:r>
            <w:r>
              <w:rPr>
                <w:rFonts w:hint="eastAsia" w:ascii="仿宋" w:hAnsi="仿宋" w:eastAsia="仿宋" w:cs="仿宋"/>
                <w:sz w:val="24"/>
                <w:szCs w:val="24"/>
                <w:highlight w:val="none"/>
                <w:vertAlign w:val="baseline"/>
                <w:lang w:eastAsia="zh-CN"/>
              </w:rPr>
              <w:t>新疆维吾尔自治区乌鲁木齐市鲤鱼山南路137号</w:t>
            </w:r>
          </w:p>
          <w:p w14:paraId="39B2611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联系方式：0991-4362391</w:t>
            </w:r>
          </w:p>
        </w:tc>
      </w:tr>
      <w:tr w14:paraId="332BAC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94B3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w:t>
            </w:r>
          </w:p>
        </w:tc>
        <w:tc>
          <w:tcPr>
            <w:tcW w:w="6652" w:type="dxa"/>
            <w:tcBorders>
              <w:tl2br w:val="nil"/>
              <w:tr2bl w:val="nil"/>
            </w:tcBorders>
            <w:vAlign w:val="center"/>
          </w:tcPr>
          <w:p w14:paraId="1730287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采购代理机构：新疆世纪星工程咨询有限公司 </w:t>
            </w:r>
          </w:p>
          <w:p w14:paraId="72E473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地址：乌鲁木齐经济技术开发区二期黄山街一品九点阳光德港大厦B座20楼 </w:t>
            </w:r>
          </w:p>
          <w:p w14:paraId="5F2EB8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业务联系人：</w:t>
            </w:r>
            <w:r>
              <w:rPr>
                <w:rFonts w:hint="eastAsia" w:ascii="仿宋" w:hAnsi="仿宋" w:eastAsia="仿宋" w:cs="仿宋"/>
                <w:sz w:val="24"/>
                <w:szCs w:val="24"/>
                <w:vertAlign w:val="baseline"/>
                <w:lang w:val="en-US" w:eastAsia="zh-CN"/>
              </w:rPr>
              <w:t>訾王贝、郑倩如、李航、杜萍</w:t>
            </w:r>
            <w:r>
              <w:rPr>
                <w:rFonts w:hint="eastAsia" w:ascii="仿宋" w:hAnsi="仿宋" w:eastAsia="仿宋" w:cs="仿宋"/>
                <w:sz w:val="24"/>
                <w:szCs w:val="24"/>
                <w:vertAlign w:val="baseline"/>
              </w:rPr>
              <w:t xml:space="preserve">      </w:t>
            </w:r>
            <w:r>
              <w:rPr>
                <w:rFonts w:hint="eastAsia" w:ascii="仿宋" w:hAnsi="仿宋" w:eastAsia="仿宋" w:cs="仿宋"/>
                <w:sz w:val="24"/>
                <w:szCs w:val="24"/>
                <w:vertAlign w:val="baseline"/>
                <w:lang w:val="en-US" w:eastAsia="zh-CN"/>
              </w:rPr>
              <w:t xml:space="preserve">  </w:t>
            </w:r>
          </w:p>
          <w:p w14:paraId="2E697B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电话：0991-3678303 </w:t>
            </w:r>
          </w:p>
          <w:p w14:paraId="3A28FDC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电子邮箱：</w:t>
            </w:r>
            <w:r>
              <w:rPr>
                <w:rFonts w:hint="eastAsia" w:ascii="仿宋" w:hAnsi="仿宋" w:eastAsia="仿宋" w:cs="仿宋"/>
                <w:sz w:val="24"/>
                <w:szCs w:val="24"/>
                <w:vertAlign w:val="baseline"/>
                <w:lang w:val="en-US" w:eastAsia="zh-CN"/>
              </w:rPr>
              <w:t>1587610063@qq.com</w:t>
            </w:r>
          </w:p>
        </w:tc>
      </w:tr>
      <w:tr w14:paraId="1EA877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A321C1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1.3.3</w:t>
            </w:r>
          </w:p>
        </w:tc>
        <w:tc>
          <w:tcPr>
            <w:tcW w:w="6652" w:type="dxa"/>
            <w:tcBorders>
              <w:tl2br w:val="nil"/>
              <w:tr2bl w:val="nil"/>
            </w:tcBorders>
            <w:vAlign w:val="center"/>
          </w:tcPr>
          <w:p w14:paraId="39F9FDC8">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szCs w:val="24"/>
                <w:highlight w:val="none"/>
                <w:vertAlign w:val="baseline"/>
              </w:rPr>
              <w:t>合格</w:t>
            </w:r>
            <w:r>
              <w:rPr>
                <w:rFonts w:hint="eastAsia" w:ascii="仿宋" w:hAnsi="仿宋" w:eastAsia="仿宋" w:cs="仿宋"/>
                <w:sz w:val="24"/>
                <w:szCs w:val="24"/>
                <w:highlight w:val="none"/>
                <w:vertAlign w:val="baseline"/>
                <w:lang w:val="en-US" w:eastAsia="zh-CN"/>
              </w:rPr>
              <w:t>供应商</w:t>
            </w:r>
            <w:r>
              <w:rPr>
                <w:rFonts w:hint="eastAsia" w:ascii="仿宋" w:hAnsi="仿宋" w:eastAsia="仿宋" w:cs="仿宋"/>
                <w:sz w:val="24"/>
                <w:szCs w:val="24"/>
                <w:highlight w:val="none"/>
                <w:vertAlign w:val="baseline"/>
              </w:rPr>
              <w:t>的其他资格要求：</w:t>
            </w: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highlight w:val="none"/>
                <w:lang w:val="en-US" w:eastAsia="zh-CN"/>
              </w:rPr>
              <w:t>投标人须具备有效的资质证书，且具备（满足其中一条要求即可）：要求 （1）:工程监理综合甲级资质；要求 （2）：房屋建筑工程(专业类监理企业资质)丙级及以上资质和电力工程(专业类监理企业资质)乙级及以上资质；</w:t>
            </w:r>
          </w:p>
          <w:p w14:paraId="22EF61E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highlight w:val="none"/>
                <w:lang w:val="en-US" w:eastAsia="zh-CN"/>
              </w:rPr>
              <w:t>2、项目负责人要求：投标人拟派项目总监须具备注册监理工程师（房屋建筑工程专业和电力工程专业）（本单位注册），且不得同时监理其他项目（提供承诺书，格式自拟）；</w:t>
            </w:r>
          </w:p>
        </w:tc>
      </w:tr>
      <w:tr w14:paraId="6E8B73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170157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w:t>
            </w:r>
          </w:p>
        </w:tc>
        <w:tc>
          <w:tcPr>
            <w:tcW w:w="6652" w:type="dxa"/>
            <w:tcBorders>
              <w:tl2br w:val="nil"/>
              <w:tr2bl w:val="nil"/>
            </w:tcBorders>
            <w:vAlign w:val="center"/>
          </w:tcPr>
          <w:p w14:paraId="486AAB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是否允许采购进口产品：否</w:t>
            </w:r>
          </w:p>
        </w:tc>
      </w:tr>
      <w:tr w14:paraId="7BA555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BC4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1.5.1</w:t>
            </w:r>
          </w:p>
        </w:tc>
        <w:tc>
          <w:tcPr>
            <w:tcW w:w="6652" w:type="dxa"/>
            <w:tcBorders>
              <w:tl2br w:val="nil"/>
              <w:tr2bl w:val="nil"/>
            </w:tcBorders>
            <w:shd w:val="clear" w:color="auto" w:fill="FFFFFF" w:themeFill="background1"/>
            <w:vAlign w:val="center"/>
          </w:tcPr>
          <w:p w14:paraId="6CF051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highlight w:val="none"/>
                <w:lang w:val="en-US" w:eastAsia="zh-CN"/>
              </w:rPr>
            </w:pPr>
            <w:r>
              <w:rPr>
                <w:rFonts w:hint="eastAsia" w:ascii="仿宋" w:hAnsi="仿宋" w:eastAsia="仿宋" w:cs="仿宋"/>
                <w:sz w:val="24"/>
                <w:szCs w:val="24"/>
                <w:highlight w:val="none"/>
                <w:vertAlign w:val="baseline"/>
              </w:rPr>
              <w:t>本项目采购标的对应的中小企业划分标准所属行业：</w:t>
            </w:r>
            <w:r>
              <w:rPr>
                <w:rFonts w:hint="eastAsia" w:ascii="仿宋" w:hAnsi="仿宋" w:eastAsia="仿宋" w:cs="仿宋"/>
                <w:b/>
                <w:bCs/>
                <w:sz w:val="24"/>
                <w:szCs w:val="24"/>
                <w:highlight w:val="none"/>
                <w:vertAlign w:val="baseline"/>
              </w:rPr>
              <w:t>其他未列明行业</w:t>
            </w:r>
          </w:p>
        </w:tc>
      </w:tr>
      <w:tr w14:paraId="11AFC4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B8F9A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highlight w:val="none"/>
                <w:vertAlign w:val="baseline"/>
                <w:lang w:val="en-US" w:eastAsia="zh-CN"/>
              </w:rPr>
              <w:t>1.5.2</w:t>
            </w:r>
          </w:p>
        </w:tc>
        <w:tc>
          <w:tcPr>
            <w:tcW w:w="6652" w:type="dxa"/>
            <w:tcBorders>
              <w:tl2br w:val="nil"/>
              <w:tr2bl w:val="nil"/>
            </w:tcBorders>
            <w:shd w:val="clear" w:color="auto" w:fill="FFFFFF" w:themeFill="background1"/>
            <w:vAlign w:val="center"/>
          </w:tcPr>
          <w:p w14:paraId="5BD777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□本项目不专门面向中小企业预留采购份额。</w:t>
            </w:r>
          </w:p>
          <w:p w14:paraId="0377F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☑本项目专门面向☑中小□小微企业 采购。即: </w:t>
            </w:r>
            <w:r>
              <w:rPr>
                <w:rFonts w:hint="eastAsia" w:ascii="仿宋" w:hAnsi="仿宋" w:eastAsia="仿宋" w:cs="仿宋"/>
                <w:sz w:val="24"/>
                <w:szCs w:val="24"/>
                <w:highlight w:val="none"/>
                <w:u w:val="single"/>
                <w:vertAlign w:val="baseline"/>
                <w:lang w:val="en-US" w:eastAsia="zh-CN"/>
              </w:rPr>
              <w:t>提供的货物全部由符合政策要求的☑中小/□小微企业制造、服务全部由符合政策要求的☑中小/□小微企业承接。</w:t>
            </w:r>
          </w:p>
          <w:p w14:paraId="6F5831D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635D89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9C09D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1.11</w:t>
            </w:r>
          </w:p>
        </w:tc>
        <w:tc>
          <w:tcPr>
            <w:tcW w:w="6652" w:type="dxa"/>
            <w:tcBorders>
              <w:tl2br w:val="nil"/>
              <w:tr2bl w:val="nil"/>
            </w:tcBorders>
            <w:vAlign w:val="center"/>
          </w:tcPr>
          <w:p w14:paraId="5B6B8E6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是否允许联合体参加</w:t>
            </w:r>
            <w:r>
              <w:rPr>
                <w:rFonts w:hint="eastAsia" w:ascii="仿宋" w:hAnsi="仿宋" w:eastAsia="仿宋" w:cs="仿宋"/>
                <w:sz w:val="24"/>
                <w:szCs w:val="24"/>
                <w:vertAlign w:val="baseline"/>
                <w:lang w:eastAsia="zh-CN"/>
              </w:rPr>
              <w:t>磋商</w:t>
            </w:r>
            <w:r>
              <w:rPr>
                <w:rFonts w:hint="eastAsia" w:ascii="仿宋" w:hAnsi="仿宋" w:eastAsia="仿宋" w:cs="仿宋"/>
                <w:sz w:val="24"/>
                <w:szCs w:val="24"/>
                <w:vertAlign w:val="baseline"/>
              </w:rPr>
              <w:t>：否</w:t>
            </w:r>
          </w:p>
          <w:p w14:paraId="62A135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联合体的其他资格要求：无</w:t>
            </w:r>
          </w:p>
        </w:tc>
      </w:tr>
      <w:tr w14:paraId="1924BD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A1183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6652" w:type="dxa"/>
            <w:tcBorders>
              <w:tl2br w:val="nil"/>
              <w:tr2bl w:val="nil"/>
            </w:tcBorders>
            <w:vAlign w:val="center"/>
          </w:tcPr>
          <w:p w14:paraId="76C463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项目预算金额：163000元</w:t>
            </w:r>
          </w:p>
          <w:p w14:paraId="5FE5747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green"/>
                <w:vertAlign w:val="baseline"/>
                <w:lang w:val="en-US" w:eastAsia="zh-CN"/>
              </w:rPr>
            </w:pPr>
            <w:r>
              <w:rPr>
                <w:rFonts w:hint="eastAsia" w:ascii="仿宋" w:hAnsi="仿宋" w:eastAsia="仿宋" w:cs="仿宋"/>
                <w:sz w:val="24"/>
                <w:szCs w:val="24"/>
                <w:highlight w:val="green"/>
                <w:vertAlign w:val="baseline"/>
                <w:lang w:val="en-US" w:eastAsia="zh-CN"/>
              </w:rPr>
              <w:t>最高限价：</w:t>
            </w:r>
          </w:p>
          <w:p w14:paraId="12CE5A7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green"/>
                <w:vertAlign w:val="baseline"/>
                <w:lang w:val="en-US" w:eastAsia="zh-CN"/>
              </w:rPr>
            </w:pPr>
            <w:r>
              <w:rPr>
                <w:rFonts w:hint="eastAsia" w:ascii="仿宋" w:hAnsi="仿宋" w:eastAsia="仿宋" w:cs="仿宋"/>
                <w:sz w:val="24"/>
                <w:szCs w:val="24"/>
                <w:highlight w:val="green"/>
                <w:vertAlign w:val="baseline"/>
                <w:lang w:val="en-US" w:eastAsia="zh-CN"/>
              </w:rPr>
              <w:t>1.最终以工程中标价为准，按《建设工程监理与相关服务收费管理规定》取费标准下浮20%作为招标控制价。</w:t>
            </w:r>
          </w:p>
          <w:p w14:paraId="2AD755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green"/>
                <w:vertAlign w:val="baseline"/>
                <w:lang w:val="en-US" w:eastAsia="zh-CN"/>
              </w:rPr>
            </w:pPr>
            <w:r>
              <w:rPr>
                <w:rFonts w:hint="eastAsia" w:ascii="仿宋" w:hAnsi="仿宋" w:eastAsia="仿宋" w:cs="仿宋"/>
                <w:sz w:val="24"/>
                <w:szCs w:val="24"/>
                <w:highlight w:val="green"/>
                <w:vertAlign w:val="baseline"/>
                <w:lang w:val="en-US" w:eastAsia="zh-CN"/>
              </w:rPr>
              <w:t>2.供应商下浮率报价应：下浮＞20%；</w:t>
            </w:r>
          </w:p>
          <w:p w14:paraId="4BC215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green"/>
                <w:vertAlign w:val="baseline"/>
                <w:lang w:val="en-US" w:eastAsia="zh-CN"/>
              </w:rPr>
              <w:t>注：供应商的报价不得低于20%，否则将作废标处理。（例如：供应商下浮≥21%为有效报价，下浮＜20%为无效报价）</w:t>
            </w:r>
          </w:p>
        </w:tc>
      </w:tr>
      <w:tr w14:paraId="52427D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CEF66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5.4</w:t>
            </w:r>
          </w:p>
        </w:tc>
        <w:tc>
          <w:tcPr>
            <w:tcW w:w="6652" w:type="dxa"/>
            <w:tcBorders>
              <w:tl2br w:val="nil"/>
              <w:tr2bl w:val="nil"/>
            </w:tcBorders>
            <w:vAlign w:val="center"/>
          </w:tcPr>
          <w:p w14:paraId="24869D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是否组织现场考察或者召开答疑会：否 </w:t>
            </w:r>
          </w:p>
          <w:p w14:paraId="2686F4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组织现场考察或者召开答疑会相关要求：/</w:t>
            </w:r>
          </w:p>
        </w:tc>
      </w:tr>
      <w:tr w14:paraId="458AC7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E4A3E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5.7 </w:t>
            </w:r>
          </w:p>
        </w:tc>
        <w:tc>
          <w:tcPr>
            <w:tcW w:w="6652" w:type="dxa"/>
            <w:tcBorders>
              <w:tl2br w:val="nil"/>
              <w:tr2bl w:val="nil"/>
            </w:tcBorders>
            <w:vAlign w:val="center"/>
          </w:tcPr>
          <w:p w14:paraId="4F7B4B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是否需要提供样品：否 </w:t>
            </w:r>
          </w:p>
          <w:p w14:paraId="624896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提供样品要求包括：（样品的制作标准和要求、接收及退还，样品检测报告，检测机构、检测内容等内容）</w:t>
            </w:r>
          </w:p>
        </w:tc>
      </w:tr>
      <w:tr w14:paraId="66F10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65290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7.1 </w:t>
            </w:r>
          </w:p>
        </w:tc>
        <w:tc>
          <w:tcPr>
            <w:tcW w:w="6652" w:type="dxa"/>
            <w:tcBorders>
              <w:tl2br w:val="nil"/>
              <w:tr2bl w:val="nil"/>
            </w:tcBorders>
            <w:vAlign w:val="center"/>
          </w:tcPr>
          <w:p w14:paraId="24D3C9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如</w:t>
            </w:r>
            <w:r>
              <w:rPr>
                <w:rFonts w:hint="eastAsia" w:ascii="仿宋" w:hAnsi="仿宋" w:eastAsia="仿宋" w:cs="仿宋"/>
                <w:sz w:val="24"/>
                <w:szCs w:val="24"/>
                <w:vertAlign w:val="baseline"/>
                <w:lang w:val="en-US" w:eastAsia="zh-CN"/>
              </w:rPr>
              <w:t>供应商</w:t>
            </w:r>
            <w:r>
              <w:rPr>
                <w:rFonts w:hint="eastAsia" w:ascii="仿宋" w:hAnsi="仿宋" w:eastAsia="仿宋" w:cs="仿宋"/>
                <w:sz w:val="24"/>
                <w:szCs w:val="24"/>
                <w:vertAlign w:val="baseline"/>
              </w:rPr>
              <w:t>对</w:t>
            </w:r>
            <w:r>
              <w:rPr>
                <w:rFonts w:hint="eastAsia" w:ascii="仿宋" w:hAnsi="仿宋" w:eastAsia="仿宋" w:cs="仿宋"/>
                <w:b/>
                <w:bCs/>
                <w:sz w:val="24"/>
                <w:szCs w:val="24"/>
                <w:vertAlign w:val="baseline"/>
              </w:rPr>
              <w:t>多</w:t>
            </w:r>
            <w:r>
              <w:rPr>
                <w:rFonts w:hint="eastAsia" w:ascii="仿宋" w:hAnsi="仿宋" w:eastAsia="仿宋" w:cs="仿宋"/>
                <w:sz w:val="24"/>
                <w:szCs w:val="24"/>
                <w:vertAlign w:val="baseline"/>
              </w:rPr>
              <w:t>个包进行</w:t>
            </w:r>
            <w:r>
              <w:rPr>
                <w:rFonts w:hint="eastAsia" w:ascii="仿宋" w:hAnsi="仿宋" w:eastAsia="仿宋" w:cs="仿宋"/>
                <w:sz w:val="24"/>
                <w:szCs w:val="24"/>
                <w:vertAlign w:val="baseline"/>
                <w:lang w:val="en-US" w:eastAsia="zh-CN"/>
              </w:rPr>
              <w:t>磋商响应</w:t>
            </w:r>
            <w:r>
              <w:rPr>
                <w:rFonts w:hint="eastAsia" w:ascii="仿宋" w:hAnsi="仿宋" w:eastAsia="仿宋" w:cs="仿宋"/>
                <w:sz w:val="24"/>
                <w:szCs w:val="24"/>
                <w:vertAlign w:val="baseline"/>
              </w:rPr>
              <w:t>，可以</w:t>
            </w:r>
            <w:r>
              <w:rPr>
                <w:rFonts w:hint="eastAsia" w:ascii="仿宋" w:hAnsi="仿宋" w:eastAsia="仿宋" w:cs="仿宋"/>
                <w:sz w:val="24"/>
                <w:szCs w:val="24"/>
                <w:vertAlign w:val="baseline"/>
                <w:lang w:val="en-US" w:eastAsia="zh-CN"/>
              </w:rPr>
              <w:t>成交</w:t>
            </w:r>
            <w:r>
              <w:rPr>
                <w:rFonts w:hint="eastAsia" w:ascii="仿宋" w:hAnsi="仿宋" w:eastAsia="仿宋" w:cs="仿宋"/>
                <w:b/>
                <w:bCs/>
                <w:sz w:val="24"/>
                <w:szCs w:val="24"/>
                <w:u w:val="single"/>
                <w:vertAlign w:val="baseline"/>
              </w:rPr>
              <w:t>多</w:t>
            </w:r>
            <w:r>
              <w:rPr>
                <w:rFonts w:hint="eastAsia" w:ascii="仿宋" w:hAnsi="仿宋" w:eastAsia="仿宋" w:cs="仿宋"/>
                <w:sz w:val="24"/>
                <w:szCs w:val="24"/>
                <w:vertAlign w:val="baseline"/>
              </w:rPr>
              <w:t>包</w:t>
            </w:r>
          </w:p>
          <w:p w14:paraId="43BFE38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（本项目不适用）</w:t>
            </w:r>
          </w:p>
        </w:tc>
      </w:tr>
      <w:tr w14:paraId="493DB7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629C50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c>
          <w:tcPr>
            <w:tcW w:w="6652" w:type="dxa"/>
            <w:tcBorders>
              <w:tl2br w:val="nil"/>
              <w:tr2bl w:val="nil"/>
            </w:tcBorders>
            <w:vAlign w:val="center"/>
          </w:tcPr>
          <w:p w14:paraId="15D5FB9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保证金形式：支票、汇票、本票、网上银行支付或者金融机构、担保机构出具的保函等政府采购法律法规中要求的非现金形式</w:t>
            </w:r>
          </w:p>
          <w:p w14:paraId="69ABD85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保证金数额：</w:t>
            </w:r>
            <w:r>
              <w:rPr>
                <w:rFonts w:hint="eastAsia" w:ascii="仿宋" w:hAnsi="仿宋" w:eastAsia="仿宋" w:cs="仿宋"/>
                <w:sz w:val="24"/>
                <w:szCs w:val="24"/>
                <w:highlight w:val="none"/>
                <w:vertAlign w:val="baseline"/>
                <w:lang w:val="en-US" w:eastAsia="zh-CN"/>
              </w:rPr>
              <w:t>3200</w:t>
            </w:r>
            <w:r>
              <w:rPr>
                <w:rFonts w:hint="eastAsia" w:ascii="仿宋" w:hAnsi="仿宋" w:eastAsia="仿宋" w:cs="仿宋"/>
                <w:sz w:val="24"/>
                <w:szCs w:val="24"/>
                <w:highlight w:val="none"/>
                <w:vertAlign w:val="baseline"/>
              </w:rPr>
              <w:t xml:space="preserve">元 </w:t>
            </w:r>
          </w:p>
          <w:p w14:paraId="221685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如采用网上银行方式，采购代理机构账号信息如下：</w:t>
            </w:r>
          </w:p>
          <w:p w14:paraId="1CA3A4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保证金收款人：新疆世纪星工程咨询有限公司</w:t>
            </w:r>
          </w:p>
          <w:p w14:paraId="51AFC7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保证金收款账号：512090100100073085</w:t>
            </w:r>
          </w:p>
          <w:p w14:paraId="5D899CB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保证收款银行及行号: 兴业银行乌鲁木齐分行营业部309881002010</w:t>
            </w:r>
          </w:p>
          <w:p w14:paraId="34172C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投标保证金到账（保函提交）截止时间同投标截止时间。</w:t>
            </w:r>
          </w:p>
          <w:p w14:paraId="37AD4D8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以支票、汇票、本票、网上银行支付等形式提交投标保证金的，应在投标截止时间前到账；</w:t>
            </w:r>
          </w:p>
          <w:p w14:paraId="1606109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AD5151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由于到账时间晚于投标截止时间的，或者票据错误、印鉴不清等原因导致不能到账的，其投标无效。</w:t>
            </w:r>
          </w:p>
          <w:p w14:paraId="6C78341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投标保证金（投标电子保函）有效期与投标有效期一致。</w:t>
            </w:r>
          </w:p>
        </w:tc>
      </w:tr>
      <w:tr w14:paraId="505301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744D3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11.1</w:t>
            </w:r>
          </w:p>
        </w:tc>
        <w:tc>
          <w:tcPr>
            <w:tcW w:w="6652" w:type="dxa"/>
            <w:tcBorders>
              <w:tl2br w:val="nil"/>
              <w:tr2bl w:val="nil"/>
            </w:tcBorders>
            <w:vAlign w:val="center"/>
          </w:tcPr>
          <w:p w14:paraId="155901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vertAlign w:val="baseline"/>
              </w:rPr>
            </w:pPr>
            <w:r>
              <w:rPr>
                <w:rFonts w:hint="eastAsia" w:ascii="仿宋" w:hAnsi="仿宋" w:eastAsia="仿宋" w:cs="仿宋"/>
                <w:b w:val="0"/>
                <w:bCs w:val="0"/>
                <w:sz w:val="24"/>
                <w:szCs w:val="24"/>
                <w:vertAlign w:val="baseline"/>
                <w:lang w:val="en-US" w:eastAsia="zh-CN"/>
              </w:rPr>
              <w:t>响应文件</w:t>
            </w:r>
            <w:r>
              <w:rPr>
                <w:rFonts w:hint="eastAsia" w:ascii="仿宋" w:hAnsi="仿宋" w:eastAsia="仿宋" w:cs="仿宋"/>
                <w:b w:val="0"/>
                <w:bCs w:val="0"/>
                <w:sz w:val="24"/>
                <w:szCs w:val="24"/>
                <w:vertAlign w:val="baseline"/>
              </w:rPr>
              <w:t>有效期：90 日历日</w:t>
            </w:r>
          </w:p>
        </w:tc>
      </w:tr>
      <w:tr w14:paraId="5FAF3C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D4874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13.1</w:t>
            </w:r>
          </w:p>
        </w:tc>
        <w:tc>
          <w:tcPr>
            <w:tcW w:w="6652" w:type="dxa"/>
            <w:tcBorders>
              <w:tl2br w:val="nil"/>
              <w:tr2bl w:val="nil"/>
            </w:tcBorders>
            <w:vAlign w:val="center"/>
          </w:tcPr>
          <w:p w14:paraId="3AA54C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sz w:val="24"/>
                <w:szCs w:val="24"/>
                <w:vertAlign w:val="baseline"/>
                <w:lang w:val="en-US" w:eastAsia="zh-CN"/>
              </w:rPr>
              <w:t>响应截止时</w:t>
            </w:r>
            <w:r>
              <w:rPr>
                <w:rFonts w:hint="eastAsia" w:ascii="仿宋" w:hAnsi="仿宋" w:eastAsia="仿宋" w:cs="仿宋"/>
                <w:sz w:val="24"/>
                <w:szCs w:val="24"/>
                <w:highlight w:val="none"/>
                <w:vertAlign w:val="baseline"/>
                <w:lang w:val="en-US" w:eastAsia="zh-CN"/>
              </w:rPr>
              <w:t>间：</w:t>
            </w:r>
            <w:r>
              <w:rPr>
                <w:rFonts w:hint="eastAsia" w:ascii="仿宋" w:hAnsi="仿宋" w:eastAsia="仿宋" w:cs="仿宋"/>
                <w:b w:val="0"/>
                <w:bCs w:val="0"/>
                <w:sz w:val="24"/>
                <w:szCs w:val="24"/>
                <w:highlight w:val="none"/>
                <w:lang w:val="en-US" w:eastAsia="zh-CN"/>
              </w:rPr>
              <w:t>2025年05月13日11时00分</w:t>
            </w:r>
            <w:r>
              <w:rPr>
                <w:rFonts w:hint="eastAsia" w:ascii="仿宋" w:hAnsi="仿宋" w:eastAsia="仿宋" w:cs="仿宋"/>
                <w:sz w:val="24"/>
                <w:szCs w:val="24"/>
                <w:highlight w:val="none"/>
                <w:vertAlign w:val="baseline"/>
              </w:rPr>
              <w:t>（北京时间）</w:t>
            </w:r>
          </w:p>
        </w:tc>
      </w:tr>
      <w:tr w14:paraId="04368B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8E10B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14.1</w:t>
            </w:r>
          </w:p>
        </w:tc>
        <w:tc>
          <w:tcPr>
            <w:tcW w:w="6652" w:type="dxa"/>
            <w:tcBorders>
              <w:tl2br w:val="nil"/>
              <w:tr2bl w:val="nil"/>
            </w:tcBorders>
            <w:vAlign w:val="center"/>
          </w:tcPr>
          <w:p w14:paraId="177199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开标时间：同响应截止时间 </w:t>
            </w:r>
          </w:p>
          <w:p w14:paraId="325B91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开标地点：政采云平台（https://www.zcygov.cn/）不见面开标系统</w:t>
            </w:r>
          </w:p>
        </w:tc>
      </w:tr>
      <w:tr w14:paraId="5D7E23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4" w:space="0"/>
              <w:tl2br w:val="nil"/>
              <w:tr2bl w:val="nil"/>
            </w:tcBorders>
            <w:vAlign w:val="center"/>
          </w:tcPr>
          <w:p w14:paraId="0BDC5E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18.1</w:t>
            </w:r>
          </w:p>
        </w:tc>
        <w:tc>
          <w:tcPr>
            <w:tcW w:w="6652" w:type="dxa"/>
            <w:tcBorders>
              <w:bottom w:val="single" w:color="auto" w:sz="4" w:space="0"/>
              <w:tl2br w:val="nil"/>
              <w:tr2bl w:val="nil"/>
            </w:tcBorders>
            <w:vAlign w:val="center"/>
          </w:tcPr>
          <w:p w14:paraId="3BF205F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采购人是否委托磋商小组直接确定成交人：否 </w:t>
            </w:r>
          </w:p>
        </w:tc>
      </w:tr>
      <w:tr w14:paraId="17C7E6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4" w:space="0"/>
              <w:tl2br w:val="nil"/>
              <w:tr2bl w:val="nil"/>
            </w:tcBorders>
            <w:vAlign w:val="center"/>
          </w:tcPr>
          <w:p w14:paraId="4C159A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21.5</w:t>
            </w:r>
          </w:p>
        </w:tc>
        <w:tc>
          <w:tcPr>
            <w:tcW w:w="6652" w:type="dxa"/>
            <w:tcBorders>
              <w:top w:val="single" w:color="auto" w:sz="4" w:space="0"/>
              <w:tl2br w:val="nil"/>
              <w:tr2bl w:val="nil"/>
            </w:tcBorders>
            <w:vAlign w:val="center"/>
          </w:tcPr>
          <w:p w14:paraId="75CD17B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项目是否允许分包：</w:t>
            </w:r>
          </w:p>
          <w:p w14:paraId="15EA8A7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☑不允许</w:t>
            </w:r>
          </w:p>
          <w:p w14:paraId="22600C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□允许，具体要求：</w:t>
            </w:r>
          </w:p>
          <w:p w14:paraId="15017D4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（1）可以分包履行的具体内容：</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620037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（2）允许分包的金额或者比例：</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0D830B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（3）其他要求：</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tc>
      </w:tr>
      <w:tr w14:paraId="75CBB3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F6752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6652" w:type="dxa"/>
            <w:tcBorders>
              <w:tl2br w:val="nil"/>
              <w:tr2bl w:val="nil"/>
            </w:tcBorders>
            <w:vAlign w:val="center"/>
          </w:tcPr>
          <w:p w14:paraId="54AE6D6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提交履约保证金的时间：/ </w:t>
            </w:r>
          </w:p>
          <w:p w14:paraId="4405576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履约保证金金额：/ </w:t>
            </w:r>
          </w:p>
          <w:p w14:paraId="68E935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履约保证金形式：/</w:t>
            </w:r>
          </w:p>
        </w:tc>
      </w:tr>
      <w:tr w14:paraId="1F4EE2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4" w:space="0"/>
              <w:tl2br w:val="nil"/>
              <w:tr2bl w:val="nil"/>
            </w:tcBorders>
            <w:vAlign w:val="center"/>
          </w:tcPr>
          <w:p w14:paraId="17633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23.1</w:t>
            </w:r>
          </w:p>
        </w:tc>
        <w:tc>
          <w:tcPr>
            <w:tcW w:w="6652" w:type="dxa"/>
            <w:tcBorders>
              <w:bottom w:val="single" w:color="auto" w:sz="4" w:space="0"/>
              <w:tl2br w:val="nil"/>
              <w:tr2bl w:val="nil"/>
            </w:tcBorders>
            <w:vAlign w:val="center"/>
          </w:tcPr>
          <w:p w14:paraId="7522A7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是否由成交人缴纳招标代理费：是 </w:t>
            </w:r>
          </w:p>
          <w:p w14:paraId="43B7FFA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招标代理费：参照原国家计委</w:t>
            </w:r>
            <w:r>
              <w:rPr>
                <w:rFonts w:hint="eastAsia" w:ascii="仿宋" w:hAnsi="仿宋" w:eastAsia="仿宋" w:cs="仿宋"/>
                <w:sz w:val="24"/>
              </w:rPr>
              <w:t>计价格[2002]1980号文件计算的招标代理服务收费标准</w:t>
            </w:r>
            <w:r>
              <w:rPr>
                <w:rFonts w:hint="eastAsia" w:ascii="仿宋" w:hAnsi="仿宋" w:eastAsia="仿宋" w:cs="仿宋"/>
                <w:sz w:val="24"/>
                <w:lang w:val="en-US" w:eastAsia="zh-CN"/>
              </w:rPr>
              <w:t>下浮40%收取</w:t>
            </w:r>
            <w:r>
              <w:rPr>
                <w:rFonts w:hint="eastAsia" w:ascii="仿宋" w:hAnsi="仿宋" w:eastAsia="仿宋" w:cs="仿宋"/>
                <w:sz w:val="24"/>
              </w:rPr>
              <w:t>，代理服务费由</w:t>
            </w:r>
            <w:r>
              <w:rPr>
                <w:rFonts w:hint="eastAsia" w:ascii="仿宋" w:hAnsi="仿宋" w:eastAsia="仿宋" w:cs="仿宋"/>
                <w:sz w:val="24"/>
                <w:lang w:val="en-US" w:eastAsia="zh-CN"/>
              </w:rPr>
              <w:t>成交供应商</w:t>
            </w:r>
            <w:r>
              <w:rPr>
                <w:rFonts w:hint="eastAsia" w:ascii="仿宋" w:hAnsi="仿宋" w:eastAsia="仿宋" w:cs="仿宋"/>
                <w:sz w:val="24"/>
              </w:rPr>
              <w:t>支付。</w:t>
            </w:r>
            <w:r>
              <w:rPr>
                <w:rFonts w:hint="eastAsia" w:ascii="仿宋" w:hAnsi="仿宋" w:eastAsia="仿宋" w:cs="仿宋"/>
                <w:b w:val="0"/>
                <w:bCs w:val="0"/>
                <w:sz w:val="24"/>
                <w:szCs w:val="24"/>
                <w:highlight w:val="none"/>
                <w:vertAlign w:val="baseline"/>
                <w:lang w:val="en-US" w:eastAsia="zh-CN"/>
              </w:rPr>
              <w:t xml:space="preserve">  </w:t>
            </w:r>
          </w:p>
          <w:p w14:paraId="4007D9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支付形式：支票、电汇等形式 </w:t>
            </w:r>
          </w:p>
          <w:p w14:paraId="01DC178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支付时间：领取成交通知书的同时</w:t>
            </w:r>
          </w:p>
        </w:tc>
      </w:tr>
      <w:tr w14:paraId="48EDB6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4" w:space="0"/>
              <w:tl2br w:val="nil"/>
              <w:tr2bl w:val="nil"/>
            </w:tcBorders>
            <w:vAlign w:val="center"/>
          </w:tcPr>
          <w:p w14:paraId="3E184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24</w:t>
            </w:r>
          </w:p>
        </w:tc>
        <w:tc>
          <w:tcPr>
            <w:tcW w:w="6652" w:type="dxa"/>
            <w:tcBorders>
              <w:top w:val="single" w:color="auto" w:sz="4" w:space="0"/>
              <w:tl2br w:val="nil"/>
              <w:tr2bl w:val="nil"/>
            </w:tcBorders>
            <w:vAlign w:val="center"/>
          </w:tcPr>
          <w:p w14:paraId="2C359C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接收询问和质疑的联系方式：</w:t>
            </w:r>
          </w:p>
          <w:p w14:paraId="33038C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1、询问</w:t>
            </w:r>
          </w:p>
          <w:p w14:paraId="68197C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联系部门、联系电话、通讯地址：见第一章《采购公告》中的采购代理机构信息和项目联系方式。</w:t>
            </w:r>
          </w:p>
          <w:p w14:paraId="2B4056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2、质疑</w:t>
            </w:r>
          </w:p>
          <w:p w14:paraId="2CDD786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联系部门：新疆世纪星工程咨询有限公司招标部</w:t>
            </w:r>
          </w:p>
          <w:p w14:paraId="25B28E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联系人、联系电话：0991-3678303</w:t>
            </w:r>
          </w:p>
          <w:p w14:paraId="4F01A9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通讯地址：乌鲁木齐经济技术开发区二期黄山街一品九点阳光德港大厦B座20楼</w:t>
            </w:r>
          </w:p>
          <w:p w14:paraId="64A849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其他要求：质疑书、授权委托书及报名成功截图PDF扫描件发送至代理机构邮箱，以上资料原件邮寄或送至代理机构。</w:t>
            </w:r>
          </w:p>
        </w:tc>
      </w:tr>
      <w:tr w14:paraId="1CB3C2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AA445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适用于本供应商须知的额外增加的变动：</w:t>
            </w:r>
          </w:p>
        </w:tc>
      </w:tr>
      <w:tr w14:paraId="7A10DD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0808DE7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p>
        </w:tc>
        <w:tc>
          <w:tcPr>
            <w:tcW w:w="6652" w:type="dxa"/>
            <w:tcBorders>
              <w:top w:val="single" w:color="auto" w:sz="4" w:space="0"/>
              <w:bottom w:val="single" w:color="auto" w:sz="4" w:space="0"/>
              <w:tl2br w:val="nil"/>
              <w:tr2bl w:val="nil"/>
            </w:tcBorders>
            <w:vAlign w:val="center"/>
          </w:tcPr>
          <w:p w14:paraId="607226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核心产品：/</w:t>
            </w:r>
          </w:p>
        </w:tc>
      </w:tr>
      <w:tr w14:paraId="6982E2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18FA056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p>
        </w:tc>
        <w:tc>
          <w:tcPr>
            <w:tcW w:w="6652" w:type="dxa"/>
            <w:tcBorders>
              <w:top w:val="single" w:color="auto" w:sz="4" w:space="0"/>
              <w:bottom w:val="single" w:color="auto" w:sz="4" w:space="0"/>
              <w:tl2br w:val="nil"/>
              <w:tr2bl w:val="nil"/>
            </w:tcBorders>
            <w:vAlign w:val="center"/>
          </w:tcPr>
          <w:p w14:paraId="2990CCF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评标方法：综合评分法</w:t>
            </w:r>
          </w:p>
        </w:tc>
      </w:tr>
      <w:tr w14:paraId="76ADFE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5C550E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p>
        </w:tc>
        <w:tc>
          <w:tcPr>
            <w:tcW w:w="6652" w:type="dxa"/>
            <w:tcBorders>
              <w:top w:val="single" w:color="auto" w:sz="4" w:space="0"/>
              <w:tl2br w:val="nil"/>
              <w:tr2bl w:val="nil"/>
            </w:tcBorders>
            <w:vAlign w:val="center"/>
          </w:tcPr>
          <w:p w14:paraId="10CD547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项目属性：服务</w:t>
            </w:r>
          </w:p>
        </w:tc>
      </w:tr>
      <w:tr w14:paraId="126AC1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0E4B41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适用于本供应商须知的额外增加的变动：</w:t>
            </w:r>
          </w:p>
          <w:p w14:paraId="01A1CC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1、关于本项目所有公告、公示在新疆政府采购网发布。</w:t>
            </w:r>
          </w:p>
          <w:p w14:paraId="537051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2、请参加磋商供应商随时关注本项目的澄清、答疑、变更事项。</w:t>
            </w:r>
          </w:p>
          <w:p w14:paraId="0DB6CE3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3、本项目实行电子招投标，供应商须登录政采云平台申请获取招标文件，并通过政采云电子投标客户端制作响应文件，同时自行承担与投标有关的一切费用。</w:t>
            </w:r>
          </w:p>
          <w:p w14:paraId="6CAC198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FD1D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856041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9FCC2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9381A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7、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p w14:paraId="2649F900">
            <w:pPr>
              <w:spacing w:line="440" w:lineRule="exact"/>
              <w:rPr>
                <w:rFonts w:hint="default" w:ascii="仿宋" w:hAnsi="仿宋" w:eastAsia="仿宋" w:cs="仿宋"/>
                <w:b/>
                <w:bCs/>
                <w:highlight w:val="none"/>
                <w:lang w:val="en-US" w:eastAsia="zh-CN"/>
              </w:rPr>
            </w:pPr>
            <w:r>
              <w:rPr>
                <w:rFonts w:hint="eastAsia" w:ascii="仿宋" w:hAnsi="仿宋" w:eastAsia="仿宋" w:cs="仿宋"/>
                <w:b w:val="0"/>
                <w:bCs w:val="0"/>
                <w:highlight w:val="none"/>
                <w:lang w:val="en-US" w:eastAsia="zh-CN"/>
              </w:rPr>
              <w:t>8、</w:t>
            </w:r>
            <w:r>
              <w:rPr>
                <w:rFonts w:hint="eastAsia" w:ascii="仿宋" w:hAnsi="仿宋" w:eastAsia="仿宋" w:cs="仿宋"/>
                <w:sz w:val="24"/>
                <w:highlight w:val="none"/>
              </w:rPr>
              <w:t>报价构成：包含完成本项目采购需求，并达到验收合格所需要的全部费用，包括但不限于各项服务以及其他有关费用等。</w:t>
            </w:r>
          </w:p>
        </w:tc>
      </w:tr>
    </w:tbl>
    <w:p w14:paraId="71ADD237">
      <w:pPr>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br w:type="page"/>
      </w:r>
    </w:p>
    <w:p w14:paraId="7F1C8172">
      <w:pPr>
        <w:pStyle w:val="2"/>
        <w:numPr>
          <w:ilvl w:val="0"/>
          <w:numId w:val="4"/>
        </w:numPr>
        <w:bidi w:val="0"/>
        <w:jc w:val="center"/>
        <w:rPr>
          <w:rFonts w:hint="eastAsia" w:ascii="仿宋" w:hAnsi="仿宋" w:eastAsia="仿宋" w:cs="仿宋"/>
          <w:sz w:val="32"/>
          <w:szCs w:val="32"/>
          <w:lang w:val="en-US" w:eastAsia="zh-CN"/>
        </w:rPr>
      </w:pPr>
      <w:bookmarkStart w:id="10" w:name="_Toc4905"/>
      <w:r>
        <w:rPr>
          <w:rFonts w:hint="eastAsia" w:ascii="仿宋" w:hAnsi="仿宋" w:eastAsia="仿宋" w:cs="仿宋"/>
          <w:sz w:val="32"/>
          <w:szCs w:val="32"/>
          <w:lang w:val="en-US" w:eastAsia="zh-CN"/>
        </w:rPr>
        <w:t>供应商须知</w:t>
      </w:r>
      <w:bookmarkEnd w:id="10"/>
    </w:p>
    <w:p w14:paraId="68CB9CC3">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sz w:val="24"/>
          <w:szCs w:val="24"/>
        </w:rPr>
      </w:pPr>
      <w:bookmarkStart w:id="11" w:name="_Toc11730"/>
      <w:r>
        <w:rPr>
          <w:rFonts w:hint="eastAsia" w:ascii="仿宋" w:hAnsi="仿宋" w:eastAsia="仿宋" w:cs="仿宋"/>
          <w:b/>
          <w:bCs/>
          <w:sz w:val="24"/>
          <w:szCs w:val="24"/>
        </w:rPr>
        <w:t>说 明</w:t>
      </w:r>
      <w:bookmarkEnd w:id="11"/>
    </w:p>
    <w:p w14:paraId="29336CE1">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采购人、采购代理机构及供应商</w:t>
      </w:r>
    </w:p>
    <w:p w14:paraId="2292D31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采购人：是指依法进行政府采购的国家机构、事业单位、团体组织。</w:t>
      </w:r>
    </w:p>
    <w:p w14:paraId="5DE2066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采购代理机构：本次招标的采购代理机构为新疆世纪星工程咨询有限公司。</w:t>
      </w:r>
    </w:p>
    <w:p w14:paraId="0AA38BA4">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供应商：是指向采购人提供货物、工程或者服务的法人、其他组织或者自然人。</w:t>
      </w:r>
    </w:p>
    <w:p w14:paraId="733D9A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供应商须满足以下条件：</w:t>
      </w:r>
    </w:p>
    <w:p w14:paraId="70650893">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具备《中华人民共和国政府采购法》第二十二条关于供应商条件的规定，遵守国家、本项目采购人本级和上级财政部门政府采购的有关规定。</w:t>
      </w:r>
    </w:p>
    <w:p w14:paraId="64D6797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以采购文件规定的方式获得了本项目的采购文件。</w:t>
      </w:r>
    </w:p>
    <w:p w14:paraId="3FEE7AE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符合</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中规定的其他资格要求。</w:t>
      </w:r>
    </w:p>
    <w:p w14:paraId="39FAE66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中未写明允许采购进口产品，如供应商所投产品为进口产品，其响应文件将作为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 xml:space="preserve">被拒绝。 </w:t>
      </w:r>
    </w:p>
    <w:p w14:paraId="6CE7DCF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中小企业、监狱企业及残疾人福利性单位。</w:t>
      </w:r>
    </w:p>
    <w:p w14:paraId="306535C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采购标的对应的中小企业划分标准所属行业见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w:t>
      </w:r>
    </w:p>
    <w:p w14:paraId="64C0336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若</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。本项目是否面向中小企业采购预留份额、措施及比例见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，未达到上述比例的响应文件将被认定为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。承接企业如为监狱企业或残疾人福利性单位的，视同为小型、微型企业。</w:t>
      </w:r>
    </w:p>
    <w:p w14:paraId="4886843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A3E8DA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 供应商提供的货物、工程或者服务符合下列情形的，享受中小企业扶持政策：</w:t>
      </w:r>
    </w:p>
    <w:p w14:paraId="4632A94D">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在货物采购项目中，货物由中小企业制造，即货物由中小企业生产且使用该中小企业商号或者注册商标；</w:t>
      </w:r>
    </w:p>
    <w:p w14:paraId="78182BB9">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在工程采购项目中，工程由中小企业承建，即工程施工单位为中小企业；</w:t>
      </w:r>
    </w:p>
    <w:p w14:paraId="0AE11B3D">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2575792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在货物采购项目中，供应商提供的货物既有中小企业制造货物，也有大型企业制造货物的，不享受中小企业扶持政策。 </w:t>
      </w:r>
    </w:p>
    <w:p w14:paraId="35B7A7B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以联合体形式参加政府采购活动，联合体各方均为中小企业的，联合体视同中小企业。其中，联合体各方均为小微企业的，联合体视同小微企业。</w:t>
      </w:r>
    </w:p>
    <w:p w14:paraId="587C6F9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26AA200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43E8E1AE">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安置的残疾人占本单位在职职工人数的比例不低于25%（含25%），并且安置的残疾人人数不少于10人（含10人）； </w:t>
      </w:r>
    </w:p>
    <w:p w14:paraId="61E5F176">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依法与安置的每位残疾人签订了一年以上（含一年）的劳动合同或服务协议；</w:t>
      </w:r>
    </w:p>
    <w:p w14:paraId="488210A9">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为安置的每位残疾人按月足额缴纳了基本养老保险、基本医疗保险、失业保险、工伤保险和生育保险等社会保险费；</w:t>
      </w:r>
    </w:p>
    <w:p w14:paraId="30D3D836">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通过银行等金融机构向安置的每位残疾人，按月支付了不低于单位所在区县适用的经省级人民政府批准的月最低工资标准的工资；</w:t>
      </w:r>
    </w:p>
    <w:p w14:paraId="3E9DD5C7">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提供本单位制造的货物、承担的工程或者服务，或者提供其他残疾人福利性单位制造的货物（不包括使用非残疾人福利性单位注册商标的货物）。</w:t>
      </w:r>
    </w:p>
    <w:p w14:paraId="5276864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6F7C04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享受中小企业扶持政策获得政府采购合同的，小微企业不得将合同分包给大中型企业，中型企业不得将合同分包给大型企业。</w:t>
      </w:r>
    </w:p>
    <w:p w14:paraId="62E3D6E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政府采购节能产品、环境标志产品</w:t>
      </w:r>
    </w:p>
    <w:p w14:paraId="2D02B0F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42E3FC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31293B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w:t>
      </w:r>
    </w:p>
    <w:p w14:paraId="66A6BF8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7663AE7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支持乡村产业振兴管理</w:t>
      </w:r>
    </w:p>
    <w:p w14:paraId="563E5A0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43C5D16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 正版软件</w:t>
      </w:r>
    </w:p>
    <w:p w14:paraId="52CBAFB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09F07DB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4319EC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供应商信用记录</w:t>
      </w:r>
    </w:p>
    <w:p w14:paraId="711FF50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00AC87F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采购需求标准</w:t>
      </w:r>
    </w:p>
    <w:p w14:paraId="43552BF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lang w:val="en-US" w:eastAsia="zh-CN"/>
        </w:rPr>
      </w:pPr>
      <w:r>
        <w:rPr>
          <w:rFonts w:hint="eastAsia" w:ascii="仿宋" w:hAnsi="仿宋" w:eastAsia="仿宋" w:cs="仿宋"/>
          <w:b w:val="0"/>
          <w:bCs w:val="0"/>
          <w:sz w:val="24"/>
          <w:szCs w:val="24"/>
          <w:lang w:val="en-US" w:eastAsia="zh-CN"/>
        </w:rPr>
        <w:t>商品包装、快递包装政府采购需求标准（试行）</w:t>
      </w:r>
    </w:p>
    <w:p w14:paraId="6F3EE54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55D024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绿色数据中心政府采购需求标准（试行）</w:t>
      </w:r>
    </w:p>
    <w:p w14:paraId="185202E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28ADC9A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其他采购需求标准</w:t>
      </w:r>
    </w:p>
    <w:p w14:paraId="24ADE4E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31E5BA8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中允许联合体投标，对联合体规定如下：</w:t>
      </w:r>
    </w:p>
    <w:p w14:paraId="688DFE3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两个以上供应商可以组成一个联合体，以一个供应商的身份参加采购活动。</w:t>
      </w:r>
    </w:p>
    <w:p w14:paraId="7C39A25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联合体各方均应符合《中华人民共和国政府采购法》第二十二条规定的条件，遵守国家、本项目采购人本级和上级财政部门政府采购的有关规定。</w:t>
      </w:r>
    </w:p>
    <w:p w14:paraId="6E0887D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采购人根据采购项目对供应商的特殊要求，联合体中至少应当有一方符合相关规定。</w:t>
      </w:r>
    </w:p>
    <w:p w14:paraId="4D6C8ED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联合体各方应签订联合体协议，明确约定联合体各方承担的工作和相应的责任，并将联合体连同响应文件一并提交采购人或采购代理机构。</w:t>
      </w:r>
    </w:p>
    <w:p w14:paraId="0763067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645854E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联合体中有同类资质的供应商按照联合体分工承担相同工作的，按照资质等级较低的供应商确定资质等级。</w:t>
      </w:r>
    </w:p>
    <w:p w14:paraId="0655A93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对联合体投标的其他资格要求见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w:t>
      </w:r>
    </w:p>
    <w:p w14:paraId="288DA47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单位负责人为同一人或者存在直接控股、管理关系的不同供应商，其响应文件将被认定为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 xml:space="preserve">。 </w:t>
      </w:r>
    </w:p>
    <w:p w14:paraId="5499C15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w:t>
      </w:r>
    </w:p>
    <w:p w14:paraId="5F80F8AC">
      <w:pPr>
        <w:keepNext w:val="0"/>
        <w:keepLines w:val="0"/>
        <w:pageBreakBefore w:val="0"/>
        <w:widowControl w:val="0"/>
        <w:numPr>
          <w:ilvl w:val="0"/>
          <w:numId w:val="1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资金来源 </w:t>
      </w:r>
    </w:p>
    <w:p w14:paraId="1411A1A1">
      <w:pPr>
        <w:keepNext w:val="0"/>
        <w:keepLines w:val="0"/>
        <w:pageBreakBefore w:val="0"/>
        <w:widowControl w:val="0"/>
        <w:numPr>
          <w:ilvl w:val="1"/>
          <w:numId w:val="10"/>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本项目的采购人已获得足以支付本次采购活动后所签订的合同项下的资金（包括财政性资金和本项目采购中无法与财政性资金分割的非财政性资金）。 </w:t>
      </w:r>
    </w:p>
    <w:p w14:paraId="2435F2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项目预算金额和最高限价见</w:t>
      </w:r>
      <w:r>
        <w:rPr>
          <w:rFonts w:hint="eastAsia" w:ascii="仿宋" w:hAnsi="仿宋" w:eastAsia="仿宋" w:cs="仿宋"/>
          <w:sz w:val="24"/>
          <w:szCs w:val="24"/>
          <w:u w:val="single"/>
          <w:lang w:val="en-US" w:eastAsia="zh-CN"/>
        </w:rPr>
        <w:t>供应商须知前附表</w:t>
      </w:r>
      <w:r>
        <w:rPr>
          <w:rFonts w:hint="eastAsia" w:ascii="仿宋" w:hAnsi="仿宋" w:eastAsia="仿宋" w:cs="仿宋"/>
          <w:sz w:val="24"/>
          <w:szCs w:val="24"/>
          <w:lang w:val="en-US" w:eastAsia="zh-CN"/>
        </w:rPr>
        <w:t>。</w:t>
      </w:r>
    </w:p>
    <w:p w14:paraId="5BCBA01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供应商最后报价超过采购文件规定的预算金额或者最高限价的，其响应文件将被认定为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sz w:val="24"/>
          <w:szCs w:val="24"/>
          <w:lang w:val="en-US" w:eastAsia="zh-CN"/>
        </w:rPr>
        <w:t>。</w:t>
      </w:r>
    </w:p>
    <w:p w14:paraId="623E1761">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费用</w:t>
      </w:r>
    </w:p>
    <w:p w14:paraId="188329C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供应商应自行承担所有与准备和参加采购活动有关的费用，无论结果如何，采购人或采购代理机构在任何情况下均无承担这些费用的义务和责任。</w:t>
      </w:r>
    </w:p>
    <w:p w14:paraId="383C75D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适用法律</w:t>
      </w:r>
    </w:p>
    <w:p w14:paraId="27C8FA0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88D92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sz w:val="24"/>
          <w:szCs w:val="24"/>
          <w:lang w:val="en-US" w:eastAsia="zh-CN"/>
        </w:rPr>
      </w:pPr>
    </w:p>
    <w:p w14:paraId="3BEE4DCD">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2" w:name="_Toc3286"/>
      <w:r>
        <w:rPr>
          <w:rFonts w:hint="eastAsia" w:ascii="仿宋" w:hAnsi="仿宋" w:eastAsia="仿宋" w:cs="仿宋"/>
          <w:b/>
          <w:bCs/>
          <w:sz w:val="24"/>
          <w:szCs w:val="24"/>
          <w:lang w:val="en-US" w:eastAsia="zh-CN"/>
        </w:rPr>
        <w:t>采购文件</w:t>
      </w:r>
      <w:bookmarkEnd w:id="12"/>
    </w:p>
    <w:p w14:paraId="592DB61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采购文件构成</w:t>
      </w:r>
    </w:p>
    <w:p w14:paraId="42C0B5F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采购文件包括以下部分：</w:t>
      </w:r>
    </w:p>
    <w:p w14:paraId="5EE003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第一章 竞争性磋商公告 </w:t>
      </w:r>
    </w:p>
    <w:p w14:paraId="4E12D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第二章 供应商须知前附表 </w:t>
      </w:r>
    </w:p>
    <w:p w14:paraId="0FDF7D3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第三章 供应商须知</w:t>
      </w:r>
    </w:p>
    <w:p w14:paraId="1248C2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第四章 政府采购合同 </w:t>
      </w:r>
    </w:p>
    <w:p w14:paraId="477DAAC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第五章 采购需求 </w:t>
      </w:r>
    </w:p>
    <w:p w14:paraId="1B2ECF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第六章 评标程序、评标方法和评标标准</w:t>
      </w:r>
    </w:p>
    <w:p w14:paraId="797B9C1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第七章 响应文件格式   </w:t>
      </w:r>
    </w:p>
    <w:p w14:paraId="6223D5D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lang w:val="en-US" w:eastAsia="zh-CN"/>
        </w:rPr>
        <w:t>响应无效。</w:t>
      </w:r>
    </w:p>
    <w:p w14:paraId="77D04F8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采购文件中有不一致的，有澄清的部分以最终的澄清更正内容为准；未澄清的，以供应商须知前附表为准；供应商须知前附表不涉及的内容，以编排在后的最后描述为准。</w:t>
      </w:r>
    </w:p>
    <w:p w14:paraId="2355C01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现场考察或者答疑会及相关事项见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w:t>
      </w:r>
    </w:p>
    <w:p w14:paraId="3055316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采购人在踏勘现场中介绍的资料和数据等，只是为了使供应商能够利用采购人现有的资料。采购人对供应商由此而作出的推论、解释和结论概不负责。</w:t>
      </w:r>
    </w:p>
    <w:p w14:paraId="6463BAB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供应商自行承担踏勘现场发生的责任、风险和自身费用。</w:t>
      </w:r>
    </w:p>
    <w:p w14:paraId="371588D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，对样品的评审方法及评审标准见采购文件第六章《评标程序、评标方法和评标标准》。</w:t>
      </w:r>
    </w:p>
    <w:p w14:paraId="3F30F4F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采购文件规定供应商提交样品的，样品属于响应文件的组成部分。样品的生产、运输、安装、保全等一切费用由供应商自理。</w:t>
      </w:r>
    </w:p>
    <w:p w14:paraId="06E7073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1A486773">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对采购文件的澄清或修改</w:t>
      </w:r>
    </w:p>
    <w:p w14:paraId="34EECCB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165384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01D44EB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6D9793D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5ED8FE1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如更正公告有重新发布电子采购文件的，供应商应登录电子招投标平台下载最新发布的电子采购文件制作响应文件。</w:t>
      </w:r>
    </w:p>
    <w:p w14:paraId="7E107A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438836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580152F6">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3" w:name="_Toc22592"/>
      <w:r>
        <w:rPr>
          <w:rFonts w:hint="eastAsia" w:ascii="仿宋" w:hAnsi="仿宋" w:eastAsia="仿宋" w:cs="仿宋"/>
          <w:b/>
          <w:bCs/>
          <w:sz w:val="24"/>
          <w:szCs w:val="24"/>
          <w:lang w:val="en-US" w:eastAsia="zh-CN"/>
        </w:rPr>
        <w:t>响应文件的编制</w:t>
      </w:r>
      <w:bookmarkEnd w:id="13"/>
    </w:p>
    <w:p w14:paraId="526E6B2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响应范围、响应文件中计量单位的使用及磋商语言</w:t>
      </w:r>
    </w:p>
    <w:p w14:paraId="40B28E4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供应商可对采购文件中一个或几个分包进行响应，除非在</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 xml:space="preserve">中另有规定。 </w:t>
      </w:r>
    </w:p>
    <w:p w14:paraId="0BF602C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供应商应当对所投采购包对应第五章《采购需求》所列的全部内容进行响应，如仅响应采购包中的部分内容，其该包响应文件将被认定为</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w:t>
      </w:r>
    </w:p>
    <w:p w14:paraId="59A755D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无论采购文件中是否要求，供应商所投货物或服务或工程均应符合国家强制性标准。</w:t>
      </w:r>
    </w:p>
    <w:p w14:paraId="1B458BE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除采购文件有特殊要求外，本项目磋商所使用的计量单位，应采用中华人民共和国法定计量单位。</w:t>
      </w:r>
    </w:p>
    <w:p w14:paraId="63D4417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111F96F4">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响应文件构成</w:t>
      </w:r>
    </w:p>
    <w:p w14:paraId="46E42BF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供应商应当按照采购文件的要求编制响应文件。响应文件应由资格证明文件、报价文件、商务和技术文件四部分构成。响应文件的部分格式要求，见第七章《响应文件格式》。</w:t>
      </w:r>
    </w:p>
    <w:p w14:paraId="7AFE458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第五章《采购需求》及第六章《评标程序、评标方法和评标标准》中涉及的证明文件。</w:t>
      </w:r>
    </w:p>
    <w:p w14:paraId="71C4230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614C738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供应商认为应附的其他材料。</w:t>
      </w:r>
    </w:p>
    <w:p w14:paraId="5344DAB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51FE074">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响应报价</w:t>
      </w:r>
    </w:p>
    <w:p w14:paraId="1590A48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所有响应均以人民币报价。</w:t>
      </w:r>
    </w:p>
    <w:p w14:paraId="2518B71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lang w:val="en-US" w:eastAsia="zh-CN"/>
        </w:rPr>
        <w:t>响应文件被拒绝</w:t>
      </w:r>
      <w:r>
        <w:rPr>
          <w:rFonts w:hint="eastAsia" w:ascii="仿宋" w:hAnsi="仿宋" w:eastAsia="仿宋" w:cs="仿宋"/>
          <w:b w:val="0"/>
          <w:bCs w:val="0"/>
          <w:sz w:val="24"/>
          <w:szCs w:val="24"/>
          <w:lang w:val="en-US" w:eastAsia="zh-CN"/>
        </w:rPr>
        <w:t>。</w:t>
      </w:r>
    </w:p>
    <w:p w14:paraId="7C5AF17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供应商所报的价格在合同履行过程中是固定不变的，不得以任何理由予以变更。任何包含价格调整要求的响应，将被认定为其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w:t>
      </w:r>
    </w:p>
    <w:p w14:paraId="0D9C23E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供应商应按照““第五章采购需求”的需求内容、责任范围以及第四章政府采购合同”进行报价。并按“报价一览表”规定的格式报出总价格。</w:t>
      </w:r>
    </w:p>
    <w:p w14:paraId="79A931C5">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磋商保证金</w:t>
      </w:r>
    </w:p>
    <w:p w14:paraId="3311E3F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供应商应按</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中规定的金额及要求交纳保证金，并作为其响应文件的一部分。</w:t>
      </w:r>
    </w:p>
    <w:p w14:paraId="6142546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交纳保证金的形式除</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中另有约定外，可采用的形式：政府采购法律法规接受的支票、汇票、本票、网上银行支付或者金融机构、担保机构出具的保函等非现金形式。</w:t>
      </w:r>
    </w:p>
    <w:p w14:paraId="378B32B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w:t>
      </w:r>
    </w:p>
    <w:p w14:paraId="6BA7AFC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。电子保函与纸质保函具有同样效力。</w:t>
      </w:r>
    </w:p>
    <w:p w14:paraId="56DADCD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保证金（保函）有效期同响应文件有效期。</w:t>
      </w:r>
    </w:p>
    <w:p w14:paraId="33EF0EB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联合体磋商的，可以由联合体中的一方或者共同提交保证金，以一方名义提交磋商保证金（保函）的，对联合体各方均具有约束力。</w:t>
      </w:r>
    </w:p>
    <w:p w14:paraId="106FCAC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258A9A8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供应商在响应截止时间前撤回已提交的响应文件的，自收到供应商书面撤回通知之日起 5 个工作日内退还已收取的磋商保证金。 </w:t>
      </w:r>
    </w:p>
    <w:p w14:paraId="4C21F48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成交人的磋商保证金，自采购合同签订之日起 5 个工作日内退还中标人。 </w:t>
      </w:r>
    </w:p>
    <w:p w14:paraId="4ADD8BB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未成交人的磋商保证金，自成交通知书发出之日起 5 个工作日内退还未成交人。</w:t>
      </w:r>
    </w:p>
    <w:p w14:paraId="4A24C6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终止采购活动的项目已经收取磋商保证金的，自终止采购活动后 5 个工作日内退还已收取的磋商保证金。</w:t>
      </w:r>
    </w:p>
    <w:p w14:paraId="47F0D0B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有下列情形之一的，采购人或采购代理机构可以不予退还磋商保证金：</w:t>
      </w:r>
    </w:p>
    <w:p w14:paraId="7D33D9B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在响应文件有效期内，供应商撤回响应文件的； </w:t>
      </w:r>
    </w:p>
    <w:p w14:paraId="43FD7DB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成交人不按本采购文件的规定与采购人签订合同的； </w:t>
      </w:r>
    </w:p>
    <w:p w14:paraId="6408FA5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成交人不按本采购文件的规定提交履约保证金的； </w:t>
      </w:r>
    </w:p>
    <w:p w14:paraId="345838A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成交人不按本采购文件的规定缴纳招标代理服务费的； </w:t>
      </w:r>
    </w:p>
    <w:p w14:paraId="7EA2C52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存在的串通投标情形的； </w:t>
      </w:r>
    </w:p>
    <w:p w14:paraId="188090D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存在向采购人、代理机构或评标专家行贿事实的； </w:t>
      </w:r>
    </w:p>
    <w:p w14:paraId="402BC06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法律、法规规定的其它情况。</w:t>
      </w:r>
    </w:p>
    <w:p w14:paraId="35495EA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响应文件有效期</w:t>
      </w:r>
    </w:p>
    <w:p w14:paraId="3D93A08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响应文件应在</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中规定的响应文件有效期内保持有效，响应文件有效期少于采购文件规定期限的，其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w:t>
      </w:r>
    </w:p>
    <w:p w14:paraId="0E50E87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69F7E5B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响应文件的制作</w:t>
      </w:r>
    </w:p>
    <w:p w14:paraId="670524D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0D95BFF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供应商应使用电子招投标平台提供的投标客户端编制、标记、加密响应文件，成功加密后将生成指定格式的电子响应文件和电子备用响应文件</w:t>
      </w:r>
    </w:p>
    <w:p w14:paraId="593CC79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如有对多个采购包响应的，要对每个采购包独立制作电子响应文件。</w:t>
      </w:r>
    </w:p>
    <w:p w14:paraId="2FB7B38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供应商须对采购文件的对应要求给予唯一的实质性响应，否则将视为不响应。</w:t>
      </w:r>
    </w:p>
    <w:p w14:paraId="7E21BC2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采购文件中，凡标有“※”的地方均为实质性响应条款，供应商若有一项带“※”的条款未响应或不满足，将按响应无效处理。</w:t>
      </w:r>
    </w:p>
    <w:p w14:paraId="661A001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6FF9DE69">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4" w:name="_Toc7253"/>
      <w:r>
        <w:rPr>
          <w:rFonts w:hint="eastAsia" w:ascii="仿宋" w:hAnsi="仿宋" w:eastAsia="仿宋" w:cs="仿宋"/>
          <w:b/>
          <w:bCs/>
          <w:sz w:val="24"/>
          <w:szCs w:val="24"/>
          <w:lang w:val="en-US" w:eastAsia="zh-CN"/>
        </w:rPr>
        <w:t>响应文件的提交</w:t>
      </w:r>
      <w:bookmarkEnd w:id="14"/>
    </w:p>
    <w:p w14:paraId="31601B93">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响应文件的提交</w:t>
      </w:r>
    </w:p>
    <w:p w14:paraId="517A6DD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供应商应在</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167F628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代理机构对因不可抗力事件造成的响应文件的损坏、丢失的，不承担责任。</w:t>
      </w:r>
    </w:p>
    <w:p w14:paraId="52AD5D6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出现下述情形之一，属于未成功提交响应文件，按</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w:t>
      </w:r>
    </w:p>
    <w:p w14:paraId="71FEE5C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至提交响应文件截止时，响应文件未完整上传的。 </w:t>
      </w:r>
    </w:p>
    <w:p w14:paraId="6A03969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响应文件未按响应格式中注明需签字盖章的要求进行签名（含电子签名）和加盖电子印章，或签名（含电子签名）或电子印章不完整的。</w:t>
      </w:r>
    </w:p>
    <w:p w14:paraId="44B597E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响应文件损坏或格式不正确的。</w:t>
      </w:r>
    </w:p>
    <w:p w14:paraId="2C5853E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响应文件的修改、撤回与撤销</w:t>
      </w:r>
    </w:p>
    <w:p w14:paraId="2D1977C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6799948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在提交响应文件截止时间后，供应商不得补充、修改和更换响应文件。</w:t>
      </w:r>
    </w:p>
    <w:p w14:paraId="3CC4BE7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5BB41280">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5" w:name="_Toc32267"/>
      <w:r>
        <w:rPr>
          <w:rFonts w:hint="eastAsia" w:ascii="仿宋" w:hAnsi="仿宋" w:eastAsia="仿宋" w:cs="仿宋"/>
          <w:b/>
          <w:bCs/>
          <w:sz w:val="24"/>
          <w:szCs w:val="24"/>
          <w:lang w:val="en-US" w:eastAsia="zh-CN"/>
        </w:rPr>
        <w:t>开标及评标</w:t>
      </w:r>
      <w:bookmarkEnd w:id="15"/>
    </w:p>
    <w:p w14:paraId="10AF196B">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开标</w:t>
      </w:r>
    </w:p>
    <w:p w14:paraId="0D8751B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采购人和采购代理机构将按</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中规定的开标时间和地点组织公开开标并邀请所有供应商代表参加。开标为远程电子开标。</w:t>
      </w:r>
    </w:p>
    <w:p w14:paraId="47599D8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采用远程电子开标的：</w:t>
      </w:r>
    </w:p>
    <w:p w14:paraId="2377CC7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供应商的法定代表人或其授权代表应当按照本采购文件载明的时间和模式等要求参加开标。在</w:t>
      </w:r>
      <w:r>
        <w:rPr>
          <w:rFonts w:hint="eastAsia" w:ascii="仿宋" w:hAnsi="仿宋" w:eastAsia="仿宋" w:cs="仿宋"/>
          <w:b/>
          <w:bCs/>
          <w:sz w:val="24"/>
          <w:szCs w:val="24"/>
          <w:lang w:val="en-US" w:eastAsia="zh-CN"/>
        </w:rPr>
        <w:t>响应截止时间前30分钟</w:t>
      </w:r>
      <w:r>
        <w:rPr>
          <w:rFonts w:hint="eastAsia" w:ascii="仿宋" w:hAnsi="仿宋" w:eastAsia="仿宋" w:cs="仿宋"/>
          <w:b w:val="0"/>
          <w:bCs w:val="0"/>
          <w:sz w:val="24"/>
          <w:szCs w:val="24"/>
          <w:lang w:val="en-US" w:eastAsia="zh-CN"/>
        </w:rPr>
        <w:t>，应当登录开标大厅进行签到，并且填写授权代表的姓名与手机号码。若因签到时填写的授权代表信息有误而导致的不良后果，由供应商自行承担。</w:t>
      </w:r>
    </w:p>
    <w:p w14:paraId="136F278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处理。（采用远程电子开标的，各供应商在参加开标以前须自行对使用电脑的网络环境、驱动安装、客户端安装以及数字证书的有效性等进行检测，确保可以正常使用）。</w:t>
      </w:r>
    </w:p>
    <w:p w14:paraId="24E150D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。如供应商无法在代理规定的时间内完成备用电子响应文件的上传，响应文件将被拒绝，作</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w:t>
      </w:r>
    </w:p>
    <w:p w14:paraId="4236DFF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3135B1F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响应截止时间后，供应商不足3家的，不得开标。同时，本次采购活动结束。</w:t>
      </w:r>
    </w:p>
    <w:p w14:paraId="50A4A87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开标时出现下列情况的，视为</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w:t>
      </w:r>
    </w:p>
    <w:p w14:paraId="1D1E710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因供应商自身原因，未在规定时间内完成电子响应文件解密的；</w:t>
      </w:r>
    </w:p>
    <w:p w14:paraId="3276DE3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63CEFC2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采购人或采购代理机构将对开标过程进行记录，由参加开标的各供应商代表和相关工作人员签字确认。</w:t>
      </w:r>
    </w:p>
    <w:p w14:paraId="64935DE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资格审查</w:t>
      </w:r>
    </w:p>
    <w:p w14:paraId="1CC9638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磋商小组依据法律法规和采购文件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3C0096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资格审查要求详见第六章《评标程序、评标方法和评标标准》。</w:t>
      </w:r>
    </w:p>
    <w:p w14:paraId="4B55B92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202CB1E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磋商小组</w:t>
      </w:r>
    </w:p>
    <w:p w14:paraId="4149E3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磋商小组根据政府采购有关规定和本次采购项目的特点进行组建，并负责具体评标事务，独立履行职责。 </w:t>
      </w:r>
    </w:p>
    <w:p w14:paraId="7C0E069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1470DD4">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评标程序、评标方法和评标标准</w:t>
      </w:r>
    </w:p>
    <w:p w14:paraId="06C5206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详见第六章《评标程序、评标方法和评标标准》</w:t>
      </w:r>
    </w:p>
    <w:p w14:paraId="508B01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2041B961">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6" w:name="_Toc11319"/>
      <w:r>
        <w:rPr>
          <w:rFonts w:hint="eastAsia" w:ascii="仿宋" w:hAnsi="仿宋" w:eastAsia="仿宋" w:cs="仿宋"/>
          <w:b/>
          <w:bCs/>
          <w:sz w:val="24"/>
          <w:szCs w:val="24"/>
          <w:lang w:val="en-US" w:eastAsia="zh-CN"/>
        </w:rPr>
        <w:t>确定成交</w:t>
      </w:r>
      <w:bookmarkEnd w:id="16"/>
    </w:p>
    <w:p w14:paraId="1B8D9FD4">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确定成交人</w:t>
      </w:r>
    </w:p>
    <w:p w14:paraId="57E80C4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w:t>
      </w:r>
    </w:p>
    <w:p w14:paraId="5FDE072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成交公告与成交通知书</w:t>
      </w:r>
    </w:p>
    <w:p w14:paraId="44F648C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采购人或采购代理机构自中标人确定之日起 2 个工作日内，在磋商公告发布媒体发布成交结果，同时向成交人发出成交通知书，成交公告期限为 1 个工作日。</w:t>
      </w:r>
    </w:p>
    <w:p w14:paraId="39452A4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成交通知书对采购人和成交供应商均具有法律效力。成交通知书发出后，成交供应商放弃成交项目的，应当依法承担法律责任。</w:t>
      </w:r>
    </w:p>
    <w:p w14:paraId="216C0CD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废标</w:t>
      </w:r>
    </w:p>
    <w:p w14:paraId="6DA577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19.1在采购活动中，出现下列情形之一的，应予废标：</w:t>
      </w:r>
    </w:p>
    <w:p w14:paraId="4146F0A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668547A8">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出现影响采购公正的违法、违规行为的；</w:t>
      </w:r>
    </w:p>
    <w:p w14:paraId="073864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供应商的报价均超过了采购预算，采购人不能支付的；</w:t>
      </w:r>
    </w:p>
    <w:p w14:paraId="59A670C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因重大变故，采购任务取消的。</w:t>
      </w:r>
    </w:p>
    <w:p w14:paraId="0FB703D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废标后，采购人将废标理由通知所有供应商。</w:t>
      </w:r>
    </w:p>
    <w:p w14:paraId="4515E9A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签订合同</w:t>
      </w:r>
    </w:p>
    <w:p w14:paraId="134C8A8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447C2EA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17563A3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联合体成交的，联合体各方应当共同与采购人签订合同，就成交项目向采购人承担连带责任。 </w:t>
      </w:r>
    </w:p>
    <w:p w14:paraId="2695F06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政府采购合同不能转包。如采购人允许采用分包方式履行合同的，成交人可以依法在成交后将成交项目的非主体、非关键性工作采取分包方式履行合同。</w:t>
      </w:r>
    </w:p>
    <w:p w14:paraId="5F20CCF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履约保证金</w:t>
      </w:r>
    </w:p>
    <w:p w14:paraId="0ADFBBF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成交人应按照</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规定的金额、形式和时间向采购人缴纳履约保证金。</w:t>
      </w:r>
    </w:p>
    <w:p w14:paraId="323559C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经采购人同意，成交人也可以自愿采用其他履约保证金的提供方式。</w:t>
      </w:r>
    </w:p>
    <w:p w14:paraId="686AF00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57BF4F8B">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代理服务费</w:t>
      </w:r>
    </w:p>
    <w:p w14:paraId="3B9611C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收费对象、收费标准及缴纳时间见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。由成交人支付的，成交人须一次性向采购代理机构缴纳代理费，响应报价应包含代理费用。</w:t>
      </w:r>
    </w:p>
    <w:p w14:paraId="5062E36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询问与质疑</w:t>
      </w:r>
    </w:p>
    <w:p w14:paraId="54190DB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询问</w:t>
      </w:r>
    </w:p>
    <w:p w14:paraId="066E7C96">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中“采购人、采购代理机构的名称、地址和联系方式”。</w:t>
      </w:r>
    </w:p>
    <w:p w14:paraId="2805B55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质疑</w:t>
      </w:r>
    </w:p>
    <w:p w14:paraId="064784E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33F37F8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供应商应知其权益受到损害之日是指：</w:t>
      </w:r>
    </w:p>
    <w:p w14:paraId="3837798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（1）对采购文件提出质疑的，为获取采购文件之日或者采购文件获取期限届满之日；</w:t>
      </w:r>
    </w:p>
    <w:p w14:paraId="48304A4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（2）对采购过程提出质疑的，为各采购程序环节结束之日；</w:t>
      </w:r>
    </w:p>
    <w:p w14:paraId="078CBD5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（3）对成交结果提出质疑的，为成交结果公告期限届满之日。</w:t>
      </w:r>
    </w:p>
    <w:p w14:paraId="053C1CE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604777B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6F842F4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质疑函应当包括下列内容： </w:t>
      </w:r>
    </w:p>
    <w:p w14:paraId="55B314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（1）投标人名称、地址、邮编、联系人及联系电话； </w:t>
      </w:r>
    </w:p>
    <w:p w14:paraId="00C17A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（2）质疑项目的名称、编号； </w:t>
      </w:r>
    </w:p>
    <w:p w14:paraId="210BE4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（3）具体、明确的质疑事项和与质疑事项相关的请求； </w:t>
      </w:r>
    </w:p>
    <w:p w14:paraId="6C3565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（4）事实依据； </w:t>
      </w:r>
    </w:p>
    <w:p w14:paraId="15E6117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（5）必要的法律依据； </w:t>
      </w:r>
    </w:p>
    <w:p w14:paraId="73897B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（6）提出质疑的日期。</w:t>
      </w:r>
    </w:p>
    <w:p w14:paraId="3BFFDD4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67419FE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0245AF3">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其他</w:t>
      </w:r>
    </w:p>
    <w:p w14:paraId="40755AA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47CC5BB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3F12E5F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适用于本供应商须知的额外增加的变动详见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b w:val="0"/>
          <w:bCs w:val="0"/>
          <w:sz w:val="24"/>
          <w:szCs w:val="24"/>
          <w:lang w:val="en-US" w:eastAsia="zh-CN"/>
        </w:rPr>
        <w:t>。</w:t>
      </w:r>
    </w:p>
    <w:p w14:paraId="7B517C4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111F891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5DBB15E7">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br w:type="page"/>
      </w:r>
    </w:p>
    <w:p w14:paraId="02DF73F0">
      <w:pPr>
        <w:pStyle w:val="2"/>
        <w:numPr>
          <w:ilvl w:val="0"/>
          <w:numId w:val="4"/>
        </w:numPr>
        <w:bidi w:val="0"/>
        <w:jc w:val="center"/>
        <w:rPr>
          <w:rFonts w:hint="eastAsia" w:ascii="仿宋" w:hAnsi="仿宋" w:eastAsia="仿宋" w:cs="仿宋"/>
          <w:sz w:val="36"/>
          <w:szCs w:val="36"/>
          <w:highlight w:val="none"/>
          <w:lang w:val="en-US" w:eastAsia="zh-CN"/>
        </w:rPr>
      </w:pPr>
      <w:bookmarkStart w:id="17" w:name="_Toc20533"/>
      <w:r>
        <w:rPr>
          <w:rFonts w:hint="eastAsia" w:ascii="仿宋" w:hAnsi="仿宋" w:eastAsia="仿宋" w:cs="仿宋"/>
          <w:sz w:val="36"/>
          <w:szCs w:val="36"/>
          <w:highlight w:val="none"/>
          <w:lang w:val="en-US" w:eastAsia="zh-CN"/>
        </w:rPr>
        <w:t>政府采购合同</w:t>
      </w:r>
      <w:bookmarkEnd w:id="17"/>
    </w:p>
    <w:p w14:paraId="43104BD6">
      <w:pPr>
        <w:keepNext/>
        <w:keepLines/>
        <w:spacing w:line="440" w:lineRule="exact"/>
        <w:jc w:val="center"/>
        <w:rPr>
          <w:rFonts w:hint="eastAsia" w:ascii="仿宋" w:hAnsi="仿宋" w:eastAsia="仿宋" w:cs="仿宋"/>
          <w:b/>
          <w:bCs/>
          <w:color w:val="000000"/>
          <w:sz w:val="24"/>
          <w:szCs w:val="21"/>
          <w:highlight w:val="none"/>
        </w:rPr>
      </w:pPr>
      <w:bookmarkStart w:id="18" w:name="_Toc155630082"/>
      <w:r>
        <w:rPr>
          <w:rFonts w:hint="eastAsia" w:ascii="仿宋" w:hAnsi="仿宋" w:eastAsia="仿宋" w:cs="仿宋"/>
          <w:b/>
          <w:bCs/>
          <w:color w:val="000000"/>
          <w:sz w:val="24"/>
          <w:szCs w:val="21"/>
          <w:highlight w:val="none"/>
        </w:rPr>
        <w:t>（本合同仅供参考，具体以实际签订为准）</w:t>
      </w:r>
      <w:bookmarkEnd w:id="18"/>
    </w:p>
    <w:p w14:paraId="14A6541D">
      <w:pPr>
        <w:spacing w:line="360" w:lineRule="auto"/>
        <w:rPr>
          <w:rFonts w:hint="eastAsia" w:ascii="仿宋" w:hAnsi="仿宋" w:eastAsia="仿宋" w:cs="仿宋"/>
          <w:b/>
          <w:bCs/>
          <w:sz w:val="24"/>
          <w:szCs w:val="24"/>
        </w:rPr>
      </w:pPr>
      <w:bookmarkStart w:id="19" w:name="_Toc331685783"/>
      <w:r>
        <w:rPr>
          <w:rFonts w:hint="eastAsia" w:ascii="仿宋" w:hAnsi="仿宋" w:eastAsia="仿宋" w:cs="仿宋"/>
          <w:b/>
          <w:sz w:val="24"/>
          <w:szCs w:val="24"/>
        </w:rPr>
        <w:t>（ＧＦ－2012－0202）</w:t>
      </w:r>
    </w:p>
    <w:p w14:paraId="62814046">
      <w:pPr>
        <w:spacing w:line="360" w:lineRule="auto"/>
        <w:jc w:val="center"/>
        <w:rPr>
          <w:rFonts w:hint="eastAsia" w:ascii="仿宋" w:hAnsi="仿宋" w:eastAsia="仿宋" w:cs="仿宋"/>
          <w:b/>
          <w:bCs/>
          <w:sz w:val="24"/>
          <w:szCs w:val="24"/>
        </w:rPr>
      </w:pPr>
    </w:p>
    <w:p w14:paraId="696E60FB">
      <w:pPr>
        <w:spacing w:line="360" w:lineRule="auto"/>
        <w:jc w:val="center"/>
        <w:rPr>
          <w:rFonts w:hint="eastAsia" w:ascii="仿宋" w:hAnsi="仿宋" w:eastAsia="仿宋" w:cs="仿宋"/>
          <w:b/>
          <w:bCs/>
          <w:sz w:val="24"/>
          <w:szCs w:val="24"/>
        </w:rPr>
      </w:pPr>
    </w:p>
    <w:p w14:paraId="31E589E8">
      <w:pPr>
        <w:spacing w:line="360" w:lineRule="auto"/>
        <w:jc w:val="center"/>
        <w:rPr>
          <w:rFonts w:hint="eastAsia" w:ascii="仿宋" w:hAnsi="仿宋" w:eastAsia="仿宋" w:cs="仿宋"/>
          <w:b/>
          <w:bCs/>
          <w:sz w:val="24"/>
          <w:szCs w:val="24"/>
        </w:rPr>
      </w:pPr>
    </w:p>
    <w:p w14:paraId="44D92143">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建设工程监理合同</w:t>
      </w:r>
    </w:p>
    <w:p w14:paraId="221DBA37">
      <w:pPr>
        <w:spacing w:line="360" w:lineRule="auto"/>
        <w:jc w:val="center"/>
        <w:rPr>
          <w:rFonts w:hint="eastAsia" w:ascii="仿宋" w:hAnsi="仿宋" w:eastAsia="仿宋" w:cs="仿宋"/>
          <w:b/>
          <w:bCs/>
          <w:sz w:val="24"/>
          <w:szCs w:val="24"/>
        </w:rPr>
      </w:pPr>
    </w:p>
    <w:p w14:paraId="199DEBCF">
      <w:pPr>
        <w:spacing w:line="360" w:lineRule="auto"/>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项目名称：</w:t>
      </w:r>
      <w:r>
        <w:rPr>
          <w:rFonts w:hint="eastAsia" w:ascii="仿宋" w:hAnsi="仿宋" w:eastAsia="仿宋" w:cs="仿宋"/>
          <w:b/>
          <w:bCs/>
          <w:sz w:val="24"/>
          <w:szCs w:val="24"/>
          <w:u w:val="single"/>
          <w:lang w:val="en-US" w:eastAsia="zh-CN"/>
        </w:rPr>
        <w:t xml:space="preserve">                                          </w:t>
      </w:r>
    </w:p>
    <w:p w14:paraId="18124CD2">
      <w:pPr>
        <w:spacing w:line="360" w:lineRule="auto"/>
        <w:jc w:val="center"/>
        <w:rPr>
          <w:rFonts w:hint="eastAsia" w:ascii="仿宋" w:hAnsi="仿宋" w:eastAsia="仿宋" w:cs="仿宋"/>
          <w:b/>
          <w:bCs/>
          <w:sz w:val="24"/>
          <w:szCs w:val="24"/>
        </w:rPr>
      </w:pPr>
    </w:p>
    <w:p w14:paraId="7C8F7CB0">
      <w:pPr>
        <w:spacing w:line="360" w:lineRule="auto"/>
        <w:jc w:val="center"/>
        <w:rPr>
          <w:rFonts w:hint="eastAsia" w:ascii="仿宋" w:hAnsi="仿宋" w:eastAsia="仿宋" w:cs="仿宋"/>
          <w:bCs/>
          <w:sz w:val="24"/>
          <w:szCs w:val="24"/>
        </w:rPr>
      </w:pPr>
    </w:p>
    <w:p w14:paraId="2482A76A">
      <w:pPr>
        <w:spacing w:line="360" w:lineRule="auto"/>
        <w:jc w:val="center"/>
        <w:rPr>
          <w:rFonts w:hint="eastAsia" w:ascii="仿宋" w:hAnsi="仿宋" w:eastAsia="仿宋" w:cs="仿宋"/>
          <w:b/>
          <w:bCs/>
          <w:sz w:val="24"/>
          <w:szCs w:val="24"/>
        </w:rPr>
      </w:pPr>
    </w:p>
    <w:p w14:paraId="0658BE54">
      <w:pPr>
        <w:spacing w:line="360" w:lineRule="auto"/>
        <w:jc w:val="center"/>
        <w:rPr>
          <w:rFonts w:hint="eastAsia" w:ascii="仿宋" w:hAnsi="仿宋" w:eastAsia="仿宋" w:cs="仿宋"/>
          <w:b/>
          <w:bCs/>
          <w:sz w:val="24"/>
          <w:szCs w:val="24"/>
        </w:rPr>
      </w:pPr>
    </w:p>
    <w:p w14:paraId="15353B15">
      <w:pPr>
        <w:spacing w:line="360" w:lineRule="auto"/>
        <w:jc w:val="center"/>
        <w:rPr>
          <w:rFonts w:hint="eastAsia" w:ascii="仿宋" w:hAnsi="仿宋" w:eastAsia="仿宋" w:cs="仿宋"/>
          <w:b/>
          <w:bCs/>
          <w:sz w:val="24"/>
          <w:szCs w:val="24"/>
        </w:rPr>
      </w:pPr>
    </w:p>
    <w:p w14:paraId="0DA091CD">
      <w:pPr>
        <w:spacing w:line="360" w:lineRule="auto"/>
        <w:jc w:val="center"/>
        <w:rPr>
          <w:rFonts w:hint="eastAsia" w:ascii="仿宋" w:hAnsi="仿宋" w:eastAsia="仿宋" w:cs="仿宋"/>
          <w:b/>
          <w:bCs/>
          <w:sz w:val="24"/>
          <w:szCs w:val="24"/>
        </w:rPr>
      </w:pPr>
    </w:p>
    <w:p w14:paraId="56EC5B22">
      <w:pPr>
        <w:spacing w:line="360" w:lineRule="auto"/>
        <w:rPr>
          <w:rFonts w:hint="eastAsia" w:ascii="仿宋" w:hAnsi="仿宋" w:eastAsia="仿宋" w:cs="仿宋"/>
          <w:b/>
          <w:bCs/>
          <w:sz w:val="24"/>
          <w:szCs w:val="24"/>
        </w:rPr>
      </w:pPr>
    </w:p>
    <w:p w14:paraId="68B30E9A">
      <w:pPr>
        <w:spacing w:line="360" w:lineRule="auto"/>
        <w:jc w:val="center"/>
        <w:rPr>
          <w:rFonts w:hint="eastAsia" w:ascii="仿宋" w:hAnsi="仿宋" w:eastAsia="仿宋" w:cs="仿宋"/>
          <w:b/>
          <w:sz w:val="24"/>
          <w:szCs w:val="24"/>
        </w:rPr>
      </w:pPr>
      <w:r>
        <w:rPr>
          <w:rFonts w:hint="eastAsia" w:ascii="仿宋" w:hAnsi="仿宋" w:eastAsia="仿宋" w:cs="仿宋"/>
          <w:b/>
          <w:bCs/>
          <w:sz w:val="24"/>
          <w:szCs w:val="24"/>
        </w:rPr>
        <w:t xml:space="preserve">  住房和城乡建设部</w:t>
      </w:r>
      <w:r>
        <w:rPr>
          <w:rFonts w:hint="eastAsia" w:ascii="仿宋" w:hAnsi="仿宋" w:eastAsia="仿宋" w:cs="仿宋"/>
          <w:b/>
          <w:sz w:val="24"/>
          <w:szCs w:val="24"/>
        </w:rPr>
        <w:t>制定</w:t>
      </w:r>
    </w:p>
    <w:p w14:paraId="52EB7C87">
      <w:pPr>
        <w:spacing w:line="360" w:lineRule="auto"/>
        <w:jc w:val="center"/>
        <w:rPr>
          <w:rFonts w:hint="eastAsia" w:ascii="仿宋" w:hAnsi="仿宋" w:eastAsia="仿宋" w:cs="仿宋"/>
          <w:b/>
          <w:sz w:val="24"/>
          <w:szCs w:val="24"/>
        </w:rPr>
      </w:pPr>
      <w:r>
        <w:rPr>
          <w:rFonts w:hint="eastAsia" w:ascii="仿宋" w:hAnsi="仿宋" w:eastAsia="仿宋" w:cs="仿宋"/>
          <w:b/>
          <w:bCs/>
          <w:sz w:val="24"/>
          <w:szCs w:val="24"/>
        </w:rPr>
        <w:t xml:space="preserve">  国家工商行政管理总局</w:t>
      </w:r>
    </w:p>
    <w:p w14:paraId="7BD3CED7">
      <w:pPr>
        <w:spacing w:line="360" w:lineRule="auto"/>
        <w:jc w:val="center"/>
        <w:rPr>
          <w:rFonts w:hint="eastAsia" w:ascii="仿宋" w:hAnsi="仿宋" w:eastAsia="仿宋" w:cs="仿宋"/>
          <w:b/>
          <w:bCs/>
          <w:sz w:val="24"/>
          <w:szCs w:val="24"/>
        </w:rPr>
      </w:pPr>
    </w:p>
    <w:p w14:paraId="20BF7A67">
      <w:pPr>
        <w:spacing w:line="360" w:lineRule="auto"/>
        <w:jc w:val="center"/>
        <w:rPr>
          <w:rFonts w:hint="eastAsia" w:ascii="仿宋" w:hAnsi="仿宋" w:eastAsia="仿宋" w:cs="仿宋"/>
          <w:b/>
          <w:bCs/>
          <w:sz w:val="24"/>
          <w:szCs w:val="24"/>
        </w:rPr>
      </w:pPr>
    </w:p>
    <w:p w14:paraId="5951AD65">
      <w:pPr>
        <w:spacing w:line="360" w:lineRule="auto"/>
        <w:jc w:val="center"/>
        <w:rPr>
          <w:rFonts w:hint="eastAsia" w:ascii="仿宋" w:hAnsi="仿宋" w:eastAsia="仿宋" w:cs="仿宋"/>
          <w:b/>
          <w:bCs/>
          <w:sz w:val="24"/>
          <w:szCs w:val="24"/>
          <w:lang w:val="en-US" w:eastAsia="zh-CN"/>
        </w:rPr>
        <w:sectPr>
          <w:headerReference r:id="rId6" w:type="default"/>
          <w:footerReference r:id="rId7" w:type="default"/>
          <w:footerReference r:id="rId8" w:type="even"/>
          <w:pgSz w:w="11907" w:h="16840" w:orient="landscape"/>
          <w:pgMar w:top="1797" w:right="1440" w:bottom="1797" w:left="1440" w:header="851" w:footer="992" w:gutter="0"/>
          <w:cols w:space="720" w:num="1"/>
          <w:titlePg/>
          <w:docGrid w:type="lines" w:linePitch="312" w:charSpace="0"/>
        </w:sectPr>
      </w:pPr>
      <w:r>
        <w:rPr>
          <w:rFonts w:hint="eastAsia" w:ascii="仿宋" w:hAnsi="仿宋" w:eastAsia="仿宋" w:cs="仿宋"/>
          <w:b/>
          <w:bCs/>
          <w:sz w:val="24"/>
          <w:szCs w:val="24"/>
          <w:lang w:eastAsia="zh-CN"/>
        </w:rPr>
        <w:t>签订日期：</w:t>
      </w:r>
      <w:r>
        <w:rPr>
          <w:rFonts w:hint="eastAsia" w:ascii="仿宋" w:hAnsi="仿宋" w:eastAsia="仿宋" w:cs="仿宋"/>
          <w:b/>
          <w:bCs/>
          <w:sz w:val="24"/>
          <w:szCs w:val="24"/>
          <w:lang w:val="en-US" w:eastAsia="zh-CN"/>
        </w:rPr>
        <w:t xml:space="preserve">   年   月   日</w:t>
      </w:r>
    </w:p>
    <w:p w14:paraId="12E9C563">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第一部分  协议书</w:t>
      </w:r>
    </w:p>
    <w:p w14:paraId="14B65D22">
      <w:pPr>
        <w:adjustRightInd w:val="0"/>
        <w:snapToGrid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委托人（全称）：</w:t>
      </w:r>
      <w:r>
        <w:rPr>
          <w:rFonts w:hint="eastAsia" w:ascii="仿宋" w:hAnsi="仿宋" w:eastAsia="仿宋" w:cs="仿宋"/>
          <w:b/>
          <w:spacing w:val="12"/>
          <w:sz w:val="24"/>
          <w:szCs w:val="24"/>
          <w:u w:val="single"/>
        </w:rPr>
        <w:t>新疆医科大学第一附属医院</w:t>
      </w:r>
      <w:r>
        <w:rPr>
          <w:rFonts w:hint="eastAsia" w:ascii="仿宋" w:hAnsi="仿宋" w:eastAsia="仿宋" w:cs="仿宋"/>
          <w:b/>
          <w:sz w:val="24"/>
          <w:szCs w:val="24"/>
          <w:u w:val="single"/>
        </w:rPr>
        <w:t xml:space="preserve"> </w:t>
      </w:r>
    </w:p>
    <w:p w14:paraId="7526DE51">
      <w:pPr>
        <w:adjustRightInd w:val="0"/>
        <w:snapToGrid w:val="0"/>
        <w:spacing w:line="360" w:lineRule="auto"/>
        <w:ind w:firstLine="482" w:firstLineChars="200"/>
        <w:rPr>
          <w:rFonts w:hint="eastAsia" w:ascii="仿宋" w:hAnsi="仿宋" w:eastAsia="仿宋" w:cs="仿宋"/>
          <w:sz w:val="24"/>
          <w:szCs w:val="24"/>
        </w:rPr>
      </w:pPr>
      <w:r>
        <w:rPr>
          <w:rFonts w:hint="eastAsia" w:ascii="仿宋" w:hAnsi="仿宋" w:eastAsia="仿宋" w:cs="仿宋"/>
          <w:b/>
          <w:sz w:val="24"/>
          <w:szCs w:val="24"/>
        </w:rPr>
        <w:t>监理人（全称）：</w:t>
      </w:r>
      <w:r>
        <w:rPr>
          <w:rFonts w:hint="eastAsia" w:ascii="仿宋" w:hAnsi="仿宋" w:eastAsia="仿宋" w:cs="仿宋"/>
          <w:b/>
          <w:sz w:val="24"/>
          <w:szCs w:val="24"/>
          <w:u w:val="single"/>
        </w:rPr>
        <w:t xml:space="preserve">  </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u w:val="single"/>
        </w:rPr>
        <w:t xml:space="preserve">  </w:t>
      </w:r>
    </w:p>
    <w:p w14:paraId="6F51ACA1">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根据《中华人民共和国民法典》、《中华人民共和国建筑法》及其他有关法律、法规，遵循平等、自愿、公平和诚信的原则，双方就下述工程委托监理与相关服务事项协商一致，订立本合同。</w:t>
      </w:r>
    </w:p>
    <w:p w14:paraId="4CF0D215">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一、工程概况</w:t>
      </w:r>
    </w:p>
    <w:p w14:paraId="0A89C7A8">
      <w:pPr>
        <w:spacing w:line="600" w:lineRule="exact"/>
        <w:ind w:firstLine="480" w:firstLineChars="200"/>
        <w:rPr>
          <w:rFonts w:hint="eastAsia" w:ascii="仿宋" w:hAnsi="仿宋" w:eastAsia="仿宋" w:cs="仿宋"/>
          <w:b/>
          <w:sz w:val="24"/>
          <w:szCs w:val="24"/>
          <w:u w:val="single"/>
        </w:rPr>
      </w:pPr>
      <w:r>
        <w:rPr>
          <w:rFonts w:hint="eastAsia" w:ascii="仿宋" w:hAnsi="仿宋" w:eastAsia="仿宋" w:cs="仿宋"/>
          <w:sz w:val="24"/>
          <w:szCs w:val="24"/>
        </w:rPr>
        <w:t>1. 工程名称：</w:t>
      </w:r>
      <w:r>
        <w:rPr>
          <w:rFonts w:hint="eastAsia" w:ascii="仿宋" w:hAnsi="仿宋" w:eastAsia="仿宋" w:cs="仿宋"/>
          <w:sz w:val="24"/>
          <w:szCs w:val="24"/>
          <w:u w:val="single"/>
          <w:lang w:val="en-US" w:eastAsia="zh-CN"/>
        </w:rPr>
        <w:t xml:space="preserve">                       </w:t>
      </w:r>
      <w:r>
        <w:rPr>
          <w:rFonts w:hint="eastAsia" w:ascii="仿宋" w:hAnsi="仿宋" w:eastAsia="仿宋" w:cs="仿宋"/>
          <w:b/>
          <w:sz w:val="24"/>
          <w:szCs w:val="24"/>
        </w:rPr>
        <w:t>；</w:t>
      </w:r>
    </w:p>
    <w:p w14:paraId="1DA586C3">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 工程地点：</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rPr>
        <w:t>；</w:t>
      </w:r>
    </w:p>
    <w:p w14:paraId="6245687F">
      <w:pPr>
        <w:spacing w:line="480" w:lineRule="exact"/>
        <w:ind w:firstLine="480" w:firstLineChars="200"/>
        <w:rPr>
          <w:rFonts w:hint="eastAsia" w:ascii="仿宋" w:hAnsi="仿宋" w:eastAsia="仿宋" w:cs="仿宋"/>
          <w:b/>
          <w:sz w:val="24"/>
          <w:szCs w:val="24"/>
          <w:u w:val="single"/>
        </w:rPr>
      </w:pPr>
      <w:r>
        <w:rPr>
          <w:rFonts w:hint="eastAsia" w:ascii="仿宋" w:hAnsi="仿宋" w:eastAsia="仿宋" w:cs="仿宋"/>
          <w:sz w:val="24"/>
          <w:szCs w:val="24"/>
        </w:rPr>
        <w:t>3. 工程规模：</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w:t>
      </w:r>
    </w:p>
    <w:p w14:paraId="045957A9">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 工程</w:t>
      </w:r>
      <w:r>
        <w:rPr>
          <w:rFonts w:hint="eastAsia" w:ascii="仿宋" w:hAnsi="仿宋" w:eastAsia="仿宋" w:cs="仿宋"/>
          <w:kern w:val="0"/>
          <w:sz w:val="24"/>
          <w:szCs w:val="24"/>
        </w:rPr>
        <w:t>概算投资额或建筑安装工程费</w:t>
      </w:r>
      <w:r>
        <w:rPr>
          <w:rFonts w:hint="eastAsia" w:ascii="仿宋" w:hAnsi="仿宋" w:eastAsia="仿宋" w:cs="仿宋"/>
          <w:sz w:val="24"/>
          <w:szCs w:val="24"/>
        </w:rPr>
        <w:t>：</w:t>
      </w:r>
      <w:r>
        <w:rPr>
          <w:rFonts w:hint="eastAsia" w:ascii="仿宋" w:hAnsi="仿宋" w:eastAsia="仿宋" w:cs="仿宋"/>
          <w:sz w:val="24"/>
          <w:szCs w:val="24"/>
          <w:u w:val="single"/>
          <w:lang w:val="en-US" w:eastAsia="zh-CN"/>
        </w:rPr>
        <w:t xml:space="preserve">          </w:t>
      </w:r>
      <w:r>
        <w:rPr>
          <w:rFonts w:hint="eastAsia" w:ascii="仿宋" w:hAnsi="仿宋" w:eastAsia="仿宋" w:cs="仿宋"/>
          <w:b/>
          <w:sz w:val="24"/>
          <w:szCs w:val="24"/>
        </w:rPr>
        <w:t>。</w:t>
      </w:r>
    </w:p>
    <w:p w14:paraId="6D3CA035">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二、词语限定</w:t>
      </w:r>
    </w:p>
    <w:p w14:paraId="3B11D509">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协议书中相关词语的含义与通用条件中的定义与解释相同。</w:t>
      </w:r>
    </w:p>
    <w:p w14:paraId="437E9008">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三、组成本合同的文件</w:t>
      </w:r>
    </w:p>
    <w:p w14:paraId="7C29E71E">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 协议书；</w:t>
      </w:r>
    </w:p>
    <w:p w14:paraId="6184065D">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2. 中标通知书（适用于招标工程）或委托书（适用于非招标工程）；</w:t>
      </w:r>
    </w:p>
    <w:p w14:paraId="5FFF86B6">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3. 投标文件（适用于招标工程）或监理与相关服务建议书（适用于非招标工程）；</w:t>
      </w:r>
    </w:p>
    <w:p w14:paraId="30904BB5">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4. 专用条件；</w:t>
      </w:r>
    </w:p>
    <w:p w14:paraId="68EB3A06">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5. 通用条件；</w:t>
      </w:r>
    </w:p>
    <w:p w14:paraId="060CBEC8">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6. 附录，即：</w:t>
      </w:r>
    </w:p>
    <w:p w14:paraId="79FA3D6A">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附录A  相关服务的范围和内容</w:t>
      </w:r>
    </w:p>
    <w:p w14:paraId="5F6FB76F">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附录B  委托人派遣的人员和提供的</w:t>
      </w:r>
      <w:r>
        <w:rPr>
          <w:rFonts w:hint="eastAsia" w:ascii="仿宋" w:hAnsi="仿宋" w:eastAsia="仿宋" w:cs="仿宋"/>
          <w:bCs/>
          <w:sz w:val="24"/>
          <w:szCs w:val="24"/>
        </w:rPr>
        <w:t>房屋、资料</w:t>
      </w:r>
      <w:r>
        <w:rPr>
          <w:rFonts w:hint="eastAsia" w:ascii="仿宋" w:hAnsi="仿宋" w:eastAsia="仿宋" w:cs="仿宋"/>
          <w:sz w:val="24"/>
          <w:szCs w:val="24"/>
        </w:rPr>
        <w:t>、设备</w:t>
      </w:r>
    </w:p>
    <w:p w14:paraId="2A7E1F83">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本合同签订后，双方依法签订的补充协议也是本合同文件的组成部分。</w:t>
      </w:r>
    </w:p>
    <w:p w14:paraId="07BEA5C0">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四、总监理工程师</w:t>
      </w:r>
    </w:p>
    <w:p w14:paraId="460C6F43">
      <w:pPr>
        <w:spacing w:line="360" w:lineRule="auto"/>
        <w:ind w:firstLine="480" w:firstLineChars="200"/>
        <w:outlineLvl w:val="0"/>
        <w:rPr>
          <w:rFonts w:hint="eastAsia" w:ascii="仿宋" w:hAnsi="仿宋" w:eastAsia="仿宋" w:cs="仿宋"/>
          <w:kern w:val="0"/>
          <w:sz w:val="24"/>
          <w:szCs w:val="24"/>
        </w:rPr>
      </w:pPr>
      <w:r>
        <w:rPr>
          <w:rFonts w:hint="eastAsia" w:ascii="仿宋" w:hAnsi="仿宋" w:eastAsia="仿宋" w:cs="仿宋"/>
          <w:kern w:val="0"/>
          <w:sz w:val="24"/>
          <w:szCs w:val="24"/>
        </w:rPr>
        <w:t>总监理工程师姓名：</w:t>
      </w:r>
      <w:r>
        <w:rPr>
          <w:rFonts w:hint="eastAsia" w:ascii="仿宋" w:hAnsi="仿宋" w:eastAsia="仿宋" w:cs="仿宋"/>
          <w:b/>
          <w:kern w:val="0"/>
          <w:sz w:val="24"/>
          <w:szCs w:val="24"/>
          <w:u w:val="single"/>
          <w:lang w:val="en-US" w:eastAsia="zh-CN"/>
        </w:rPr>
        <w:t xml:space="preserve">         </w:t>
      </w:r>
      <w:r>
        <w:rPr>
          <w:rFonts w:hint="eastAsia" w:ascii="仿宋" w:hAnsi="仿宋" w:eastAsia="仿宋" w:cs="仿宋"/>
          <w:kern w:val="0"/>
          <w:sz w:val="24"/>
          <w:szCs w:val="24"/>
        </w:rPr>
        <w:t>，身份证号码：</w:t>
      </w:r>
      <w:r>
        <w:rPr>
          <w:rFonts w:hint="eastAsia" w:ascii="仿宋" w:hAnsi="仿宋" w:eastAsia="仿宋" w:cs="仿宋"/>
          <w:b/>
          <w:kern w:val="0"/>
          <w:sz w:val="24"/>
          <w:szCs w:val="24"/>
          <w:u w:val="single"/>
          <w:lang w:val="en-US" w:eastAsia="zh-CN"/>
        </w:rPr>
        <w:t xml:space="preserve">                 </w:t>
      </w:r>
      <w:r>
        <w:rPr>
          <w:rFonts w:hint="eastAsia" w:ascii="仿宋" w:hAnsi="仿宋" w:eastAsia="仿宋" w:cs="仿宋"/>
          <w:kern w:val="0"/>
          <w:sz w:val="24"/>
          <w:szCs w:val="24"/>
        </w:rPr>
        <w:t>，注册号：</w:t>
      </w:r>
      <w:r>
        <w:rPr>
          <w:rFonts w:hint="eastAsia" w:ascii="仿宋" w:hAnsi="仿宋" w:eastAsia="仿宋" w:cs="仿宋"/>
          <w:b/>
          <w:kern w:val="0"/>
          <w:sz w:val="24"/>
          <w:szCs w:val="24"/>
          <w:u w:val="single"/>
        </w:rPr>
        <w:t xml:space="preserve"> </w:t>
      </w:r>
      <w:r>
        <w:rPr>
          <w:rFonts w:hint="eastAsia" w:ascii="仿宋" w:hAnsi="仿宋" w:eastAsia="仿宋" w:cs="仿宋"/>
          <w:b/>
          <w:kern w:val="0"/>
          <w:sz w:val="24"/>
          <w:szCs w:val="24"/>
          <w:u w:val="single"/>
          <w:lang w:val="en-US" w:eastAsia="zh-CN"/>
        </w:rPr>
        <w:t xml:space="preserve">           </w:t>
      </w:r>
      <w:r>
        <w:rPr>
          <w:rFonts w:hint="eastAsia" w:ascii="仿宋" w:hAnsi="仿宋" w:eastAsia="仿宋" w:cs="仿宋"/>
          <w:b/>
          <w:kern w:val="0"/>
          <w:sz w:val="24"/>
          <w:szCs w:val="24"/>
          <w:u w:val="single"/>
        </w:rPr>
        <w:t xml:space="preserve">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3020B8B1">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五、签约酬金</w:t>
      </w:r>
    </w:p>
    <w:p w14:paraId="3EC1E83F">
      <w:pPr>
        <w:adjustRightInd w:val="0"/>
        <w:snapToGrid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签约酬金包干价（大写）：</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w:t>
      </w:r>
      <w:r>
        <w:rPr>
          <w:rFonts w:hint="eastAsia" w:ascii="仿宋" w:hAnsi="仿宋" w:eastAsia="仿宋" w:cs="仿宋"/>
          <w:b/>
          <w:sz w:val="24"/>
          <w:szCs w:val="24"/>
          <w:u w:val="single"/>
          <w:lang w:eastAsia="zh-CN"/>
        </w:rPr>
        <w:t>（因合同变更增加服务费在</w:t>
      </w:r>
      <w:r>
        <w:rPr>
          <w:rFonts w:hint="eastAsia" w:ascii="仿宋" w:hAnsi="仿宋" w:eastAsia="仿宋" w:cs="仿宋"/>
          <w:b/>
          <w:sz w:val="24"/>
          <w:szCs w:val="24"/>
          <w:u w:val="single"/>
          <w:lang w:val="en-US" w:eastAsia="zh-CN"/>
        </w:rPr>
        <w:t>15%以内的不调整本合同价</w:t>
      </w:r>
      <w:r>
        <w:rPr>
          <w:rFonts w:hint="eastAsia" w:ascii="仿宋" w:hAnsi="仿宋" w:eastAsia="仿宋" w:cs="仿宋"/>
          <w:b/>
          <w:sz w:val="24"/>
          <w:szCs w:val="24"/>
          <w:u w:val="single"/>
          <w:lang w:eastAsia="zh-CN"/>
        </w:rPr>
        <w:t>）</w:t>
      </w:r>
    </w:p>
    <w:p w14:paraId="256E2B8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包括：</w:t>
      </w:r>
    </w:p>
    <w:p w14:paraId="562D1CF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1.监理酬金：</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7DDCCDD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2.相关服务酬金：</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7023157F">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六、期限</w:t>
      </w:r>
    </w:p>
    <w:p w14:paraId="3C0D779B">
      <w:pPr>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sz w:val="24"/>
          <w:szCs w:val="24"/>
        </w:rPr>
        <w:t>监理期限：</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日历日</w:t>
      </w:r>
    </w:p>
    <w:p w14:paraId="472D54F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 xml:space="preserve">2. </w:t>
      </w:r>
      <w:r>
        <w:rPr>
          <w:rFonts w:hint="eastAsia" w:ascii="仿宋" w:hAnsi="仿宋" w:eastAsia="仿宋" w:cs="仿宋"/>
          <w:sz w:val="24"/>
          <w:szCs w:val="24"/>
        </w:rPr>
        <w:t>相关服务期限：</w:t>
      </w:r>
    </w:p>
    <w:p w14:paraId="2E4E974D">
      <w:pPr>
        <w:adjustRightInd w:val="0"/>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（1）勘察阶段</w:t>
      </w:r>
      <w:r>
        <w:rPr>
          <w:rFonts w:hint="eastAsia" w:ascii="仿宋" w:hAnsi="仿宋" w:eastAsia="仿宋" w:cs="仿宋"/>
          <w:sz w:val="24"/>
          <w:szCs w:val="24"/>
        </w:rPr>
        <w:t>服务期限自</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日始，至</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日止。</w:t>
      </w:r>
    </w:p>
    <w:p w14:paraId="3206A547">
      <w:pPr>
        <w:adjustRightInd w:val="0"/>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（2）设计阶段</w:t>
      </w:r>
      <w:r>
        <w:rPr>
          <w:rFonts w:hint="eastAsia" w:ascii="仿宋" w:hAnsi="仿宋" w:eastAsia="仿宋" w:cs="仿宋"/>
          <w:sz w:val="24"/>
          <w:szCs w:val="24"/>
        </w:rPr>
        <w:t>服务期限自</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日始，至</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日止。</w:t>
      </w:r>
    </w:p>
    <w:p w14:paraId="3267AAE7">
      <w:pPr>
        <w:adjustRightInd w:val="0"/>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（3）保修阶段</w:t>
      </w:r>
      <w:r>
        <w:rPr>
          <w:rFonts w:hint="eastAsia" w:ascii="仿宋" w:hAnsi="仿宋" w:eastAsia="仿宋" w:cs="仿宋"/>
          <w:sz w:val="24"/>
          <w:szCs w:val="24"/>
        </w:rPr>
        <w:t>服务期限自</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日始，至</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日止。</w:t>
      </w:r>
    </w:p>
    <w:p w14:paraId="224D0DB4">
      <w:pPr>
        <w:adjustRightInd w:val="0"/>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（4）</w:t>
      </w:r>
      <w:r>
        <w:rPr>
          <w:rFonts w:hint="eastAsia" w:ascii="仿宋" w:hAnsi="仿宋" w:eastAsia="仿宋" w:cs="仿宋"/>
          <w:sz w:val="24"/>
          <w:szCs w:val="24"/>
        </w:rPr>
        <w:t>其他相关服务期限自</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日始，至</w:t>
      </w:r>
      <w:r>
        <w:rPr>
          <w:rFonts w:hint="eastAsia" w:ascii="仿宋" w:hAnsi="仿宋" w:eastAsia="仿宋" w:cs="仿宋"/>
          <w:sz w:val="24"/>
          <w:szCs w:val="24"/>
          <w:u w:val="single"/>
        </w:rPr>
        <w:t xml:space="preserve">  /  </w:t>
      </w:r>
      <w:r>
        <w:rPr>
          <w:rFonts w:hint="eastAsia" w:ascii="仿宋" w:hAnsi="仿宋" w:eastAsia="仿宋" w:cs="仿宋"/>
          <w:sz w:val="24"/>
          <w:szCs w:val="24"/>
        </w:rPr>
        <w:t>年</w:t>
      </w:r>
      <w:r>
        <w:rPr>
          <w:rFonts w:hint="eastAsia" w:ascii="仿宋" w:hAnsi="仿宋" w:eastAsia="仿宋" w:cs="仿宋"/>
          <w:sz w:val="24"/>
          <w:szCs w:val="24"/>
          <w:u w:val="single"/>
        </w:rPr>
        <w:t xml:space="preserve"> / </w:t>
      </w:r>
      <w:r>
        <w:rPr>
          <w:rFonts w:hint="eastAsia" w:ascii="仿宋" w:hAnsi="仿宋" w:eastAsia="仿宋" w:cs="仿宋"/>
          <w:sz w:val="24"/>
          <w:szCs w:val="24"/>
        </w:rPr>
        <w:t>月</w:t>
      </w:r>
      <w:r>
        <w:rPr>
          <w:rFonts w:hint="eastAsia" w:ascii="仿宋" w:hAnsi="仿宋" w:eastAsia="仿宋" w:cs="仿宋"/>
          <w:sz w:val="24"/>
          <w:szCs w:val="24"/>
          <w:u w:val="single"/>
        </w:rPr>
        <w:t xml:space="preserve"> / </w:t>
      </w:r>
      <w:r>
        <w:rPr>
          <w:rFonts w:hint="eastAsia" w:ascii="仿宋" w:hAnsi="仿宋" w:eastAsia="仿宋" w:cs="仿宋"/>
          <w:sz w:val="24"/>
          <w:szCs w:val="24"/>
        </w:rPr>
        <w:t>日止。</w:t>
      </w:r>
    </w:p>
    <w:p w14:paraId="1E0AEE32">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七、双方承诺</w:t>
      </w:r>
    </w:p>
    <w:p w14:paraId="7E22BD6C">
      <w:pPr>
        <w:spacing w:line="360" w:lineRule="auto"/>
        <w:ind w:firstLine="480" w:firstLineChars="200"/>
        <w:outlineLvl w:val="0"/>
        <w:rPr>
          <w:rFonts w:hint="eastAsia" w:ascii="仿宋" w:hAnsi="仿宋" w:eastAsia="仿宋" w:cs="仿宋"/>
          <w:b/>
          <w:sz w:val="24"/>
          <w:szCs w:val="24"/>
        </w:rPr>
      </w:pPr>
      <w:r>
        <w:rPr>
          <w:rFonts w:hint="eastAsia" w:ascii="仿宋" w:hAnsi="仿宋" w:eastAsia="仿宋" w:cs="仿宋"/>
          <w:sz w:val="24"/>
          <w:szCs w:val="24"/>
        </w:rPr>
        <w:t>1. 监理人向委托人承诺，按照本合同约定</w:t>
      </w:r>
      <w:r>
        <w:rPr>
          <w:rFonts w:hint="eastAsia" w:ascii="仿宋" w:hAnsi="仿宋" w:eastAsia="仿宋" w:cs="仿宋"/>
          <w:kern w:val="0"/>
          <w:sz w:val="24"/>
          <w:szCs w:val="24"/>
        </w:rPr>
        <w:t>提供</w:t>
      </w:r>
      <w:r>
        <w:rPr>
          <w:rFonts w:hint="eastAsia" w:ascii="仿宋" w:hAnsi="仿宋" w:eastAsia="仿宋" w:cs="仿宋"/>
          <w:sz w:val="24"/>
          <w:szCs w:val="24"/>
        </w:rPr>
        <w:t>监理与相关服务。</w:t>
      </w:r>
    </w:p>
    <w:p w14:paraId="18AAA478">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2. 委托人向监理人承诺，按照本合同约定派遣相应的人员，提供</w:t>
      </w:r>
      <w:r>
        <w:rPr>
          <w:rFonts w:hint="eastAsia" w:ascii="仿宋" w:hAnsi="仿宋" w:eastAsia="仿宋" w:cs="仿宋"/>
          <w:bCs/>
          <w:sz w:val="24"/>
          <w:szCs w:val="24"/>
        </w:rPr>
        <w:t>房屋、资料</w:t>
      </w:r>
      <w:r>
        <w:rPr>
          <w:rFonts w:hint="eastAsia" w:ascii="仿宋" w:hAnsi="仿宋" w:eastAsia="仿宋" w:cs="仿宋"/>
          <w:sz w:val="24"/>
          <w:szCs w:val="24"/>
        </w:rPr>
        <w:t>，并按本合同约定支付酬金。</w:t>
      </w:r>
    </w:p>
    <w:p w14:paraId="695B0538">
      <w:pPr>
        <w:spacing w:line="360" w:lineRule="auto"/>
        <w:ind w:firstLine="482" w:firstLineChars="200"/>
        <w:outlineLvl w:val="0"/>
        <w:rPr>
          <w:rFonts w:hint="eastAsia" w:ascii="仿宋" w:hAnsi="仿宋" w:eastAsia="仿宋" w:cs="仿宋"/>
          <w:b/>
          <w:sz w:val="24"/>
          <w:szCs w:val="24"/>
        </w:rPr>
      </w:pPr>
      <w:r>
        <w:rPr>
          <w:rFonts w:hint="eastAsia" w:ascii="仿宋" w:hAnsi="仿宋" w:eastAsia="仿宋" w:cs="仿宋"/>
          <w:b/>
          <w:sz w:val="24"/>
          <w:szCs w:val="24"/>
        </w:rPr>
        <w:t>八、合同订立</w:t>
      </w:r>
    </w:p>
    <w:p w14:paraId="5FB7098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订立时间：</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rPr>
        <w:t xml:space="preserve">   </w:t>
      </w:r>
      <w:r>
        <w:rPr>
          <w:rFonts w:hint="eastAsia" w:ascii="仿宋" w:hAnsi="仿宋" w:eastAsia="仿宋" w:cs="仿宋"/>
          <w:sz w:val="24"/>
          <w:szCs w:val="24"/>
        </w:rPr>
        <w:t>日。</w:t>
      </w:r>
    </w:p>
    <w:p w14:paraId="5666A9F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订立地点：</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rPr>
        <w:t>乌鲁木齐</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446C08F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本合同一式</w:t>
      </w:r>
      <w:r>
        <w:rPr>
          <w:rFonts w:hint="eastAsia" w:ascii="仿宋" w:hAnsi="仿宋" w:eastAsia="仿宋" w:cs="仿宋"/>
          <w:sz w:val="24"/>
          <w:szCs w:val="24"/>
          <w:u w:val="single"/>
          <w:lang w:val="en-US" w:eastAsia="zh-CN"/>
        </w:rPr>
        <w:t xml:space="preserve"> </w:t>
      </w:r>
      <w:r>
        <w:rPr>
          <w:rFonts w:hint="eastAsia" w:ascii="仿宋" w:hAnsi="仿宋" w:eastAsia="仿宋" w:cs="仿宋"/>
          <w:b/>
          <w:sz w:val="24"/>
          <w:szCs w:val="24"/>
          <w:u w:val="single"/>
          <w:lang w:eastAsia="zh-CN"/>
        </w:rPr>
        <w:t>捌</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rPr>
        <w:t>份，具有同等法律效力，甲方执</w:t>
      </w:r>
      <w:r>
        <w:rPr>
          <w:rFonts w:hint="eastAsia" w:ascii="仿宋" w:hAnsi="仿宋" w:eastAsia="仿宋" w:cs="仿宋"/>
          <w:b/>
          <w:sz w:val="24"/>
          <w:szCs w:val="24"/>
          <w:u w:val="single"/>
          <w:lang w:eastAsia="zh-CN"/>
        </w:rPr>
        <w:t>肆</w:t>
      </w:r>
      <w:r>
        <w:rPr>
          <w:rFonts w:hint="eastAsia" w:ascii="仿宋" w:hAnsi="仿宋" w:eastAsia="仿宋" w:cs="仿宋"/>
          <w:sz w:val="24"/>
          <w:szCs w:val="24"/>
        </w:rPr>
        <w:t>份，乙方执</w:t>
      </w:r>
      <w:r>
        <w:rPr>
          <w:rFonts w:hint="eastAsia" w:ascii="仿宋" w:hAnsi="仿宋" w:eastAsia="仿宋" w:cs="仿宋"/>
          <w:b/>
          <w:sz w:val="24"/>
          <w:szCs w:val="24"/>
          <w:u w:val="single"/>
        </w:rPr>
        <w:t>肆</w:t>
      </w:r>
      <w:r>
        <w:rPr>
          <w:rFonts w:hint="eastAsia" w:ascii="仿宋" w:hAnsi="仿宋" w:eastAsia="仿宋" w:cs="仿宋"/>
          <w:sz w:val="24"/>
          <w:szCs w:val="24"/>
        </w:rPr>
        <w:t>份。</w:t>
      </w:r>
    </w:p>
    <w:p w14:paraId="4D9D0119">
      <w:pPr>
        <w:adjustRightInd w:val="0"/>
        <w:snapToGrid w:val="0"/>
        <w:spacing w:line="360" w:lineRule="auto"/>
        <w:ind w:firstLine="480" w:firstLineChars="200"/>
        <w:rPr>
          <w:rFonts w:hint="eastAsia" w:ascii="仿宋" w:hAnsi="仿宋" w:eastAsia="仿宋" w:cs="仿宋"/>
          <w:sz w:val="24"/>
          <w:szCs w:val="24"/>
        </w:rPr>
      </w:pPr>
    </w:p>
    <w:p w14:paraId="71154154">
      <w:pPr>
        <w:adjustRightInd w:val="0"/>
        <w:snapToGrid w:val="0"/>
        <w:spacing w:line="360" w:lineRule="auto"/>
        <w:ind w:firstLine="480" w:firstLineChars="200"/>
        <w:rPr>
          <w:rFonts w:hint="eastAsia" w:ascii="仿宋" w:hAnsi="仿宋" w:eastAsia="仿宋" w:cs="仿宋"/>
          <w:sz w:val="24"/>
          <w:szCs w:val="24"/>
        </w:rPr>
      </w:pPr>
    </w:p>
    <w:p w14:paraId="0DE8C54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w:t>
      </w:r>
      <w:r>
        <w:rPr>
          <w:rFonts w:hint="eastAsia" w:ascii="仿宋" w:hAnsi="仿宋" w:eastAsia="仿宋" w:cs="仿宋"/>
          <w:sz w:val="24"/>
          <w:szCs w:val="24"/>
          <w:u w:val="single"/>
        </w:rPr>
        <w:t xml:space="preserve">   （盖章）       </w:t>
      </w:r>
      <w:r>
        <w:rPr>
          <w:rFonts w:hint="eastAsia" w:ascii="仿宋" w:hAnsi="仿宋" w:eastAsia="仿宋" w:cs="仿宋"/>
          <w:sz w:val="24"/>
          <w:szCs w:val="24"/>
        </w:rPr>
        <w:t xml:space="preserve">    监理人：</w:t>
      </w:r>
      <w:r>
        <w:rPr>
          <w:rFonts w:hint="eastAsia" w:ascii="仿宋" w:hAnsi="仿宋" w:eastAsia="仿宋" w:cs="仿宋"/>
          <w:sz w:val="24"/>
          <w:szCs w:val="24"/>
          <w:u w:val="single"/>
        </w:rPr>
        <w:t xml:space="preserve">   （盖章）      </w:t>
      </w:r>
    </w:p>
    <w:p w14:paraId="5798B477">
      <w:pPr>
        <w:adjustRightInd w:val="0"/>
        <w:snapToGrid w:val="0"/>
        <w:spacing w:line="360" w:lineRule="auto"/>
        <w:ind w:firstLine="480" w:firstLineChars="200"/>
        <w:rPr>
          <w:rFonts w:hint="eastAsia" w:ascii="仿宋" w:hAnsi="仿宋" w:eastAsia="仿宋" w:cs="仿宋"/>
          <w:b/>
          <w:sz w:val="24"/>
          <w:szCs w:val="24"/>
          <w:u w:val="single"/>
        </w:rPr>
      </w:pPr>
      <w:r>
        <w:rPr>
          <w:rFonts w:hint="eastAsia" w:ascii="仿宋" w:hAnsi="仿宋" w:eastAsia="仿宋" w:cs="仿宋"/>
          <w:sz w:val="24"/>
          <w:szCs w:val="24"/>
        </w:rPr>
        <w:t>住所：</w:t>
      </w:r>
      <w:r>
        <w:rPr>
          <w:rFonts w:hint="eastAsia" w:ascii="仿宋" w:hAnsi="仿宋" w:eastAsia="仿宋" w:cs="仿宋"/>
          <w:b/>
          <w:sz w:val="24"/>
          <w:szCs w:val="24"/>
          <w:u w:val="single"/>
        </w:rPr>
        <w:t>乌市鲤鱼山南路137号</w:t>
      </w:r>
      <w:r>
        <w:rPr>
          <w:rFonts w:hint="eastAsia" w:ascii="仿宋" w:hAnsi="仿宋" w:eastAsia="仿宋" w:cs="仿宋"/>
          <w:b/>
          <w:w w:val="70"/>
          <w:sz w:val="24"/>
          <w:szCs w:val="24"/>
          <w:u w:val="single"/>
        </w:rPr>
        <w:t xml:space="preserve"> </w:t>
      </w:r>
      <w:r>
        <w:rPr>
          <w:rFonts w:hint="eastAsia" w:ascii="仿宋" w:hAnsi="仿宋" w:eastAsia="仿宋" w:cs="仿宋"/>
          <w:sz w:val="24"/>
          <w:szCs w:val="24"/>
        </w:rPr>
        <w:t xml:space="preserve">   住所：</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w:t>
      </w:r>
    </w:p>
    <w:p w14:paraId="48B18DB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邮政编码：</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rPr>
        <w:t>830000</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邮政编码：</w:t>
      </w:r>
      <w:r>
        <w:rPr>
          <w:rFonts w:hint="eastAsia" w:ascii="仿宋" w:hAnsi="仿宋" w:eastAsia="仿宋" w:cs="仿宋"/>
          <w:sz w:val="24"/>
          <w:szCs w:val="24"/>
          <w:u w:val="single"/>
        </w:rPr>
        <w:t xml:space="preserve">  </w:t>
      </w:r>
      <w:r>
        <w:rPr>
          <w:rFonts w:hint="eastAsia" w:ascii="仿宋" w:hAnsi="仿宋" w:eastAsia="仿宋" w:cs="仿宋"/>
          <w:b/>
          <w:sz w:val="24"/>
          <w:szCs w:val="24"/>
          <w:u w:val="single"/>
        </w:rPr>
        <w:t xml:space="preserve">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w:t>
      </w:r>
      <w:r>
        <w:rPr>
          <w:rFonts w:hint="eastAsia" w:ascii="仿宋" w:hAnsi="仿宋" w:eastAsia="仿宋" w:cs="仿宋"/>
          <w:sz w:val="24"/>
          <w:szCs w:val="24"/>
          <w:u w:val="single"/>
        </w:rPr>
        <w:t xml:space="preserve">      </w:t>
      </w:r>
    </w:p>
    <w:p w14:paraId="1A0F89A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法定代表人或其授权            法定代表人或其授权</w:t>
      </w:r>
    </w:p>
    <w:p w14:paraId="23ADE98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的代理人：</w:t>
      </w:r>
      <w:r>
        <w:rPr>
          <w:rFonts w:hint="eastAsia" w:ascii="仿宋" w:hAnsi="仿宋" w:eastAsia="仿宋" w:cs="仿宋"/>
          <w:sz w:val="24"/>
          <w:szCs w:val="24"/>
          <w:u w:val="single"/>
        </w:rPr>
        <w:t xml:space="preserve">（签字）         </w:t>
      </w:r>
      <w:r>
        <w:rPr>
          <w:rFonts w:hint="eastAsia" w:ascii="仿宋" w:hAnsi="仿宋" w:eastAsia="仿宋" w:cs="仿宋"/>
          <w:sz w:val="24"/>
          <w:szCs w:val="24"/>
        </w:rPr>
        <w:t xml:space="preserve">    的代理人：</w:t>
      </w:r>
      <w:r>
        <w:rPr>
          <w:rFonts w:hint="eastAsia" w:ascii="仿宋" w:hAnsi="仿宋" w:eastAsia="仿宋" w:cs="仿宋"/>
          <w:sz w:val="24"/>
          <w:szCs w:val="24"/>
          <w:u w:val="single"/>
        </w:rPr>
        <w:t xml:space="preserve">（签字）         </w:t>
      </w:r>
    </w:p>
    <w:p w14:paraId="43BD2F3F">
      <w:pPr>
        <w:spacing w:line="600" w:lineRule="exact"/>
        <w:ind w:left="5337" w:leftChars="270" w:right="-214" w:rightChars="-89" w:hanging="4689" w:hangingChars="1954"/>
        <w:rPr>
          <w:rFonts w:hint="eastAsia" w:ascii="仿宋" w:hAnsi="仿宋" w:eastAsia="仿宋" w:cs="仿宋"/>
          <w:b/>
          <w:w w:val="80"/>
          <w:kern w:val="0"/>
          <w:sz w:val="24"/>
          <w:szCs w:val="24"/>
          <w:u w:val="none"/>
        </w:rPr>
      </w:pPr>
      <w:r>
        <w:rPr>
          <w:rFonts w:hint="eastAsia" w:ascii="仿宋" w:hAnsi="仿宋" w:eastAsia="仿宋" w:cs="仿宋"/>
          <w:sz w:val="24"/>
          <w:szCs w:val="24"/>
        </w:rPr>
        <w:t>开户银行：</w:t>
      </w:r>
      <w:r>
        <w:rPr>
          <w:rFonts w:hint="eastAsia" w:ascii="仿宋" w:hAnsi="仿宋" w:eastAsia="仿宋" w:cs="仿宋"/>
          <w:b/>
          <w:w w:val="80"/>
          <w:kern w:val="0"/>
          <w:sz w:val="24"/>
          <w:szCs w:val="24"/>
          <w:u w:val="single"/>
        </w:rPr>
        <w:t xml:space="preserve">新疆银行新疆维吾尔 </w:t>
      </w:r>
      <w:r>
        <w:rPr>
          <w:rFonts w:hint="eastAsia" w:ascii="仿宋" w:hAnsi="仿宋" w:eastAsia="仿宋" w:cs="仿宋"/>
          <w:sz w:val="24"/>
          <w:szCs w:val="24"/>
        </w:rPr>
        <w:t xml:space="preserve">     开户银行：</w:t>
      </w:r>
    </w:p>
    <w:p w14:paraId="66AA860E">
      <w:pPr>
        <w:spacing w:line="600" w:lineRule="exact"/>
        <w:ind w:right="-214" w:rightChars="-89" w:firstLine="1831" w:firstLineChars="949"/>
        <w:rPr>
          <w:rFonts w:hint="eastAsia" w:ascii="仿宋" w:hAnsi="仿宋" w:eastAsia="仿宋" w:cs="仿宋"/>
          <w:spacing w:val="12"/>
          <w:sz w:val="24"/>
          <w:szCs w:val="24"/>
          <w:u w:val="single"/>
        </w:rPr>
      </w:pPr>
      <w:r>
        <w:rPr>
          <w:rFonts w:hint="eastAsia" w:ascii="仿宋" w:hAnsi="仿宋" w:eastAsia="仿宋" w:cs="仿宋"/>
          <w:b/>
          <w:w w:val="80"/>
          <w:kern w:val="0"/>
          <w:sz w:val="24"/>
          <w:szCs w:val="24"/>
          <w:u w:val="single"/>
        </w:rPr>
        <w:t>自治区分行营业部</w:t>
      </w:r>
      <w:r>
        <w:rPr>
          <w:rFonts w:hint="eastAsia" w:ascii="仿宋" w:hAnsi="仿宋" w:eastAsia="仿宋" w:cs="仿宋"/>
          <w:sz w:val="24"/>
          <w:szCs w:val="24"/>
        </w:rPr>
        <w:t xml:space="preserve">                </w:t>
      </w:r>
    </w:p>
    <w:p w14:paraId="1A957C8D">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账号：</w:t>
      </w:r>
      <w:r>
        <w:rPr>
          <w:rFonts w:hint="eastAsia" w:ascii="仿宋" w:hAnsi="仿宋" w:eastAsia="仿宋" w:cs="仿宋"/>
          <w:b/>
          <w:sz w:val="24"/>
          <w:szCs w:val="24"/>
          <w:u w:val="single"/>
        </w:rPr>
        <w:t xml:space="preserve">126500004576015514  </w:t>
      </w:r>
      <w:r>
        <w:rPr>
          <w:rFonts w:hint="eastAsia" w:ascii="仿宋" w:hAnsi="仿宋" w:eastAsia="仿宋" w:cs="仿宋"/>
          <w:sz w:val="24"/>
          <w:szCs w:val="24"/>
        </w:rPr>
        <w:t xml:space="preserve">    账号：</w:t>
      </w:r>
      <w:r>
        <w:rPr>
          <w:rFonts w:hint="eastAsia" w:ascii="仿宋" w:hAnsi="仿宋" w:eastAsia="仿宋" w:cs="仿宋"/>
          <w:b/>
          <w:sz w:val="24"/>
          <w:szCs w:val="24"/>
          <w:u w:val="single"/>
        </w:rPr>
        <w:t xml:space="preserve">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w:t>
      </w:r>
      <w:r>
        <w:rPr>
          <w:rFonts w:hint="eastAsia" w:ascii="仿宋" w:hAnsi="仿宋" w:eastAsia="仿宋" w:cs="仿宋"/>
          <w:sz w:val="24"/>
          <w:szCs w:val="24"/>
          <w:u w:val="single"/>
        </w:rPr>
        <w:t xml:space="preserve">   </w:t>
      </w:r>
    </w:p>
    <w:p w14:paraId="5A3F419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电话：</w:t>
      </w:r>
      <w:r>
        <w:rPr>
          <w:rFonts w:hint="eastAsia" w:ascii="仿宋" w:hAnsi="仿宋" w:eastAsia="仿宋" w:cs="仿宋"/>
          <w:sz w:val="24"/>
          <w:szCs w:val="24"/>
          <w:u w:val="single"/>
        </w:rPr>
        <w:t xml:space="preserve">0991-4362694        </w:t>
      </w:r>
      <w:r>
        <w:rPr>
          <w:rFonts w:hint="eastAsia" w:ascii="仿宋" w:hAnsi="仿宋" w:eastAsia="仿宋" w:cs="仿宋"/>
          <w:sz w:val="24"/>
          <w:szCs w:val="24"/>
        </w:rPr>
        <w:t xml:space="preserve">    电话：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3028DBB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传真：</w:t>
      </w:r>
      <w:r>
        <w:rPr>
          <w:rFonts w:hint="eastAsia" w:ascii="仿宋" w:hAnsi="仿宋" w:eastAsia="仿宋" w:cs="仿宋"/>
          <w:sz w:val="24"/>
          <w:szCs w:val="24"/>
          <w:u w:val="single"/>
        </w:rPr>
        <w:t xml:space="preserve">0991-4362694         </w:t>
      </w:r>
      <w:r>
        <w:rPr>
          <w:rFonts w:hint="eastAsia" w:ascii="仿宋" w:hAnsi="仿宋" w:eastAsia="仿宋" w:cs="仿宋"/>
          <w:sz w:val="24"/>
          <w:szCs w:val="24"/>
        </w:rPr>
        <w:t xml:space="preserve">   传真：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4D86E21F">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电子邮箱：</w:t>
      </w:r>
      <w:r>
        <w:rPr>
          <w:rFonts w:hint="eastAsia" w:ascii="仿宋" w:hAnsi="仿宋" w:eastAsia="仿宋" w:cs="仿宋"/>
          <w:sz w:val="24"/>
          <w:szCs w:val="24"/>
          <w:u w:val="single"/>
        </w:rPr>
        <w:fldChar w:fldCharType="begin"/>
      </w:r>
      <w:r>
        <w:rPr>
          <w:rFonts w:hint="eastAsia" w:ascii="仿宋" w:hAnsi="仿宋" w:eastAsia="仿宋" w:cs="仿宋"/>
          <w:sz w:val="24"/>
          <w:szCs w:val="24"/>
          <w:u w:val="single"/>
        </w:rPr>
        <w:instrText xml:space="preserve"> HYPERLINK "mailto:1921628523@qq.com" </w:instrText>
      </w:r>
      <w:r>
        <w:rPr>
          <w:rFonts w:hint="eastAsia" w:ascii="仿宋" w:hAnsi="仿宋" w:eastAsia="仿宋" w:cs="仿宋"/>
          <w:sz w:val="24"/>
          <w:szCs w:val="24"/>
          <w:u w:val="single"/>
        </w:rPr>
        <w:fldChar w:fldCharType="separate"/>
      </w:r>
      <w:r>
        <w:rPr>
          <w:rStyle w:val="32"/>
          <w:rFonts w:hint="eastAsia" w:ascii="仿宋" w:hAnsi="仿宋" w:eastAsia="仿宋" w:cs="仿宋"/>
          <w:color w:val="auto"/>
          <w:sz w:val="24"/>
          <w:szCs w:val="24"/>
        </w:rPr>
        <w:t>1921628523@qq.com</w:t>
      </w:r>
      <w:r>
        <w:rPr>
          <w:rFonts w:hint="eastAsia" w:ascii="仿宋" w:hAnsi="仿宋" w:eastAsia="仿宋" w:cs="仿宋"/>
          <w:sz w:val="24"/>
          <w:szCs w:val="24"/>
          <w:u w:val="single"/>
        </w:rPr>
        <w:fldChar w:fldCharType="end"/>
      </w:r>
      <w:r>
        <w:rPr>
          <w:rFonts w:hint="eastAsia" w:ascii="仿宋" w:hAnsi="仿宋" w:eastAsia="仿宋" w:cs="仿宋"/>
          <w:sz w:val="24"/>
          <w:szCs w:val="24"/>
        </w:rPr>
        <w:t xml:space="preserve">   电子邮箱：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52CC67BA">
      <w:pPr>
        <w:pageBreakBefore/>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第二部分  通用条件</w:t>
      </w:r>
    </w:p>
    <w:p w14:paraId="09BC3B91">
      <w:pPr>
        <w:spacing w:line="360" w:lineRule="auto"/>
        <w:jc w:val="center"/>
        <w:rPr>
          <w:rFonts w:hint="eastAsia" w:ascii="仿宋" w:hAnsi="仿宋" w:eastAsia="仿宋" w:cs="仿宋"/>
          <w:b/>
          <w:sz w:val="24"/>
          <w:szCs w:val="24"/>
        </w:rPr>
      </w:pPr>
    </w:p>
    <w:p w14:paraId="1CA3987A">
      <w:pPr>
        <w:spacing w:line="360" w:lineRule="auto"/>
        <w:rPr>
          <w:rFonts w:hint="eastAsia" w:ascii="仿宋" w:hAnsi="仿宋" w:eastAsia="仿宋" w:cs="仿宋"/>
          <w:b/>
          <w:sz w:val="24"/>
          <w:szCs w:val="24"/>
        </w:rPr>
      </w:pPr>
      <w:r>
        <w:rPr>
          <w:rFonts w:hint="eastAsia" w:ascii="仿宋" w:hAnsi="仿宋" w:eastAsia="仿宋" w:cs="仿宋"/>
          <w:b/>
          <w:sz w:val="24"/>
          <w:szCs w:val="24"/>
        </w:rPr>
        <w:t>1. 定义与解释</w:t>
      </w:r>
    </w:p>
    <w:p w14:paraId="509363C2">
      <w:pPr>
        <w:spacing w:line="360" w:lineRule="auto"/>
        <w:ind w:left="240" w:leftChars="100"/>
        <w:rPr>
          <w:rFonts w:hint="eastAsia" w:ascii="仿宋" w:hAnsi="仿宋" w:eastAsia="仿宋" w:cs="仿宋"/>
          <w:bCs/>
          <w:sz w:val="24"/>
          <w:szCs w:val="24"/>
        </w:rPr>
      </w:pPr>
      <w:r>
        <w:rPr>
          <w:rFonts w:hint="eastAsia" w:ascii="仿宋" w:hAnsi="仿宋" w:eastAsia="仿宋" w:cs="仿宋"/>
          <w:sz w:val="24"/>
          <w:szCs w:val="24"/>
        </w:rPr>
        <w:t xml:space="preserve">1.1 </w:t>
      </w:r>
      <w:r>
        <w:rPr>
          <w:rFonts w:hint="eastAsia" w:ascii="仿宋" w:hAnsi="仿宋" w:eastAsia="仿宋" w:cs="仿宋"/>
          <w:bCs/>
          <w:sz w:val="24"/>
          <w:szCs w:val="24"/>
        </w:rPr>
        <w:t>定义</w:t>
      </w:r>
    </w:p>
    <w:p w14:paraId="0D10084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除根据上下文另有其意义外，组成本合同的全部文件中的下列名词和用语应具有本款所赋予的含义：</w:t>
      </w:r>
    </w:p>
    <w:p w14:paraId="3F19166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 “工程”是指按照本合同约定实施监理与相关服务的建设工程。</w:t>
      </w:r>
    </w:p>
    <w:p w14:paraId="153E897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1.1.2 “委托人”是指本合同中委托监理与相关服务的一方，及其合法的继承人或受让人。</w:t>
      </w:r>
    </w:p>
    <w:p w14:paraId="3FEB1B1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1.1.3 “监理人”是指本合同中提供监理与相关服务的一方，及其合法的继承人。</w:t>
      </w:r>
    </w:p>
    <w:p w14:paraId="61771B4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1.1.4 “承包人”是指在工程范围内与委托人签订勘察、设计、施工等有关合同的当事人，及其合法的继承人。</w:t>
      </w:r>
    </w:p>
    <w:p w14:paraId="5DE3596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2B1C37E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1.1.6 “相关服务”是指监理人受委托人的委托 ，按照本合同约定，在勘察、设计、保修等阶段提供的服务活动。</w:t>
      </w:r>
    </w:p>
    <w:p w14:paraId="552FF12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1.1.7 “正常工作”指本合同订立时通用条件和专用条件中约定的监理人的工作。</w:t>
      </w:r>
    </w:p>
    <w:p w14:paraId="16014C1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1.1.8 “附加工作”是指本合同约定的正常工作以外监理人的工作。</w:t>
      </w:r>
    </w:p>
    <w:p w14:paraId="36D5BBC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1.1.9 “项目监理机构”是指监理人派驻工程负责履行本合同的组织机构。</w:t>
      </w:r>
    </w:p>
    <w:p w14:paraId="04EBCF3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1.1.10 “总监理工程师”是指由监理人的法定代表人书面授权，全面负责履行本合同、主持项目监理机构工作的注册监理工程师。</w:t>
      </w:r>
    </w:p>
    <w:p w14:paraId="73D0D55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1.1.11 “酬金”是指监理人履行本合同义务，委托人按照本合同约定给付监理人的金额。</w:t>
      </w:r>
    </w:p>
    <w:p w14:paraId="42304EB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1.1.12 “正常工作</w:t>
      </w:r>
      <w:r>
        <w:rPr>
          <w:rFonts w:hint="eastAsia" w:ascii="仿宋" w:hAnsi="仿宋" w:eastAsia="仿宋" w:cs="仿宋"/>
          <w:kern w:val="0"/>
          <w:sz w:val="24"/>
          <w:szCs w:val="24"/>
        </w:rPr>
        <w:t>酬金”</w:t>
      </w:r>
      <w:r>
        <w:rPr>
          <w:rFonts w:hint="eastAsia" w:ascii="仿宋" w:hAnsi="仿宋" w:eastAsia="仿宋" w:cs="仿宋"/>
          <w:sz w:val="24"/>
          <w:szCs w:val="24"/>
        </w:rPr>
        <w:t>是指监理人完成正常工作，委托人应给付监理人并在协议书中载明的签约</w:t>
      </w:r>
      <w:r>
        <w:rPr>
          <w:rFonts w:hint="eastAsia" w:ascii="仿宋" w:hAnsi="仿宋" w:eastAsia="仿宋" w:cs="仿宋"/>
          <w:kern w:val="0"/>
          <w:sz w:val="24"/>
          <w:szCs w:val="24"/>
        </w:rPr>
        <w:t>酬金额</w:t>
      </w:r>
      <w:r>
        <w:rPr>
          <w:rFonts w:hint="eastAsia" w:ascii="仿宋" w:hAnsi="仿宋" w:eastAsia="仿宋" w:cs="仿宋"/>
          <w:sz w:val="24"/>
          <w:szCs w:val="24"/>
        </w:rPr>
        <w:t>。</w:t>
      </w:r>
    </w:p>
    <w:p w14:paraId="6C58AE7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1.1.13 “附加工作酬金”是指监理人完成附加工作，委托人应给付监理人的金额。</w:t>
      </w:r>
    </w:p>
    <w:p w14:paraId="4D320F9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1.1.14 “一方”是指委托人或监理人；“双方”是指委托人和监理人；“第三方”是指除委托人和监理人以外的有关方。</w:t>
      </w:r>
    </w:p>
    <w:p w14:paraId="13C9F6B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1.1.15 “书面形式”是指合同书、信件和数据电文（包括电报、电传、传真、电子数据交换和电子邮件）等可以有形地表现所载内容的形式。</w:t>
      </w:r>
    </w:p>
    <w:p w14:paraId="1CDB024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1.1.16 “天”是指第一天零时至第二天零时的时间。</w:t>
      </w:r>
    </w:p>
    <w:p w14:paraId="123DBF1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1.1.17“月”是指按公历从一个月中任何一天开始的一个公历月时间。</w:t>
      </w:r>
    </w:p>
    <w:p w14:paraId="14E07FF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1.1.18 “不可抗力”是指委托人和监理人在订立本合同时不可预见，在工程施工过程中不可避免发生并不能克服的自然灾害和社会性突发事件，如地震、海啸、瘟疫、水灾、骚乱、暴动、战争和专用条件约定的其他情形。</w:t>
      </w:r>
    </w:p>
    <w:p w14:paraId="4FF9827C">
      <w:pPr>
        <w:adjustRightInd w:val="0"/>
        <w:snapToGrid w:val="0"/>
        <w:spacing w:line="360" w:lineRule="auto"/>
        <w:rPr>
          <w:rFonts w:hint="eastAsia" w:ascii="仿宋" w:hAnsi="仿宋" w:eastAsia="仿宋" w:cs="仿宋"/>
          <w:sz w:val="24"/>
          <w:szCs w:val="24"/>
        </w:rPr>
      </w:pPr>
      <w:r>
        <w:rPr>
          <w:rFonts w:hint="eastAsia" w:ascii="仿宋" w:hAnsi="仿宋" w:eastAsia="仿宋" w:cs="仿宋"/>
          <w:bCs/>
          <w:sz w:val="24"/>
          <w:szCs w:val="24"/>
        </w:rPr>
        <w:t xml:space="preserve">1.2 </w:t>
      </w:r>
      <w:r>
        <w:rPr>
          <w:rFonts w:hint="eastAsia" w:ascii="仿宋" w:hAnsi="仿宋" w:eastAsia="仿宋" w:cs="仿宋"/>
          <w:sz w:val="24"/>
          <w:szCs w:val="24"/>
        </w:rPr>
        <w:t>解释</w:t>
      </w:r>
    </w:p>
    <w:p w14:paraId="605260E3">
      <w:pPr>
        <w:tabs>
          <w:tab w:val="left" w:pos="6140"/>
        </w:tabs>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1.2.1本合同使用中文书写、解释和说明。如专用条件约定使用两种及以上语言文字时，应以中文为准。</w:t>
      </w:r>
    </w:p>
    <w:p w14:paraId="1ADB601A">
      <w:pPr>
        <w:tabs>
          <w:tab w:val="left" w:pos="6140"/>
        </w:tabs>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1.2.2 组成本合同的下列文件彼此应能相互解释、互为说明。除专用条件另有约定外，本合同文件的解释顺序如下：</w:t>
      </w:r>
    </w:p>
    <w:p w14:paraId="20EA38D9">
      <w:pPr>
        <w:tabs>
          <w:tab w:val="left" w:pos="6140"/>
        </w:tabs>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（1）协议书；</w:t>
      </w:r>
    </w:p>
    <w:p w14:paraId="374EBCEA">
      <w:pPr>
        <w:tabs>
          <w:tab w:val="left" w:pos="6140"/>
        </w:tabs>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（2）中标通知书（适用于招标工程）或委托书（适用于非招标工程）；</w:t>
      </w:r>
    </w:p>
    <w:p w14:paraId="27A0781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（3）专用条件及附录A、附录B；</w:t>
      </w:r>
    </w:p>
    <w:p w14:paraId="0A2AE2E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（4）通用条件；</w:t>
      </w:r>
    </w:p>
    <w:p w14:paraId="630D998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（5）投标文件（适用于招标工程）或监理与相关服务建议书（适用于非招标工程）。</w:t>
      </w:r>
    </w:p>
    <w:p w14:paraId="53FA3BD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双方签订的补充协议与其他文件发生矛盾或歧义时，属于同一类内容的文件，应以最新签署的为准。</w:t>
      </w:r>
    </w:p>
    <w:p w14:paraId="70B6E9D9">
      <w:pPr>
        <w:spacing w:line="360" w:lineRule="auto"/>
        <w:rPr>
          <w:rFonts w:hint="eastAsia" w:ascii="仿宋" w:hAnsi="仿宋" w:eastAsia="仿宋" w:cs="仿宋"/>
          <w:b/>
          <w:sz w:val="24"/>
          <w:szCs w:val="24"/>
        </w:rPr>
      </w:pPr>
      <w:r>
        <w:rPr>
          <w:rFonts w:hint="eastAsia" w:ascii="仿宋" w:hAnsi="仿宋" w:eastAsia="仿宋" w:cs="仿宋"/>
          <w:b/>
          <w:sz w:val="24"/>
          <w:szCs w:val="24"/>
        </w:rPr>
        <w:t>2. 监理人的义务</w:t>
      </w:r>
    </w:p>
    <w:p w14:paraId="7000A7FD">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2.1 监理的范围和工作内容</w:t>
      </w:r>
    </w:p>
    <w:p w14:paraId="1EC3186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 监理范围在专用条件中约定。</w:t>
      </w:r>
    </w:p>
    <w:p w14:paraId="3BE9666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 除专用条件另有约定外，监理工作内容包括：</w:t>
      </w:r>
    </w:p>
    <w:p w14:paraId="76ABB8B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（1）收到工程设计文件后编制监理规划，并在第一次工地会议7天前报委托人。根据有关规定和监理工作需要，编制监理实施细则；</w:t>
      </w:r>
    </w:p>
    <w:p w14:paraId="390D22E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highlight w:val="none"/>
        </w:rPr>
        <w:t>熟悉工程设计文件</w:t>
      </w:r>
      <w:r>
        <w:rPr>
          <w:rFonts w:hint="eastAsia" w:ascii="仿宋" w:hAnsi="仿宋" w:eastAsia="仿宋" w:cs="仿宋"/>
          <w:sz w:val="24"/>
          <w:szCs w:val="24"/>
          <w:highlight w:val="none"/>
          <w:lang w:eastAsia="zh-CN"/>
        </w:rPr>
        <w:t>及清单内容</w:t>
      </w:r>
      <w:r>
        <w:rPr>
          <w:rFonts w:hint="eastAsia" w:ascii="仿宋" w:hAnsi="仿宋" w:eastAsia="仿宋" w:cs="仿宋"/>
          <w:sz w:val="24"/>
          <w:szCs w:val="24"/>
          <w:highlight w:val="none"/>
        </w:rPr>
        <w:t>，</w:t>
      </w:r>
      <w:r>
        <w:rPr>
          <w:rFonts w:hint="eastAsia" w:ascii="仿宋" w:hAnsi="仿宋" w:eastAsia="仿宋" w:cs="仿宋"/>
          <w:sz w:val="24"/>
          <w:szCs w:val="24"/>
        </w:rPr>
        <w:t>并参加由委托人主持的图纸会审和设计交底会议；</w:t>
      </w:r>
    </w:p>
    <w:p w14:paraId="5D9FD8C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（3）参加由委托人主持的第一次工地会议；主持监理例会并根据工程需要主持或参加专题会议；</w:t>
      </w:r>
    </w:p>
    <w:p w14:paraId="6A8FFFF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（4）审查施工承包人提交的施工组织设计，重点审查其中的质量安全技术措施、专项施工方案与工程建设强制性标准的符合性；</w:t>
      </w:r>
    </w:p>
    <w:p w14:paraId="2CF72B9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（5）检查施工承包人工程质量、安全生产管理制度及组织机构和人员资格；</w:t>
      </w:r>
    </w:p>
    <w:p w14:paraId="70B888B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（6）检查施工承包人专职安全生产管理人员的配备情况；</w:t>
      </w:r>
    </w:p>
    <w:p w14:paraId="4ED4150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（7）审查施工承包人提交的施工进度计划，核查承包人对施工进度计划的调整；</w:t>
      </w:r>
    </w:p>
    <w:p w14:paraId="456BE22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（8）检查施工承包人的试验室；</w:t>
      </w:r>
    </w:p>
    <w:p w14:paraId="00A3CD4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（9）审核施工分包人资质条件；</w:t>
      </w:r>
    </w:p>
    <w:p w14:paraId="1949233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（10）查验施工承包人的施工测量放线成果；</w:t>
      </w:r>
    </w:p>
    <w:p w14:paraId="4E6FF93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（11）审查工程开工条件，对条件具备的签发开工令；</w:t>
      </w:r>
    </w:p>
    <w:p w14:paraId="23055D8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（12）审查施工承包人报送的工程材料、构配件、设备质量证明文件的有效性和符合性，并按规定对用于工程的材料采取平行检验或见证取样方式进行抽检；</w:t>
      </w:r>
    </w:p>
    <w:p w14:paraId="7D2B773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（13）审核施工承包人提交的工程款支付申请，签发或出具工程款支付证书，并报委托人审核、批准；</w:t>
      </w:r>
    </w:p>
    <w:p w14:paraId="163CB68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（14）在巡视、旁站和检验过程中，发现工程质量、施工安全存在事故隐患的，要求施工承包人整改并报委托人；</w:t>
      </w:r>
    </w:p>
    <w:p w14:paraId="5D188AF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（15）经委托人同意，签发工程暂停令和复工令；</w:t>
      </w:r>
    </w:p>
    <w:p w14:paraId="2620C52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（16）审查施工承包人提交的采用新材料、新工艺、新技术、新设备的论证材料及相关验收标准；</w:t>
      </w:r>
    </w:p>
    <w:p w14:paraId="683B37A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（17）验收隐蔽工程、分部分项工程；</w:t>
      </w:r>
    </w:p>
    <w:p w14:paraId="2A8C98A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（18）审查施工承包人提交的工程变更申请，协调处理施工进度调整、费用索赔、合同争议等事项；</w:t>
      </w:r>
    </w:p>
    <w:p w14:paraId="1774B16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（19）审查施工承包人提交的竣工验收申请，编写工程质量评估报告；</w:t>
      </w:r>
    </w:p>
    <w:p w14:paraId="1D13088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（20）参加工程竣工验收，签署竣工验收意见；</w:t>
      </w:r>
    </w:p>
    <w:p w14:paraId="203AD89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（21）审查施工承包人提交的竣工结算申请并报委托人；</w:t>
      </w:r>
    </w:p>
    <w:p w14:paraId="121D108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（22）编制、整理工程监理归档文件并报委托人。</w:t>
      </w:r>
    </w:p>
    <w:p w14:paraId="396DECB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 相关服务的范围和内容在附录A中约定。</w:t>
      </w:r>
    </w:p>
    <w:p w14:paraId="74085B12">
      <w:pPr>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2.2 </w:t>
      </w:r>
      <w:r>
        <w:rPr>
          <w:rFonts w:hint="eastAsia" w:ascii="仿宋" w:hAnsi="仿宋" w:eastAsia="仿宋" w:cs="仿宋"/>
          <w:bCs/>
          <w:sz w:val="24"/>
          <w:szCs w:val="24"/>
        </w:rPr>
        <w:t>监理与相关服务依据</w:t>
      </w:r>
    </w:p>
    <w:p w14:paraId="0DFE35E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2.2.1 监理依据包括：</w:t>
      </w:r>
    </w:p>
    <w:p w14:paraId="624ED60E">
      <w:pPr>
        <w:adjustRightInd w:val="0"/>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sz w:val="24"/>
          <w:szCs w:val="24"/>
        </w:rPr>
        <w:t>（1）适用的法律、行政法规及部门规章；</w:t>
      </w:r>
    </w:p>
    <w:p w14:paraId="62EB2F57">
      <w:pPr>
        <w:adjustRightInd w:val="0"/>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sz w:val="24"/>
          <w:szCs w:val="24"/>
        </w:rPr>
        <w:t>（2）与工程有关的标准；</w:t>
      </w:r>
    </w:p>
    <w:p w14:paraId="1965ED07">
      <w:pPr>
        <w:adjustRightInd w:val="0"/>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sz w:val="24"/>
          <w:szCs w:val="24"/>
        </w:rPr>
        <w:t>（3）工程设计及有关文件；</w:t>
      </w:r>
    </w:p>
    <w:p w14:paraId="0A28D2AF">
      <w:pPr>
        <w:adjustRightInd w:val="0"/>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sz w:val="24"/>
          <w:szCs w:val="24"/>
        </w:rPr>
        <w:t>（4）本合同及委托人与第三方签订的与实施工程有关的其他合同。</w:t>
      </w:r>
    </w:p>
    <w:p w14:paraId="3602610C">
      <w:pPr>
        <w:spacing w:line="360" w:lineRule="auto"/>
        <w:ind w:left="240" w:leftChars="100" w:firstLine="480" w:firstLineChars="200"/>
        <w:rPr>
          <w:rFonts w:hint="eastAsia" w:ascii="仿宋" w:hAnsi="仿宋" w:eastAsia="仿宋" w:cs="仿宋"/>
          <w:bCs/>
          <w:sz w:val="24"/>
          <w:szCs w:val="24"/>
        </w:rPr>
      </w:pPr>
      <w:r>
        <w:rPr>
          <w:rFonts w:hint="eastAsia" w:ascii="仿宋" w:hAnsi="仿宋" w:eastAsia="仿宋" w:cs="仿宋"/>
          <w:bCs/>
          <w:sz w:val="24"/>
          <w:szCs w:val="24"/>
        </w:rPr>
        <w:t>双方根据工程的行业和地域特点，在专用条件中具体约定监理依据。</w:t>
      </w:r>
    </w:p>
    <w:p w14:paraId="308932B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2.2.2 相关服务依据在专用条件中约定。</w:t>
      </w:r>
    </w:p>
    <w:p w14:paraId="0ED686E3">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2.3 项目监理机构和人员</w:t>
      </w:r>
    </w:p>
    <w:p w14:paraId="4603C21A">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2.3.1 监理人应组建满足工作需要的项目监理机构，配备必要的检测设备。项目监理机构的主要人员应具有相应的资格条件。</w:t>
      </w:r>
    </w:p>
    <w:p w14:paraId="353539A9">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2.3.2本合同履行过程中，总监理工程师及重要岗位监理人员应保持相对稳定，以保证监理工作正常进行。</w:t>
      </w:r>
    </w:p>
    <w:p w14:paraId="65BEC545">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18D22A0E">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2.3.4 监理人应及时更换有下列情形之一的监理人员：</w:t>
      </w:r>
    </w:p>
    <w:p w14:paraId="58A1B81F">
      <w:pPr>
        <w:adjustRightInd w:val="0"/>
        <w:snapToGrid w:val="0"/>
        <w:spacing w:line="360"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（1）</w:t>
      </w:r>
      <w:r>
        <w:rPr>
          <w:rFonts w:hint="eastAsia" w:ascii="仿宋" w:hAnsi="仿宋" w:eastAsia="仿宋" w:cs="仿宋"/>
          <w:kern w:val="0"/>
          <w:sz w:val="24"/>
          <w:szCs w:val="24"/>
          <w:lang w:eastAsia="zh-CN"/>
        </w:rPr>
        <w:t>不服从甲方管理规定的；</w:t>
      </w:r>
    </w:p>
    <w:p w14:paraId="0B2F0559">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严重过失行为的；</w:t>
      </w:r>
    </w:p>
    <w:p w14:paraId="6EFC8EDA">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）有违法行为不能履行职责的；</w:t>
      </w:r>
    </w:p>
    <w:p w14:paraId="3DA78156">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）涉嫌犯罪的；</w:t>
      </w:r>
    </w:p>
    <w:p w14:paraId="1EFC8E93">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）不能胜任岗位职责的；</w:t>
      </w:r>
    </w:p>
    <w:p w14:paraId="737BBFB6">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）严重违反职业道德的；</w:t>
      </w:r>
    </w:p>
    <w:p w14:paraId="0493ECD5">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）专用条件约定的其他情形。</w:t>
      </w:r>
    </w:p>
    <w:p w14:paraId="756F8259">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2.3.5 委托人可要求监理人更换不能胜任本职工作的项目监理机构人员。</w:t>
      </w:r>
    </w:p>
    <w:p w14:paraId="065B2F42">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2.4 履行职责</w:t>
      </w:r>
    </w:p>
    <w:p w14:paraId="62C09B4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监理人应遵循职业道德准则和行为规范，严格按照法律法规、工程建设有关标准及本合同履行职责。</w:t>
      </w:r>
    </w:p>
    <w:p w14:paraId="7AF3A747">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2.4.1 在监理与相关服务范围内，委托人和承包人提出的意见和要求，监理人应及时提出处置意见。当委托人与承包人之间发生合同争议时，监理人应协助委托人、承包人协商解决。</w:t>
      </w:r>
    </w:p>
    <w:p w14:paraId="7AE359A6">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2.4.2 当委托人与承包人之间的合同争议提交仲裁机构仲裁或人民法院审理时，监理人应提供必要的证明资料。</w:t>
      </w:r>
    </w:p>
    <w:p w14:paraId="45CBE85E">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2.4.3 监理人应在专用条件约定的授权范围内，处理委托人与承包人所签订合同的变更事宜。如果变更超过授权范围，应以书面形式报委托人批准。</w:t>
      </w:r>
    </w:p>
    <w:p w14:paraId="415644A1">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在紧急情况下，为了保护财产和人身安全，监理人所发出的指令未能事先报委托人批准时，应在发出指令后的24小时内以书面形式报委托人。</w:t>
      </w:r>
    </w:p>
    <w:p w14:paraId="7702F373">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rPr>
        <w:t>2.4.4 除专用条件另有约定外，监理人发现承包人的人员不能胜任本职工作的，</w:t>
      </w:r>
      <w:r>
        <w:rPr>
          <w:rFonts w:hint="eastAsia" w:ascii="仿宋" w:hAnsi="仿宋" w:eastAsia="仿宋" w:cs="仿宋"/>
          <w:kern w:val="0"/>
          <w:sz w:val="24"/>
          <w:szCs w:val="24"/>
          <w:highlight w:val="none"/>
          <w:lang w:eastAsia="zh-CN"/>
        </w:rPr>
        <w:t>经甲方同意后可</w:t>
      </w:r>
      <w:r>
        <w:rPr>
          <w:rFonts w:hint="eastAsia" w:ascii="仿宋" w:hAnsi="仿宋" w:eastAsia="仿宋" w:cs="仿宋"/>
          <w:kern w:val="0"/>
          <w:sz w:val="24"/>
          <w:szCs w:val="24"/>
          <w:highlight w:val="none"/>
        </w:rPr>
        <w:t>要求承包人予以调换。</w:t>
      </w:r>
    </w:p>
    <w:p w14:paraId="70413E76">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2.5 提交报告</w:t>
      </w:r>
    </w:p>
    <w:p w14:paraId="6581425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监理人应按专用条件约定的种类、时间和份数向委托人提交监理与相关服务的报告。</w:t>
      </w:r>
    </w:p>
    <w:p w14:paraId="3E286CBC">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2.6 文件资料</w:t>
      </w:r>
    </w:p>
    <w:p w14:paraId="47BAC8C3">
      <w:pPr>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在本合同履行期内，监理人应在现场保留工作所用的图纸、报告及记录监理工</w:t>
      </w:r>
      <w:r>
        <w:rPr>
          <w:rFonts w:hint="eastAsia" w:ascii="仿宋" w:hAnsi="仿宋" w:eastAsia="仿宋" w:cs="仿宋"/>
          <w:sz w:val="24"/>
          <w:szCs w:val="24"/>
        </w:rPr>
        <w:t>作的相关文件。工程竣工后，应当按照档案管理规定</w:t>
      </w:r>
      <w:r>
        <w:rPr>
          <w:rFonts w:hint="eastAsia" w:ascii="仿宋" w:hAnsi="仿宋" w:eastAsia="仿宋" w:cs="仿宋"/>
          <w:sz w:val="24"/>
          <w:szCs w:val="24"/>
          <w:lang w:eastAsia="zh-CN"/>
        </w:rPr>
        <w:t>及甲方要求</w:t>
      </w:r>
      <w:r>
        <w:rPr>
          <w:rFonts w:hint="eastAsia" w:ascii="仿宋" w:hAnsi="仿宋" w:eastAsia="仿宋" w:cs="仿宋"/>
          <w:sz w:val="24"/>
          <w:szCs w:val="24"/>
        </w:rPr>
        <w:t>将监理有关文件归档。</w:t>
      </w:r>
    </w:p>
    <w:p w14:paraId="287F4BC3">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2.7 使用委托人的财产</w:t>
      </w:r>
    </w:p>
    <w:p w14:paraId="4EDD4FE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监理人无偿使用附录B中由委托人派遣的人员和提供的房屋、资料。除专用条件另有约定外，委托人提供的房屋</w:t>
      </w:r>
      <w:r>
        <w:rPr>
          <w:rFonts w:hint="eastAsia" w:ascii="仿宋" w:hAnsi="仿宋" w:eastAsia="仿宋" w:cs="仿宋"/>
          <w:sz w:val="24"/>
          <w:szCs w:val="24"/>
          <w:lang w:eastAsia="zh-CN"/>
        </w:rPr>
        <w:t>等</w:t>
      </w:r>
      <w:r>
        <w:rPr>
          <w:rFonts w:hint="eastAsia" w:ascii="仿宋" w:hAnsi="仿宋" w:eastAsia="仿宋" w:cs="仿宋"/>
          <w:sz w:val="24"/>
          <w:szCs w:val="24"/>
        </w:rPr>
        <w:t>属于委托人的财产，监理人应妥善使用和保管，在本合同终止时将这些房屋</w:t>
      </w:r>
      <w:r>
        <w:rPr>
          <w:rFonts w:hint="eastAsia" w:ascii="仿宋" w:hAnsi="仿宋" w:eastAsia="仿宋" w:cs="仿宋"/>
          <w:sz w:val="24"/>
          <w:szCs w:val="24"/>
          <w:lang w:eastAsia="zh-CN"/>
        </w:rPr>
        <w:t>等</w:t>
      </w:r>
      <w:r>
        <w:rPr>
          <w:rFonts w:hint="eastAsia" w:ascii="仿宋" w:hAnsi="仿宋" w:eastAsia="仿宋" w:cs="仿宋"/>
          <w:sz w:val="24"/>
          <w:szCs w:val="24"/>
        </w:rPr>
        <w:t>清单提交委托人，并按专用条件约定的时间和方式移交。</w:t>
      </w:r>
    </w:p>
    <w:p w14:paraId="23B360ED">
      <w:pPr>
        <w:spacing w:line="360" w:lineRule="auto"/>
        <w:rPr>
          <w:rFonts w:hint="eastAsia" w:ascii="仿宋" w:hAnsi="仿宋" w:eastAsia="仿宋" w:cs="仿宋"/>
          <w:b/>
          <w:kern w:val="0"/>
          <w:sz w:val="24"/>
          <w:szCs w:val="24"/>
        </w:rPr>
      </w:pPr>
      <w:r>
        <w:rPr>
          <w:rFonts w:hint="eastAsia" w:ascii="仿宋" w:hAnsi="仿宋" w:eastAsia="仿宋" w:cs="仿宋"/>
          <w:b/>
          <w:kern w:val="0"/>
          <w:sz w:val="24"/>
          <w:szCs w:val="24"/>
        </w:rPr>
        <w:t>3．委托人的义务</w:t>
      </w:r>
    </w:p>
    <w:p w14:paraId="3E1992F2">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3.1 告知</w:t>
      </w:r>
    </w:p>
    <w:p w14:paraId="69E56364">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委托人应在委托人与</w:t>
      </w:r>
      <w:r>
        <w:rPr>
          <w:rFonts w:hint="eastAsia" w:ascii="仿宋" w:hAnsi="仿宋" w:eastAsia="仿宋" w:cs="仿宋"/>
          <w:kern w:val="0"/>
          <w:sz w:val="24"/>
          <w:szCs w:val="24"/>
          <w:lang w:eastAsia="zh-CN"/>
        </w:rPr>
        <w:t>承包人</w:t>
      </w:r>
      <w:r>
        <w:rPr>
          <w:rFonts w:hint="eastAsia" w:ascii="仿宋" w:hAnsi="仿宋" w:eastAsia="仿宋" w:cs="仿宋"/>
          <w:kern w:val="0"/>
          <w:sz w:val="24"/>
          <w:szCs w:val="24"/>
        </w:rPr>
        <w:t>签订的合同中明确监理人、总监理工程师和授予项目监理机构的权限。如有变更，应及时通知承包人。</w:t>
      </w:r>
    </w:p>
    <w:p w14:paraId="54CC28CF">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3.2 提供资料</w:t>
      </w:r>
    </w:p>
    <w:p w14:paraId="363E1E5F">
      <w:pPr>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委托人应按照附录B约定，</w:t>
      </w:r>
      <w:r>
        <w:rPr>
          <w:rFonts w:hint="eastAsia" w:ascii="仿宋" w:hAnsi="仿宋" w:eastAsia="仿宋" w:cs="仿宋"/>
          <w:color w:val="000000"/>
          <w:kern w:val="0"/>
          <w:sz w:val="24"/>
          <w:szCs w:val="24"/>
        </w:rPr>
        <w:t>无偿</w:t>
      </w:r>
      <w:r>
        <w:rPr>
          <w:rFonts w:hint="eastAsia" w:ascii="仿宋" w:hAnsi="仿宋" w:eastAsia="仿宋" w:cs="仿宋"/>
          <w:kern w:val="0"/>
          <w:sz w:val="24"/>
          <w:szCs w:val="24"/>
        </w:rPr>
        <w:t>向监理人提供工程有关的资料。</w:t>
      </w:r>
      <w:r>
        <w:rPr>
          <w:rFonts w:hint="eastAsia" w:ascii="仿宋" w:hAnsi="仿宋" w:eastAsia="仿宋" w:cs="仿宋"/>
          <w:sz w:val="24"/>
          <w:szCs w:val="24"/>
        </w:rPr>
        <w:t>在本合同履行过程中，委托人应及时向监理人提供最新的与工程有关的资料。</w:t>
      </w:r>
    </w:p>
    <w:p w14:paraId="67CFE56A">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3.3 提供工作条件</w:t>
      </w:r>
    </w:p>
    <w:p w14:paraId="486D271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委托人应为监理人完成监理与相关服务提供必要的条件。</w:t>
      </w:r>
    </w:p>
    <w:p w14:paraId="214B5E9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 xml:space="preserve">3.3.1 </w:t>
      </w:r>
      <w:r>
        <w:rPr>
          <w:rFonts w:hint="eastAsia" w:ascii="仿宋" w:hAnsi="仿宋" w:eastAsia="仿宋" w:cs="仿宋"/>
          <w:sz w:val="24"/>
          <w:szCs w:val="24"/>
        </w:rPr>
        <w:t>委托人应按照附录B约定，派遣相应的人员，提供房屋</w:t>
      </w:r>
      <w:r>
        <w:rPr>
          <w:rFonts w:hint="eastAsia" w:ascii="仿宋" w:hAnsi="仿宋" w:eastAsia="仿宋" w:cs="仿宋"/>
          <w:sz w:val="24"/>
          <w:szCs w:val="24"/>
          <w:lang w:eastAsia="zh-CN"/>
        </w:rPr>
        <w:t>等</w:t>
      </w:r>
      <w:r>
        <w:rPr>
          <w:rFonts w:hint="eastAsia" w:ascii="仿宋" w:hAnsi="仿宋" w:eastAsia="仿宋" w:cs="仿宋"/>
          <w:sz w:val="24"/>
          <w:szCs w:val="24"/>
        </w:rPr>
        <w:t>，供监理人</w:t>
      </w:r>
      <w:r>
        <w:rPr>
          <w:rFonts w:hint="eastAsia" w:ascii="仿宋" w:hAnsi="仿宋" w:eastAsia="仿宋" w:cs="仿宋"/>
          <w:kern w:val="0"/>
          <w:sz w:val="24"/>
          <w:szCs w:val="24"/>
        </w:rPr>
        <w:t>无偿</w:t>
      </w:r>
      <w:r>
        <w:rPr>
          <w:rFonts w:hint="eastAsia" w:ascii="仿宋" w:hAnsi="仿宋" w:eastAsia="仿宋" w:cs="仿宋"/>
          <w:sz w:val="24"/>
          <w:szCs w:val="24"/>
        </w:rPr>
        <w:t>使用。</w:t>
      </w:r>
    </w:p>
    <w:p w14:paraId="19957D7A">
      <w:pPr>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 xml:space="preserve">3.3.2 </w:t>
      </w:r>
      <w:r>
        <w:rPr>
          <w:rFonts w:hint="eastAsia" w:ascii="仿宋" w:hAnsi="仿宋" w:eastAsia="仿宋" w:cs="仿宋"/>
          <w:sz w:val="24"/>
          <w:szCs w:val="24"/>
        </w:rPr>
        <w:t>委托人应负责协调工程建设中所有外部关系，为监理人履行本合同提供必要的外部条件。</w:t>
      </w:r>
    </w:p>
    <w:p w14:paraId="43A16429">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3.4 委托人代表</w:t>
      </w:r>
    </w:p>
    <w:p w14:paraId="5741A5B4">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委托人应授权一名熟悉工程情况的代表，负责与监理人联系。</w:t>
      </w:r>
    </w:p>
    <w:p w14:paraId="2197E233">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3.5 委托人意见或要求</w:t>
      </w:r>
    </w:p>
    <w:p w14:paraId="0067A140">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在本合同约定的监理与相关服务工作范围内，委托人对承包人的任何意见或要求应通知监理人，由监理人向承包人发出相应指令。</w:t>
      </w:r>
    </w:p>
    <w:p w14:paraId="730E8B33">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3.6 答复</w:t>
      </w:r>
    </w:p>
    <w:p w14:paraId="3152BA8D">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委托人应在专用条件约定的时间内，对监理人以书面形式提交并要求作出决定的事宜，给予书面答复。</w:t>
      </w:r>
    </w:p>
    <w:p w14:paraId="3C79867A">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3.7 支付</w:t>
      </w:r>
    </w:p>
    <w:p w14:paraId="2F722F2C">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委托人应按本合同约定，向监理人支付酬金。</w:t>
      </w:r>
    </w:p>
    <w:p w14:paraId="4BC85A0A">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4. 违约责任</w:t>
      </w:r>
    </w:p>
    <w:p w14:paraId="3685EDC6">
      <w:pPr>
        <w:spacing w:line="360" w:lineRule="auto"/>
        <w:ind w:left="240" w:leftChars="100"/>
        <w:rPr>
          <w:rFonts w:hint="eastAsia" w:ascii="仿宋" w:hAnsi="仿宋" w:eastAsia="仿宋" w:cs="仿宋"/>
          <w:kern w:val="0"/>
          <w:sz w:val="24"/>
          <w:szCs w:val="24"/>
        </w:rPr>
      </w:pPr>
      <w:r>
        <w:rPr>
          <w:rFonts w:hint="eastAsia" w:ascii="仿宋" w:hAnsi="仿宋" w:eastAsia="仿宋" w:cs="仿宋"/>
          <w:kern w:val="0"/>
          <w:sz w:val="24"/>
          <w:szCs w:val="24"/>
        </w:rPr>
        <w:t>4.1 监理人的违约责任</w:t>
      </w:r>
    </w:p>
    <w:p w14:paraId="46475C4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监理人未履行本合同义务的，应承担相应的责任。</w:t>
      </w:r>
    </w:p>
    <w:p w14:paraId="78C188EC">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4.1.1 因监理人违反本合同约定</w:t>
      </w:r>
      <w:r>
        <w:rPr>
          <w:rFonts w:hint="eastAsia" w:ascii="仿宋" w:hAnsi="仿宋" w:eastAsia="仿宋" w:cs="仿宋"/>
          <w:sz w:val="24"/>
          <w:szCs w:val="24"/>
        </w:rPr>
        <w:t>给委托人造成损失的，监理人应当赔偿委托人损失</w:t>
      </w:r>
      <w:r>
        <w:rPr>
          <w:rFonts w:hint="eastAsia" w:ascii="仿宋" w:hAnsi="仿宋" w:eastAsia="仿宋" w:cs="仿宋"/>
          <w:kern w:val="0"/>
          <w:sz w:val="24"/>
          <w:szCs w:val="24"/>
        </w:rPr>
        <w:t>。赔偿金额的确定方法在专用条件中约定。</w:t>
      </w:r>
    </w:p>
    <w:p w14:paraId="41BF6C4E">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4.1.2 监理人向委托人的索赔不成立时，监理人应赔偿委托人由此发生的费用。</w:t>
      </w:r>
    </w:p>
    <w:p w14:paraId="17FFD0C5">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4.2 委托人的违约责任</w:t>
      </w:r>
    </w:p>
    <w:p w14:paraId="45B89E69">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委托人未履行本合同义务的，应承担相应的责任。</w:t>
      </w:r>
    </w:p>
    <w:p w14:paraId="43DF8061">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4.2.1 委托人违反本合同约定造成监理人损失的，委托人应予以赔偿。</w:t>
      </w:r>
    </w:p>
    <w:p w14:paraId="6FEA31F5">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4.2.2 委托人向监理人的索赔不成立时，应赔偿监理人由此引起的费用。</w:t>
      </w:r>
    </w:p>
    <w:p w14:paraId="158288E3">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4.3 除外责任</w:t>
      </w:r>
    </w:p>
    <w:p w14:paraId="31693EF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因不可抗力导致本合同全部或部分不能履行时，双方各自承担其因此而造成的损失、损害。</w:t>
      </w:r>
    </w:p>
    <w:p w14:paraId="6CF47E7A">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5. 支付</w:t>
      </w:r>
    </w:p>
    <w:p w14:paraId="5ABB75F5">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5.1 </w:t>
      </w:r>
      <w:r>
        <w:rPr>
          <w:rFonts w:hint="eastAsia" w:ascii="仿宋" w:hAnsi="仿宋" w:eastAsia="仿宋" w:cs="仿宋"/>
          <w:bCs/>
          <w:sz w:val="24"/>
          <w:szCs w:val="24"/>
        </w:rPr>
        <w:t>支付货币</w:t>
      </w:r>
    </w:p>
    <w:p w14:paraId="19C88E5E">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除专用条件另有约定外，酬金均以人民币支付。涉及外币支付的，所采用的货币种类、比例和汇率在专用条件中约定。</w:t>
      </w:r>
    </w:p>
    <w:p w14:paraId="6B2DBDE4">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5.2 支付申请</w:t>
      </w:r>
    </w:p>
    <w:p w14:paraId="005460AE">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监理人应在本合同约定的每次应付款时间的7天前，向委托人提交支付申请书。支付申请书应当说明当期应付款总额，并列出当期应支付的款项及其金额。</w:t>
      </w:r>
    </w:p>
    <w:p w14:paraId="630F404F">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5.3 支付酬金</w:t>
      </w:r>
    </w:p>
    <w:p w14:paraId="31097628">
      <w:pPr>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支付的酬金包括正常工作酬金、附加工作酬金、合理化建议奖励金额及费用。</w:t>
      </w:r>
    </w:p>
    <w:p w14:paraId="53CBD585">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5.4 </w:t>
      </w:r>
      <w:r>
        <w:rPr>
          <w:rFonts w:hint="eastAsia" w:ascii="仿宋" w:hAnsi="仿宋" w:eastAsia="仿宋" w:cs="仿宋"/>
          <w:bCs/>
          <w:sz w:val="24"/>
          <w:szCs w:val="24"/>
        </w:rPr>
        <w:t>有争议部分的付款</w:t>
      </w:r>
    </w:p>
    <w:p w14:paraId="17F9519D">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委托人对监理人提交的支付申请书有异议时，应当在收到监理人提交的支付申请书后7天内，以书面形式向监理人发出异议通知。无异议部分的款项应按期支付，有异议部分的款项按第7条约定办理。</w:t>
      </w:r>
    </w:p>
    <w:p w14:paraId="7E0976CE">
      <w:pPr>
        <w:snapToGrid w:val="0"/>
        <w:spacing w:line="360" w:lineRule="auto"/>
        <w:rPr>
          <w:rFonts w:hint="eastAsia" w:ascii="仿宋" w:hAnsi="仿宋" w:eastAsia="仿宋" w:cs="仿宋"/>
          <w:b/>
          <w:bCs/>
          <w:color w:val="FF0000"/>
          <w:sz w:val="24"/>
          <w:szCs w:val="24"/>
        </w:rPr>
      </w:pPr>
      <w:r>
        <w:rPr>
          <w:rFonts w:hint="eastAsia" w:ascii="仿宋" w:hAnsi="仿宋" w:eastAsia="仿宋" w:cs="仿宋"/>
          <w:b/>
          <w:bCs/>
          <w:sz w:val="24"/>
          <w:szCs w:val="24"/>
        </w:rPr>
        <w:t>6. 合同生效、变更、暂停、解除与终止</w:t>
      </w:r>
    </w:p>
    <w:p w14:paraId="526CFCBD">
      <w:pPr>
        <w:spacing w:line="360" w:lineRule="auto"/>
        <w:rPr>
          <w:rFonts w:hint="eastAsia" w:ascii="仿宋" w:hAnsi="仿宋" w:eastAsia="仿宋" w:cs="仿宋"/>
          <w:sz w:val="24"/>
          <w:szCs w:val="24"/>
        </w:rPr>
      </w:pPr>
      <w:r>
        <w:rPr>
          <w:rFonts w:hint="eastAsia" w:ascii="仿宋" w:hAnsi="仿宋" w:eastAsia="仿宋" w:cs="仿宋"/>
          <w:sz w:val="24"/>
          <w:szCs w:val="24"/>
        </w:rPr>
        <w:t>6.1生效</w:t>
      </w:r>
    </w:p>
    <w:p w14:paraId="775E840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除法律另有规定或者专用条件另有约定外，委托人和监理人的法定代表人或其授权代理人在协议书上签字并盖单项章后本合同生效。</w:t>
      </w:r>
    </w:p>
    <w:p w14:paraId="0C54083D">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6.2</w:t>
      </w:r>
      <w:r>
        <w:rPr>
          <w:rFonts w:hint="eastAsia" w:ascii="仿宋" w:hAnsi="仿宋" w:eastAsia="仿宋" w:cs="仿宋"/>
          <w:bCs/>
          <w:sz w:val="24"/>
          <w:szCs w:val="24"/>
        </w:rPr>
        <w:t>变更</w:t>
      </w:r>
    </w:p>
    <w:p w14:paraId="0E533D72">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6.2.1 任何一方提出变更请求时，双方经协商一致后可进行变更。</w:t>
      </w:r>
    </w:p>
    <w:p w14:paraId="0BCFB78B">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w:t>
      </w:r>
      <w:r>
        <w:rPr>
          <w:rFonts w:hint="eastAsia" w:ascii="仿宋" w:hAnsi="仿宋" w:eastAsia="仿宋" w:cs="仿宋"/>
          <w:sz w:val="24"/>
          <w:szCs w:val="24"/>
          <w:lang w:val="en-US" w:eastAsia="zh-CN"/>
        </w:rPr>
        <w:t>2</w:t>
      </w:r>
      <w:r>
        <w:rPr>
          <w:rFonts w:hint="eastAsia" w:ascii="仿宋" w:hAnsi="仿宋" w:eastAsia="仿宋" w:cs="仿宋"/>
          <w:sz w:val="24"/>
          <w:szCs w:val="24"/>
        </w:rPr>
        <w:t>合同生效后，如果实际情况发生变化使得监理人不能完成全部或部分工作时，监理人应立即通知委托人。</w:t>
      </w:r>
    </w:p>
    <w:p w14:paraId="3E37351C">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w:t>
      </w:r>
      <w:r>
        <w:rPr>
          <w:rFonts w:hint="eastAsia" w:ascii="仿宋" w:hAnsi="仿宋" w:eastAsia="仿宋" w:cs="仿宋"/>
          <w:sz w:val="24"/>
          <w:szCs w:val="24"/>
          <w:lang w:val="en-US" w:eastAsia="zh-CN"/>
        </w:rPr>
        <w:t>3</w:t>
      </w:r>
      <w:r>
        <w:rPr>
          <w:rFonts w:hint="eastAsia" w:ascii="仿宋" w:hAnsi="仿宋" w:eastAsia="仿宋" w:cs="仿宋"/>
          <w:sz w:val="24"/>
          <w:szCs w:val="24"/>
        </w:rPr>
        <w:t>合同签订后，遇有与工程相关的法律法规、标准颁布或修订的，双方应遵照执行。由此引起监理与相关服务的范围、时间、酬金变化的，双方应通过协商进行相应调整。</w:t>
      </w:r>
    </w:p>
    <w:p w14:paraId="4727994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因非监理人原因造成工程概算投资额或建筑安装工程费增加时，正常工作酬金应作相应调整。调整方法在专用条件中约定。</w:t>
      </w:r>
    </w:p>
    <w:p w14:paraId="71946D7B">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因工程规模、监理范围的变化导致监理人的正常工作量减少时，正常工作酬金应作相应调整。调整方法在专用条件中约定。</w:t>
      </w:r>
    </w:p>
    <w:p w14:paraId="2ECEEDF8">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6.3 暂停与</w:t>
      </w:r>
      <w:r>
        <w:rPr>
          <w:rFonts w:hint="eastAsia" w:ascii="仿宋" w:hAnsi="仿宋" w:eastAsia="仿宋" w:cs="仿宋"/>
          <w:bCs/>
          <w:sz w:val="24"/>
          <w:szCs w:val="24"/>
        </w:rPr>
        <w:t>解除</w:t>
      </w:r>
    </w:p>
    <w:p w14:paraId="3B7D386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除双方协商一致可以解除本合同外，当一方无正当理由未履行</w:t>
      </w:r>
      <w:r>
        <w:rPr>
          <w:rFonts w:hint="eastAsia" w:ascii="仿宋" w:hAnsi="仿宋" w:eastAsia="仿宋" w:cs="仿宋"/>
          <w:sz w:val="24"/>
          <w:szCs w:val="24"/>
          <w:lang w:eastAsia="zh-CN"/>
        </w:rPr>
        <w:t>或因不能胜任工作影响履行</w:t>
      </w:r>
      <w:r>
        <w:rPr>
          <w:rFonts w:hint="eastAsia" w:ascii="仿宋" w:hAnsi="仿宋" w:eastAsia="仿宋" w:cs="仿宋"/>
          <w:sz w:val="24"/>
          <w:szCs w:val="24"/>
        </w:rPr>
        <w:t>本合同约定的义务时，另一方可以根据本合同约定暂停履行本合同直至解除本合同。</w:t>
      </w:r>
    </w:p>
    <w:p w14:paraId="0AA6331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6E51868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5B3BE98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Fonts w:hint="eastAsia" w:ascii="仿宋" w:hAnsi="仿宋" w:eastAsia="仿宋" w:cs="仿宋"/>
          <w:kern w:val="0"/>
          <w:sz w:val="24"/>
          <w:szCs w:val="24"/>
        </w:rPr>
        <w:t>的</w:t>
      </w:r>
      <w:r>
        <w:rPr>
          <w:rFonts w:hint="eastAsia" w:ascii="仿宋" w:hAnsi="仿宋" w:eastAsia="仿宋" w:cs="仿宋"/>
          <w:sz w:val="24"/>
          <w:szCs w:val="24"/>
        </w:rPr>
        <w:t>酬金支付至</w:t>
      </w:r>
      <w:r>
        <w:rPr>
          <w:rFonts w:hint="eastAsia" w:ascii="仿宋" w:hAnsi="仿宋" w:eastAsia="仿宋" w:cs="仿宋"/>
          <w:kern w:val="0"/>
          <w:sz w:val="24"/>
          <w:szCs w:val="24"/>
        </w:rPr>
        <w:t>限期改正通知到达监理人之日</w:t>
      </w:r>
      <w:r>
        <w:rPr>
          <w:rFonts w:hint="eastAsia" w:ascii="仿宋" w:hAnsi="仿宋" w:eastAsia="仿宋" w:cs="仿宋"/>
          <w:sz w:val="24"/>
          <w:szCs w:val="24"/>
        </w:rPr>
        <w:t>，但监理人应承担第4.1款约定的责任。</w:t>
      </w:r>
    </w:p>
    <w:p w14:paraId="570F35D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6.3.</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因不可抗力致使本合同部分或全部不能履行时，一方应立即通知另一方，可暂停或解除本合同。</w:t>
      </w:r>
    </w:p>
    <w:p w14:paraId="1AD53495">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w:t>
      </w:r>
      <w:r>
        <w:rPr>
          <w:rFonts w:hint="eastAsia" w:ascii="仿宋" w:hAnsi="仿宋" w:eastAsia="仿宋" w:cs="仿宋"/>
          <w:sz w:val="24"/>
          <w:szCs w:val="24"/>
          <w:lang w:val="en-US" w:eastAsia="zh-CN"/>
        </w:rPr>
        <w:t>5</w:t>
      </w:r>
      <w:r>
        <w:rPr>
          <w:rFonts w:hint="eastAsia" w:ascii="仿宋" w:hAnsi="仿宋" w:eastAsia="仿宋" w:cs="仿宋"/>
          <w:sz w:val="24"/>
          <w:szCs w:val="24"/>
        </w:rPr>
        <w:t>本合同解除后，本合同约定的有关结算、清理、争议解决方式的条件仍然有效。</w:t>
      </w:r>
    </w:p>
    <w:p w14:paraId="47E8EE6D">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6.4 </w:t>
      </w:r>
      <w:r>
        <w:rPr>
          <w:rFonts w:hint="eastAsia" w:ascii="仿宋" w:hAnsi="仿宋" w:eastAsia="仿宋" w:cs="仿宋"/>
          <w:bCs/>
          <w:sz w:val="24"/>
          <w:szCs w:val="24"/>
        </w:rPr>
        <w:t>终止</w:t>
      </w:r>
    </w:p>
    <w:p w14:paraId="054C8F5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以下条件全部满足时，本合同即告终止：</w:t>
      </w:r>
    </w:p>
    <w:p w14:paraId="01714CC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（1）监理人完成本合同约定的全部工作；</w:t>
      </w:r>
    </w:p>
    <w:p w14:paraId="176FCDF0">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（2）委托人与监理人结清并支付全部酬金。</w:t>
      </w:r>
    </w:p>
    <w:p w14:paraId="208D31CE">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7. 争议解决</w:t>
      </w:r>
    </w:p>
    <w:p w14:paraId="13F39CB5">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7.1</w:t>
      </w:r>
      <w:r>
        <w:rPr>
          <w:rFonts w:hint="eastAsia" w:ascii="仿宋" w:hAnsi="仿宋" w:eastAsia="仿宋" w:cs="仿宋"/>
          <w:bCs/>
          <w:sz w:val="24"/>
          <w:szCs w:val="24"/>
        </w:rPr>
        <w:t>协商</w:t>
      </w:r>
    </w:p>
    <w:p w14:paraId="3D26FD39">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双方应本着诚信原则协商解决彼此间的争议。</w:t>
      </w:r>
    </w:p>
    <w:p w14:paraId="411871C3">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7.2</w:t>
      </w:r>
      <w:r>
        <w:rPr>
          <w:rFonts w:hint="eastAsia" w:ascii="仿宋" w:hAnsi="仿宋" w:eastAsia="仿宋" w:cs="仿宋"/>
          <w:bCs/>
          <w:sz w:val="24"/>
          <w:szCs w:val="24"/>
        </w:rPr>
        <w:t>调解</w:t>
      </w:r>
    </w:p>
    <w:p w14:paraId="1464450C">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如果双方不能在14天内或双方商定的其他时间内解决本合同争议，可以将其提交给专用条件约定的或事后达成协议的调解人进行调解。</w:t>
      </w:r>
    </w:p>
    <w:p w14:paraId="7F722687">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7.3</w:t>
      </w:r>
      <w:r>
        <w:rPr>
          <w:rFonts w:hint="eastAsia" w:ascii="仿宋" w:hAnsi="仿宋" w:eastAsia="仿宋" w:cs="仿宋"/>
          <w:bCs/>
          <w:sz w:val="24"/>
          <w:szCs w:val="24"/>
        </w:rPr>
        <w:t>仲裁或诉讼</w:t>
      </w:r>
    </w:p>
    <w:p w14:paraId="7A15DA2E">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双方均有权不经调解直接向专用条件约定的仲裁机构申请仲裁或向有管辖权的人民法院提起诉讼。</w:t>
      </w:r>
    </w:p>
    <w:p w14:paraId="397A5788">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8. 其他</w:t>
      </w:r>
    </w:p>
    <w:p w14:paraId="088E6C66">
      <w:pPr>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8.1 </w:t>
      </w:r>
      <w:r>
        <w:rPr>
          <w:rFonts w:hint="eastAsia" w:ascii="仿宋" w:hAnsi="仿宋" w:eastAsia="仿宋" w:cs="仿宋"/>
          <w:bCs/>
          <w:sz w:val="24"/>
          <w:szCs w:val="24"/>
        </w:rPr>
        <w:t>外出考察费用</w:t>
      </w:r>
    </w:p>
    <w:p w14:paraId="6D1B382E">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经委托人同意，监理人员外出考察发生的费用由委托人审核后支付。</w:t>
      </w:r>
    </w:p>
    <w:p w14:paraId="2BB4BC81">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8.2 </w:t>
      </w:r>
      <w:r>
        <w:rPr>
          <w:rFonts w:hint="eastAsia" w:ascii="仿宋" w:hAnsi="仿宋" w:eastAsia="仿宋" w:cs="仿宋"/>
          <w:bCs/>
          <w:sz w:val="24"/>
          <w:szCs w:val="24"/>
        </w:rPr>
        <w:t>检测费用</w:t>
      </w:r>
    </w:p>
    <w:p w14:paraId="0B9CA90B">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委托人要求监理人进行的材料和设备检测所发生的费用，由委托人支付，支付时间在专用条件中约定。</w:t>
      </w:r>
    </w:p>
    <w:p w14:paraId="1E1D499F">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8.3 </w:t>
      </w:r>
      <w:r>
        <w:rPr>
          <w:rFonts w:hint="eastAsia" w:ascii="仿宋" w:hAnsi="仿宋" w:eastAsia="仿宋" w:cs="仿宋"/>
          <w:bCs/>
          <w:sz w:val="24"/>
          <w:szCs w:val="24"/>
        </w:rPr>
        <w:t>咨询费用</w:t>
      </w:r>
    </w:p>
    <w:p w14:paraId="22ED1461">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经委托人同意，根据工程需要由监理人组织的相关咨询论证会以及聘请相关专家等发生的费用由委托人支付，支付时间在专用条件中约定。</w:t>
      </w:r>
    </w:p>
    <w:p w14:paraId="089BC009">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8.4 </w:t>
      </w:r>
      <w:r>
        <w:rPr>
          <w:rFonts w:hint="eastAsia" w:ascii="仿宋" w:hAnsi="仿宋" w:eastAsia="仿宋" w:cs="仿宋"/>
          <w:bCs/>
          <w:sz w:val="24"/>
          <w:szCs w:val="24"/>
        </w:rPr>
        <w:t>奖励</w:t>
      </w:r>
    </w:p>
    <w:p w14:paraId="1CEB507C">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监理人在服务过程中提出的合理化建议，使委托人获得经济效益的，双方在专用条件中约定奖励金额的确定方法。奖励金额在合理化建议被采纳后，与最近一期的正常工作酬金同期支付。</w:t>
      </w:r>
    </w:p>
    <w:p w14:paraId="1FA9F317">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8.5 </w:t>
      </w:r>
      <w:r>
        <w:rPr>
          <w:rFonts w:hint="eastAsia" w:ascii="仿宋" w:hAnsi="仿宋" w:eastAsia="仿宋" w:cs="仿宋"/>
          <w:bCs/>
          <w:sz w:val="24"/>
          <w:szCs w:val="24"/>
        </w:rPr>
        <w:t>守法诚信</w:t>
      </w:r>
    </w:p>
    <w:p w14:paraId="0DE330C5">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监理人及其工作人员不得从与实施工程有关的第三方处获得任何经济利益。</w:t>
      </w:r>
    </w:p>
    <w:p w14:paraId="6F19920E">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8.6 </w:t>
      </w:r>
      <w:r>
        <w:rPr>
          <w:rFonts w:hint="eastAsia" w:ascii="仿宋" w:hAnsi="仿宋" w:eastAsia="仿宋" w:cs="仿宋"/>
          <w:bCs/>
          <w:sz w:val="24"/>
          <w:szCs w:val="24"/>
        </w:rPr>
        <w:t>保密</w:t>
      </w:r>
    </w:p>
    <w:p w14:paraId="6EC747EF">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双方不得泄露对方申明的保密资料，亦不得泄露与实施工程有关的第三方所提供的保密资料，保密事项在专用条件中约定。</w:t>
      </w:r>
    </w:p>
    <w:p w14:paraId="7B42C31B">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8.7 </w:t>
      </w:r>
      <w:r>
        <w:rPr>
          <w:rFonts w:hint="eastAsia" w:ascii="仿宋" w:hAnsi="仿宋" w:eastAsia="仿宋" w:cs="仿宋"/>
          <w:bCs/>
          <w:sz w:val="24"/>
          <w:szCs w:val="24"/>
        </w:rPr>
        <w:t>通知</w:t>
      </w:r>
    </w:p>
    <w:p w14:paraId="06AB0397">
      <w:pPr>
        <w:snapToGrid w:val="0"/>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本合同涉及的通知均应当采用书面形式，并在送达对方时生效，收件人应书面签收。</w:t>
      </w:r>
    </w:p>
    <w:p w14:paraId="3D4230A0">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 xml:space="preserve">8.8 </w:t>
      </w:r>
      <w:r>
        <w:rPr>
          <w:rFonts w:hint="eastAsia" w:ascii="仿宋" w:hAnsi="仿宋" w:eastAsia="仿宋" w:cs="仿宋"/>
          <w:bCs/>
          <w:sz w:val="24"/>
          <w:szCs w:val="24"/>
        </w:rPr>
        <w:t>著作权</w:t>
      </w:r>
    </w:p>
    <w:p w14:paraId="6538DC2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监理人对其编制的文件拥有著作权。</w:t>
      </w:r>
    </w:p>
    <w:p w14:paraId="53BF0BDE">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4D3E8CF3">
      <w:pPr>
        <w:pageBreakBefore/>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第三部分  专用条件</w:t>
      </w:r>
    </w:p>
    <w:p w14:paraId="4A23F9FC">
      <w:pPr>
        <w:spacing w:line="360" w:lineRule="auto"/>
        <w:jc w:val="center"/>
        <w:rPr>
          <w:rFonts w:hint="eastAsia" w:ascii="仿宋" w:hAnsi="仿宋" w:eastAsia="仿宋" w:cs="仿宋"/>
          <w:b/>
          <w:sz w:val="24"/>
          <w:szCs w:val="24"/>
        </w:rPr>
      </w:pPr>
    </w:p>
    <w:p w14:paraId="58A953E5">
      <w:pPr>
        <w:adjustRightInd w:val="0"/>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1. 定义与解释</w:t>
      </w:r>
    </w:p>
    <w:p w14:paraId="304EEF0A">
      <w:pPr>
        <w:adjustRightInd w:val="0"/>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1.1定义</w:t>
      </w:r>
    </w:p>
    <w:p w14:paraId="683CAED4">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1.2  解释</w:t>
      </w:r>
    </w:p>
    <w:p w14:paraId="6487AA23">
      <w:p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 xml:space="preserve">1.2.2 约定本合同文件的解释顺序为： </w:t>
      </w:r>
    </w:p>
    <w:p w14:paraId="64D2ECE5">
      <w:pPr>
        <w:spacing w:line="360" w:lineRule="auto"/>
        <w:ind w:firstLine="480" w:firstLineChars="200"/>
        <w:outlineLvl w:val="0"/>
        <w:rPr>
          <w:rFonts w:hint="eastAsia" w:ascii="仿宋" w:hAnsi="仿宋" w:eastAsia="仿宋" w:cs="仿宋"/>
          <w:sz w:val="24"/>
          <w:szCs w:val="24"/>
          <w:u w:val="single"/>
        </w:rPr>
      </w:pPr>
      <w:r>
        <w:rPr>
          <w:rFonts w:hint="eastAsia" w:ascii="仿宋" w:hAnsi="仿宋" w:eastAsia="仿宋" w:cs="仿宋"/>
          <w:sz w:val="24"/>
          <w:szCs w:val="24"/>
          <w:u w:val="single"/>
        </w:rPr>
        <w:t>1. 协议书；</w:t>
      </w:r>
    </w:p>
    <w:p w14:paraId="64B61A14">
      <w:pPr>
        <w:spacing w:line="360" w:lineRule="auto"/>
        <w:ind w:firstLine="480" w:firstLineChars="200"/>
        <w:outlineLvl w:val="0"/>
        <w:rPr>
          <w:rFonts w:hint="eastAsia" w:ascii="仿宋" w:hAnsi="仿宋" w:eastAsia="仿宋" w:cs="仿宋"/>
          <w:sz w:val="24"/>
          <w:szCs w:val="24"/>
          <w:u w:val="single"/>
        </w:rPr>
      </w:pPr>
      <w:r>
        <w:rPr>
          <w:rFonts w:hint="eastAsia" w:ascii="仿宋" w:hAnsi="仿宋" w:eastAsia="仿宋" w:cs="仿宋"/>
          <w:sz w:val="24"/>
          <w:szCs w:val="24"/>
          <w:u w:val="single"/>
        </w:rPr>
        <w:t>2. 中标通知书；</w:t>
      </w:r>
    </w:p>
    <w:p w14:paraId="44F6CEE2">
      <w:pPr>
        <w:spacing w:line="360" w:lineRule="auto"/>
        <w:ind w:firstLine="480" w:firstLineChars="200"/>
        <w:outlineLvl w:val="0"/>
        <w:rPr>
          <w:rFonts w:hint="eastAsia" w:ascii="仿宋" w:hAnsi="仿宋" w:eastAsia="仿宋" w:cs="仿宋"/>
          <w:sz w:val="24"/>
          <w:szCs w:val="24"/>
          <w:u w:val="single"/>
        </w:rPr>
      </w:pPr>
      <w:r>
        <w:rPr>
          <w:rFonts w:hint="eastAsia" w:ascii="仿宋" w:hAnsi="仿宋" w:eastAsia="仿宋" w:cs="仿宋"/>
          <w:sz w:val="24"/>
          <w:szCs w:val="24"/>
          <w:u w:val="single"/>
        </w:rPr>
        <w:t>3. 投标文件；</w:t>
      </w:r>
    </w:p>
    <w:p w14:paraId="790DF8F1">
      <w:pPr>
        <w:spacing w:line="360" w:lineRule="auto"/>
        <w:ind w:firstLine="480" w:firstLineChars="200"/>
        <w:outlineLvl w:val="0"/>
        <w:rPr>
          <w:rFonts w:hint="eastAsia" w:ascii="仿宋" w:hAnsi="仿宋" w:eastAsia="仿宋" w:cs="仿宋"/>
          <w:sz w:val="24"/>
          <w:szCs w:val="24"/>
          <w:u w:val="single"/>
        </w:rPr>
      </w:pPr>
      <w:r>
        <w:rPr>
          <w:rFonts w:hint="eastAsia" w:ascii="仿宋" w:hAnsi="仿宋" w:eastAsia="仿宋" w:cs="仿宋"/>
          <w:sz w:val="24"/>
          <w:szCs w:val="24"/>
          <w:u w:val="single"/>
        </w:rPr>
        <w:t>4. 专用条件；</w:t>
      </w:r>
    </w:p>
    <w:p w14:paraId="0EF69744">
      <w:pPr>
        <w:spacing w:line="360" w:lineRule="auto"/>
        <w:ind w:firstLine="480" w:firstLineChars="200"/>
        <w:outlineLvl w:val="0"/>
        <w:rPr>
          <w:rFonts w:hint="eastAsia" w:ascii="仿宋" w:hAnsi="仿宋" w:eastAsia="仿宋" w:cs="仿宋"/>
          <w:sz w:val="24"/>
          <w:szCs w:val="24"/>
          <w:u w:val="single"/>
        </w:rPr>
      </w:pPr>
      <w:r>
        <w:rPr>
          <w:rFonts w:hint="eastAsia" w:ascii="仿宋" w:hAnsi="仿宋" w:eastAsia="仿宋" w:cs="仿宋"/>
          <w:sz w:val="24"/>
          <w:szCs w:val="24"/>
          <w:u w:val="single"/>
        </w:rPr>
        <w:t>5. 通用条件；</w:t>
      </w:r>
    </w:p>
    <w:p w14:paraId="071825B3">
      <w:pPr>
        <w:adjustRightInd w:val="0"/>
        <w:snapToGrid w:val="0"/>
        <w:spacing w:line="360" w:lineRule="auto"/>
        <w:ind w:firstLine="480" w:firstLineChars="200"/>
        <w:rPr>
          <w:rFonts w:hint="eastAsia" w:ascii="仿宋" w:hAnsi="仿宋" w:eastAsia="仿宋" w:cs="仿宋"/>
          <w:color w:val="FF0000"/>
          <w:sz w:val="24"/>
          <w:szCs w:val="24"/>
        </w:rPr>
      </w:pPr>
      <w:r>
        <w:rPr>
          <w:rFonts w:hint="eastAsia" w:ascii="仿宋" w:hAnsi="仿宋" w:eastAsia="仿宋" w:cs="仿宋"/>
          <w:sz w:val="24"/>
          <w:szCs w:val="24"/>
          <w:u w:val="single"/>
        </w:rPr>
        <w:t>6. 附录</w:t>
      </w:r>
    </w:p>
    <w:p w14:paraId="6ED78085">
      <w:pPr>
        <w:adjustRightInd w:val="0"/>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2. 监理人义务</w:t>
      </w:r>
    </w:p>
    <w:p w14:paraId="3C41A17F">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2.1 监理的范围和</w:t>
      </w:r>
      <w:r>
        <w:rPr>
          <w:rFonts w:hint="eastAsia" w:ascii="仿宋" w:hAnsi="仿宋" w:eastAsia="仿宋" w:cs="仿宋"/>
          <w:bCs/>
          <w:sz w:val="24"/>
          <w:szCs w:val="24"/>
        </w:rPr>
        <w:t>内容</w:t>
      </w:r>
    </w:p>
    <w:p w14:paraId="08446B6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 监理范围包括：</w:t>
      </w:r>
      <w:r>
        <w:rPr>
          <w:rFonts w:hint="eastAsia" w:ascii="仿宋" w:hAnsi="仿宋" w:eastAsia="仿宋" w:cs="仿宋"/>
          <w:sz w:val="24"/>
          <w:szCs w:val="24"/>
          <w:u w:val="single"/>
          <w:lang w:eastAsia="zh-CN"/>
        </w:rPr>
        <w:t>本工程施工图纸范围内以及范围外工程变更及签证中所有工作内容的全过程监理咨询。</w:t>
      </w:r>
      <w:r>
        <w:rPr>
          <w:rFonts w:hint="eastAsia" w:ascii="仿宋" w:hAnsi="仿宋" w:eastAsia="仿宋" w:cs="仿宋"/>
          <w:sz w:val="24"/>
          <w:szCs w:val="24"/>
          <w:u w:val="single"/>
        </w:rPr>
        <w:t>承担施工阶段的监理，具体内容”四控二管一协调”具体内容为工程质量、工程进度、投资控制、合同管理、信息管理、安全管理以及协调现场施工单位与业主之间的关系</w:t>
      </w:r>
      <w:r>
        <w:rPr>
          <w:rFonts w:hint="eastAsia" w:ascii="仿宋" w:hAnsi="仿宋" w:eastAsia="仿宋" w:cs="仿宋"/>
          <w:sz w:val="24"/>
          <w:szCs w:val="24"/>
        </w:rPr>
        <w:t>。</w:t>
      </w:r>
    </w:p>
    <w:p w14:paraId="279F21CE">
      <w:pPr>
        <w:adjustRightInd w:val="0"/>
        <w:snapToGrid w:val="0"/>
        <w:spacing w:line="360" w:lineRule="auto"/>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2.1.2 监理工作内容还包括：</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除执行通用条款</w:t>
      </w:r>
      <w:r>
        <w:rPr>
          <w:rFonts w:hint="eastAsia" w:ascii="仿宋" w:hAnsi="仿宋" w:eastAsia="仿宋" w:cs="仿宋"/>
          <w:sz w:val="24"/>
          <w:szCs w:val="24"/>
          <w:u w:val="single"/>
          <w:lang w:val="en-US" w:eastAsia="zh-CN"/>
        </w:rPr>
        <w:t>2.1.2款外，还应</w:t>
      </w:r>
      <w:r>
        <w:rPr>
          <w:rFonts w:hint="eastAsia" w:ascii="仿宋" w:hAnsi="仿宋" w:eastAsia="仿宋" w:cs="仿宋"/>
          <w:sz w:val="24"/>
          <w:szCs w:val="24"/>
          <w:u w:val="single"/>
        </w:rPr>
        <w:t>负</w:t>
      </w:r>
      <w:r>
        <w:rPr>
          <w:rFonts w:hint="eastAsia" w:ascii="仿宋" w:hAnsi="仿宋" w:eastAsia="仿宋" w:cs="仿宋"/>
          <w:sz w:val="24"/>
          <w:szCs w:val="24"/>
          <w:u w:val="single"/>
          <w:lang w:eastAsia="zh-CN"/>
        </w:rPr>
        <w:t>责</w:t>
      </w:r>
      <w:r>
        <w:rPr>
          <w:rFonts w:hint="eastAsia" w:ascii="仿宋" w:hAnsi="仿宋" w:eastAsia="仿宋" w:cs="仿宋"/>
          <w:sz w:val="24"/>
          <w:szCs w:val="24"/>
          <w:u w:val="single"/>
          <w:lang w:val="en-US" w:eastAsia="zh-CN"/>
        </w:rPr>
        <w:t>：</w:t>
      </w:r>
    </w:p>
    <w:p w14:paraId="7A6CE0A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上述工程的质量、工程量确认及计量、投资、进度控制、安全、合同管理，协调</w:t>
      </w:r>
      <w:r>
        <w:rPr>
          <w:rFonts w:hint="eastAsia" w:ascii="仿宋" w:hAnsi="仿宋" w:eastAsia="仿宋" w:cs="仿宋"/>
          <w:sz w:val="24"/>
          <w:szCs w:val="24"/>
          <w:u w:val="single"/>
          <w:lang w:eastAsia="zh-CN"/>
        </w:rPr>
        <w:t>委托人</w:t>
      </w:r>
      <w:r>
        <w:rPr>
          <w:rFonts w:hint="eastAsia" w:ascii="仿宋" w:hAnsi="仿宋" w:eastAsia="仿宋" w:cs="仿宋"/>
          <w:sz w:val="24"/>
          <w:szCs w:val="24"/>
          <w:u w:val="single"/>
        </w:rPr>
        <w:t>、</w:t>
      </w:r>
      <w:r>
        <w:rPr>
          <w:rFonts w:hint="eastAsia" w:ascii="仿宋" w:hAnsi="仿宋" w:eastAsia="仿宋" w:cs="仿宋"/>
          <w:sz w:val="24"/>
          <w:szCs w:val="24"/>
          <w:u w:val="single"/>
          <w:lang w:eastAsia="zh-CN"/>
        </w:rPr>
        <w:t>施工单位</w:t>
      </w:r>
      <w:r>
        <w:rPr>
          <w:rFonts w:hint="eastAsia" w:ascii="仿宋" w:hAnsi="仿宋" w:eastAsia="仿宋" w:cs="仿宋"/>
          <w:sz w:val="24"/>
          <w:szCs w:val="24"/>
          <w:u w:val="single"/>
        </w:rPr>
        <w:t>双方的关系，并定期向委托人汇报工作情况</w:t>
      </w:r>
      <w:r>
        <w:rPr>
          <w:rFonts w:hint="eastAsia" w:ascii="仿宋" w:hAnsi="仿宋" w:eastAsia="仿宋" w:cs="仿宋"/>
          <w:sz w:val="24"/>
          <w:szCs w:val="24"/>
        </w:rPr>
        <w:t>。</w:t>
      </w:r>
    </w:p>
    <w:p w14:paraId="2BDEE70B">
      <w:pPr>
        <w:adjustRightInd w:val="0"/>
        <w:snapToGrid w:val="0"/>
        <w:spacing w:line="360" w:lineRule="auto"/>
        <w:ind w:firstLine="480" w:firstLineChars="200"/>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2、监理单位对本项目的监理工作负完全责任。按照国家标准对相关内容的要求，对监理工程采取相应的的监督、控制和管理措施，监督工程能够按时、按质、按量竣工。并对工程合同段进行工程管理，无保留的履行规定职责。</w:t>
      </w:r>
    </w:p>
    <w:p w14:paraId="33D6A1CC">
      <w:pPr>
        <w:adjustRightInd w:val="0"/>
        <w:snapToGrid w:val="0"/>
        <w:spacing w:line="360" w:lineRule="auto"/>
        <w:ind w:firstLine="480" w:firstLineChars="200"/>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3、监理单位需定期向委托人通报工程进展情况及工程实施过程中所遇到的问题，如遇紧急情况，应立即向委托人通报情况。</w:t>
      </w:r>
    </w:p>
    <w:p w14:paraId="6B755355">
      <w:pPr>
        <w:spacing w:line="360" w:lineRule="auto"/>
        <w:rPr>
          <w:rFonts w:hint="eastAsia" w:ascii="仿宋" w:hAnsi="仿宋" w:eastAsia="仿宋" w:cs="仿宋"/>
          <w:sz w:val="24"/>
          <w:szCs w:val="24"/>
        </w:rPr>
      </w:pPr>
      <w:r>
        <w:rPr>
          <w:rFonts w:hint="eastAsia" w:ascii="仿宋" w:hAnsi="仿宋" w:eastAsia="仿宋" w:cs="仿宋"/>
          <w:sz w:val="24"/>
          <w:szCs w:val="24"/>
        </w:rPr>
        <w:t>2.2 监理与相关服务依据</w:t>
      </w:r>
    </w:p>
    <w:p w14:paraId="783AA19B">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2.2.1 监理依据包括：</w:t>
      </w:r>
    </w:p>
    <w:p w14:paraId="052252AD">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1、监理合同</w:t>
      </w:r>
    </w:p>
    <w:p w14:paraId="51B4B2F2">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2、《建设工程监理规范》（GB/T50319-2013）</w:t>
      </w:r>
    </w:p>
    <w:p w14:paraId="6E97F33D">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3、施工合同</w:t>
      </w:r>
    </w:p>
    <w:p w14:paraId="6673D5B0">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4、业主提供的经过设计审查的施工图纸</w:t>
      </w:r>
    </w:p>
    <w:p w14:paraId="2037583F">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5、图纸会审纪要</w:t>
      </w:r>
    </w:p>
    <w:p w14:paraId="48ADFF79">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6、设计变更</w:t>
      </w:r>
    </w:p>
    <w:p w14:paraId="3187DE25">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u w:val="single"/>
        </w:rPr>
        <w:t>7、工程变更</w:t>
      </w:r>
    </w:p>
    <w:p w14:paraId="39D35BB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u w:val="single"/>
        </w:rPr>
        <w:t>8、国家及地方现行法律、法规及有关规范、规程、标准等</w:t>
      </w:r>
      <w:r>
        <w:rPr>
          <w:rFonts w:hint="eastAsia" w:ascii="仿宋" w:hAnsi="仿宋" w:eastAsia="仿宋" w:cs="仿宋"/>
          <w:sz w:val="24"/>
          <w:szCs w:val="24"/>
        </w:rPr>
        <w:t>。</w:t>
      </w:r>
    </w:p>
    <w:p w14:paraId="2B9AD01F">
      <w:pPr>
        <w:adjustRightInd w:val="0"/>
        <w:snapToGrid w:val="0"/>
        <w:spacing w:line="360" w:lineRule="auto"/>
        <w:ind w:firstLine="480" w:firstLineChars="200"/>
        <w:rPr>
          <w:rFonts w:hint="eastAsia" w:ascii="仿宋" w:hAnsi="仿宋" w:eastAsia="仿宋" w:cs="仿宋"/>
          <w:dstrike/>
          <w:sz w:val="24"/>
          <w:szCs w:val="24"/>
        </w:rPr>
      </w:pPr>
      <w:r>
        <w:rPr>
          <w:rFonts w:hint="eastAsia" w:ascii="仿宋" w:hAnsi="仿宋" w:eastAsia="仿宋" w:cs="仿宋"/>
          <w:sz w:val="24"/>
          <w:szCs w:val="24"/>
        </w:rPr>
        <w:t>2.2.2 相关服务依据包括：</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7DA88ACA">
      <w:pPr>
        <w:spacing w:line="360" w:lineRule="auto"/>
        <w:rPr>
          <w:rFonts w:hint="eastAsia" w:ascii="仿宋" w:hAnsi="仿宋" w:eastAsia="仿宋" w:cs="仿宋"/>
          <w:kern w:val="0"/>
          <w:sz w:val="24"/>
          <w:szCs w:val="24"/>
        </w:rPr>
      </w:pPr>
      <w:r>
        <w:rPr>
          <w:rFonts w:hint="eastAsia" w:ascii="仿宋" w:hAnsi="仿宋" w:eastAsia="仿宋" w:cs="仿宋"/>
          <w:sz w:val="24"/>
          <w:szCs w:val="24"/>
        </w:rPr>
        <w:t>2.3</w:t>
      </w:r>
      <w:r>
        <w:rPr>
          <w:rFonts w:hint="eastAsia" w:ascii="仿宋" w:hAnsi="仿宋" w:eastAsia="仿宋" w:cs="仿宋"/>
          <w:kern w:val="0"/>
          <w:sz w:val="24"/>
          <w:szCs w:val="24"/>
        </w:rPr>
        <w:t>项目监理机构和人员</w:t>
      </w:r>
    </w:p>
    <w:p w14:paraId="666A018D">
      <w:pPr>
        <w:spacing w:line="360" w:lineRule="auto"/>
        <w:ind w:firstLine="56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2.3.1监理人应组建满足工作需要的监理机构，配备必要的检测设备。项目监理机构的主要人员应具有相应的资格条件。</w:t>
      </w:r>
    </w:p>
    <w:p w14:paraId="68432BE5">
      <w:pPr>
        <w:spacing w:line="360" w:lineRule="auto"/>
        <w:ind w:firstLine="56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2.3.2本合同履行过程中，总监理工程师及重要岗位监理人员应保持相对稳定，以保证监理工作正常进行。</w:t>
      </w:r>
    </w:p>
    <w:p w14:paraId="79250E6A">
      <w:pPr>
        <w:spacing w:line="360" w:lineRule="auto"/>
        <w:ind w:firstLine="56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3E7982C8">
      <w:pPr>
        <w:spacing w:line="360" w:lineRule="auto"/>
        <w:ind w:firstLine="56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还应执行：</w:t>
      </w:r>
    </w:p>
    <w:p w14:paraId="6249D0CC">
      <w:pPr>
        <w:numPr>
          <w:ilvl w:val="0"/>
          <w:numId w:val="11"/>
        </w:numPr>
        <w:spacing w:line="360" w:lineRule="auto"/>
        <w:ind w:firstLine="56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监理人须组建项目驻地监理组，拟派本项目人员须按招标文件要求：总监理工程师1人、土建专业监理工程师1人，电气专业监理工程师1人，设备专业监理工程师1人，安全员1人，并提供人员名单，需做到人证相符，现场监理人员必须保证100%出勤率（按日历天计算）。且服从委托人考勤等相关管理制度规定。</w:t>
      </w:r>
    </w:p>
    <w:p w14:paraId="7989C07E">
      <w:pPr>
        <w:numPr>
          <w:ilvl w:val="0"/>
          <w:numId w:val="11"/>
        </w:numPr>
        <w:spacing w:line="360" w:lineRule="auto"/>
        <w:ind w:firstLine="56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除委托人另有要求外，监理单位不得随意更换本项目相关监理人员。擅自更换本项目总监理工程师，监理人应向发包人支付3000元/人/次的违约金；擅自更换、土建专业监理工程师、电气专业监理工程师、设备专业监理工程师及监理员的，监理人应向发包人支付2000元/人次的违约金。</w:t>
      </w:r>
    </w:p>
    <w:p w14:paraId="278D721E">
      <w:pPr>
        <w:numPr>
          <w:ilvl w:val="0"/>
          <w:numId w:val="11"/>
        </w:numPr>
        <w:spacing w:line="360" w:lineRule="auto"/>
        <w:ind w:firstLine="56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监理单位主要监理人员擅自离开施工现场的违约责任：一经发现处以2000元/人/次的违约金。不严格执行考勤管理规定的，处罚500元/人/次的违约金。</w:t>
      </w:r>
    </w:p>
    <w:p w14:paraId="5ADE6E01">
      <w:pPr>
        <w:numPr>
          <w:ilvl w:val="0"/>
          <w:numId w:val="0"/>
        </w:numPr>
        <w:spacing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施工单位未按发包人、监理人以及主管部门规定建立、健全安全、文明、维稳、疫情防控等施工制度，落实上述制度措施不到位的，每发现一处，监理单位需承担连带责任，须向委托人支付1000-5000元/次不等的违约金，具体情况视情节轻重决定。出现一般安全事故、重大安全事故的监理人向委托人支付签约合同价格1％至10％的违约金。</w:t>
      </w:r>
    </w:p>
    <w:p w14:paraId="715527BB">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 xml:space="preserve">2.3.4 </w:t>
      </w:r>
      <w:r>
        <w:rPr>
          <w:rFonts w:hint="eastAsia" w:ascii="仿宋" w:hAnsi="仿宋" w:eastAsia="仿宋" w:cs="仿宋"/>
          <w:kern w:val="0"/>
          <w:sz w:val="24"/>
          <w:szCs w:val="24"/>
        </w:rPr>
        <w:t>更换监理人员的其他情形：</w:t>
      </w:r>
      <w:r>
        <w:rPr>
          <w:rFonts w:hint="eastAsia" w:ascii="仿宋" w:hAnsi="仿宋" w:eastAsia="仿宋" w:cs="仿宋"/>
          <w:kern w:val="0"/>
          <w:sz w:val="24"/>
          <w:szCs w:val="24"/>
          <w:u w:val="single"/>
          <w:lang w:eastAsia="zh-CN"/>
        </w:rPr>
        <w:t>执行通用条款</w:t>
      </w:r>
      <w:r>
        <w:rPr>
          <w:rFonts w:hint="eastAsia" w:ascii="仿宋" w:hAnsi="仿宋" w:eastAsia="仿宋" w:cs="仿宋"/>
          <w:kern w:val="0"/>
          <w:sz w:val="24"/>
          <w:szCs w:val="24"/>
          <w:u w:val="single"/>
          <w:lang w:val="en-US" w:eastAsia="zh-CN"/>
        </w:rPr>
        <w:t>2.3.4款</w:t>
      </w:r>
      <w:r>
        <w:rPr>
          <w:rFonts w:hint="eastAsia" w:ascii="仿宋" w:hAnsi="仿宋" w:eastAsia="仿宋" w:cs="仿宋"/>
          <w:kern w:val="0"/>
          <w:sz w:val="24"/>
          <w:szCs w:val="24"/>
        </w:rPr>
        <w:t>。</w:t>
      </w:r>
    </w:p>
    <w:p w14:paraId="47D108B1">
      <w:pPr>
        <w:spacing w:line="360"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2.3.5 委托人可要求监理人更换不能胜任本职工作的项目监理机构人员</w:t>
      </w:r>
      <w:r>
        <w:rPr>
          <w:rFonts w:hint="eastAsia" w:ascii="仿宋" w:hAnsi="仿宋" w:eastAsia="仿宋" w:cs="仿宋"/>
          <w:kern w:val="0"/>
          <w:sz w:val="24"/>
          <w:szCs w:val="24"/>
          <w:lang w:eastAsia="zh-CN"/>
        </w:rPr>
        <w:t>，监理人必须配合落实，否则委托人可单方解除合同，并且不支付之前完成的工作内容相关费用。</w:t>
      </w:r>
    </w:p>
    <w:p w14:paraId="3847339C">
      <w:pPr>
        <w:spacing w:line="360" w:lineRule="auto"/>
        <w:rPr>
          <w:rFonts w:hint="eastAsia" w:ascii="仿宋" w:hAnsi="仿宋" w:eastAsia="仿宋" w:cs="仿宋"/>
          <w:kern w:val="0"/>
          <w:sz w:val="24"/>
          <w:szCs w:val="24"/>
        </w:rPr>
      </w:pPr>
      <w:r>
        <w:rPr>
          <w:rFonts w:hint="eastAsia" w:ascii="仿宋" w:hAnsi="仿宋" w:eastAsia="仿宋" w:cs="仿宋"/>
          <w:sz w:val="24"/>
          <w:szCs w:val="24"/>
        </w:rPr>
        <w:t xml:space="preserve">2.4 </w:t>
      </w:r>
      <w:r>
        <w:rPr>
          <w:rFonts w:hint="eastAsia" w:ascii="仿宋" w:hAnsi="仿宋" w:eastAsia="仿宋" w:cs="仿宋"/>
          <w:kern w:val="0"/>
          <w:sz w:val="24"/>
          <w:szCs w:val="24"/>
        </w:rPr>
        <w:t>履行职责</w:t>
      </w:r>
    </w:p>
    <w:p w14:paraId="6DAF4E5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rPr>
        <w:t>监理人应遵循职业道德准则和行为规范，严格按照法律法规、工程建设有关标准及本合同履行职责。</w:t>
      </w:r>
    </w:p>
    <w:p w14:paraId="2595C001">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2.4.1 在监理与相关服务范围内，委托人和承包人提出的意见和要求，监理人应及时提出处置意见。当委托人与承包人之间发生合同争议时，监理人应协助委托人、承包人协商解决。</w:t>
      </w:r>
    </w:p>
    <w:p w14:paraId="7196DB34">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2.4.2 当委托人与</w:t>
      </w:r>
      <w:r>
        <w:rPr>
          <w:rFonts w:hint="eastAsia" w:ascii="仿宋" w:hAnsi="仿宋" w:eastAsia="仿宋" w:cs="仿宋"/>
          <w:kern w:val="0"/>
          <w:sz w:val="24"/>
          <w:szCs w:val="24"/>
          <w:lang w:eastAsia="zh-CN"/>
        </w:rPr>
        <w:t>监理人</w:t>
      </w:r>
      <w:r>
        <w:rPr>
          <w:rFonts w:hint="eastAsia" w:ascii="仿宋" w:hAnsi="仿宋" w:eastAsia="仿宋" w:cs="仿宋"/>
          <w:kern w:val="0"/>
          <w:sz w:val="24"/>
          <w:szCs w:val="24"/>
        </w:rPr>
        <w:t>之间的合同争议提交仲裁机构仲裁或人民法院审理时，监理人应提供必要的证明资料。</w:t>
      </w:r>
    </w:p>
    <w:p w14:paraId="5F6E809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2.4.3 对监理人的授权范围：</w:t>
      </w:r>
      <w:r>
        <w:rPr>
          <w:rFonts w:hint="eastAsia" w:ascii="仿宋" w:hAnsi="仿宋" w:eastAsia="仿宋" w:cs="仿宋"/>
          <w:sz w:val="24"/>
          <w:szCs w:val="24"/>
          <w:u w:val="single"/>
        </w:rPr>
        <w:t xml:space="preserve">监理合同中监理人权利  </w:t>
      </w:r>
      <w:r>
        <w:rPr>
          <w:rFonts w:hint="eastAsia" w:ascii="仿宋" w:hAnsi="仿宋" w:eastAsia="仿宋" w:cs="仿宋"/>
          <w:sz w:val="24"/>
          <w:szCs w:val="24"/>
        </w:rPr>
        <w:t>。</w:t>
      </w:r>
    </w:p>
    <w:p w14:paraId="11C5BDE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在涉及工程延期</w:t>
      </w:r>
      <w:r>
        <w:rPr>
          <w:rFonts w:hint="eastAsia" w:ascii="仿宋" w:hAnsi="仿宋" w:eastAsia="仿宋" w:cs="仿宋"/>
          <w:sz w:val="24"/>
          <w:szCs w:val="24"/>
          <w:u w:val="single"/>
        </w:rPr>
        <w:t xml:space="preserve">  /  </w:t>
      </w:r>
      <w:r>
        <w:rPr>
          <w:rFonts w:hint="eastAsia" w:ascii="仿宋" w:hAnsi="仿宋" w:eastAsia="仿宋" w:cs="仿宋"/>
          <w:sz w:val="24"/>
          <w:szCs w:val="24"/>
        </w:rPr>
        <w:t>天内和（或）金额</w:t>
      </w:r>
      <w:r>
        <w:rPr>
          <w:rFonts w:hint="eastAsia" w:ascii="仿宋" w:hAnsi="仿宋" w:eastAsia="仿宋" w:cs="仿宋"/>
          <w:sz w:val="24"/>
          <w:szCs w:val="24"/>
          <w:u w:val="single"/>
        </w:rPr>
        <w:t xml:space="preserve">   /  </w:t>
      </w:r>
      <w:r>
        <w:rPr>
          <w:rFonts w:hint="eastAsia" w:ascii="仿宋" w:hAnsi="仿宋" w:eastAsia="仿宋" w:cs="仿宋"/>
          <w:sz w:val="24"/>
          <w:szCs w:val="24"/>
        </w:rPr>
        <w:t>万元内的变更，监理人不需请示委托人即可向承包人发布变更通知。</w:t>
      </w:r>
    </w:p>
    <w:p w14:paraId="1C584BC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2.4.4 监理人有权要求承包人调换其人员的限制条件：</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615EB9EC">
      <w:pPr>
        <w:adjustRightInd w:val="0"/>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 xml:space="preserve">2.5 </w:t>
      </w:r>
      <w:r>
        <w:rPr>
          <w:rFonts w:hint="eastAsia" w:ascii="仿宋" w:hAnsi="仿宋" w:eastAsia="仿宋" w:cs="仿宋"/>
          <w:sz w:val="24"/>
          <w:szCs w:val="24"/>
        </w:rPr>
        <w:t>提交</w:t>
      </w:r>
      <w:r>
        <w:rPr>
          <w:rFonts w:hint="eastAsia" w:ascii="仿宋" w:hAnsi="仿宋" w:eastAsia="仿宋" w:cs="仿宋"/>
          <w:kern w:val="0"/>
          <w:sz w:val="24"/>
          <w:szCs w:val="24"/>
        </w:rPr>
        <w:t>报告</w:t>
      </w:r>
    </w:p>
    <w:p w14:paraId="37553EBF">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监理人应提交报告的种类(</w:t>
      </w:r>
      <w:r>
        <w:rPr>
          <w:rFonts w:hint="eastAsia" w:ascii="仿宋" w:hAnsi="仿宋" w:eastAsia="仿宋" w:cs="仿宋"/>
          <w:kern w:val="0"/>
          <w:sz w:val="24"/>
          <w:szCs w:val="24"/>
        </w:rPr>
        <w:t>包括监理规划、监理月报及约定的专项报告)</w:t>
      </w:r>
      <w:r>
        <w:rPr>
          <w:rFonts w:hint="eastAsia" w:ascii="仿宋" w:hAnsi="仿宋" w:eastAsia="仿宋" w:cs="仿宋"/>
          <w:sz w:val="24"/>
          <w:szCs w:val="24"/>
        </w:rPr>
        <w:t>、时间和份数</w:t>
      </w:r>
      <w:r>
        <w:rPr>
          <w:rFonts w:hint="eastAsia" w:ascii="仿宋" w:hAnsi="仿宋" w:eastAsia="仿宋" w:cs="仿宋"/>
          <w:kern w:val="0"/>
          <w:sz w:val="24"/>
          <w:szCs w:val="24"/>
        </w:rPr>
        <w:t>：</w:t>
      </w:r>
      <w:r>
        <w:rPr>
          <w:rFonts w:hint="eastAsia" w:ascii="仿宋" w:hAnsi="仿宋" w:eastAsia="仿宋" w:cs="仿宋"/>
          <w:sz w:val="24"/>
          <w:szCs w:val="24"/>
          <w:u w:val="single"/>
        </w:rPr>
        <w:t>第一次工地会议召开前2天提交1份监理规划；每月25日前提交1份</w:t>
      </w:r>
      <w:r>
        <w:rPr>
          <w:rFonts w:hint="eastAsia" w:ascii="仿宋" w:hAnsi="仿宋" w:eastAsia="仿宋" w:cs="仿宋"/>
          <w:sz w:val="24"/>
          <w:szCs w:val="24"/>
          <w:u w:val="single"/>
          <w:lang w:eastAsia="zh-CN"/>
        </w:rPr>
        <w:t>每项工程的</w:t>
      </w:r>
      <w:r>
        <w:rPr>
          <w:rFonts w:hint="eastAsia" w:ascii="仿宋" w:hAnsi="仿宋" w:eastAsia="仿宋" w:cs="仿宋"/>
          <w:sz w:val="24"/>
          <w:szCs w:val="24"/>
          <w:u w:val="single"/>
        </w:rPr>
        <w:t>监理月报；每周提交1份现场监理例会纪要</w:t>
      </w:r>
      <w:r>
        <w:rPr>
          <w:rFonts w:hint="eastAsia" w:ascii="仿宋" w:hAnsi="仿宋" w:eastAsia="仿宋" w:cs="仿宋"/>
          <w:sz w:val="24"/>
          <w:szCs w:val="24"/>
          <w:u w:val="single"/>
          <w:lang w:eastAsia="zh-CN"/>
        </w:rPr>
        <w:t>等其他甲方要求提供的报告</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2E6D93A8">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2.6 文件资料</w:t>
      </w:r>
    </w:p>
    <w:p w14:paraId="4E86BE84">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在本合同履行期内，监理人应在现场保留工作所用的图纸、报告及记录监理工作的相关文件。工程竣工后，应当按照档案管理规定</w:t>
      </w:r>
      <w:r>
        <w:rPr>
          <w:rFonts w:hint="eastAsia" w:ascii="仿宋" w:hAnsi="仿宋" w:eastAsia="仿宋" w:cs="仿宋"/>
          <w:kern w:val="0"/>
          <w:sz w:val="24"/>
          <w:szCs w:val="24"/>
          <w:lang w:eastAsia="zh-CN"/>
        </w:rPr>
        <w:t>及甲方要求</w:t>
      </w:r>
      <w:r>
        <w:rPr>
          <w:rFonts w:hint="eastAsia" w:ascii="仿宋" w:hAnsi="仿宋" w:eastAsia="仿宋" w:cs="仿宋"/>
          <w:kern w:val="0"/>
          <w:sz w:val="24"/>
          <w:szCs w:val="24"/>
        </w:rPr>
        <w:t>将监理有关文件归档。</w:t>
      </w:r>
    </w:p>
    <w:p w14:paraId="4780134A">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2.7 使用委托人的财产</w:t>
      </w:r>
    </w:p>
    <w:p w14:paraId="6173799E">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     </w:t>
      </w:r>
      <w:r>
        <w:rPr>
          <w:rFonts w:hint="eastAsia" w:ascii="仿宋" w:hAnsi="仿宋" w:eastAsia="仿宋" w:cs="仿宋"/>
          <w:sz w:val="24"/>
          <w:szCs w:val="24"/>
        </w:rPr>
        <w:t>附录B中由委托人无偿提供的房屋、设备的所有权属于：</w:t>
      </w:r>
      <w:r>
        <w:rPr>
          <w:rFonts w:hint="eastAsia" w:ascii="仿宋" w:hAnsi="仿宋" w:eastAsia="仿宋" w:cs="仿宋"/>
          <w:sz w:val="24"/>
          <w:szCs w:val="24"/>
          <w:u w:val="single"/>
        </w:rPr>
        <w:t xml:space="preserve">委托人 </w:t>
      </w:r>
      <w:r>
        <w:rPr>
          <w:rFonts w:hint="eastAsia" w:ascii="仿宋" w:hAnsi="仿宋" w:eastAsia="仿宋" w:cs="仿宋"/>
          <w:sz w:val="24"/>
          <w:szCs w:val="24"/>
        </w:rPr>
        <w:t>。</w:t>
      </w:r>
    </w:p>
    <w:p w14:paraId="5A5C64CC">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监理人应在本合同终止后</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 </w:t>
      </w:r>
      <w:r>
        <w:rPr>
          <w:rFonts w:hint="eastAsia" w:ascii="仿宋" w:hAnsi="仿宋" w:eastAsia="仿宋" w:cs="仿宋"/>
          <w:sz w:val="24"/>
          <w:szCs w:val="24"/>
        </w:rPr>
        <w:t>天内移交委托人无偿提供的房屋、设备，移交的时间和方式为：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合同终止后</w:t>
      </w:r>
      <w:r>
        <w:rPr>
          <w:rFonts w:hint="eastAsia" w:ascii="仿宋" w:hAnsi="仿宋" w:eastAsia="仿宋" w:cs="仿宋"/>
          <w:sz w:val="24"/>
          <w:szCs w:val="24"/>
          <w:u w:val="single"/>
          <w:lang w:val="en-US" w:eastAsia="zh-CN"/>
        </w:rPr>
        <w:t>3天内交至技术组</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EBAB087">
      <w:pPr>
        <w:adjustRightInd w:val="0"/>
        <w:snapToGrid w:val="0"/>
        <w:spacing w:line="360" w:lineRule="auto"/>
        <w:rPr>
          <w:rFonts w:hint="eastAsia" w:ascii="仿宋" w:hAnsi="仿宋" w:eastAsia="仿宋" w:cs="仿宋"/>
          <w:b/>
          <w:sz w:val="24"/>
          <w:szCs w:val="24"/>
        </w:rPr>
      </w:pPr>
      <w:r>
        <w:rPr>
          <w:rFonts w:hint="eastAsia" w:ascii="仿宋" w:hAnsi="仿宋" w:eastAsia="仿宋" w:cs="仿宋"/>
          <w:b/>
          <w:kern w:val="0"/>
          <w:sz w:val="24"/>
          <w:szCs w:val="24"/>
        </w:rPr>
        <w:t xml:space="preserve">3. 委托人义务  </w:t>
      </w:r>
    </w:p>
    <w:p w14:paraId="4F8D1861">
      <w:pPr>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3.4 委托人代表</w:t>
      </w:r>
    </w:p>
    <w:p w14:paraId="18398446">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委托人代表为：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6CC68F20">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3.6 答复</w:t>
      </w:r>
    </w:p>
    <w:p w14:paraId="7734BFA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委托人同意在</w:t>
      </w:r>
      <w:r>
        <w:rPr>
          <w:rFonts w:hint="eastAsia" w:ascii="仿宋" w:hAnsi="仿宋" w:eastAsia="仿宋" w:cs="仿宋"/>
          <w:sz w:val="24"/>
          <w:szCs w:val="24"/>
          <w:u w:val="single"/>
        </w:rPr>
        <w:t xml:space="preserve"> 7 </w:t>
      </w:r>
      <w:r>
        <w:rPr>
          <w:rFonts w:hint="eastAsia" w:ascii="仿宋" w:hAnsi="仿宋" w:eastAsia="仿宋" w:cs="仿宋"/>
          <w:sz w:val="24"/>
          <w:szCs w:val="24"/>
        </w:rPr>
        <w:t>天内，对监理人书面提交并要求做出决定的事宜给予书面答复。</w:t>
      </w:r>
    </w:p>
    <w:p w14:paraId="2A7CF153">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4. 违约责任</w:t>
      </w:r>
    </w:p>
    <w:p w14:paraId="74BAF6DF">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4.1 监理人的违约责任</w:t>
      </w:r>
    </w:p>
    <w:p w14:paraId="62D47EB5">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4.1.1监理人赔偿金额按下列方法确定：</w:t>
      </w:r>
    </w:p>
    <w:p w14:paraId="02EB93E9">
      <w:pPr>
        <w:adjustRightInd w:val="0"/>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赔偿金＝直接经济损失×正常工作酬金÷工程概算</w:t>
      </w:r>
      <w:r>
        <w:rPr>
          <w:rFonts w:hint="eastAsia" w:ascii="仿宋" w:hAnsi="仿宋" w:eastAsia="仿宋" w:cs="仿宋"/>
          <w:kern w:val="0"/>
          <w:sz w:val="24"/>
          <w:szCs w:val="24"/>
        </w:rPr>
        <w:t>投资额（或建筑安装工程费）</w:t>
      </w:r>
    </w:p>
    <w:p w14:paraId="201366D1">
      <w:pPr>
        <w:snapToGrid w:val="0"/>
        <w:spacing w:line="360" w:lineRule="auto"/>
        <w:rPr>
          <w:rFonts w:hint="eastAsia" w:ascii="仿宋" w:hAnsi="仿宋" w:eastAsia="仿宋" w:cs="仿宋"/>
          <w:b/>
          <w:sz w:val="24"/>
          <w:szCs w:val="24"/>
        </w:rPr>
      </w:pPr>
      <w:r>
        <w:rPr>
          <w:rFonts w:hint="eastAsia" w:ascii="仿宋" w:hAnsi="仿宋" w:eastAsia="仿宋" w:cs="仿宋"/>
          <w:b/>
          <w:bCs/>
          <w:sz w:val="24"/>
          <w:szCs w:val="24"/>
        </w:rPr>
        <w:t>5. 支付</w:t>
      </w:r>
    </w:p>
    <w:p w14:paraId="597B542F">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5.2 支付申请</w:t>
      </w:r>
    </w:p>
    <w:p w14:paraId="77C1D50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监理人应在本合同约定的每次应付款时间的7天前，向委托人提交支付申请书。支付申请书应当说明当期应付款总额，并列出当期应支付的款项及其金额。</w:t>
      </w:r>
    </w:p>
    <w:p w14:paraId="73FDD999">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5.</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 xml:space="preserve"> 支付酬金（人民币）</w:t>
      </w:r>
    </w:p>
    <w:p w14:paraId="6C08946B">
      <w:pPr>
        <w:snapToGrid w:val="0"/>
        <w:spacing w:line="360" w:lineRule="auto"/>
        <w:rPr>
          <w:rFonts w:hint="eastAsia" w:ascii="仿宋" w:hAnsi="仿宋" w:eastAsia="仿宋" w:cs="仿宋"/>
          <w:kern w:val="0"/>
          <w:sz w:val="24"/>
          <w:szCs w:val="24"/>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2963"/>
        <w:gridCol w:w="2088"/>
        <w:gridCol w:w="2121"/>
      </w:tblGrid>
      <w:tr w14:paraId="422B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76" w:type="pct"/>
            <w:tcBorders>
              <w:top w:val="single" w:color="auto" w:sz="4" w:space="0"/>
              <w:left w:val="single" w:color="auto" w:sz="4" w:space="0"/>
              <w:bottom w:val="single" w:color="auto" w:sz="4" w:space="0"/>
              <w:right w:val="single" w:color="auto" w:sz="4" w:space="0"/>
            </w:tcBorders>
            <w:noWrap w:val="0"/>
            <w:vAlign w:val="center"/>
          </w:tcPr>
          <w:p w14:paraId="371840A9">
            <w:pPr>
              <w:jc w:val="center"/>
              <w:rPr>
                <w:rFonts w:hint="eastAsia" w:ascii="仿宋" w:hAnsi="仿宋" w:eastAsia="仿宋" w:cs="仿宋"/>
                <w:sz w:val="24"/>
                <w:szCs w:val="24"/>
              </w:rPr>
            </w:pPr>
            <w:r>
              <w:rPr>
                <w:rFonts w:hint="eastAsia" w:ascii="仿宋" w:hAnsi="仿宋" w:eastAsia="仿宋" w:cs="仿宋"/>
                <w:sz w:val="24"/>
                <w:szCs w:val="24"/>
              </w:rPr>
              <w:t>支付次数</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2013E8D4">
            <w:pPr>
              <w:jc w:val="center"/>
              <w:rPr>
                <w:rFonts w:hint="eastAsia" w:ascii="仿宋" w:hAnsi="仿宋" w:eastAsia="仿宋" w:cs="仿宋"/>
                <w:sz w:val="24"/>
                <w:szCs w:val="24"/>
              </w:rPr>
            </w:pPr>
            <w:r>
              <w:rPr>
                <w:rFonts w:hint="eastAsia" w:ascii="仿宋" w:hAnsi="仿宋" w:eastAsia="仿宋" w:cs="仿宋"/>
                <w:sz w:val="24"/>
                <w:szCs w:val="24"/>
              </w:rPr>
              <w:t>支付时间</w:t>
            </w:r>
          </w:p>
        </w:tc>
        <w:tc>
          <w:tcPr>
            <w:tcW w:w="1142" w:type="pct"/>
            <w:tcBorders>
              <w:top w:val="single" w:color="auto" w:sz="4" w:space="0"/>
              <w:left w:val="single" w:color="auto" w:sz="4" w:space="0"/>
              <w:bottom w:val="single" w:color="auto" w:sz="4" w:space="0"/>
              <w:right w:val="single" w:color="auto" w:sz="4" w:space="0"/>
            </w:tcBorders>
            <w:noWrap w:val="0"/>
            <w:vAlign w:val="top"/>
          </w:tcPr>
          <w:p w14:paraId="3CFC5352">
            <w:pPr>
              <w:jc w:val="center"/>
              <w:rPr>
                <w:rFonts w:hint="eastAsia" w:ascii="仿宋" w:hAnsi="仿宋" w:eastAsia="仿宋" w:cs="仿宋"/>
                <w:sz w:val="24"/>
                <w:szCs w:val="24"/>
              </w:rPr>
            </w:pPr>
            <w:r>
              <w:rPr>
                <w:rFonts w:hint="eastAsia" w:ascii="仿宋" w:hAnsi="仿宋" w:eastAsia="仿宋" w:cs="仿宋"/>
                <w:sz w:val="24"/>
                <w:szCs w:val="24"/>
              </w:rPr>
              <w:t>支付比例</w:t>
            </w:r>
          </w:p>
        </w:tc>
        <w:tc>
          <w:tcPr>
            <w:tcW w:w="1160" w:type="pct"/>
            <w:tcBorders>
              <w:top w:val="single" w:color="auto" w:sz="4" w:space="0"/>
              <w:left w:val="single" w:color="auto" w:sz="4" w:space="0"/>
              <w:bottom w:val="single" w:color="auto" w:sz="4" w:space="0"/>
              <w:right w:val="single" w:color="auto" w:sz="4" w:space="0"/>
            </w:tcBorders>
            <w:noWrap w:val="0"/>
            <w:vAlign w:val="center"/>
          </w:tcPr>
          <w:p w14:paraId="635ACD9A">
            <w:pPr>
              <w:jc w:val="center"/>
              <w:rPr>
                <w:rFonts w:hint="eastAsia" w:ascii="仿宋" w:hAnsi="仿宋" w:eastAsia="仿宋" w:cs="仿宋"/>
                <w:sz w:val="24"/>
                <w:szCs w:val="24"/>
              </w:rPr>
            </w:pPr>
            <w:r>
              <w:rPr>
                <w:rFonts w:hint="eastAsia" w:ascii="仿宋" w:hAnsi="仿宋" w:eastAsia="仿宋" w:cs="仿宋"/>
                <w:sz w:val="24"/>
                <w:szCs w:val="24"/>
              </w:rPr>
              <w:t>支付金额（元）</w:t>
            </w:r>
          </w:p>
        </w:tc>
      </w:tr>
      <w:tr w14:paraId="5C6E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076" w:type="pct"/>
            <w:tcBorders>
              <w:top w:val="single" w:color="auto" w:sz="4" w:space="0"/>
              <w:left w:val="single" w:color="auto" w:sz="4" w:space="0"/>
              <w:bottom w:val="single" w:color="auto" w:sz="4" w:space="0"/>
              <w:right w:val="single" w:color="auto" w:sz="4" w:space="0"/>
            </w:tcBorders>
            <w:noWrap w:val="0"/>
            <w:vAlign w:val="center"/>
          </w:tcPr>
          <w:p w14:paraId="0CD3BE1E">
            <w:pPr>
              <w:jc w:val="center"/>
              <w:rPr>
                <w:rFonts w:hint="eastAsia" w:ascii="仿宋" w:hAnsi="仿宋" w:eastAsia="仿宋" w:cs="仿宋"/>
                <w:sz w:val="24"/>
                <w:szCs w:val="24"/>
              </w:rPr>
            </w:pPr>
            <w:r>
              <w:rPr>
                <w:rFonts w:hint="eastAsia" w:ascii="仿宋" w:hAnsi="仿宋" w:eastAsia="仿宋" w:cs="仿宋"/>
                <w:sz w:val="24"/>
                <w:szCs w:val="24"/>
              </w:rPr>
              <w:t>首付款</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24573DCB">
            <w:pPr>
              <w:jc w:val="center"/>
              <w:rPr>
                <w:rFonts w:hint="eastAsia" w:ascii="仿宋" w:hAnsi="仿宋" w:eastAsia="仿宋" w:cs="仿宋"/>
                <w:sz w:val="24"/>
                <w:szCs w:val="24"/>
              </w:rPr>
            </w:pPr>
            <w:r>
              <w:rPr>
                <w:rFonts w:hint="eastAsia" w:ascii="仿宋" w:hAnsi="仿宋" w:eastAsia="仿宋" w:cs="仿宋"/>
                <w:sz w:val="24"/>
                <w:szCs w:val="24"/>
              </w:rPr>
              <w:t>工程竣工验收合格后</w:t>
            </w:r>
          </w:p>
        </w:tc>
        <w:tc>
          <w:tcPr>
            <w:tcW w:w="1142" w:type="pct"/>
            <w:tcBorders>
              <w:top w:val="single" w:color="auto" w:sz="4" w:space="0"/>
              <w:left w:val="single" w:color="auto" w:sz="4" w:space="0"/>
              <w:bottom w:val="single" w:color="auto" w:sz="4" w:space="0"/>
              <w:right w:val="single" w:color="auto" w:sz="4" w:space="0"/>
            </w:tcBorders>
            <w:noWrap w:val="0"/>
            <w:vAlign w:val="center"/>
          </w:tcPr>
          <w:p w14:paraId="70DBFB4D">
            <w:pPr>
              <w:jc w:val="center"/>
              <w:rPr>
                <w:rFonts w:hint="eastAsia" w:ascii="仿宋" w:hAnsi="仿宋" w:eastAsia="仿宋" w:cs="仿宋"/>
                <w:sz w:val="24"/>
                <w:szCs w:val="24"/>
              </w:rPr>
            </w:pPr>
            <w:r>
              <w:rPr>
                <w:rFonts w:hint="eastAsia" w:ascii="仿宋" w:hAnsi="仿宋" w:eastAsia="仿宋" w:cs="仿宋"/>
                <w:sz w:val="24"/>
                <w:szCs w:val="24"/>
              </w:rPr>
              <w:t>支付90%</w:t>
            </w:r>
          </w:p>
        </w:tc>
        <w:tc>
          <w:tcPr>
            <w:tcW w:w="1160" w:type="pct"/>
            <w:tcBorders>
              <w:top w:val="single" w:color="auto" w:sz="4" w:space="0"/>
              <w:left w:val="single" w:color="auto" w:sz="4" w:space="0"/>
              <w:bottom w:val="single" w:color="auto" w:sz="4" w:space="0"/>
              <w:right w:val="single" w:color="auto" w:sz="4" w:space="0"/>
            </w:tcBorders>
            <w:noWrap w:val="0"/>
            <w:vAlign w:val="center"/>
          </w:tcPr>
          <w:p w14:paraId="360FE583">
            <w:pPr>
              <w:jc w:val="center"/>
              <w:rPr>
                <w:rFonts w:hint="eastAsia" w:ascii="仿宋" w:hAnsi="仿宋" w:eastAsia="仿宋" w:cs="仿宋"/>
                <w:sz w:val="24"/>
                <w:szCs w:val="24"/>
              </w:rPr>
            </w:pPr>
          </w:p>
        </w:tc>
      </w:tr>
      <w:tr w14:paraId="4BC6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076" w:type="pct"/>
            <w:tcBorders>
              <w:top w:val="single" w:color="auto" w:sz="4" w:space="0"/>
              <w:left w:val="single" w:color="auto" w:sz="4" w:space="0"/>
              <w:bottom w:val="single" w:color="auto" w:sz="4" w:space="0"/>
              <w:right w:val="single" w:color="auto" w:sz="4" w:space="0"/>
            </w:tcBorders>
            <w:noWrap w:val="0"/>
            <w:vAlign w:val="center"/>
          </w:tcPr>
          <w:p w14:paraId="47BB2106">
            <w:pPr>
              <w:jc w:val="center"/>
              <w:rPr>
                <w:rFonts w:hint="eastAsia" w:ascii="仿宋" w:hAnsi="仿宋" w:eastAsia="仿宋" w:cs="仿宋"/>
                <w:sz w:val="24"/>
                <w:szCs w:val="24"/>
              </w:rPr>
            </w:pPr>
            <w:r>
              <w:rPr>
                <w:rFonts w:hint="eastAsia" w:ascii="仿宋" w:hAnsi="仿宋" w:eastAsia="仿宋" w:cs="仿宋"/>
                <w:sz w:val="24"/>
                <w:szCs w:val="24"/>
              </w:rPr>
              <w:t>最后付款</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61AB0305">
            <w:pPr>
              <w:jc w:val="center"/>
              <w:rPr>
                <w:rFonts w:hint="eastAsia" w:ascii="仿宋" w:hAnsi="仿宋" w:eastAsia="仿宋" w:cs="仿宋"/>
                <w:sz w:val="24"/>
                <w:szCs w:val="24"/>
              </w:rPr>
            </w:pPr>
            <w:r>
              <w:rPr>
                <w:rFonts w:hint="eastAsia" w:ascii="仿宋" w:hAnsi="仿宋" w:eastAsia="仿宋" w:cs="仿宋"/>
                <w:sz w:val="24"/>
                <w:szCs w:val="24"/>
              </w:rPr>
              <w:t>工程质保期满后支付</w:t>
            </w:r>
          </w:p>
        </w:tc>
        <w:tc>
          <w:tcPr>
            <w:tcW w:w="1142" w:type="pct"/>
            <w:tcBorders>
              <w:top w:val="single" w:color="auto" w:sz="4" w:space="0"/>
              <w:left w:val="single" w:color="auto" w:sz="4" w:space="0"/>
              <w:bottom w:val="single" w:color="auto" w:sz="4" w:space="0"/>
              <w:right w:val="single" w:color="auto" w:sz="4" w:space="0"/>
            </w:tcBorders>
            <w:noWrap w:val="0"/>
            <w:vAlign w:val="center"/>
          </w:tcPr>
          <w:p w14:paraId="7E4B7170">
            <w:pPr>
              <w:jc w:val="center"/>
              <w:rPr>
                <w:rFonts w:hint="eastAsia" w:ascii="仿宋" w:hAnsi="仿宋" w:eastAsia="仿宋" w:cs="仿宋"/>
                <w:sz w:val="24"/>
                <w:szCs w:val="24"/>
              </w:rPr>
            </w:pPr>
            <w:r>
              <w:rPr>
                <w:rFonts w:hint="eastAsia" w:ascii="仿宋" w:hAnsi="仿宋" w:eastAsia="仿宋" w:cs="仿宋"/>
                <w:sz w:val="24"/>
                <w:szCs w:val="24"/>
              </w:rPr>
              <w:t>支付剩余10%</w:t>
            </w:r>
          </w:p>
        </w:tc>
        <w:tc>
          <w:tcPr>
            <w:tcW w:w="1160" w:type="pct"/>
            <w:tcBorders>
              <w:top w:val="single" w:color="auto" w:sz="4" w:space="0"/>
              <w:left w:val="single" w:color="auto" w:sz="4" w:space="0"/>
              <w:bottom w:val="single" w:color="auto" w:sz="4" w:space="0"/>
              <w:right w:val="single" w:color="auto" w:sz="4" w:space="0"/>
            </w:tcBorders>
            <w:noWrap w:val="0"/>
            <w:vAlign w:val="center"/>
          </w:tcPr>
          <w:p w14:paraId="1D256DC0">
            <w:pPr>
              <w:jc w:val="center"/>
              <w:rPr>
                <w:rFonts w:hint="eastAsia" w:ascii="仿宋" w:hAnsi="仿宋" w:eastAsia="仿宋" w:cs="仿宋"/>
                <w:sz w:val="24"/>
                <w:szCs w:val="24"/>
              </w:rPr>
            </w:pPr>
          </w:p>
        </w:tc>
      </w:tr>
    </w:tbl>
    <w:p w14:paraId="1D355FB2">
      <w:pPr>
        <w:snapToGrid w:val="0"/>
        <w:spacing w:line="360" w:lineRule="auto"/>
        <w:rPr>
          <w:rFonts w:hint="eastAsia" w:ascii="仿宋" w:hAnsi="仿宋" w:eastAsia="仿宋" w:cs="仿宋"/>
          <w:b/>
          <w:bCs/>
          <w:color w:val="FF0000"/>
          <w:sz w:val="24"/>
          <w:szCs w:val="24"/>
        </w:rPr>
      </w:pPr>
      <w:r>
        <w:rPr>
          <w:rFonts w:hint="eastAsia" w:ascii="仿宋" w:hAnsi="仿宋" w:eastAsia="仿宋" w:cs="仿宋"/>
          <w:bCs/>
          <w:sz w:val="24"/>
          <w:szCs w:val="24"/>
        </w:rPr>
        <w:t>6</w:t>
      </w:r>
      <w:r>
        <w:rPr>
          <w:rFonts w:hint="eastAsia" w:ascii="仿宋" w:hAnsi="仿宋" w:eastAsia="仿宋" w:cs="仿宋"/>
          <w:b/>
          <w:bCs/>
          <w:sz w:val="24"/>
          <w:szCs w:val="24"/>
        </w:rPr>
        <w:t>. 合同生效、变更、暂停、解除与终止</w:t>
      </w:r>
    </w:p>
    <w:p w14:paraId="03D424D5">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6.1 生效</w:t>
      </w:r>
    </w:p>
    <w:p w14:paraId="1BF2CCF6">
      <w:pPr>
        <w:adjustRightInd w:val="0"/>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本合同生效条件：</w:t>
      </w:r>
      <w:r>
        <w:rPr>
          <w:rFonts w:hint="eastAsia" w:ascii="仿宋" w:hAnsi="仿宋" w:eastAsia="仿宋" w:cs="仿宋"/>
          <w:sz w:val="24"/>
          <w:szCs w:val="24"/>
          <w:u w:val="single"/>
        </w:rPr>
        <w:t xml:space="preserve">  双方签字盖章               </w:t>
      </w:r>
      <w:r>
        <w:rPr>
          <w:rFonts w:hint="eastAsia" w:ascii="仿宋" w:hAnsi="仿宋" w:eastAsia="仿宋" w:cs="仿宋"/>
          <w:sz w:val="24"/>
          <w:szCs w:val="24"/>
        </w:rPr>
        <w:t>。</w:t>
      </w:r>
    </w:p>
    <w:p w14:paraId="73F6EBC6">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6.2 变更</w:t>
      </w:r>
    </w:p>
    <w:p w14:paraId="18BD6F8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6.2.</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除不可抗力外， 因非监理人原因导致本合同期限延长时，附加工作酬金按下列方法确定：</w:t>
      </w:r>
    </w:p>
    <w:p w14:paraId="75D5A8A4">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附加工作酬金=本合同期限延长时间（天）×正常工作酬金÷协议书约定的监理与相关服务期限（天）</w:t>
      </w:r>
    </w:p>
    <w:p w14:paraId="07C42EA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6.2.</w:t>
      </w:r>
      <w:r>
        <w:rPr>
          <w:rFonts w:hint="eastAsia" w:ascii="仿宋" w:hAnsi="仿宋" w:eastAsia="仿宋" w:cs="仿宋"/>
          <w:sz w:val="24"/>
          <w:szCs w:val="24"/>
          <w:lang w:val="en-US" w:eastAsia="zh-CN"/>
        </w:rPr>
        <w:t>5</w:t>
      </w:r>
      <w:r>
        <w:rPr>
          <w:rFonts w:hint="eastAsia" w:ascii="仿宋" w:hAnsi="仿宋" w:eastAsia="仿宋" w:cs="仿宋"/>
          <w:sz w:val="24"/>
          <w:szCs w:val="24"/>
        </w:rPr>
        <w:t>附加工作酬金按下列方法确定：</w:t>
      </w:r>
    </w:p>
    <w:p w14:paraId="0B4C1D58">
      <w:pPr>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附加工作酬金=善后工作及恢复服务的准备工作时间（天）×正常工作酬金÷协议书约定的监理与相关服务期限（天）</w:t>
      </w:r>
    </w:p>
    <w:p w14:paraId="0C657ED5">
      <w:pPr>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rPr>
        <w:t>6.2.</w:t>
      </w:r>
      <w:r>
        <w:rPr>
          <w:rFonts w:hint="eastAsia" w:ascii="仿宋" w:hAnsi="仿宋" w:eastAsia="仿宋" w:cs="仿宋"/>
          <w:sz w:val="24"/>
          <w:szCs w:val="24"/>
          <w:lang w:val="en-US" w:eastAsia="zh-CN"/>
        </w:rPr>
        <w:t>6因工程规模，监理范围的变化导致监理人的正常工作量减少时，按减少工作量的比例，从协议书约定的正常工作酬金中扣减相同比例的酬金。</w:t>
      </w:r>
    </w:p>
    <w:p w14:paraId="0EDCA636">
      <w:pPr>
        <w:snapToGrid w:val="0"/>
        <w:spacing w:line="360" w:lineRule="auto"/>
        <w:rPr>
          <w:rFonts w:hint="eastAsia" w:ascii="仿宋" w:hAnsi="仿宋" w:eastAsia="仿宋" w:cs="仿宋"/>
          <w:b/>
          <w:sz w:val="24"/>
          <w:szCs w:val="24"/>
        </w:rPr>
      </w:pPr>
      <w:r>
        <w:rPr>
          <w:rFonts w:hint="eastAsia" w:ascii="仿宋" w:hAnsi="仿宋" w:eastAsia="仿宋" w:cs="仿宋"/>
          <w:b/>
          <w:bCs/>
          <w:sz w:val="24"/>
          <w:szCs w:val="24"/>
        </w:rPr>
        <w:t>7. 争议解决</w:t>
      </w:r>
    </w:p>
    <w:p w14:paraId="1148B10D">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w:t>
      </w:r>
      <w:r>
        <w:rPr>
          <w:rFonts w:hint="eastAsia" w:ascii="仿宋" w:hAnsi="仿宋" w:eastAsia="仿宋" w:cs="仿宋"/>
          <w:bCs/>
          <w:sz w:val="24"/>
          <w:szCs w:val="24"/>
        </w:rPr>
        <w:t>调解</w:t>
      </w:r>
    </w:p>
    <w:p w14:paraId="736DDDA7">
      <w:pPr>
        <w:snapToGrid w:val="0"/>
        <w:spacing w:line="360" w:lineRule="auto"/>
        <w:ind w:firstLine="470" w:firstLineChars="196"/>
        <w:rPr>
          <w:rFonts w:hint="eastAsia" w:ascii="仿宋" w:hAnsi="仿宋" w:eastAsia="仿宋" w:cs="仿宋"/>
          <w:sz w:val="24"/>
          <w:szCs w:val="24"/>
        </w:rPr>
      </w:pPr>
      <w:r>
        <w:rPr>
          <w:rFonts w:hint="eastAsia" w:ascii="仿宋" w:hAnsi="仿宋" w:eastAsia="仿宋" w:cs="仿宋"/>
          <w:sz w:val="24"/>
          <w:szCs w:val="24"/>
        </w:rPr>
        <w:t>本合同争议进行调解时，可提交</w:t>
      </w:r>
      <w:r>
        <w:rPr>
          <w:rFonts w:hint="eastAsia" w:ascii="仿宋" w:hAnsi="仿宋" w:eastAsia="仿宋" w:cs="仿宋"/>
          <w:sz w:val="24"/>
          <w:szCs w:val="24"/>
          <w:u w:val="single"/>
        </w:rPr>
        <w:t xml:space="preserve">   /   </w:t>
      </w:r>
      <w:r>
        <w:rPr>
          <w:rFonts w:hint="eastAsia" w:ascii="仿宋" w:hAnsi="仿宋" w:eastAsia="仿宋" w:cs="仿宋"/>
          <w:sz w:val="24"/>
          <w:szCs w:val="24"/>
        </w:rPr>
        <w:t>进行调解。</w:t>
      </w:r>
    </w:p>
    <w:p w14:paraId="6597364A">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bCs/>
          <w:sz w:val="24"/>
          <w:szCs w:val="24"/>
        </w:rPr>
        <w:t>仲裁或诉讼</w:t>
      </w:r>
    </w:p>
    <w:p w14:paraId="66A0AA8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合同争议的最终解决方式为下列第</w:t>
      </w:r>
      <w:r>
        <w:rPr>
          <w:rFonts w:hint="eastAsia" w:ascii="仿宋" w:hAnsi="仿宋" w:eastAsia="仿宋" w:cs="仿宋"/>
          <w:sz w:val="24"/>
          <w:szCs w:val="24"/>
          <w:u w:val="single"/>
        </w:rPr>
        <w:t xml:space="preserve">  (2)  </w:t>
      </w:r>
      <w:r>
        <w:rPr>
          <w:rFonts w:hint="eastAsia" w:ascii="仿宋" w:hAnsi="仿宋" w:eastAsia="仿宋" w:cs="仿宋"/>
          <w:sz w:val="24"/>
          <w:szCs w:val="24"/>
        </w:rPr>
        <w:t>种方式：</w:t>
      </w:r>
    </w:p>
    <w:p w14:paraId="7736611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（1）提请</w:t>
      </w:r>
      <w:r>
        <w:rPr>
          <w:rFonts w:hint="eastAsia" w:ascii="仿宋" w:hAnsi="仿宋" w:eastAsia="仿宋" w:cs="仿宋"/>
          <w:sz w:val="24"/>
          <w:szCs w:val="24"/>
          <w:u w:val="single"/>
        </w:rPr>
        <w:t xml:space="preserve"> / </w:t>
      </w:r>
      <w:r>
        <w:rPr>
          <w:rFonts w:hint="eastAsia" w:ascii="仿宋" w:hAnsi="仿宋" w:eastAsia="仿宋" w:cs="仿宋"/>
          <w:sz w:val="24"/>
          <w:szCs w:val="24"/>
        </w:rPr>
        <w:t>仲裁委员会进行仲裁。</w:t>
      </w:r>
    </w:p>
    <w:p w14:paraId="4C2B7D6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（2）向</w:t>
      </w:r>
      <w:r>
        <w:rPr>
          <w:rFonts w:hint="eastAsia" w:ascii="仿宋" w:hAnsi="仿宋" w:eastAsia="仿宋" w:cs="仿宋"/>
          <w:sz w:val="24"/>
          <w:szCs w:val="24"/>
          <w:u w:val="single"/>
        </w:rPr>
        <w:t xml:space="preserve"> 工程所在地 </w:t>
      </w:r>
      <w:r>
        <w:rPr>
          <w:rFonts w:hint="eastAsia" w:ascii="仿宋" w:hAnsi="仿宋" w:eastAsia="仿宋" w:cs="仿宋"/>
          <w:sz w:val="24"/>
          <w:szCs w:val="24"/>
        </w:rPr>
        <w:t>人民法院提起诉讼。</w:t>
      </w:r>
    </w:p>
    <w:p w14:paraId="13AC66E5">
      <w:p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8. 其他</w:t>
      </w:r>
    </w:p>
    <w:p w14:paraId="2DDEB928">
      <w:pPr>
        <w:adjustRightInd w:val="0"/>
        <w:snapToGrid w:val="0"/>
        <w:spacing w:line="360" w:lineRule="auto"/>
        <w:rPr>
          <w:rFonts w:hint="eastAsia" w:ascii="仿宋" w:hAnsi="仿宋" w:eastAsia="仿宋" w:cs="仿宋"/>
          <w:bCs/>
          <w:sz w:val="24"/>
          <w:szCs w:val="24"/>
        </w:rPr>
      </w:pPr>
      <w:r>
        <w:rPr>
          <w:rFonts w:hint="eastAsia" w:ascii="仿宋" w:hAnsi="仿宋" w:eastAsia="仿宋" w:cs="仿宋"/>
          <w:bCs/>
          <w:sz w:val="24"/>
          <w:szCs w:val="24"/>
        </w:rPr>
        <w:t>8.2 检测费用</w:t>
      </w:r>
    </w:p>
    <w:p w14:paraId="0C728576">
      <w:pPr>
        <w:adjustRightInd w:val="0"/>
        <w:snapToGrid w:val="0"/>
        <w:spacing w:line="360" w:lineRule="auto"/>
        <w:rPr>
          <w:rFonts w:hint="eastAsia" w:ascii="仿宋" w:hAnsi="仿宋" w:eastAsia="仿宋" w:cs="仿宋"/>
          <w:bCs/>
          <w:sz w:val="24"/>
          <w:szCs w:val="24"/>
        </w:rPr>
      </w:pPr>
      <w:r>
        <w:rPr>
          <w:rFonts w:hint="eastAsia" w:ascii="仿宋" w:hAnsi="仿宋" w:eastAsia="仿宋" w:cs="仿宋"/>
          <w:bCs/>
          <w:sz w:val="24"/>
          <w:szCs w:val="24"/>
        </w:rPr>
        <w:t xml:space="preserve">    委托人应在检测工作完成后</w:t>
      </w:r>
      <w:r>
        <w:rPr>
          <w:rFonts w:hint="eastAsia" w:ascii="仿宋" w:hAnsi="仿宋" w:eastAsia="仿宋" w:cs="仿宋"/>
          <w:sz w:val="24"/>
          <w:szCs w:val="24"/>
          <w:u w:val="single"/>
        </w:rPr>
        <w:t xml:space="preserve">  /   </w:t>
      </w:r>
      <w:r>
        <w:rPr>
          <w:rFonts w:hint="eastAsia" w:ascii="仿宋" w:hAnsi="仿宋" w:eastAsia="仿宋" w:cs="仿宋"/>
          <w:bCs/>
          <w:sz w:val="24"/>
          <w:szCs w:val="24"/>
        </w:rPr>
        <w:t>天内支付检测费用。</w:t>
      </w:r>
    </w:p>
    <w:p w14:paraId="205CA876">
      <w:pPr>
        <w:adjustRightInd w:val="0"/>
        <w:snapToGrid w:val="0"/>
        <w:spacing w:line="360" w:lineRule="auto"/>
        <w:rPr>
          <w:rFonts w:hint="eastAsia" w:ascii="仿宋" w:hAnsi="仿宋" w:eastAsia="仿宋" w:cs="仿宋"/>
          <w:bCs/>
          <w:sz w:val="24"/>
          <w:szCs w:val="24"/>
        </w:rPr>
      </w:pPr>
      <w:r>
        <w:rPr>
          <w:rFonts w:hint="eastAsia" w:ascii="仿宋" w:hAnsi="仿宋" w:eastAsia="仿宋" w:cs="仿宋"/>
          <w:bCs/>
          <w:sz w:val="24"/>
          <w:szCs w:val="24"/>
        </w:rPr>
        <w:t>8.3 咨询费用</w:t>
      </w:r>
    </w:p>
    <w:p w14:paraId="168981F2">
      <w:pPr>
        <w:adjustRightInd w:val="0"/>
        <w:snapToGrid w:val="0"/>
        <w:spacing w:line="360" w:lineRule="auto"/>
        <w:rPr>
          <w:rFonts w:hint="eastAsia" w:ascii="仿宋" w:hAnsi="仿宋" w:eastAsia="仿宋" w:cs="仿宋"/>
          <w:bCs/>
          <w:sz w:val="24"/>
          <w:szCs w:val="24"/>
        </w:rPr>
      </w:pPr>
      <w:r>
        <w:rPr>
          <w:rFonts w:hint="eastAsia" w:ascii="仿宋" w:hAnsi="仿宋" w:eastAsia="仿宋" w:cs="仿宋"/>
          <w:bCs/>
          <w:sz w:val="24"/>
          <w:szCs w:val="24"/>
        </w:rPr>
        <w:t xml:space="preserve">    委托人应在咨询工作完成后</w:t>
      </w:r>
      <w:r>
        <w:rPr>
          <w:rFonts w:hint="eastAsia" w:ascii="仿宋" w:hAnsi="仿宋" w:eastAsia="仿宋" w:cs="仿宋"/>
          <w:sz w:val="24"/>
          <w:szCs w:val="24"/>
          <w:u w:val="single"/>
        </w:rPr>
        <w:t xml:space="preserve">  /   </w:t>
      </w:r>
      <w:r>
        <w:rPr>
          <w:rFonts w:hint="eastAsia" w:ascii="仿宋" w:hAnsi="仿宋" w:eastAsia="仿宋" w:cs="仿宋"/>
          <w:bCs/>
          <w:sz w:val="24"/>
          <w:szCs w:val="24"/>
        </w:rPr>
        <w:t>天内支付咨询费用。</w:t>
      </w:r>
    </w:p>
    <w:p w14:paraId="06A06589">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8.4 奖励</w:t>
      </w:r>
    </w:p>
    <w:p w14:paraId="18F3831E">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合理化建议的奖励金额按下列方法确定为：</w:t>
      </w:r>
    </w:p>
    <w:p w14:paraId="71323069">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奖励金额＝工程投资节省额×奖励金额的比率；</w:t>
      </w:r>
    </w:p>
    <w:p w14:paraId="5EC3AE4C">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奖励金额的比率为</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2280A32A">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8.6 保密</w:t>
      </w:r>
    </w:p>
    <w:p w14:paraId="570526F9">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委托人申明的保密事项和期限：</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工程图纸、签证等内容未经甲方允许，不得擅自公开或使用</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7FA037DA">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监理人申明的保密事项和期限：</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51A21156">
      <w:pPr>
        <w:adjustRightInd w:val="0"/>
        <w:snapToGrid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第三方申明的保密事项和期限：</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3B2279A5">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8.8</w:t>
      </w:r>
      <w:r>
        <w:rPr>
          <w:rFonts w:hint="eastAsia" w:ascii="仿宋" w:hAnsi="仿宋" w:eastAsia="仿宋" w:cs="仿宋"/>
          <w:bCs/>
          <w:sz w:val="24"/>
          <w:szCs w:val="24"/>
        </w:rPr>
        <w:t>著作权</w:t>
      </w:r>
    </w:p>
    <w:p w14:paraId="7DA5D313">
      <w:pPr>
        <w:adjustRightInd w:val="0"/>
        <w:snapToGrid w:val="0"/>
        <w:spacing w:before="156" w:beforeLines="50" w:after="156" w:afterLines="50" w:line="360" w:lineRule="auto"/>
        <w:rPr>
          <w:rFonts w:hint="eastAsia" w:ascii="仿宋" w:hAnsi="仿宋" w:eastAsia="仿宋" w:cs="仿宋"/>
          <w:sz w:val="24"/>
          <w:szCs w:val="24"/>
        </w:rPr>
      </w:pPr>
      <w:r>
        <w:rPr>
          <w:rFonts w:hint="eastAsia" w:ascii="仿宋" w:hAnsi="仿宋" w:eastAsia="仿宋" w:cs="仿宋"/>
          <w:sz w:val="24"/>
          <w:szCs w:val="24"/>
        </w:rPr>
        <w:t>监理人在本合同履行期间及本合同终止后两年内出版涉及本工程的有关监理与相关服务的资料的限制条件：</w:t>
      </w: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5E20230D">
      <w:pPr>
        <w:adjustRightInd w:val="0"/>
        <w:snapToGrid w:val="0"/>
        <w:spacing w:before="156" w:beforeLines="50" w:after="156" w:afterLines="50" w:line="360" w:lineRule="auto"/>
        <w:rPr>
          <w:rFonts w:hint="eastAsia" w:ascii="仿宋" w:hAnsi="仿宋" w:eastAsia="仿宋" w:cs="仿宋"/>
          <w:sz w:val="24"/>
          <w:szCs w:val="24"/>
        </w:rPr>
      </w:pPr>
      <w:r>
        <w:rPr>
          <w:rFonts w:hint="eastAsia" w:ascii="仿宋" w:hAnsi="仿宋" w:eastAsia="仿宋" w:cs="仿宋"/>
          <w:sz w:val="24"/>
          <w:szCs w:val="24"/>
        </w:rPr>
        <w:t>9. 补充条款</w:t>
      </w:r>
    </w:p>
    <w:p w14:paraId="461D5F32">
      <w:pPr>
        <w:adjustRightInd w:val="0"/>
        <w:snapToGrid w:val="0"/>
        <w:spacing w:before="156" w:beforeLines="50" w:after="156" w:afterLines="50" w:line="360" w:lineRule="auto"/>
        <w:rPr>
          <w:rFonts w:hint="eastAsia" w:ascii="仿宋" w:hAnsi="仿宋" w:eastAsia="仿宋" w:cs="仿宋"/>
          <w:sz w:val="24"/>
          <w:szCs w:val="24"/>
        </w:rPr>
      </w:pPr>
      <w:r>
        <w:rPr>
          <w:rFonts w:hint="eastAsia" w:ascii="仿宋" w:hAnsi="仿宋" w:eastAsia="仿宋" w:cs="仿宋"/>
          <w:sz w:val="24"/>
          <w:szCs w:val="24"/>
          <w:u w:val="single"/>
        </w:rPr>
        <w:t xml:space="preserve">                       /                           </w:t>
      </w:r>
      <w:r>
        <w:rPr>
          <w:rFonts w:hint="eastAsia" w:ascii="仿宋" w:hAnsi="仿宋" w:eastAsia="仿宋" w:cs="仿宋"/>
          <w:sz w:val="24"/>
          <w:szCs w:val="24"/>
        </w:rPr>
        <w:t>。</w:t>
      </w:r>
    </w:p>
    <w:p w14:paraId="733E3AC7">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附加协议：</w:t>
      </w:r>
    </w:p>
    <w:p w14:paraId="3FF49591">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1、委托人支付监理酬金必须存入或汇入合同约定的监理人单项及银行帐户，凡以现金、非合同约定银行帐户或监理人员借款形式支付的监理酬金，视为个人行为，监理人不予认可。</w:t>
      </w:r>
    </w:p>
    <w:p w14:paraId="3F010AD1">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2、委托人支付监理酬金时，仅以监理人向委托人提供的盖有监理人发票专用章的发票或收据为付款依据，其他无效。</w:t>
      </w:r>
    </w:p>
    <w:p w14:paraId="6766D98C">
      <w:pPr>
        <w:rPr>
          <w:rFonts w:hint="eastAsia" w:ascii="仿宋" w:hAnsi="仿宋" w:eastAsia="仿宋" w:cs="仿宋"/>
          <w:sz w:val="24"/>
          <w:szCs w:val="24"/>
        </w:rPr>
      </w:pPr>
    </w:p>
    <w:p w14:paraId="3DE9973F">
      <w:pPr>
        <w:rPr>
          <w:rFonts w:hint="eastAsia" w:ascii="仿宋" w:hAnsi="仿宋" w:eastAsia="仿宋" w:cs="仿宋"/>
          <w:sz w:val="24"/>
          <w:szCs w:val="24"/>
        </w:rPr>
      </w:pPr>
    </w:p>
    <w:p w14:paraId="6D44C8E5">
      <w:pPr>
        <w:rPr>
          <w:rFonts w:hint="eastAsia" w:ascii="仿宋" w:hAnsi="仿宋" w:eastAsia="仿宋" w:cs="仿宋"/>
          <w:sz w:val="24"/>
          <w:szCs w:val="24"/>
        </w:rPr>
      </w:pPr>
    </w:p>
    <w:p w14:paraId="2BADA14C">
      <w:pPr>
        <w:rPr>
          <w:rFonts w:hint="eastAsia" w:ascii="仿宋" w:hAnsi="仿宋" w:eastAsia="仿宋" w:cs="仿宋"/>
          <w:sz w:val="24"/>
          <w:szCs w:val="24"/>
        </w:rPr>
      </w:pPr>
    </w:p>
    <w:p w14:paraId="638D9638">
      <w:pPr>
        <w:rPr>
          <w:rFonts w:hint="eastAsia" w:ascii="仿宋" w:hAnsi="仿宋" w:eastAsia="仿宋" w:cs="仿宋"/>
          <w:sz w:val="24"/>
          <w:szCs w:val="24"/>
        </w:rPr>
      </w:pPr>
    </w:p>
    <w:p w14:paraId="10131B62">
      <w:pPr>
        <w:rPr>
          <w:rFonts w:hint="eastAsia" w:ascii="仿宋" w:hAnsi="仿宋" w:eastAsia="仿宋" w:cs="仿宋"/>
          <w:sz w:val="24"/>
          <w:szCs w:val="24"/>
        </w:rPr>
      </w:pPr>
    </w:p>
    <w:p w14:paraId="517322C3">
      <w:pPr>
        <w:rPr>
          <w:rFonts w:hint="eastAsia" w:ascii="仿宋" w:hAnsi="仿宋" w:eastAsia="仿宋" w:cs="仿宋"/>
          <w:sz w:val="24"/>
          <w:szCs w:val="24"/>
        </w:rPr>
      </w:pPr>
    </w:p>
    <w:p w14:paraId="7CFF6AEB">
      <w:pPr>
        <w:rPr>
          <w:rFonts w:hint="eastAsia" w:ascii="仿宋" w:hAnsi="仿宋" w:eastAsia="仿宋" w:cs="仿宋"/>
          <w:sz w:val="24"/>
          <w:szCs w:val="24"/>
        </w:rPr>
      </w:pPr>
    </w:p>
    <w:p w14:paraId="68635E9F">
      <w:pPr>
        <w:rPr>
          <w:rFonts w:hint="eastAsia" w:ascii="仿宋" w:hAnsi="仿宋" w:eastAsia="仿宋" w:cs="仿宋"/>
          <w:sz w:val="24"/>
          <w:szCs w:val="24"/>
        </w:rPr>
      </w:pPr>
    </w:p>
    <w:p w14:paraId="45665367">
      <w:pPr>
        <w:rPr>
          <w:rFonts w:hint="eastAsia" w:ascii="仿宋" w:hAnsi="仿宋" w:eastAsia="仿宋" w:cs="仿宋"/>
          <w:sz w:val="24"/>
          <w:szCs w:val="24"/>
        </w:rPr>
      </w:pPr>
    </w:p>
    <w:p w14:paraId="2C7544A1">
      <w:pPr>
        <w:rPr>
          <w:rFonts w:hint="eastAsia" w:ascii="仿宋" w:hAnsi="仿宋" w:eastAsia="仿宋" w:cs="仿宋"/>
          <w:sz w:val="24"/>
          <w:szCs w:val="24"/>
        </w:rPr>
      </w:pPr>
    </w:p>
    <w:p w14:paraId="248568B1">
      <w:pPr>
        <w:rPr>
          <w:rFonts w:hint="eastAsia" w:ascii="仿宋" w:hAnsi="仿宋" w:eastAsia="仿宋" w:cs="仿宋"/>
          <w:sz w:val="24"/>
          <w:szCs w:val="24"/>
        </w:rPr>
      </w:pPr>
    </w:p>
    <w:p w14:paraId="31DF7238">
      <w:pPr>
        <w:rPr>
          <w:rFonts w:hint="eastAsia" w:ascii="仿宋" w:hAnsi="仿宋" w:eastAsia="仿宋" w:cs="仿宋"/>
          <w:sz w:val="24"/>
          <w:szCs w:val="24"/>
        </w:rPr>
      </w:pPr>
    </w:p>
    <w:p w14:paraId="17A4067C">
      <w:pPr>
        <w:rPr>
          <w:rFonts w:hint="eastAsia" w:ascii="仿宋" w:hAnsi="仿宋" w:eastAsia="仿宋" w:cs="仿宋"/>
          <w:sz w:val="24"/>
          <w:szCs w:val="24"/>
        </w:rPr>
      </w:pPr>
    </w:p>
    <w:p w14:paraId="0DB87461">
      <w:pPr>
        <w:rPr>
          <w:rFonts w:hint="eastAsia" w:ascii="仿宋" w:hAnsi="仿宋" w:eastAsia="仿宋" w:cs="仿宋"/>
          <w:sz w:val="24"/>
          <w:szCs w:val="24"/>
        </w:rPr>
      </w:pPr>
    </w:p>
    <w:p w14:paraId="187A000E">
      <w:pPr>
        <w:rPr>
          <w:rFonts w:hint="eastAsia" w:ascii="仿宋" w:hAnsi="仿宋" w:eastAsia="仿宋" w:cs="仿宋"/>
          <w:sz w:val="24"/>
          <w:szCs w:val="24"/>
        </w:rPr>
      </w:pPr>
    </w:p>
    <w:p w14:paraId="6EF079C3">
      <w:pPr>
        <w:rPr>
          <w:rFonts w:hint="eastAsia" w:ascii="仿宋" w:hAnsi="仿宋" w:eastAsia="仿宋" w:cs="仿宋"/>
          <w:sz w:val="24"/>
          <w:szCs w:val="24"/>
        </w:rPr>
      </w:pPr>
    </w:p>
    <w:p w14:paraId="380DAC28">
      <w:pPr>
        <w:spacing w:line="44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附件：</w:t>
      </w:r>
    </w:p>
    <w:p w14:paraId="14C8CCE8">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监理</w:t>
      </w:r>
      <w:r>
        <w:rPr>
          <w:rFonts w:hint="eastAsia" w:ascii="仿宋" w:hAnsi="仿宋" w:eastAsia="仿宋" w:cs="仿宋"/>
          <w:color w:val="000000"/>
          <w:sz w:val="24"/>
          <w:szCs w:val="24"/>
        </w:rPr>
        <w:t>人主要人员表</w:t>
      </w:r>
    </w:p>
    <w:p w14:paraId="6E698B36">
      <w:pPr>
        <w:spacing w:line="440" w:lineRule="exact"/>
        <w:rPr>
          <w:rFonts w:hint="eastAsia" w:ascii="仿宋" w:hAnsi="仿宋" w:eastAsia="仿宋" w:cs="仿宋"/>
          <w:color w:val="000000"/>
          <w:sz w:val="24"/>
          <w:szCs w:val="24"/>
        </w:rPr>
      </w:pP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11"/>
        <w:gridCol w:w="1297"/>
        <w:gridCol w:w="1153"/>
        <w:gridCol w:w="1299"/>
        <w:gridCol w:w="3520"/>
      </w:tblGrid>
      <w:tr w14:paraId="1C985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53" w:type="pct"/>
            <w:tcBorders>
              <w:bottom w:val="double" w:color="auto" w:sz="6" w:space="0"/>
            </w:tcBorders>
            <w:vAlign w:val="center"/>
          </w:tcPr>
          <w:p w14:paraId="06E1CBEC">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名    称</w:t>
            </w:r>
          </w:p>
        </w:tc>
        <w:tc>
          <w:tcPr>
            <w:tcW w:w="722" w:type="pct"/>
            <w:tcBorders>
              <w:bottom w:val="double" w:color="auto" w:sz="6" w:space="0"/>
            </w:tcBorders>
            <w:vAlign w:val="center"/>
          </w:tcPr>
          <w:p w14:paraId="0CE2F07A">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姓名</w:t>
            </w:r>
          </w:p>
        </w:tc>
        <w:tc>
          <w:tcPr>
            <w:tcW w:w="642" w:type="pct"/>
            <w:tcBorders>
              <w:bottom w:val="double" w:color="auto" w:sz="6" w:space="0"/>
            </w:tcBorders>
            <w:vAlign w:val="center"/>
          </w:tcPr>
          <w:p w14:paraId="274B0CAD">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职务</w:t>
            </w:r>
          </w:p>
        </w:tc>
        <w:tc>
          <w:tcPr>
            <w:tcW w:w="723" w:type="pct"/>
            <w:tcBorders>
              <w:bottom w:val="double" w:color="auto" w:sz="6" w:space="0"/>
            </w:tcBorders>
            <w:vAlign w:val="center"/>
          </w:tcPr>
          <w:p w14:paraId="5EF880D0">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注册执业资格</w:t>
            </w:r>
          </w:p>
        </w:tc>
        <w:tc>
          <w:tcPr>
            <w:tcW w:w="1958" w:type="pct"/>
            <w:tcBorders>
              <w:bottom w:val="double" w:color="auto" w:sz="6" w:space="0"/>
            </w:tcBorders>
            <w:vAlign w:val="center"/>
          </w:tcPr>
          <w:p w14:paraId="7C5EA007">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承担过的主要项目</w:t>
            </w:r>
          </w:p>
        </w:tc>
      </w:tr>
      <w:tr w14:paraId="560DB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double" w:color="auto" w:sz="6" w:space="0"/>
              <w:bottom w:val="single" w:color="auto" w:sz="6" w:space="0"/>
            </w:tcBorders>
            <w:vAlign w:val="center"/>
          </w:tcPr>
          <w:p w14:paraId="6394E954">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一、总部人员</w:t>
            </w:r>
          </w:p>
        </w:tc>
      </w:tr>
      <w:tr w14:paraId="050DB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53" w:type="pct"/>
            <w:tcBorders>
              <w:top w:val="nil"/>
              <w:bottom w:val="single" w:color="auto" w:sz="4" w:space="0"/>
            </w:tcBorders>
            <w:vAlign w:val="center"/>
          </w:tcPr>
          <w:p w14:paraId="17F7A219">
            <w:pPr>
              <w:pStyle w:val="13"/>
              <w:keepNext/>
              <w:spacing w:after="0" w:line="440" w:lineRule="exact"/>
              <w:ind w:left="63" w:right="63"/>
              <w:rPr>
                <w:rFonts w:hint="eastAsia" w:ascii="仿宋" w:hAnsi="仿宋" w:eastAsia="仿宋" w:cs="仿宋"/>
                <w:kern w:val="2"/>
                <w:sz w:val="24"/>
                <w:szCs w:val="24"/>
              </w:rPr>
            </w:pPr>
          </w:p>
        </w:tc>
        <w:tc>
          <w:tcPr>
            <w:tcW w:w="722" w:type="pct"/>
            <w:tcBorders>
              <w:top w:val="nil"/>
            </w:tcBorders>
            <w:vAlign w:val="center"/>
          </w:tcPr>
          <w:p w14:paraId="4FB7D6F2">
            <w:pPr>
              <w:pStyle w:val="13"/>
              <w:ind w:left="0" w:leftChars="0" w:right="63" w:firstLine="0" w:firstLineChars="0"/>
              <w:jc w:val="both"/>
              <w:rPr>
                <w:rFonts w:hint="eastAsia" w:ascii="仿宋" w:hAnsi="仿宋" w:eastAsia="仿宋" w:cs="仿宋"/>
                <w:kern w:val="2"/>
                <w:sz w:val="24"/>
                <w:szCs w:val="24"/>
                <w:lang w:val="en-US" w:eastAsia="zh-CN"/>
              </w:rPr>
            </w:pPr>
          </w:p>
        </w:tc>
        <w:tc>
          <w:tcPr>
            <w:tcW w:w="642" w:type="pct"/>
            <w:tcBorders>
              <w:top w:val="nil"/>
            </w:tcBorders>
            <w:vAlign w:val="center"/>
          </w:tcPr>
          <w:p w14:paraId="0F481D14">
            <w:pPr>
              <w:pStyle w:val="13"/>
              <w:keepNext/>
              <w:spacing w:after="0" w:line="440" w:lineRule="exact"/>
              <w:ind w:left="63" w:right="63"/>
              <w:rPr>
                <w:rFonts w:hint="eastAsia" w:ascii="仿宋" w:hAnsi="仿宋" w:eastAsia="仿宋" w:cs="仿宋"/>
                <w:kern w:val="2"/>
                <w:sz w:val="24"/>
                <w:szCs w:val="24"/>
              </w:rPr>
            </w:pPr>
          </w:p>
        </w:tc>
        <w:tc>
          <w:tcPr>
            <w:tcW w:w="723" w:type="pct"/>
            <w:tcBorders>
              <w:top w:val="nil"/>
            </w:tcBorders>
            <w:vAlign w:val="center"/>
          </w:tcPr>
          <w:p w14:paraId="463D06CB">
            <w:pPr>
              <w:pStyle w:val="13"/>
              <w:keepNext/>
              <w:spacing w:after="0" w:line="440" w:lineRule="exact"/>
              <w:ind w:left="63" w:right="63"/>
              <w:rPr>
                <w:rFonts w:hint="eastAsia" w:ascii="仿宋" w:hAnsi="仿宋" w:eastAsia="仿宋" w:cs="仿宋"/>
                <w:kern w:val="2"/>
                <w:sz w:val="24"/>
                <w:szCs w:val="24"/>
                <w:lang w:val="en-US" w:eastAsia="zh-CN"/>
              </w:rPr>
            </w:pPr>
          </w:p>
        </w:tc>
        <w:tc>
          <w:tcPr>
            <w:tcW w:w="1958" w:type="pct"/>
            <w:tcBorders>
              <w:top w:val="nil"/>
            </w:tcBorders>
            <w:vAlign w:val="center"/>
          </w:tcPr>
          <w:p w14:paraId="64C2EE01">
            <w:pPr>
              <w:pStyle w:val="13"/>
              <w:keepNext/>
              <w:spacing w:after="0" w:line="240" w:lineRule="auto"/>
              <w:ind w:left="63" w:right="63"/>
              <w:jc w:val="both"/>
              <w:rPr>
                <w:rFonts w:hint="eastAsia" w:ascii="仿宋" w:hAnsi="仿宋" w:eastAsia="仿宋" w:cs="仿宋"/>
                <w:kern w:val="2"/>
                <w:sz w:val="24"/>
                <w:szCs w:val="24"/>
                <w:lang w:val="en-US" w:eastAsia="zh-CN"/>
              </w:rPr>
            </w:pPr>
          </w:p>
        </w:tc>
      </w:tr>
      <w:tr w14:paraId="1883F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single" w:color="auto" w:sz="6" w:space="0"/>
              <w:bottom w:val="single" w:color="auto" w:sz="6" w:space="0"/>
            </w:tcBorders>
            <w:vAlign w:val="center"/>
          </w:tcPr>
          <w:p w14:paraId="72B8FC4B">
            <w:pPr>
              <w:pStyle w:val="13"/>
              <w:keepNext/>
              <w:spacing w:after="0" w:line="440" w:lineRule="exact"/>
              <w:ind w:left="63" w:right="63"/>
              <w:rPr>
                <w:rFonts w:hint="eastAsia" w:ascii="仿宋" w:hAnsi="仿宋" w:eastAsia="仿宋" w:cs="仿宋"/>
                <w:kern w:val="2"/>
                <w:sz w:val="24"/>
                <w:szCs w:val="24"/>
              </w:rPr>
            </w:pPr>
            <w:r>
              <w:rPr>
                <w:rFonts w:hint="eastAsia" w:ascii="仿宋" w:hAnsi="仿宋" w:eastAsia="仿宋" w:cs="仿宋"/>
                <w:kern w:val="2"/>
                <w:sz w:val="24"/>
                <w:szCs w:val="24"/>
              </w:rPr>
              <w:t>二、项目组成员</w:t>
            </w:r>
          </w:p>
        </w:tc>
      </w:tr>
      <w:tr w14:paraId="38377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0" w:hRule="atLeast"/>
          <w:jc w:val="center"/>
        </w:trPr>
        <w:tc>
          <w:tcPr>
            <w:tcW w:w="953" w:type="pct"/>
            <w:tcBorders>
              <w:top w:val="single" w:color="auto" w:sz="6" w:space="0"/>
              <w:bottom w:val="single" w:color="auto" w:sz="6" w:space="0"/>
            </w:tcBorders>
            <w:vAlign w:val="center"/>
          </w:tcPr>
          <w:p w14:paraId="0F9EEA1D">
            <w:pPr>
              <w:pStyle w:val="13"/>
              <w:keepNext/>
              <w:spacing w:after="0" w:line="340" w:lineRule="exact"/>
              <w:ind w:left="0" w:leftChars="0" w:right="63" w:firstLine="0" w:firstLineChars="0"/>
              <w:jc w:val="both"/>
              <w:rPr>
                <w:rFonts w:hint="eastAsia" w:ascii="仿宋" w:hAnsi="仿宋" w:eastAsia="仿宋" w:cs="仿宋"/>
                <w:kern w:val="2"/>
                <w:sz w:val="24"/>
                <w:szCs w:val="24"/>
              </w:rPr>
            </w:pPr>
          </w:p>
        </w:tc>
        <w:tc>
          <w:tcPr>
            <w:tcW w:w="722" w:type="pct"/>
            <w:vAlign w:val="center"/>
          </w:tcPr>
          <w:p w14:paraId="1A3B6C94">
            <w:pPr>
              <w:jc w:val="center"/>
              <w:rPr>
                <w:rFonts w:hint="eastAsia" w:ascii="仿宋" w:hAnsi="仿宋" w:eastAsia="仿宋" w:cs="仿宋"/>
                <w:sz w:val="24"/>
                <w:szCs w:val="24"/>
                <w:lang w:val="en-US" w:eastAsia="zh-CN"/>
              </w:rPr>
            </w:pPr>
          </w:p>
        </w:tc>
        <w:tc>
          <w:tcPr>
            <w:tcW w:w="642" w:type="pct"/>
            <w:vAlign w:val="center"/>
          </w:tcPr>
          <w:p w14:paraId="6F7651E1">
            <w:pPr>
              <w:spacing w:line="340" w:lineRule="exact"/>
              <w:jc w:val="center"/>
              <w:rPr>
                <w:rFonts w:hint="eastAsia" w:ascii="仿宋" w:hAnsi="仿宋" w:eastAsia="仿宋" w:cs="仿宋"/>
                <w:sz w:val="24"/>
                <w:szCs w:val="24"/>
              </w:rPr>
            </w:pPr>
          </w:p>
        </w:tc>
        <w:tc>
          <w:tcPr>
            <w:tcW w:w="723" w:type="pct"/>
            <w:vAlign w:val="center"/>
          </w:tcPr>
          <w:p w14:paraId="03B10AD7">
            <w:pPr>
              <w:jc w:val="center"/>
              <w:rPr>
                <w:rFonts w:hint="eastAsia" w:ascii="仿宋" w:hAnsi="仿宋" w:eastAsia="仿宋" w:cs="仿宋"/>
                <w:sz w:val="24"/>
                <w:szCs w:val="24"/>
                <w:lang w:val="en-US" w:eastAsia="zh-CN"/>
              </w:rPr>
            </w:pPr>
          </w:p>
        </w:tc>
        <w:tc>
          <w:tcPr>
            <w:tcW w:w="1958" w:type="pct"/>
            <w:vAlign w:val="center"/>
          </w:tcPr>
          <w:p w14:paraId="115137D4">
            <w:pPr>
              <w:pStyle w:val="13"/>
              <w:keepNext/>
              <w:spacing w:after="0" w:line="240" w:lineRule="exact"/>
              <w:ind w:left="63" w:right="63"/>
              <w:jc w:val="left"/>
              <w:rPr>
                <w:rFonts w:hint="eastAsia" w:ascii="仿宋" w:hAnsi="仿宋" w:eastAsia="仿宋" w:cs="仿宋"/>
                <w:sz w:val="24"/>
                <w:szCs w:val="24"/>
                <w:lang w:val="en-US" w:eastAsia="zh-CN"/>
              </w:rPr>
            </w:pPr>
          </w:p>
        </w:tc>
      </w:tr>
      <w:tr w14:paraId="2C0D5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9" w:hRule="atLeast"/>
          <w:jc w:val="center"/>
        </w:trPr>
        <w:tc>
          <w:tcPr>
            <w:tcW w:w="953" w:type="pct"/>
            <w:tcBorders>
              <w:top w:val="single" w:color="auto" w:sz="6" w:space="0"/>
              <w:bottom w:val="single" w:color="auto" w:sz="6" w:space="0"/>
            </w:tcBorders>
            <w:vAlign w:val="center"/>
          </w:tcPr>
          <w:p w14:paraId="0C2377E7">
            <w:pPr>
              <w:spacing w:line="340" w:lineRule="exact"/>
              <w:jc w:val="center"/>
              <w:rPr>
                <w:rFonts w:hint="eastAsia" w:ascii="仿宋" w:hAnsi="仿宋" w:eastAsia="仿宋" w:cs="仿宋"/>
                <w:sz w:val="24"/>
                <w:szCs w:val="24"/>
                <w:lang w:val="en-US" w:eastAsia="zh-CN"/>
              </w:rPr>
            </w:pPr>
          </w:p>
        </w:tc>
        <w:tc>
          <w:tcPr>
            <w:tcW w:w="722" w:type="pct"/>
            <w:vAlign w:val="center"/>
          </w:tcPr>
          <w:p w14:paraId="180893CE">
            <w:pPr>
              <w:jc w:val="center"/>
              <w:rPr>
                <w:rFonts w:hint="eastAsia" w:ascii="仿宋" w:hAnsi="仿宋" w:eastAsia="仿宋" w:cs="仿宋"/>
                <w:sz w:val="24"/>
                <w:szCs w:val="24"/>
                <w:lang w:val="en-US" w:eastAsia="zh-CN"/>
              </w:rPr>
            </w:pPr>
          </w:p>
        </w:tc>
        <w:tc>
          <w:tcPr>
            <w:tcW w:w="642" w:type="pct"/>
            <w:vAlign w:val="center"/>
          </w:tcPr>
          <w:p w14:paraId="48DC2395">
            <w:pPr>
              <w:spacing w:line="340" w:lineRule="exact"/>
              <w:jc w:val="center"/>
              <w:rPr>
                <w:rFonts w:hint="eastAsia" w:ascii="仿宋" w:hAnsi="仿宋" w:eastAsia="仿宋" w:cs="仿宋"/>
                <w:sz w:val="24"/>
                <w:szCs w:val="24"/>
              </w:rPr>
            </w:pPr>
          </w:p>
        </w:tc>
        <w:tc>
          <w:tcPr>
            <w:tcW w:w="723" w:type="pct"/>
            <w:vAlign w:val="center"/>
          </w:tcPr>
          <w:p w14:paraId="1F438D8D">
            <w:pPr>
              <w:jc w:val="center"/>
              <w:rPr>
                <w:rFonts w:hint="eastAsia" w:ascii="仿宋" w:hAnsi="仿宋" w:eastAsia="仿宋" w:cs="仿宋"/>
                <w:sz w:val="24"/>
                <w:szCs w:val="24"/>
                <w:lang w:val="en-US" w:eastAsia="zh-CN"/>
              </w:rPr>
            </w:pPr>
          </w:p>
        </w:tc>
        <w:tc>
          <w:tcPr>
            <w:tcW w:w="1958" w:type="pct"/>
            <w:vAlign w:val="center"/>
          </w:tcPr>
          <w:p w14:paraId="33FCD876">
            <w:pPr>
              <w:pStyle w:val="13"/>
              <w:keepNext/>
              <w:spacing w:after="0" w:line="240" w:lineRule="exact"/>
              <w:ind w:left="63" w:right="63"/>
              <w:jc w:val="left"/>
              <w:rPr>
                <w:rFonts w:hint="eastAsia" w:ascii="仿宋" w:hAnsi="仿宋" w:eastAsia="仿宋" w:cs="仿宋"/>
                <w:sz w:val="24"/>
                <w:szCs w:val="24"/>
              </w:rPr>
            </w:pPr>
          </w:p>
        </w:tc>
      </w:tr>
      <w:tr w14:paraId="5DE55F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0" w:hRule="atLeast"/>
          <w:jc w:val="center"/>
        </w:trPr>
        <w:tc>
          <w:tcPr>
            <w:tcW w:w="953" w:type="pct"/>
            <w:tcBorders>
              <w:top w:val="single" w:color="auto" w:sz="6" w:space="0"/>
              <w:bottom w:val="single" w:color="auto" w:sz="6" w:space="0"/>
            </w:tcBorders>
            <w:vAlign w:val="center"/>
          </w:tcPr>
          <w:p w14:paraId="6E2864EC">
            <w:pPr>
              <w:spacing w:line="340" w:lineRule="exact"/>
              <w:jc w:val="center"/>
              <w:rPr>
                <w:rFonts w:hint="eastAsia" w:ascii="仿宋" w:hAnsi="仿宋" w:eastAsia="仿宋" w:cs="仿宋"/>
                <w:sz w:val="24"/>
                <w:szCs w:val="24"/>
              </w:rPr>
            </w:pPr>
          </w:p>
        </w:tc>
        <w:tc>
          <w:tcPr>
            <w:tcW w:w="722" w:type="pct"/>
            <w:vAlign w:val="center"/>
          </w:tcPr>
          <w:p w14:paraId="57549CDC">
            <w:pPr>
              <w:jc w:val="center"/>
              <w:rPr>
                <w:rFonts w:hint="eastAsia" w:ascii="仿宋" w:hAnsi="仿宋" w:eastAsia="仿宋" w:cs="仿宋"/>
                <w:sz w:val="24"/>
                <w:szCs w:val="24"/>
                <w:lang w:val="en-US" w:eastAsia="zh-CN"/>
              </w:rPr>
            </w:pPr>
          </w:p>
        </w:tc>
        <w:tc>
          <w:tcPr>
            <w:tcW w:w="642" w:type="pct"/>
            <w:vAlign w:val="center"/>
          </w:tcPr>
          <w:p w14:paraId="0C1D23CD">
            <w:pPr>
              <w:spacing w:line="340" w:lineRule="exact"/>
              <w:jc w:val="center"/>
              <w:rPr>
                <w:rFonts w:hint="eastAsia" w:ascii="仿宋" w:hAnsi="仿宋" w:eastAsia="仿宋" w:cs="仿宋"/>
                <w:sz w:val="24"/>
                <w:szCs w:val="24"/>
              </w:rPr>
            </w:pPr>
          </w:p>
        </w:tc>
        <w:tc>
          <w:tcPr>
            <w:tcW w:w="723" w:type="pct"/>
            <w:vAlign w:val="center"/>
          </w:tcPr>
          <w:p w14:paraId="33381015">
            <w:pPr>
              <w:jc w:val="center"/>
              <w:rPr>
                <w:rFonts w:hint="eastAsia" w:ascii="仿宋" w:hAnsi="仿宋" w:eastAsia="仿宋" w:cs="仿宋"/>
                <w:sz w:val="24"/>
                <w:szCs w:val="24"/>
                <w:lang w:val="en-US" w:eastAsia="zh-CN"/>
              </w:rPr>
            </w:pPr>
          </w:p>
        </w:tc>
        <w:tc>
          <w:tcPr>
            <w:tcW w:w="1958" w:type="pct"/>
            <w:vAlign w:val="center"/>
          </w:tcPr>
          <w:p w14:paraId="2FB8FD51">
            <w:pPr>
              <w:pStyle w:val="13"/>
              <w:keepNext/>
              <w:spacing w:after="0" w:line="240" w:lineRule="exact"/>
              <w:ind w:left="63" w:right="63"/>
              <w:jc w:val="left"/>
              <w:rPr>
                <w:rFonts w:hint="eastAsia" w:ascii="仿宋" w:hAnsi="仿宋" w:eastAsia="仿宋" w:cs="仿宋"/>
                <w:sz w:val="24"/>
                <w:szCs w:val="24"/>
              </w:rPr>
            </w:pPr>
          </w:p>
        </w:tc>
      </w:tr>
      <w:tr w14:paraId="484A0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0" w:hRule="atLeast"/>
          <w:jc w:val="center"/>
        </w:trPr>
        <w:tc>
          <w:tcPr>
            <w:tcW w:w="953" w:type="pct"/>
            <w:tcBorders>
              <w:top w:val="single" w:color="auto" w:sz="6" w:space="0"/>
              <w:bottom w:val="single" w:color="auto" w:sz="6" w:space="0"/>
            </w:tcBorders>
            <w:vAlign w:val="center"/>
          </w:tcPr>
          <w:p w14:paraId="0CA41101">
            <w:pPr>
              <w:spacing w:line="340" w:lineRule="exact"/>
              <w:jc w:val="center"/>
              <w:rPr>
                <w:rFonts w:hint="eastAsia" w:ascii="仿宋" w:hAnsi="仿宋" w:eastAsia="仿宋" w:cs="仿宋"/>
                <w:sz w:val="24"/>
                <w:szCs w:val="24"/>
              </w:rPr>
            </w:pPr>
          </w:p>
        </w:tc>
        <w:tc>
          <w:tcPr>
            <w:tcW w:w="722" w:type="pct"/>
            <w:vAlign w:val="center"/>
          </w:tcPr>
          <w:p w14:paraId="540E5864">
            <w:pPr>
              <w:spacing w:line="340" w:lineRule="exact"/>
              <w:jc w:val="center"/>
              <w:rPr>
                <w:rFonts w:hint="eastAsia" w:ascii="仿宋" w:hAnsi="仿宋" w:eastAsia="仿宋" w:cs="仿宋"/>
                <w:sz w:val="24"/>
                <w:szCs w:val="24"/>
                <w:lang w:val="en-US" w:eastAsia="zh-CN"/>
              </w:rPr>
            </w:pPr>
          </w:p>
        </w:tc>
        <w:tc>
          <w:tcPr>
            <w:tcW w:w="642" w:type="pct"/>
            <w:vAlign w:val="center"/>
          </w:tcPr>
          <w:p w14:paraId="4125CE09">
            <w:pPr>
              <w:spacing w:line="340" w:lineRule="exact"/>
              <w:jc w:val="center"/>
              <w:rPr>
                <w:rFonts w:hint="eastAsia" w:ascii="仿宋" w:hAnsi="仿宋" w:eastAsia="仿宋" w:cs="仿宋"/>
                <w:sz w:val="24"/>
                <w:szCs w:val="24"/>
              </w:rPr>
            </w:pPr>
          </w:p>
        </w:tc>
        <w:tc>
          <w:tcPr>
            <w:tcW w:w="723" w:type="pct"/>
            <w:vAlign w:val="center"/>
          </w:tcPr>
          <w:p w14:paraId="6C6E6309">
            <w:pPr>
              <w:spacing w:line="340" w:lineRule="exact"/>
              <w:jc w:val="center"/>
              <w:rPr>
                <w:rFonts w:hint="eastAsia" w:ascii="仿宋" w:hAnsi="仿宋" w:eastAsia="仿宋" w:cs="仿宋"/>
                <w:sz w:val="24"/>
                <w:szCs w:val="24"/>
                <w:lang w:val="en-US" w:eastAsia="zh-CN"/>
              </w:rPr>
            </w:pPr>
          </w:p>
        </w:tc>
        <w:tc>
          <w:tcPr>
            <w:tcW w:w="1958" w:type="pct"/>
            <w:vAlign w:val="center"/>
          </w:tcPr>
          <w:p w14:paraId="23ADEE13">
            <w:pPr>
              <w:spacing w:line="340" w:lineRule="exact"/>
              <w:jc w:val="both"/>
              <w:rPr>
                <w:rFonts w:hint="eastAsia" w:ascii="仿宋" w:hAnsi="仿宋" w:eastAsia="仿宋" w:cs="仿宋"/>
                <w:sz w:val="24"/>
                <w:szCs w:val="24"/>
              </w:rPr>
            </w:pPr>
          </w:p>
        </w:tc>
      </w:tr>
      <w:tr w14:paraId="2D88B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3" w:hRule="atLeast"/>
          <w:jc w:val="center"/>
        </w:trPr>
        <w:tc>
          <w:tcPr>
            <w:tcW w:w="953" w:type="pct"/>
            <w:tcBorders>
              <w:top w:val="single" w:color="auto" w:sz="6" w:space="0"/>
              <w:bottom w:val="single" w:color="auto" w:sz="6" w:space="0"/>
            </w:tcBorders>
            <w:vAlign w:val="center"/>
          </w:tcPr>
          <w:p w14:paraId="4E3038D6">
            <w:pPr>
              <w:spacing w:line="340" w:lineRule="exact"/>
              <w:jc w:val="center"/>
              <w:rPr>
                <w:rFonts w:hint="eastAsia" w:ascii="仿宋" w:hAnsi="仿宋" w:eastAsia="仿宋" w:cs="仿宋"/>
                <w:sz w:val="24"/>
                <w:szCs w:val="24"/>
              </w:rPr>
            </w:pPr>
          </w:p>
        </w:tc>
        <w:tc>
          <w:tcPr>
            <w:tcW w:w="722" w:type="pct"/>
            <w:vAlign w:val="center"/>
          </w:tcPr>
          <w:p w14:paraId="41F3685A">
            <w:pPr>
              <w:jc w:val="center"/>
              <w:rPr>
                <w:rFonts w:hint="eastAsia" w:ascii="仿宋" w:hAnsi="仿宋" w:eastAsia="仿宋" w:cs="仿宋"/>
                <w:sz w:val="24"/>
                <w:szCs w:val="24"/>
                <w:lang w:val="en-US" w:eastAsia="zh-CN"/>
              </w:rPr>
            </w:pPr>
          </w:p>
        </w:tc>
        <w:tc>
          <w:tcPr>
            <w:tcW w:w="642" w:type="pct"/>
            <w:vAlign w:val="center"/>
          </w:tcPr>
          <w:p w14:paraId="7BA1D444">
            <w:pPr>
              <w:spacing w:line="340" w:lineRule="exact"/>
              <w:jc w:val="center"/>
              <w:rPr>
                <w:rFonts w:hint="eastAsia" w:ascii="仿宋" w:hAnsi="仿宋" w:eastAsia="仿宋" w:cs="仿宋"/>
                <w:sz w:val="24"/>
                <w:szCs w:val="24"/>
              </w:rPr>
            </w:pPr>
          </w:p>
        </w:tc>
        <w:tc>
          <w:tcPr>
            <w:tcW w:w="723" w:type="pct"/>
            <w:vAlign w:val="center"/>
          </w:tcPr>
          <w:p w14:paraId="2F87597D">
            <w:pPr>
              <w:jc w:val="center"/>
              <w:rPr>
                <w:rFonts w:hint="eastAsia" w:ascii="仿宋" w:hAnsi="仿宋" w:eastAsia="仿宋" w:cs="仿宋"/>
                <w:sz w:val="24"/>
                <w:szCs w:val="24"/>
              </w:rPr>
            </w:pPr>
          </w:p>
        </w:tc>
        <w:tc>
          <w:tcPr>
            <w:tcW w:w="1958" w:type="pct"/>
            <w:vAlign w:val="center"/>
          </w:tcPr>
          <w:p w14:paraId="1CA77EA9">
            <w:pPr>
              <w:pStyle w:val="13"/>
              <w:keepNext/>
              <w:spacing w:after="0" w:line="240" w:lineRule="exact"/>
              <w:ind w:left="63" w:right="63"/>
              <w:jc w:val="left"/>
              <w:rPr>
                <w:rFonts w:hint="eastAsia" w:ascii="仿宋" w:hAnsi="仿宋" w:eastAsia="仿宋" w:cs="仿宋"/>
                <w:kern w:val="2"/>
                <w:sz w:val="24"/>
                <w:szCs w:val="24"/>
              </w:rPr>
            </w:pPr>
          </w:p>
        </w:tc>
      </w:tr>
      <w:tr w14:paraId="4D297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53" w:type="pct"/>
            <w:tcBorders>
              <w:top w:val="single" w:color="auto" w:sz="6" w:space="0"/>
            </w:tcBorders>
            <w:vAlign w:val="center"/>
          </w:tcPr>
          <w:p w14:paraId="643AD7F4">
            <w:pPr>
              <w:pStyle w:val="13"/>
              <w:keepNext/>
              <w:spacing w:after="0" w:line="340" w:lineRule="exact"/>
              <w:ind w:left="63" w:right="63"/>
              <w:rPr>
                <w:rFonts w:hint="eastAsia" w:ascii="仿宋" w:hAnsi="仿宋" w:eastAsia="仿宋" w:cs="仿宋"/>
                <w:kern w:val="2"/>
                <w:sz w:val="24"/>
                <w:szCs w:val="24"/>
              </w:rPr>
            </w:pPr>
          </w:p>
        </w:tc>
        <w:tc>
          <w:tcPr>
            <w:tcW w:w="722" w:type="pct"/>
            <w:vAlign w:val="center"/>
          </w:tcPr>
          <w:p w14:paraId="68EF4FF6">
            <w:pPr>
              <w:jc w:val="center"/>
              <w:rPr>
                <w:rFonts w:hint="eastAsia" w:ascii="仿宋" w:hAnsi="仿宋" w:eastAsia="仿宋" w:cs="仿宋"/>
                <w:sz w:val="24"/>
                <w:szCs w:val="24"/>
                <w:lang w:val="en-US" w:eastAsia="zh-CN"/>
              </w:rPr>
            </w:pPr>
          </w:p>
        </w:tc>
        <w:tc>
          <w:tcPr>
            <w:tcW w:w="642" w:type="pct"/>
            <w:vAlign w:val="center"/>
          </w:tcPr>
          <w:p w14:paraId="33D6E634">
            <w:pPr>
              <w:pStyle w:val="13"/>
              <w:keepNext/>
              <w:spacing w:after="0" w:line="340" w:lineRule="exact"/>
              <w:ind w:left="63" w:right="63"/>
              <w:rPr>
                <w:rFonts w:hint="eastAsia" w:ascii="仿宋" w:hAnsi="仿宋" w:eastAsia="仿宋" w:cs="仿宋"/>
                <w:kern w:val="2"/>
                <w:sz w:val="24"/>
                <w:szCs w:val="24"/>
              </w:rPr>
            </w:pPr>
          </w:p>
        </w:tc>
        <w:tc>
          <w:tcPr>
            <w:tcW w:w="723" w:type="pct"/>
            <w:vAlign w:val="center"/>
          </w:tcPr>
          <w:p w14:paraId="3E2AC59C">
            <w:pPr>
              <w:pStyle w:val="13"/>
              <w:keepNext/>
              <w:spacing w:after="0" w:line="440" w:lineRule="exact"/>
              <w:ind w:left="63" w:right="63"/>
              <w:rPr>
                <w:rFonts w:hint="eastAsia" w:ascii="仿宋" w:hAnsi="仿宋" w:eastAsia="仿宋" w:cs="仿宋"/>
                <w:kern w:val="2"/>
                <w:sz w:val="24"/>
                <w:szCs w:val="24"/>
              </w:rPr>
            </w:pPr>
          </w:p>
        </w:tc>
        <w:tc>
          <w:tcPr>
            <w:tcW w:w="1958" w:type="pct"/>
            <w:vAlign w:val="center"/>
          </w:tcPr>
          <w:p w14:paraId="1BC93957">
            <w:pPr>
              <w:pStyle w:val="13"/>
              <w:keepNext/>
              <w:spacing w:after="0" w:line="240" w:lineRule="exact"/>
              <w:ind w:left="63" w:right="63"/>
              <w:jc w:val="left"/>
              <w:rPr>
                <w:rFonts w:hint="eastAsia" w:ascii="仿宋" w:hAnsi="仿宋" w:eastAsia="仿宋" w:cs="仿宋"/>
                <w:kern w:val="2"/>
                <w:sz w:val="24"/>
                <w:szCs w:val="24"/>
                <w:lang w:val="en-US" w:eastAsia="zh-CN"/>
              </w:rPr>
            </w:pPr>
          </w:p>
        </w:tc>
      </w:tr>
    </w:tbl>
    <w:p w14:paraId="39729FDD">
      <w:pPr>
        <w:spacing w:line="440" w:lineRule="exact"/>
        <w:rPr>
          <w:rFonts w:hint="eastAsia" w:ascii="仿宋" w:hAnsi="仿宋" w:eastAsia="仿宋" w:cs="仿宋"/>
          <w:color w:val="000000"/>
          <w:sz w:val="24"/>
          <w:szCs w:val="24"/>
        </w:rPr>
      </w:pPr>
    </w:p>
    <w:p w14:paraId="4938D18C">
      <w:pPr>
        <w:spacing w:line="440" w:lineRule="exact"/>
        <w:rPr>
          <w:rFonts w:hint="eastAsia" w:ascii="仿宋" w:hAnsi="仿宋" w:eastAsia="仿宋" w:cs="仿宋"/>
          <w:color w:val="000000"/>
          <w:sz w:val="24"/>
          <w:szCs w:val="24"/>
        </w:rPr>
      </w:pPr>
    </w:p>
    <w:p w14:paraId="3E60826A">
      <w:pPr>
        <w:rPr>
          <w:rFonts w:hint="eastAsia" w:ascii="仿宋" w:hAnsi="仿宋" w:eastAsia="仿宋" w:cs="仿宋"/>
          <w:sz w:val="24"/>
          <w:szCs w:val="24"/>
        </w:rPr>
      </w:pPr>
    </w:p>
    <w:p w14:paraId="5F6AA4C1">
      <w:pPr>
        <w:widowControl/>
        <w:spacing w:line="560" w:lineRule="exact"/>
        <w:jc w:val="left"/>
        <w:rPr>
          <w:rFonts w:hint="eastAsia" w:ascii="仿宋" w:hAnsi="仿宋" w:eastAsia="仿宋" w:cs="仿宋"/>
          <w:b/>
          <w:highlight w:val="none"/>
        </w:rPr>
      </w:pPr>
    </w:p>
    <w:p w14:paraId="7C816C5E">
      <w:pPr>
        <w:widowControl/>
        <w:spacing w:line="560" w:lineRule="exact"/>
        <w:jc w:val="left"/>
        <w:rPr>
          <w:rFonts w:hint="eastAsia" w:ascii="仿宋" w:hAnsi="仿宋" w:eastAsia="仿宋" w:cs="仿宋"/>
          <w:b/>
          <w:highlight w:val="none"/>
        </w:rPr>
      </w:pPr>
    </w:p>
    <w:p w14:paraId="38C44372">
      <w:pPr>
        <w:pStyle w:val="11"/>
        <w:tabs>
          <w:tab w:val="center" w:pos="4153"/>
          <w:tab w:val="right" w:pos="8306"/>
        </w:tabs>
        <w:rPr>
          <w:rFonts w:hint="eastAsia" w:ascii="仿宋" w:hAnsi="仿宋" w:eastAsia="仿宋" w:cs="仿宋"/>
          <w:b/>
          <w:highlight w:val="none"/>
        </w:rPr>
      </w:pPr>
    </w:p>
    <w:p w14:paraId="17774EFB">
      <w:pPr>
        <w:rPr>
          <w:rFonts w:hint="eastAsia" w:ascii="仿宋" w:hAnsi="仿宋" w:eastAsia="仿宋" w:cs="仿宋"/>
          <w:b/>
          <w:highlight w:val="none"/>
        </w:rPr>
      </w:pPr>
      <w:r>
        <w:rPr>
          <w:rFonts w:hint="eastAsia" w:ascii="仿宋" w:hAnsi="仿宋" w:eastAsia="仿宋" w:cs="仿宋"/>
          <w:b/>
          <w:highlight w:val="none"/>
        </w:rPr>
        <w:br w:type="page"/>
      </w:r>
    </w:p>
    <w:bookmarkEnd w:id="19"/>
    <w:p w14:paraId="1E920306">
      <w:pPr>
        <w:pStyle w:val="2"/>
        <w:numPr>
          <w:ilvl w:val="0"/>
          <w:numId w:val="4"/>
        </w:numPr>
        <w:bidi w:val="0"/>
        <w:jc w:val="center"/>
        <w:rPr>
          <w:rFonts w:hint="eastAsia" w:ascii="仿宋" w:hAnsi="仿宋" w:eastAsia="仿宋" w:cs="仿宋"/>
          <w:sz w:val="32"/>
          <w:szCs w:val="32"/>
          <w:highlight w:val="none"/>
          <w:lang w:val="en-US" w:eastAsia="zh-CN"/>
        </w:rPr>
      </w:pPr>
      <w:bookmarkStart w:id="20" w:name="_Toc8038"/>
      <w:r>
        <w:rPr>
          <w:rFonts w:hint="eastAsia" w:ascii="仿宋" w:hAnsi="仿宋" w:eastAsia="仿宋" w:cs="仿宋"/>
          <w:sz w:val="32"/>
          <w:szCs w:val="32"/>
          <w:highlight w:val="none"/>
          <w:lang w:val="en-US" w:eastAsia="zh-CN"/>
        </w:rPr>
        <w:t>采购需求</w:t>
      </w:r>
      <w:bookmarkEnd w:id="20"/>
    </w:p>
    <w:p w14:paraId="731C40E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一、服务要求</w:t>
      </w:r>
    </w:p>
    <w:p w14:paraId="277345B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1、根据采购人所用电负荷增加，配电改造增容需求。需增加第四条电缆回路，完成新建中心开闭所配电改造工程、电缆采购敷设工程、负荷接入改造等工程内容。</w:t>
      </w:r>
    </w:p>
    <w:p w14:paraId="1F133E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2、原制剂楼需进行室外排水管网开挖及管路更换；室外供电管沟开挖及电缆铺设等相关内容。</w:t>
      </w:r>
    </w:p>
    <w:p w14:paraId="06B8B7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3、监理项目以采购人实际确定为准。</w:t>
      </w:r>
    </w:p>
    <w:p w14:paraId="083A1CF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p>
    <w:p w14:paraId="24CC9AB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二、人员要求</w:t>
      </w:r>
    </w:p>
    <w:p w14:paraId="3BA6D89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1、监理单位人员配备要求：总监理工程师1人、电气专业监理工程师1人，设备专业监理工程师1人，监理员1人。</w:t>
      </w:r>
    </w:p>
    <w:p w14:paraId="2D5C4C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2、监理单位人员要求：派驻的监理人员需具备上岗证、见证取样证、安全员证、人防证等相应的资格证书</w:t>
      </w:r>
      <w:r>
        <w:rPr>
          <w:rFonts w:hint="eastAsia" w:ascii="仿宋" w:hAnsi="仿宋" w:eastAsia="仿宋" w:cs="仿宋"/>
          <w:b/>
          <w:bCs/>
          <w:kern w:val="0"/>
          <w:sz w:val="24"/>
          <w:szCs w:val="24"/>
          <w:vertAlign w:val="baseline"/>
          <w:lang w:val="en-US" w:eastAsia="zh-CN"/>
        </w:rPr>
        <w:t>。</w:t>
      </w:r>
    </w:p>
    <w:p w14:paraId="2AA25B9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p>
    <w:p w14:paraId="022733D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三、商务要求</w:t>
      </w:r>
    </w:p>
    <w:p w14:paraId="16D9E81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1、预计工期：中心开闭所供电外网改造项目工期60天；数字骨科供电、排水维修项目工期60天。</w:t>
      </w:r>
    </w:p>
    <w:p w14:paraId="1AEEC9F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2、响应时间：公示结束后第二天为监理开始时间（以采购人实际通知日期为准）</w:t>
      </w:r>
    </w:p>
    <w:p w14:paraId="0D7AF24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3、付款方式：工程完成竣工验收合格后支付服务费 90%，工程质保期满后支付（自竣工验收之日起2年后质保期满）合同价款剩余10%服务费。(具体以签订合同为准)</w:t>
      </w:r>
    </w:p>
    <w:p w14:paraId="4F40DD0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lang w:val="en-US" w:eastAsia="zh-CN"/>
        </w:rPr>
      </w:pPr>
    </w:p>
    <w:p w14:paraId="051C6664">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四、控价论证依据</w:t>
      </w:r>
    </w:p>
    <w:p w14:paraId="2080EAA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按《建设工程监理与相关服务收费管理规定》文件取费，中心开闭所供电外网改造项目招标控制价：355万元，数字骨科供电、排水维修项目中标价：444.8万元，共计799.8万元，监理费估算约：16.3万元。</w:t>
      </w:r>
    </w:p>
    <w:p w14:paraId="787F6650">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br w:type="page"/>
      </w:r>
    </w:p>
    <w:p w14:paraId="182D1AE7">
      <w:pPr>
        <w:pStyle w:val="2"/>
        <w:numPr>
          <w:ilvl w:val="0"/>
          <w:numId w:val="4"/>
        </w:numPr>
        <w:bidi w:val="0"/>
        <w:jc w:val="center"/>
        <w:rPr>
          <w:rFonts w:hint="eastAsia" w:ascii="仿宋" w:hAnsi="仿宋" w:eastAsia="仿宋" w:cs="仿宋"/>
          <w:sz w:val="32"/>
          <w:szCs w:val="32"/>
          <w:lang w:val="en-US" w:eastAsia="zh-CN"/>
        </w:rPr>
      </w:pPr>
      <w:bookmarkStart w:id="21" w:name="_Toc27718"/>
      <w:r>
        <w:rPr>
          <w:rFonts w:hint="eastAsia" w:ascii="仿宋" w:hAnsi="仿宋" w:eastAsia="仿宋" w:cs="仿宋"/>
          <w:sz w:val="32"/>
          <w:szCs w:val="32"/>
          <w:lang w:val="en-US" w:eastAsia="zh-CN"/>
        </w:rPr>
        <w:t>评标程序、评标方法和评标标准</w:t>
      </w:r>
      <w:bookmarkEnd w:id="21"/>
    </w:p>
    <w:p w14:paraId="5C1F41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32"/>
          <w:szCs w:val="32"/>
          <w:lang w:val="en-US" w:eastAsia="zh-CN"/>
        </w:rPr>
      </w:pPr>
    </w:p>
    <w:p w14:paraId="046FA3A4">
      <w:pPr>
        <w:keepNext w:val="0"/>
        <w:keepLines w:val="0"/>
        <w:pageBreakBefore w:val="0"/>
        <w:widowControl w:val="0"/>
        <w:numPr>
          <w:ilvl w:val="0"/>
          <w:numId w:val="12"/>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lang w:val="en-US" w:eastAsia="zh-CN"/>
        </w:rPr>
      </w:pPr>
      <w:bookmarkStart w:id="22" w:name="_Toc21122"/>
      <w:r>
        <w:rPr>
          <w:rFonts w:hint="eastAsia" w:ascii="仿宋" w:hAnsi="仿宋" w:eastAsia="仿宋" w:cs="仿宋"/>
          <w:b/>
          <w:bCs/>
          <w:sz w:val="24"/>
          <w:szCs w:val="24"/>
          <w:lang w:val="en-US" w:eastAsia="zh-CN"/>
        </w:rPr>
        <w:t>评标方法</w:t>
      </w:r>
      <w:bookmarkEnd w:id="22"/>
      <w:r>
        <w:rPr>
          <w:rFonts w:hint="eastAsia" w:ascii="仿宋" w:hAnsi="仿宋" w:eastAsia="仿宋" w:cs="仿宋"/>
          <w:b/>
          <w:bCs/>
          <w:sz w:val="24"/>
          <w:szCs w:val="24"/>
          <w:lang w:val="en-US" w:eastAsia="zh-CN"/>
        </w:rPr>
        <w:t xml:space="preserve"> </w:t>
      </w:r>
    </w:p>
    <w:p w14:paraId="08F56E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48EF2777">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3" w:name="_Toc1193"/>
      <w:r>
        <w:rPr>
          <w:rFonts w:hint="eastAsia" w:ascii="仿宋" w:hAnsi="仿宋" w:eastAsia="仿宋" w:cs="仿宋"/>
          <w:b/>
          <w:bCs/>
          <w:sz w:val="24"/>
          <w:szCs w:val="24"/>
          <w:lang w:val="en-US" w:eastAsia="zh-CN"/>
        </w:rPr>
        <w:t>评标原则</w:t>
      </w:r>
      <w:bookmarkEnd w:id="23"/>
    </w:p>
    <w:p w14:paraId="5A784C3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评标活动遵循公平、公正、科学和择优的原则，以采购文件和响应文件为评标的基本依据，并按照采购文件规定的评标方法和评标标准进行评标。</w:t>
      </w:r>
    </w:p>
    <w:p w14:paraId="1EF882A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357AA8CD">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4" w:name="_Toc7505"/>
      <w:r>
        <w:rPr>
          <w:rFonts w:hint="eastAsia" w:ascii="仿宋" w:hAnsi="仿宋" w:eastAsia="仿宋" w:cs="仿宋"/>
          <w:b/>
          <w:bCs/>
          <w:sz w:val="24"/>
          <w:szCs w:val="24"/>
          <w:lang w:val="en-US" w:eastAsia="zh-CN"/>
        </w:rPr>
        <w:t>资格审查</w:t>
      </w:r>
      <w:bookmarkEnd w:id="24"/>
    </w:p>
    <w:p w14:paraId="07C5623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4A3F4C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资格审查要求</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1856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4C1F00B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2536" w:type="dxa"/>
            <w:vAlign w:val="center"/>
          </w:tcPr>
          <w:p w14:paraId="06C4189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7CDB8EA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22C1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89D0EA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2536" w:type="dxa"/>
            <w:vAlign w:val="center"/>
          </w:tcPr>
          <w:p w14:paraId="5F07F42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37B4136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848183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4D7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15069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2536" w:type="dxa"/>
            <w:vAlign w:val="center"/>
          </w:tcPr>
          <w:p w14:paraId="4D358ED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2E4DCD6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本单位上一年度由会计师事务所出具的财务审计报告（当上一年度审计报告未出来时（每年6月前），可提供前一年度审计报告），审计报告须包括资产负债表、利润表、现金流量表、所有者权益变动（如有）及其附注（复印件并加盖本单位公章）。如供应商无法提供上年度审计报告，则需提供开标日前三个月内银行出具的资信证明原件或复印件加盖公章。如供应商注册成立不足三个月的则提供承诺书（自拟）原件。</w:t>
            </w:r>
          </w:p>
        </w:tc>
      </w:tr>
      <w:tr w14:paraId="43CA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A3BED0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2536" w:type="dxa"/>
            <w:vAlign w:val="center"/>
          </w:tcPr>
          <w:p w14:paraId="5A19DD6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694DCC9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须提供具备履行合同所必需的设备和专业技术能力的书面声明原件</w:t>
            </w:r>
          </w:p>
        </w:tc>
      </w:tr>
      <w:tr w14:paraId="2395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60CA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2536" w:type="dxa"/>
            <w:vAlign w:val="center"/>
          </w:tcPr>
          <w:p w14:paraId="5A17837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678F76B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响应文件递交截止日期之前六个月内任何一期的纳税记录（如供应商缴纳的增值税、所得税、印花税等我国现行税种中任意一项即可）或证明文件原件或复印件加盖公章（依法免税的应提供相应文件说明）</w:t>
            </w:r>
          </w:p>
          <w:p w14:paraId="7DA2D22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78FD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E8A97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2536" w:type="dxa"/>
            <w:vAlign w:val="center"/>
          </w:tcPr>
          <w:p w14:paraId="3651F73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6BB3979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须提供声明函原件</w:t>
            </w:r>
          </w:p>
        </w:tc>
      </w:tr>
      <w:tr w14:paraId="5470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EB0ACC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2536" w:type="dxa"/>
            <w:vAlign w:val="center"/>
          </w:tcPr>
          <w:p w14:paraId="0999066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w:t>
            </w:r>
          </w:p>
        </w:tc>
        <w:tc>
          <w:tcPr>
            <w:tcW w:w="5228" w:type="dxa"/>
            <w:vAlign w:val="center"/>
          </w:tcPr>
          <w:p w14:paraId="07BECF2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查询渠道：信用中国网站和中国政府采购网</w:t>
            </w:r>
          </w:p>
          <w:p w14:paraId="3856C14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查询时间：响应截止时间后至资格审查阶段完成；</w:t>
            </w:r>
          </w:p>
          <w:p w14:paraId="6ACA1C3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信用信息查询记录：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497B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728975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2536" w:type="dxa"/>
            <w:shd w:val="clear" w:color="auto" w:fill="auto"/>
            <w:vAlign w:val="center"/>
          </w:tcPr>
          <w:p w14:paraId="724AA1F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落实政府采购政策</w:t>
            </w:r>
          </w:p>
          <w:p w14:paraId="7E69248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的资格要求</w:t>
            </w:r>
          </w:p>
        </w:tc>
        <w:tc>
          <w:tcPr>
            <w:tcW w:w="5228" w:type="dxa"/>
            <w:shd w:val="clear" w:color="auto" w:fill="auto"/>
            <w:vAlign w:val="center"/>
          </w:tcPr>
          <w:p w14:paraId="7E00E11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本项目专门面向中小企业，提供服务的承接商应符合《政府采购促进中小企业发展管理办法》(财库〔2020〕46号) 第四条规定的情形，且应当提供《政府采购促进中小企业发展管理办法》(财库〔2020〕46号)规定的《中小企业声明函》。</w:t>
            </w:r>
          </w:p>
        </w:tc>
      </w:tr>
      <w:tr w14:paraId="7E69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483815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2536" w:type="dxa"/>
            <w:shd w:val="clear" w:color="auto" w:fill="auto"/>
            <w:vAlign w:val="center"/>
          </w:tcPr>
          <w:p w14:paraId="08604A7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特定资格要求</w:t>
            </w:r>
          </w:p>
        </w:tc>
        <w:tc>
          <w:tcPr>
            <w:tcW w:w="5228" w:type="dxa"/>
            <w:shd w:val="clear" w:color="auto" w:fill="auto"/>
            <w:vAlign w:val="center"/>
          </w:tcPr>
          <w:p w14:paraId="6D9FAF8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default" w:ascii="仿宋" w:hAnsi="仿宋" w:eastAsia="仿宋" w:cs="仿宋"/>
                <w:b w:val="0"/>
                <w:bCs w:val="0"/>
                <w:color w:val="000000"/>
                <w:spacing w:val="0"/>
                <w:kern w:val="2"/>
                <w:sz w:val="21"/>
                <w:szCs w:val="21"/>
                <w:highlight w:val="none"/>
                <w:u w:val="none"/>
                <w:vertAlign w:val="baseline"/>
                <w:lang w:val="en-US" w:eastAsia="zh-CN" w:bidi="ar"/>
              </w:rPr>
              <w:t>投标人须具备有效的资质证书，且具备（满足其中一条要求即可）：要求 （1）:工程监理综合甲级资质；要求 （2）：房屋建筑工程(专业类监理企业资质)丙级及以上资质和电力工程(专业类监理企业资质)乙级及以上资质；</w:t>
            </w:r>
            <w:r>
              <w:rPr>
                <w:rFonts w:hint="eastAsia" w:ascii="仿宋" w:hAnsi="仿宋" w:eastAsia="仿宋" w:cs="仿宋"/>
                <w:b w:val="0"/>
                <w:bCs w:val="0"/>
                <w:color w:val="000000"/>
                <w:spacing w:val="0"/>
                <w:kern w:val="2"/>
                <w:sz w:val="21"/>
                <w:szCs w:val="21"/>
                <w:highlight w:val="none"/>
                <w:u w:val="none"/>
                <w:vertAlign w:val="baseline"/>
                <w:lang w:val="en-US" w:eastAsia="zh-CN" w:bidi="ar"/>
              </w:rPr>
              <w:t>提供相关资质证明材料复印件并加盖公章。</w:t>
            </w:r>
          </w:p>
        </w:tc>
      </w:tr>
      <w:tr w14:paraId="629B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EDC33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9</w:t>
            </w:r>
          </w:p>
        </w:tc>
        <w:tc>
          <w:tcPr>
            <w:tcW w:w="2536" w:type="dxa"/>
            <w:shd w:val="clear" w:color="auto" w:fill="auto"/>
            <w:vAlign w:val="center"/>
          </w:tcPr>
          <w:p w14:paraId="6F7CCDB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default" w:ascii="仿宋" w:hAnsi="仿宋" w:eastAsia="仿宋" w:cs="仿宋"/>
                <w:b w:val="0"/>
                <w:bCs w:val="0"/>
                <w:color w:val="000000"/>
                <w:spacing w:val="0"/>
                <w:kern w:val="2"/>
                <w:sz w:val="21"/>
                <w:szCs w:val="21"/>
                <w:highlight w:val="none"/>
                <w:u w:val="none"/>
                <w:vertAlign w:val="baseline"/>
                <w:lang w:val="en-US" w:eastAsia="zh-CN" w:bidi="ar"/>
              </w:rPr>
              <w:t>项目负责人要求</w:t>
            </w:r>
          </w:p>
        </w:tc>
        <w:tc>
          <w:tcPr>
            <w:tcW w:w="5228" w:type="dxa"/>
            <w:shd w:val="clear" w:color="auto" w:fill="auto"/>
            <w:vAlign w:val="center"/>
          </w:tcPr>
          <w:p w14:paraId="436F754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default" w:ascii="仿宋" w:hAnsi="仿宋" w:eastAsia="仿宋" w:cs="仿宋"/>
                <w:b w:val="0"/>
                <w:bCs w:val="0"/>
                <w:color w:val="000000"/>
                <w:spacing w:val="0"/>
                <w:kern w:val="2"/>
                <w:sz w:val="21"/>
                <w:szCs w:val="21"/>
                <w:highlight w:val="none"/>
                <w:u w:val="none"/>
                <w:vertAlign w:val="baseline"/>
                <w:lang w:val="en-US" w:eastAsia="zh-CN" w:bidi="ar"/>
              </w:rPr>
              <w:t>投标人拟派项目总监须具备注册监理工程师（房屋建筑工程专业和电力工程专业）（本单位注册）</w:t>
            </w:r>
            <w:r>
              <w:rPr>
                <w:rFonts w:hint="eastAsia" w:ascii="仿宋" w:hAnsi="仿宋" w:eastAsia="仿宋" w:cs="仿宋"/>
                <w:b w:val="0"/>
                <w:bCs w:val="0"/>
                <w:color w:val="000000"/>
                <w:spacing w:val="0"/>
                <w:kern w:val="2"/>
                <w:sz w:val="21"/>
                <w:szCs w:val="21"/>
                <w:highlight w:val="none"/>
                <w:u w:val="none"/>
                <w:vertAlign w:val="baseline"/>
                <w:lang w:val="en-US" w:eastAsia="zh-CN" w:bidi="ar"/>
              </w:rPr>
              <w:t>，且不得同时监理其他项目（提供承诺书，格式自拟）</w:t>
            </w:r>
            <w:r>
              <w:rPr>
                <w:rFonts w:hint="default" w:ascii="仿宋" w:hAnsi="仿宋" w:eastAsia="仿宋" w:cs="仿宋"/>
                <w:b w:val="0"/>
                <w:bCs w:val="0"/>
                <w:color w:val="000000"/>
                <w:spacing w:val="0"/>
                <w:kern w:val="2"/>
                <w:sz w:val="21"/>
                <w:szCs w:val="21"/>
                <w:highlight w:val="none"/>
                <w:u w:val="none"/>
                <w:vertAlign w:val="baseline"/>
                <w:lang w:val="en-US" w:eastAsia="zh-CN" w:bidi="ar"/>
              </w:rPr>
              <w:t>；</w:t>
            </w:r>
            <w:r>
              <w:rPr>
                <w:rFonts w:hint="eastAsia" w:ascii="仿宋" w:hAnsi="仿宋" w:eastAsia="仿宋" w:cs="仿宋"/>
                <w:b w:val="0"/>
                <w:bCs w:val="0"/>
                <w:color w:val="000000"/>
                <w:spacing w:val="0"/>
                <w:kern w:val="2"/>
                <w:sz w:val="21"/>
                <w:szCs w:val="21"/>
                <w:highlight w:val="none"/>
                <w:u w:val="none"/>
                <w:vertAlign w:val="baseline"/>
                <w:lang w:val="en-US" w:eastAsia="zh-CN" w:bidi="ar"/>
              </w:rPr>
              <w:t>提供相关证明材料复印件并加盖公章。</w:t>
            </w:r>
          </w:p>
        </w:tc>
      </w:tr>
      <w:tr w14:paraId="5205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58" w:type="dxa"/>
            <w:vAlign w:val="center"/>
          </w:tcPr>
          <w:p w14:paraId="545AA8E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10</w:t>
            </w:r>
          </w:p>
        </w:tc>
        <w:tc>
          <w:tcPr>
            <w:tcW w:w="2536" w:type="dxa"/>
            <w:shd w:val="clear" w:color="auto" w:fill="auto"/>
            <w:vAlign w:val="center"/>
          </w:tcPr>
          <w:p w14:paraId="10B38C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sz w:val="21"/>
                <w:szCs w:val="21"/>
                <w:vertAlign w:val="baseline"/>
                <w:lang w:val="en-US" w:eastAsia="zh-CN"/>
              </w:rPr>
              <w:t>其他</w:t>
            </w:r>
          </w:p>
        </w:tc>
        <w:tc>
          <w:tcPr>
            <w:tcW w:w="5228" w:type="dxa"/>
            <w:shd w:val="clear" w:color="auto" w:fill="auto"/>
            <w:vAlign w:val="center"/>
          </w:tcPr>
          <w:p w14:paraId="5E189AA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sz w:val="21"/>
                <w:szCs w:val="21"/>
                <w:vertAlign w:val="baseline"/>
                <w:lang w:val="en-US" w:eastAsia="zh-CN"/>
              </w:rPr>
              <w:t>响应文件中不存在违反国家法律、法规和采购文件规定的其他无效情形</w:t>
            </w:r>
          </w:p>
        </w:tc>
      </w:tr>
    </w:tbl>
    <w:p w14:paraId="668D42F8">
      <w:pPr>
        <w:pStyle w:val="25"/>
        <w:widowControl w:val="0"/>
        <w:numPr>
          <w:ilvl w:val="0"/>
          <w:numId w:val="0"/>
        </w:numPr>
        <w:autoSpaceDE w:val="0"/>
        <w:autoSpaceDN w:val="0"/>
        <w:spacing w:before="0" w:after="0" w:line="240" w:lineRule="auto"/>
        <w:ind w:right="0" w:rightChars="0"/>
        <w:jc w:val="left"/>
        <w:rPr>
          <w:rFonts w:hint="eastAsia" w:ascii="仿宋" w:hAnsi="仿宋" w:eastAsia="仿宋" w:cs="仿宋"/>
          <w:b/>
          <w:bCs/>
          <w:lang w:val="en-US" w:eastAsia="zh-CN"/>
        </w:rPr>
      </w:pPr>
    </w:p>
    <w:p w14:paraId="2487D42E">
      <w:pPr>
        <w:pStyle w:val="25"/>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仿宋" w:hAnsi="仿宋" w:eastAsia="仿宋" w:cs="仿宋"/>
          <w:lang w:val="en-US" w:eastAsia="zh-CN"/>
        </w:rPr>
      </w:pPr>
      <w:bookmarkStart w:id="25" w:name="_Toc27889"/>
      <w:r>
        <w:rPr>
          <w:rFonts w:hint="eastAsia" w:ascii="仿宋" w:hAnsi="仿宋" w:eastAsia="仿宋" w:cs="仿宋"/>
          <w:b/>
          <w:bCs/>
          <w:sz w:val="24"/>
          <w:szCs w:val="24"/>
          <w:lang w:val="en-US" w:eastAsia="zh-CN"/>
        </w:rPr>
        <w:t>符合性审查</w:t>
      </w:r>
      <w:bookmarkEnd w:id="25"/>
    </w:p>
    <w:p w14:paraId="7014CB78">
      <w:pPr>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207930C7">
      <w:pPr>
        <w:pStyle w:val="25"/>
        <w:jc w:val="center"/>
        <w:rPr>
          <w:rFonts w:hint="eastAsia" w:ascii="仿宋" w:hAnsi="仿宋" w:eastAsia="仿宋" w:cs="仿宋"/>
          <w:b/>
          <w:bCs/>
          <w:lang w:val="en-US" w:eastAsia="zh-CN"/>
        </w:rPr>
      </w:pPr>
      <w:r>
        <w:rPr>
          <w:rFonts w:hint="eastAsia" w:ascii="仿宋" w:hAnsi="仿宋" w:eastAsia="仿宋" w:cs="仿宋"/>
          <w:b/>
          <w:bCs/>
          <w:lang w:val="en-US" w:eastAsia="zh-CN"/>
        </w:rPr>
        <w:t>符合性审查要求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611C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76FEA9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序号</w:t>
            </w:r>
          </w:p>
        </w:tc>
        <w:tc>
          <w:tcPr>
            <w:tcW w:w="2132" w:type="dxa"/>
            <w:vAlign w:val="center"/>
          </w:tcPr>
          <w:p w14:paraId="7F35A7C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审查因素</w:t>
            </w:r>
          </w:p>
        </w:tc>
        <w:tc>
          <w:tcPr>
            <w:tcW w:w="5573" w:type="dxa"/>
            <w:vAlign w:val="center"/>
          </w:tcPr>
          <w:p w14:paraId="3423C3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审查内容</w:t>
            </w:r>
          </w:p>
        </w:tc>
      </w:tr>
      <w:tr w14:paraId="090E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0B94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2132" w:type="dxa"/>
            <w:vAlign w:val="center"/>
          </w:tcPr>
          <w:p w14:paraId="29EE7ED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授权委托书</w:t>
            </w:r>
          </w:p>
        </w:tc>
        <w:tc>
          <w:tcPr>
            <w:tcW w:w="5573" w:type="dxa"/>
            <w:vAlign w:val="center"/>
          </w:tcPr>
          <w:p w14:paraId="44D157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5005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D15B55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2132" w:type="dxa"/>
            <w:vAlign w:val="center"/>
          </w:tcPr>
          <w:p w14:paraId="4BF26BC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响应完整性</w:t>
            </w:r>
          </w:p>
        </w:tc>
        <w:tc>
          <w:tcPr>
            <w:tcW w:w="5573" w:type="dxa"/>
            <w:vAlign w:val="center"/>
          </w:tcPr>
          <w:p w14:paraId="12BBE55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未将一个采购包中的内容拆开响应</w:t>
            </w:r>
          </w:p>
        </w:tc>
      </w:tr>
      <w:tr w14:paraId="0028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11ADD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2132" w:type="dxa"/>
            <w:vAlign w:val="center"/>
          </w:tcPr>
          <w:p w14:paraId="604451B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响应报价</w:t>
            </w:r>
          </w:p>
        </w:tc>
        <w:tc>
          <w:tcPr>
            <w:tcW w:w="5573" w:type="dxa"/>
            <w:vAlign w:val="center"/>
          </w:tcPr>
          <w:p w14:paraId="3468D4C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最后报价未超过磋商文件中规定的采购品目单价预算金额/单价最高限价或项目/采购包预算金额或者项目/采购包最高限价；</w:t>
            </w:r>
          </w:p>
        </w:tc>
      </w:tr>
      <w:tr w14:paraId="4E59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62A02E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2132" w:type="dxa"/>
            <w:vAlign w:val="center"/>
          </w:tcPr>
          <w:p w14:paraId="22D78A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报价唯一性</w:t>
            </w:r>
          </w:p>
        </w:tc>
        <w:tc>
          <w:tcPr>
            <w:tcW w:w="5573" w:type="dxa"/>
            <w:vAlign w:val="center"/>
          </w:tcPr>
          <w:p w14:paraId="0748A24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响应文件未出现可选择性或可调整的报价（采购文件另有规定的除外）</w:t>
            </w:r>
          </w:p>
        </w:tc>
      </w:tr>
      <w:tr w14:paraId="6E9D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02894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2132" w:type="dxa"/>
            <w:vAlign w:val="center"/>
          </w:tcPr>
          <w:p w14:paraId="20C6C8F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响应有效期</w:t>
            </w:r>
          </w:p>
        </w:tc>
        <w:tc>
          <w:tcPr>
            <w:tcW w:w="5573" w:type="dxa"/>
            <w:vAlign w:val="center"/>
          </w:tcPr>
          <w:p w14:paraId="22F9E8E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响应文件中承诺的响应有效期满足采购文件中载明的响应有效期的</w:t>
            </w:r>
          </w:p>
        </w:tc>
      </w:tr>
      <w:tr w14:paraId="6331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15CBB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6</w:t>
            </w:r>
          </w:p>
        </w:tc>
        <w:tc>
          <w:tcPr>
            <w:tcW w:w="2132" w:type="dxa"/>
            <w:vAlign w:val="center"/>
          </w:tcPr>
          <w:p w14:paraId="30E92D4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签署、盖章</w:t>
            </w:r>
          </w:p>
        </w:tc>
        <w:tc>
          <w:tcPr>
            <w:tcW w:w="5573" w:type="dxa"/>
            <w:vAlign w:val="center"/>
          </w:tcPr>
          <w:p w14:paraId="1BF0170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按照采购文件要求签署、盖章的</w:t>
            </w:r>
          </w:p>
        </w:tc>
      </w:tr>
      <w:tr w14:paraId="5ECD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086978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7</w:t>
            </w:r>
          </w:p>
        </w:tc>
        <w:tc>
          <w:tcPr>
            <w:tcW w:w="2132" w:type="dxa"/>
            <w:vAlign w:val="center"/>
          </w:tcPr>
          <w:p w14:paraId="758908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报价合理性</w:t>
            </w:r>
          </w:p>
        </w:tc>
        <w:tc>
          <w:tcPr>
            <w:tcW w:w="5573" w:type="dxa"/>
            <w:vAlign w:val="center"/>
          </w:tcPr>
          <w:p w14:paraId="19A1C26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报价合理，或供应商的报价明显低于其他通过符合性审查供应商的报价，有可能影响产品质量或者不能诚信履约的，能够应磋商小组要求在规定时间内证明其报价合理性的</w:t>
            </w:r>
          </w:p>
        </w:tc>
      </w:tr>
      <w:tr w14:paraId="6C65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796F82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sz w:val="21"/>
                <w:szCs w:val="21"/>
                <w:vertAlign w:val="baseline"/>
                <w:lang w:val="en-US" w:eastAsia="zh-CN"/>
              </w:rPr>
              <w:t>8</w:t>
            </w:r>
          </w:p>
        </w:tc>
        <w:tc>
          <w:tcPr>
            <w:tcW w:w="2132" w:type="dxa"/>
            <w:shd w:val="clear" w:color="auto" w:fill="auto"/>
            <w:vAlign w:val="center"/>
          </w:tcPr>
          <w:p w14:paraId="0E1CA27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磋商保证金</w:t>
            </w:r>
          </w:p>
        </w:tc>
        <w:tc>
          <w:tcPr>
            <w:tcW w:w="5573" w:type="dxa"/>
            <w:shd w:val="clear" w:color="auto" w:fill="auto"/>
            <w:vAlign w:val="center"/>
          </w:tcPr>
          <w:p w14:paraId="601622FE">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按照采购文件的规定提交磋商保证金</w:t>
            </w:r>
          </w:p>
        </w:tc>
      </w:tr>
      <w:tr w14:paraId="4AE1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5C6788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sz w:val="21"/>
                <w:szCs w:val="21"/>
                <w:vertAlign w:val="baseline"/>
                <w:lang w:val="en-US" w:eastAsia="zh-CN"/>
              </w:rPr>
              <w:t>9</w:t>
            </w:r>
          </w:p>
        </w:tc>
        <w:tc>
          <w:tcPr>
            <w:tcW w:w="2132" w:type="dxa"/>
            <w:vAlign w:val="center"/>
          </w:tcPr>
          <w:p w14:paraId="0E31F2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附加条件</w:t>
            </w:r>
          </w:p>
        </w:tc>
        <w:tc>
          <w:tcPr>
            <w:tcW w:w="5573" w:type="dxa"/>
            <w:vAlign w:val="center"/>
          </w:tcPr>
          <w:p w14:paraId="772A374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响应文件未含有采购人不能接受的附加条件的</w:t>
            </w:r>
          </w:p>
        </w:tc>
      </w:tr>
      <w:tr w14:paraId="0A38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A270A4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c>
          <w:tcPr>
            <w:tcW w:w="2132" w:type="dxa"/>
            <w:vAlign w:val="center"/>
          </w:tcPr>
          <w:p w14:paraId="4300506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其他</w:t>
            </w:r>
          </w:p>
        </w:tc>
        <w:tc>
          <w:tcPr>
            <w:tcW w:w="5573" w:type="dxa"/>
            <w:vAlign w:val="center"/>
          </w:tcPr>
          <w:p w14:paraId="79AC5E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响应文件中不存在违反国家法律、法规和采购文件规定的其他无效情形</w:t>
            </w:r>
          </w:p>
        </w:tc>
      </w:tr>
    </w:tbl>
    <w:p w14:paraId="5E9A190D">
      <w:pPr>
        <w:pStyle w:val="25"/>
        <w:ind w:left="0" w:leftChars="0" w:firstLine="0" w:firstLineChars="0"/>
        <w:rPr>
          <w:rFonts w:hint="eastAsia" w:ascii="仿宋" w:hAnsi="仿宋" w:eastAsia="仿宋" w:cs="仿宋"/>
          <w:lang w:val="en-US" w:eastAsia="zh-CN"/>
        </w:rPr>
      </w:pPr>
    </w:p>
    <w:p w14:paraId="4C4D13AE">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lang w:val="en-US" w:eastAsia="zh-CN"/>
        </w:rPr>
      </w:pPr>
      <w:bookmarkStart w:id="26" w:name="_Toc31864"/>
      <w:r>
        <w:rPr>
          <w:rFonts w:hint="eastAsia" w:ascii="仿宋" w:hAnsi="仿宋" w:eastAsia="仿宋" w:cs="仿宋"/>
          <w:b/>
          <w:bCs/>
          <w:sz w:val="24"/>
          <w:szCs w:val="24"/>
          <w:lang w:val="en-US" w:eastAsia="zh-CN"/>
        </w:rPr>
        <w:t>响应文件澄清</w:t>
      </w:r>
      <w:bookmarkEnd w:id="26"/>
    </w:p>
    <w:p w14:paraId="0E96C58F">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
          <w:b/>
          <w:bCs/>
          <w:sz w:val="24"/>
          <w:szCs w:val="24"/>
          <w:lang w:val="en-US" w:eastAsia="zh-CN"/>
        </w:rPr>
        <w:t>授权代表人联系方式</w:t>
      </w:r>
      <w:r>
        <w:rPr>
          <w:rFonts w:hint="eastAsia" w:ascii="仿宋" w:hAnsi="仿宋" w:eastAsia="仿宋" w:cs="仿宋"/>
          <w:sz w:val="24"/>
          <w:szCs w:val="24"/>
          <w:lang w:val="en-US" w:eastAsia="zh-CN"/>
        </w:rPr>
        <w:t>发送短信提醒或电话告知。</w:t>
      </w:r>
    </w:p>
    <w:p w14:paraId="6BCB1028">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供应商需登录电子招投标系统平台项目采购系统的等候大厅，在规定时间内完成澄清（响应），并加盖电子印章。</w:t>
      </w:r>
    </w:p>
    <w:p w14:paraId="2FD436C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0379645B">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磋商小组不接受供应商主动提出的澄清、说明或补正。</w:t>
      </w:r>
    </w:p>
    <w:p w14:paraId="1FA4BD4D">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磋商小组对供应商提交的澄清、说明或补正有疑问的，可以要求供应商进一步澄清、说明或补正。</w:t>
      </w:r>
    </w:p>
    <w:p w14:paraId="6C50CE03">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sz w:val="24"/>
          <w:szCs w:val="24"/>
          <w:lang w:val="en-US" w:eastAsia="zh-CN"/>
        </w:rPr>
      </w:pPr>
      <w:bookmarkStart w:id="27" w:name="_Toc12580"/>
      <w:r>
        <w:rPr>
          <w:rFonts w:hint="eastAsia" w:ascii="仿宋" w:hAnsi="仿宋" w:eastAsia="仿宋" w:cs="仿宋"/>
          <w:b/>
          <w:bCs/>
          <w:sz w:val="24"/>
          <w:szCs w:val="24"/>
          <w:lang w:val="en-US" w:eastAsia="zh-CN"/>
        </w:rPr>
        <w:t>磋商</w:t>
      </w:r>
      <w:bookmarkEnd w:id="27"/>
    </w:p>
    <w:p w14:paraId="61E4EF79">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磋商小组所有成员应当集中与单一供应商分别进行磋商，并给予所有参加磋商的供应商平等的磋商机会。</w:t>
      </w:r>
    </w:p>
    <w:p w14:paraId="3E7C18C1">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2B08D013">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对采购文件作出的实质性变动是采购文件的有效组成部分，磋商小组应当及时、同时通知所有参加磋商的供应商。</w:t>
      </w:r>
    </w:p>
    <w:p w14:paraId="2EEA19CD">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742B20D9">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lang w:val="en-US" w:eastAsia="zh-CN"/>
        </w:rPr>
      </w:pPr>
      <w:bookmarkStart w:id="28" w:name="_Toc3596"/>
      <w:r>
        <w:rPr>
          <w:rFonts w:hint="eastAsia" w:ascii="仿宋" w:hAnsi="仿宋" w:eastAsia="仿宋" w:cs="仿宋"/>
          <w:b/>
          <w:bCs/>
          <w:sz w:val="24"/>
          <w:szCs w:val="24"/>
          <w:lang w:val="en-US" w:eastAsia="zh-CN"/>
        </w:rPr>
        <w:t>最后报价</w:t>
      </w:r>
      <w:bookmarkEnd w:id="28"/>
    </w:p>
    <w:p w14:paraId="0B75AA55">
      <w:pPr>
        <w:pStyle w:val="25"/>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28AAB0DC">
      <w:pPr>
        <w:pStyle w:val="25"/>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已提交响应文件的供应商，在提交最后报价之前，可以根据磋商情况退出磋商。</w:t>
      </w:r>
    </w:p>
    <w:p w14:paraId="55104180">
      <w:pPr>
        <w:pStyle w:val="25"/>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除法规规定的特殊性情形外，提交最后报价的供应商不得少于3家。</w:t>
      </w:r>
    </w:p>
    <w:p w14:paraId="3E58B419">
      <w:pPr>
        <w:pStyle w:val="25"/>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最后报价须包含竞争性磋商文件全部内容，如最后报价表有缺漏视为已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lang w:val="en-US" w:eastAsia="zh-CN"/>
        </w:rPr>
        <w:t>响应无效</w:t>
      </w:r>
      <w:r>
        <w:rPr>
          <w:rFonts w:hint="eastAsia" w:ascii="仿宋" w:hAnsi="仿宋" w:eastAsia="仿宋" w:cs="仿宋"/>
          <w:lang w:val="en-US" w:eastAsia="zh-CN"/>
        </w:rPr>
        <w:t>。</w:t>
      </w:r>
    </w:p>
    <w:p w14:paraId="62AF985A">
      <w:pPr>
        <w:keepNext w:val="0"/>
        <w:keepLines w:val="0"/>
        <w:pageBreakBefore w:val="0"/>
        <w:widowControl w:val="0"/>
        <w:numPr>
          <w:ilvl w:val="0"/>
          <w:numId w:val="12"/>
        </w:numPr>
        <w:kinsoku/>
        <w:wordWrap/>
        <w:overflowPunct/>
        <w:topLinePunct w:val="0"/>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lang w:val="en-US" w:eastAsia="zh-CN"/>
        </w:rPr>
      </w:pPr>
      <w:bookmarkStart w:id="29" w:name="_Toc22657"/>
      <w:r>
        <w:rPr>
          <w:rFonts w:hint="eastAsia" w:ascii="仿宋" w:hAnsi="仿宋" w:eastAsia="仿宋" w:cs="仿宋"/>
          <w:b/>
          <w:bCs/>
          <w:sz w:val="24"/>
          <w:szCs w:val="24"/>
          <w:lang w:val="en-US" w:eastAsia="zh-CN"/>
        </w:rPr>
        <w:t>详细评审</w:t>
      </w:r>
      <w:bookmarkEnd w:id="29"/>
    </w:p>
    <w:p w14:paraId="3C687E8C">
      <w:pPr>
        <w:pStyle w:val="25"/>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磋商小组对提交最后报价的供应商的响应文件和最后报价，对其技术部分、商务部分及报价部分作进一步的综合比较和评价。详细评审标准如下：</w:t>
      </w:r>
    </w:p>
    <w:p w14:paraId="20F85870">
      <w:pP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br w:type="page"/>
      </w:r>
    </w:p>
    <w:p w14:paraId="1E2ADF34">
      <w:pPr>
        <w:pStyle w:val="25"/>
        <w:keepNext w:val="0"/>
        <w:keepLines w:val="0"/>
        <w:pageBreakBefore w:val="0"/>
        <w:widowControl w:val="0"/>
        <w:numPr>
          <w:ilvl w:val="0"/>
          <w:numId w:val="0"/>
        </w:numPr>
        <w:kinsoku/>
        <w:wordWrap/>
        <w:overflowPunct/>
        <w:topLinePunct w:val="0"/>
        <w:bidi w:val="0"/>
        <w:adjustRightInd/>
        <w:snapToGrid/>
        <w:spacing w:line="50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详细评审标准</w:t>
      </w:r>
    </w:p>
    <w:p w14:paraId="07FEE4C6">
      <w:pPr>
        <w:pStyle w:val="3"/>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商务、技术、报价</w:t>
      </w:r>
      <w:r>
        <w:rPr>
          <w:rFonts w:hint="eastAsia" w:ascii="仿宋" w:hAnsi="仿宋" w:eastAsia="仿宋" w:cs="仿宋"/>
          <w:b w:val="0"/>
          <w:bCs w:val="0"/>
          <w:sz w:val="24"/>
          <w:szCs w:val="24"/>
        </w:rPr>
        <w:t>部分（</w:t>
      </w:r>
      <w:r>
        <w:rPr>
          <w:rFonts w:hint="eastAsia" w:ascii="仿宋" w:hAnsi="仿宋" w:eastAsia="仿宋" w:cs="仿宋"/>
          <w:b w:val="0"/>
          <w:bCs w:val="0"/>
          <w:sz w:val="24"/>
          <w:szCs w:val="24"/>
          <w:lang w:val="en-US" w:eastAsia="zh-CN"/>
        </w:rPr>
        <w:t>100</w:t>
      </w:r>
      <w:r>
        <w:rPr>
          <w:rFonts w:hint="eastAsia" w:ascii="仿宋" w:hAnsi="仿宋" w:eastAsia="仿宋" w:cs="仿宋"/>
          <w:b w:val="0"/>
          <w:bCs w:val="0"/>
          <w:sz w:val="24"/>
          <w:szCs w:val="24"/>
        </w:rPr>
        <w:t>分）</w:t>
      </w:r>
    </w:p>
    <w:tbl>
      <w:tblPr>
        <w:tblStyle w:val="28"/>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19"/>
        <w:gridCol w:w="843"/>
        <w:gridCol w:w="6360"/>
      </w:tblGrid>
      <w:tr w14:paraId="7E9D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68" w:type="dxa"/>
            <w:gridSpan w:val="2"/>
            <w:vAlign w:val="center"/>
          </w:tcPr>
          <w:p w14:paraId="38AEE575">
            <w:pPr>
              <w:keepNext w:val="0"/>
              <w:keepLines w:val="0"/>
              <w:pageBreakBefore w:val="0"/>
              <w:kinsoku/>
              <w:wordWrap/>
              <w:overflowPunct/>
              <w:topLinePunct w:val="0"/>
              <w:autoSpaceDE w:val="0"/>
              <w:autoSpaceDN w:val="0"/>
              <w:bidi w:val="0"/>
              <w:spacing w:before="0" w:after="0" w:line="500" w:lineRule="exact"/>
              <w:ind w:left="0" w:leftChars="0" w:right="730" w:rightChars="304"/>
              <w:jc w:val="center"/>
              <w:textAlignment w:val="auto"/>
              <w:rPr>
                <w:rFonts w:hint="eastAsia" w:ascii="仿宋" w:hAnsi="仿宋" w:eastAsia="仿宋" w:cs="仿宋"/>
                <w:b/>
                <w:bCs w:val="0"/>
                <w:color w:val="auto"/>
                <w:kern w:val="0"/>
                <w:sz w:val="24"/>
                <w:szCs w:val="24"/>
                <w:vertAlign w:val="baseline"/>
                <w:lang w:val="zh-CN" w:bidi="zh-CN"/>
              </w:rPr>
            </w:pPr>
            <w:r>
              <w:rPr>
                <w:rFonts w:hint="eastAsia" w:ascii="仿宋" w:hAnsi="仿宋" w:eastAsia="仿宋" w:cs="仿宋"/>
                <w:b/>
                <w:bCs w:val="0"/>
                <w:color w:val="auto"/>
                <w:kern w:val="0"/>
                <w:sz w:val="24"/>
                <w:szCs w:val="24"/>
                <w:lang w:val="zh-CN" w:bidi="zh-CN"/>
              </w:rPr>
              <w:t>评分因素</w:t>
            </w:r>
          </w:p>
        </w:tc>
        <w:tc>
          <w:tcPr>
            <w:tcW w:w="843" w:type="dxa"/>
            <w:vAlign w:val="center"/>
          </w:tcPr>
          <w:p w14:paraId="11305EC9">
            <w:pPr>
              <w:keepNext w:val="0"/>
              <w:keepLines w:val="0"/>
              <w:pageBreakBefore w:val="0"/>
              <w:kinsoku/>
              <w:wordWrap/>
              <w:overflowPunct/>
              <w:topLinePunct w:val="0"/>
              <w:autoSpaceDE w:val="0"/>
              <w:autoSpaceDN w:val="0"/>
              <w:bidi w:val="0"/>
              <w:spacing w:before="0" w:after="0" w:line="500" w:lineRule="exact"/>
              <w:ind w:left="0" w:leftChars="0" w:right="0" w:rightChars="0"/>
              <w:jc w:val="center"/>
              <w:textAlignment w:val="auto"/>
              <w:rPr>
                <w:rFonts w:hint="eastAsia" w:ascii="仿宋" w:hAnsi="仿宋" w:eastAsia="仿宋" w:cs="仿宋"/>
                <w:b/>
                <w:bCs w:val="0"/>
                <w:color w:val="auto"/>
                <w:kern w:val="0"/>
                <w:sz w:val="24"/>
                <w:szCs w:val="24"/>
                <w:vertAlign w:val="baseline"/>
                <w:lang w:val="zh-CN" w:bidi="zh-CN"/>
              </w:rPr>
            </w:pPr>
            <w:r>
              <w:rPr>
                <w:rFonts w:hint="eastAsia" w:ascii="仿宋" w:hAnsi="仿宋" w:eastAsia="仿宋" w:cs="仿宋"/>
                <w:b/>
                <w:bCs w:val="0"/>
                <w:color w:val="auto"/>
                <w:kern w:val="0"/>
                <w:sz w:val="24"/>
                <w:szCs w:val="24"/>
                <w:lang w:val="zh-CN" w:bidi="zh-CN"/>
              </w:rPr>
              <w:t>分值</w:t>
            </w:r>
          </w:p>
        </w:tc>
        <w:tc>
          <w:tcPr>
            <w:tcW w:w="6360" w:type="dxa"/>
            <w:vAlign w:val="center"/>
          </w:tcPr>
          <w:p w14:paraId="6AEEFB1B">
            <w:pPr>
              <w:keepNext w:val="0"/>
              <w:keepLines w:val="0"/>
              <w:pageBreakBefore w:val="0"/>
              <w:kinsoku/>
              <w:wordWrap/>
              <w:overflowPunct/>
              <w:topLinePunct w:val="0"/>
              <w:autoSpaceDE w:val="0"/>
              <w:autoSpaceDN w:val="0"/>
              <w:bidi w:val="0"/>
              <w:spacing w:before="0" w:after="0" w:line="500" w:lineRule="exact"/>
              <w:ind w:left="0" w:leftChars="0" w:right="-36" w:rightChars="-15"/>
              <w:jc w:val="center"/>
              <w:textAlignment w:val="auto"/>
              <w:rPr>
                <w:rFonts w:hint="eastAsia" w:ascii="仿宋" w:hAnsi="仿宋" w:eastAsia="仿宋" w:cs="仿宋"/>
                <w:b/>
                <w:bCs w:val="0"/>
                <w:color w:val="auto"/>
                <w:kern w:val="0"/>
                <w:sz w:val="24"/>
                <w:szCs w:val="24"/>
                <w:vertAlign w:val="baseline"/>
                <w:lang w:val="zh-CN" w:bidi="zh-CN"/>
              </w:rPr>
            </w:pPr>
            <w:r>
              <w:rPr>
                <w:rFonts w:hint="eastAsia" w:ascii="仿宋" w:hAnsi="仿宋" w:eastAsia="仿宋" w:cs="仿宋"/>
                <w:b/>
                <w:bCs w:val="0"/>
                <w:color w:val="auto"/>
                <w:kern w:val="0"/>
                <w:sz w:val="24"/>
                <w:szCs w:val="24"/>
                <w:lang w:val="zh-CN" w:bidi="zh-CN"/>
              </w:rPr>
              <w:t>评分细则</w:t>
            </w:r>
          </w:p>
        </w:tc>
      </w:tr>
      <w:tr w14:paraId="77A7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8" w:type="dxa"/>
            <w:gridSpan w:val="2"/>
            <w:vAlign w:val="center"/>
          </w:tcPr>
          <w:p w14:paraId="52FCAEC4">
            <w:pPr>
              <w:keepNext w:val="0"/>
              <w:keepLines w:val="0"/>
              <w:pageBreakBefore w:val="0"/>
              <w:kinsoku/>
              <w:wordWrap/>
              <w:overflowPunct/>
              <w:topLinePunct w:val="0"/>
              <w:autoSpaceDE w:val="0"/>
              <w:autoSpaceDN w:val="0"/>
              <w:bidi w:val="0"/>
              <w:spacing w:before="0" w:after="0" w:line="500" w:lineRule="exact"/>
              <w:ind w:left="0" w:leftChars="0" w:right="730" w:rightChars="304"/>
              <w:jc w:val="center"/>
              <w:textAlignment w:val="auto"/>
              <w:rPr>
                <w:rFonts w:hint="eastAsia" w:ascii="仿宋" w:hAnsi="仿宋" w:eastAsia="仿宋" w:cs="仿宋"/>
                <w:b/>
                <w:bCs w:val="0"/>
                <w:color w:val="auto"/>
                <w:kern w:val="0"/>
                <w:sz w:val="24"/>
                <w:szCs w:val="24"/>
                <w:lang w:val="en-US" w:eastAsia="zh-CN" w:bidi="zh-CN"/>
              </w:rPr>
            </w:pPr>
            <w:r>
              <w:rPr>
                <w:rFonts w:hint="eastAsia" w:ascii="仿宋" w:hAnsi="仿宋" w:eastAsia="仿宋" w:cs="仿宋"/>
                <w:b w:val="0"/>
                <w:bCs/>
                <w:color w:val="auto"/>
                <w:kern w:val="0"/>
                <w:sz w:val="24"/>
                <w:szCs w:val="24"/>
                <w:lang w:val="en-US" w:eastAsia="zh-CN" w:bidi="zh-CN"/>
              </w:rPr>
              <w:t>分值构成</w:t>
            </w:r>
          </w:p>
        </w:tc>
        <w:tc>
          <w:tcPr>
            <w:tcW w:w="7203" w:type="dxa"/>
            <w:gridSpan w:val="2"/>
            <w:vAlign w:val="center"/>
          </w:tcPr>
          <w:p w14:paraId="2C6DC201">
            <w:pPr>
              <w:keepNext w:val="0"/>
              <w:keepLines w:val="0"/>
              <w:pageBreakBefore w:val="0"/>
              <w:kinsoku/>
              <w:wordWrap/>
              <w:overflowPunct/>
              <w:topLinePunct w:val="0"/>
              <w:autoSpaceDE w:val="0"/>
              <w:autoSpaceDN w:val="0"/>
              <w:bidi w:val="0"/>
              <w:spacing w:before="0" w:after="0" w:line="500" w:lineRule="exact"/>
              <w:ind w:left="0" w:leftChars="0" w:right="-36" w:rightChars="-15"/>
              <w:jc w:val="left"/>
              <w:textAlignment w:val="auto"/>
              <w:rPr>
                <w:rFonts w:hint="eastAsia" w:ascii="仿宋" w:hAnsi="仿宋" w:eastAsia="仿宋" w:cs="仿宋"/>
                <w:b w:val="0"/>
                <w:bCs/>
                <w:color w:val="auto"/>
                <w:kern w:val="0"/>
                <w:sz w:val="24"/>
                <w:szCs w:val="24"/>
                <w:lang w:val="zh-CN" w:bidi="zh-CN"/>
              </w:rPr>
            </w:pPr>
            <w:r>
              <w:rPr>
                <w:rFonts w:hint="eastAsia" w:ascii="仿宋" w:hAnsi="仿宋" w:eastAsia="仿宋" w:cs="仿宋"/>
                <w:b w:val="0"/>
                <w:bCs/>
                <w:color w:val="auto"/>
                <w:kern w:val="0"/>
                <w:sz w:val="24"/>
                <w:szCs w:val="24"/>
                <w:lang w:val="zh-CN" w:bidi="zh-CN"/>
              </w:rPr>
              <w:t>报价得分</w:t>
            </w:r>
            <w:r>
              <w:rPr>
                <w:rFonts w:hint="eastAsia" w:ascii="仿宋" w:hAnsi="仿宋" w:eastAsia="仿宋" w:cs="仿宋"/>
                <w:b w:val="0"/>
                <w:bCs/>
                <w:color w:val="auto"/>
                <w:kern w:val="0"/>
                <w:sz w:val="24"/>
                <w:szCs w:val="24"/>
                <w:lang w:val="en-US" w:eastAsia="zh-CN" w:bidi="zh-CN"/>
              </w:rPr>
              <w:t>3</w:t>
            </w:r>
            <w:r>
              <w:rPr>
                <w:rFonts w:hint="eastAsia" w:ascii="仿宋" w:hAnsi="仿宋" w:eastAsia="仿宋" w:cs="仿宋"/>
                <w:b w:val="0"/>
                <w:bCs/>
                <w:color w:val="auto"/>
                <w:kern w:val="0"/>
                <w:sz w:val="24"/>
                <w:szCs w:val="24"/>
                <w:lang w:val="zh-CN" w:bidi="zh-CN"/>
              </w:rPr>
              <w:t>0分</w:t>
            </w:r>
          </w:p>
          <w:p w14:paraId="5AB12494">
            <w:pPr>
              <w:keepNext w:val="0"/>
              <w:keepLines w:val="0"/>
              <w:pageBreakBefore w:val="0"/>
              <w:kinsoku/>
              <w:wordWrap/>
              <w:overflowPunct/>
              <w:topLinePunct w:val="0"/>
              <w:autoSpaceDE w:val="0"/>
              <w:autoSpaceDN w:val="0"/>
              <w:bidi w:val="0"/>
              <w:spacing w:before="0" w:after="0" w:line="500" w:lineRule="exact"/>
              <w:ind w:left="0" w:leftChars="0" w:right="-36" w:rightChars="-15"/>
              <w:jc w:val="left"/>
              <w:textAlignment w:val="auto"/>
              <w:rPr>
                <w:rFonts w:hint="eastAsia" w:ascii="仿宋" w:hAnsi="仿宋" w:eastAsia="仿宋" w:cs="仿宋"/>
                <w:b/>
                <w:bCs w:val="0"/>
                <w:color w:val="auto"/>
                <w:kern w:val="0"/>
                <w:sz w:val="24"/>
                <w:szCs w:val="24"/>
                <w:lang w:val="zh-CN" w:bidi="zh-CN"/>
              </w:rPr>
            </w:pPr>
            <w:r>
              <w:rPr>
                <w:rFonts w:hint="eastAsia" w:ascii="仿宋" w:hAnsi="仿宋" w:eastAsia="仿宋" w:cs="仿宋"/>
                <w:b w:val="0"/>
                <w:bCs/>
                <w:color w:val="auto"/>
                <w:kern w:val="0"/>
                <w:sz w:val="24"/>
                <w:szCs w:val="24"/>
                <w:lang w:val="zh-CN" w:bidi="zh-CN"/>
              </w:rPr>
              <w:t>商务、</w:t>
            </w:r>
            <w:r>
              <w:rPr>
                <w:rFonts w:hint="eastAsia" w:ascii="仿宋" w:hAnsi="仿宋" w:eastAsia="仿宋" w:cs="仿宋"/>
                <w:b w:val="0"/>
                <w:bCs/>
                <w:color w:val="auto"/>
                <w:kern w:val="0"/>
                <w:sz w:val="24"/>
                <w:szCs w:val="24"/>
                <w:lang w:val="en-US" w:bidi="zh-CN"/>
              </w:rPr>
              <w:t>技术部分70</w:t>
            </w:r>
            <w:r>
              <w:rPr>
                <w:rFonts w:hint="eastAsia" w:ascii="仿宋" w:hAnsi="仿宋" w:eastAsia="仿宋" w:cs="仿宋"/>
                <w:b w:val="0"/>
                <w:bCs/>
                <w:color w:val="auto"/>
                <w:kern w:val="0"/>
                <w:sz w:val="24"/>
                <w:szCs w:val="24"/>
                <w:lang w:val="zh-CN" w:bidi="zh-CN"/>
              </w:rPr>
              <w:t>分</w:t>
            </w:r>
          </w:p>
        </w:tc>
      </w:tr>
      <w:tr w14:paraId="04E4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2068" w:type="dxa"/>
            <w:gridSpan w:val="2"/>
            <w:vAlign w:val="center"/>
          </w:tcPr>
          <w:p w14:paraId="28D468C4">
            <w:pPr>
              <w:pStyle w:val="18"/>
              <w:keepNext w:val="0"/>
              <w:keepLines w:val="0"/>
              <w:pageBreakBefore w:val="0"/>
              <w:kinsoku/>
              <w:wordWrap/>
              <w:overflowPunct/>
              <w:topLinePunct w:val="0"/>
              <w:bidi w:val="0"/>
              <w:spacing w:line="500" w:lineRule="exact"/>
              <w:ind w:right="8" w:rightChars="0"/>
              <w:jc w:val="center"/>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lang w:val="en-US" w:eastAsia="zh-CN"/>
              </w:rPr>
              <w:t>报价</w:t>
            </w:r>
            <w:r>
              <w:rPr>
                <w:rFonts w:hint="eastAsia" w:ascii="仿宋" w:hAnsi="仿宋" w:eastAsia="仿宋" w:cs="仿宋"/>
                <w:kern w:val="0"/>
                <w:sz w:val="24"/>
                <w:szCs w:val="24"/>
                <w:vertAlign w:val="baseline"/>
              </w:rPr>
              <w:t>部分</w:t>
            </w:r>
          </w:p>
          <w:p w14:paraId="6808A051">
            <w:pPr>
              <w:pStyle w:val="18"/>
              <w:keepNext w:val="0"/>
              <w:keepLines w:val="0"/>
              <w:pageBreakBefore w:val="0"/>
              <w:kinsoku/>
              <w:wordWrap/>
              <w:overflowPunct/>
              <w:topLinePunct w:val="0"/>
              <w:bidi w:val="0"/>
              <w:spacing w:line="500" w:lineRule="exact"/>
              <w:ind w:right="8" w:rightChars="0"/>
              <w:jc w:val="center"/>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w:t>
            </w:r>
            <w:r>
              <w:rPr>
                <w:rFonts w:hint="eastAsia" w:ascii="仿宋" w:hAnsi="仿宋" w:eastAsia="仿宋" w:cs="仿宋"/>
                <w:kern w:val="0"/>
                <w:sz w:val="24"/>
                <w:szCs w:val="24"/>
                <w:vertAlign w:val="baseline"/>
                <w:lang w:val="en-US" w:eastAsia="zh-CN"/>
              </w:rPr>
              <w:t>30</w:t>
            </w:r>
            <w:r>
              <w:rPr>
                <w:rFonts w:hint="eastAsia" w:ascii="仿宋" w:hAnsi="仿宋" w:eastAsia="仿宋" w:cs="仿宋"/>
                <w:kern w:val="0"/>
                <w:sz w:val="24"/>
                <w:szCs w:val="24"/>
                <w:vertAlign w:val="baseline"/>
              </w:rPr>
              <w:t>分）</w:t>
            </w:r>
          </w:p>
        </w:tc>
        <w:tc>
          <w:tcPr>
            <w:tcW w:w="843" w:type="dxa"/>
            <w:vAlign w:val="center"/>
          </w:tcPr>
          <w:p w14:paraId="45A29B9A">
            <w:pPr>
              <w:pStyle w:val="18"/>
              <w:keepNext w:val="0"/>
              <w:keepLines w:val="0"/>
              <w:pageBreakBefore w:val="0"/>
              <w:kinsoku/>
              <w:wordWrap/>
              <w:overflowPunct/>
              <w:topLinePunct w:val="0"/>
              <w:bidi w:val="0"/>
              <w:spacing w:line="500" w:lineRule="exact"/>
              <w:ind w:right="0" w:rightChars="0"/>
              <w:jc w:val="center"/>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30</w:t>
            </w:r>
          </w:p>
        </w:tc>
        <w:tc>
          <w:tcPr>
            <w:tcW w:w="6360" w:type="dxa"/>
          </w:tcPr>
          <w:p w14:paraId="49080D61">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lang w:val="en-US" w:eastAsia="zh-CN"/>
              </w:rPr>
              <w:t>满足采购文件</w:t>
            </w:r>
            <w:r>
              <w:rPr>
                <w:rFonts w:hint="eastAsia" w:ascii="仿宋" w:hAnsi="仿宋" w:eastAsia="仿宋" w:cs="仿宋"/>
                <w:kern w:val="0"/>
                <w:sz w:val="24"/>
                <w:szCs w:val="24"/>
                <w:vertAlign w:val="baseline"/>
              </w:rPr>
              <w:t>要求且投标价格最低的有效投标报价（即除低于成本报价以外的报价）为评标基准价。其他</w:t>
            </w:r>
            <w:r>
              <w:rPr>
                <w:rFonts w:hint="eastAsia" w:ascii="仿宋" w:hAnsi="仿宋" w:eastAsia="仿宋" w:cs="仿宋"/>
                <w:kern w:val="0"/>
                <w:sz w:val="24"/>
                <w:szCs w:val="24"/>
                <w:vertAlign w:val="baseline"/>
                <w:lang w:val="en-US" w:eastAsia="zh-CN"/>
              </w:rPr>
              <w:t>供应商</w:t>
            </w:r>
            <w:r>
              <w:rPr>
                <w:rFonts w:hint="eastAsia" w:ascii="仿宋" w:hAnsi="仿宋" w:eastAsia="仿宋" w:cs="仿宋"/>
                <w:kern w:val="0"/>
                <w:sz w:val="24"/>
                <w:szCs w:val="24"/>
                <w:vertAlign w:val="baseline"/>
              </w:rPr>
              <w:t>的价格分统一按照下列公式计算：</w:t>
            </w:r>
          </w:p>
          <w:p w14:paraId="765F6CC6">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rPr>
              <w:t>投标报价得分=（评标基准价/投标报价）×</w:t>
            </w:r>
            <w:r>
              <w:rPr>
                <w:rFonts w:hint="eastAsia" w:ascii="仿宋" w:hAnsi="仿宋" w:eastAsia="仿宋" w:cs="仿宋"/>
                <w:kern w:val="0"/>
                <w:sz w:val="24"/>
                <w:szCs w:val="24"/>
                <w:vertAlign w:val="baseline"/>
                <w:lang w:val="en-US" w:eastAsia="zh-CN"/>
              </w:rPr>
              <w:t>价格满分分值</w:t>
            </w:r>
          </w:p>
          <w:p w14:paraId="76CFB294">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b/>
                <w:bCs/>
                <w:kern w:val="0"/>
                <w:sz w:val="24"/>
                <w:szCs w:val="24"/>
                <w:vertAlign w:val="baseline"/>
                <w:lang w:val="en-US" w:eastAsia="zh-CN"/>
              </w:rPr>
              <w:t>注：供应商的报价不得低于20%，否则将作废标处理。（例如：供应商下浮≥21%为有效报价，下浮＜20%为无效报价）</w:t>
            </w:r>
          </w:p>
        </w:tc>
      </w:tr>
      <w:tr w14:paraId="3ADF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249" w:type="dxa"/>
            <w:vMerge w:val="restart"/>
            <w:tcBorders>
              <w:right w:val="single" w:color="000000" w:sz="4" w:space="0"/>
            </w:tcBorders>
            <w:vAlign w:val="center"/>
          </w:tcPr>
          <w:p w14:paraId="373365A8">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商务</w:t>
            </w:r>
            <w:r>
              <w:rPr>
                <w:rFonts w:hint="eastAsia" w:ascii="仿宋" w:hAnsi="仿宋" w:eastAsia="仿宋" w:cs="仿宋"/>
                <w:kern w:val="0"/>
                <w:sz w:val="24"/>
                <w:szCs w:val="24"/>
                <w:vertAlign w:val="baseline"/>
                <w:lang w:eastAsia="zh-CN"/>
              </w:rPr>
              <w:t>、</w:t>
            </w:r>
            <w:r>
              <w:rPr>
                <w:rFonts w:hint="eastAsia" w:ascii="仿宋" w:hAnsi="仿宋" w:eastAsia="仿宋" w:cs="仿宋"/>
                <w:kern w:val="0"/>
                <w:sz w:val="24"/>
                <w:szCs w:val="24"/>
                <w:vertAlign w:val="baseline"/>
                <w:lang w:val="en-US" w:eastAsia="zh-CN"/>
              </w:rPr>
              <w:t>技术</w:t>
            </w:r>
            <w:r>
              <w:rPr>
                <w:rFonts w:hint="eastAsia" w:ascii="仿宋" w:hAnsi="仿宋" w:eastAsia="仿宋" w:cs="仿宋"/>
                <w:kern w:val="0"/>
                <w:sz w:val="24"/>
                <w:szCs w:val="24"/>
                <w:vertAlign w:val="baseline"/>
              </w:rPr>
              <w:t>部分</w:t>
            </w:r>
          </w:p>
          <w:p w14:paraId="5E940428">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rPr>
              <w:t>(</w:t>
            </w:r>
            <w:r>
              <w:rPr>
                <w:rFonts w:hint="eastAsia" w:ascii="仿宋" w:hAnsi="仿宋" w:eastAsia="仿宋" w:cs="仿宋"/>
                <w:kern w:val="0"/>
                <w:sz w:val="24"/>
                <w:szCs w:val="24"/>
                <w:vertAlign w:val="baseline"/>
                <w:lang w:val="en-US" w:eastAsia="zh-CN"/>
              </w:rPr>
              <w:t>70</w:t>
            </w:r>
            <w:r>
              <w:rPr>
                <w:rFonts w:hint="eastAsia" w:ascii="仿宋" w:hAnsi="仿宋" w:eastAsia="仿宋" w:cs="仿宋"/>
                <w:kern w:val="0"/>
                <w:sz w:val="24"/>
                <w:szCs w:val="24"/>
                <w:vertAlign w:val="baseline"/>
              </w:rPr>
              <w:t>分)</w:t>
            </w:r>
          </w:p>
        </w:tc>
        <w:tc>
          <w:tcPr>
            <w:tcW w:w="819" w:type="dxa"/>
            <w:tcBorders>
              <w:left w:val="single" w:color="000000" w:sz="4" w:space="0"/>
            </w:tcBorders>
            <w:vAlign w:val="center"/>
          </w:tcPr>
          <w:p w14:paraId="376F6F99">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lang w:val="en-US" w:eastAsia="zh-CN"/>
              </w:rPr>
              <w:t>履约能力</w:t>
            </w:r>
          </w:p>
        </w:tc>
        <w:tc>
          <w:tcPr>
            <w:tcW w:w="843" w:type="dxa"/>
            <w:vAlign w:val="center"/>
          </w:tcPr>
          <w:p w14:paraId="52849B58">
            <w:pPr>
              <w:pStyle w:val="18"/>
              <w:keepNext w:val="0"/>
              <w:keepLines w:val="0"/>
              <w:pageBreakBefore w:val="0"/>
              <w:kinsoku/>
              <w:wordWrap/>
              <w:overflowPunct/>
              <w:topLinePunct w:val="0"/>
              <w:bidi w:val="0"/>
              <w:spacing w:line="500" w:lineRule="exact"/>
              <w:ind w:right="-36" w:rightChars="-15" w:firstLine="240" w:firstLineChars="100"/>
              <w:textAlignment w:val="auto"/>
              <w:rPr>
                <w:rFonts w:hint="default"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10</w:t>
            </w:r>
          </w:p>
        </w:tc>
        <w:tc>
          <w:tcPr>
            <w:tcW w:w="6360" w:type="dxa"/>
            <w:vAlign w:val="center"/>
          </w:tcPr>
          <w:p w14:paraId="71BF0E8F">
            <w:pPr>
              <w:pStyle w:val="18"/>
              <w:keepNext w:val="0"/>
              <w:keepLines w:val="0"/>
              <w:pageBreakBefore w:val="0"/>
              <w:numPr>
                <w:ilvl w:val="0"/>
                <w:numId w:val="13"/>
              </w:numPr>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供应商提供2022年至今的同类项目业绩（以合同签订日期为准），每提供一项得1分，最高得8分。</w:t>
            </w:r>
          </w:p>
          <w:p w14:paraId="6C0615DB">
            <w:pPr>
              <w:pStyle w:val="18"/>
              <w:keepNext w:val="0"/>
              <w:keepLines w:val="0"/>
              <w:pageBreakBefore w:val="0"/>
              <w:numPr>
                <w:ilvl w:val="0"/>
                <w:numId w:val="0"/>
              </w:numPr>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注：提供类似项目业绩合同复印件加盖单位公章（须包含合同首页、服务周期页、 服务内容所在页、签署页复印件））</w:t>
            </w:r>
          </w:p>
          <w:p w14:paraId="1E59F09E">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2、供应商拟派本项目的总监理工程师同类项目业绩（以合同签订日期为准），每提供一项得1分，最高得2分。</w:t>
            </w:r>
          </w:p>
          <w:p w14:paraId="74A96673">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注：提供类似项目业绩合同复印件加盖单位公章（须包含合同首页、服务周期页、 服务内容所在页、签署页复印件）），且内容体现总监理工程师名字并加盖公章。</w:t>
            </w:r>
          </w:p>
          <w:p w14:paraId="5AEA5C7F">
            <w:pPr>
              <w:pStyle w:val="18"/>
              <w:keepNext w:val="0"/>
              <w:keepLines w:val="0"/>
              <w:pageBreakBefore w:val="0"/>
              <w:kinsoku/>
              <w:wordWrap/>
              <w:overflowPunct/>
              <w:topLinePunct w:val="0"/>
              <w:bidi w:val="0"/>
              <w:spacing w:line="500" w:lineRule="exact"/>
              <w:ind w:right="-36" w:rightChars="-15"/>
              <w:textAlignment w:val="auto"/>
              <w:rPr>
                <w:rFonts w:hint="default"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未按照要求提供，不得分。</w:t>
            </w:r>
          </w:p>
        </w:tc>
      </w:tr>
      <w:tr w14:paraId="48B3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249" w:type="dxa"/>
            <w:vMerge w:val="continue"/>
            <w:tcBorders>
              <w:right w:val="single" w:color="000000" w:sz="4" w:space="0"/>
            </w:tcBorders>
            <w:vAlign w:val="center"/>
          </w:tcPr>
          <w:p w14:paraId="62E8BCFF">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p>
        </w:tc>
        <w:tc>
          <w:tcPr>
            <w:tcW w:w="819" w:type="dxa"/>
            <w:tcBorders>
              <w:left w:val="single" w:color="000000" w:sz="4" w:space="0"/>
            </w:tcBorders>
            <w:vAlign w:val="center"/>
          </w:tcPr>
          <w:p w14:paraId="770546F2">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质量控制措施</w:t>
            </w:r>
          </w:p>
        </w:tc>
        <w:tc>
          <w:tcPr>
            <w:tcW w:w="843" w:type="dxa"/>
            <w:vAlign w:val="center"/>
          </w:tcPr>
          <w:p w14:paraId="37109918">
            <w:pPr>
              <w:pStyle w:val="18"/>
              <w:keepNext w:val="0"/>
              <w:keepLines w:val="0"/>
              <w:pageBreakBefore w:val="0"/>
              <w:kinsoku/>
              <w:wordWrap/>
              <w:overflowPunct/>
              <w:topLinePunct w:val="0"/>
              <w:bidi w:val="0"/>
              <w:spacing w:line="500" w:lineRule="exact"/>
              <w:ind w:right="-36" w:rightChars="-15" w:firstLine="240" w:firstLineChars="100"/>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12</w:t>
            </w:r>
          </w:p>
        </w:tc>
        <w:tc>
          <w:tcPr>
            <w:tcW w:w="6360" w:type="dxa"/>
            <w:vAlign w:val="center"/>
          </w:tcPr>
          <w:p w14:paraId="66972050">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lang w:val="en-US" w:eastAsia="zh-CN"/>
              </w:rPr>
              <w:t>供应商</w:t>
            </w:r>
            <w:r>
              <w:rPr>
                <w:rFonts w:hint="eastAsia" w:ascii="仿宋" w:hAnsi="仿宋" w:eastAsia="仿宋" w:cs="仿宋"/>
                <w:kern w:val="0"/>
                <w:sz w:val="24"/>
                <w:szCs w:val="24"/>
                <w:vertAlign w:val="baseline"/>
              </w:rPr>
              <w:t>根据本项目需求提供详细的</w:t>
            </w:r>
            <w:r>
              <w:rPr>
                <w:rFonts w:hint="eastAsia" w:ascii="仿宋" w:hAnsi="仿宋" w:eastAsia="仿宋" w:cs="仿宋"/>
                <w:kern w:val="0"/>
                <w:sz w:val="24"/>
                <w:szCs w:val="24"/>
                <w:vertAlign w:val="baseline"/>
                <w:lang w:eastAsia="zh-CN"/>
              </w:rPr>
              <w:t>质量控制措施</w:t>
            </w:r>
            <w:r>
              <w:rPr>
                <w:rFonts w:hint="eastAsia" w:ascii="仿宋" w:hAnsi="仿宋" w:eastAsia="仿宋" w:cs="仿宋"/>
                <w:kern w:val="0"/>
                <w:sz w:val="24"/>
                <w:szCs w:val="24"/>
                <w:vertAlign w:val="baseline"/>
              </w:rPr>
              <w:t>，内容包含但不限于：</w:t>
            </w:r>
          </w:p>
          <w:p w14:paraId="787D79CA">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rPr>
              <w:t>①</w:t>
            </w:r>
            <w:r>
              <w:rPr>
                <w:rFonts w:hint="eastAsia" w:ascii="仿宋" w:hAnsi="仿宋" w:eastAsia="仿宋" w:cs="仿宋"/>
                <w:kern w:val="0"/>
                <w:sz w:val="24"/>
                <w:szCs w:val="24"/>
                <w:vertAlign w:val="baseline"/>
                <w:lang w:val="en-US" w:eastAsia="zh-CN"/>
              </w:rPr>
              <w:t>质量目标；</w:t>
            </w:r>
          </w:p>
          <w:p w14:paraId="13B6224B">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②质量保证体系；</w:t>
            </w:r>
          </w:p>
          <w:p w14:paraId="23D688CA">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③重点难点分析（质量方面）；</w:t>
            </w:r>
          </w:p>
          <w:p w14:paraId="1EDD0120">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④主要分部、分项工程（工序）质量控制措施等内容；</w:t>
            </w:r>
          </w:p>
          <w:p w14:paraId="35418A68">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以上方案内容完整清晰明确且科学合理、可行性高具有针对性并满足采购需求的得</w:t>
            </w:r>
            <w:r>
              <w:rPr>
                <w:rFonts w:hint="eastAsia" w:ascii="仿宋" w:hAnsi="仿宋" w:eastAsia="仿宋" w:cs="仿宋"/>
                <w:kern w:val="0"/>
                <w:sz w:val="24"/>
                <w:szCs w:val="24"/>
                <w:vertAlign w:val="baseline"/>
                <w:lang w:val="en-US" w:eastAsia="zh-CN"/>
              </w:rPr>
              <w:t>12</w:t>
            </w:r>
            <w:r>
              <w:rPr>
                <w:rFonts w:hint="eastAsia" w:ascii="仿宋" w:hAnsi="仿宋" w:eastAsia="仿宋" w:cs="仿宋"/>
                <w:kern w:val="0"/>
                <w:sz w:val="24"/>
                <w:szCs w:val="24"/>
                <w:vertAlign w:val="baseline"/>
              </w:rPr>
              <w:t>分，每缺少一项内容扣</w:t>
            </w:r>
            <w:r>
              <w:rPr>
                <w:rFonts w:hint="eastAsia" w:ascii="仿宋" w:hAnsi="仿宋" w:eastAsia="仿宋" w:cs="仿宋"/>
                <w:kern w:val="0"/>
                <w:sz w:val="24"/>
                <w:szCs w:val="24"/>
                <w:vertAlign w:val="baseline"/>
                <w:lang w:val="en-US" w:eastAsia="zh-CN"/>
              </w:rPr>
              <w:t>3</w:t>
            </w:r>
            <w:r>
              <w:rPr>
                <w:rFonts w:hint="eastAsia" w:ascii="仿宋" w:hAnsi="仿宋" w:eastAsia="仿宋" w:cs="仿宋"/>
                <w:kern w:val="0"/>
                <w:sz w:val="24"/>
                <w:szCs w:val="24"/>
                <w:vertAlign w:val="baseline"/>
              </w:rPr>
              <w:t>分；每有一项内容不完整或未能满足采购需求的或每有一处不具有针对性或逻辑性错误且不完整的扣</w:t>
            </w:r>
            <w:r>
              <w:rPr>
                <w:rFonts w:hint="eastAsia" w:ascii="仿宋" w:hAnsi="仿宋" w:eastAsia="仿宋" w:cs="仿宋"/>
                <w:kern w:val="0"/>
                <w:sz w:val="24"/>
                <w:szCs w:val="24"/>
                <w:vertAlign w:val="baseline"/>
                <w:lang w:val="en-US" w:eastAsia="zh-CN"/>
              </w:rPr>
              <w:t>1</w:t>
            </w:r>
            <w:r>
              <w:rPr>
                <w:rFonts w:hint="eastAsia" w:ascii="仿宋" w:hAnsi="仿宋" w:eastAsia="仿宋" w:cs="仿宋"/>
                <w:kern w:val="0"/>
                <w:sz w:val="24"/>
                <w:szCs w:val="24"/>
                <w:vertAlign w:val="baseline"/>
              </w:rPr>
              <w:t>分；扣完为止。</w:t>
            </w:r>
          </w:p>
        </w:tc>
      </w:tr>
      <w:tr w14:paraId="4691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1249" w:type="dxa"/>
            <w:vMerge w:val="continue"/>
            <w:tcBorders>
              <w:right w:val="single" w:color="000000" w:sz="4" w:space="0"/>
            </w:tcBorders>
            <w:vAlign w:val="center"/>
          </w:tcPr>
          <w:p w14:paraId="7278FB59">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p>
        </w:tc>
        <w:tc>
          <w:tcPr>
            <w:tcW w:w="819" w:type="dxa"/>
            <w:tcBorders>
              <w:left w:val="single" w:color="000000" w:sz="4" w:space="0"/>
            </w:tcBorders>
            <w:vAlign w:val="center"/>
          </w:tcPr>
          <w:p w14:paraId="0F15D778">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进度控制措施</w:t>
            </w:r>
          </w:p>
        </w:tc>
        <w:tc>
          <w:tcPr>
            <w:tcW w:w="843" w:type="dxa"/>
            <w:vAlign w:val="center"/>
          </w:tcPr>
          <w:p w14:paraId="01DAC6EC">
            <w:pPr>
              <w:pStyle w:val="18"/>
              <w:keepNext w:val="0"/>
              <w:keepLines w:val="0"/>
              <w:pageBreakBefore w:val="0"/>
              <w:kinsoku/>
              <w:wordWrap/>
              <w:overflowPunct/>
              <w:topLinePunct w:val="0"/>
              <w:bidi w:val="0"/>
              <w:spacing w:line="500" w:lineRule="exact"/>
              <w:ind w:right="-36" w:rightChars="-15" w:firstLine="240" w:firstLineChars="100"/>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12</w:t>
            </w:r>
          </w:p>
        </w:tc>
        <w:tc>
          <w:tcPr>
            <w:tcW w:w="6360" w:type="dxa"/>
            <w:vAlign w:val="center"/>
          </w:tcPr>
          <w:p w14:paraId="2BCB04BF">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lang w:val="en-US" w:eastAsia="zh-CN"/>
              </w:rPr>
              <w:t>供应商</w:t>
            </w:r>
            <w:r>
              <w:rPr>
                <w:rFonts w:hint="eastAsia" w:ascii="仿宋" w:hAnsi="仿宋" w:eastAsia="仿宋" w:cs="仿宋"/>
                <w:kern w:val="0"/>
                <w:sz w:val="24"/>
                <w:szCs w:val="24"/>
                <w:vertAlign w:val="baseline"/>
              </w:rPr>
              <w:t>根据本项目需求提供详细的</w:t>
            </w:r>
            <w:r>
              <w:rPr>
                <w:rFonts w:hint="eastAsia" w:ascii="仿宋" w:hAnsi="仿宋" w:eastAsia="仿宋" w:cs="仿宋"/>
                <w:kern w:val="0"/>
                <w:sz w:val="24"/>
                <w:szCs w:val="24"/>
                <w:vertAlign w:val="baseline"/>
                <w:lang w:eastAsia="zh-CN"/>
              </w:rPr>
              <w:t>进度控制措施</w:t>
            </w:r>
            <w:r>
              <w:rPr>
                <w:rFonts w:hint="eastAsia" w:ascii="仿宋" w:hAnsi="仿宋" w:eastAsia="仿宋" w:cs="仿宋"/>
                <w:kern w:val="0"/>
                <w:sz w:val="24"/>
                <w:szCs w:val="24"/>
                <w:vertAlign w:val="baseline"/>
              </w:rPr>
              <w:t>，内容包含但不限于：</w:t>
            </w:r>
          </w:p>
          <w:p w14:paraId="3455818F">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①进度保证体系和措施；</w:t>
            </w:r>
          </w:p>
          <w:p w14:paraId="62B17C3C">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②人员协调管理措施；</w:t>
            </w:r>
          </w:p>
          <w:p w14:paraId="2825F24C">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③对本项目施工方的组织协调方式；</w:t>
            </w:r>
          </w:p>
          <w:p w14:paraId="0845F58F">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rPr>
              <w:t>④检查、分析施工进度计划等内容；</w:t>
            </w:r>
          </w:p>
          <w:p w14:paraId="59CF0100">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rPr>
              <w:t>以上方案内容完整清晰明确且科学合理、可行性高具有针对性并满足采购需求的得</w:t>
            </w:r>
            <w:r>
              <w:rPr>
                <w:rFonts w:hint="eastAsia" w:ascii="仿宋" w:hAnsi="仿宋" w:eastAsia="仿宋" w:cs="仿宋"/>
                <w:kern w:val="0"/>
                <w:sz w:val="24"/>
                <w:szCs w:val="24"/>
                <w:vertAlign w:val="baseline"/>
                <w:lang w:val="en-US" w:eastAsia="zh-CN"/>
              </w:rPr>
              <w:t>12</w:t>
            </w:r>
            <w:r>
              <w:rPr>
                <w:rFonts w:hint="eastAsia" w:ascii="仿宋" w:hAnsi="仿宋" w:eastAsia="仿宋" w:cs="仿宋"/>
                <w:kern w:val="0"/>
                <w:sz w:val="24"/>
                <w:szCs w:val="24"/>
                <w:vertAlign w:val="baseline"/>
              </w:rPr>
              <w:t>分，每缺少一项内容扣</w:t>
            </w:r>
            <w:r>
              <w:rPr>
                <w:rFonts w:hint="eastAsia" w:ascii="仿宋" w:hAnsi="仿宋" w:eastAsia="仿宋" w:cs="仿宋"/>
                <w:kern w:val="0"/>
                <w:sz w:val="24"/>
                <w:szCs w:val="24"/>
                <w:vertAlign w:val="baseline"/>
                <w:lang w:val="en-US" w:eastAsia="zh-CN"/>
              </w:rPr>
              <w:t>3</w:t>
            </w:r>
            <w:r>
              <w:rPr>
                <w:rFonts w:hint="eastAsia" w:ascii="仿宋" w:hAnsi="仿宋" w:eastAsia="仿宋" w:cs="仿宋"/>
                <w:kern w:val="0"/>
                <w:sz w:val="24"/>
                <w:szCs w:val="24"/>
                <w:vertAlign w:val="baseline"/>
              </w:rPr>
              <w:t>分；每有一项内容不完整或未能满足采购需求的或每有一处不具有针对性或逻辑性错误且不完整的扣</w:t>
            </w:r>
            <w:r>
              <w:rPr>
                <w:rFonts w:hint="eastAsia" w:ascii="仿宋" w:hAnsi="仿宋" w:eastAsia="仿宋" w:cs="仿宋"/>
                <w:kern w:val="0"/>
                <w:sz w:val="24"/>
                <w:szCs w:val="24"/>
                <w:vertAlign w:val="baseline"/>
                <w:lang w:val="en-US" w:eastAsia="zh-CN"/>
              </w:rPr>
              <w:t>1</w:t>
            </w:r>
            <w:r>
              <w:rPr>
                <w:rFonts w:hint="eastAsia" w:ascii="仿宋" w:hAnsi="仿宋" w:eastAsia="仿宋" w:cs="仿宋"/>
                <w:kern w:val="0"/>
                <w:sz w:val="24"/>
                <w:szCs w:val="24"/>
                <w:vertAlign w:val="baseline"/>
              </w:rPr>
              <w:t>分；扣完为止。</w:t>
            </w:r>
          </w:p>
        </w:tc>
      </w:tr>
      <w:tr w14:paraId="0CF3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1249" w:type="dxa"/>
            <w:vMerge w:val="continue"/>
            <w:tcBorders>
              <w:right w:val="single" w:color="000000" w:sz="4" w:space="0"/>
            </w:tcBorders>
            <w:vAlign w:val="center"/>
          </w:tcPr>
          <w:p w14:paraId="57703826">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p>
        </w:tc>
        <w:tc>
          <w:tcPr>
            <w:tcW w:w="819" w:type="dxa"/>
            <w:tcBorders>
              <w:left w:val="single" w:color="000000" w:sz="4" w:space="0"/>
            </w:tcBorders>
            <w:vAlign w:val="center"/>
          </w:tcPr>
          <w:p w14:paraId="2BC14871">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项目监理方案</w:t>
            </w:r>
          </w:p>
        </w:tc>
        <w:tc>
          <w:tcPr>
            <w:tcW w:w="843" w:type="dxa"/>
            <w:vAlign w:val="center"/>
          </w:tcPr>
          <w:p w14:paraId="0C6F50DF">
            <w:pPr>
              <w:pStyle w:val="18"/>
              <w:keepNext w:val="0"/>
              <w:keepLines w:val="0"/>
              <w:pageBreakBefore w:val="0"/>
              <w:kinsoku/>
              <w:wordWrap/>
              <w:overflowPunct/>
              <w:topLinePunct w:val="0"/>
              <w:bidi w:val="0"/>
              <w:spacing w:line="500" w:lineRule="exact"/>
              <w:ind w:right="-36" w:rightChars="-15" w:firstLine="240" w:firstLineChars="100"/>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25</w:t>
            </w:r>
          </w:p>
        </w:tc>
        <w:tc>
          <w:tcPr>
            <w:tcW w:w="6360" w:type="dxa"/>
            <w:vAlign w:val="center"/>
          </w:tcPr>
          <w:p w14:paraId="137265E4">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rPr>
            </w:pPr>
            <w:r>
              <w:rPr>
                <w:rFonts w:hint="eastAsia" w:ascii="仿宋" w:hAnsi="仿宋" w:eastAsia="仿宋" w:cs="仿宋"/>
                <w:kern w:val="0"/>
                <w:sz w:val="24"/>
                <w:szCs w:val="24"/>
                <w:vertAlign w:val="baseline"/>
                <w:lang w:val="en-US" w:eastAsia="zh-CN"/>
              </w:rPr>
              <w:t>供应商</w:t>
            </w:r>
            <w:r>
              <w:rPr>
                <w:rFonts w:hint="eastAsia" w:ascii="仿宋" w:hAnsi="仿宋" w:eastAsia="仿宋" w:cs="仿宋"/>
                <w:kern w:val="0"/>
                <w:sz w:val="24"/>
                <w:szCs w:val="24"/>
                <w:vertAlign w:val="baseline"/>
              </w:rPr>
              <w:t>根据本项目需求提供详细的</w:t>
            </w:r>
            <w:r>
              <w:rPr>
                <w:rFonts w:hint="eastAsia" w:ascii="仿宋" w:hAnsi="仿宋" w:eastAsia="仿宋" w:cs="仿宋"/>
                <w:kern w:val="0"/>
                <w:sz w:val="24"/>
                <w:szCs w:val="24"/>
                <w:vertAlign w:val="baseline"/>
                <w:lang w:eastAsia="zh-CN"/>
              </w:rPr>
              <w:t>项目</w:t>
            </w:r>
            <w:r>
              <w:rPr>
                <w:rFonts w:hint="eastAsia" w:ascii="仿宋" w:hAnsi="仿宋" w:eastAsia="仿宋" w:cs="仿宋"/>
                <w:kern w:val="0"/>
                <w:sz w:val="24"/>
                <w:szCs w:val="24"/>
                <w:vertAlign w:val="baseline"/>
                <w:lang w:val="en-US" w:eastAsia="zh-CN"/>
              </w:rPr>
              <w:t>监理</w:t>
            </w:r>
            <w:r>
              <w:rPr>
                <w:rFonts w:hint="eastAsia" w:ascii="仿宋" w:hAnsi="仿宋" w:eastAsia="仿宋" w:cs="仿宋"/>
                <w:kern w:val="0"/>
                <w:sz w:val="24"/>
                <w:szCs w:val="24"/>
                <w:vertAlign w:val="baseline"/>
                <w:lang w:eastAsia="zh-CN"/>
              </w:rPr>
              <w:t>方案</w:t>
            </w:r>
            <w:r>
              <w:rPr>
                <w:rFonts w:hint="eastAsia" w:ascii="仿宋" w:hAnsi="仿宋" w:eastAsia="仿宋" w:cs="仿宋"/>
                <w:kern w:val="0"/>
                <w:sz w:val="24"/>
                <w:szCs w:val="24"/>
                <w:vertAlign w:val="baseline"/>
              </w:rPr>
              <w:t>，内容包含但不限于：</w:t>
            </w:r>
          </w:p>
          <w:p w14:paraId="1A5211F4">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rPr>
              <w:t>①</w:t>
            </w:r>
            <w:r>
              <w:rPr>
                <w:rFonts w:hint="eastAsia" w:ascii="仿宋" w:hAnsi="仿宋" w:eastAsia="仿宋" w:cs="仿宋"/>
                <w:kern w:val="0"/>
                <w:sz w:val="24"/>
                <w:szCs w:val="24"/>
                <w:vertAlign w:val="baseline"/>
                <w:lang w:val="en-US" w:eastAsia="zh-CN"/>
              </w:rPr>
              <w:t>监理人员管理方案；</w:t>
            </w:r>
          </w:p>
          <w:p w14:paraId="1D3E9BB3">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②风险管理；</w:t>
            </w:r>
          </w:p>
          <w:p w14:paraId="6F225E86">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③合同管理服务措施；</w:t>
            </w:r>
          </w:p>
          <w:p w14:paraId="12C90F17">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④安全管理服务措施；</w:t>
            </w:r>
          </w:p>
          <w:p w14:paraId="54A77165">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lang w:val="en-US" w:eastAsia="zh-CN"/>
              </w:rPr>
              <w:t>⑤协调服务措施等内容；</w:t>
            </w:r>
          </w:p>
          <w:p w14:paraId="23871060">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vertAlign w:val="baseline"/>
                <w:lang w:val="en-US" w:eastAsia="zh-CN"/>
              </w:rPr>
            </w:pPr>
            <w:r>
              <w:rPr>
                <w:rFonts w:hint="eastAsia" w:ascii="仿宋" w:hAnsi="仿宋" w:eastAsia="仿宋" w:cs="仿宋"/>
                <w:kern w:val="0"/>
                <w:sz w:val="24"/>
                <w:szCs w:val="24"/>
                <w:vertAlign w:val="baseline"/>
              </w:rPr>
              <w:t>以上方案内容完整清晰明确且科学合理、可行性高具有针对性并满足采购需求的得</w:t>
            </w:r>
            <w:r>
              <w:rPr>
                <w:rFonts w:hint="eastAsia" w:ascii="仿宋" w:hAnsi="仿宋" w:eastAsia="仿宋" w:cs="仿宋"/>
                <w:kern w:val="0"/>
                <w:sz w:val="24"/>
                <w:szCs w:val="24"/>
                <w:vertAlign w:val="baseline"/>
                <w:lang w:val="en-US" w:eastAsia="zh-CN"/>
              </w:rPr>
              <w:t>25</w:t>
            </w:r>
            <w:r>
              <w:rPr>
                <w:rFonts w:hint="eastAsia" w:ascii="仿宋" w:hAnsi="仿宋" w:eastAsia="仿宋" w:cs="仿宋"/>
                <w:kern w:val="0"/>
                <w:sz w:val="24"/>
                <w:szCs w:val="24"/>
                <w:vertAlign w:val="baseline"/>
              </w:rPr>
              <w:t>分，每缺少一项内容扣</w:t>
            </w:r>
            <w:r>
              <w:rPr>
                <w:rFonts w:hint="eastAsia" w:ascii="仿宋" w:hAnsi="仿宋" w:eastAsia="仿宋" w:cs="仿宋"/>
                <w:kern w:val="0"/>
                <w:sz w:val="24"/>
                <w:szCs w:val="24"/>
                <w:vertAlign w:val="baseline"/>
                <w:lang w:val="en-US" w:eastAsia="zh-CN"/>
              </w:rPr>
              <w:t>5</w:t>
            </w:r>
            <w:r>
              <w:rPr>
                <w:rFonts w:hint="eastAsia" w:ascii="仿宋" w:hAnsi="仿宋" w:eastAsia="仿宋" w:cs="仿宋"/>
                <w:kern w:val="0"/>
                <w:sz w:val="24"/>
                <w:szCs w:val="24"/>
                <w:vertAlign w:val="baseline"/>
              </w:rPr>
              <w:t>分；每有一项内容不完整或未能满足采购需求的或每有一处不具有针对性或逻辑性错误且不完整的扣</w:t>
            </w:r>
            <w:r>
              <w:rPr>
                <w:rFonts w:hint="eastAsia" w:ascii="仿宋" w:hAnsi="仿宋" w:eastAsia="仿宋" w:cs="仿宋"/>
                <w:kern w:val="0"/>
                <w:sz w:val="24"/>
                <w:szCs w:val="24"/>
                <w:vertAlign w:val="baseline"/>
                <w:lang w:val="en-US" w:eastAsia="zh-CN"/>
              </w:rPr>
              <w:t>1</w:t>
            </w:r>
            <w:r>
              <w:rPr>
                <w:rFonts w:hint="eastAsia" w:ascii="仿宋" w:hAnsi="仿宋" w:eastAsia="仿宋" w:cs="仿宋"/>
                <w:kern w:val="0"/>
                <w:sz w:val="24"/>
                <w:szCs w:val="24"/>
                <w:vertAlign w:val="baseline"/>
              </w:rPr>
              <w:t>分；扣完为止。</w:t>
            </w:r>
          </w:p>
        </w:tc>
      </w:tr>
      <w:tr w14:paraId="2AAF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249" w:type="dxa"/>
            <w:vMerge w:val="continue"/>
            <w:tcBorders>
              <w:right w:val="single" w:color="000000" w:sz="4" w:space="0"/>
            </w:tcBorders>
            <w:vAlign w:val="center"/>
          </w:tcPr>
          <w:p w14:paraId="4B72308E">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highlight w:val="none"/>
                <w:vertAlign w:val="baseline"/>
              </w:rPr>
            </w:pPr>
          </w:p>
        </w:tc>
        <w:tc>
          <w:tcPr>
            <w:tcW w:w="819" w:type="dxa"/>
            <w:tcBorders>
              <w:left w:val="single" w:color="000000" w:sz="4" w:space="0"/>
            </w:tcBorders>
            <w:vAlign w:val="center"/>
          </w:tcPr>
          <w:p w14:paraId="5DF2E8ED">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highlight w:val="none"/>
                <w:vertAlign w:val="baseline"/>
                <w:lang w:val="en-US" w:eastAsia="zh-CN"/>
              </w:rPr>
            </w:pPr>
            <w:r>
              <w:rPr>
                <w:rFonts w:hint="eastAsia" w:ascii="仿宋" w:hAnsi="仿宋" w:eastAsia="仿宋" w:cs="仿宋"/>
                <w:kern w:val="0"/>
                <w:sz w:val="24"/>
                <w:szCs w:val="24"/>
                <w:highlight w:val="none"/>
                <w:vertAlign w:val="baseline"/>
                <w:lang w:val="en-US" w:eastAsia="zh-CN"/>
              </w:rPr>
              <w:t>人员配置</w:t>
            </w:r>
          </w:p>
        </w:tc>
        <w:tc>
          <w:tcPr>
            <w:tcW w:w="843" w:type="dxa"/>
            <w:vAlign w:val="center"/>
          </w:tcPr>
          <w:p w14:paraId="4DE7B89F">
            <w:pPr>
              <w:pStyle w:val="18"/>
              <w:keepNext w:val="0"/>
              <w:keepLines w:val="0"/>
              <w:pageBreakBefore w:val="0"/>
              <w:kinsoku/>
              <w:wordWrap/>
              <w:overflowPunct/>
              <w:topLinePunct w:val="0"/>
              <w:bidi w:val="0"/>
              <w:spacing w:line="500" w:lineRule="exact"/>
              <w:ind w:right="-36" w:rightChars="-15" w:firstLine="240" w:firstLineChars="100"/>
              <w:textAlignment w:val="auto"/>
              <w:rPr>
                <w:rFonts w:hint="eastAsia" w:ascii="仿宋" w:hAnsi="仿宋" w:eastAsia="仿宋" w:cs="仿宋"/>
                <w:kern w:val="0"/>
                <w:sz w:val="24"/>
                <w:szCs w:val="24"/>
                <w:highlight w:val="none"/>
                <w:vertAlign w:val="baseline"/>
                <w:lang w:val="en-US" w:eastAsia="zh-CN"/>
              </w:rPr>
            </w:pPr>
            <w:r>
              <w:rPr>
                <w:rFonts w:hint="eastAsia" w:ascii="仿宋" w:hAnsi="仿宋" w:eastAsia="仿宋" w:cs="仿宋"/>
                <w:kern w:val="0"/>
                <w:sz w:val="24"/>
                <w:szCs w:val="24"/>
                <w:highlight w:val="none"/>
                <w:vertAlign w:val="baseline"/>
                <w:lang w:val="en-US" w:eastAsia="zh-CN"/>
              </w:rPr>
              <w:t>11</w:t>
            </w:r>
          </w:p>
        </w:tc>
        <w:tc>
          <w:tcPr>
            <w:tcW w:w="6360" w:type="dxa"/>
            <w:vAlign w:val="center"/>
          </w:tcPr>
          <w:p w14:paraId="631E28B5">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kern w:val="0"/>
                <w:sz w:val="24"/>
                <w:szCs w:val="24"/>
                <w:highlight w:val="none"/>
                <w:vertAlign w:val="baseline"/>
                <w:lang w:val="en-US" w:eastAsia="zh-CN"/>
              </w:rPr>
            </w:pPr>
            <w:r>
              <w:rPr>
                <w:rFonts w:hint="eastAsia" w:ascii="仿宋" w:hAnsi="仿宋" w:eastAsia="仿宋" w:cs="仿宋"/>
                <w:kern w:val="0"/>
                <w:sz w:val="24"/>
                <w:szCs w:val="24"/>
                <w:highlight w:val="none"/>
                <w:vertAlign w:val="baseline"/>
                <w:lang w:val="en-US" w:eastAsia="zh-CN"/>
              </w:rPr>
              <w:t>1、供应商拟派本项目的电气专业监理工程师1人得2分，设备专业监理工程师1人得2分，监理员1人得2分。</w:t>
            </w:r>
          </w:p>
          <w:p w14:paraId="6B0E9B88">
            <w:pPr>
              <w:pStyle w:val="18"/>
              <w:keepNext w:val="0"/>
              <w:keepLines w:val="0"/>
              <w:pageBreakBefore w:val="0"/>
              <w:kinsoku/>
              <w:wordWrap/>
              <w:overflowPunct/>
              <w:topLinePunct w:val="0"/>
              <w:bidi w:val="0"/>
              <w:spacing w:line="500" w:lineRule="exact"/>
              <w:ind w:right="-36" w:rightChars="-15"/>
              <w:textAlignment w:val="auto"/>
              <w:rPr>
                <w:rFonts w:hint="default" w:ascii="仿宋" w:hAnsi="仿宋" w:eastAsia="仿宋" w:cs="仿宋"/>
                <w:kern w:val="0"/>
                <w:sz w:val="24"/>
                <w:szCs w:val="24"/>
                <w:highlight w:val="none"/>
                <w:vertAlign w:val="baseline"/>
                <w:lang w:val="en-US" w:eastAsia="zh-CN"/>
              </w:rPr>
            </w:pPr>
            <w:r>
              <w:rPr>
                <w:rFonts w:hint="eastAsia" w:ascii="仿宋" w:hAnsi="仿宋" w:eastAsia="仿宋" w:cs="仿宋"/>
                <w:kern w:val="0"/>
                <w:sz w:val="24"/>
                <w:szCs w:val="24"/>
                <w:highlight w:val="none"/>
                <w:vertAlign w:val="baseline"/>
                <w:lang w:val="en-US" w:eastAsia="zh-CN"/>
              </w:rPr>
              <w:t>2、派驻的监理人员需具备上岗证、见证取样证、安全员证、人防证等相应的资格证书，每提供一个得1分，最多得5分，且总监不得同时监理其他工程项目超过2项(提供承诺书及相关证明截图)，提供人员相关证书及劳务合同，未提供相关证明材料不得分。</w:t>
            </w:r>
          </w:p>
        </w:tc>
      </w:tr>
    </w:tbl>
    <w:p w14:paraId="7F4A8D8E">
      <w:pPr>
        <w:pStyle w:val="18"/>
        <w:keepNext w:val="0"/>
        <w:keepLines w:val="0"/>
        <w:pageBreakBefore w:val="0"/>
        <w:kinsoku/>
        <w:wordWrap/>
        <w:overflowPunct/>
        <w:topLinePunct w:val="0"/>
        <w:bidi w:val="0"/>
        <w:spacing w:line="500" w:lineRule="exact"/>
        <w:ind w:right="-36" w:rightChars="-15"/>
        <w:textAlignment w:val="auto"/>
        <w:rPr>
          <w:rFonts w:hint="eastAsia" w:ascii="仿宋" w:hAnsi="仿宋" w:eastAsia="仿宋" w:cs="仿宋"/>
          <w:b/>
          <w:bCs/>
          <w:highlight w:val="none"/>
          <w:lang w:val="en-US" w:eastAsia="zh-CN"/>
        </w:rPr>
      </w:pPr>
      <w:r>
        <w:rPr>
          <w:rFonts w:hint="eastAsia" w:ascii="仿宋" w:hAnsi="仿宋" w:eastAsia="仿宋" w:cs="仿宋"/>
          <w:kern w:val="0"/>
          <w:sz w:val="24"/>
          <w:szCs w:val="24"/>
          <w:highlight w:val="none"/>
          <w:vertAlign w:val="baseline"/>
          <w:lang w:val="en-US" w:eastAsia="zh-CN"/>
        </w:rPr>
        <w:br w:type="page"/>
      </w:r>
    </w:p>
    <w:p w14:paraId="170F99EE">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评审标准中</w:t>
      </w:r>
      <w:r>
        <w:rPr>
          <w:rFonts w:hint="eastAsia" w:ascii="仿宋" w:hAnsi="仿宋" w:eastAsia="仿宋" w:cs="仿宋"/>
          <w:sz w:val="24"/>
          <w:szCs w:val="24"/>
          <w:lang w:val="en-US" w:eastAsia="zh-CN"/>
        </w:rPr>
        <w:t>应考虑下列因素：</w:t>
      </w:r>
    </w:p>
    <w:p w14:paraId="2DD8F51E">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u w:val="single"/>
          <w:lang w:val="en-US" w:eastAsia="zh-CN"/>
        </w:rPr>
        <w:t xml:space="preserve"> 10 % </w:t>
      </w:r>
      <w:r>
        <w:rPr>
          <w:rFonts w:hint="eastAsia" w:ascii="仿宋" w:hAnsi="仿宋" w:eastAsia="仿宋" w:cs="仿宋"/>
          <w:sz w:val="24"/>
          <w:szCs w:val="24"/>
          <w:lang w:val="en-US" w:eastAsia="zh-CN"/>
        </w:rPr>
        <w:t>后参与评审。对于同时属于小微企业、监狱企业或残疾人福利性单位的，不重复进行最后报价扣除。</w:t>
      </w:r>
    </w:p>
    <w:p w14:paraId="69798295">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u w:val="single"/>
          <w:lang w:val="en-US" w:eastAsia="zh-CN"/>
        </w:rPr>
        <w:t xml:space="preserve"> 30 %</w:t>
      </w:r>
      <w:r>
        <w:rPr>
          <w:rFonts w:hint="eastAsia" w:ascii="仿宋" w:hAnsi="仿宋" w:eastAsia="仿宋" w:cs="仿宋"/>
          <w:sz w:val="24"/>
          <w:szCs w:val="24"/>
          <w:lang w:val="en-US" w:eastAsia="zh-CN"/>
        </w:rPr>
        <w:t>以上的联合体或者大中型企业的报价给予</w:t>
      </w:r>
      <w:r>
        <w:rPr>
          <w:rFonts w:hint="eastAsia" w:ascii="仿宋" w:hAnsi="仿宋" w:eastAsia="仿宋" w:cs="仿宋"/>
          <w:sz w:val="24"/>
          <w:szCs w:val="24"/>
          <w:u w:val="single"/>
          <w:lang w:val="en-US" w:eastAsia="zh-CN"/>
        </w:rPr>
        <w:t xml:space="preserve"> 4% </w:t>
      </w:r>
      <w:r>
        <w:rPr>
          <w:rFonts w:hint="eastAsia" w:ascii="仿宋" w:hAnsi="仿宋" w:eastAsia="仿宋" w:cs="仿宋"/>
          <w:sz w:val="24"/>
          <w:szCs w:val="24"/>
          <w:lang w:val="en-US" w:eastAsia="zh-CN"/>
        </w:rPr>
        <w:t>的扣除，用扣除后的价格参加评审。</w:t>
      </w:r>
    </w:p>
    <w:p w14:paraId="626AE82A">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组成联合体或者接受分包的小微企业与联合体内其他企业、分包企业之间存在直接控股、管理关系的，不享受价格扣除优惠政策。</w:t>
      </w:r>
    </w:p>
    <w:p w14:paraId="029F60B9">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价格扣除比例对小型企业和微型企业同等对待，不作区分。</w:t>
      </w:r>
    </w:p>
    <w:p w14:paraId="70E35EFD">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u w:val="single"/>
          <w:lang w:val="en-US" w:eastAsia="zh-CN"/>
        </w:rPr>
        <w:t>综合得分相同时排名优先。</w:t>
      </w:r>
    </w:p>
    <w:p w14:paraId="40B4D751">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供应商所投产品列入无线局域网产品清单，应提供相关证明，在评标时予以优先采购，具体优惠措施为：</w:t>
      </w:r>
      <w:r>
        <w:rPr>
          <w:rFonts w:hint="eastAsia" w:ascii="仿宋" w:hAnsi="仿宋" w:eastAsia="仿宋" w:cs="仿宋"/>
          <w:sz w:val="24"/>
          <w:szCs w:val="24"/>
          <w:u w:val="single"/>
          <w:lang w:val="en-US" w:eastAsia="zh-CN"/>
        </w:rPr>
        <w:t>综合得分相同时排名优先。</w:t>
      </w:r>
    </w:p>
    <w:p w14:paraId="7EA6CED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如采购人所采购产品为政府强制采购的节能产品，供应商所投产品的品牌及型号必须为清单中有效期内产品并提供证明文件，否则其响应将作为无效响应被拒绝。</w:t>
      </w:r>
    </w:p>
    <w:p w14:paraId="403E9BD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u w:val="single"/>
          <w:lang w:val="en-US" w:eastAsia="zh-CN"/>
        </w:rPr>
        <w:t xml:space="preserve">  综合得分相同时排名优先。</w:t>
      </w:r>
    </w:p>
    <w:p w14:paraId="125E909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同品牌同型号处理办法：</w:t>
      </w:r>
    </w:p>
    <w:p w14:paraId="4DF84825">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143F246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如一个分包内包含多种产品的，采购人或采购代理机构将在</w:t>
      </w:r>
      <w:r>
        <w:rPr>
          <w:rFonts w:hint="eastAsia" w:ascii="仿宋" w:hAnsi="仿宋" w:eastAsia="仿宋" w:cs="仿宋"/>
          <w:sz w:val="24"/>
          <w:szCs w:val="24"/>
          <w:u w:val="single"/>
          <w:lang w:val="en-US" w:eastAsia="zh-CN"/>
        </w:rPr>
        <w:t>供应商须知前附表</w:t>
      </w:r>
      <w:r>
        <w:rPr>
          <w:rFonts w:hint="eastAsia" w:ascii="仿宋" w:hAnsi="仿宋" w:eastAsia="仿宋" w:cs="仿宋"/>
          <w:sz w:val="24"/>
          <w:szCs w:val="24"/>
          <w:lang w:val="en-US" w:eastAsia="zh-CN"/>
        </w:rPr>
        <w:t xml:space="preserve">中载明核心产品，多家供应商提供的所有核心产品品牌型号均相同的，按前款规定处理。 </w:t>
      </w:r>
    </w:p>
    <w:p w14:paraId="6A150BCB">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确定中标候选人名单</w:t>
      </w:r>
    </w:p>
    <w:p w14:paraId="037414F4">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14B6C3C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磋商小组要对评分汇总情况进行复核，特别是对排名第一的、报价最低的、响应文件被认定为无效的情形进行重点复核。</w:t>
      </w:r>
    </w:p>
    <w:p w14:paraId="5C8F3C69">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76594DB4">
      <w:pPr>
        <w:rPr>
          <w:rFonts w:hint="eastAsia" w:ascii="仿宋" w:hAnsi="仿宋" w:eastAsia="仿宋" w:cs="仿宋"/>
          <w:sz w:val="24"/>
          <w:szCs w:val="24"/>
          <w:lang w:val="en-US" w:eastAsia="zh-CN"/>
        </w:rPr>
      </w:pPr>
    </w:p>
    <w:p w14:paraId="52F360B0">
      <w:pPr>
        <w:rPr>
          <w:rFonts w:hint="eastAsia" w:ascii="仿宋" w:hAnsi="仿宋" w:eastAsia="仿宋" w:cs="仿宋"/>
          <w:lang w:val="en-US" w:eastAsia="zh-CN"/>
        </w:rPr>
      </w:pPr>
      <w:r>
        <w:rPr>
          <w:rFonts w:hint="eastAsia" w:ascii="仿宋" w:hAnsi="仿宋" w:eastAsia="仿宋" w:cs="仿宋"/>
          <w:lang w:val="en-US" w:eastAsia="zh-CN"/>
        </w:rPr>
        <w:br w:type="page"/>
      </w:r>
    </w:p>
    <w:p w14:paraId="45BC2617">
      <w:pPr>
        <w:pStyle w:val="25"/>
        <w:numPr>
          <w:ilvl w:val="0"/>
          <w:numId w:val="4"/>
        </w:numPr>
        <w:bidi w:val="0"/>
        <w:jc w:val="center"/>
        <w:outlineLvl w:val="0"/>
        <w:rPr>
          <w:rFonts w:hint="eastAsia" w:ascii="仿宋" w:hAnsi="仿宋" w:eastAsia="仿宋" w:cs="仿宋"/>
          <w:b/>
          <w:bCs/>
          <w:sz w:val="32"/>
          <w:szCs w:val="32"/>
          <w:lang w:val="en-US" w:eastAsia="zh-CN"/>
        </w:rPr>
      </w:pPr>
      <w:bookmarkStart w:id="30" w:name="_Toc8139"/>
      <w:r>
        <w:rPr>
          <w:rFonts w:hint="eastAsia" w:ascii="仿宋" w:hAnsi="仿宋" w:eastAsia="仿宋" w:cs="仿宋"/>
          <w:b/>
          <w:bCs/>
          <w:sz w:val="32"/>
          <w:szCs w:val="32"/>
          <w:lang w:val="en-US" w:eastAsia="zh-CN"/>
        </w:rPr>
        <w:t>响应文件格式</w:t>
      </w:r>
      <w:bookmarkEnd w:id="30"/>
    </w:p>
    <w:p w14:paraId="3E0E23E4">
      <w:pPr>
        <w:pStyle w:val="25"/>
        <w:rPr>
          <w:rFonts w:hint="eastAsia" w:ascii="仿宋" w:hAnsi="仿宋" w:eastAsia="仿宋" w:cs="仿宋"/>
          <w:lang w:val="en-US" w:eastAsia="zh-CN"/>
        </w:rPr>
      </w:pPr>
    </w:p>
    <w:p w14:paraId="4119BE1E">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lang w:val="en-US" w:eastAsia="zh-CN"/>
        </w:rPr>
      </w:pPr>
      <w:r>
        <w:rPr>
          <w:rFonts w:hint="eastAsia" w:ascii="仿宋" w:hAnsi="仿宋" w:eastAsia="仿宋" w:cs="仿宋"/>
          <w:b/>
          <w:bCs/>
          <w:lang w:val="en-US" w:eastAsia="zh-CN"/>
        </w:rPr>
        <w:t>供应商编制文件须知</w:t>
      </w:r>
    </w:p>
    <w:p w14:paraId="59610DB0">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1.为保证评标工作的顺利进行，各供应商需参照如下的格式，认真进行响应文件的编写工作。需建立详细的目录。</w:t>
      </w:r>
    </w:p>
    <w:p w14:paraId="18BC638F">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2.各供应商提交文件中涉及商业机密的，应明确标明，采购人及最终用户将给予保密处理，否则视为公开资料。</w:t>
      </w:r>
    </w:p>
    <w:p w14:paraId="755A1467">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7CF2DF4A">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4.“法定代表人（单位负责人）”指供应商营业执照或登记证书载明的“法定代表人”、“负责人”、“执行事务合伙人”、“投资人”等。</w:t>
      </w:r>
    </w:p>
    <w:p w14:paraId="4030CA34">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5.全部声明和问题的回答及所附材料必须是真实的、准确的和完整的。</w:t>
      </w:r>
    </w:p>
    <w:p w14:paraId="4ECE1E6C">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6.以联合体参加的，除采购文件格式中要求外，采购文件要求的供应商盖章处应按加盖联合体协议中约定的联合体牵头人公章或所有联合体成员公章。</w:t>
      </w:r>
    </w:p>
    <w:p w14:paraId="4CD46539">
      <w:pPr>
        <w:rPr>
          <w:rFonts w:hint="eastAsia" w:ascii="仿宋" w:hAnsi="仿宋" w:eastAsia="仿宋" w:cs="仿宋"/>
          <w:lang w:val="en-US" w:eastAsia="zh-CN"/>
        </w:rPr>
      </w:pPr>
    </w:p>
    <w:p w14:paraId="765012CE">
      <w:pPr>
        <w:pStyle w:val="25"/>
        <w:rPr>
          <w:rFonts w:hint="eastAsia" w:ascii="仿宋" w:hAnsi="仿宋" w:eastAsia="仿宋" w:cs="仿宋"/>
          <w:lang w:val="en-US" w:eastAsia="zh-CN"/>
        </w:rPr>
      </w:pPr>
    </w:p>
    <w:p w14:paraId="7471CAE3">
      <w:pPr>
        <w:rPr>
          <w:rFonts w:hint="eastAsia" w:ascii="仿宋" w:hAnsi="仿宋" w:eastAsia="仿宋" w:cs="仿宋"/>
          <w:lang w:val="en-US" w:eastAsia="zh-CN"/>
        </w:rPr>
      </w:pPr>
      <w:r>
        <w:rPr>
          <w:rFonts w:hint="eastAsia" w:ascii="仿宋" w:hAnsi="仿宋" w:eastAsia="仿宋" w:cs="仿宋"/>
          <w:lang w:val="en-US" w:eastAsia="zh-CN"/>
        </w:rPr>
        <w:br w:type="page"/>
      </w:r>
    </w:p>
    <w:p w14:paraId="6FE943FA">
      <w:pPr>
        <w:keepNext w:val="0"/>
        <w:keepLines w:val="0"/>
        <w:widowControl/>
        <w:suppressLineNumbers w:val="0"/>
        <w:jc w:val="left"/>
        <w:outlineLvl w:val="1"/>
        <w:rPr>
          <w:rFonts w:hint="eastAsia" w:ascii="仿宋" w:hAnsi="仿宋" w:eastAsia="仿宋" w:cs="仿宋"/>
          <w:b/>
          <w:bCs/>
          <w:color w:val="000000"/>
          <w:kern w:val="0"/>
          <w:sz w:val="24"/>
          <w:szCs w:val="24"/>
          <w:lang w:val="en-US" w:eastAsia="zh-CN" w:bidi="ar"/>
        </w:rPr>
      </w:pPr>
      <w:bookmarkStart w:id="31" w:name="_Toc14175"/>
      <w:bookmarkStart w:id="32" w:name="_Toc24875"/>
      <w:r>
        <w:rPr>
          <w:rFonts w:hint="eastAsia" w:ascii="仿宋" w:hAnsi="仿宋" w:eastAsia="仿宋" w:cs="仿宋"/>
          <w:b/>
          <w:bCs/>
          <w:color w:val="000000"/>
          <w:kern w:val="0"/>
          <w:sz w:val="24"/>
          <w:szCs w:val="24"/>
          <w:lang w:val="en-US" w:eastAsia="zh-CN" w:bidi="ar"/>
        </w:rPr>
        <w:t>投标文件封面（参考格式）</w:t>
      </w:r>
      <w:bookmarkEnd w:id="31"/>
      <w:bookmarkEnd w:id="32"/>
    </w:p>
    <w:p w14:paraId="7C905D9B">
      <w:pPr>
        <w:keepNext w:val="0"/>
        <w:keepLines w:val="0"/>
        <w:widowControl/>
        <w:suppressLineNumbers w:val="0"/>
        <w:jc w:val="left"/>
        <w:rPr>
          <w:rFonts w:hint="eastAsia" w:ascii="仿宋" w:hAnsi="仿宋" w:eastAsia="仿宋" w:cs="仿宋"/>
          <w:b/>
          <w:bCs/>
          <w:color w:val="000000"/>
          <w:kern w:val="0"/>
          <w:sz w:val="84"/>
          <w:szCs w:val="84"/>
          <w:lang w:val="en-US" w:eastAsia="zh-CN" w:bidi="ar"/>
        </w:rPr>
      </w:pPr>
    </w:p>
    <w:p w14:paraId="27C8AC35">
      <w:pPr>
        <w:pStyle w:val="26"/>
        <w:rPr>
          <w:rFonts w:hint="eastAsia" w:ascii="仿宋" w:hAnsi="仿宋" w:eastAsia="仿宋" w:cs="仿宋"/>
          <w:lang w:val="en-US" w:eastAsia="zh-CN"/>
        </w:rPr>
      </w:pPr>
    </w:p>
    <w:p w14:paraId="07C2CCD2">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84"/>
          <w:szCs w:val="84"/>
          <w:lang w:val="en-US" w:eastAsia="zh-CN" w:bidi="ar"/>
        </w:rPr>
        <w:t>响应文件</w:t>
      </w:r>
    </w:p>
    <w:p w14:paraId="4B6689DF">
      <w:pPr>
        <w:keepNext w:val="0"/>
        <w:keepLines w:val="0"/>
        <w:widowControl/>
        <w:suppressLineNumbers w:val="0"/>
        <w:jc w:val="left"/>
        <w:rPr>
          <w:rFonts w:hint="eastAsia" w:ascii="仿宋" w:hAnsi="仿宋" w:eastAsia="仿宋" w:cs="仿宋"/>
          <w:b/>
          <w:bCs/>
          <w:color w:val="000000"/>
          <w:kern w:val="0"/>
          <w:sz w:val="52"/>
          <w:szCs w:val="52"/>
          <w:lang w:val="en-US" w:eastAsia="zh-CN" w:bidi="ar"/>
        </w:rPr>
      </w:pPr>
    </w:p>
    <w:p w14:paraId="43F8966B">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52"/>
          <w:szCs w:val="52"/>
          <w:lang w:val="en-US" w:eastAsia="zh-CN" w:bidi="ar"/>
        </w:rPr>
        <w:t xml:space="preserve"> </w:t>
      </w:r>
    </w:p>
    <w:p w14:paraId="49CADA78">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6AA54801">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483F7EAA">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11E302A8">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31"/>
          <w:szCs w:val="31"/>
          <w:lang w:val="en-US" w:eastAsia="zh-CN" w:bidi="ar"/>
        </w:rPr>
        <w:t xml:space="preserve">项目名称: </w:t>
      </w:r>
    </w:p>
    <w:p w14:paraId="3FF71F96">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 xml:space="preserve">项目编号： </w:t>
      </w:r>
    </w:p>
    <w:p w14:paraId="33707825">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供应商名称（盖公章）：</w:t>
      </w:r>
    </w:p>
    <w:p w14:paraId="4918ADCB">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法定代表人或其授权代表（签字或印鉴）：</w:t>
      </w:r>
    </w:p>
    <w:p w14:paraId="3A51B1D7">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65F6FBE1">
      <w:pPr>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br w:type="page"/>
      </w:r>
    </w:p>
    <w:p w14:paraId="55A3A99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   满足《中华人民共和国政府采购法》第二十二条规定及法律法规的其他规定 </w:t>
      </w:r>
    </w:p>
    <w:p w14:paraId="372D1FD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lang w:val="en-US" w:eastAsia="zh-CN" w:bidi="ar"/>
        </w:rPr>
      </w:pPr>
    </w:p>
    <w:p w14:paraId="2A28C71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附件 1-1 法人或者其他组织的营业执照等证明文件或自然人的身份证明复印件;</w:t>
      </w:r>
    </w:p>
    <w:p w14:paraId="5133550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p>
    <w:p w14:paraId="1A9825E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p>
    <w:p w14:paraId="5F5E5138">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374713B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 xml:space="preserve">附件 </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2</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eastAsia="zh-CN" w:bidi="ar"/>
        </w:rPr>
        <w:t>供应商</w:t>
      </w:r>
      <w:r>
        <w:rPr>
          <w:rFonts w:hint="eastAsia" w:ascii="仿宋" w:hAnsi="仿宋" w:eastAsia="仿宋" w:cs="仿宋"/>
          <w:color w:val="000000"/>
          <w:kern w:val="0"/>
          <w:sz w:val="24"/>
          <w:u w:val="none"/>
          <w:lang w:bidi="ar"/>
        </w:rPr>
        <w:t>具有良好的商业信誉和健全的财务会计制度的证明文件</w:t>
      </w:r>
    </w:p>
    <w:p w14:paraId="57A93CF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14:paraId="28E4DB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3" w:name="_Toc29059"/>
      <w:bookmarkStart w:id="34" w:name="_Toc17403"/>
      <w:r>
        <w:rPr>
          <w:rFonts w:hint="eastAsia" w:ascii="仿宋" w:hAnsi="仿宋" w:eastAsia="仿宋" w:cs="仿宋"/>
          <w:color w:val="000000"/>
          <w:kern w:val="0"/>
          <w:sz w:val="24"/>
          <w:u w:val="none"/>
          <w:lang w:bidi="ar"/>
        </w:rPr>
        <w:t>1、复印件并加盖本单位公章</w:t>
      </w:r>
      <w:bookmarkEnd w:id="33"/>
      <w:bookmarkEnd w:id="34"/>
    </w:p>
    <w:p w14:paraId="65A175A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14:paraId="6333FEC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5" w:name="_Toc14987"/>
      <w:bookmarkStart w:id="36" w:name="_Toc4372"/>
      <w:r>
        <w:rPr>
          <w:rFonts w:hint="eastAsia" w:ascii="仿宋" w:hAnsi="仿宋" w:eastAsia="仿宋" w:cs="仿宋"/>
          <w:color w:val="000000"/>
          <w:kern w:val="0"/>
          <w:sz w:val="24"/>
          <w:u w:val="none"/>
          <w:lang w:bidi="ar"/>
        </w:rPr>
        <w:t>3、如果是联合体</w:t>
      </w:r>
      <w:r>
        <w:rPr>
          <w:rFonts w:hint="eastAsia" w:ascii="仿宋" w:hAnsi="仿宋" w:eastAsia="仿宋" w:cs="仿宋"/>
          <w:color w:val="000000"/>
          <w:kern w:val="0"/>
          <w:sz w:val="24"/>
          <w:u w:val="none"/>
          <w:lang w:val="en-US" w:eastAsia="zh-CN" w:bidi="ar"/>
        </w:rPr>
        <w:t>响应</w:t>
      </w:r>
      <w:r>
        <w:rPr>
          <w:rFonts w:hint="eastAsia" w:ascii="仿宋" w:hAnsi="仿宋" w:eastAsia="仿宋" w:cs="仿宋"/>
          <w:color w:val="000000"/>
          <w:kern w:val="0"/>
          <w:sz w:val="24"/>
          <w:u w:val="none"/>
          <w:lang w:bidi="ar"/>
        </w:rPr>
        <w:t>，联合体各方均需提供上述证明。</w:t>
      </w:r>
      <w:bookmarkEnd w:id="35"/>
      <w:bookmarkEnd w:id="36"/>
    </w:p>
    <w:p w14:paraId="0B9DDA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p>
    <w:p w14:paraId="6F45A7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br w:type="page"/>
      </w:r>
    </w:p>
    <w:p w14:paraId="0A93392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附件</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val="en-US" w:eastAsia="zh-CN" w:bidi="ar"/>
        </w:rPr>
        <w:t xml:space="preserve"> </w:t>
      </w:r>
      <w:r>
        <w:rPr>
          <w:rFonts w:hint="eastAsia" w:ascii="仿宋" w:hAnsi="仿宋" w:eastAsia="仿宋" w:cs="仿宋"/>
          <w:color w:val="000000"/>
          <w:kern w:val="0"/>
          <w:sz w:val="24"/>
          <w:u w:val="none"/>
          <w:lang w:eastAsia="zh-CN" w:bidi="ar"/>
        </w:rPr>
        <w:t>供应商</w:t>
      </w:r>
      <w:r>
        <w:rPr>
          <w:rFonts w:hint="eastAsia" w:ascii="仿宋" w:hAnsi="仿宋" w:eastAsia="仿宋" w:cs="仿宋"/>
          <w:color w:val="000000"/>
          <w:kern w:val="0"/>
          <w:sz w:val="24"/>
          <w:u w:val="none"/>
          <w:lang w:bidi="ar"/>
        </w:rPr>
        <w:t>缴纳税收的证明</w:t>
      </w:r>
    </w:p>
    <w:p w14:paraId="49DCE18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14:paraId="1429784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7" w:name="_Toc7925"/>
      <w:bookmarkStart w:id="38" w:name="_Toc18995"/>
      <w:r>
        <w:rPr>
          <w:rFonts w:hint="eastAsia" w:ascii="仿宋" w:hAnsi="仿宋" w:eastAsia="仿宋" w:cs="仿宋"/>
          <w:color w:val="000000"/>
          <w:kern w:val="0"/>
          <w:sz w:val="24"/>
          <w:u w:val="none"/>
          <w:lang w:bidi="ar"/>
        </w:rPr>
        <w:t>1、复印件并加盖本单位公章</w:t>
      </w:r>
      <w:bookmarkEnd w:id="37"/>
      <w:bookmarkEnd w:id="38"/>
    </w:p>
    <w:p w14:paraId="5CE080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14:paraId="788391F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9" w:name="_Toc27172"/>
      <w:bookmarkStart w:id="40" w:name="_Toc4614"/>
      <w:r>
        <w:rPr>
          <w:rFonts w:hint="eastAsia" w:ascii="仿宋" w:hAnsi="仿宋" w:eastAsia="仿宋" w:cs="仿宋"/>
          <w:color w:val="000000"/>
          <w:kern w:val="0"/>
          <w:sz w:val="24"/>
          <w:u w:val="none"/>
          <w:lang w:bidi="ar"/>
        </w:rPr>
        <w:t>3、如果是联合体</w:t>
      </w:r>
      <w:r>
        <w:rPr>
          <w:rFonts w:hint="eastAsia" w:ascii="仿宋" w:hAnsi="仿宋" w:eastAsia="仿宋" w:cs="仿宋"/>
          <w:color w:val="000000"/>
          <w:kern w:val="0"/>
          <w:sz w:val="24"/>
          <w:u w:val="none"/>
          <w:lang w:val="en-US" w:eastAsia="zh-CN" w:bidi="ar"/>
        </w:rPr>
        <w:t>响应</w:t>
      </w:r>
      <w:r>
        <w:rPr>
          <w:rFonts w:hint="eastAsia" w:ascii="仿宋" w:hAnsi="仿宋" w:eastAsia="仿宋" w:cs="仿宋"/>
          <w:color w:val="000000"/>
          <w:kern w:val="0"/>
          <w:sz w:val="24"/>
          <w:u w:val="none"/>
          <w:lang w:bidi="ar"/>
        </w:rPr>
        <w:t>，联合体各方均需提供上述证明。</w:t>
      </w:r>
      <w:r>
        <w:rPr>
          <w:rFonts w:hint="eastAsia" w:ascii="仿宋" w:hAnsi="仿宋" w:eastAsia="仿宋" w:cs="仿宋"/>
          <w:color w:val="000000"/>
          <w:kern w:val="0"/>
          <w:sz w:val="24"/>
          <w:u w:val="none"/>
          <w:lang w:bidi="ar"/>
        </w:rPr>
        <w:br w:type="page"/>
      </w:r>
      <w:bookmarkEnd w:id="39"/>
      <w:bookmarkEnd w:id="40"/>
    </w:p>
    <w:p w14:paraId="086247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附件</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val="en-US" w:eastAsia="zh-CN" w:bidi="ar"/>
        </w:rPr>
        <w:t xml:space="preserve"> </w:t>
      </w:r>
      <w:r>
        <w:rPr>
          <w:rFonts w:hint="eastAsia" w:ascii="仿宋" w:hAnsi="仿宋" w:eastAsia="仿宋" w:cs="仿宋"/>
          <w:color w:val="000000"/>
          <w:kern w:val="0"/>
          <w:sz w:val="24"/>
          <w:u w:val="none"/>
          <w:lang w:eastAsia="zh-CN" w:bidi="ar"/>
        </w:rPr>
        <w:t>供应商</w:t>
      </w:r>
      <w:r>
        <w:rPr>
          <w:rFonts w:hint="eastAsia" w:ascii="仿宋" w:hAnsi="仿宋" w:eastAsia="仿宋" w:cs="仿宋"/>
          <w:color w:val="000000"/>
          <w:kern w:val="0"/>
          <w:sz w:val="24"/>
          <w:u w:val="none"/>
          <w:lang w:bidi="ar"/>
        </w:rPr>
        <w:t>为职工缴纳社会保险的证明</w:t>
      </w:r>
    </w:p>
    <w:p w14:paraId="32D051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14:paraId="47695E9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41" w:name="_Toc14978"/>
      <w:bookmarkStart w:id="42" w:name="_Toc9131"/>
      <w:r>
        <w:rPr>
          <w:rFonts w:hint="eastAsia" w:ascii="仿宋" w:hAnsi="仿宋" w:eastAsia="仿宋" w:cs="仿宋"/>
          <w:color w:val="000000"/>
          <w:kern w:val="0"/>
          <w:sz w:val="24"/>
          <w:u w:val="none"/>
          <w:lang w:bidi="ar"/>
        </w:rPr>
        <w:t>1、复印件并加盖本单位公章</w:t>
      </w:r>
      <w:bookmarkEnd w:id="41"/>
      <w:bookmarkEnd w:id="42"/>
    </w:p>
    <w:p w14:paraId="537FA2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14:paraId="56D0242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43" w:name="_Toc11092"/>
      <w:bookmarkStart w:id="44" w:name="_Toc8733"/>
      <w:r>
        <w:rPr>
          <w:rFonts w:hint="eastAsia" w:ascii="仿宋" w:hAnsi="仿宋" w:eastAsia="仿宋" w:cs="仿宋"/>
          <w:color w:val="000000"/>
          <w:kern w:val="0"/>
          <w:sz w:val="24"/>
          <w:u w:val="none"/>
          <w:lang w:bidi="ar"/>
        </w:rPr>
        <w:t>3、如果是联合体</w:t>
      </w:r>
      <w:r>
        <w:rPr>
          <w:rFonts w:hint="eastAsia" w:ascii="仿宋" w:hAnsi="仿宋" w:eastAsia="仿宋" w:cs="仿宋"/>
          <w:color w:val="000000"/>
          <w:kern w:val="0"/>
          <w:sz w:val="24"/>
          <w:u w:val="none"/>
          <w:lang w:val="en-US" w:eastAsia="zh-CN" w:bidi="ar"/>
        </w:rPr>
        <w:t>响应</w:t>
      </w:r>
      <w:r>
        <w:rPr>
          <w:rFonts w:hint="eastAsia" w:ascii="仿宋" w:hAnsi="仿宋" w:eastAsia="仿宋" w:cs="仿宋"/>
          <w:color w:val="000000"/>
          <w:kern w:val="0"/>
          <w:sz w:val="24"/>
          <w:u w:val="none"/>
          <w:lang w:bidi="ar"/>
        </w:rPr>
        <w:t>，联合体各方均需提供上述证明。</w:t>
      </w:r>
      <w:bookmarkEnd w:id="43"/>
      <w:bookmarkEnd w:id="44"/>
    </w:p>
    <w:p w14:paraId="630B09C0">
      <w:pPr>
        <w:rPr>
          <w:rFonts w:hint="eastAsia" w:ascii="仿宋" w:hAnsi="仿宋" w:eastAsia="仿宋" w:cs="仿宋"/>
          <w:color w:val="000000"/>
          <w:kern w:val="0"/>
          <w:sz w:val="24"/>
          <w:u w:val="none"/>
          <w:lang w:bidi="ar"/>
        </w:rPr>
      </w:pPr>
    </w:p>
    <w:p w14:paraId="288255FE">
      <w:pP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br w:type="page"/>
      </w:r>
    </w:p>
    <w:p w14:paraId="33399002">
      <w:pP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 xml:space="preserve">附件 </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eastAsia="zh-CN" w:bidi="ar"/>
        </w:rPr>
        <w:t>供应商</w:t>
      </w:r>
      <w:r>
        <w:rPr>
          <w:rFonts w:hint="eastAsia" w:ascii="仿宋" w:hAnsi="仿宋" w:eastAsia="仿宋" w:cs="仿宋"/>
          <w:color w:val="000000"/>
          <w:kern w:val="0"/>
          <w:sz w:val="24"/>
          <w:u w:val="none"/>
          <w:lang w:bidi="ar"/>
        </w:rPr>
        <w:t>资格声明书</w:t>
      </w:r>
    </w:p>
    <w:p w14:paraId="45A2A7EA">
      <w:pPr>
        <w:rPr>
          <w:rFonts w:hint="eastAsia" w:ascii="仿宋" w:hAnsi="仿宋" w:eastAsia="仿宋" w:cs="仿宋"/>
          <w:color w:val="000000"/>
          <w:kern w:val="0"/>
          <w:sz w:val="24"/>
          <w:u w:val="none"/>
          <w:lang w:bidi="ar"/>
        </w:rPr>
      </w:pPr>
    </w:p>
    <w:p w14:paraId="0CAB37AA">
      <w:pPr>
        <w:keepNext w:val="0"/>
        <w:keepLines w:val="0"/>
        <w:widowControl/>
        <w:suppressLineNumbers w:val="0"/>
        <w:jc w:val="center"/>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供应商资格声明书</w:t>
      </w:r>
    </w:p>
    <w:p w14:paraId="5AA539A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608FA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 xml:space="preserve">采购人或采购代理机构 </w:t>
      </w:r>
    </w:p>
    <w:p w14:paraId="26A965C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在参与本次项目采购活动中，我单位承诺： </w:t>
      </w:r>
    </w:p>
    <w:p w14:paraId="012E4F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（一）具有良好的商业信誉和健全的财务会计制度； </w:t>
      </w:r>
    </w:p>
    <w:p w14:paraId="42AD3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（二）具有履行合同所必需的设备和专业技术能力； </w:t>
      </w:r>
    </w:p>
    <w:p w14:paraId="16175A8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（三）有依法缴纳税收和社会保障资金的良好记录； </w:t>
      </w:r>
    </w:p>
    <w:p w14:paraId="600037E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4613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71C442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6B4E49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0DB4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9D839ED">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序号</w:t>
            </w:r>
          </w:p>
        </w:tc>
        <w:tc>
          <w:tcPr>
            <w:tcW w:w="3798" w:type="dxa"/>
            <w:vAlign w:val="center"/>
          </w:tcPr>
          <w:p w14:paraId="19CB5DF0">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单位名称</w:t>
            </w:r>
          </w:p>
        </w:tc>
        <w:tc>
          <w:tcPr>
            <w:tcW w:w="3406" w:type="dxa"/>
            <w:vAlign w:val="center"/>
          </w:tcPr>
          <w:p w14:paraId="075E80E8">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相互关系</w:t>
            </w:r>
          </w:p>
        </w:tc>
      </w:tr>
      <w:tr w14:paraId="0883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E1A9AAE">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1</w:t>
            </w:r>
          </w:p>
        </w:tc>
        <w:tc>
          <w:tcPr>
            <w:tcW w:w="3798" w:type="dxa"/>
          </w:tcPr>
          <w:p w14:paraId="2B88B6E6">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14:paraId="1A3F7279">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r w14:paraId="2568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6189E87">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2</w:t>
            </w:r>
          </w:p>
        </w:tc>
        <w:tc>
          <w:tcPr>
            <w:tcW w:w="3798" w:type="dxa"/>
          </w:tcPr>
          <w:p w14:paraId="56E4777A">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14:paraId="767BB6F1">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r w14:paraId="2B89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6DDE3129">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w:t>
            </w:r>
          </w:p>
        </w:tc>
        <w:tc>
          <w:tcPr>
            <w:tcW w:w="3798" w:type="dxa"/>
          </w:tcPr>
          <w:p w14:paraId="61A37CDB">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14:paraId="2180398A">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bl>
    <w:p w14:paraId="1328C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上述声明真实有效，否则我方负全部责任。 </w:t>
      </w:r>
    </w:p>
    <w:p w14:paraId="38DEC6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5DED9E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供应商名称：  </w:t>
      </w:r>
      <w:r>
        <w:rPr>
          <w:rFonts w:hint="eastAsia" w:ascii="仿宋" w:hAnsi="仿宋" w:eastAsia="仿宋" w:cs="仿宋"/>
          <w:i w:val="0"/>
          <w:iCs w:val="0"/>
          <w:color w:val="000000"/>
          <w:kern w:val="0"/>
          <w:sz w:val="24"/>
          <w:szCs w:val="24"/>
          <w:u w:val="single"/>
          <w:lang w:val="en-US" w:eastAsia="zh-CN" w:bidi="ar"/>
        </w:rPr>
        <w:t xml:space="preserve">                       </w:t>
      </w:r>
      <w:r>
        <w:rPr>
          <w:rFonts w:hint="eastAsia" w:ascii="仿宋" w:hAnsi="仿宋" w:eastAsia="仿宋" w:cs="仿宋"/>
          <w:color w:val="000000"/>
          <w:kern w:val="0"/>
          <w:sz w:val="24"/>
          <w:szCs w:val="24"/>
          <w:u w:val="single"/>
          <w:lang w:val="en-US" w:eastAsia="zh-CN" w:bidi="ar"/>
        </w:rPr>
        <w:t>（加盖公章）</w:t>
      </w:r>
    </w:p>
    <w:p w14:paraId="0771B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法定代表人或其授权代理人：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u w:val="single"/>
          <w:lang w:val="en-US" w:eastAsia="zh-CN" w:bidi="ar"/>
        </w:rPr>
        <w:tab/>
      </w:r>
      <w:r>
        <w:rPr>
          <w:rFonts w:hint="eastAsia" w:ascii="仿宋" w:hAnsi="仿宋" w:eastAsia="仿宋" w:cs="仿宋"/>
          <w:color w:val="000000"/>
          <w:kern w:val="0"/>
          <w:sz w:val="24"/>
          <w:szCs w:val="24"/>
          <w:u w:val="single"/>
          <w:lang w:val="en-US" w:eastAsia="zh-CN" w:bidi="ar"/>
        </w:rPr>
        <w:t>（签字或印鉴）</w:t>
      </w:r>
      <w:r>
        <w:rPr>
          <w:rFonts w:hint="eastAsia" w:ascii="仿宋" w:hAnsi="仿宋" w:eastAsia="仿宋" w:cs="仿宋"/>
          <w:color w:val="000000"/>
          <w:kern w:val="0"/>
          <w:sz w:val="24"/>
          <w:szCs w:val="24"/>
          <w:lang w:val="en-US" w:eastAsia="zh-CN" w:bidi="ar"/>
        </w:rPr>
        <w:tab/>
      </w:r>
    </w:p>
    <w:p w14:paraId="79CB6D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14:paraId="1B74850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p>
    <w:p w14:paraId="287530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说明：（1）单位负责人为同一人或者存在直接控股、管理关系的不同供应商，不得参加同一合同项下的政府采购活动。</w:t>
      </w:r>
    </w:p>
    <w:p w14:paraId="6118E0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（2）本条所指单位负责人为同一人指单位法定代表人或者法律、行政法规规定代表单位行使职权的主要负责人。</w:t>
      </w:r>
    </w:p>
    <w:p w14:paraId="02502C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（3）本条所指控股关系指单位或股东的控股关系。控股股东指:</w:t>
      </w:r>
    </w:p>
    <w:p w14:paraId="618FA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a.出资额占有限责任公司资本总额百分之五十以上或者其持有的股份占股份有限公司股本总额百分之五十以上的股东；</w:t>
      </w:r>
    </w:p>
    <w:p w14:paraId="7E784B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b.出资额或者持有股份的比例不足百分之五十，但其出资额或者持有的股份所享有的表决权已足以对股东会、股东大会的决议产生重大影响的股东。</w:t>
      </w:r>
    </w:p>
    <w:p w14:paraId="2A8E4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（4）本条所指管理关系指不具有出资持股关系的其他单位之间存在的管理与被管理关系。</w:t>
      </w:r>
    </w:p>
    <w:p w14:paraId="7BE2C9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（5）本条所指的控股、管理关系仅限于直接控股、直接管理关系，不包括间接控股或管理关系。</w:t>
      </w:r>
    </w:p>
    <w:p w14:paraId="7060D9D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（6）如无相关情况，请在相应栏填写“无”。</w:t>
      </w:r>
    </w:p>
    <w:p w14:paraId="26F43BE0">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12A9AD63">
      <w:pPr>
        <w:pStyle w:val="2"/>
        <w:spacing w:before="0" w:after="0"/>
        <w:jc w:val="left"/>
        <w:rPr>
          <w:rFonts w:hint="eastAsia" w:ascii="仿宋" w:hAnsi="仿宋" w:eastAsia="仿宋" w:cs="仿宋"/>
          <w:b w:val="0"/>
          <w:sz w:val="24"/>
          <w:szCs w:val="24"/>
          <w:lang w:val="zh-CN"/>
        </w:rPr>
      </w:pPr>
      <w:bookmarkStart w:id="45" w:name="_Toc21978"/>
      <w:bookmarkStart w:id="46" w:name="_Toc14014"/>
      <w:r>
        <w:rPr>
          <w:rFonts w:hint="eastAsia" w:ascii="仿宋" w:hAnsi="仿宋" w:eastAsia="仿宋" w:cs="仿宋"/>
          <w:b w:val="0"/>
          <w:sz w:val="24"/>
          <w:szCs w:val="24"/>
          <w:lang w:val="zh-CN"/>
        </w:rPr>
        <w:t>附件 1-</w:t>
      </w:r>
      <w:r>
        <w:rPr>
          <w:rFonts w:hint="eastAsia" w:ascii="仿宋" w:hAnsi="仿宋" w:eastAsia="仿宋" w:cs="仿宋"/>
          <w:b w:val="0"/>
          <w:sz w:val="24"/>
          <w:szCs w:val="24"/>
          <w:lang w:val="en-US" w:eastAsia="zh-CN"/>
        </w:rPr>
        <w:t xml:space="preserve">6  </w:t>
      </w:r>
      <w:r>
        <w:rPr>
          <w:rFonts w:hint="eastAsia" w:ascii="仿宋" w:hAnsi="仿宋" w:eastAsia="仿宋" w:cs="仿宋"/>
          <w:b w:val="0"/>
          <w:sz w:val="24"/>
          <w:szCs w:val="24"/>
          <w:lang w:val="zh-CN"/>
        </w:rPr>
        <w:t>不参与围标串标承诺书</w:t>
      </w:r>
    </w:p>
    <w:p w14:paraId="4F8360DB">
      <w:pPr>
        <w:pStyle w:val="2"/>
        <w:spacing w:before="0" w:after="0"/>
        <w:jc w:val="left"/>
        <w:rPr>
          <w:rFonts w:hint="default" w:ascii="仿宋" w:hAnsi="仿宋" w:eastAsia="仿宋" w:cs="仿宋"/>
          <w:b w:val="0"/>
          <w:sz w:val="24"/>
          <w:szCs w:val="24"/>
          <w:lang w:val="en-US" w:eastAsia="zh-CN"/>
        </w:rPr>
      </w:pPr>
    </w:p>
    <w:p w14:paraId="6D6EA90A">
      <w:pPr>
        <w:pStyle w:val="2"/>
        <w:spacing w:before="0" w:after="0"/>
        <w:jc w:val="center"/>
        <w:rPr>
          <w:rFonts w:hint="eastAsia" w:ascii="仿宋" w:hAnsi="仿宋" w:eastAsia="仿宋" w:cs="仿宋"/>
          <w:b/>
          <w:bCs/>
          <w:sz w:val="24"/>
          <w:szCs w:val="24"/>
          <w:lang w:val="zh-CN"/>
        </w:rPr>
      </w:pPr>
      <w:r>
        <w:rPr>
          <w:rFonts w:hint="eastAsia" w:ascii="仿宋" w:hAnsi="仿宋" w:eastAsia="仿宋" w:cs="仿宋"/>
          <w:b/>
          <w:bCs/>
          <w:sz w:val="24"/>
          <w:szCs w:val="24"/>
          <w:lang w:val="zh-CN"/>
        </w:rPr>
        <w:t>不参与围标串标承诺书</w:t>
      </w:r>
    </w:p>
    <w:p w14:paraId="0634E17F">
      <w:pPr>
        <w:autoSpaceDE w:val="0"/>
        <w:autoSpaceDN w:val="0"/>
        <w:adjustRightInd w:val="0"/>
        <w:spacing w:line="560" w:lineRule="exact"/>
        <w:ind w:left="480" w:left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为诚实、客观、有序地参与</w:t>
      </w:r>
      <w:r>
        <w:rPr>
          <w:rFonts w:hint="eastAsia" w:ascii="仿宋" w:hAnsi="仿宋" w:eastAsia="仿宋" w:cs="仿宋"/>
          <w:kern w:val="0"/>
          <w:sz w:val="24"/>
          <w:szCs w:val="24"/>
          <w:u w:val="single"/>
          <w:lang w:val="zh-CN"/>
        </w:rPr>
        <w:t xml:space="preserve">                     </w:t>
      </w:r>
      <w:r>
        <w:rPr>
          <w:rFonts w:hint="eastAsia" w:ascii="仿宋" w:hAnsi="仿宋" w:eastAsia="仿宋" w:cs="仿宋"/>
          <w:kern w:val="0"/>
          <w:sz w:val="24"/>
          <w:szCs w:val="24"/>
          <w:lang w:val="zh-CN"/>
        </w:rPr>
        <w:t>项目</w:t>
      </w:r>
    </w:p>
    <w:p w14:paraId="2F454600">
      <w:pPr>
        <w:autoSpaceDE w:val="0"/>
        <w:autoSpaceDN w:val="0"/>
        <w:adjustRightInd w:val="0"/>
        <w:spacing w:line="560" w:lineRule="exac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采购活动，愿就以下内容作出承诺：</w:t>
      </w:r>
    </w:p>
    <w:p w14:paraId="307B7006">
      <w:pPr>
        <w:autoSpaceDE w:val="0"/>
        <w:autoSpaceDN w:val="0"/>
        <w:adjustRightInd w:val="0"/>
        <w:spacing w:line="560" w:lineRule="exact"/>
        <w:ind w:firstLine="482"/>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一、严格遵守国家法律法规和行业规范，诚实守信，公平竞争，不参与任何形式的围标、串标行为，不与其他投标供应商存在控股、管理及其他关联关系。</w:t>
      </w:r>
    </w:p>
    <w:p w14:paraId="45ED144C">
      <w:pPr>
        <w:autoSpaceDE w:val="0"/>
        <w:autoSpaceDN w:val="0"/>
        <w:adjustRightInd w:val="0"/>
        <w:spacing w:line="560" w:lineRule="exact"/>
        <w:ind w:firstLine="482"/>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28E26D86">
      <w:pPr>
        <w:autoSpaceDE w:val="0"/>
        <w:autoSpaceDN w:val="0"/>
        <w:adjustRightInd w:val="0"/>
        <w:spacing w:line="560" w:lineRule="exact"/>
        <w:ind w:firstLine="482"/>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三、若在招标投标过程中发现其他投标人或相关方有围标、串标等违法行为，及时告知采购人或代理机构，积极配合调查。</w:t>
      </w:r>
    </w:p>
    <w:p w14:paraId="6B10E7E6">
      <w:pPr>
        <w:autoSpaceDE w:val="0"/>
        <w:autoSpaceDN w:val="0"/>
        <w:adjustRightInd w:val="0"/>
        <w:spacing w:line="560" w:lineRule="exact"/>
        <w:ind w:firstLine="482"/>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447971C7">
      <w:pPr>
        <w:autoSpaceDE w:val="0"/>
        <w:autoSpaceDN w:val="0"/>
        <w:adjustRightInd w:val="0"/>
        <w:spacing w:line="560" w:lineRule="exact"/>
        <w:rPr>
          <w:rFonts w:hint="eastAsia" w:ascii="仿宋" w:hAnsi="仿宋" w:eastAsia="仿宋" w:cs="仿宋"/>
          <w:bCs/>
          <w:kern w:val="0"/>
          <w:sz w:val="24"/>
          <w:szCs w:val="24"/>
          <w:lang w:val="zh-CN"/>
        </w:rPr>
      </w:pPr>
    </w:p>
    <w:p w14:paraId="061D9A0A">
      <w:pPr>
        <w:autoSpaceDE w:val="0"/>
        <w:autoSpaceDN w:val="0"/>
        <w:adjustRightInd w:val="0"/>
        <w:spacing w:line="560" w:lineRule="exac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供应商：                             （公章）</w:t>
      </w:r>
    </w:p>
    <w:p w14:paraId="38AB1FF0">
      <w:pPr>
        <w:autoSpaceDE w:val="0"/>
        <w:autoSpaceDN w:val="0"/>
        <w:adjustRightInd w:val="0"/>
        <w:spacing w:line="560" w:lineRule="exac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法定代表人或委托代理人：             （签字）</w:t>
      </w:r>
    </w:p>
    <w:p w14:paraId="0D72BF32">
      <w:pPr>
        <w:spacing w:line="560" w:lineRule="exact"/>
        <w:rPr>
          <w:rFonts w:hint="eastAsia" w:ascii="仿宋" w:hAnsi="仿宋" w:eastAsia="仿宋" w:cs="仿宋"/>
          <w:sz w:val="24"/>
          <w:szCs w:val="24"/>
        </w:rPr>
      </w:pPr>
      <w:r>
        <w:rPr>
          <w:rFonts w:hint="eastAsia" w:ascii="仿宋" w:hAnsi="仿宋" w:eastAsia="仿宋" w:cs="仿宋"/>
          <w:bCs/>
          <w:kern w:val="0"/>
          <w:sz w:val="24"/>
          <w:szCs w:val="24"/>
          <w:lang w:val="zh-CN"/>
        </w:rPr>
        <w:t xml:space="preserve">                                    年   月   日</w:t>
      </w:r>
    </w:p>
    <w:p w14:paraId="373332DC">
      <w:pPr>
        <w:rPr>
          <w:rFonts w:hint="eastAsia" w:ascii="仿宋" w:hAnsi="仿宋" w:eastAsia="仿宋" w:cs="仿宋"/>
          <w:color w:val="000000"/>
          <w:kern w:val="0"/>
          <w:highlight w:val="none"/>
          <w:lang w:bidi="ar"/>
        </w:rPr>
      </w:pPr>
      <w:r>
        <w:rPr>
          <w:rFonts w:hint="eastAsia" w:ascii="仿宋" w:hAnsi="仿宋" w:eastAsia="仿宋" w:cs="仿宋"/>
          <w:color w:val="000000"/>
          <w:kern w:val="0"/>
          <w:highlight w:val="none"/>
          <w:lang w:bidi="ar"/>
        </w:rPr>
        <w:br w:type="page"/>
      </w:r>
    </w:p>
    <w:p w14:paraId="49D1A077">
      <w:pPr>
        <w:rPr>
          <w:rFonts w:hint="eastAsia" w:ascii="仿宋" w:hAnsi="仿宋" w:eastAsia="仿宋" w:cs="仿宋"/>
          <w:b w:val="0"/>
          <w:sz w:val="24"/>
          <w:szCs w:val="24"/>
          <w:lang w:val="en-US" w:eastAsia="zh-CN"/>
        </w:rPr>
      </w:pPr>
      <w:r>
        <w:rPr>
          <w:rFonts w:hint="eastAsia" w:ascii="仿宋" w:hAnsi="仿宋" w:eastAsia="仿宋" w:cs="仿宋"/>
          <w:b w:val="0"/>
          <w:sz w:val="24"/>
          <w:szCs w:val="24"/>
          <w:lang w:val="zh-CN"/>
        </w:rPr>
        <w:t>附件 1-</w:t>
      </w:r>
      <w:r>
        <w:rPr>
          <w:rFonts w:hint="eastAsia" w:ascii="仿宋" w:hAnsi="仿宋" w:eastAsia="仿宋" w:cs="仿宋"/>
          <w:b w:val="0"/>
          <w:sz w:val="24"/>
          <w:szCs w:val="24"/>
          <w:lang w:val="en-US" w:eastAsia="zh-CN"/>
        </w:rPr>
        <w:t>7 供应商诚信承诺书</w:t>
      </w:r>
    </w:p>
    <w:p w14:paraId="44DFC6DD">
      <w:pPr>
        <w:autoSpaceDE w:val="0"/>
        <w:autoSpaceDN w:val="0"/>
        <w:adjustRightInd w:val="0"/>
        <w:spacing w:line="400" w:lineRule="exact"/>
        <w:jc w:val="center"/>
        <w:rPr>
          <w:rFonts w:ascii="仿宋" w:hAnsi="仿宋" w:eastAsia="仿宋" w:cs="仿宋"/>
          <w:color w:val="000000"/>
          <w:sz w:val="24"/>
          <w:szCs w:val="24"/>
        </w:rPr>
      </w:pPr>
      <w:r>
        <w:rPr>
          <w:rFonts w:hint="eastAsia" w:ascii="仿宋" w:hAnsi="仿宋" w:eastAsia="仿宋" w:cs="仿宋"/>
          <w:b/>
          <w:bCs/>
          <w:color w:val="000000"/>
          <w:sz w:val="24"/>
          <w:szCs w:val="24"/>
        </w:rPr>
        <w:t>供应商诚信承诺书</w:t>
      </w:r>
    </w:p>
    <w:p w14:paraId="43A60F09">
      <w:pPr>
        <w:autoSpaceDE w:val="0"/>
        <w:autoSpaceDN w:val="0"/>
        <w:adjustRightInd w:val="0"/>
        <w:spacing w:line="400" w:lineRule="exact"/>
        <w:ind w:firstLine="480"/>
        <w:rPr>
          <w:rFonts w:ascii="仿宋" w:hAnsi="仿宋" w:eastAsia="仿宋" w:cs="仿宋"/>
          <w:kern w:val="0"/>
          <w:sz w:val="24"/>
          <w:szCs w:val="24"/>
          <w:lang w:val="zh-CN"/>
        </w:rPr>
      </w:pPr>
      <w:bookmarkStart w:id="47" w:name="_Hlk182910040"/>
      <w:r>
        <w:rPr>
          <w:rFonts w:hint="eastAsia" w:ascii="仿宋" w:hAnsi="仿宋" w:eastAsia="仿宋" w:cs="仿宋"/>
          <w:kern w:val="0"/>
          <w:sz w:val="24"/>
          <w:szCs w:val="24"/>
          <w:lang w:val="zh-CN"/>
        </w:rPr>
        <w:t>为了诚实、客观、有序地参与</w:t>
      </w:r>
      <w:r>
        <w:rPr>
          <w:rFonts w:hint="eastAsia" w:ascii="仿宋" w:hAnsi="仿宋" w:eastAsia="仿宋" w:cs="仿宋"/>
          <w:sz w:val="24"/>
          <w:szCs w:val="24"/>
          <w:u w:val="single"/>
        </w:rPr>
        <w:t xml:space="preserve">                       </w:t>
      </w:r>
      <w:r>
        <w:rPr>
          <w:rFonts w:hint="eastAsia" w:ascii="仿宋" w:hAnsi="仿宋" w:eastAsia="仿宋" w:cs="仿宋"/>
          <w:sz w:val="24"/>
          <w:szCs w:val="24"/>
        </w:rPr>
        <w:t>项目</w:t>
      </w:r>
      <w:r>
        <w:rPr>
          <w:rFonts w:hint="eastAsia" w:ascii="仿宋" w:hAnsi="仿宋" w:eastAsia="仿宋" w:cs="仿宋"/>
          <w:kern w:val="0"/>
          <w:sz w:val="24"/>
          <w:szCs w:val="24"/>
          <w:lang w:val="zh-CN"/>
        </w:rPr>
        <w:t>采购活动，愿就以下内容作出承诺：</w:t>
      </w:r>
    </w:p>
    <w:bookmarkEnd w:id="47"/>
    <w:p w14:paraId="6EE92DB9">
      <w:pPr>
        <w:autoSpaceDE w:val="0"/>
        <w:autoSpaceDN w:val="0"/>
        <w:adjustRightInd w:val="0"/>
        <w:spacing w:line="400" w:lineRule="exact"/>
        <w:ind w:firstLine="480"/>
        <w:rPr>
          <w:rFonts w:ascii="仿宋" w:hAnsi="仿宋" w:eastAsia="仿宋" w:cs="仿宋"/>
          <w:kern w:val="0"/>
          <w:sz w:val="24"/>
          <w:szCs w:val="24"/>
          <w:lang w:val="zh-CN"/>
        </w:rPr>
      </w:pPr>
      <w:r>
        <w:rPr>
          <w:rFonts w:hint="eastAsia" w:ascii="仿宋" w:hAnsi="仿宋" w:eastAsia="仿宋" w:cs="仿宋"/>
          <w:kern w:val="0"/>
          <w:sz w:val="24"/>
          <w:szCs w:val="24"/>
          <w:lang w:val="zh-CN"/>
        </w:rPr>
        <w:t>一、自觉遵守各项法律、法规、规章、制度以及社会公德，维护廉洁环境，与同场竞争的供应商平等参加招采购活动。</w:t>
      </w:r>
    </w:p>
    <w:p w14:paraId="29C3164B">
      <w:pPr>
        <w:autoSpaceDE w:val="0"/>
        <w:autoSpaceDN w:val="0"/>
        <w:adjustRightInd w:val="0"/>
        <w:spacing w:line="400" w:lineRule="exact"/>
        <w:ind w:firstLine="480"/>
        <w:rPr>
          <w:rFonts w:ascii="仿宋" w:hAnsi="仿宋" w:eastAsia="仿宋" w:cs="仿宋"/>
          <w:kern w:val="0"/>
          <w:sz w:val="24"/>
          <w:szCs w:val="24"/>
          <w:lang w:val="zh-CN"/>
        </w:rPr>
      </w:pPr>
      <w:r>
        <w:rPr>
          <w:rFonts w:hint="eastAsia" w:ascii="仿宋" w:hAnsi="仿宋" w:eastAsia="仿宋" w:cs="仿宋"/>
          <w:kern w:val="0"/>
          <w:sz w:val="24"/>
          <w:szCs w:val="24"/>
          <w:lang w:val="zh-CN"/>
        </w:rPr>
        <w:t>二、参加采购代理机构组织的采购活动时，严格按照</w:t>
      </w:r>
      <w:r>
        <w:rPr>
          <w:rFonts w:hint="eastAsia" w:ascii="仿宋" w:hAnsi="仿宋" w:eastAsia="仿宋" w:cs="仿宋"/>
          <w:kern w:val="0"/>
          <w:sz w:val="24"/>
          <w:szCs w:val="24"/>
        </w:rPr>
        <w:t>招标</w:t>
      </w:r>
      <w:r>
        <w:rPr>
          <w:rFonts w:hint="eastAsia" w:ascii="仿宋" w:hAnsi="仿宋" w:eastAsia="仿宋" w:cs="仿宋"/>
          <w:kern w:val="0"/>
          <w:sz w:val="24"/>
          <w:szCs w:val="24"/>
          <w:lang w:val="zh-CN"/>
        </w:rPr>
        <w:t>文件的规定和要求提供所需的相关材料，并对所提供的各类资料的真实性负责，不虚假应标，不虚列业绩；不以他人名义投标或者以其他方式弄虚作假，骗取中标。</w:t>
      </w:r>
    </w:p>
    <w:p w14:paraId="1CF33483">
      <w:pPr>
        <w:autoSpaceDE w:val="0"/>
        <w:autoSpaceDN w:val="0"/>
        <w:adjustRightInd w:val="0"/>
        <w:spacing w:line="400" w:lineRule="exact"/>
        <w:ind w:firstLine="480"/>
        <w:rPr>
          <w:rFonts w:ascii="仿宋" w:hAnsi="仿宋" w:eastAsia="仿宋" w:cs="仿宋"/>
          <w:kern w:val="0"/>
          <w:sz w:val="24"/>
          <w:szCs w:val="24"/>
          <w:lang w:val="zh-CN"/>
        </w:rPr>
      </w:pPr>
      <w:r>
        <w:rPr>
          <w:rFonts w:hint="eastAsia" w:ascii="仿宋" w:hAnsi="仿宋" w:eastAsia="仿宋" w:cs="仿宋"/>
          <w:kern w:val="0"/>
          <w:sz w:val="24"/>
          <w:szCs w:val="24"/>
          <w:lang w:val="zh-CN"/>
        </w:rPr>
        <w:t>三、尊重参与采购活动各相关方的合法行为，接受采购活动依法形成的意见、结果。</w:t>
      </w:r>
    </w:p>
    <w:p w14:paraId="3EC454A9">
      <w:pPr>
        <w:autoSpaceDE w:val="0"/>
        <w:autoSpaceDN w:val="0"/>
        <w:adjustRightInd w:val="0"/>
        <w:spacing w:line="400" w:lineRule="exact"/>
        <w:ind w:firstLine="480"/>
        <w:rPr>
          <w:rFonts w:ascii="仿宋" w:hAnsi="仿宋" w:eastAsia="仿宋" w:cs="仿宋"/>
          <w:kern w:val="0"/>
          <w:sz w:val="24"/>
          <w:szCs w:val="24"/>
          <w:lang w:val="zh-CN"/>
        </w:rPr>
      </w:pPr>
      <w:bookmarkStart w:id="48" w:name="_Hlk182909516"/>
      <w:r>
        <w:rPr>
          <w:rFonts w:hint="eastAsia" w:ascii="仿宋" w:hAnsi="仿宋" w:eastAsia="仿宋" w:cs="仿宋"/>
          <w:kern w:val="0"/>
          <w:sz w:val="24"/>
          <w:szCs w:val="24"/>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48"/>
    <w:p w14:paraId="19C00019">
      <w:pPr>
        <w:autoSpaceDE w:val="0"/>
        <w:autoSpaceDN w:val="0"/>
        <w:adjustRightInd w:val="0"/>
        <w:spacing w:line="400" w:lineRule="exact"/>
        <w:ind w:firstLine="480"/>
        <w:rPr>
          <w:rFonts w:ascii="仿宋" w:hAnsi="仿宋" w:eastAsia="仿宋" w:cs="仿宋"/>
          <w:kern w:val="0"/>
          <w:sz w:val="24"/>
          <w:szCs w:val="24"/>
          <w:lang w:val="zh-CN"/>
        </w:rPr>
      </w:pPr>
      <w:r>
        <w:rPr>
          <w:rFonts w:hint="eastAsia" w:ascii="仿宋" w:hAnsi="仿宋" w:eastAsia="仿宋" w:cs="仿宋"/>
          <w:kern w:val="0"/>
          <w:sz w:val="24"/>
          <w:szCs w:val="24"/>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037F69A7">
      <w:pPr>
        <w:autoSpaceDE w:val="0"/>
        <w:autoSpaceDN w:val="0"/>
        <w:adjustRightInd w:val="0"/>
        <w:spacing w:line="400" w:lineRule="exact"/>
        <w:ind w:firstLine="480"/>
        <w:rPr>
          <w:rFonts w:ascii="仿宋" w:hAnsi="仿宋" w:eastAsia="仿宋" w:cs="仿宋"/>
          <w:kern w:val="0"/>
          <w:sz w:val="24"/>
          <w:szCs w:val="24"/>
          <w:lang w:val="zh-CN"/>
        </w:rPr>
      </w:pPr>
      <w:r>
        <w:rPr>
          <w:rFonts w:hint="eastAsia" w:ascii="仿宋" w:hAnsi="仿宋" w:eastAsia="仿宋" w:cs="仿宋"/>
          <w:kern w:val="0"/>
          <w:sz w:val="24"/>
          <w:szCs w:val="24"/>
          <w:lang w:val="zh-CN"/>
        </w:rPr>
        <w:t>六、积极推动采购活动健康开展，对采购活动有疑问、异议时，按法律规定的程序实名（加盖单位章和法定代表人签名）反映情况，不恶意中伤、无事生非，以和谐、平等的心态参加采购活动。</w:t>
      </w:r>
    </w:p>
    <w:p w14:paraId="402BFD8C">
      <w:pPr>
        <w:autoSpaceDE w:val="0"/>
        <w:autoSpaceDN w:val="0"/>
        <w:adjustRightInd w:val="0"/>
        <w:spacing w:line="400" w:lineRule="exact"/>
        <w:ind w:firstLine="480"/>
        <w:rPr>
          <w:rFonts w:ascii="仿宋" w:hAnsi="仿宋" w:eastAsia="仿宋" w:cs="仿宋"/>
          <w:kern w:val="0"/>
          <w:sz w:val="24"/>
          <w:szCs w:val="24"/>
          <w:lang w:val="zh-CN"/>
        </w:rPr>
      </w:pPr>
      <w:r>
        <w:rPr>
          <w:rFonts w:hint="eastAsia" w:ascii="仿宋" w:hAnsi="仿宋" w:eastAsia="仿宋" w:cs="仿宋"/>
          <w:kern w:val="0"/>
          <w:sz w:val="24"/>
          <w:szCs w:val="24"/>
          <w:lang w:val="zh-CN"/>
        </w:rPr>
        <w:t>七、认真履行成交人应承担的责任和义务，全面执行采购合同规定的各项内容，保质保量地按时提供采购物品。</w:t>
      </w:r>
    </w:p>
    <w:p w14:paraId="21784999">
      <w:pPr>
        <w:autoSpaceDE w:val="0"/>
        <w:autoSpaceDN w:val="0"/>
        <w:adjustRightInd w:val="0"/>
        <w:spacing w:line="400" w:lineRule="exact"/>
        <w:ind w:firstLine="480" w:firstLineChars="200"/>
        <w:rPr>
          <w:rFonts w:ascii="仿宋" w:hAnsi="仿宋" w:eastAsia="仿宋" w:cs="仿宋"/>
          <w:kern w:val="0"/>
          <w:sz w:val="24"/>
          <w:szCs w:val="24"/>
          <w:lang w:val="zh-CN"/>
        </w:rPr>
      </w:pPr>
      <w:r>
        <w:rPr>
          <w:rFonts w:hint="eastAsia" w:ascii="仿宋" w:hAnsi="仿宋" w:eastAsia="仿宋" w:cs="仿宋"/>
          <w:kern w:val="0"/>
          <w:sz w:val="24"/>
          <w:szCs w:val="24"/>
          <w:lang w:val="zh-CN"/>
        </w:rPr>
        <w:t>若本企业（单位）发生有悖于上述承诺的行为或形成恶意投诉，我们自愿接受《政府采购法》等有关法律法规中对供应商的相关处理：</w:t>
      </w:r>
      <w:bookmarkStart w:id="49" w:name="_Hlk182910718"/>
      <w:r>
        <w:rPr>
          <w:rFonts w:hint="eastAsia" w:ascii="仿宋" w:hAnsi="仿宋" w:eastAsia="仿宋" w:cs="仿宋"/>
          <w:kern w:val="0"/>
          <w:sz w:val="24"/>
          <w:szCs w:val="24"/>
          <w:lang w:val="zh-CN"/>
        </w:rPr>
        <w:t>自愿放弃中标资格、限制以后投标、记入不良信用档案、没收本次投标保证金，并愿意承担由此引起的其他法律责任。</w:t>
      </w:r>
      <w:bookmarkEnd w:id="49"/>
    </w:p>
    <w:p w14:paraId="5D8C3111">
      <w:pPr>
        <w:autoSpaceDE w:val="0"/>
        <w:autoSpaceDN w:val="0"/>
        <w:adjustRightInd w:val="0"/>
        <w:spacing w:line="400" w:lineRule="exact"/>
        <w:ind w:firstLine="4435" w:firstLineChars="1848"/>
        <w:rPr>
          <w:rFonts w:ascii="仿宋" w:hAnsi="仿宋" w:eastAsia="仿宋" w:cs="仿宋"/>
          <w:bCs/>
          <w:kern w:val="0"/>
          <w:sz w:val="24"/>
          <w:szCs w:val="24"/>
          <w:lang w:val="zh-CN"/>
        </w:rPr>
      </w:pPr>
      <w:bookmarkStart w:id="50" w:name="_Hlk182910783"/>
      <w:r>
        <w:rPr>
          <w:rFonts w:hint="eastAsia" w:ascii="仿宋" w:hAnsi="仿宋" w:eastAsia="仿宋" w:cs="仿宋"/>
          <w:bCs/>
          <w:kern w:val="0"/>
          <w:sz w:val="24"/>
          <w:szCs w:val="24"/>
          <w:lang w:val="zh-CN"/>
        </w:rPr>
        <w:t>供应商：             （公章）</w:t>
      </w:r>
    </w:p>
    <w:p w14:paraId="6CD88646">
      <w:pPr>
        <w:autoSpaceDE w:val="0"/>
        <w:autoSpaceDN w:val="0"/>
        <w:adjustRightInd w:val="0"/>
        <w:spacing w:line="400" w:lineRule="exact"/>
        <w:rPr>
          <w:rFonts w:ascii="仿宋" w:hAnsi="仿宋" w:eastAsia="仿宋" w:cs="仿宋"/>
          <w:bCs/>
          <w:kern w:val="0"/>
          <w:sz w:val="24"/>
          <w:szCs w:val="24"/>
          <w:lang w:val="zh-CN"/>
        </w:rPr>
      </w:pPr>
      <w:r>
        <w:rPr>
          <w:rFonts w:hint="eastAsia" w:ascii="仿宋" w:hAnsi="仿宋" w:eastAsia="仿宋" w:cs="仿宋"/>
          <w:bCs/>
          <w:kern w:val="0"/>
          <w:sz w:val="24"/>
          <w:szCs w:val="24"/>
          <w:lang w:val="zh-CN"/>
        </w:rPr>
        <w:t xml:space="preserve">                     法定代表人或委托代理人：             （签字）</w:t>
      </w:r>
    </w:p>
    <w:p w14:paraId="66AFCE18">
      <w:pPr>
        <w:rPr>
          <w:sz w:val="24"/>
          <w:szCs w:val="24"/>
        </w:rPr>
      </w:pPr>
      <w:r>
        <w:rPr>
          <w:rFonts w:hint="eastAsia" w:ascii="仿宋" w:hAnsi="仿宋" w:eastAsia="仿宋" w:cs="仿宋"/>
          <w:bCs/>
          <w:kern w:val="0"/>
          <w:sz w:val="24"/>
          <w:szCs w:val="24"/>
          <w:lang w:val="zh-CN"/>
        </w:rPr>
        <w:t xml:space="preserve">                                         年   月   日</w:t>
      </w:r>
      <w:bookmarkEnd w:id="50"/>
    </w:p>
    <w:p w14:paraId="1E65E75F">
      <w:pP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br w:type="page"/>
      </w:r>
    </w:p>
    <w:p w14:paraId="6AEE77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 落实政府采购政策需满足的资格要求（如有）</w:t>
      </w:r>
      <w:bookmarkEnd w:id="45"/>
      <w:bookmarkEnd w:id="46"/>
      <w:r>
        <w:rPr>
          <w:rFonts w:hint="eastAsia" w:ascii="仿宋" w:hAnsi="仿宋" w:eastAsia="仿宋" w:cs="仿宋"/>
          <w:color w:val="000000"/>
          <w:kern w:val="0"/>
          <w:sz w:val="24"/>
          <w:szCs w:val="24"/>
          <w:lang w:val="en-US" w:eastAsia="zh-CN" w:bidi="ar"/>
        </w:rPr>
        <w:t xml:space="preserve"> </w:t>
      </w:r>
    </w:p>
    <w:p w14:paraId="3FCA5E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2-1 中小企业声明函 </w:t>
      </w:r>
    </w:p>
    <w:p w14:paraId="3CA21E7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说明： </w:t>
      </w:r>
    </w:p>
    <w:p w14:paraId="5CED3FD8">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（1）如本项目（包）不专门面向中小企业预留采购份额，资格证明文件部分无需提供《中小企业声明函》。 </w:t>
      </w:r>
    </w:p>
    <w:p w14:paraId="747FE73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B9D220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4866EB9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级以上监狱管理局、戒毒管理局（含新疆生产建设兵团）出具的属于监狱企业</w:t>
      </w:r>
    </w:p>
    <w:p w14:paraId="346ADB5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的证明文件，还须同时提供《拟分包情况说明》及《分包意向协议》，且建议</w:t>
      </w:r>
    </w:p>
    <w:p w14:paraId="50A7C1D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在资格证明文件部分提供。 </w:t>
      </w:r>
    </w:p>
    <w:p w14:paraId="37EF00B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4CB6FDC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（5）中小企业声明函填写注意事项 </w:t>
      </w:r>
    </w:p>
    <w:p w14:paraId="4886890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04800D3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2）对于联合体中由中小企业承担的部分，或者分包给中小企业的部分，必须全</w:t>
      </w:r>
    </w:p>
    <w:p w14:paraId="0C59F27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部由中小企业制造、承建或者承接。供应商应当在声明函“标的名称”部分标明</w:t>
      </w:r>
    </w:p>
    <w:p w14:paraId="0AB0859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联合体中中小企业承担的具体内容或者中小企业的具体分包内容。 </w:t>
      </w:r>
    </w:p>
    <w:p w14:paraId="3137EE3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27DB9A4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F7FA460">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1222EA83">
      <w:pPr>
        <w:rPr>
          <w:rFonts w:hint="eastAsia" w:ascii="仿宋" w:hAnsi="仿宋" w:eastAsia="仿宋" w:cs="仿宋"/>
          <w:b w:val="0"/>
          <w:bCs w:val="0"/>
          <w:color w:val="000000"/>
          <w:kern w:val="0"/>
          <w:sz w:val="24"/>
          <w:szCs w:val="24"/>
          <w:lang w:val="en-US" w:eastAsia="zh-CN" w:bidi="ar"/>
        </w:rPr>
      </w:pPr>
    </w:p>
    <w:p w14:paraId="4199A4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中小企业声明函（服务）</w:t>
      </w:r>
    </w:p>
    <w:p w14:paraId="365EBC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02C03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本公司（联合体）郑重声明，根据《政府采购促进中小企业发展管理办法》 </w:t>
      </w:r>
    </w:p>
    <w:p w14:paraId="10D185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（财库﹝2020﹞46号）的规定，本公司（联合体）参加</w:t>
      </w:r>
      <w:r>
        <w:rPr>
          <w:rFonts w:hint="eastAsia" w:ascii="仿宋" w:hAnsi="仿宋" w:eastAsia="仿宋" w:cs="仿宋"/>
          <w:i/>
          <w:iCs/>
          <w:color w:val="000000"/>
          <w:kern w:val="0"/>
          <w:sz w:val="24"/>
          <w:szCs w:val="24"/>
          <w:u w:val="single"/>
          <w:lang w:val="en-US" w:eastAsia="zh-CN" w:bidi="ar"/>
        </w:rPr>
        <w:t>（单位名称）</w:t>
      </w:r>
      <w:r>
        <w:rPr>
          <w:rFonts w:hint="eastAsia" w:ascii="仿宋" w:hAnsi="仿宋" w:eastAsia="仿宋" w:cs="仿宋"/>
          <w:color w:val="000000"/>
          <w:kern w:val="0"/>
          <w:sz w:val="24"/>
          <w:szCs w:val="24"/>
          <w:lang w:val="en-US" w:eastAsia="zh-CN" w:bidi="ar"/>
        </w:rPr>
        <w:t>的</w:t>
      </w:r>
      <w:r>
        <w:rPr>
          <w:rFonts w:hint="eastAsia" w:ascii="仿宋" w:hAnsi="仿宋" w:eastAsia="仿宋" w:cs="仿宋"/>
          <w:i/>
          <w:iCs/>
          <w:color w:val="000000"/>
          <w:kern w:val="0"/>
          <w:sz w:val="24"/>
          <w:szCs w:val="24"/>
          <w:u w:val="single"/>
          <w:lang w:val="en-US" w:eastAsia="zh-CN" w:bidi="ar"/>
        </w:rPr>
        <w:t>（项目名称）</w:t>
      </w:r>
      <w:r>
        <w:rPr>
          <w:rFonts w:hint="eastAsia" w:ascii="仿宋" w:hAnsi="仿宋" w:eastAsia="仿宋" w:cs="仿宋"/>
          <w:color w:val="000000"/>
          <w:kern w:val="0"/>
          <w:sz w:val="24"/>
          <w:szCs w:val="24"/>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4FF20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 </w:t>
      </w:r>
      <w:r>
        <w:rPr>
          <w:rFonts w:hint="eastAsia" w:ascii="仿宋" w:hAnsi="仿宋" w:eastAsia="仿宋" w:cs="仿宋"/>
          <w:i/>
          <w:iCs/>
          <w:color w:val="000000"/>
          <w:kern w:val="0"/>
          <w:sz w:val="24"/>
          <w:szCs w:val="24"/>
          <w:u w:val="single"/>
          <w:lang w:val="en-US" w:eastAsia="zh-CN" w:bidi="ar"/>
        </w:rPr>
        <w:t>（标的名称）</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i/>
          <w:iCs/>
          <w:color w:val="000000"/>
          <w:kern w:val="0"/>
          <w:sz w:val="24"/>
          <w:szCs w:val="24"/>
          <w:u w:val="single"/>
          <w:lang w:val="en-US" w:eastAsia="zh-CN" w:bidi="ar"/>
        </w:rPr>
        <w:t>（采购文件中明确的所属行业）</w:t>
      </w:r>
      <w:r>
        <w:rPr>
          <w:rFonts w:hint="eastAsia" w:ascii="仿宋" w:hAnsi="仿宋" w:eastAsia="仿宋" w:cs="仿宋"/>
          <w:color w:val="000000"/>
          <w:kern w:val="0"/>
          <w:sz w:val="24"/>
          <w:szCs w:val="24"/>
          <w:lang w:val="en-US" w:eastAsia="zh-CN" w:bidi="ar"/>
        </w:rPr>
        <w:t xml:space="preserve">；承建（承接）企业 </w:t>
      </w:r>
    </w:p>
    <w:p w14:paraId="775EDE4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为</w:t>
      </w:r>
      <w:r>
        <w:rPr>
          <w:rFonts w:hint="eastAsia" w:ascii="仿宋" w:hAnsi="仿宋" w:eastAsia="仿宋" w:cs="仿宋"/>
          <w:i/>
          <w:iCs/>
          <w:color w:val="000000"/>
          <w:kern w:val="0"/>
          <w:sz w:val="24"/>
          <w:szCs w:val="24"/>
          <w:u w:val="single"/>
          <w:lang w:val="en-US" w:eastAsia="zh-CN" w:bidi="ar"/>
        </w:rPr>
        <w:t>（企业名称）</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为万元，属于</w:t>
      </w:r>
      <w:r>
        <w:rPr>
          <w:rFonts w:hint="eastAsia" w:ascii="仿宋" w:hAnsi="仿宋" w:eastAsia="仿宋" w:cs="仿宋"/>
          <w:i/>
          <w:iCs/>
          <w:color w:val="000000"/>
          <w:kern w:val="0"/>
          <w:sz w:val="24"/>
          <w:szCs w:val="24"/>
          <w:u w:val="single"/>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14:paraId="134048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 </w:t>
      </w:r>
      <w:r>
        <w:rPr>
          <w:rFonts w:hint="eastAsia" w:ascii="仿宋" w:hAnsi="仿宋" w:eastAsia="仿宋" w:cs="仿宋"/>
          <w:i/>
          <w:iCs/>
          <w:color w:val="000000"/>
          <w:kern w:val="0"/>
          <w:sz w:val="24"/>
          <w:szCs w:val="24"/>
          <w:u w:val="single"/>
          <w:lang w:val="en-US" w:eastAsia="zh-CN" w:bidi="ar"/>
        </w:rPr>
        <w:t>（标的名称）</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i/>
          <w:iCs/>
          <w:color w:val="000000"/>
          <w:kern w:val="0"/>
          <w:sz w:val="24"/>
          <w:szCs w:val="24"/>
          <w:u w:val="single"/>
          <w:lang w:val="en-US" w:eastAsia="zh-CN" w:bidi="ar"/>
        </w:rPr>
        <w:t>（采购文件中明确的所属行业）</w:t>
      </w:r>
      <w:r>
        <w:rPr>
          <w:rFonts w:hint="eastAsia" w:ascii="仿宋" w:hAnsi="仿宋" w:eastAsia="仿宋" w:cs="仿宋"/>
          <w:color w:val="000000"/>
          <w:kern w:val="0"/>
          <w:sz w:val="24"/>
          <w:szCs w:val="24"/>
          <w:lang w:val="en-US" w:eastAsia="zh-CN" w:bidi="ar"/>
        </w:rPr>
        <w:t>；承建（承接）企业</w:t>
      </w:r>
    </w:p>
    <w:p w14:paraId="79D75F6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为</w:t>
      </w:r>
      <w:r>
        <w:rPr>
          <w:rFonts w:hint="eastAsia" w:ascii="仿宋" w:hAnsi="仿宋" w:eastAsia="仿宋" w:cs="仿宋"/>
          <w:i/>
          <w:iCs/>
          <w:color w:val="000000"/>
          <w:kern w:val="0"/>
          <w:sz w:val="24"/>
          <w:szCs w:val="24"/>
          <w:u w:val="single"/>
          <w:lang w:val="en-US" w:eastAsia="zh-CN" w:bidi="ar"/>
        </w:rPr>
        <w:t>（企业名称）</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为万元，属于</w:t>
      </w:r>
      <w:r>
        <w:rPr>
          <w:rFonts w:hint="eastAsia" w:ascii="仿宋" w:hAnsi="仿宋" w:eastAsia="仿宋" w:cs="仿宋"/>
          <w:i/>
          <w:iCs/>
          <w:color w:val="000000"/>
          <w:kern w:val="0"/>
          <w:sz w:val="24"/>
          <w:szCs w:val="24"/>
          <w:u w:val="single"/>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14:paraId="207802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w:t>
      </w:r>
    </w:p>
    <w:p w14:paraId="3F3485E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以上企业，不属于大企业的分支机构，不存在控股股东为大企业的情形， </w:t>
      </w:r>
    </w:p>
    <w:p w14:paraId="0B6A3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也不存在与大企业的负责人为同一人的情形。 </w:t>
      </w:r>
    </w:p>
    <w:p w14:paraId="6ED4D4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本企业对上述声明内容的真实性负责。如有虚假，将依法承担相应责任。</w:t>
      </w:r>
    </w:p>
    <w:p w14:paraId="50C40EAC">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 xml:space="preserve"> </w:t>
      </w:r>
    </w:p>
    <w:p w14:paraId="0ADEF563">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u w:val="single"/>
          <w:lang w:val="en-US" w:eastAsia="zh-CN"/>
        </w:rPr>
      </w:pPr>
      <w:r>
        <w:rPr>
          <w:rFonts w:hint="eastAsia" w:ascii="仿宋" w:hAnsi="仿宋" w:eastAsia="仿宋" w:cs="仿宋"/>
          <w:i w:val="0"/>
          <w:iCs w:val="0"/>
          <w:caps w:val="0"/>
          <w:color w:val="000000"/>
          <w:spacing w:val="0"/>
          <w:sz w:val="24"/>
          <w:szCs w:val="24"/>
          <w:lang w:val="en-US" w:eastAsia="zh-CN"/>
        </w:rPr>
        <w:t xml:space="preserve">             </w:t>
      </w:r>
      <w:r>
        <w:rPr>
          <w:rFonts w:hint="eastAsia" w:ascii="仿宋" w:hAnsi="仿宋" w:eastAsia="仿宋" w:cs="仿宋"/>
          <w:i w:val="0"/>
          <w:iCs w:val="0"/>
          <w:caps w:val="0"/>
          <w:color w:val="000000"/>
          <w:spacing w:val="0"/>
          <w:sz w:val="24"/>
          <w:szCs w:val="24"/>
        </w:rPr>
        <w:t>企业名称（盖章）：</w:t>
      </w:r>
      <w:r>
        <w:rPr>
          <w:rFonts w:hint="eastAsia" w:ascii="仿宋" w:hAnsi="仿宋" w:eastAsia="仿宋" w:cs="仿宋"/>
          <w:i w:val="0"/>
          <w:iCs w:val="0"/>
          <w:caps w:val="0"/>
          <w:color w:val="000000"/>
          <w:spacing w:val="0"/>
          <w:sz w:val="24"/>
          <w:szCs w:val="24"/>
          <w:u w:val="single"/>
          <w:lang w:val="en-US" w:eastAsia="zh-CN"/>
        </w:rPr>
        <w:t xml:space="preserve">          </w:t>
      </w:r>
    </w:p>
    <w:p w14:paraId="3A444A97">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000000"/>
          <w:spacing w:val="0"/>
          <w:sz w:val="27"/>
          <w:szCs w:val="27"/>
          <w:u w:val="single"/>
          <w:lang w:val="en-US" w:eastAsia="zh-CN"/>
        </w:rPr>
      </w:pPr>
      <w:r>
        <w:rPr>
          <w:rFonts w:hint="eastAsia" w:ascii="仿宋" w:hAnsi="仿宋" w:eastAsia="仿宋" w:cs="仿宋"/>
          <w:i w:val="0"/>
          <w:iCs w:val="0"/>
          <w:caps w:val="0"/>
          <w:color w:val="000000"/>
          <w:spacing w:val="0"/>
          <w:sz w:val="24"/>
          <w:szCs w:val="24"/>
        </w:rPr>
        <w:t>日期：</w:t>
      </w:r>
      <w:r>
        <w:rPr>
          <w:rFonts w:hint="eastAsia" w:ascii="仿宋" w:hAnsi="仿宋" w:eastAsia="仿宋" w:cs="仿宋"/>
          <w:i w:val="0"/>
          <w:iCs w:val="0"/>
          <w:caps w:val="0"/>
          <w:color w:val="000000"/>
          <w:spacing w:val="0"/>
          <w:sz w:val="24"/>
          <w:szCs w:val="24"/>
          <w:u w:val="single"/>
          <w:lang w:val="en-US" w:eastAsia="zh-CN"/>
        </w:rPr>
        <w:t xml:space="preserve">         </w:t>
      </w:r>
    </w:p>
    <w:p w14:paraId="70D4D751">
      <w:pPr>
        <w:rPr>
          <w:rFonts w:hint="eastAsia" w:ascii="仿宋" w:hAnsi="仿宋" w:eastAsia="仿宋" w:cs="仿宋"/>
          <w:b w:val="0"/>
          <w:bCs w:val="0"/>
          <w:color w:val="000000"/>
          <w:kern w:val="0"/>
          <w:sz w:val="21"/>
          <w:szCs w:val="21"/>
          <w:lang w:val="en-US" w:eastAsia="zh-CN" w:bidi="ar"/>
        </w:rPr>
      </w:pPr>
    </w:p>
    <w:p w14:paraId="6319D799">
      <w:pPr>
        <w:rPr>
          <w:rFonts w:hint="eastAsia" w:ascii="仿宋" w:hAnsi="仿宋" w:eastAsia="仿宋" w:cs="仿宋"/>
          <w:b w:val="0"/>
          <w:bCs w:val="0"/>
          <w:color w:val="000000"/>
          <w:kern w:val="0"/>
          <w:sz w:val="21"/>
          <w:szCs w:val="21"/>
          <w:lang w:val="en-US" w:eastAsia="zh-CN" w:bidi="ar"/>
        </w:rPr>
      </w:pPr>
    </w:p>
    <w:p w14:paraId="550714B7">
      <w:pPr>
        <w:rPr>
          <w:rFonts w:hint="eastAsia" w:ascii="仿宋" w:hAnsi="仿宋" w:eastAsia="仿宋" w:cs="仿宋"/>
          <w:b w:val="0"/>
          <w:bCs w:val="0"/>
          <w:color w:val="000000"/>
          <w:kern w:val="0"/>
          <w:sz w:val="21"/>
          <w:szCs w:val="21"/>
          <w:lang w:val="en-US" w:eastAsia="zh-CN" w:bidi="ar"/>
        </w:rPr>
      </w:pPr>
    </w:p>
    <w:p w14:paraId="4695562F">
      <w:pPr>
        <w:rPr>
          <w:rFonts w:hint="eastAsia" w:ascii="仿宋" w:hAnsi="仿宋" w:eastAsia="仿宋" w:cs="仿宋"/>
          <w:b w:val="0"/>
          <w:bCs w:val="0"/>
          <w:color w:val="000000"/>
          <w:kern w:val="0"/>
          <w:sz w:val="21"/>
          <w:szCs w:val="21"/>
          <w:lang w:val="en-US" w:eastAsia="zh-CN" w:bidi="ar"/>
        </w:rPr>
      </w:pPr>
    </w:p>
    <w:p w14:paraId="0D4D98E9">
      <w:pPr>
        <w:rPr>
          <w:rFonts w:hint="eastAsia" w:ascii="仿宋" w:hAnsi="仿宋" w:eastAsia="仿宋" w:cs="仿宋"/>
          <w:b w:val="0"/>
          <w:bCs w:val="0"/>
          <w:color w:val="000000"/>
          <w:kern w:val="0"/>
          <w:sz w:val="21"/>
          <w:szCs w:val="21"/>
          <w:lang w:val="en-US" w:eastAsia="zh-CN" w:bidi="ar"/>
        </w:rPr>
      </w:pPr>
    </w:p>
    <w:p w14:paraId="27071D77">
      <w:pPr>
        <w:rPr>
          <w:rFonts w:hint="eastAsia" w:ascii="仿宋" w:hAnsi="仿宋" w:eastAsia="仿宋" w:cs="仿宋"/>
          <w:b w:val="0"/>
          <w:bCs w:val="0"/>
          <w:color w:val="000000"/>
          <w:kern w:val="0"/>
          <w:sz w:val="21"/>
          <w:szCs w:val="21"/>
          <w:lang w:val="en-US" w:eastAsia="zh-CN" w:bidi="ar"/>
        </w:rPr>
      </w:pPr>
    </w:p>
    <w:p w14:paraId="1E783AF9">
      <w:pPr>
        <w:rPr>
          <w:rFonts w:hint="eastAsia" w:ascii="仿宋" w:hAnsi="仿宋" w:eastAsia="仿宋" w:cs="仿宋"/>
          <w:b w:val="0"/>
          <w:bCs w:val="0"/>
          <w:color w:val="000000"/>
          <w:kern w:val="0"/>
          <w:sz w:val="21"/>
          <w:szCs w:val="21"/>
          <w:lang w:val="en-US" w:eastAsia="zh-CN" w:bidi="ar"/>
        </w:rPr>
      </w:pPr>
    </w:p>
    <w:p w14:paraId="47BC68C5">
      <w:pPr>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从业人员、营业收入、资产总额填报上一年度数据，无上一年度数据的新成立企业可不填报。</w:t>
      </w:r>
    </w:p>
    <w:p w14:paraId="78AD7350">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470EE625">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残疾人福利性单位声明函格式</w:t>
      </w:r>
    </w:p>
    <w:p w14:paraId="137C18B1">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p>
    <w:p w14:paraId="151640E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lang w:val="en-US" w:eastAsia="zh-CN" w:bidi="ar"/>
        </w:rPr>
        <w:t>（请进行勾选）</w:t>
      </w:r>
      <w:r>
        <w:rPr>
          <w:rFonts w:hint="eastAsia" w:ascii="仿宋" w:hAnsi="仿宋" w:eastAsia="仿宋" w:cs="仿宋"/>
          <w:color w:val="000000"/>
          <w:kern w:val="0"/>
          <w:sz w:val="24"/>
          <w:szCs w:val="24"/>
          <w:lang w:val="en-US" w:eastAsia="zh-CN" w:bidi="ar"/>
        </w:rPr>
        <w:t xml:space="preserve">： </w:t>
      </w:r>
    </w:p>
    <w:p w14:paraId="231C4F40">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□不属于符合条件的残疾人福利性单位。 </w:t>
      </w:r>
    </w:p>
    <w:p w14:paraId="2607134B">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□属于符合条件的残疾人福利性单位，</w:t>
      </w:r>
      <w:r>
        <w:rPr>
          <w:rFonts w:hint="eastAsia" w:ascii="仿宋" w:hAnsi="仿宋" w:eastAsia="仿宋" w:cs="仿宋"/>
          <w:color w:val="000000"/>
          <w:kern w:val="0"/>
          <w:sz w:val="24"/>
          <w:szCs w:val="24"/>
          <w:lang w:val="en-US" w:eastAsia="zh-CN" w:bidi="ar"/>
        </w:rPr>
        <w:t>且本单位参加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单位的</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0657B8F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本单位对上述声明的真实性负责。如有虚假，将依法承担相应责任。 </w:t>
      </w:r>
    </w:p>
    <w:p w14:paraId="07D4088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373E84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345D1B4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单位名称（盖章）：</w:t>
      </w:r>
    </w:p>
    <w:p w14:paraId="302BFB6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日期：</w:t>
      </w:r>
    </w:p>
    <w:p w14:paraId="2917D06F">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57990C52">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2-2其它落实政府采购政策的资格要求（如有）</w:t>
      </w:r>
    </w:p>
    <w:p w14:paraId="414F87C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2078044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7191105A">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38A765CE">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  本项目的特定资格要求（如有） </w:t>
      </w:r>
    </w:p>
    <w:p w14:paraId="0667C85F">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35008589">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59B54044">
      <w:pPr>
        <w:keepNext w:val="0"/>
        <w:keepLines w:val="0"/>
        <w:widowControl/>
        <w:suppressLineNumbers w:val="0"/>
        <w:jc w:val="left"/>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4  投标保证金凭证/交款单据电子件/保函</w:t>
      </w:r>
    </w:p>
    <w:p w14:paraId="6C80EB69">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6DB9DA3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4F0914A7">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387EF68D">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645DCDD7">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5  投标书 </w:t>
      </w:r>
    </w:p>
    <w:p w14:paraId="571AF1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14:paraId="65AFDC2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投标书</w:t>
      </w:r>
    </w:p>
    <w:p w14:paraId="58DC95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041EF4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（采购人或采购代理机构）</w:t>
      </w:r>
      <w:r>
        <w:rPr>
          <w:rFonts w:hint="eastAsia" w:ascii="仿宋" w:hAnsi="仿宋" w:eastAsia="仿宋" w:cs="仿宋"/>
          <w:color w:val="000000"/>
          <w:kern w:val="0"/>
          <w:sz w:val="24"/>
          <w:szCs w:val="24"/>
          <w:lang w:val="en-US" w:eastAsia="zh-CN" w:bidi="ar"/>
        </w:rPr>
        <w:t xml:space="preserve"> </w:t>
      </w:r>
    </w:p>
    <w:p w14:paraId="22CF0B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我方参加你方就</w:t>
      </w:r>
      <w:r>
        <w:rPr>
          <w:rFonts w:hint="eastAsia" w:ascii="仿宋" w:hAnsi="仿宋" w:eastAsia="仿宋" w:cs="仿宋"/>
          <w:color w:val="000000"/>
          <w:kern w:val="0"/>
          <w:sz w:val="24"/>
          <w:szCs w:val="24"/>
          <w:u w:val="single"/>
          <w:lang w:val="en-US" w:eastAsia="zh-CN" w:bidi="ar"/>
        </w:rPr>
        <w:t>（项目名称，项目编号）</w:t>
      </w:r>
      <w:r>
        <w:rPr>
          <w:rFonts w:hint="eastAsia" w:ascii="仿宋" w:hAnsi="仿宋" w:eastAsia="仿宋" w:cs="仿宋"/>
          <w:color w:val="000000"/>
          <w:kern w:val="0"/>
          <w:sz w:val="24"/>
          <w:szCs w:val="24"/>
          <w:lang w:val="en-US" w:eastAsia="zh-CN" w:bidi="ar"/>
        </w:rPr>
        <w:t xml:space="preserve">组织的采购活动，并对此项目进行投标响应。 </w:t>
      </w:r>
    </w:p>
    <w:p w14:paraId="6544DA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51" w:name="_Toc31541"/>
      <w:bookmarkStart w:id="52" w:name="_Toc962"/>
      <w:r>
        <w:rPr>
          <w:rFonts w:hint="eastAsia" w:ascii="仿宋" w:hAnsi="仿宋" w:eastAsia="仿宋" w:cs="仿宋"/>
          <w:color w:val="000000"/>
          <w:kern w:val="0"/>
          <w:sz w:val="24"/>
          <w:szCs w:val="24"/>
          <w:lang w:val="en-US" w:eastAsia="zh-CN" w:bidi="ar"/>
        </w:rPr>
        <w:t>1. 我方已详细审查全部采购文件，自愿参与投标响应并承诺如下：</w:t>
      </w:r>
      <w:bookmarkEnd w:id="51"/>
      <w:bookmarkEnd w:id="52"/>
      <w:r>
        <w:rPr>
          <w:rFonts w:hint="eastAsia" w:ascii="仿宋" w:hAnsi="仿宋" w:eastAsia="仿宋" w:cs="仿宋"/>
          <w:color w:val="000000"/>
          <w:kern w:val="0"/>
          <w:sz w:val="24"/>
          <w:szCs w:val="24"/>
          <w:lang w:val="en-US" w:eastAsia="zh-CN" w:bidi="ar"/>
        </w:rPr>
        <w:t xml:space="preserve"> </w:t>
      </w:r>
    </w:p>
    <w:p w14:paraId="22839B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（1）本响应有效期为自提交响应文件的截止之日起</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个日历日。 </w:t>
      </w:r>
    </w:p>
    <w:p w14:paraId="418C3E4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（2）除合同条款及采购需求偏离表列出的偏离外，我方响应采购文件的全部要求。 </w:t>
      </w:r>
    </w:p>
    <w:p w14:paraId="69C23D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（3）我方已提供的全部文件资料是真实、准确的，并对此承担一切法律后果。 </w:t>
      </w:r>
    </w:p>
    <w:p w14:paraId="4E4072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（4）如我方成交，我方将在法律规定的期限内与你方签订合同，按照采购文件要求提交履约保证金，并在合同约定的期限内完成合同规定的全部义务。 </w:t>
      </w:r>
    </w:p>
    <w:p w14:paraId="129AE3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53" w:name="_Toc7839"/>
      <w:bookmarkStart w:id="54" w:name="_Toc30568"/>
      <w:r>
        <w:rPr>
          <w:rFonts w:hint="eastAsia" w:ascii="仿宋" w:hAnsi="仿宋" w:eastAsia="仿宋" w:cs="仿宋"/>
          <w:color w:val="000000"/>
          <w:kern w:val="0"/>
          <w:sz w:val="24"/>
          <w:szCs w:val="24"/>
          <w:lang w:val="en-US" w:eastAsia="zh-CN" w:bidi="ar"/>
        </w:rPr>
        <w:t>2. 其他补充条款（如有）：</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w:t>
      </w:r>
      <w:bookmarkEnd w:id="53"/>
      <w:bookmarkEnd w:id="54"/>
      <w:r>
        <w:rPr>
          <w:rFonts w:hint="eastAsia" w:ascii="仿宋" w:hAnsi="仿宋" w:eastAsia="仿宋" w:cs="仿宋"/>
          <w:color w:val="000000"/>
          <w:kern w:val="0"/>
          <w:sz w:val="24"/>
          <w:szCs w:val="24"/>
          <w:lang w:val="en-US" w:eastAsia="zh-CN" w:bidi="ar"/>
        </w:rPr>
        <w:t xml:space="preserve"> </w:t>
      </w:r>
    </w:p>
    <w:p w14:paraId="2321925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与本投标有关的一切正式往来信函请寄： </w:t>
      </w:r>
    </w:p>
    <w:p w14:paraId="5F778CD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地址</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传真</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32661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电话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电子函件</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7163E2E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75889B8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供应商名称（加盖公章） </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774433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14:paraId="52E82237">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117668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55" w:name="_Toc19816"/>
      <w:bookmarkStart w:id="56" w:name="_Toc26890"/>
      <w:r>
        <w:rPr>
          <w:rFonts w:hint="eastAsia" w:ascii="仿宋" w:hAnsi="仿宋" w:eastAsia="仿宋" w:cs="仿宋"/>
          <w:color w:val="000000"/>
          <w:kern w:val="0"/>
          <w:sz w:val="24"/>
          <w:szCs w:val="24"/>
          <w:lang w:val="en-US" w:eastAsia="zh-CN" w:bidi="ar"/>
        </w:rPr>
        <w:t>6  授权委托书</w:t>
      </w:r>
      <w:bookmarkEnd w:id="55"/>
      <w:bookmarkEnd w:id="56"/>
      <w:r>
        <w:rPr>
          <w:rFonts w:hint="eastAsia" w:ascii="仿宋" w:hAnsi="仿宋" w:eastAsia="仿宋" w:cs="仿宋"/>
          <w:color w:val="000000"/>
          <w:kern w:val="0"/>
          <w:sz w:val="24"/>
          <w:szCs w:val="24"/>
          <w:lang w:val="en-US" w:eastAsia="zh-CN" w:bidi="ar"/>
        </w:rPr>
        <w:t xml:space="preserve"> </w:t>
      </w:r>
    </w:p>
    <w:p w14:paraId="665C0AB5">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lang w:val="en-US" w:eastAsia="zh-CN" w:bidi="ar"/>
        </w:rPr>
      </w:pPr>
    </w:p>
    <w:p w14:paraId="5DB2DE7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授权委托书</w:t>
      </w:r>
    </w:p>
    <w:p w14:paraId="479147E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14:paraId="18E8413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（姓名）系</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（供应商名称）的法定代表人（单位负责人），现委托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u w:val="single"/>
          <w:lang w:val="en-US" w:eastAsia="zh-CN" w:bidi="ar"/>
        </w:rPr>
        <w:t xml:space="preserve">           （项目名称）</w:t>
      </w:r>
      <w:r>
        <w:rPr>
          <w:rFonts w:hint="eastAsia" w:ascii="仿宋" w:hAnsi="仿宋" w:eastAsia="仿宋" w:cs="仿宋"/>
          <w:color w:val="000000"/>
          <w:kern w:val="0"/>
          <w:sz w:val="24"/>
          <w:szCs w:val="24"/>
          <w:lang w:val="en-US" w:eastAsia="zh-CN" w:bidi="ar"/>
        </w:rPr>
        <w:t xml:space="preserve">响应文件和处理有关事宜，其法律后果由我方承担。 </w:t>
      </w:r>
    </w:p>
    <w:p w14:paraId="51506BA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委托期限：自本授权委托书签署之日起至响应有效期届满之日止。 </w:t>
      </w:r>
    </w:p>
    <w:p w14:paraId="35517EF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代理人无转委托权。 </w:t>
      </w:r>
    </w:p>
    <w:p w14:paraId="30E314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302F20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供应商名称（加盖公章）：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E7B40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法定代表人（单位负责人）（签字或印鉴）：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550B223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委托代理人（签字或印鉴）：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6D7C8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14:paraId="4745363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69469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4AD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073C6A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c>
          <w:tcPr>
            <w:tcW w:w="4261" w:type="dxa"/>
          </w:tcPr>
          <w:p w14:paraId="21C053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r>
    </w:tbl>
    <w:p w14:paraId="1A62CC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委托代理人有效期内的身份证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1A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45404A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c>
          <w:tcPr>
            <w:tcW w:w="4261" w:type="dxa"/>
          </w:tcPr>
          <w:p w14:paraId="4B962E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r>
    </w:tbl>
    <w:p w14:paraId="0D034A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说明：1.若供应商为事业单位或其他组织或分支机构（仅当招标文件注明允许分支机构投标的），则法定代表人（单位负责人）处的签署人可为单位负责人。 </w:t>
      </w:r>
    </w:p>
    <w:p w14:paraId="110D51C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5984C2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57" w:name="_Toc24165"/>
      <w:bookmarkStart w:id="58" w:name="_Toc19808"/>
      <w:r>
        <w:rPr>
          <w:rFonts w:hint="eastAsia" w:ascii="仿宋" w:hAnsi="仿宋" w:eastAsia="仿宋" w:cs="仿宋"/>
          <w:color w:val="000000"/>
          <w:kern w:val="0"/>
          <w:sz w:val="24"/>
          <w:szCs w:val="24"/>
          <w:lang w:val="en-US" w:eastAsia="zh-CN" w:bidi="ar"/>
        </w:rPr>
        <w:t>3.供应商为自然人的情形，可不提供本《授权委托书》。</w:t>
      </w:r>
      <w:bookmarkEnd w:id="57"/>
      <w:bookmarkEnd w:id="58"/>
    </w:p>
    <w:p w14:paraId="1FC75F32">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7154FA4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附：法定代表人（单位负责人）身份证明</w:t>
      </w:r>
    </w:p>
    <w:p w14:paraId="7B32F0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180004F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 xml:space="preserve">（采购人或采购代理机构） </w:t>
      </w:r>
    </w:p>
    <w:p w14:paraId="42694B0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兹证明， </w:t>
      </w:r>
    </w:p>
    <w:p w14:paraId="0EC4A3C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lang w:val="en-US" w:eastAsia="zh-CN" w:bidi="ar"/>
        </w:rPr>
        <w:t>姓名：</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性别：</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年龄：</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职务：</w:t>
      </w:r>
      <w:r>
        <w:rPr>
          <w:rFonts w:hint="eastAsia" w:ascii="仿宋" w:hAnsi="仿宋" w:eastAsia="仿宋" w:cs="仿宋"/>
          <w:color w:val="000000"/>
          <w:kern w:val="0"/>
          <w:sz w:val="24"/>
          <w:szCs w:val="24"/>
          <w:u w:val="single"/>
          <w:lang w:val="en-US" w:eastAsia="zh-CN" w:bidi="ar"/>
        </w:rPr>
        <w:t xml:space="preserve">     </w:t>
      </w:r>
    </w:p>
    <w:p w14:paraId="2DA0289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系</w:t>
      </w:r>
      <w:r>
        <w:rPr>
          <w:rFonts w:hint="eastAsia" w:ascii="仿宋" w:hAnsi="仿宋" w:eastAsia="仿宋" w:cs="仿宋"/>
          <w:color w:val="000000"/>
          <w:kern w:val="0"/>
          <w:sz w:val="24"/>
          <w:szCs w:val="24"/>
          <w:u w:val="single"/>
          <w:lang w:val="en-US" w:eastAsia="zh-CN" w:bidi="ar"/>
        </w:rPr>
        <w:t xml:space="preserve">       （供应商名称）</w:t>
      </w:r>
      <w:r>
        <w:rPr>
          <w:rFonts w:hint="eastAsia" w:ascii="仿宋" w:hAnsi="仿宋" w:eastAsia="仿宋" w:cs="仿宋"/>
          <w:color w:val="000000"/>
          <w:kern w:val="0"/>
          <w:sz w:val="24"/>
          <w:szCs w:val="24"/>
          <w:lang w:val="en-US" w:eastAsia="zh-CN" w:bidi="ar"/>
        </w:rPr>
        <w:t xml:space="preserve">的法定代表人（单位负责人）。 </w:t>
      </w:r>
    </w:p>
    <w:p w14:paraId="0ED33B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5EB130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68BCD5F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附：法定代表人（单位负责人）有效期内的身份证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B29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436E5C3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vertAlign w:val="baseline"/>
                <w:lang w:val="en-US" w:eastAsia="zh-CN" w:bidi="ar"/>
              </w:rPr>
            </w:pPr>
          </w:p>
        </w:tc>
        <w:tc>
          <w:tcPr>
            <w:tcW w:w="4261" w:type="dxa"/>
          </w:tcPr>
          <w:p w14:paraId="1F3E48B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vertAlign w:val="baseline"/>
                <w:lang w:val="en-US" w:eastAsia="zh-CN" w:bidi="ar"/>
              </w:rPr>
            </w:pPr>
          </w:p>
        </w:tc>
      </w:tr>
    </w:tbl>
    <w:p w14:paraId="18A5D12A">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6C1673C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4DAD7A5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供应商名称（加盖公章）：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1242D3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法定代表人（单位负责人）（签字或印鉴）：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6809AB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14:paraId="5A1A621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3554D45C">
      <w:pPr>
        <w:rPr>
          <w:rFonts w:hint="eastAsia" w:ascii="仿宋" w:hAnsi="仿宋" w:eastAsia="仿宋" w:cs="仿宋"/>
          <w:lang w:val="en-US" w:eastAsia="zh-CN"/>
        </w:rPr>
      </w:pPr>
      <w:r>
        <w:rPr>
          <w:rFonts w:hint="eastAsia" w:ascii="仿宋" w:hAnsi="仿宋" w:eastAsia="仿宋" w:cs="仿宋"/>
          <w:lang w:val="en-US" w:eastAsia="zh-CN"/>
        </w:rPr>
        <w:br w:type="page"/>
      </w:r>
    </w:p>
    <w:p w14:paraId="496A04CD">
      <w:pPr>
        <w:outlineLvl w:val="1"/>
        <w:rPr>
          <w:rFonts w:hint="eastAsia" w:ascii="仿宋" w:hAnsi="仿宋" w:eastAsia="仿宋" w:cs="仿宋"/>
          <w:sz w:val="24"/>
          <w:szCs w:val="24"/>
          <w:lang w:val="en-US" w:eastAsia="zh-CN"/>
        </w:rPr>
      </w:pPr>
      <w:bookmarkStart w:id="59" w:name="_Toc26817"/>
      <w:bookmarkStart w:id="60" w:name="_Toc18742"/>
      <w:r>
        <w:rPr>
          <w:rFonts w:hint="eastAsia" w:ascii="仿宋" w:hAnsi="仿宋" w:eastAsia="仿宋" w:cs="仿宋"/>
          <w:sz w:val="24"/>
          <w:szCs w:val="24"/>
          <w:lang w:val="en-US" w:eastAsia="zh-CN"/>
        </w:rPr>
        <w:t>7  报价一览表</w:t>
      </w:r>
      <w:bookmarkEnd w:id="59"/>
      <w:bookmarkEnd w:id="60"/>
    </w:p>
    <w:p w14:paraId="1E2DB062">
      <w:pPr>
        <w:rPr>
          <w:rFonts w:hint="eastAsia" w:ascii="仿宋" w:hAnsi="仿宋" w:eastAsia="仿宋" w:cs="仿宋"/>
          <w:lang w:val="en-US" w:eastAsia="zh-CN"/>
        </w:rPr>
      </w:pPr>
    </w:p>
    <w:p w14:paraId="6ADC233D">
      <w:pPr>
        <w:jc w:val="center"/>
        <w:rPr>
          <w:rFonts w:hint="eastAsia" w:ascii="仿宋" w:hAnsi="仿宋" w:eastAsia="仿宋" w:cs="仿宋"/>
          <w:lang w:val="en-US" w:eastAsia="zh-CN"/>
        </w:rPr>
      </w:pPr>
      <w:r>
        <w:rPr>
          <w:rFonts w:hint="eastAsia" w:ascii="仿宋" w:hAnsi="仿宋" w:eastAsia="仿宋" w:cs="仿宋"/>
          <w:b/>
          <w:bCs/>
          <w:sz w:val="32"/>
          <w:szCs w:val="32"/>
          <w:lang w:val="en-US" w:eastAsia="zh-CN"/>
        </w:rPr>
        <w:t>首次报价表</w:t>
      </w:r>
    </w:p>
    <w:p w14:paraId="57E9A908">
      <w:pPr>
        <w:rPr>
          <w:rFonts w:hint="eastAsia" w:ascii="仿宋" w:hAnsi="仿宋" w:eastAsia="仿宋" w:cs="仿宋"/>
          <w:lang w:val="en-US" w:eastAsia="zh-CN"/>
        </w:rPr>
      </w:pPr>
    </w:p>
    <w:p w14:paraId="6BDC4851">
      <w:pPr>
        <w:rPr>
          <w:rFonts w:hint="eastAsia" w:ascii="仿宋" w:hAnsi="仿宋" w:eastAsia="仿宋" w:cs="仿宋"/>
          <w:lang w:val="en-US" w:eastAsia="zh-CN"/>
        </w:rPr>
      </w:pPr>
      <w:r>
        <w:rPr>
          <w:rFonts w:hint="eastAsia" w:ascii="仿宋" w:hAnsi="仿宋" w:eastAsia="仿宋" w:cs="仿宋"/>
          <w:lang w:val="en-US" w:eastAsia="zh-CN"/>
        </w:rPr>
        <w:t>项目编号：</w:t>
      </w:r>
      <w:r>
        <w:rPr>
          <w:rFonts w:hint="eastAsia" w:ascii="仿宋" w:hAnsi="仿宋" w:eastAsia="仿宋" w:cs="仿宋"/>
          <w:u w:val="single"/>
          <w:lang w:val="en-US" w:eastAsia="zh-CN"/>
        </w:rPr>
        <w:t xml:space="preserve">                      </w:t>
      </w:r>
      <w:r>
        <w:rPr>
          <w:rFonts w:hint="eastAsia" w:ascii="仿宋" w:hAnsi="仿宋" w:eastAsia="仿宋" w:cs="仿宋"/>
          <w:u w:val="none"/>
          <w:lang w:val="en-US" w:eastAsia="zh-CN"/>
        </w:rPr>
        <w:t xml:space="preserve">     </w:t>
      </w:r>
      <w:r>
        <w:rPr>
          <w:rFonts w:hint="eastAsia" w:ascii="仿宋" w:hAnsi="仿宋" w:eastAsia="仿宋" w:cs="仿宋"/>
          <w:lang w:val="en-US" w:eastAsia="zh-CN"/>
        </w:rPr>
        <w:t>项目名称：</w:t>
      </w:r>
      <w:r>
        <w:rPr>
          <w:rFonts w:hint="eastAsia" w:ascii="仿宋" w:hAnsi="仿宋" w:eastAsia="仿宋" w:cs="仿宋"/>
          <w:u w:val="single"/>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063"/>
        <w:gridCol w:w="1730"/>
        <w:gridCol w:w="1531"/>
        <w:gridCol w:w="1859"/>
      </w:tblGrid>
      <w:tr w14:paraId="41C0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vAlign w:val="center"/>
          </w:tcPr>
          <w:p w14:paraId="09AB6AA9">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序号</w:t>
            </w:r>
          </w:p>
        </w:tc>
        <w:tc>
          <w:tcPr>
            <w:tcW w:w="3063" w:type="dxa"/>
            <w:vMerge w:val="restart"/>
            <w:vAlign w:val="center"/>
          </w:tcPr>
          <w:p w14:paraId="49B54B5C">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供应商名称</w:t>
            </w:r>
          </w:p>
        </w:tc>
        <w:tc>
          <w:tcPr>
            <w:tcW w:w="3261" w:type="dxa"/>
            <w:gridSpan w:val="2"/>
            <w:vAlign w:val="center"/>
          </w:tcPr>
          <w:p w14:paraId="014439E6">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响应下浮率（%）</w:t>
            </w:r>
          </w:p>
        </w:tc>
        <w:tc>
          <w:tcPr>
            <w:tcW w:w="1859" w:type="dxa"/>
            <w:vMerge w:val="restart"/>
            <w:vAlign w:val="center"/>
          </w:tcPr>
          <w:p w14:paraId="446E5738">
            <w:pPr>
              <w:pStyle w:val="26"/>
              <w:ind w:left="0" w:leftChars="0" w:firstLine="0" w:firstLineChars="0"/>
              <w:jc w:val="center"/>
              <w:rPr>
                <w:rFonts w:hint="default" w:ascii="仿宋" w:hAnsi="仿宋" w:eastAsia="仿宋" w:cs="仿宋"/>
                <w:b/>
                <w:bCs/>
                <w:vertAlign w:val="baseline"/>
                <w:lang w:val="en-US" w:eastAsia="zh-CN"/>
              </w:rPr>
            </w:pPr>
            <w:r>
              <w:rPr>
                <w:rFonts w:hint="eastAsia" w:ascii="仿宋" w:hAnsi="仿宋" w:eastAsia="仿宋" w:cs="仿宋"/>
                <w:b/>
                <w:bCs/>
                <w:vertAlign w:val="baseline"/>
                <w:lang w:val="en-US" w:eastAsia="zh-CN"/>
              </w:rPr>
              <w:t>合同履约期限</w:t>
            </w:r>
          </w:p>
        </w:tc>
      </w:tr>
      <w:tr w14:paraId="1408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6691694D">
            <w:pPr>
              <w:pStyle w:val="26"/>
              <w:jc w:val="center"/>
              <w:rPr>
                <w:rFonts w:hint="eastAsia" w:ascii="仿宋" w:hAnsi="仿宋" w:eastAsia="仿宋" w:cs="仿宋"/>
                <w:b/>
                <w:bCs/>
                <w:vertAlign w:val="baseline"/>
                <w:lang w:val="en-US" w:eastAsia="zh-CN"/>
              </w:rPr>
            </w:pPr>
          </w:p>
        </w:tc>
        <w:tc>
          <w:tcPr>
            <w:tcW w:w="3063" w:type="dxa"/>
            <w:vMerge w:val="continue"/>
            <w:vAlign w:val="center"/>
          </w:tcPr>
          <w:p w14:paraId="00B5A71C">
            <w:pPr>
              <w:pStyle w:val="26"/>
              <w:jc w:val="center"/>
              <w:rPr>
                <w:rFonts w:hint="eastAsia" w:ascii="仿宋" w:hAnsi="仿宋" w:eastAsia="仿宋" w:cs="仿宋"/>
                <w:b/>
                <w:bCs/>
                <w:vertAlign w:val="baseline"/>
                <w:lang w:val="en-US" w:eastAsia="zh-CN"/>
              </w:rPr>
            </w:pPr>
          </w:p>
        </w:tc>
        <w:tc>
          <w:tcPr>
            <w:tcW w:w="1730" w:type="dxa"/>
            <w:vAlign w:val="center"/>
          </w:tcPr>
          <w:p w14:paraId="2283B503">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大写</w:t>
            </w:r>
          </w:p>
        </w:tc>
        <w:tc>
          <w:tcPr>
            <w:tcW w:w="1531" w:type="dxa"/>
            <w:vAlign w:val="center"/>
          </w:tcPr>
          <w:p w14:paraId="536FE287">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小写</w:t>
            </w:r>
          </w:p>
        </w:tc>
        <w:tc>
          <w:tcPr>
            <w:tcW w:w="1859" w:type="dxa"/>
            <w:vMerge w:val="continue"/>
            <w:vAlign w:val="center"/>
          </w:tcPr>
          <w:p w14:paraId="1A25D23B">
            <w:pPr>
              <w:pStyle w:val="26"/>
              <w:ind w:left="0" w:leftChars="0" w:firstLine="0" w:firstLineChars="0"/>
              <w:jc w:val="center"/>
              <w:rPr>
                <w:rFonts w:hint="eastAsia" w:ascii="仿宋" w:hAnsi="仿宋" w:eastAsia="仿宋" w:cs="仿宋"/>
                <w:b/>
                <w:bCs/>
                <w:vertAlign w:val="baseline"/>
                <w:lang w:val="en-US" w:eastAsia="zh-CN"/>
              </w:rPr>
            </w:pPr>
          </w:p>
        </w:tc>
      </w:tr>
      <w:tr w14:paraId="0009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72" w:type="dxa"/>
            <w:vAlign w:val="center"/>
          </w:tcPr>
          <w:p w14:paraId="104FF720">
            <w:pPr>
              <w:pStyle w:val="26"/>
              <w:jc w:val="center"/>
              <w:rPr>
                <w:rFonts w:hint="eastAsia" w:ascii="仿宋" w:hAnsi="仿宋" w:eastAsia="仿宋" w:cs="仿宋"/>
                <w:vertAlign w:val="baseline"/>
                <w:lang w:val="en-US" w:eastAsia="zh-CN"/>
              </w:rPr>
            </w:pPr>
          </w:p>
        </w:tc>
        <w:tc>
          <w:tcPr>
            <w:tcW w:w="3063" w:type="dxa"/>
            <w:vAlign w:val="center"/>
          </w:tcPr>
          <w:p w14:paraId="264137B2">
            <w:pPr>
              <w:pStyle w:val="26"/>
              <w:jc w:val="center"/>
              <w:rPr>
                <w:rFonts w:hint="eastAsia" w:ascii="仿宋" w:hAnsi="仿宋" w:eastAsia="仿宋" w:cs="仿宋"/>
                <w:vertAlign w:val="baseline"/>
                <w:lang w:val="en-US" w:eastAsia="zh-CN"/>
              </w:rPr>
            </w:pPr>
          </w:p>
        </w:tc>
        <w:tc>
          <w:tcPr>
            <w:tcW w:w="1730" w:type="dxa"/>
            <w:vAlign w:val="center"/>
          </w:tcPr>
          <w:p w14:paraId="32B54C3A">
            <w:pPr>
              <w:pStyle w:val="26"/>
              <w:jc w:val="center"/>
              <w:rPr>
                <w:rFonts w:hint="eastAsia" w:ascii="仿宋" w:hAnsi="仿宋" w:eastAsia="仿宋" w:cs="仿宋"/>
                <w:vertAlign w:val="baseline"/>
                <w:lang w:val="en-US" w:eastAsia="zh-CN"/>
              </w:rPr>
            </w:pPr>
          </w:p>
        </w:tc>
        <w:tc>
          <w:tcPr>
            <w:tcW w:w="1531" w:type="dxa"/>
            <w:vAlign w:val="center"/>
          </w:tcPr>
          <w:p w14:paraId="03F595FD">
            <w:pPr>
              <w:pStyle w:val="26"/>
              <w:jc w:val="center"/>
              <w:rPr>
                <w:rFonts w:hint="eastAsia" w:ascii="仿宋" w:hAnsi="仿宋" w:eastAsia="仿宋" w:cs="仿宋"/>
                <w:vertAlign w:val="baseline"/>
                <w:lang w:val="en-US" w:eastAsia="zh-CN"/>
              </w:rPr>
            </w:pPr>
          </w:p>
        </w:tc>
        <w:tc>
          <w:tcPr>
            <w:tcW w:w="1859" w:type="dxa"/>
            <w:vAlign w:val="center"/>
          </w:tcPr>
          <w:p w14:paraId="07FA3FF1">
            <w:pPr>
              <w:pStyle w:val="26"/>
              <w:jc w:val="center"/>
              <w:rPr>
                <w:rFonts w:hint="eastAsia" w:ascii="仿宋" w:hAnsi="仿宋" w:eastAsia="仿宋" w:cs="仿宋"/>
                <w:vertAlign w:val="baseline"/>
                <w:lang w:val="en-US" w:eastAsia="zh-CN"/>
              </w:rPr>
            </w:pPr>
          </w:p>
        </w:tc>
      </w:tr>
    </w:tbl>
    <w:p w14:paraId="41BACA05">
      <w:pPr>
        <w:pStyle w:val="26"/>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注：1.最终以工程中标价为准，按《建设工程监理与相关服务收费管理规定》取费标准下浮20%作为招标控制价。</w:t>
      </w:r>
    </w:p>
    <w:p w14:paraId="73B2A060">
      <w:pPr>
        <w:pStyle w:val="26"/>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2.供应商下浮率报价应：下浮＞20%；</w:t>
      </w:r>
    </w:p>
    <w:p w14:paraId="4E73D97C">
      <w:pPr>
        <w:pStyle w:val="26"/>
        <w:ind w:left="0" w:leftChars="0" w:firstLine="0" w:firstLineChars="0"/>
        <w:rPr>
          <w:rFonts w:hint="eastAsia" w:ascii="仿宋" w:hAnsi="仿宋" w:eastAsia="仿宋" w:cs="仿宋"/>
          <w:kern w:val="2"/>
          <w:sz w:val="21"/>
          <w:szCs w:val="24"/>
          <w:lang w:val="en-US" w:eastAsia="zh-CN" w:bidi="zh-CN"/>
        </w:rPr>
      </w:pPr>
      <w:r>
        <w:rPr>
          <w:rFonts w:hint="eastAsia" w:ascii="仿宋" w:hAnsi="仿宋" w:eastAsia="仿宋" w:cs="仿宋"/>
          <w:lang w:val="en-US" w:eastAsia="zh-CN"/>
        </w:rPr>
        <w:t>注：供应商的报价不得低于20%，否则将作废标处理。（例如：供应商下浮≥21%为有效报价，下浮＜20%为无效报价）</w:t>
      </w:r>
    </w:p>
    <w:p w14:paraId="47C32F26">
      <w:pPr>
        <w:widowControl w:val="0"/>
        <w:spacing w:line="360" w:lineRule="auto"/>
        <w:ind w:firstLine="210" w:firstLineChars="100"/>
        <w:jc w:val="both"/>
        <w:rPr>
          <w:rFonts w:hint="eastAsia" w:ascii="仿宋" w:hAnsi="仿宋" w:eastAsia="仿宋" w:cs="仿宋"/>
          <w:kern w:val="2"/>
          <w:sz w:val="21"/>
          <w:szCs w:val="24"/>
          <w:lang w:val="en-US" w:eastAsia="zh-CN" w:bidi="zh-CN"/>
        </w:rPr>
      </w:pPr>
    </w:p>
    <w:p w14:paraId="36819EE0">
      <w:pPr>
        <w:widowControl w:val="0"/>
        <w:spacing w:line="360" w:lineRule="auto"/>
        <w:ind w:firstLine="240" w:firstLineChars="100"/>
        <w:jc w:val="both"/>
        <w:rPr>
          <w:rFonts w:hint="eastAsia" w:ascii="仿宋" w:hAnsi="仿宋" w:eastAsia="仿宋" w:cs="仿宋"/>
          <w:kern w:val="2"/>
          <w:sz w:val="24"/>
          <w:szCs w:val="24"/>
          <w:u w:val="single"/>
          <w:lang w:val="en-US" w:eastAsia="zh-CN" w:bidi="zh-CN"/>
        </w:rPr>
      </w:pPr>
      <w:r>
        <w:rPr>
          <w:rFonts w:hint="eastAsia" w:ascii="仿宋" w:hAnsi="仿宋" w:eastAsia="仿宋" w:cs="仿宋"/>
          <w:kern w:val="2"/>
          <w:sz w:val="24"/>
          <w:szCs w:val="24"/>
          <w:lang w:val="en-US" w:eastAsia="zh-CN" w:bidi="zh-CN"/>
        </w:rPr>
        <w:t xml:space="preserve">供应商名称（加盖公章）： </w:t>
      </w:r>
      <w:r>
        <w:rPr>
          <w:rFonts w:hint="eastAsia" w:ascii="仿宋" w:hAnsi="仿宋" w:eastAsia="仿宋" w:cs="仿宋"/>
          <w:kern w:val="2"/>
          <w:sz w:val="24"/>
          <w:szCs w:val="24"/>
          <w:u w:val="single"/>
          <w:lang w:val="en-US" w:eastAsia="zh-CN" w:bidi="zh-CN"/>
        </w:rPr>
        <w:t xml:space="preserve">                </w:t>
      </w:r>
    </w:p>
    <w:p w14:paraId="2BA1F3FD">
      <w:pPr>
        <w:widowControl w:val="0"/>
        <w:spacing w:line="360" w:lineRule="auto"/>
        <w:ind w:firstLine="240" w:firstLineChars="100"/>
        <w:jc w:val="both"/>
        <w:rPr>
          <w:rFonts w:hint="eastAsia" w:ascii="仿宋" w:hAnsi="仿宋" w:eastAsia="仿宋" w:cs="仿宋"/>
          <w:kern w:val="2"/>
          <w:sz w:val="24"/>
          <w:szCs w:val="24"/>
          <w:lang w:val="en-US" w:eastAsia="zh-CN" w:bidi="zh-CN"/>
        </w:rPr>
      </w:pPr>
      <w:r>
        <w:rPr>
          <w:rFonts w:hint="eastAsia" w:ascii="仿宋" w:hAnsi="仿宋" w:eastAsia="仿宋" w:cs="仿宋"/>
          <w:kern w:val="2"/>
          <w:sz w:val="24"/>
          <w:szCs w:val="24"/>
          <w:lang w:val="en-US" w:eastAsia="zh-CN" w:bidi="zh-CN"/>
        </w:rPr>
        <w:t>日期：</w:t>
      </w:r>
      <w:r>
        <w:rPr>
          <w:rFonts w:hint="eastAsia" w:ascii="仿宋" w:hAnsi="仿宋" w:eastAsia="仿宋" w:cs="仿宋"/>
          <w:kern w:val="2"/>
          <w:sz w:val="24"/>
          <w:szCs w:val="24"/>
          <w:u w:val="single"/>
          <w:lang w:val="en-US" w:eastAsia="zh-CN" w:bidi="zh-CN"/>
        </w:rPr>
        <w:t xml:space="preserve">     年    月    日</w:t>
      </w:r>
    </w:p>
    <w:p w14:paraId="07FDB11B">
      <w:pPr>
        <w:pStyle w:val="21"/>
        <w:rPr>
          <w:rFonts w:hint="eastAsia" w:ascii="仿宋" w:hAnsi="仿宋" w:eastAsia="仿宋" w:cs="仿宋"/>
          <w:lang w:val="en-US" w:eastAsia="zh-CN"/>
        </w:rPr>
      </w:pPr>
    </w:p>
    <w:p w14:paraId="42359DAE">
      <w:pPr>
        <w:rPr>
          <w:rFonts w:hint="eastAsia" w:ascii="仿宋" w:hAnsi="仿宋" w:eastAsia="仿宋" w:cs="仿宋"/>
          <w:lang w:val="en-US" w:eastAsia="zh-CN"/>
        </w:rPr>
      </w:pPr>
      <w:r>
        <w:rPr>
          <w:rFonts w:hint="eastAsia" w:ascii="仿宋" w:hAnsi="仿宋" w:eastAsia="仿宋" w:cs="仿宋"/>
          <w:lang w:val="en-US" w:eastAsia="zh-CN"/>
        </w:rPr>
        <w:br w:type="page"/>
      </w:r>
    </w:p>
    <w:p w14:paraId="266D2830">
      <w:pPr>
        <w:rPr>
          <w:rFonts w:hint="eastAsia" w:ascii="仿宋" w:hAnsi="仿宋" w:eastAsia="仿宋" w:cs="仿宋"/>
          <w:sz w:val="24"/>
          <w:szCs w:val="24"/>
          <w:lang w:val="en-US" w:eastAsia="zh-CN"/>
        </w:rPr>
      </w:pPr>
      <w:bookmarkStart w:id="61" w:name="_Toc27376"/>
      <w:bookmarkStart w:id="62" w:name="_Toc23182"/>
      <w:r>
        <w:rPr>
          <w:rFonts w:hint="eastAsia" w:ascii="仿宋" w:hAnsi="仿宋" w:eastAsia="仿宋" w:cs="仿宋"/>
          <w:sz w:val="24"/>
          <w:szCs w:val="24"/>
          <w:lang w:val="en-US" w:eastAsia="zh-CN"/>
        </w:rPr>
        <w:t>8  分项报价表</w:t>
      </w:r>
    </w:p>
    <w:p w14:paraId="57ED4AE3">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分项报价表（如有）</w:t>
      </w:r>
    </w:p>
    <w:p w14:paraId="7249297A">
      <w:pPr>
        <w:topLinePunct/>
        <w:autoSpaceDE w:val="0"/>
        <w:autoSpaceDN w:val="0"/>
        <w:adjustRightInd w:val="0"/>
        <w:snapToGrid w:val="0"/>
        <w:spacing w:after="0" w:line="360" w:lineRule="auto"/>
        <w:jc w:val="left"/>
        <w:rPr>
          <w:rFonts w:hint="eastAsia" w:ascii="仿宋" w:hAnsi="仿宋" w:eastAsia="仿宋" w:cs="仿宋"/>
          <w:color w:val="auto"/>
          <w:highlight w:val="none"/>
        </w:rPr>
      </w:pPr>
      <w:r>
        <w:rPr>
          <w:rFonts w:hint="eastAsia" w:ascii="仿宋" w:hAnsi="仿宋" w:eastAsia="仿宋" w:cs="仿宋"/>
          <w:color w:val="auto"/>
          <w:highlight w:val="none"/>
        </w:rPr>
        <w:t>项目名称：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tbl>
      <w:tblPr>
        <w:tblStyle w:val="27"/>
        <w:tblW w:w="9181" w:type="dxa"/>
        <w:jc w:val="center"/>
        <w:tblLayout w:type="fixed"/>
        <w:tblCellMar>
          <w:top w:w="0" w:type="dxa"/>
          <w:left w:w="108" w:type="dxa"/>
          <w:bottom w:w="0" w:type="dxa"/>
          <w:right w:w="108" w:type="dxa"/>
        </w:tblCellMar>
      </w:tblPr>
      <w:tblGrid>
        <w:gridCol w:w="644"/>
        <w:gridCol w:w="1691"/>
        <w:gridCol w:w="2331"/>
        <w:gridCol w:w="1271"/>
        <w:gridCol w:w="1259"/>
        <w:gridCol w:w="1342"/>
        <w:gridCol w:w="643"/>
      </w:tblGrid>
      <w:tr w14:paraId="646F6CF6">
        <w:tblPrEx>
          <w:tblCellMar>
            <w:top w:w="0" w:type="dxa"/>
            <w:left w:w="108" w:type="dxa"/>
            <w:bottom w:w="0" w:type="dxa"/>
            <w:right w:w="108" w:type="dxa"/>
          </w:tblCellMar>
        </w:tblPrEx>
        <w:trPr>
          <w:trHeight w:val="409" w:hRule="atLeast"/>
          <w:tblHeader/>
          <w:jc w:val="center"/>
        </w:trPr>
        <w:tc>
          <w:tcPr>
            <w:tcW w:w="644" w:type="dxa"/>
            <w:tcBorders>
              <w:top w:val="single" w:color="auto" w:sz="4" w:space="0"/>
              <w:left w:val="single" w:color="auto" w:sz="4" w:space="0"/>
              <w:bottom w:val="single" w:color="auto" w:sz="4" w:space="0"/>
              <w:right w:val="single" w:color="auto" w:sz="4" w:space="0"/>
            </w:tcBorders>
            <w:noWrap w:val="0"/>
            <w:vAlign w:val="center"/>
          </w:tcPr>
          <w:p w14:paraId="1C9CC7C3">
            <w:pPr>
              <w:widowControl/>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1692" w:type="dxa"/>
            <w:tcBorders>
              <w:top w:val="single" w:color="auto" w:sz="4" w:space="0"/>
              <w:left w:val="nil"/>
              <w:bottom w:val="single" w:color="auto" w:sz="4" w:space="0"/>
              <w:right w:val="single" w:color="auto" w:sz="4" w:space="0"/>
            </w:tcBorders>
            <w:noWrap w:val="0"/>
            <w:vAlign w:val="center"/>
          </w:tcPr>
          <w:p w14:paraId="60B8F868">
            <w:pPr>
              <w:widowControl/>
              <w:spacing w:after="0" w:line="240" w:lineRule="auto"/>
              <w:ind w:left="-96" w:leftChars="-40" w:firstLine="82" w:firstLineChars="39"/>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项目名称</w:t>
            </w:r>
          </w:p>
        </w:tc>
        <w:tc>
          <w:tcPr>
            <w:tcW w:w="2332" w:type="dxa"/>
            <w:tcBorders>
              <w:top w:val="single" w:color="auto" w:sz="4" w:space="0"/>
              <w:left w:val="nil"/>
              <w:bottom w:val="single" w:color="auto" w:sz="4" w:space="0"/>
              <w:right w:val="single" w:color="auto" w:sz="4" w:space="0"/>
            </w:tcBorders>
            <w:noWrap w:val="0"/>
            <w:vAlign w:val="center"/>
          </w:tcPr>
          <w:p w14:paraId="08F6E19A">
            <w:pPr>
              <w:widowControl/>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内容描述</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6B8BEF2">
            <w:pPr>
              <w:widowControl/>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…费用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D89D7C3">
            <w:pPr>
              <w:widowControl/>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…费用</w:t>
            </w:r>
          </w:p>
        </w:tc>
        <w:tc>
          <w:tcPr>
            <w:tcW w:w="1343" w:type="dxa"/>
            <w:tcBorders>
              <w:top w:val="single" w:color="auto" w:sz="4" w:space="0"/>
              <w:left w:val="single" w:color="auto" w:sz="4" w:space="0"/>
              <w:bottom w:val="single" w:color="auto" w:sz="4" w:space="0"/>
              <w:right w:val="single" w:color="auto" w:sz="4" w:space="0"/>
            </w:tcBorders>
            <w:noWrap w:val="0"/>
            <w:vAlign w:val="center"/>
          </w:tcPr>
          <w:p w14:paraId="69CCAB5E">
            <w:pPr>
              <w:widowControl/>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下浮率</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w:t>
            </w:r>
            <w:r>
              <w:rPr>
                <w:rFonts w:hint="eastAsia" w:ascii="仿宋" w:hAnsi="仿宋" w:eastAsia="仿宋" w:cs="仿宋"/>
                <w:b/>
                <w:color w:val="auto"/>
                <w:sz w:val="21"/>
                <w:szCs w:val="21"/>
                <w:highlight w:val="none"/>
              </w:rPr>
              <w:t>）</w:t>
            </w:r>
          </w:p>
        </w:tc>
        <w:tc>
          <w:tcPr>
            <w:tcW w:w="643" w:type="dxa"/>
            <w:tcBorders>
              <w:top w:val="single" w:color="auto" w:sz="4" w:space="0"/>
              <w:left w:val="nil"/>
              <w:bottom w:val="single" w:color="auto" w:sz="4" w:space="0"/>
              <w:right w:val="single" w:color="auto" w:sz="4" w:space="0"/>
            </w:tcBorders>
            <w:noWrap w:val="0"/>
            <w:vAlign w:val="center"/>
          </w:tcPr>
          <w:p w14:paraId="1A556873">
            <w:pPr>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2DEEED5E">
        <w:tblPrEx>
          <w:tblCellMar>
            <w:top w:w="0" w:type="dxa"/>
            <w:left w:w="108" w:type="dxa"/>
            <w:bottom w:w="0" w:type="dxa"/>
            <w:right w:w="108" w:type="dxa"/>
          </w:tblCellMar>
        </w:tblPrEx>
        <w:trPr>
          <w:trHeight w:val="671" w:hRule="atLeast"/>
          <w:tblHeader/>
          <w:jc w:val="center"/>
        </w:trPr>
        <w:tc>
          <w:tcPr>
            <w:tcW w:w="644" w:type="dxa"/>
            <w:tcBorders>
              <w:top w:val="single" w:color="auto" w:sz="4" w:space="0"/>
              <w:left w:val="single" w:color="auto" w:sz="4" w:space="0"/>
              <w:bottom w:val="single" w:color="auto" w:sz="4" w:space="0"/>
              <w:right w:val="single" w:color="auto" w:sz="4" w:space="0"/>
            </w:tcBorders>
            <w:noWrap w:val="0"/>
            <w:vAlign w:val="center"/>
          </w:tcPr>
          <w:p w14:paraId="5E0B9BE8">
            <w:pPr>
              <w:tabs>
                <w:tab w:val="left" w:pos="425"/>
              </w:tabs>
              <w:snapToGrid w:val="0"/>
              <w:spacing w:after="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692" w:type="dxa"/>
            <w:tcBorders>
              <w:top w:val="single" w:color="auto" w:sz="4" w:space="0"/>
              <w:left w:val="nil"/>
              <w:bottom w:val="single" w:color="auto" w:sz="4" w:space="0"/>
              <w:right w:val="single" w:color="auto" w:sz="4" w:space="0"/>
            </w:tcBorders>
            <w:noWrap w:val="0"/>
            <w:vAlign w:val="center"/>
          </w:tcPr>
          <w:p w14:paraId="3573CC35">
            <w:pPr>
              <w:spacing w:after="0" w:line="240" w:lineRule="auto"/>
              <w:jc w:val="center"/>
              <w:rPr>
                <w:rFonts w:hint="eastAsia" w:ascii="仿宋" w:hAnsi="仿宋" w:eastAsia="仿宋" w:cs="仿宋"/>
                <w:color w:val="auto"/>
                <w:sz w:val="21"/>
                <w:szCs w:val="21"/>
                <w:highlight w:val="none"/>
              </w:rPr>
            </w:pPr>
          </w:p>
        </w:tc>
        <w:tc>
          <w:tcPr>
            <w:tcW w:w="2332" w:type="dxa"/>
            <w:tcBorders>
              <w:top w:val="single" w:color="auto" w:sz="4" w:space="0"/>
              <w:left w:val="nil"/>
              <w:bottom w:val="single" w:color="auto" w:sz="4" w:space="0"/>
              <w:right w:val="single" w:color="auto" w:sz="4" w:space="0"/>
            </w:tcBorders>
            <w:noWrap w:val="0"/>
            <w:vAlign w:val="center"/>
          </w:tcPr>
          <w:p w14:paraId="5EED023D">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4CA83C0">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BEC346">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78743A2D">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463FA66F">
            <w:pPr>
              <w:tabs>
                <w:tab w:val="left" w:pos="425"/>
              </w:tabs>
              <w:snapToGrid w:val="0"/>
              <w:spacing w:after="0" w:line="240" w:lineRule="auto"/>
              <w:jc w:val="center"/>
              <w:rPr>
                <w:rFonts w:hint="eastAsia" w:ascii="仿宋" w:hAnsi="仿宋" w:eastAsia="仿宋" w:cs="仿宋"/>
                <w:color w:val="auto"/>
                <w:sz w:val="21"/>
                <w:szCs w:val="21"/>
                <w:highlight w:val="none"/>
              </w:rPr>
            </w:pPr>
          </w:p>
        </w:tc>
      </w:tr>
      <w:tr w14:paraId="24C4DF48">
        <w:tblPrEx>
          <w:tblCellMar>
            <w:top w:w="0" w:type="dxa"/>
            <w:left w:w="108" w:type="dxa"/>
            <w:bottom w:w="0" w:type="dxa"/>
            <w:right w:w="108" w:type="dxa"/>
          </w:tblCellMar>
        </w:tblPrEx>
        <w:trPr>
          <w:trHeight w:val="671" w:hRule="atLeast"/>
          <w:tblHeader/>
          <w:jc w:val="center"/>
        </w:trPr>
        <w:tc>
          <w:tcPr>
            <w:tcW w:w="644" w:type="dxa"/>
            <w:tcBorders>
              <w:top w:val="single" w:color="auto" w:sz="4" w:space="0"/>
              <w:left w:val="single" w:color="auto" w:sz="4" w:space="0"/>
              <w:bottom w:val="single" w:color="auto" w:sz="4" w:space="0"/>
              <w:right w:val="single" w:color="auto" w:sz="4" w:space="0"/>
            </w:tcBorders>
            <w:noWrap w:val="0"/>
            <w:vAlign w:val="center"/>
          </w:tcPr>
          <w:p w14:paraId="4EA2F6EE">
            <w:pPr>
              <w:tabs>
                <w:tab w:val="left" w:pos="425"/>
              </w:tabs>
              <w:snapToGrid w:val="0"/>
              <w:spacing w:after="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692" w:type="dxa"/>
            <w:tcBorders>
              <w:top w:val="single" w:color="auto" w:sz="4" w:space="0"/>
              <w:left w:val="nil"/>
              <w:bottom w:val="single" w:color="auto" w:sz="4" w:space="0"/>
              <w:right w:val="single" w:color="auto" w:sz="4" w:space="0"/>
            </w:tcBorders>
            <w:noWrap w:val="0"/>
            <w:vAlign w:val="center"/>
          </w:tcPr>
          <w:p w14:paraId="2B39F351">
            <w:pPr>
              <w:spacing w:after="0" w:line="240" w:lineRule="auto"/>
              <w:jc w:val="center"/>
              <w:rPr>
                <w:rFonts w:hint="eastAsia" w:ascii="仿宋" w:hAnsi="仿宋" w:eastAsia="仿宋" w:cs="仿宋"/>
                <w:color w:val="auto"/>
                <w:sz w:val="21"/>
                <w:szCs w:val="21"/>
                <w:highlight w:val="none"/>
              </w:rPr>
            </w:pPr>
          </w:p>
        </w:tc>
        <w:tc>
          <w:tcPr>
            <w:tcW w:w="2332" w:type="dxa"/>
            <w:tcBorders>
              <w:top w:val="single" w:color="auto" w:sz="4" w:space="0"/>
              <w:left w:val="nil"/>
              <w:bottom w:val="single" w:color="auto" w:sz="4" w:space="0"/>
              <w:right w:val="single" w:color="auto" w:sz="4" w:space="0"/>
            </w:tcBorders>
            <w:noWrap w:val="0"/>
            <w:vAlign w:val="center"/>
          </w:tcPr>
          <w:p w14:paraId="1190E0D1">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8EEF3E4">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48623D">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29CF73F9">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67C8E9F2">
            <w:pPr>
              <w:tabs>
                <w:tab w:val="left" w:pos="425"/>
              </w:tabs>
              <w:snapToGrid w:val="0"/>
              <w:spacing w:after="0" w:line="240" w:lineRule="auto"/>
              <w:jc w:val="center"/>
              <w:rPr>
                <w:rFonts w:hint="eastAsia" w:ascii="仿宋" w:hAnsi="仿宋" w:eastAsia="仿宋" w:cs="仿宋"/>
                <w:color w:val="auto"/>
                <w:sz w:val="21"/>
                <w:szCs w:val="21"/>
                <w:highlight w:val="none"/>
              </w:rPr>
            </w:pPr>
          </w:p>
        </w:tc>
      </w:tr>
      <w:tr w14:paraId="6BA11BF3">
        <w:tblPrEx>
          <w:tblCellMar>
            <w:top w:w="0" w:type="dxa"/>
            <w:left w:w="108" w:type="dxa"/>
            <w:bottom w:w="0" w:type="dxa"/>
            <w:right w:w="108" w:type="dxa"/>
          </w:tblCellMar>
        </w:tblPrEx>
        <w:trPr>
          <w:trHeight w:val="671" w:hRule="atLeast"/>
          <w:tblHeader/>
          <w:jc w:val="center"/>
        </w:trPr>
        <w:tc>
          <w:tcPr>
            <w:tcW w:w="644" w:type="dxa"/>
            <w:tcBorders>
              <w:top w:val="single" w:color="auto" w:sz="4" w:space="0"/>
              <w:left w:val="single" w:color="auto" w:sz="4" w:space="0"/>
              <w:bottom w:val="single" w:color="auto" w:sz="4" w:space="0"/>
              <w:right w:val="single" w:color="auto" w:sz="4" w:space="0"/>
            </w:tcBorders>
            <w:noWrap w:val="0"/>
            <w:vAlign w:val="center"/>
          </w:tcPr>
          <w:p w14:paraId="5F445C99">
            <w:pPr>
              <w:tabs>
                <w:tab w:val="left" w:pos="425"/>
              </w:tabs>
              <w:snapToGrid w:val="0"/>
              <w:spacing w:after="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692" w:type="dxa"/>
            <w:tcBorders>
              <w:top w:val="single" w:color="auto" w:sz="4" w:space="0"/>
              <w:left w:val="nil"/>
              <w:bottom w:val="single" w:color="auto" w:sz="4" w:space="0"/>
              <w:right w:val="single" w:color="auto" w:sz="4" w:space="0"/>
            </w:tcBorders>
            <w:noWrap w:val="0"/>
            <w:vAlign w:val="center"/>
          </w:tcPr>
          <w:p w14:paraId="634A492F">
            <w:pPr>
              <w:spacing w:after="0" w:line="240" w:lineRule="auto"/>
              <w:jc w:val="center"/>
              <w:rPr>
                <w:rFonts w:hint="eastAsia" w:ascii="仿宋" w:hAnsi="仿宋" w:eastAsia="仿宋" w:cs="仿宋"/>
                <w:color w:val="auto"/>
                <w:sz w:val="21"/>
                <w:szCs w:val="21"/>
                <w:highlight w:val="none"/>
              </w:rPr>
            </w:pPr>
          </w:p>
        </w:tc>
        <w:tc>
          <w:tcPr>
            <w:tcW w:w="2332" w:type="dxa"/>
            <w:tcBorders>
              <w:top w:val="single" w:color="auto" w:sz="4" w:space="0"/>
              <w:left w:val="nil"/>
              <w:bottom w:val="single" w:color="auto" w:sz="4" w:space="0"/>
              <w:right w:val="single" w:color="auto" w:sz="4" w:space="0"/>
            </w:tcBorders>
            <w:noWrap w:val="0"/>
            <w:vAlign w:val="center"/>
          </w:tcPr>
          <w:p w14:paraId="1A49DEF4">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803D16A">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A1D1E5">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01873C3F">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1D82721F">
            <w:pPr>
              <w:tabs>
                <w:tab w:val="left" w:pos="425"/>
              </w:tabs>
              <w:snapToGrid w:val="0"/>
              <w:spacing w:after="0" w:line="240" w:lineRule="auto"/>
              <w:jc w:val="center"/>
              <w:rPr>
                <w:rFonts w:hint="eastAsia" w:ascii="仿宋" w:hAnsi="仿宋" w:eastAsia="仿宋" w:cs="仿宋"/>
                <w:color w:val="auto"/>
                <w:sz w:val="21"/>
                <w:szCs w:val="21"/>
                <w:highlight w:val="none"/>
              </w:rPr>
            </w:pPr>
          </w:p>
        </w:tc>
      </w:tr>
      <w:tr w14:paraId="36C43178">
        <w:tblPrEx>
          <w:tblCellMar>
            <w:top w:w="0" w:type="dxa"/>
            <w:left w:w="108" w:type="dxa"/>
            <w:bottom w:w="0" w:type="dxa"/>
            <w:right w:w="108" w:type="dxa"/>
          </w:tblCellMar>
        </w:tblPrEx>
        <w:trPr>
          <w:trHeight w:val="608" w:hRule="atLeast"/>
          <w:tblHeader/>
          <w:jc w:val="center"/>
        </w:trPr>
        <w:tc>
          <w:tcPr>
            <w:tcW w:w="644" w:type="dxa"/>
            <w:tcBorders>
              <w:top w:val="nil"/>
              <w:left w:val="single" w:color="auto" w:sz="4" w:space="0"/>
              <w:bottom w:val="single" w:color="auto" w:sz="4" w:space="0"/>
              <w:right w:val="single" w:color="auto" w:sz="4" w:space="0"/>
            </w:tcBorders>
            <w:noWrap w:val="0"/>
            <w:vAlign w:val="center"/>
          </w:tcPr>
          <w:p w14:paraId="1572F2C4">
            <w:pPr>
              <w:tabs>
                <w:tab w:val="left" w:pos="425"/>
              </w:tabs>
              <w:snapToGrid w:val="0"/>
              <w:spacing w:after="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692" w:type="dxa"/>
            <w:tcBorders>
              <w:top w:val="nil"/>
              <w:left w:val="nil"/>
              <w:bottom w:val="single" w:color="auto" w:sz="4" w:space="0"/>
              <w:right w:val="single" w:color="auto" w:sz="4" w:space="0"/>
            </w:tcBorders>
            <w:noWrap w:val="0"/>
            <w:vAlign w:val="center"/>
          </w:tcPr>
          <w:p w14:paraId="25372604">
            <w:pPr>
              <w:spacing w:after="0" w:line="240" w:lineRule="auto"/>
              <w:jc w:val="center"/>
              <w:rPr>
                <w:rFonts w:hint="eastAsia" w:ascii="仿宋" w:hAnsi="仿宋" w:eastAsia="仿宋" w:cs="仿宋"/>
                <w:color w:val="auto"/>
                <w:sz w:val="21"/>
                <w:szCs w:val="21"/>
                <w:highlight w:val="none"/>
              </w:rPr>
            </w:pPr>
          </w:p>
        </w:tc>
        <w:tc>
          <w:tcPr>
            <w:tcW w:w="2332" w:type="dxa"/>
            <w:tcBorders>
              <w:top w:val="nil"/>
              <w:left w:val="nil"/>
              <w:bottom w:val="single" w:color="auto" w:sz="4" w:space="0"/>
              <w:right w:val="single" w:color="auto" w:sz="4" w:space="0"/>
            </w:tcBorders>
            <w:noWrap w:val="0"/>
            <w:vAlign w:val="center"/>
          </w:tcPr>
          <w:p w14:paraId="18FCEE81">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7" w:type="dxa"/>
            <w:tcBorders>
              <w:top w:val="nil"/>
              <w:left w:val="single" w:color="auto" w:sz="4" w:space="0"/>
              <w:bottom w:val="single" w:color="auto" w:sz="4" w:space="0"/>
              <w:right w:val="single" w:color="auto" w:sz="4" w:space="0"/>
            </w:tcBorders>
            <w:noWrap w:val="0"/>
            <w:vAlign w:val="center"/>
          </w:tcPr>
          <w:p w14:paraId="7B2EBA60">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0" w:type="dxa"/>
            <w:tcBorders>
              <w:top w:val="nil"/>
              <w:left w:val="single" w:color="auto" w:sz="4" w:space="0"/>
              <w:bottom w:val="single" w:color="auto" w:sz="4" w:space="0"/>
              <w:right w:val="single" w:color="auto" w:sz="4" w:space="0"/>
            </w:tcBorders>
            <w:noWrap w:val="0"/>
            <w:vAlign w:val="center"/>
          </w:tcPr>
          <w:p w14:paraId="2DE6E94A">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nil"/>
              <w:left w:val="single" w:color="auto" w:sz="4" w:space="0"/>
              <w:bottom w:val="single" w:color="auto" w:sz="4" w:space="0"/>
              <w:right w:val="single" w:color="auto" w:sz="4" w:space="0"/>
            </w:tcBorders>
            <w:noWrap w:val="0"/>
            <w:vAlign w:val="center"/>
          </w:tcPr>
          <w:p w14:paraId="29FD7950">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nil"/>
              <w:left w:val="single" w:color="auto" w:sz="4" w:space="0"/>
              <w:bottom w:val="single" w:color="auto" w:sz="4" w:space="0"/>
              <w:right w:val="single" w:color="auto" w:sz="4" w:space="0"/>
            </w:tcBorders>
            <w:noWrap w:val="0"/>
            <w:vAlign w:val="center"/>
          </w:tcPr>
          <w:p w14:paraId="3673BF17">
            <w:pPr>
              <w:tabs>
                <w:tab w:val="left" w:pos="425"/>
              </w:tabs>
              <w:snapToGrid w:val="0"/>
              <w:spacing w:after="0" w:line="240" w:lineRule="auto"/>
              <w:jc w:val="center"/>
              <w:rPr>
                <w:rFonts w:hint="eastAsia" w:ascii="仿宋" w:hAnsi="仿宋" w:eastAsia="仿宋" w:cs="仿宋"/>
                <w:color w:val="auto"/>
                <w:sz w:val="21"/>
                <w:szCs w:val="21"/>
                <w:highlight w:val="none"/>
              </w:rPr>
            </w:pPr>
          </w:p>
        </w:tc>
      </w:tr>
      <w:tr w14:paraId="2AE8B359">
        <w:tblPrEx>
          <w:tblCellMar>
            <w:top w:w="0" w:type="dxa"/>
            <w:left w:w="108" w:type="dxa"/>
            <w:bottom w:w="0" w:type="dxa"/>
            <w:right w:w="108" w:type="dxa"/>
          </w:tblCellMar>
        </w:tblPrEx>
        <w:trPr>
          <w:trHeight w:val="616" w:hRule="atLeast"/>
          <w:tblHeader/>
          <w:jc w:val="center"/>
        </w:trPr>
        <w:tc>
          <w:tcPr>
            <w:tcW w:w="644" w:type="dxa"/>
            <w:tcBorders>
              <w:top w:val="single" w:color="auto" w:sz="4" w:space="0"/>
              <w:left w:val="single" w:color="auto" w:sz="4" w:space="0"/>
              <w:bottom w:val="single" w:color="auto" w:sz="4" w:space="0"/>
              <w:right w:val="single" w:color="auto" w:sz="4" w:space="0"/>
            </w:tcBorders>
            <w:noWrap w:val="0"/>
            <w:vAlign w:val="center"/>
          </w:tcPr>
          <w:p w14:paraId="25890604">
            <w:pPr>
              <w:tabs>
                <w:tab w:val="left" w:pos="425"/>
              </w:tabs>
              <w:snapToGrid w:val="0"/>
              <w:spacing w:after="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692" w:type="dxa"/>
            <w:tcBorders>
              <w:top w:val="single" w:color="auto" w:sz="4" w:space="0"/>
              <w:left w:val="nil"/>
              <w:bottom w:val="single" w:color="auto" w:sz="4" w:space="0"/>
              <w:right w:val="single" w:color="auto" w:sz="4" w:space="0"/>
            </w:tcBorders>
            <w:noWrap w:val="0"/>
            <w:vAlign w:val="center"/>
          </w:tcPr>
          <w:p w14:paraId="017F9251">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2332" w:type="dxa"/>
            <w:tcBorders>
              <w:top w:val="single" w:color="auto" w:sz="4" w:space="0"/>
              <w:left w:val="nil"/>
              <w:bottom w:val="single" w:color="auto" w:sz="4" w:space="0"/>
              <w:right w:val="single" w:color="auto" w:sz="4" w:space="0"/>
            </w:tcBorders>
            <w:noWrap w:val="0"/>
            <w:vAlign w:val="center"/>
          </w:tcPr>
          <w:p w14:paraId="4E7FD488">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F2CAF3A">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481A1D">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4DC197AA">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559EFA62">
            <w:pPr>
              <w:tabs>
                <w:tab w:val="left" w:pos="425"/>
              </w:tabs>
              <w:snapToGrid w:val="0"/>
              <w:spacing w:after="0" w:line="240" w:lineRule="auto"/>
              <w:jc w:val="center"/>
              <w:rPr>
                <w:rFonts w:hint="eastAsia" w:ascii="仿宋" w:hAnsi="仿宋" w:eastAsia="仿宋" w:cs="仿宋"/>
                <w:color w:val="auto"/>
                <w:sz w:val="21"/>
                <w:szCs w:val="21"/>
                <w:highlight w:val="none"/>
              </w:rPr>
            </w:pPr>
          </w:p>
        </w:tc>
      </w:tr>
      <w:tr w14:paraId="41889353">
        <w:tblPrEx>
          <w:tblCellMar>
            <w:top w:w="0" w:type="dxa"/>
            <w:left w:w="108" w:type="dxa"/>
            <w:bottom w:w="0" w:type="dxa"/>
            <w:right w:w="108" w:type="dxa"/>
          </w:tblCellMar>
        </w:tblPrEx>
        <w:trPr>
          <w:trHeight w:val="610" w:hRule="atLeast"/>
          <w:tblHeader/>
          <w:jc w:val="center"/>
        </w:trPr>
        <w:tc>
          <w:tcPr>
            <w:tcW w:w="644" w:type="dxa"/>
            <w:tcBorders>
              <w:top w:val="single" w:color="auto" w:sz="4" w:space="0"/>
              <w:left w:val="single" w:color="auto" w:sz="4" w:space="0"/>
              <w:bottom w:val="single" w:color="auto" w:sz="4" w:space="0"/>
              <w:right w:val="single" w:color="auto" w:sz="4" w:space="0"/>
            </w:tcBorders>
            <w:noWrap w:val="0"/>
            <w:vAlign w:val="center"/>
          </w:tcPr>
          <w:p w14:paraId="027789C9">
            <w:pPr>
              <w:tabs>
                <w:tab w:val="left" w:pos="425"/>
              </w:tabs>
              <w:snapToGrid w:val="0"/>
              <w:spacing w:after="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1692" w:type="dxa"/>
            <w:tcBorders>
              <w:top w:val="single" w:color="auto" w:sz="4" w:space="0"/>
              <w:left w:val="nil"/>
              <w:bottom w:val="single" w:color="auto" w:sz="4" w:space="0"/>
              <w:right w:val="single" w:color="auto" w:sz="4" w:space="0"/>
            </w:tcBorders>
            <w:noWrap w:val="0"/>
            <w:vAlign w:val="center"/>
          </w:tcPr>
          <w:p w14:paraId="16C7B8B0">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2332" w:type="dxa"/>
            <w:tcBorders>
              <w:top w:val="single" w:color="auto" w:sz="4" w:space="0"/>
              <w:left w:val="nil"/>
              <w:bottom w:val="single" w:color="auto" w:sz="4" w:space="0"/>
              <w:right w:val="single" w:color="auto" w:sz="4" w:space="0"/>
            </w:tcBorders>
            <w:noWrap w:val="0"/>
            <w:vAlign w:val="center"/>
          </w:tcPr>
          <w:p w14:paraId="158C06C8">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EE54849">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64A1310">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1DCC98E7">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071B824C">
            <w:pPr>
              <w:tabs>
                <w:tab w:val="left" w:pos="425"/>
              </w:tabs>
              <w:snapToGrid w:val="0"/>
              <w:spacing w:after="0" w:line="240" w:lineRule="auto"/>
              <w:jc w:val="center"/>
              <w:rPr>
                <w:rFonts w:hint="eastAsia" w:ascii="仿宋" w:hAnsi="仿宋" w:eastAsia="仿宋" w:cs="仿宋"/>
                <w:color w:val="auto"/>
                <w:sz w:val="21"/>
                <w:szCs w:val="21"/>
                <w:highlight w:val="none"/>
              </w:rPr>
            </w:pPr>
          </w:p>
        </w:tc>
      </w:tr>
      <w:tr w14:paraId="50506CB0">
        <w:tblPrEx>
          <w:tblCellMar>
            <w:top w:w="0" w:type="dxa"/>
            <w:left w:w="108" w:type="dxa"/>
            <w:bottom w:w="0" w:type="dxa"/>
            <w:right w:w="108" w:type="dxa"/>
          </w:tblCellMar>
        </w:tblPrEx>
        <w:trPr>
          <w:trHeight w:val="610" w:hRule="atLeast"/>
          <w:tblHeader/>
          <w:jc w:val="center"/>
        </w:trPr>
        <w:tc>
          <w:tcPr>
            <w:tcW w:w="4668" w:type="dxa"/>
            <w:gridSpan w:val="3"/>
            <w:tcBorders>
              <w:top w:val="single" w:color="auto" w:sz="4" w:space="0"/>
              <w:left w:val="single" w:color="auto" w:sz="4" w:space="0"/>
              <w:bottom w:val="single" w:color="auto" w:sz="4" w:space="0"/>
              <w:right w:val="single" w:color="auto" w:sz="4" w:space="0"/>
            </w:tcBorders>
            <w:noWrap w:val="0"/>
            <w:vAlign w:val="center"/>
          </w:tcPr>
          <w:p w14:paraId="38C56DE8">
            <w:pPr>
              <w:tabs>
                <w:tab w:val="left" w:pos="425"/>
              </w:tabs>
              <w:snapToGrid w:val="0"/>
              <w:spacing w:after="0" w:line="240" w:lineRule="auto"/>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合   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下浮率%</w:t>
            </w:r>
            <w:r>
              <w:rPr>
                <w:rFonts w:hint="eastAsia" w:ascii="仿宋" w:hAnsi="仿宋" w:eastAsia="仿宋" w:cs="仿宋"/>
                <w:b/>
                <w:color w:val="auto"/>
                <w:sz w:val="21"/>
                <w:szCs w:val="21"/>
                <w:highlight w:val="none"/>
                <w:lang w:eastAsia="zh-CN"/>
              </w:rPr>
              <w:t>）</w:t>
            </w:r>
          </w:p>
        </w:tc>
        <w:tc>
          <w:tcPr>
            <w:tcW w:w="1272" w:type="dxa"/>
            <w:tcBorders>
              <w:top w:val="single" w:color="auto" w:sz="4" w:space="0"/>
              <w:left w:val="single" w:color="auto" w:sz="4" w:space="0"/>
              <w:bottom w:val="single" w:color="auto" w:sz="4" w:space="0"/>
              <w:right w:val="single" w:color="auto" w:sz="4" w:space="0"/>
            </w:tcBorders>
            <w:noWrap w:val="0"/>
            <w:vAlign w:val="center"/>
          </w:tcPr>
          <w:p w14:paraId="21B3F977">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7749F31">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4F5FEE57">
            <w:pPr>
              <w:tabs>
                <w:tab w:val="left" w:pos="425"/>
              </w:tabs>
              <w:snapToGrid w:val="0"/>
              <w:spacing w:after="0" w:line="240" w:lineRule="auto"/>
              <w:jc w:val="center"/>
              <w:rPr>
                <w:rFonts w:hint="eastAsia" w:ascii="仿宋" w:hAnsi="仿宋" w:eastAsia="仿宋" w:cs="仿宋"/>
                <w:color w:val="auto"/>
                <w:sz w:val="21"/>
                <w:szCs w:val="21"/>
                <w:highlight w:val="none"/>
              </w:rPr>
            </w:pPr>
          </w:p>
        </w:tc>
        <w:tc>
          <w:tcPr>
            <w:tcW w:w="643" w:type="dxa"/>
            <w:tcBorders>
              <w:top w:val="single" w:color="auto" w:sz="4" w:space="0"/>
              <w:left w:val="single" w:color="auto" w:sz="4" w:space="0"/>
              <w:bottom w:val="single" w:color="auto" w:sz="4" w:space="0"/>
              <w:right w:val="single" w:color="auto" w:sz="4" w:space="0"/>
            </w:tcBorders>
            <w:noWrap w:val="0"/>
            <w:vAlign w:val="center"/>
          </w:tcPr>
          <w:p w14:paraId="4AF68850">
            <w:pPr>
              <w:tabs>
                <w:tab w:val="left" w:pos="425"/>
              </w:tabs>
              <w:snapToGrid w:val="0"/>
              <w:spacing w:after="0" w:line="240" w:lineRule="auto"/>
              <w:jc w:val="center"/>
              <w:rPr>
                <w:rFonts w:hint="eastAsia" w:ascii="仿宋" w:hAnsi="仿宋" w:eastAsia="仿宋" w:cs="仿宋"/>
                <w:color w:val="auto"/>
                <w:sz w:val="21"/>
                <w:szCs w:val="21"/>
                <w:highlight w:val="none"/>
              </w:rPr>
            </w:pPr>
          </w:p>
        </w:tc>
      </w:tr>
    </w:tbl>
    <w:p w14:paraId="5717195B">
      <w:pPr>
        <w:topLinePunct/>
        <w:autoSpaceDE w:val="0"/>
        <w:autoSpaceDN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特别说明：</w:t>
      </w:r>
    </w:p>
    <w:p w14:paraId="4E9C97B6">
      <w:pPr>
        <w:topLinePunct/>
        <w:autoSpaceDE w:val="0"/>
        <w:autoSpaceDN w:val="0"/>
        <w:spacing w:after="0" w:line="360" w:lineRule="auto"/>
        <w:ind w:firstLine="480" w:firstLineChars="2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1.本项目总价及分项报价均不接受任何形式的赠送、“零”报价和折扣报价</w:t>
      </w:r>
      <w:r>
        <w:rPr>
          <w:rFonts w:hint="eastAsia" w:ascii="仿宋" w:hAnsi="仿宋" w:eastAsia="仿宋" w:cs="仿宋"/>
          <w:color w:val="auto"/>
          <w:szCs w:val="21"/>
          <w:highlight w:val="none"/>
          <w:lang w:val="en-US" w:eastAsia="zh-CN"/>
        </w:rPr>
        <w:t>。</w:t>
      </w:r>
    </w:p>
    <w:p w14:paraId="481AAAAA">
      <w:pPr>
        <w:topLinePunct/>
        <w:autoSpaceDE w:val="0"/>
        <w:autoSpaceDN w:val="0"/>
        <w:spacing w:after="0" w:line="360" w:lineRule="auto"/>
        <w:ind w:firstLine="48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bookmarkStart w:id="67" w:name="_GoBack"/>
      <w:bookmarkEnd w:id="67"/>
      <w:r>
        <w:rPr>
          <w:rFonts w:hint="eastAsia" w:ascii="仿宋" w:hAnsi="仿宋" w:eastAsia="仿宋" w:cs="仿宋"/>
          <w:color w:val="auto"/>
          <w:szCs w:val="21"/>
          <w:highlight w:val="none"/>
        </w:rPr>
        <w:t>.本表仅供参考，可扩展。</w:t>
      </w:r>
    </w:p>
    <w:p w14:paraId="72887132">
      <w:pPr>
        <w:pStyle w:val="16"/>
        <w:ind w:firstLine="480" w:firstLineChars="200"/>
        <w:rPr>
          <w:rFonts w:hint="eastAsia" w:ascii="仿宋" w:hAnsi="仿宋" w:eastAsia="仿宋" w:cs="仿宋"/>
          <w:color w:val="auto"/>
          <w:highlight w:val="none"/>
        </w:rPr>
      </w:pPr>
    </w:p>
    <w:p w14:paraId="357BC2C3">
      <w:pPr>
        <w:widowControl w:val="0"/>
        <w:spacing w:line="360" w:lineRule="auto"/>
        <w:ind w:firstLine="240" w:firstLineChars="100"/>
        <w:jc w:val="both"/>
        <w:rPr>
          <w:rFonts w:hint="eastAsia" w:ascii="仿宋" w:hAnsi="仿宋" w:eastAsia="仿宋" w:cs="仿宋"/>
          <w:kern w:val="2"/>
          <w:sz w:val="24"/>
          <w:szCs w:val="24"/>
          <w:u w:val="single"/>
          <w:lang w:val="en-US" w:eastAsia="zh-CN" w:bidi="zh-CN"/>
        </w:rPr>
      </w:pPr>
      <w:r>
        <w:rPr>
          <w:rFonts w:hint="eastAsia" w:ascii="仿宋" w:hAnsi="仿宋" w:eastAsia="仿宋" w:cs="仿宋"/>
          <w:kern w:val="2"/>
          <w:sz w:val="24"/>
          <w:szCs w:val="24"/>
          <w:lang w:val="en-US" w:eastAsia="zh-CN" w:bidi="zh-CN"/>
        </w:rPr>
        <w:t xml:space="preserve">供应商名称（加盖公章）： </w:t>
      </w:r>
      <w:r>
        <w:rPr>
          <w:rFonts w:hint="eastAsia" w:ascii="仿宋" w:hAnsi="仿宋" w:eastAsia="仿宋" w:cs="仿宋"/>
          <w:kern w:val="2"/>
          <w:sz w:val="24"/>
          <w:szCs w:val="24"/>
          <w:u w:val="single"/>
          <w:lang w:val="en-US" w:eastAsia="zh-CN" w:bidi="zh-CN"/>
        </w:rPr>
        <w:t xml:space="preserve">                </w:t>
      </w:r>
    </w:p>
    <w:p w14:paraId="641D86AB">
      <w:pPr>
        <w:widowControl w:val="0"/>
        <w:spacing w:line="360" w:lineRule="auto"/>
        <w:ind w:firstLine="240" w:firstLineChars="100"/>
        <w:jc w:val="both"/>
        <w:rPr>
          <w:rFonts w:hint="eastAsia" w:ascii="仿宋" w:hAnsi="仿宋" w:eastAsia="仿宋" w:cs="仿宋"/>
          <w:kern w:val="2"/>
          <w:sz w:val="24"/>
          <w:szCs w:val="24"/>
          <w:lang w:val="en-US" w:eastAsia="zh-CN" w:bidi="zh-CN"/>
        </w:rPr>
      </w:pPr>
      <w:r>
        <w:rPr>
          <w:rFonts w:hint="eastAsia" w:ascii="仿宋" w:hAnsi="仿宋" w:eastAsia="仿宋" w:cs="仿宋"/>
          <w:kern w:val="2"/>
          <w:sz w:val="24"/>
          <w:szCs w:val="24"/>
          <w:lang w:val="en-US" w:eastAsia="zh-CN" w:bidi="zh-CN"/>
        </w:rPr>
        <w:t>日期：</w:t>
      </w:r>
      <w:r>
        <w:rPr>
          <w:rFonts w:hint="eastAsia" w:ascii="仿宋" w:hAnsi="仿宋" w:eastAsia="仿宋" w:cs="仿宋"/>
          <w:kern w:val="2"/>
          <w:sz w:val="24"/>
          <w:szCs w:val="24"/>
          <w:u w:val="single"/>
          <w:lang w:val="en-US" w:eastAsia="zh-CN" w:bidi="zh-CN"/>
        </w:rPr>
        <w:t xml:space="preserve">     年    月    日</w:t>
      </w:r>
    </w:p>
    <w:p w14:paraId="5E15036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2C9A464A">
      <w:pPr>
        <w:pStyle w:val="21"/>
        <w:ind w:left="0" w:leftChars="0" w:firstLine="0" w:firstLineChars="0"/>
        <w:jc w:val="left"/>
        <w:outlineLvl w:val="1"/>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  商务条款偏离表</w:t>
      </w:r>
      <w:bookmarkEnd w:id="61"/>
      <w:bookmarkEnd w:id="62"/>
    </w:p>
    <w:p w14:paraId="41C877B8">
      <w:pPr>
        <w:pStyle w:val="21"/>
        <w:ind w:left="0" w:leftChars="0" w:firstLine="0" w:firstLineChars="0"/>
        <w:jc w:val="center"/>
        <w:rPr>
          <w:rFonts w:hint="eastAsia" w:ascii="仿宋" w:hAnsi="仿宋" w:eastAsia="仿宋" w:cs="仿宋"/>
          <w:sz w:val="32"/>
          <w:szCs w:val="32"/>
          <w:lang w:val="en-US" w:eastAsia="zh-CN"/>
        </w:rPr>
      </w:pPr>
    </w:p>
    <w:p w14:paraId="73DBCC87">
      <w:pPr>
        <w:pStyle w:val="21"/>
        <w:ind w:left="0" w:leftChars="0" w:firstLine="0" w:firstLineChars="0"/>
        <w:jc w:val="center"/>
        <w:rPr>
          <w:rFonts w:hint="eastAsia" w:ascii="仿宋" w:hAnsi="仿宋" w:eastAsia="仿宋" w:cs="仿宋"/>
          <w:b/>
          <w:bCs/>
          <w:i w:val="0"/>
          <w:iCs w:val="0"/>
          <w:sz w:val="32"/>
          <w:szCs w:val="32"/>
          <w:lang w:val="en-US" w:eastAsia="zh-CN"/>
        </w:rPr>
      </w:pPr>
      <w:r>
        <w:rPr>
          <w:rFonts w:hint="eastAsia" w:ascii="仿宋" w:hAnsi="仿宋" w:eastAsia="仿宋" w:cs="仿宋"/>
          <w:b/>
          <w:bCs/>
          <w:i w:val="0"/>
          <w:iCs w:val="0"/>
          <w:sz w:val="32"/>
          <w:szCs w:val="32"/>
          <w:lang w:val="en-US" w:eastAsia="zh-CN"/>
        </w:rPr>
        <w:t>商务条款偏离表</w:t>
      </w:r>
    </w:p>
    <w:p w14:paraId="644C8428">
      <w:pPr>
        <w:rPr>
          <w:rFonts w:hint="eastAsia" w:ascii="仿宋" w:hAnsi="仿宋" w:eastAsia="仿宋" w:cs="仿宋"/>
          <w:lang w:val="en-US" w:eastAsia="zh-CN"/>
        </w:rPr>
      </w:pPr>
    </w:p>
    <w:p w14:paraId="5BE818A1">
      <w:pPr>
        <w:pStyle w:val="21"/>
        <w:ind w:left="0" w:leftChars="0" w:firstLine="0" w:firstLineChars="0"/>
        <w:jc w:val="left"/>
        <w:rPr>
          <w:rFonts w:hint="eastAsia" w:ascii="仿宋" w:hAnsi="仿宋" w:eastAsia="仿宋" w:cs="仿宋"/>
          <w:lang w:val="en-US" w:eastAsia="zh-CN"/>
        </w:rPr>
      </w:pPr>
      <w:r>
        <w:rPr>
          <w:rFonts w:hint="eastAsia" w:ascii="仿宋" w:hAnsi="仿宋" w:eastAsia="仿宋" w:cs="仿宋"/>
          <w:lang w:val="en-US" w:eastAsia="zh-CN"/>
        </w:rPr>
        <w:t>项目编号：</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项目名称：</w:t>
      </w:r>
      <w:r>
        <w:rPr>
          <w:rFonts w:hint="eastAsia" w:ascii="仿宋" w:hAnsi="仿宋" w:eastAsia="仿宋" w:cs="仿宋"/>
          <w:u w:val="single"/>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26FF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1B6352BF">
            <w:pPr>
              <w:spacing w:line="240" w:lineRule="auto"/>
              <w:rPr>
                <w:rFonts w:hint="eastAsia" w:ascii="仿宋" w:hAnsi="仿宋" w:eastAsia="仿宋" w:cs="仿宋"/>
                <w:sz w:val="24"/>
                <w:szCs w:val="24"/>
                <w:vertAlign w:val="baseline"/>
                <w:lang w:val="en-US" w:eastAsia="zh-CN"/>
              </w:rPr>
            </w:pPr>
            <w:r>
              <w:rPr>
                <w:rFonts w:hint="eastAsia" w:ascii="仿宋" w:hAnsi="仿宋" w:eastAsia="仿宋" w:cs="仿宋"/>
                <w:b/>
                <w:bCs/>
                <w:sz w:val="24"/>
                <w:szCs w:val="24"/>
                <w:vertAlign w:val="baseline"/>
                <w:lang w:val="en-US" w:eastAsia="zh-CN"/>
              </w:rPr>
              <w:t>对本项目商务条款的偏离情况（请进行勾选）：</w:t>
            </w:r>
          </w:p>
          <w:p w14:paraId="72CFB9D3">
            <w:pPr>
              <w:spacing w:line="240" w:lineRule="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w:t>
            </w:r>
            <w:r>
              <w:rPr>
                <w:rFonts w:hint="eastAsia" w:ascii="仿宋" w:hAnsi="仿宋" w:eastAsia="仿宋" w:cs="仿宋"/>
                <w:b/>
                <w:bCs/>
                <w:sz w:val="24"/>
                <w:szCs w:val="24"/>
                <w:vertAlign w:val="baseline"/>
                <w:lang w:val="en-US" w:eastAsia="zh-CN"/>
              </w:rPr>
              <w:t>无偏离</w:t>
            </w:r>
            <w:r>
              <w:rPr>
                <w:rFonts w:hint="eastAsia" w:ascii="仿宋" w:hAnsi="仿宋" w:eastAsia="仿宋" w:cs="仿宋"/>
                <w:sz w:val="24"/>
                <w:szCs w:val="24"/>
                <w:vertAlign w:val="baseline"/>
                <w:lang w:val="en-US" w:eastAsia="zh-CN"/>
              </w:rPr>
              <w:t>（如无偏离，仅选择无偏离即可；无偏离即为对合同条款中的所有要求，均视作供应商已对之理解和响应。）</w:t>
            </w:r>
          </w:p>
          <w:p w14:paraId="1EA361CD">
            <w:pPr>
              <w:spacing w:line="240" w:lineRule="auto"/>
              <w:rPr>
                <w:rFonts w:hint="eastAsia" w:ascii="仿宋" w:hAnsi="仿宋" w:eastAsia="仿宋" w:cs="仿宋"/>
                <w:sz w:val="21"/>
                <w:szCs w:val="21"/>
                <w:vertAlign w:val="baseline"/>
                <w:lang w:val="en-US" w:eastAsia="zh-CN"/>
              </w:rPr>
            </w:pPr>
            <w:r>
              <w:rPr>
                <w:rFonts w:hint="eastAsia" w:ascii="仿宋" w:hAnsi="仿宋" w:eastAsia="仿宋" w:cs="仿宋"/>
                <w:sz w:val="24"/>
                <w:szCs w:val="24"/>
                <w:vertAlign w:val="baseline"/>
                <w:lang w:val="en-US" w:eastAsia="zh-CN"/>
              </w:rPr>
              <w:t>□</w:t>
            </w:r>
            <w:r>
              <w:rPr>
                <w:rFonts w:hint="eastAsia" w:ascii="仿宋" w:hAnsi="仿宋" w:eastAsia="仿宋" w:cs="仿宋"/>
                <w:b/>
                <w:bCs/>
                <w:sz w:val="24"/>
                <w:szCs w:val="24"/>
                <w:vertAlign w:val="baseline"/>
                <w:lang w:val="en-US" w:eastAsia="zh-CN"/>
              </w:rPr>
              <w:t>有偏离</w:t>
            </w:r>
            <w:r>
              <w:rPr>
                <w:rFonts w:hint="eastAsia" w:ascii="仿宋" w:hAnsi="仿宋" w:eastAsia="仿宋" w:cs="仿宋"/>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4355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7A9A73F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1421" w:type="dxa"/>
            <w:vAlign w:val="center"/>
          </w:tcPr>
          <w:p w14:paraId="4E3B61B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w:t>
            </w:r>
          </w:p>
          <w:p w14:paraId="281923D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条目号</w:t>
            </w:r>
          </w:p>
          <w:p w14:paraId="54BFC15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（页码）</w:t>
            </w:r>
          </w:p>
        </w:tc>
        <w:tc>
          <w:tcPr>
            <w:tcW w:w="1901" w:type="dxa"/>
            <w:vAlign w:val="center"/>
          </w:tcPr>
          <w:p w14:paraId="36AFE63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采购文件要求</w:t>
            </w:r>
          </w:p>
        </w:tc>
        <w:tc>
          <w:tcPr>
            <w:tcW w:w="1753" w:type="dxa"/>
            <w:vAlign w:val="center"/>
          </w:tcPr>
          <w:p w14:paraId="327B0D3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响应文件内容</w:t>
            </w:r>
          </w:p>
        </w:tc>
        <w:tc>
          <w:tcPr>
            <w:tcW w:w="1561" w:type="dxa"/>
            <w:vAlign w:val="center"/>
          </w:tcPr>
          <w:p w14:paraId="194C2B3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偏离情况</w:t>
            </w:r>
          </w:p>
        </w:tc>
        <w:tc>
          <w:tcPr>
            <w:tcW w:w="1052" w:type="dxa"/>
            <w:vAlign w:val="center"/>
          </w:tcPr>
          <w:p w14:paraId="44B9C9C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说明</w:t>
            </w:r>
          </w:p>
        </w:tc>
      </w:tr>
      <w:tr w14:paraId="0164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4F619361">
            <w:pPr>
              <w:rPr>
                <w:rFonts w:hint="eastAsia" w:ascii="仿宋" w:hAnsi="仿宋" w:eastAsia="仿宋" w:cs="仿宋"/>
                <w:sz w:val="21"/>
                <w:szCs w:val="21"/>
                <w:vertAlign w:val="baseline"/>
                <w:lang w:val="en-US" w:eastAsia="zh-CN"/>
              </w:rPr>
            </w:pPr>
          </w:p>
        </w:tc>
        <w:tc>
          <w:tcPr>
            <w:tcW w:w="1421" w:type="dxa"/>
          </w:tcPr>
          <w:p w14:paraId="0564237A">
            <w:pPr>
              <w:rPr>
                <w:rFonts w:hint="eastAsia" w:ascii="仿宋" w:hAnsi="仿宋" w:eastAsia="仿宋" w:cs="仿宋"/>
                <w:sz w:val="21"/>
                <w:szCs w:val="21"/>
                <w:vertAlign w:val="baseline"/>
                <w:lang w:val="en-US" w:eastAsia="zh-CN"/>
              </w:rPr>
            </w:pPr>
          </w:p>
        </w:tc>
        <w:tc>
          <w:tcPr>
            <w:tcW w:w="1901" w:type="dxa"/>
          </w:tcPr>
          <w:p w14:paraId="17F46EC0">
            <w:pPr>
              <w:rPr>
                <w:rFonts w:hint="eastAsia" w:ascii="仿宋" w:hAnsi="仿宋" w:eastAsia="仿宋" w:cs="仿宋"/>
                <w:sz w:val="21"/>
                <w:szCs w:val="21"/>
                <w:vertAlign w:val="baseline"/>
                <w:lang w:val="en-US" w:eastAsia="zh-CN"/>
              </w:rPr>
            </w:pPr>
          </w:p>
        </w:tc>
        <w:tc>
          <w:tcPr>
            <w:tcW w:w="1753" w:type="dxa"/>
          </w:tcPr>
          <w:p w14:paraId="152552DE">
            <w:pPr>
              <w:rPr>
                <w:rFonts w:hint="eastAsia" w:ascii="仿宋" w:hAnsi="仿宋" w:eastAsia="仿宋" w:cs="仿宋"/>
                <w:sz w:val="21"/>
                <w:szCs w:val="21"/>
                <w:vertAlign w:val="baseline"/>
                <w:lang w:val="en-US" w:eastAsia="zh-CN"/>
              </w:rPr>
            </w:pPr>
          </w:p>
        </w:tc>
        <w:tc>
          <w:tcPr>
            <w:tcW w:w="1561" w:type="dxa"/>
          </w:tcPr>
          <w:p w14:paraId="3EE0CB5D">
            <w:pPr>
              <w:rPr>
                <w:rFonts w:hint="eastAsia" w:ascii="仿宋" w:hAnsi="仿宋" w:eastAsia="仿宋" w:cs="仿宋"/>
                <w:sz w:val="21"/>
                <w:szCs w:val="21"/>
                <w:vertAlign w:val="baseline"/>
                <w:lang w:val="en-US" w:eastAsia="zh-CN"/>
              </w:rPr>
            </w:pPr>
          </w:p>
        </w:tc>
        <w:tc>
          <w:tcPr>
            <w:tcW w:w="1052" w:type="dxa"/>
          </w:tcPr>
          <w:p w14:paraId="247D8F47">
            <w:pPr>
              <w:rPr>
                <w:rFonts w:hint="eastAsia" w:ascii="仿宋" w:hAnsi="仿宋" w:eastAsia="仿宋" w:cs="仿宋"/>
                <w:sz w:val="21"/>
                <w:szCs w:val="21"/>
                <w:vertAlign w:val="baseline"/>
                <w:lang w:val="en-US" w:eastAsia="zh-CN"/>
              </w:rPr>
            </w:pPr>
          </w:p>
        </w:tc>
      </w:tr>
      <w:tr w14:paraId="6F47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12E7C3FB">
            <w:pPr>
              <w:rPr>
                <w:rFonts w:hint="eastAsia" w:ascii="仿宋" w:hAnsi="仿宋" w:eastAsia="仿宋" w:cs="仿宋"/>
                <w:sz w:val="21"/>
                <w:szCs w:val="21"/>
                <w:vertAlign w:val="baseline"/>
                <w:lang w:val="en-US" w:eastAsia="zh-CN"/>
              </w:rPr>
            </w:pPr>
          </w:p>
        </w:tc>
        <w:tc>
          <w:tcPr>
            <w:tcW w:w="1421" w:type="dxa"/>
          </w:tcPr>
          <w:p w14:paraId="45F902D6">
            <w:pPr>
              <w:rPr>
                <w:rFonts w:hint="eastAsia" w:ascii="仿宋" w:hAnsi="仿宋" w:eastAsia="仿宋" w:cs="仿宋"/>
                <w:sz w:val="21"/>
                <w:szCs w:val="21"/>
                <w:vertAlign w:val="baseline"/>
                <w:lang w:val="en-US" w:eastAsia="zh-CN"/>
              </w:rPr>
            </w:pPr>
          </w:p>
        </w:tc>
        <w:tc>
          <w:tcPr>
            <w:tcW w:w="1901" w:type="dxa"/>
          </w:tcPr>
          <w:p w14:paraId="40112B91">
            <w:pPr>
              <w:rPr>
                <w:rFonts w:hint="eastAsia" w:ascii="仿宋" w:hAnsi="仿宋" w:eastAsia="仿宋" w:cs="仿宋"/>
                <w:sz w:val="21"/>
                <w:szCs w:val="21"/>
                <w:vertAlign w:val="baseline"/>
                <w:lang w:val="en-US" w:eastAsia="zh-CN"/>
              </w:rPr>
            </w:pPr>
          </w:p>
        </w:tc>
        <w:tc>
          <w:tcPr>
            <w:tcW w:w="1753" w:type="dxa"/>
          </w:tcPr>
          <w:p w14:paraId="4923C67B">
            <w:pPr>
              <w:rPr>
                <w:rFonts w:hint="eastAsia" w:ascii="仿宋" w:hAnsi="仿宋" w:eastAsia="仿宋" w:cs="仿宋"/>
                <w:sz w:val="21"/>
                <w:szCs w:val="21"/>
                <w:vertAlign w:val="baseline"/>
                <w:lang w:val="en-US" w:eastAsia="zh-CN"/>
              </w:rPr>
            </w:pPr>
          </w:p>
        </w:tc>
        <w:tc>
          <w:tcPr>
            <w:tcW w:w="1561" w:type="dxa"/>
          </w:tcPr>
          <w:p w14:paraId="49DF05D1">
            <w:pPr>
              <w:rPr>
                <w:rFonts w:hint="eastAsia" w:ascii="仿宋" w:hAnsi="仿宋" w:eastAsia="仿宋" w:cs="仿宋"/>
                <w:sz w:val="21"/>
                <w:szCs w:val="21"/>
                <w:vertAlign w:val="baseline"/>
                <w:lang w:val="en-US" w:eastAsia="zh-CN"/>
              </w:rPr>
            </w:pPr>
          </w:p>
        </w:tc>
        <w:tc>
          <w:tcPr>
            <w:tcW w:w="1052" w:type="dxa"/>
          </w:tcPr>
          <w:p w14:paraId="20B9CC07">
            <w:pPr>
              <w:rPr>
                <w:rFonts w:hint="eastAsia" w:ascii="仿宋" w:hAnsi="仿宋" w:eastAsia="仿宋" w:cs="仿宋"/>
                <w:sz w:val="21"/>
                <w:szCs w:val="21"/>
                <w:vertAlign w:val="baseline"/>
                <w:lang w:val="en-US" w:eastAsia="zh-CN"/>
              </w:rPr>
            </w:pPr>
          </w:p>
        </w:tc>
      </w:tr>
      <w:tr w14:paraId="4457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36ED367F">
            <w:pPr>
              <w:rPr>
                <w:rFonts w:hint="eastAsia" w:ascii="仿宋" w:hAnsi="仿宋" w:eastAsia="仿宋" w:cs="仿宋"/>
                <w:sz w:val="21"/>
                <w:szCs w:val="21"/>
                <w:vertAlign w:val="baseline"/>
                <w:lang w:val="en-US" w:eastAsia="zh-CN"/>
              </w:rPr>
            </w:pPr>
          </w:p>
        </w:tc>
        <w:tc>
          <w:tcPr>
            <w:tcW w:w="1421" w:type="dxa"/>
          </w:tcPr>
          <w:p w14:paraId="38F79F18">
            <w:pPr>
              <w:rPr>
                <w:rFonts w:hint="eastAsia" w:ascii="仿宋" w:hAnsi="仿宋" w:eastAsia="仿宋" w:cs="仿宋"/>
                <w:sz w:val="21"/>
                <w:szCs w:val="21"/>
                <w:vertAlign w:val="baseline"/>
                <w:lang w:val="en-US" w:eastAsia="zh-CN"/>
              </w:rPr>
            </w:pPr>
          </w:p>
        </w:tc>
        <w:tc>
          <w:tcPr>
            <w:tcW w:w="1901" w:type="dxa"/>
          </w:tcPr>
          <w:p w14:paraId="1B68996C">
            <w:pPr>
              <w:rPr>
                <w:rFonts w:hint="eastAsia" w:ascii="仿宋" w:hAnsi="仿宋" w:eastAsia="仿宋" w:cs="仿宋"/>
                <w:sz w:val="21"/>
                <w:szCs w:val="21"/>
                <w:vertAlign w:val="baseline"/>
                <w:lang w:val="en-US" w:eastAsia="zh-CN"/>
              </w:rPr>
            </w:pPr>
          </w:p>
        </w:tc>
        <w:tc>
          <w:tcPr>
            <w:tcW w:w="1753" w:type="dxa"/>
          </w:tcPr>
          <w:p w14:paraId="5AF37250">
            <w:pPr>
              <w:rPr>
                <w:rFonts w:hint="eastAsia" w:ascii="仿宋" w:hAnsi="仿宋" w:eastAsia="仿宋" w:cs="仿宋"/>
                <w:sz w:val="21"/>
                <w:szCs w:val="21"/>
                <w:vertAlign w:val="baseline"/>
                <w:lang w:val="en-US" w:eastAsia="zh-CN"/>
              </w:rPr>
            </w:pPr>
          </w:p>
        </w:tc>
        <w:tc>
          <w:tcPr>
            <w:tcW w:w="1561" w:type="dxa"/>
          </w:tcPr>
          <w:p w14:paraId="5DFE7B23">
            <w:pPr>
              <w:rPr>
                <w:rFonts w:hint="eastAsia" w:ascii="仿宋" w:hAnsi="仿宋" w:eastAsia="仿宋" w:cs="仿宋"/>
                <w:sz w:val="21"/>
                <w:szCs w:val="21"/>
                <w:vertAlign w:val="baseline"/>
                <w:lang w:val="en-US" w:eastAsia="zh-CN"/>
              </w:rPr>
            </w:pPr>
          </w:p>
        </w:tc>
        <w:tc>
          <w:tcPr>
            <w:tcW w:w="1052" w:type="dxa"/>
          </w:tcPr>
          <w:p w14:paraId="7F566B79">
            <w:pPr>
              <w:rPr>
                <w:rFonts w:hint="eastAsia" w:ascii="仿宋" w:hAnsi="仿宋" w:eastAsia="仿宋" w:cs="仿宋"/>
                <w:sz w:val="21"/>
                <w:szCs w:val="21"/>
                <w:vertAlign w:val="baseline"/>
                <w:lang w:val="en-US" w:eastAsia="zh-CN"/>
              </w:rPr>
            </w:pPr>
          </w:p>
        </w:tc>
      </w:tr>
      <w:tr w14:paraId="0303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606E9099">
            <w:pPr>
              <w:rPr>
                <w:rFonts w:hint="eastAsia" w:ascii="仿宋" w:hAnsi="仿宋" w:eastAsia="仿宋" w:cs="仿宋"/>
                <w:sz w:val="21"/>
                <w:szCs w:val="21"/>
                <w:vertAlign w:val="baseline"/>
                <w:lang w:val="en-US" w:eastAsia="zh-CN"/>
              </w:rPr>
            </w:pPr>
          </w:p>
        </w:tc>
        <w:tc>
          <w:tcPr>
            <w:tcW w:w="1421" w:type="dxa"/>
          </w:tcPr>
          <w:p w14:paraId="6A6F4629">
            <w:pPr>
              <w:rPr>
                <w:rFonts w:hint="eastAsia" w:ascii="仿宋" w:hAnsi="仿宋" w:eastAsia="仿宋" w:cs="仿宋"/>
                <w:sz w:val="21"/>
                <w:szCs w:val="21"/>
                <w:vertAlign w:val="baseline"/>
                <w:lang w:val="en-US" w:eastAsia="zh-CN"/>
              </w:rPr>
            </w:pPr>
          </w:p>
        </w:tc>
        <w:tc>
          <w:tcPr>
            <w:tcW w:w="1901" w:type="dxa"/>
          </w:tcPr>
          <w:p w14:paraId="36C49222">
            <w:pPr>
              <w:rPr>
                <w:rFonts w:hint="eastAsia" w:ascii="仿宋" w:hAnsi="仿宋" w:eastAsia="仿宋" w:cs="仿宋"/>
                <w:sz w:val="21"/>
                <w:szCs w:val="21"/>
                <w:vertAlign w:val="baseline"/>
                <w:lang w:val="en-US" w:eastAsia="zh-CN"/>
              </w:rPr>
            </w:pPr>
          </w:p>
        </w:tc>
        <w:tc>
          <w:tcPr>
            <w:tcW w:w="1753" w:type="dxa"/>
          </w:tcPr>
          <w:p w14:paraId="1F24FBDA">
            <w:pPr>
              <w:rPr>
                <w:rFonts w:hint="eastAsia" w:ascii="仿宋" w:hAnsi="仿宋" w:eastAsia="仿宋" w:cs="仿宋"/>
                <w:sz w:val="21"/>
                <w:szCs w:val="21"/>
                <w:vertAlign w:val="baseline"/>
                <w:lang w:val="en-US" w:eastAsia="zh-CN"/>
              </w:rPr>
            </w:pPr>
          </w:p>
        </w:tc>
        <w:tc>
          <w:tcPr>
            <w:tcW w:w="1561" w:type="dxa"/>
          </w:tcPr>
          <w:p w14:paraId="05A54EF0">
            <w:pPr>
              <w:rPr>
                <w:rFonts w:hint="eastAsia" w:ascii="仿宋" w:hAnsi="仿宋" w:eastAsia="仿宋" w:cs="仿宋"/>
                <w:sz w:val="21"/>
                <w:szCs w:val="21"/>
                <w:vertAlign w:val="baseline"/>
                <w:lang w:val="en-US" w:eastAsia="zh-CN"/>
              </w:rPr>
            </w:pPr>
          </w:p>
        </w:tc>
        <w:tc>
          <w:tcPr>
            <w:tcW w:w="1052" w:type="dxa"/>
          </w:tcPr>
          <w:p w14:paraId="7D05EC21">
            <w:pPr>
              <w:rPr>
                <w:rFonts w:hint="eastAsia" w:ascii="仿宋" w:hAnsi="仿宋" w:eastAsia="仿宋" w:cs="仿宋"/>
                <w:sz w:val="21"/>
                <w:szCs w:val="21"/>
                <w:vertAlign w:val="baseline"/>
                <w:lang w:val="en-US" w:eastAsia="zh-CN"/>
              </w:rPr>
            </w:pPr>
          </w:p>
        </w:tc>
      </w:tr>
      <w:tr w14:paraId="5CB1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54C456D">
            <w:pPr>
              <w:rPr>
                <w:rFonts w:hint="eastAsia" w:ascii="仿宋" w:hAnsi="仿宋" w:eastAsia="仿宋" w:cs="仿宋"/>
                <w:sz w:val="21"/>
                <w:szCs w:val="21"/>
                <w:vertAlign w:val="baseline"/>
                <w:lang w:val="en-US" w:eastAsia="zh-CN"/>
              </w:rPr>
            </w:pPr>
          </w:p>
        </w:tc>
        <w:tc>
          <w:tcPr>
            <w:tcW w:w="1421" w:type="dxa"/>
          </w:tcPr>
          <w:p w14:paraId="45A7A1C3">
            <w:pPr>
              <w:rPr>
                <w:rFonts w:hint="eastAsia" w:ascii="仿宋" w:hAnsi="仿宋" w:eastAsia="仿宋" w:cs="仿宋"/>
                <w:sz w:val="21"/>
                <w:szCs w:val="21"/>
                <w:vertAlign w:val="baseline"/>
                <w:lang w:val="en-US" w:eastAsia="zh-CN"/>
              </w:rPr>
            </w:pPr>
          </w:p>
        </w:tc>
        <w:tc>
          <w:tcPr>
            <w:tcW w:w="1901" w:type="dxa"/>
          </w:tcPr>
          <w:p w14:paraId="20909E28">
            <w:pPr>
              <w:rPr>
                <w:rFonts w:hint="eastAsia" w:ascii="仿宋" w:hAnsi="仿宋" w:eastAsia="仿宋" w:cs="仿宋"/>
                <w:sz w:val="21"/>
                <w:szCs w:val="21"/>
                <w:vertAlign w:val="baseline"/>
                <w:lang w:val="en-US" w:eastAsia="zh-CN"/>
              </w:rPr>
            </w:pPr>
          </w:p>
        </w:tc>
        <w:tc>
          <w:tcPr>
            <w:tcW w:w="1753" w:type="dxa"/>
          </w:tcPr>
          <w:p w14:paraId="1E47267B">
            <w:pPr>
              <w:rPr>
                <w:rFonts w:hint="eastAsia" w:ascii="仿宋" w:hAnsi="仿宋" w:eastAsia="仿宋" w:cs="仿宋"/>
                <w:sz w:val="21"/>
                <w:szCs w:val="21"/>
                <w:vertAlign w:val="baseline"/>
                <w:lang w:val="en-US" w:eastAsia="zh-CN"/>
              </w:rPr>
            </w:pPr>
          </w:p>
        </w:tc>
        <w:tc>
          <w:tcPr>
            <w:tcW w:w="1561" w:type="dxa"/>
          </w:tcPr>
          <w:p w14:paraId="0A2966E8">
            <w:pPr>
              <w:rPr>
                <w:rFonts w:hint="eastAsia" w:ascii="仿宋" w:hAnsi="仿宋" w:eastAsia="仿宋" w:cs="仿宋"/>
                <w:sz w:val="21"/>
                <w:szCs w:val="21"/>
                <w:vertAlign w:val="baseline"/>
                <w:lang w:val="en-US" w:eastAsia="zh-CN"/>
              </w:rPr>
            </w:pPr>
          </w:p>
        </w:tc>
        <w:tc>
          <w:tcPr>
            <w:tcW w:w="1052" w:type="dxa"/>
          </w:tcPr>
          <w:p w14:paraId="33FF7FB7">
            <w:pPr>
              <w:rPr>
                <w:rFonts w:hint="eastAsia" w:ascii="仿宋" w:hAnsi="仿宋" w:eastAsia="仿宋" w:cs="仿宋"/>
                <w:sz w:val="21"/>
                <w:szCs w:val="21"/>
                <w:vertAlign w:val="baseline"/>
                <w:lang w:val="en-US" w:eastAsia="zh-CN"/>
              </w:rPr>
            </w:pPr>
          </w:p>
        </w:tc>
      </w:tr>
    </w:tbl>
    <w:p w14:paraId="3D3C69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14:paraId="1E1490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对商务条款中的所有要求，除本表所列明的所有偏离外，均视作供应商已对之理解和响应。</w:t>
      </w:r>
    </w:p>
    <w:p w14:paraId="1E29B44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lang w:val="en-US" w:eastAsia="zh-CN"/>
        </w:rPr>
      </w:pPr>
      <w:bookmarkStart w:id="63" w:name="_Toc30559"/>
      <w:bookmarkStart w:id="64" w:name="_Toc5054"/>
      <w:r>
        <w:rPr>
          <w:rFonts w:hint="eastAsia" w:ascii="仿宋" w:hAnsi="仿宋" w:eastAsia="仿宋" w:cs="仿宋"/>
          <w:sz w:val="24"/>
          <w:szCs w:val="24"/>
          <w:lang w:val="en-US" w:eastAsia="zh-CN"/>
        </w:rPr>
        <w:t>2. “偏离情况”列应据实填写“正偏离”或“负偏离”。</w:t>
      </w:r>
      <w:bookmarkEnd w:id="63"/>
      <w:bookmarkEnd w:id="64"/>
    </w:p>
    <w:p w14:paraId="1AF81C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14:paraId="4DB20AA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14:paraId="70B865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供应商名称（加盖公章）：</w:t>
      </w:r>
      <w:r>
        <w:rPr>
          <w:rFonts w:hint="eastAsia" w:ascii="仿宋" w:hAnsi="仿宋" w:eastAsia="仿宋" w:cs="仿宋"/>
          <w:sz w:val="24"/>
          <w:szCs w:val="24"/>
          <w:u w:val="single"/>
          <w:lang w:val="en-US" w:eastAsia="zh-CN"/>
        </w:rPr>
        <w:t xml:space="preserve">                 </w:t>
      </w:r>
    </w:p>
    <w:p w14:paraId="7915EA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年     月     日</w:t>
      </w:r>
    </w:p>
    <w:p w14:paraId="14A72486">
      <w:pPr>
        <w:pStyle w:val="26"/>
        <w:rPr>
          <w:rFonts w:hint="eastAsia" w:ascii="仿宋" w:hAnsi="仿宋" w:eastAsia="仿宋" w:cs="仿宋"/>
          <w:sz w:val="24"/>
          <w:szCs w:val="24"/>
          <w:lang w:val="en-US" w:eastAsia="zh-CN"/>
        </w:rPr>
      </w:pPr>
    </w:p>
    <w:p w14:paraId="2EBC47CF">
      <w:pPr>
        <w:rPr>
          <w:rFonts w:hint="eastAsia" w:ascii="仿宋" w:hAnsi="仿宋" w:eastAsia="仿宋" w:cs="仿宋"/>
          <w:lang w:val="en-US" w:eastAsia="zh-CN"/>
        </w:rPr>
      </w:pPr>
      <w:r>
        <w:rPr>
          <w:rFonts w:hint="eastAsia" w:ascii="仿宋" w:hAnsi="仿宋" w:eastAsia="仿宋" w:cs="仿宋"/>
          <w:lang w:val="en-US" w:eastAsia="zh-CN"/>
        </w:rPr>
        <w:br w:type="page"/>
      </w:r>
    </w:p>
    <w:p w14:paraId="1E1BB4DF">
      <w:pPr>
        <w:pStyle w:val="21"/>
        <w:ind w:left="0" w:leftChars="0" w:firstLine="0" w:firstLineChars="0"/>
        <w:outlineLvl w:val="1"/>
        <w:rPr>
          <w:rFonts w:hint="eastAsia" w:ascii="仿宋" w:hAnsi="仿宋" w:eastAsia="仿宋" w:cs="仿宋"/>
          <w:sz w:val="24"/>
          <w:szCs w:val="24"/>
          <w:lang w:val="en-US" w:eastAsia="zh-CN"/>
        </w:rPr>
      </w:pPr>
      <w:bookmarkStart w:id="65" w:name="_Toc12415"/>
      <w:bookmarkStart w:id="66" w:name="_Toc3795"/>
      <w:r>
        <w:rPr>
          <w:rFonts w:hint="eastAsia" w:ascii="仿宋" w:hAnsi="仿宋" w:eastAsia="仿宋" w:cs="仿宋"/>
          <w:sz w:val="24"/>
          <w:szCs w:val="24"/>
          <w:lang w:val="en-US" w:eastAsia="zh-CN"/>
        </w:rPr>
        <w:t>10 技术要求偏离表</w:t>
      </w:r>
      <w:bookmarkEnd w:id="65"/>
      <w:bookmarkEnd w:id="66"/>
    </w:p>
    <w:p w14:paraId="2A8588E3">
      <w:pPr>
        <w:pStyle w:val="21"/>
        <w:ind w:left="0" w:leftChars="0" w:firstLine="0" w:firstLineChars="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采购需求偏离表</w:t>
      </w:r>
    </w:p>
    <w:p w14:paraId="2B32F8CB">
      <w:pPr>
        <w:pStyle w:val="21"/>
        <w:ind w:left="0" w:leftChars="0" w:firstLine="0" w:firstLineChars="0"/>
        <w:rPr>
          <w:rFonts w:hint="eastAsia" w:ascii="仿宋" w:hAnsi="仿宋" w:eastAsia="仿宋" w:cs="仿宋"/>
          <w:sz w:val="24"/>
          <w:szCs w:val="24"/>
          <w:lang w:val="en-US" w:eastAsia="zh-CN"/>
        </w:rPr>
      </w:pPr>
    </w:p>
    <w:p w14:paraId="7C435ED8">
      <w:pPr>
        <w:pStyle w:val="21"/>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项目编号：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项目名称：</w:t>
      </w:r>
      <w:r>
        <w:rPr>
          <w:rFonts w:hint="eastAsia" w:ascii="仿宋" w:hAnsi="仿宋" w:eastAsia="仿宋" w:cs="仿宋"/>
          <w:sz w:val="21"/>
          <w:szCs w:val="21"/>
          <w:u w:val="single"/>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27E0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CB2AB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1422" w:type="dxa"/>
            <w:vAlign w:val="center"/>
          </w:tcPr>
          <w:p w14:paraId="360E3F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采购文件条</w:t>
            </w:r>
          </w:p>
          <w:p w14:paraId="66A741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目号(页码)</w:t>
            </w:r>
          </w:p>
        </w:tc>
        <w:tc>
          <w:tcPr>
            <w:tcW w:w="1805" w:type="dxa"/>
            <w:vAlign w:val="center"/>
          </w:tcPr>
          <w:p w14:paraId="59EF7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采购文件要求</w:t>
            </w:r>
          </w:p>
        </w:tc>
        <w:tc>
          <w:tcPr>
            <w:tcW w:w="1672" w:type="dxa"/>
            <w:vAlign w:val="center"/>
          </w:tcPr>
          <w:p w14:paraId="7FD2B3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响应文件内容</w:t>
            </w:r>
          </w:p>
        </w:tc>
        <w:tc>
          <w:tcPr>
            <w:tcW w:w="1421" w:type="dxa"/>
            <w:vAlign w:val="center"/>
          </w:tcPr>
          <w:p w14:paraId="5DA806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偏离情况</w:t>
            </w:r>
          </w:p>
        </w:tc>
        <w:tc>
          <w:tcPr>
            <w:tcW w:w="1421" w:type="dxa"/>
            <w:vAlign w:val="center"/>
          </w:tcPr>
          <w:p w14:paraId="4785F4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说明</w:t>
            </w:r>
          </w:p>
        </w:tc>
      </w:tr>
      <w:tr w14:paraId="2F36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DFD4B7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5ECF0B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45DB4CE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59ECE7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747F06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2F81DE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0743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CC1CA9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37A9B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4CB1CD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21EC6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70E195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07384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4972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38A32B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4740A0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65CDC95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25AA628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1A3F13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2928DFA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43F8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79BC8B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50F745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00F3E6B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113EB37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4E7249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6993C1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6967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51E0C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4ECC52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5785C0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1F3B1C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26FA3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F4C65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540B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405AA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3FCB65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49C565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0B4516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4DC922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15E2BD9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14E4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06D17B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4BF15C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6C64E2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5E57E4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1EE51D2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316170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bl>
    <w:p w14:paraId="2A9F58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14:paraId="16CD57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04DCB9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10CC87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3.供应商应按照采购文件第五章采购需求中要求提供投标产品技术支持资料（或证明材料），并在采购需求响应及偏离表中给予文件名称、所处响应文件页码或位置等必要说明。</w:t>
      </w:r>
    </w:p>
    <w:p w14:paraId="292A2C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4.“偏离情况”列应据实填写“正偏离”、“负偏离”或“无偏离”。</w:t>
      </w:r>
    </w:p>
    <w:p w14:paraId="7D1E93B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供应商名称（加盖公章）： </w:t>
      </w:r>
      <w:r>
        <w:rPr>
          <w:rFonts w:hint="eastAsia" w:ascii="仿宋" w:hAnsi="仿宋" w:eastAsia="仿宋" w:cs="仿宋"/>
          <w:sz w:val="24"/>
          <w:szCs w:val="24"/>
          <w:u w:val="single"/>
          <w:lang w:val="en-US" w:eastAsia="zh-CN"/>
        </w:rPr>
        <w:t xml:space="preserve">              </w:t>
      </w:r>
    </w:p>
    <w:p w14:paraId="221465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年     月     日</w:t>
      </w:r>
    </w:p>
    <w:p w14:paraId="74AAB242">
      <w:pPr>
        <w:rPr>
          <w:rFonts w:hint="eastAsia" w:ascii="仿宋" w:hAnsi="仿宋" w:eastAsia="仿宋" w:cs="仿宋"/>
          <w:lang w:val="en-US" w:eastAsia="zh-CN"/>
        </w:rPr>
      </w:pPr>
      <w:r>
        <w:rPr>
          <w:rFonts w:hint="eastAsia" w:ascii="仿宋" w:hAnsi="仿宋" w:eastAsia="仿宋" w:cs="仿宋"/>
          <w:lang w:val="en-US" w:eastAsia="zh-CN"/>
        </w:rPr>
        <w:br w:type="page"/>
      </w:r>
    </w:p>
    <w:p w14:paraId="04A1444E">
      <w:pPr>
        <w:widowControl w:val="0"/>
        <w:spacing w:line="360" w:lineRule="auto"/>
        <w:ind w:left="0" w:leftChars="0" w:firstLine="0" w:firstLineChars="0"/>
        <w:jc w:val="both"/>
        <w:rPr>
          <w:rFonts w:hint="eastAsia" w:ascii="仿宋" w:hAnsi="仿宋" w:eastAsia="仿宋" w:cs="仿宋"/>
          <w:kern w:val="2"/>
          <w:sz w:val="24"/>
          <w:szCs w:val="24"/>
          <w:lang w:val="en-US" w:eastAsia="zh-CN" w:bidi="zh-CN"/>
        </w:rPr>
      </w:pPr>
      <w:r>
        <w:rPr>
          <w:rFonts w:hint="eastAsia" w:ascii="仿宋" w:hAnsi="仿宋" w:eastAsia="仿宋" w:cs="仿宋"/>
          <w:kern w:val="2"/>
          <w:sz w:val="24"/>
          <w:szCs w:val="24"/>
          <w:lang w:val="en-US" w:eastAsia="zh-CN" w:bidi="zh-CN"/>
        </w:rPr>
        <w:t>11   采购文件要求提供或供应商认为应附的其他材料</w:t>
      </w:r>
    </w:p>
    <w:p w14:paraId="2E3E2697">
      <w:pPr>
        <w:pStyle w:val="21"/>
        <w:rPr>
          <w:rFonts w:hint="eastAsia" w:ascii="仿宋" w:hAnsi="仿宋" w:eastAsia="仿宋" w:cs="仿宋"/>
          <w:lang w:val="en-US" w:eastAsia="zh-CN"/>
        </w:rPr>
      </w:pPr>
    </w:p>
    <w:p w14:paraId="03B3E355">
      <w:pPr>
        <w:rPr>
          <w:rFonts w:hint="eastAsia" w:ascii="仿宋" w:hAnsi="仿宋" w:eastAsia="仿宋" w:cs="仿宋"/>
          <w:b w:val="0"/>
          <w:bCs w:val="0"/>
          <w:kern w:val="2"/>
          <w:sz w:val="24"/>
          <w:szCs w:val="24"/>
          <w:lang w:val="en-US" w:eastAsia="zh-CN" w:bidi="zh-CN"/>
        </w:rPr>
      </w:pPr>
    </w:p>
    <w:sectPr>
      <w:headerReference r:id="rId9" w:type="default"/>
      <w:footerReference r:id="rId10" w:type="default"/>
      <w:pgSz w:w="11906" w:h="16838"/>
      <w:pgMar w:top="1440" w:right="1463" w:bottom="1213" w:left="1519" w:header="851" w:footer="992" w:gutter="0"/>
      <w:pgNumType w:fmt="decimal"/>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4532BAEA-57C5-45B6-BFE0-64F81D46E5B6}"/>
  </w:font>
  <w:font w:name="仿宋_GB2312">
    <w:panose1 w:val="02010609030101010101"/>
    <w:charset w:val="86"/>
    <w:family w:val="auto"/>
    <w:pitch w:val="default"/>
    <w:sig w:usb0="00000001" w:usb1="080E0000" w:usb2="00000000" w:usb3="00000000" w:csb0="00040000" w:csb1="00000000"/>
    <w:embedRegular r:id="rId2" w:fontKey="{E5474645-3A69-47A7-8A2E-5258ED58F58D}"/>
  </w:font>
  <w:font w:name="微软雅黑">
    <w:panose1 w:val="020B0503020204020204"/>
    <w:charset w:val="86"/>
    <w:family w:val="auto"/>
    <w:pitch w:val="default"/>
    <w:sig w:usb0="80000287" w:usb1="2ACF3C50" w:usb2="00000016" w:usb3="00000000" w:csb0="0004001F" w:csb1="00000000"/>
    <w:embedRegular r:id="rId3" w:fontKey="{70F90486-EF47-42B6-AB30-6C42547D855E}"/>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4" w:fontKey="{D47B88C4-E802-4113-B789-FA03A4D04412}"/>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Microsoft JhengHei UI">
    <w:panose1 w:val="020B0604030504040204"/>
    <w:charset w:val="88"/>
    <w:family w:val="auto"/>
    <w:pitch w:val="default"/>
    <w:sig w:usb0="000002A7" w:usb1="28CF4400" w:usb2="00000016" w:usb3="00000000" w:csb0="00100009" w:csb1="00000000"/>
    <w:embedRegular r:id="rId5" w:fontKey="{786A76BF-65B5-4456-B956-792D3C829C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94876">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5782E">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95782E">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634D7">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D412">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20</w:t>
    </w:r>
    <w:r>
      <w:fldChar w:fldCharType="end"/>
    </w:r>
  </w:p>
  <w:p w14:paraId="2F647921">
    <w:pPr>
      <w:pStyle w:val="18"/>
      <w:jc w:val="center"/>
    </w:pPr>
  </w:p>
  <w:p w14:paraId="0029DFDA">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2C9C">
    <w:pPr>
      <w:pStyle w:val="18"/>
      <w:framePr w:wrap="around" w:vAnchor="text" w:hAnchor="margin" w:xAlign="center" w:y="1"/>
      <w:rPr>
        <w:rStyle w:val="31"/>
      </w:rPr>
    </w:pPr>
    <w:r>
      <w:fldChar w:fldCharType="begin"/>
    </w:r>
    <w:r>
      <w:rPr>
        <w:rStyle w:val="31"/>
      </w:rPr>
      <w:instrText xml:space="preserve">PAGE  </w:instrText>
    </w:r>
    <w:r>
      <w:fldChar w:fldCharType="separate"/>
    </w:r>
    <w:r>
      <w:t xml:space="preserve"> </w:t>
    </w:r>
    <w:r>
      <w:fldChar w:fldCharType="end"/>
    </w:r>
  </w:p>
  <w:p w14:paraId="713EF3B3">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3952B">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B7D9E">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57B7D9E">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11C8A">
    <w:pPr>
      <w:pStyle w:val="19"/>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1E4EBD0D">
    <w:pPr>
      <w:pStyle w:val="19"/>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BD21">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C62DB">
    <w:pPr>
      <w:pStyle w:val="19"/>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046A3A"/>
    <w:multiLevelType w:val="singleLevel"/>
    <w:tmpl w:val="BC046A3A"/>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CE887938"/>
    <w:multiLevelType w:val="singleLevel"/>
    <w:tmpl w:val="CE887938"/>
    <w:lvl w:ilvl="0" w:tentative="0">
      <w:start w:val="1"/>
      <w:numFmt w:val="decimal"/>
      <w:suff w:val="nothing"/>
      <w:lvlText w:val="%1、"/>
      <w:lvlJc w:val="left"/>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10"/>
  </w:num>
  <w:num w:numId="3">
    <w:abstractNumId w:val="7"/>
  </w:num>
  <w:num w:numId="4">
    <w:abstractNumId w:val="11"/>
  </w:num>
  <w:num w:numId="5">
    <w:abstractNumId w:val="12"/>
  </w:num>
  <w:num w:numId="6">
    <w:abstractNumId w:val="9"/>
  </w:num>
  <w:num w:numId="7">
    <w:abstractNumId w:val="6"/>
  </w:num>
  <w:num w:numId="8">
    <w:abstractNumId w:val="2"/>
  </w:num>
  <w:num w:numId="9">
    <w:abstractNumId w:val="8"/>
  </w:num>
  <w:num w:numId="10">
    <w:abstractNumId w:val="4"/>
  </w:num>
  <w:num w:numId="11">
    <w:abstractNumId w:val="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5M2YxN2ZhYjM1MWZkZjZiYTE5YWI5NDQ0ZTE2NjMifQ=="/>
  </w:docVars>
  <w:rsids>
    <w:rsidRoot w:val="1AA24D9F"/>
    <w:rsid w:val="009B7723"/>
    <w:rsid w:val="009D4A43"/>
    <w:rsid w:val="02353A89"/>
    <w:rsid w:val="026C6D7F"/>
    <w:rsid w:val="0292666F"/>
    <w:rsid w:val="02BE582C"/>
    <w:rsid w:val="030A23FA"/>
    <w:rsid w:val="034F484F"/>
    <w:rsid w:val="039D264D"/>
    <w:rsid w:val="04071455"/>
    <w:rsid w:val="04100C9A"/>
    <w:rsid w:val="056B77C2"/>
    <w:rsid w:val="05946D18"/>
    <w:rsid w:val="05B37618"/>
    <w:rsid w:val="061B1E9A"/>
    <w:rsid w:val="06C4362D"/>
    <w:rsid w:val="06D23342"/>
    <w:rsid w:val="06EB6E0C"/>
    <w:rsid w:val="07011CC2"/>
    <w:rsid w:val="071751E8"/>
    <w:rsid w:val="07644792"/>
    <w:rsid w:val="07BE71A8"/>
    <w:rsid w:val="0822060B"/>
    <w:rsid w:val="08E17110"/>
    <w:rsid w:val="09033A0C"/>
    <w:rsid w:val="09284798"/>
    <w:rsid w:val="09353BD7"/>
    <w:rsid w:val="099153F6"/>
    <w:rsid w:val="09BC4A90"/>
    <w:rsid w:val="09C37BCC"/>
    <w:rsid w:val="0A2D0D5F"/>
    <w:rsid w:val="0B6B22C9"/>
    <w:rsid w:val="0C2C1B16"/>
    <w:rsid w:val="0C5D0751"/>
    <w:rsid w:val="0C6E02C3"/>
    <w:rsid w:val="0D6276FC"/>
    <w:rsid w:val="0D6A1561"/>
    <w:rsid w:val="0D8A6C86"/>
    <w:rsid w:val="0D9037A8"/>
    <w:rsid w:val="0D9F625A"/>
    <w:rsid w:val="0E0407B3"/>
    <w:rsid w:val="0ECA37AB"/>
    <w:rsid w:val="0F2B6FD9"/>
    <w:rsid w:val="0F3330FE"/>
    <w:rsid w:val="0F6459AD"/>
    <w:rsid w:val="10240C99"/>
    <w:rsid w:val="105477D0"/>
    <w:rsid w:val="10DB2C1B"/>
    <w:rsid w:val="11286567"/>
    <w:rsid w:val="11427629"/>
    <w:rsid w:val="1294398E"/>
    <w:rsid w:val="1324792E"/>
    <w:rsid w:val="132F20C1"/>
    <w:rsid w:val="1393060F"/>
    <w:rsid w:val="141D437D"/>
    <w:rsid w:val="14EF5D19"/>
    <w:rsid w:val="15113EE2"/>
    <w:rsid w:val="1585667E"/>
    <w:rsid w:val="160B0931"/>
    <w:rsid w:val="16175528"/>
    <w:rsid w:val="167F30CD"/>
    <w:rsid w:val="16970417"/>
    <w:rsid w:val="16D71CC3"/>
    <w:rsid w:val="170B3BD8"/>
    <w:rsid w:val="17363E85"/>
    <w:rsid w:val="17C3523B"/>
    <w:rsid w:val="181A30AD"/>
    <w:rsid w:val="183C240D"/>
    <w:rsid w:val="18EE62E8"/>
    <w:rsid w:val="192B3098"/>
    <w:rsid w:val="194D2C0B"/>
    <w:rsid w:val="19766A09"/>
    <w:rsid w:val="19772DE4"/>
    <w:rsid w:val="199358A4"/>
    <w:rsid w:val="1A1104E0"/>
    <w:rsid w:val="1A7D3DC7"/>
    <w:rsid w:val="1A824F3A"/>
    <w:rsid w:val="1A8607B2"/>
    <w:rsid w:val="1AA24D9F"/>
    <w:rsid w:val="1AA9696A"/>
    <w:rsid w:val="1B2337AB"/>
    <w:rsid w:val="1B723BA2"/>
    <w:rsid w:val="1B8D0258"/>
    <w:rsid w:val="1BAF457F"/>
    <w:rsid w:val="1BC96F1B"/>
    <w:rsid w:val="1BCC0B62"/>
    <w:rsid w:val="1C6923AC"/>
    <w:rsid w:val="1CA92357"/>
    <w:rsid w:val="1CD14796"/>
    <w:rsid w:val="1D281406"/>
    <w:rsid w:val="1D3A7D4E"/>
    <w:rsid w:val="1D3F3E4B"/>
    <w:rsid w:val="1DB45D52"/>
    <w:rsid w:val="1DCB5CE7"/>
    <w:rsid w:val="1EA236B9"/>
    <w:rsid w:val="1EAE27A1"/>
    <w:rsid w:val="1F0423C1"/>
    <w:rsid w:val="1FB05EDF"/>
    <w:rsid w:val="1FF308C0"/>
    <w:rsid w:val="1FF97037"/>
    <w:rsid w:val="20144886"/>
    <w:rsid w:val="202B4258"/>
    <w:rsid w:val="20AD477F"/>
    <w:rsid w:val="22491B20"/>
    <w:rsid w:val="22FD7853"/>
    <w:rsid w:val="23CF5A1D"/>
    <w:rsid w:val="244200FD"/>
    <w:rsid w:val="246456B0"/>
    <w:rsid w:val="248E6938"/>
    <w:rsid w:val="24E25225"/>
    <w:rsid w:val="24E707BB"/>
    <w:rsid w:val="25DF5E77"/>
    <w:rsid w:val="26D11723"/>
    <w:rsid w:val="26F47BE2"/>
    <w:rsid w:val="27034E47"/>
    <w:rsid w:val="276501BC"/>
    <w:rsid w:val="28DA2E89"/>
    <w:rsid w:val="299D58EC"/>
    <w:rsid w:val="2A4254F9"/>
    <w:rsid w:val="2AE5754B"/>
    <w:rsid w:val="2B065713"/>
    <w:rsid w:val="2B9845BD"/>
    <w:rsid w:val="2BB92785"/>
    <w:rsid w:val="2C0C0B07"/>
    <w:rsid w:val="2C5A3F68"/>
    <w:rsid w:val="2D1F32F4"/>
    <w:rsid w:val="2E424753"/>
    <w:rsid w:val="2E5975D8"/>
    <w:rsid w:val="2EE31FF3"/>
    <w:rsid w:val="2FBB1B81"/>
    <w:rsid w:val="31F35DD7"/>
    <w:rsid w:val="323B4D81"/>
    <w:rsid w:val="32742892"/>
    <w:rsid w:val="32785148"/>
    <w:rsid w:val="32DA370D"/>
    <w:rsid w:val="32E4458C"/>
    <w:rsid w:val="34B70380"/>
    <w:rsid w:val="350D42C9"/>
    <w:rsid w:val="353C506B"/>
    <w:rsid w:val="35E13004"/>
    <w:rsid w:val="361C166D"/>
    <w:rsid w:val="365A3471"/>
    <w:rsid w:val="365C69BF"/>
    <w:rsid w:val="366D4898"/>
    <w:rsid w:val="36C31C10"/>
    <w:rsid w:val="3783605E"/>
    <w:rsid w:val="37D7646D"/>
    <w:rsid w:val="38B13162"/>
    <w:rsid w:val="38D72CDC"/>
    <w:rsid w:val="3AE174A3"/>
    <w:rsid w:val="3B133C60"/>
    <w:rsid w:val="3B3230A5"/>
    <w:rsid w:val="3B810614"/>
    <w:rsid w:val="3BD64A05"/>
    <w:rsid w:val="3BE22603"/>
    <w:rsid w:val="3BF65C36"/>
    <w:rsid w:val="3C6109FB"/>
    <w:rsid w:val="3D1B32A0"/>
    <w:rsid w:val="3D474E47"/>
    <w:rsid w:val="3D5B544A"/>
    <w:rsid w:val="3E051AC4"/>
    <w:rsid w:val="3F172BE7"/>
    <w:rsid w:val="3F3314F0"/>
    <w:rsid w:val="3F6455D5"/>
    <w:rsid w:val="40BE2AD0"/>
    <w:rsid w:val="4136391E"/>
    <w:rsid w:val="421B33FA"/>
    <w:rsid w:val="421F113C"/>
    <w:rsid w:val="4262650C"/>
    <w:rsid w:val="428A3BE4"/>
    <w:rsid w:val="42AC04F6"/>
    <w:rsid w:val="42B71375"/>
    <w:rsid w:val="43062B1F"/>
    <w:rsid w:val="43446334"/>
    <w:rsid w:val="43467E25"/>
    <w:rsid w:val="445A288A"/>
    <w:rsid w:val="448C5F4F"/>
    <w:rsid w:val="44A84E71"/>
    <w:rsid w:val="452E0A7D"/>
    <w:rsid w:val="45967968"/>
    <w:rsid w:val="45D16BF2"/>
    <w:rsid w:val="45DA456D"/>
    <w:rsid w:val="45FE444D"/>
    <w:rsid w:val="463B050F"/>
    <w:rsid w:val="477172B3"/>
    <w:rsid w:val="477DCE1E"/>
    <w:rsid w:val="4783216D"/>
    <w:rsid w:val="48371858"/>
    <w:rsid w:val="48A73C3A"/>
    <w:rsid w:val="48D6451F"/>
    <w:rsid w:val="490765B0"/>
    <w:rsid w:val="49616885"/>
    <w:rsid w:val="497326A0"/>
    <w:rsid w:val="4AB14CB4"/>
    <w:rsid w:val="4AC960E9"/>
    <w:rsid w:val="4B5D2CD5"/>
    <w:rsid w:val="4B654F75"/>
    <w:rsid w:val="4C2061DD"/>
    <w:rsid w:val="4C3A4FF2"/>
    <w:rsid w:val="4C577725"/>
    <w:rsid w:val="4D783DF7"/>
    <w:rsid w:val="4E304AEA"/>
    <w:rsid w:val="4E504FB7"/>
    <w:rsid w:val="4E9C3B15"/>
    <w:rsid w:val="4EC72940"/>
    <w:rsid w:val="4F1418FD"/>
    <w:rsid w:val="4F2C6C47"/>
    <w:rsid w:val="4FEE65F2"/>
    <w:rsid w:val="50D737EC"/>
    <w:rsid w:val="51416E8D"/>
    <w:rsid w:val="51A52CE0"/>
    <w:rsid w:val="52432C25"/>
    <w:rsid w:val="5253098E"/>
    <w:rsid w:val="525C3CE7"/>
    <w:rsid w:val="535C4392"/>
    <w:rsid w:val="536A4041"/>
    <w:rsid w:val="54035DDE"/>
    <w:rsid w:val="54210D44"/>
    <w:rsid w:val="54581294"/>
    <w:rsid w:val="54D264E2"/>
    <w:rsid w:val="55AF412E"/>
    <w:rsid w:val="563D5BDD"/>
    <w:rsid w:val="56557314"/>
    <w:rsid w:val="56E60023"/>
    <w:rsid w:val="57037009"/>
    <w:rsid w:val="570D1A54"/>
    <w:rsid w:val="573E1E21"/>
    <w:rsid w:val="57BD2906"/>
    <w:rsid w:val="57FE490C"/>
    <w:rsid w:val="582052DF"/>
    <w:rsid w:val="586A0701"/>
    <w:rsid w:val="58C61EBA"/>
    <w:rsid w:val="592A2449"/>
    <w:rsid w:val="593D0B75"/>
    <w:rsid w:val="5A571512"/>
    <w:rsid w:val="5ACE6FE7"/>
    <w:rsid w:val="5B2F1F99"/>
    <w:rsid w:val="5B44356A"/>
    <w:rsid w:val="5B487E91"/>
    <w:rsid w:val="5C553C81"/>
    <w:rsid w:val="5CF9550F"/>
    <w:rsid w:val="5D641CA2"/>
    <w:rsid w:val="5D6B74D4"/>
    <w:rsid w:val="5D7D35A3"/>
    <w:rsid w:val="5E4C10B3"/>
    <w:rsid w:val="5E6F08FE"/>
    <w:rsid w:val="5E781EA8"/>
    <w:rsid w:val="5E955F07"/>
    <w:rsid w:val="5EA84152"/>
    <w:rsid w:val="5EFEBDE8"/>
    <w:rsid w:val="5F6643BC"/>
    <w:rsid w:val="5F9E76ED"/>
    <w:rsid w:val="5FC248C9"/>
    <w:rsid w:val="605D1C94"/>
    <w:rsid w:val="60755DA6"/>
    <w:rsid w:val="607B5C80"/>
    <w:rsid w:val="6085265B"/>
    <w:rsid w:val="60F07D68"/>
    <w:rsid w:val="60FD0443"/>
    <w:rsid w:val="61131A15"/>
    <w:rsid w:val="6155202D"/>
    <w:rsid w:val="61572249"/>
    <w:rsid w:val="619B0311"/>
    <w:rsid w:val="61BB1D22"/>
    <w:rsid w:val="61CF0031"/>
    <w:rsid w:val="620A1069"/>
    <w:rsid w:val="625B691D"/>
    <w:rsid w:val="626D784A"/>
    <w:rsid w:val="63534C92"/>
    <w:rsid w:val="63EA73A4"/>
    <w:rsid w:val="642B176B"/>
    <w:rsid w:val="64B07B6F"/>
    <w:rsid w:val="64FD3107"/>
    <w:rsid w:val="65627659"/>
    <w:rsid w:val="65B02DA4"/>
    <w:rsid w:val="65EB11B2"/>
    <w:rsid w:val="65FF3D2A"/>
    <w:rsid w:val="66427B15"/>
    <w:rsid w:val="664A237C"/>
    <w:rsid w:val="666B6E40"/>
    <w:rsid w:val="6671741A"/>
    <w:rsid w:val="66A31A8D"/>
    <w:rsid w:val="673565FE"/>
    <w:rsid w:val="675B4115"/>
    <w:rsid w:val="67E61C31"/>
    <w:rsid w:val="68CA2609"/>
    <w:rsid w:val="68CC1AED"/>
    <w:rsid w:val="692A0243"/>
    <w:rsid w:val="69BB0F42"/>
    <w:rsid w:val="6A022F6E"/>
    <w:rsid w:val="6A637494"/>
    <w:rsid w:val="6AC326FD"/>
    <w:rsid w:val="6AD23432"/>
    <w:rsid w:val="6AEC2279"/>
    <w:rsid w:val="6AEC4CF1"/>
    <w:rsid w:val="6B1308BC"/>
    <w:rsid w:val="6BB81877"/>
    <w:rsid w:val="6BC320D7"/>
    <w:rsid w:val="6BCF62E6"/>
    <w:rsid w:val="6C08064C"/>
    <w:rsid w:val="6C8639E2"/>
    <w:rsid w:val="6CA877D2"/>
    <w:rsid w:val="6CD3A16D"/>
    <w:rsid w:val="6D535020"/>
    <w:rsid w:val="6D5E495F"/>
    <w:rsid w:val="6E5F49A6"/>
    <w:rsid w:val="6EFC7F8C"/>
    <w:rsid w:val="6EFD5AB2"/>
    <w:rsid w:val="6F23376B"/>
    <w:rsid w:val="6F3E45A6"/>
    <w:rsid w:val="6FBE656C"/>
    <w:rsid w:val="6FE0165C"/>
    <w:rsid w:val="6FE9435C"/>
    <w:rsid w:val="6FF637CB"/>
    <w:rsid w:val="6FFF37D2"/>
    <w:rsid w:val="70127B77"/>
    <w:rsid w:val="70710506"/>
    <w:rsid w:val="70DA1D6D"/>
    <w:rsid w:val="70DE20D9"/>
    <w:rsid w:val="70DE2EF1"/>
    <w:rsid w:val="710B095A"/>
    <w:rsid w:val="711F0135"/>
    <w:rsid w:val="71520337"/>
    <w:rsid w:val="71721527"/>
    <w:rsid w:val="717F6C52"/>
    <w:rsid w:val="71AA1F21"/>
    <w:rsid w:val="71AF12E6"/>
    <w:rsid w:val="7221658E"/>
    <w:rsid w:val="72DC0379"/>
    <w:rsid w:val="738A200A"/>
    <w:rsid w:val="73BF43B6"/>
    <w:rsid w:val="740B2A1F"/>
    <w:rsid w:val="745F3497"/>
    <w:rsid w:val="7460793D"/>
    <w:rsid w:val="747D391D"/>
    <w:rsid w:val="75203B28"/>
    <w:rsid w:val="75950C5C"/>
    <w:rsid w:val="75CB4B5C"/>
    <w:rsid w:val="75F55735"/>
    <w:rsid w:val="76057F95"/>
    <w:rsid w:val="760A5684"/>
    <w:rsid w:val="76181E56"/>
    <w:rsid w:val="767B4F55"/>
    <w:rsid w:val="76816FC9"/>
    <w:rsid w:val="769413F2"/>
    <w:rsid w:val="780D6D66"/>
    <w:rsid w:val="785B5495"/>
    <w:rsid w:val="78C0027C"/>
    <w:rsid w:val="78DA592D"/>
    <w:rsid w:val="79D815F5"/>
    <w:rsid w:val="79E60A99"/>
    <w:rsid w:val="7A3B5A23"/>
    <w:rsid w:val="7A6D3E2A"/>
    <w:rsid w:val="7ABA4277"/>
    <w:rsid w:val="7B436597"/>
    <w:rsid w:val="7B9955F4"/>
    <w:rsid w:val="7BB75966"/>
    <w:rsid w:val="7BE40725"/>
    <w:rsid w:val="7BF003F6"/>
    <w:rsid w:val="7C5F4108"/>
    <w:rsid w:val="7CB73744"/>
    <w:rsid w:val="7CCF6CE0"/>
    <w:rsid w:val="7CE32E91"/>
    <w:rsid w:val="7CF43B21"/>
    <w:rsid w:val="7D2708CA"/>
    <w:rsid w:val="7D332F7E"/>
    <w:rsid w:val="7DF86D11"/>
    <w:rsid w:val="7E0268EB"/>
    <w:rsid w:val="7E687DD8"/>
    <w:rsid w:val="7E7F4A0D"/>
    <w:rsid w:val="7F79C282"/>
    <w:rsid w:val="7F7B6CAE"/>
    <w:rsid w:val="7FA5605C"/>
    <w:rsid w:val="7FAD040D"/>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kern w:val="44"/>
      <w:sz w:val="36"/>
    </w:rPr>
  </w:style>
  <w:style w:type="paragraph" w:styleId="3">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9">
    <w:name w:val="Default Paragraph Font"/>
    <w:autoRedefine/>
    <w:qFormat/>
    <w:uiPriority w:val="0"/>
    <w:rPr>
      <w:rFonts w:eastAsia="微软雅黑" w:asciiTheme="minorAscii" w:hAnsiTheme="minorAscii"/>
    </w:rPr>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11">
    <w:name w:val="Normal Indent"/>
    <w:basedOn w:val="1"/>
    <w:next w:val="12"/>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a heading"/>
    <w:basedOn w:val="1"/>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3">
    <w:name w:val="Body Text"/>
    <w:basedOn w:val="1"/>
    <w:next w:val="1"/>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4">
    <w:name w:val="Body Text Indent"/>
    <w:next w:val="15"/>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5">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6">
    <w:name w:val="Plain Text"/>
    <w:basedOn w:val="1"/>
    <w:next w:val="1"/>
    <w:unhideWhenUsed/>
    <w:qFormat/>
    <w:uiPriority w:val="99"/>
    <w:rPr>
      <w:rFonts w:ascii="宋体" w:hAnsi="Courier New" w:eastAsia="宋体" w:cs="Courier New"/>
      <w:szCs w:val="21"/>
    </w:rPr>
  </w:style>
  <w:style w:type="paragraph" w:styleId="17">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8">
    <w:name w:val="footer"/>
    <w:basedOn w:val="1"/>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0">
    <w:name w:val="toc 1"/>
    <w:basedOn w:val="1"/>
    <w:next w:val="1"/>
    <w:autoRedefine/>
    <w:qFormat/>
    <w:uiPriority w:val="0"/>
  </w:style>
  <w:style w:type="paragraph" w:styleId="21">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2">
    <w:name w:val="toc 2"/>
    <w:basedOn w:val="1"/>
    <w:next w:val="1"/>
    <w:autoRedefine/>
    <w:qFormat/>
    <w:uiPriority w:val="0"/>
    <w:pPr>
      <w:ind w:left="420" w:leftChars="200"/>
    </w:pPr>
  </w:style>
  <w:style w:type="paragraph" w:styleId="23">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4">
    <w:name w:val="Title"/>
    <w:basedOn w:val="1"/>
    <w:next w:val="1"/>
    <w:qFormat/>
    <w:uiPriority w:val="0"/>
    <w:pPr>
      <w:spacing w:before="240" w:beforeLines="0" w:after="60" w:afterLines="0"/>
      <w:jc w:val="center"/>
      <w:outlineLvl w:val="0"/>
    </w:pPr>
    <w:rPr>
      <w:rFonts w:ascii="Cambria" w:hAnsi="Cambria" w:eastAsia="宋体" w:cs="Times New Roman"/>
      <w:b/>
      <w:bCs/>
      <w:sz w:val="32"/>
      <w:szCs w:val="32"/>
    </w:rPr>
  </w:style>
  <w:style w:type="paragraph" w:styleId="25">
    <w:name w:val="Body Text First Indent"/>
    <w:next w:val="21"/>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6">
    <w:name w:val="Body Text First Indent 2"/>
    <w:next w:val="25"/>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8">
    <w:name w:val="Table Grid"/>
    <w:basedOn w:val="27"/>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0"/>
    <w:rPr>
      <w:b/>
    </w:rPr>
  </w:style>
  <w:style w:type="character" w:styleId="31">
    <w:name w:val="page number"/>
    <w:basedOn w:val="29"/>
    <w:qFormat/>
    <w:uiPriority w:val="0"/>
  </w:style>
  <w:style w:type="character" w:styleId="32">
    <w:name w:val="Hyperlink"/>
    <w:qFormat/>
    <w:uiPriority w:val="0"/>
    <w:rPr>
      <w:color w:val="0000FF"/>
      <w:u w:val="single"/>
    </w:rPr>
  </w:style>
  <w:style w:type="paragraph" w:customStyle="1" w:styleId="33">
    <w:name w:val="Char"/>
    <w:basedOn w:val="1"/>
    <w:autoRedefine/>
    <w:qFormat/>
    <w:uiPriority w:val="99"/>
    <w:pPr>
      <w:tabs>
        <w:tab w:val="left" w:pos="360"/>
      </w:tabs>
      <w:spacing w:line="300" w:lineRule="auto"/>
      <w:ind w:left="360" w:firstLine="560"/>
    </w:pPr>
    <w:rPr>
      <w:rFonts w:ascii="Tahoma" w:hAnsi="Tahoma" w:eastAsia="仿宋_GB2312" w:cs="Tahoma"/>
      <w:sz w:val="28"/>
      <w:szCs w:val="28"/>
    </w:rPr>
  </w:style>
  <w:style w:type="paragraph" w:customStyle="1" w:styleId="34">
    <w:name w:val="WPSOffice手动目录 1"/>
    <w:autoRedefine/>
    <w:qFormat/>
    <w:uiPriority w:val="0"/>
    <w:pPr>
      <w:ind w:leftChars="0"/>
    </w:pPr>
    <w:rPr>
      <w:rFonts w:ascii="Times New Roman" w:hAnsi="Times New Roman" w:eastAsia="宋体" w:cs="Times New Roman"/>
      <w:sz w:val="20"/>
      <w:szCs w:val="20"/>
    </w:rPr>
  </w:style>
  <w:style w:type="paragraph" w:customStyle="1" w:styleId="35">
    <w:name w:val="WPSOffice手动目录 2"/>
    <w:autoRedefine/>
    <w:qFormat/>
    <w:uiPriority w:val="0"/>
    <w:pPr>
      <w:ind w:leftChars="200"/>
    </w:pPr>
    <w:rPr>
      <w:rFonts w:ascii="Times New Roman" w:hAnsi="Times New Roman" w:eastAsia="宋体" w:cs="Times New Roman"/>
      <w:sz w:val="20"/>
      <w:szCs w:val="20"/>
    </w:rPr>
  </w:style>
  <w:style w:type="paragraph" w:customStyle="1" w:styleId="36">
    <w:name w:val="Normal Indent1"/>
    <w:basedOn w:val="1"/>
    <w:autoRedefine/>
    <w:qFormat/>
    <w:uiPriority w:val="0"/>
    <w:pPr>
      <w:ind w:firstLine="200" w:firstLineChars="200"/>
    </w:pPr>
    <w:rPr>
      <w:rFonts w:ascii="Times New Roman" w:hAnsi="Times New Roman" w:eastAsia="Arial"/>
    </w:rPr>
  </w:style>
  <w:style w:type="paragraph" w:customStyle="1" w:styleId="37">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正文缩进1"/>
    <w:basedOn w:val="1"/>
    <w:autoRedefine/>
    <w:qFormat/>
    <w:uiPriority w:val="0"/>
    <w:pPr>
      <w:autoSpaceDE w:val="0"/>
      <w:autoSpaceDN w:val="0"/>
      <w:adjustRightInd w:val="0"/>
      <w:ind w:firstLine="420"/>
      <w:jc w:val="left"/>
    </w:pPr>
    <w:rPr>
      <w:rFonts w:ascii="宋体"/>
      <w:kern w:val="0"/>
      <w:sz w:val="24"/>
      <w:szCs w:val="20"/>
    </w:rPr>
  </w:style>
  <w:style w:type="paragraph" w:customStyle="1" w:styleId="40">
    <w:name w:val="索引 11"/>
    <w:basedOn w:val="1"/>
    <w:next w:val="1"/>
    <w:autoRedefine/>
    <w:qFormat/>
    <w:uiPriority w:val="0"/>
    <w:pPr>
      <w:spacing w:line="360" w:lineRule="auto"/>
    </w:pPr>
    <w:rPr>
      <w:rFonts w:ascii="仿宋_GB2312" w:eastAsia="仿宋_GB2312"/>
      <w:sz w:val="24"/>
      <w:szCs w:val="20"/>
    </w:rPr>
  </w:style>
  <w:style w:type="paragraph" w:customStyle="1" w:styleId="41">
    <w:name w:val="纯文本1"/>
    <w:basedOn w:val="1"/>
    <w:autoRedefine/>
    <w:qFormat/>
    <w:uiPriority w:val="0"/>
    <w:rPr>
      <w:rFonts w:ascii="宋体" w:hAnsi="Courier New"/>
      <w:kern w:val="0"/>
      <w:sz w:val="20"/>
      <w:szCs w:val="20"/>
    </w:rPr>
  </w:style>
  <w:style w:type="paragraph" w:customStyle="1" w:styleId="42">
    <w:name w:val="样式 样式 样式 左侧:  2 字符1 + 首行缩进:  2 字符1 + 首行缩进:  2 字符"/>
    <w:basedOn w:val="1"/>
    <w:qFormat/>
    <w:uiPriority w:val="0"/>
    <w:pPr>
      <w:adjustRightInd w:val="0"/>
      <w:spacing w:before="60" w:after="120" w:line="440" w:lineRule="atLeast"/>
      <w:ind w:firstLine="480" w:firstLineChars="0"/>
      <w:textAlignment w:val="baseline"/>
    </w:pPr>
    <w:rPr>
      <w:rFonts w:ascii="@仿宋_GB2312" w:hAnsi="@仿宋_GB2312" w:eastAsia="@仿宋_GB2312" w:cs="@仿宋_GB2312"/>
      <w:sz w:val="24"/>
      <w:szCs w:val="20"/>
    </w:rPr>
  </w:style>
  <w:style w:type="paragraph" w:customStyle="1" w:styleId="43">
    <w:name w:val="准备书正文"/>
    <w:qFormat/>
    <w:uiPriority w:val="0"/>
    <w:pPr>
      <w:spacing w:beforeLines="50"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4">
    <w:name w:val="Default"/>
    <w:basedOn w:val="24"/>
    <w:next w:val="2"/>
    <w:qFormat/>
    <w:uiPriority w:val="0"/>
    <w:pPr>
      <w:widowControl w:val="0"/>
      <w:autoSpaceDE w:val="0"/>
      <w:autoSpaceDN w:val="0"/>
      <w:adjustRightInd w:val="0"/>
    </w:pPr>
    <w:rPr>
      <w:rFonts w:ascii="宋体" w:hAnsi="Calibri"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822</Words>
  <Characters>898</Characters>
  <Lines>0</Lines>
  <Paragraphs>0</Paragraphs>
  <TotalTime>22</TotalTime>
  <ScaleCrop>false</ScaleCrop>
  <LinksUpToDate>false</LinksUpToDate>
  <CharactersWithSpaces>1017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啦啦啦小葡萄</cp:lastModifiedBy>
  <cp:lastPrinted>2025-04-01T13:09:00Z</cp:lastPrinted>
  <dcterms:modified xsi:type="dcterms:W3CDTF">2025-04-22T16:05:21Z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4A1263554BA9481CB2286DAA820B4471_13</vt:lpwstr>
  </property>
  <property fmtid="{D5CDD505-2E9C-101B-9397-08002B2CF9AE}" pid="6" name="KSOTemplateDocerSaveRecord">
    <vt:lpwstr>eyJoZGlkIjoiNWVjODczMWEyY2YxMDY4OWZmYjNlODYwNGM3NTBhMGQiLCJ1c2VySWQiOiI1MTk0NjIwNjIifQ==</vt:lpwstr>
  </property>
</Properties>
</file>