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C7D18">
      <w:pPr>
        <w:pageBreakBefore w:val="0"/>
        <w:wordWrap/>
        <w:overflowPunct/>
        <w:topLinePunct w:val="0"/>
        <w:bidi w:val="0"/>
        <w:snapToGrid w:val="0"/>
        <w:spacing w:line="560" w:lineRule="exact"/>
        <w:ind w:left="0" w:leftChars="0" w:right="0" w:rightChars="0"/>
        <w:jc w:val="left"/>
        <w:rPr>
          <w:rFonts w:hint="eastAsia" w:ascii="宋体" w:hAnsi="宋体" w:eastAsia="宋体" w:cs="宋体"/>
          <w:color w:val="auto"/>
          <w:sz w:val="24"/>
          <w:szCs w:val="24"/>
          <w:highlight w:val="none"/>
        </w:rPr>
      </w:pPr>
    </w:p>
    <w:p w14:paraId="12EBFA29">
      <w:pPr>
        <w:pStyle w:val="43"/>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6949C330">
      <w:pPr>
        <w:rPr>
          <w:rFonts w:hint="eastAsia" w:ascii="宋体" w:hAnsi="宋体" w:eastAsia="宋体" w:cs="宋体"/>
          <w:color w:val="auto"/>
          <w:sz w:val="24"/>
          <w:szCs w:val="24"/>
          <w:highlight w:val="none"/>
        </w:rPr>
      </w:pPr>
    </w:p>
    <w:p w14:paraId="78566635">
      <w:pPr>
        <w:rPr>
          <w:rFonts w:hint="eastAsia" w:ascii="宋体" w:hAnsi="宋体" w:eastAsia="宋体" w:cs="宋体"/>
          <w:color w:val="auto"/>
          <w:sz w:val="24"/>
          <w:szCs w:val="24"/>
          <w:highlight w:val="none"/>
        </w:rPr>
      </w:pPr>
    </w:p>
    <w:p w14:paraId="7240B658">
      <w:pPr>
        <w:rPr>
          <w:rFonts w:hint="eastAsia" w:ascii="宋体" w:hAnsi="宋体" w:eastAsia="宋体" w:cs="宋体"/>
          <w:color w:val="auto"/>
          <w:sz w:val="24"/>
          <w:szCs w:val="24"/>
          <w:highlight w:val="none"/>
        </w:rPr>
      </w:pPr>
    </w:p>
    <w:p w14:paraId="7E2C74D0">
      <w:pPr>
        <w:rPr>
          <w:rFonts w:hint="eastAsia" w:ascii="宋体" w:hAnsi="宋体" w:eastAsia="宋体" w:cs="宋体"/>
          <w:color w:val="auto"/>
          <w:sz w:val="24"/>
          <w:szCs w:val="24"/>
          <w:highlight w:val="none"/>
        </w:rPr>
      </w:pPr>
    </w:p>
    <w:p w14:paraId="675D4F68">
      <w:pPr>
        <w:pageBreakBefore w:val="0"/>
        <w:wordWrap/>
        <w:overflowPunct/>
        <w:topLinePunct w:val="0"/>
        <w:bidi w:val="0"/>
        <w:snapToGrid w:val="0"/>
        <w:spacing w:line="240" w:lineRule="auto"/>
        <w:ind w:left="0" w:leftChars="0" w:right="0" w:rightChars="0"/>
        <w:jc w:val="center"/>
        <w:rPr>
          <w:rStyle w:val="48"/>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招 标 文 件</w:t>
      </w:r>
    </w:p>
    <w:p w14:paraId="5E00EBC3">
      <w:pPr>
        <w:pStyle w:val="43"/>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3BB1AA13">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6E93B4A">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10E30A58">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73A0066">
      <w:pPr>
        <w:pStyle w:val="32"/>
        <w:ind w:left="0" w:leftChars="0" w:firstLine="0" w:firstLineChars="0"/>
        <w:rPr>
          <w:rFonts w:hint="eastAsia" w:ascii="宋体" w:hAnsi="宋体" w:eastAsia="宋体" w:cs="宋体"/>
          <w:color w:val="auto"/>
          <w:sz w:val="24"/>
          <w:szCs w:val="24"/>
          <w:highlight w:val="none"/>
        </w:rPr>
      </w:pPr>
    </w:p>
    <w:p w14:paraId="1D2C07A3">
      <w:pPr>
        <w:rPr>
          <w:rFonts w:hint="eastAsia" w:ascii="宋体" w:hAnsi="宋体" w:eastAsia="宋体" w:cs="宋体"/>
          <w:color w:val="auto"/>
          <w:sz w:val="24"/>
          <w:szCs w:val="24"/>
          <w:highlight w:val="none"/>
        </w:rPr>
      </w:pPr>
    </w:p>
    <w:p w14:paraId="789983FA">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rPr>
          <w:rStyle w:val="46"/>
          <w:rFonts w:hint="eastAsia" w:ascii="宋体" w:hAnsi="宋体" w:eastAsia="宋体" w:cs="宋体"/>
          <w:bCs/>
          <w:color w:val="auto"/>
          <w:sz w:val="24"/>
          <w:szCs w:val="24"/>
          <w:highlight w:val="none"/>
          <w:lang w:eastAsia="zh-CN"/>
        </w:rPr>
      </w:pPr>
    </w:p>
    <w:p w14:paraId="6EE3423A">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6"/>
          <w:rFonts w:hint="eastAsia" w:ascii="宋体" w:hAnsi="宋体" w:eastAsia="宋体" w:cs="宋体"/>
          <w:bCs/>
          <w:color w:val="auto"/>
          <w:sz w:val="24"/>
          <w:szCs w:val="24"/>
          <w:highlight w:val="none"/>
          <w:lang w:val="en-US" w:eastAsia="zh-CN"/>
        </w:rPr>
      </w:pPr>
      <w:r>
        <w:rPr>
          <w:rStyle w:val="46"/>
          <w:rFonts w:hint="eastAsia" w:ascii="宋体" w:hAnsi="宋体" w:eastAsia="宋体" w:cs="宋体"/>
          <w:bCs/>
          <w:color w:val="auto"/>
          <w:sz w:val="24"/>
          <w:szCs w:val="24"/>
          <w:highlight w:val="none"/>
          <w:lang w:eastAsia="zh-CN"/>
        </w:rPr>
        <w:t>项目名称：</w:t>
      </w:r>
      <w:r>
        <w:rPr>
          <w:rStyle w:val="46"/>
          <w:rFonts w:hint="eastAsia" w:ascii="宋体" w:hAnsi="宋体" w:cs="宋体"/>
          <w:bCs/>
          <w:color w:val="auto"/>
          <w:sz w:val="24"/>
          <w:szCs w:val="24"/>
          <w:highlight w:val="none"/>
          <w:lang w:eastAsia="zh-CN"/>
        </w:rPr>
        <w:t>新疆医科大学附属肿瘤医院肠内营养制剂袋采购项目</w:t>
      </w:r>
    </w:p>
    <w:p w14:paraId="555E2804">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6"/>
          <w:rFonts w:hint="default" w:ascii="宋体" w:hAnsi="宋体" w:eastAsia="宋体" w:cs="宋体"/>
          <w:bCs/>
          <w:color w:val="auto"/>
          <w:sz w:val="24"/>
          <w:szCs w:val="24"/>
          <w:highlight w:val="none"/>
          <w:lang w:val="en-US"/>
        </w:rPr>
      </w:pPr>
      <w:r>
        <w:rPr>
          <w:rStyle w:val="46"/>
          <w:rFonts w:hint="eastAsia" w:ascii="宋体" w:hAnsi="宋体" w:eastAsia="宋体" w:cs="宋体"/>
          <w:bCs/>
          <w:color w:val="auto"/>
          <w:sz w:val="24"/>
          <w:szCs w:val="24"/>
          <w:highlight w:val="none"/>
        </w:rPr>
        <w:t>项目编号：</w:t>
      </w:r>
      <w:r>
        <w:rPr>
          <w:rStyle w:val="46"/>
          <w:rFonts w:hint="eastAsia" w:ascii="宋体" w:hAnsi="宋体" w:cs="宋体"/>
          <w:bCs/>
          <w:color w:val="auto"/>
          <w:sz w:val="24"/>
          <w:szCs w:val="24"/>
          <w:highlight w:val="none"/>
        </w:rPr>
        <w:t>SXFD（SFY-ZC）20250402</w:t>
      </w:r>
    </w:p>
    <w:p w14:paraId="64C47148">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6"/>
          <w:rFonts w:hint="eastAsia" w:ascii="宋体" w:hAnsi="宋体" w:eastAsia="宋体" w:cs="宋体"/>
          <w:bCs/>
          <w:color w:val="auto"/>
          <w:sz w:val="24"/>
          <w:szCs w:val="24"/>
          <w:highlight w:val="none"/>
          <w:lang w:eastAsia="zh-CN"/>
        </w:rPr>
      </w:pPr>
      <w:r>
        <w:rPr>
          <w:rStyle w:val="46"/>
          <w:rFonts w:hint="eastAsia" w:ascii="宋体" w:hAnsi="宋体" w:cs="宋体"/>
          <w:bCs/>
          <w:color w:val="auto"/>
          <w:sz w:val="24"/>
          <w:szCs w:val="24"/>
          <w:highlight w:val="none"/>
          <w:lang w:eastAsia="zh-CN"/>
        </w:rPr>
        <w:t>招标人</w:t>
      </w:r>
      <w:r>
        <w:rPr>
          <w:rStyle w:val="46"/>
          <w:rFonts w:hint="eastAsia" w:ascii="宋体" w:hAnsi="宋体" w:eastAsia="宋体" w:cs="宋体"/>
          <w:bCs/>
          <w:color w:val="auto"/>
          <w:sz w:val="24"/>
          <w:szCs w:val="24"/>
          <w:highlight w:val="none"/>
          <w:lang w:eastAsia="zh-CN"/>
        </w:rPr>
        <w:t>（盖章）：</w:t>
      </w:r>
      <w:r>
        <w:rPr>
          <w:rFonts w:hint="eastAsia" w:ascii="宋体" w:hAnsi="宋体" w:eastAsia="宋体" w:cs="宋体"/>
          <w:i w:val="0"/>
          <w:iCs w:val="0"/>
          <w:color w:val="auto"/>
          <w:sz w:val="24"/>
          <w:szCs w:val="24"/>
          <w:highlight w:val="none"/>
          <w:lang w:val="en-US" w:eastAsia="zh-CN"/>
        </w:rPr>
        <w:t>新疆医科大学附属肿瘤医院</w:t>
      </w:r>
    </w:p>
    <w:p w14:paraId="65AF9F54">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6"/>
          <w:rFonts w:hint="eastAsia" w:ascii="宋体" w:hAnsi="宋体" w:eastAsia="宋体" w:cs="宋体"/>
          <w:bCs/>
          <w:color w:val="auto"/>
          <w:sz w:val="24"/>
          <w:szCs w:val="24"/>
          <w:highlight w:val="none"/>
          <w:lang w:val="en-US" w:eastAsia="zh-CN"/>
        </w:rPr>
      </w:pPr>
      <w:r>
        <w:rPr>
          <w:rStyle w:val="46"/>
          <w:rFonts w:hint="eastAsia" w:ascii="宋体" w:hAnsi="宋体" w:eastAsia="宋体" w:cs="宋体"/>
          <w:bCs/>
          <w:color w:val="auto"/>
          <w:sz w:val="24"/>
          <w:szCs w:val="24"/>
          <w:highlight w:val="none"/>
          <w:lang w:eastAsia="zh-CN"/>
        </w:rPr>
        <w:t>联系人：</w:t>
      </w:r>
      <w:r>
        <w:rPr>
          <w:rStyle w:val="46"/>
          <w:rFonts w:hint="eastAsia" w:ascii="宋体" w:hAnsi="宋体" w:cs="宋体"/>
          <w:bCs/>
          <w:color w:val="auto"/>
          <w:sz w:val="24"/>
          <w:szCs w:val="24"/>
          <w:highlight w:val="none"/>
          <w:lang w:val="en-US" w:eastAsia="zh-CN"/>
        </w:rPr>
        <w:t>王老师</w:t>
      </w:r>
    </w:p>
    <w:p w14:paraId="418F0986">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6"/>
          <w:rFonts w:hint="eastAsia" w:ascii="宋体" w:hAnsi="宋体" w:eastAsia="宋体" w:cs="宋体"/>
          <w:bCs/>
          <w:color w:val="auto"/>
          <w:sz w:val="24"/>
          <w:szCs w:val="24"/>
          <w:highlight w:val="none"/>
          <w:lang w:val="en-US" w:eastAsia="zh-CN"/>
        </w:rPr>
      </w:pPr>
      <w:r>
        <w:rPr>
          <w:rStyle w:val="46"/>
          <w:rFonts w:hint="eastAsia" w:ascii="宋体" w:hAnsi="宋体" w:eastAsia="宋体" w:cs="宋体"/>
          <w:bCs/>
          <w:color w:val="auto"/>
          <w:sz w:val="24"/>
          <w:szCs w:val="24"/>
          <w:highlight w:val="none"/>
          <w:lang w:eastAsia="zh-CN"/>
        </w:rPr>
        <w:t>电话：0991-7819055</w:t>
      </w:r>
    </w:p>
    <w:p w14:paraId="623BB119">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6"/>
          <w:rFonts w:hint="eastAsia" w:ascii="宋体" w:hAnsi="宋体" w:eastAsia="宋体" w:cs="宋体"/>
          <w:bCs/>
          <w:color w:val="auto"/>
          <w:sz w:val="24"/>
          <w:szCs w:val="24"/>
          <w:highlight w:val="none"/>
          <w:lang w:eastAsia="zh-CN"/>
        </w:rPr>
      </w:pPr>
      <w:r>
        <w:rPr>
          <w:rStyle w:val="46"/>
          <w:rFonts w:hint="eastAsia" w:ascii="宋体" w:hAnsi="宋体" w:eastAsia="宋体" w:cs="宋体"/>
          <w:bCs/>
          <w:color w:val="auto"/>
          <w:sz w:val="24"/>
          <w:szCs w:val="24"/>
          <w:highlight w:val="none"/>
          <w:lang w:eastAsia="zh-CN"/>
        </w:rPr>
        <w:t>地址：乌鲁木齐市苏州东街789号</w:t>
      </w:r>
    </w:p>
    <w:p w14:paraId="56BB4280">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357"/>
        <w:textAlignment w:val="auto"/>
        <w:rPr>
          <w:rStyle w:val="46"/>
          <w:rFonts w:hint="eastAsia" w:ascii="宋体" w:hAnsi="宋体" w:eastAsia="宋体" w:cs="宋体"/>
          <w:bCs/>
          <w:color w:val="auto"/>
          <w:sz w:val="24"/>
          <w:szCs w:val="24"/>
          <w:highlight w:val="none"/>
          <w:lang w:eastAsia="zh-CN"/>
        </w:rPr>
      </w:pPr>
    </w:p>
    <w:p w14:paraId="3E8C7224">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6"/>
          <w:rFonts w:hint="eastAsia" w:ascii="宋体" w:hAnsi="宋体" w:eastAsia="宋体" w:cs="宋体"/>
          <w:bCs/>
          <w:color w:val="auto"/>
          <w:sz w:val="24"/>
          <w:szCs w:val="24"/>
          <w:highlight w:val="none"/>
        </w:rPr>
      </w:pPr>
      <w:r>
        <w:rPr>
          <w:rStyle w:val="46"/>
          <w:rFonts w:hint="eastAsia" w:ascii="宋体" w:hAnsi="宋体" w:cs="宋体"/>
          <w:bCs/>
          <w:color w:val="auto"/>
          <w:sz w:val="24"/>
          <w:szCs w:val="24"/>
          <w:highlight w:val="none"/>
        </w:rPr>
        <w:t>招标代理机构</w:t>
      </w:r>
      <w:r>
        <w:rPr>
          <w:rStyle w:val="46"/>
          <w:rFonts w:hint="eastAsia" w:ascii="宋体" w:hAnsi="宋体" w:eastAsia="宋体" w:cs="宋体"/>
          <w:bCs/>
          <w:color w:val="auto"/>
          <w:sz w:val="24"/>
          <w:szCs w:val="24"/>
          <w:highlight w:val="none"/>
        </w:rPr>
        <w:t>（盖章）</w:t>
      </w:r>
      <w:r>
        <w:rPr>
          <w:rStyle w:val="46"/>
          <w:rFonts w:hint="eastAsia" w:ascii="宋体" w:hAnsi="宋体" w:eastAsia="宋体" w:cs="宋体"/>
          <w:bCs/>
          <w:color w:val="auto"/>
          <w:sz w:val="24"/>
          <w:szCs w:val="24"/>
          <w:highlight w:val="none"/>
          <w:lang w:eastAsia="zh-CN"/>
        </w:rPr>
        <w:t>：陕西方得项目管理有限公司</w:t>
      </w:r>
    </w:p>
    <w:p w14:paraId="0CD5AEAD">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6"/>
          <w:rFonts w:hint="eastAsia" w:ascii="宋体" w:hAnsi="宋体" w:eastAsia="宋体" w:cs="宋体"/>
          <w:bCs/>
          <w:color w:val="auto"/>
          <w:sz w:val="24"/>
          <w:szCs w:val="24"/>
          <w:highlight w:val="none"/>
          <w:lang w:eastAsia="zh-CN"/>
        </w:rPr>
      </w:pPr>
      <w:r>
        <w:rPr>
          <w:rStyle w:val="46"/>
          <w:rFonts w:hint="eastAsia" w:ascii="宋体" w:hAnsi="宋体" w:eastAsia="宋体" w:cs="宋体"/>
          <w:bCs/>
          <w:color w:val="auto"/>
          <w:sz w:val="24"/>
          <w:szCs w:val="24"/>
          <w:highlight w:val="none"/>
          <w:lang w:eastAsia="zh-CN"/>
        </w:rPr>
        <w:t>联系人：</w:t>
      </w:r>
      <w:r>
        <w:rPr>
          <w:rStyle w:val="46"/>
          <w:rFonts w:hint="eastAsia" w:ascii="宋体" w:hAnsi="宋体" w:cs="宋体"/>
          <w:bCs/>
          <w:color w:val="auto"/>
          <w:sz w:val="24"/>
          <w:szCs w:val="24"/>
          <w:highlight w:val="none"/>
          <w:lang w:val="en-US" w:eastAsia="zh-CN"/>
        </w:rPr>
        <w:t>王浩、马平利、白云昭</w:t>
      </w:r>
    </w:p>
    <w:p w14:paraId="4651914D">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6"/>
          <w:rFonts w:hint="eastAsia" w:ascii="宋体" w:hAnsi="宋体" w:eastAsia="宋体" w:cs="宋体"/>
          <w:bCs/>
          <w:color w:val="auto"/>
          <w:sz w:val="24"/>
          <w:szCs w:val="24"/>
          <w:highlight w:val="none"/>
          <w:lang w:val="en-US" w:eastAsia="zh-CN"/>
        </w:rPr>
      </w:pPr>
      <w:r>
        <w:rPr>
          <w:rStyle w:val="46"/>
          <w:rFonts w:hint="eastAsia" w:ascii="宋体" w:hAnsi="宋体" w:eastAsia="宋体" w:cs="宋体"/>
          <w:bCs/>
          <w:color w:val="auto"/>
          <w:sz w:val="24"/>
          <w:szCs w:val="24"/>
          <w:highlight w:val="none"/>
          <w:lang w:eastAsia="zh-CN"/>
        </w:rPr>
        <w:t>电话</w:t>
      </w:r>
      <w:r>
        <w:rPr>
          <w:rStyle w:val="46"/>
          <w:rFonts w:hint="eastAsia" w:ascii="宋体" w:hAnsi="宋体" w:eastAsia="宋体" w:cs="宋体"/>
          <w:bCs/>
          <w:color w:val="auto"/>
          <w:sz w:val="24"/>
          <w:szCs w:val="24"/>
          <w:highlight w:val="none"/>
        </w:rPr>
        <w:t>：</w:t>
      </w:r>
      <w:r>
        <w:rPr>
          <w:rFonts w:hint="eastAsia" w:ascii="宋体" w:hAnsi="宋体" w:cs="宋体"/>
          <w:i w:val="0"/>
          <w:iCs w:val="0"/>
          <w:color w:val="auto"/>
          <w:sz w:val="24"/>
          <w:szCs w:val="24"/>
          <w:highlight w:val="none"/>
          <w:lang w:val="en-US" w:eastAsia="zh-CN"/>
        </w:rPr>
        <w:t>15699133769、0991-7503007</w:t>
      </w:r>
    </w:p>
    <w:p w14:paraId="237392E2">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6"/>
          <w:rFonts w:hint="eastAsia" w:ascii="宋体" w:hAnsi="宋体" w:eastAsia="宋体" w:cs="宋体"/>
          <w:bCs/>
          <w:color w:val="auto"/>
          <w:sz w:val="24"/>
          <w:szCs w:val="24"/>
          <w:highlight w:val="none"/>
          <w:lang w:eastAsia="zh-CN"/>
        </w:rPr>
      </w:pPr>
      <w:r>
        <w:rPr>
          <w:rStyle w:val="46"/>
          <w:rFonts w:hint="eastAsia" w:ascii="宋体" w:hAnsi="宋体" w:eastAsia="宋体" w:cs="宋体"/>
          <w:bCs/>
          <w:color w:val="auto"/>
          <w:sz w:val="24"/>
          <w:szCs w:val="24"/>
          <w:highlight w:val="none"/>
          <w:lang w:eastAsia="zh-CN"/>
        </w:rPr>
        <w:t>地址：</w:t>
      </w:r>
      <w:r>
        <w:rPr>
          <w:rFonts w:hint="eastAsia" w:ascii="宋体" w:hAnsi="宋体" w:eastAsia="宋体" w:cs="宋体"/>
          <w:i w:val="0"/>
          <w:iCs w:val="0"/>
          <w:color w:val="auto"/>
          <w:sz w:val="24"/>
          <w:szCs w:val="24"/>
          <w:highlight w:val="none"/>
          <w:lang w:val="en-US" w:eastAsia="zh-CN"/>
        </w:rPr>
        <w:t>新疆乌鲁木齐市水磨沟区恒大绿洲二期10-2-1905室</w:t>
      </w:r>
    </w:p>
    <w:p w14:paraId="6534A6AB">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4"/>
          <w:szCs w:val="24"/>
          <w:highlight w:val="none"/>
        </w:rPr>
      </w:pPr>
      <w:bookmarkStart w:id="0" w:name="_Toc31371"/>
    </w:p>
    <w:p w14:paraId="6D487009">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4291A66">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    录</w:t>
      </w:r>
      <w:bookmarkEnd w:id="0"/>
    </w:p>
    <w:p w14:paraId="2D617441">
      <w:pPr>
        <w:pStyle w:val="20"/>
        <w:pageBreakBefore w:val="0"/>
        <w:tabs>
          <w:tab w:val="right" w:leader="dot" w:pos="8959"/>
        </w:tabs>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B9A9C38">
      <w:pPr>
        <w:pStyle w:val="20"/>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_Toc9087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_Toc9087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5D5114">
      <w:pPr>
        <w:pStyle w:val="20"/>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_Toc5608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_Toc5608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D30E77">
      <w:pPr>
        <w:pStyle w:val="20"/>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第三章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613A6C">
      <w:pPr>
        <w:pStyle w:val="20"/>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_Toc25336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eastAsia="zh-CN"/>
        </w:rPr>
        <w:t>第四章  项目采购需求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_Toc25336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784F51B">
      <w:pPr>
        <w:pStyle w:val="20"/>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lang w:eastAsia="zh-CN"/>
        </w:rPr>
        <w:t>第五章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7383C9">
      <w:pPr>
        <w:pStyle w:val="20"/>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_Toc6803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_Toc6803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919C15">
      <w:pPr>
        <w:pStyle w:val="11"/>
        <w:pageBreakBefore w:val="0"/>
        <w:wordWrap/>
        <w:overflowPunct/>
        <w:topLinePunct w:val="0"/>
        <w:bidi w:val="0"/>
        <w:spacing w:after="0" w:line="560" w:lineRule="exact"/>
        <w:ind w:left="0" w:leftChars="0" w:right="0" w:right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fldChar w:fldCharType="end"/>
      </w:r>
    </w:p>
    <w:p w14:paraId="47BEE189">
      <w:pPr>
        <w:pStyle w:val="2"/>
        <w:pageBreakBefore w:val="0"/>
        <w:wordWrap/>
        <w:overflowPunct/>
        <w:topLinePunct w:val="0"/>
        <w:bidi w:val="0"/>
        <w:spacing w:before="0" w:after="0" w:line="560" w:lineRule="exact"/>
        <w:ind w:left="0" w:leftChars="0" w:right="0" w:rightChars="0"/>
        <w:rPr>
          <w:rFonts w:hint="eastAsia" w:ascii="宋体" w:hAnsi="宋体" w:eastAsia="宋体" w:cs="宋体"/>
          <w:bCs w:val="0"/>
          <w:color w:val="auto"/>
          <w:sz w:val="24"/>
          <w:szCs w:val="24"/>
          <w:highlight w:val="none"/>
        </w:rPr>
        <w:sectPr>
          <w:headerReference r:id="rId3" w:type="default"/>
          <w:pgSz w:w="11907" w:h="16840"/>
          <w:pgMar w:top="1440" w:right="1800" w:bottom="1440" w:left="1800" w:header="851" w:footer="992" w:gutter="0"/>
          <w:pgNumType w:fmt="decimal" w:start="1"/>
          <w:cols w:space="720" w:num="1"/>
          <w:docGrid w:linePitch="312" w:charSpace="0"/>
        </w:sectPr>
      </w:pPr>
    </w:p>
    <w:p w14:paraId="5EAD9D2F">
      <w:pPr>
        <w:pStyle w:val="2"/>
        <w:pageBreakBefore w:val="0"/>
        <w:kinsoku/>
        <w:wordWrap/>
        <w:overflowPunct/>
        <w:topLinePunct w:val="0"/>
        <w:autoSpaceDE/>
        <w:autoSpaceDN/>
        <w:bidi w:val="0"/>
        <w:adjustRightInd/>
        <w:snapToGrid/>
        <w:spacing w:before="0" w:after="0" w:line="380" w:lineRule="exact"/>
        <w:ind w:left="0" w:leftChars="0" w:right="0" w:rightChars="0"/>
        <w:jc w:val="center"/>
        <w:textAlignment w:val="auto"/>
        <w:rPr>
          <w:rFonts w:hint="eastAsia" w:ascii="宋体" w:hAnsi="宋体" w:eastAsia="宋体" w:cs="宋体"/>
          <w:b/>
          <w:bCs/>
          <w:color w:val="auto"/>
          <w:sz w:val="28"/>
          <w:szCs w:val="28"/>
          <w:highlight w:val="none"/>
        </w:rPr>
      </w:pPr>
      <w:bookmarkStart w:id="1" w:name="_Toc647_WPSOffice_Level1"/>
      <w:bookmarkStart w:id="2" w:name="_Toc9087"/>
      <w:r>
        <w:rPr>
          <w:rFonts w:hint="eastAsia" w:ascii="宋体" w:hAnsi="宋体" w:eastAsia="宋体" w:cs="宋体"/>
          <w:b/>
          <w:bCs/>
          <w:color w:val="auto"/>
          <w:sz w:val="28"/>
          <w:szCs w:val="28"/>
          <w:highlight w:val="none"/>
        </w:rPr>
        <w:t xml:space="preserve">第一章  </w:t>
      </w:r>
      <w:bookmarkEnd w:id="1"/>
      <w:r>
        <w:rPr>
          <w:rFonts w:hint="eastAsia" w:ascii="宋体" w:hAnsi="宋体" w:eastAsia="宋体" w:cs="宋体"/>
          <w:b/>
          <w:bCs/>
          <w:color w:val="auto"/>
          <w:sz w:val="28"/>
          <w:szCs w:val="28"/>
          <w:highlight w:val="none"/>
        </w:rPr>
        <w:t>招标公告</w:t>
      </w:r>
      <w:bookmarkEnd w:id="2"/>
    </w:p>
    <w:p w14:paraId="669BAC62">
      <w:pPr>
        <w:pageBreakBefore w:val="0"/>
        <w:kinsoku/>
        <w:wordWrap/>
        <w:overflowPunct/>
        <w:topLinePunct w:val="0"/>
        <w:bidi w:val="0"/>
        <w:spacing w:line="380" w:lineRule="exact"/>
        <w:ind w:left="0" w:leftChars="0" w:right="0" w:rightChars="0"/>
        <w:textAlignment w:val="auto"/>
        <w:rPr>
          <w:rFonts w:hint="eastAsia" w:ascii="宋体" w:hAnsi="宋体" w:eastAsia="宋体" w:cs="宋体"/>
          <w:color w:val="auto"/>
          <w:sz w:val="24"/>
          <w:szCs w:val="24"/>
          <w:highlight w:val="none"/>
        </w:rPr>
      </w:pPr>
    </w:p>
    <w:p w14:paraId="0BC5BAFB">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left="0" w:leftChars="0" w:right="0" w:rightChars="0"/>
        <w:jc w:val="center"/>
        <w:textAlignment w:val="auto"/>
        <w:rPr>
          <w:rFonts w:hint="eastAsia" w:ascii="宋体" w:hAnsi="宋体" w:eastAsia="宋体" w:cs="宋体"/>
          <w:color w:val="auto"/>
          <w:sz w:val="24"/>
          <w:szCs w:val="24"/>
          <w:highlight w:val="none"/>
        </w:rPr>
      </w:pPr>
      <w:bookmarkStart w:id="3" w:name="_Toc213496267"/>
      <w:bookmarkStart w:id="4" w:name="_Toc217446031"/>
      <w:bookmarkStart w:id="5" w:name="_Toc213396759"/>
      <w:bookmarkStart w:id="6" w:name="_Toc856_WPSOffice_Level1"/>
      <w:bookmarkStart w:id="7" w:name="_Toc213397009"/>
      <w:bookmarkStart w:id="8" w:name="_Toc213396945"/>
      <w:r>
        <w:rPr>
          <w:rFonts w:hint="eastAsia" w:ascii="宋体" w:hAnsi="宋体" w:eastAsia="宋体" w:cs="宋体"/>
          <w:color w:val="auto"/>
          <w:sz w:val="24"/>
          <w:szCs w:val="24"/>
          <w:highlight w:val="none"/>
        </w:rPr>
        <w:t>项目概况</w:t>
      </w:r>
    </w:p>
    <w:p w14:paraId="038FA1A0">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Style w:val="46"/>
          <w:rFonts w:hint="eastAsia" w:ascii="宋体" w:hAnsi="宋体" w:cs="宋体"/>
          <w:bCs/>
          <w:color w:val="auto"/>
          <w:sz w:val="24"/>
          <w:szCs w:val="24"/>
          <w:highlight w:val="none"/>
          <w:u w:val="single"/>
          <w:lang w:eastAsia="zh-CN"/>
        </w:rPr>
        <w:t>新疆医科大学附属肿瘤医院肠内营养制剂袋采购项目</w:t>
      </w:r>
      <w:r>
        <w:rPr>
          <w:rFonts w:hint="eastAsia" w:ascii="宋体" w:hAnsi="宋体" w:eastAsia="宋体" w:cs="宋体"/>
          <w:color w:val="auto"/>
          <w:sz w:val="24"/>
          <w:szCs w:val="24"/>
          <w:highlight w:val="none"/>
        </w:rPr>
        <w:t>招标项目的潜在投标人应在</w:t>
      </w:r>
      <w:r>
        <w:rPr>
          <w:rFonts w:hint="eastAsia" w:ascii="宋体" w:hAnsi="宋体" w:eastAsia="宋体" w:cs="宋体"/>
          <w:bCs/>
          <w:color w:val="auto"/>
          <w:sz w:val="24"/>
          <w:szCs w:val="24"/>
          <w:highlight w:val="none"/>
          <w:u w:val="single"/>
        </w:rPr>
        <w:t>新疆政府采购云平台https://www.zcygov.cn/</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05</w:t>
      </w:r>
      <w:r>
        <w:rPr>
          <w:rFonts w:hint="eastAsia" w:ascii="宋体" w:hAnsi="宋体" w:eastAsia="宋体" w:cs="宋体"/>
          <w:bCs/>
          <w:color w:val="auto"/>
          <w:sz w:val="24"/>
          <w:szCs w:val="24"/>
          <w:highlight w:val="none"/>
          <w:u w:val="single"/>
          <w:lang w:val="en-US" w:eastAsia="zh-CN"/>
        </w:rPr>
        <w:t>月</w:t>
      </w:r>
      <w:r>
        <w:rPr>
          <w:rFonts w:hint="eastAsia" w:ascii="宋体" w:hAnsi="宋体" w:cs="宋体"/>
          <w:bCs/>
          <w:color w:val="auto"/>
          <w:sz w:val="24"/>
          <w:szCs w:val="24"/>
          <w:highlight w:val="none"/>
          <w:u w:val="single"/>
          <w:lang w:val="en-US" w:eastAsia="zh-CN"/>
        </w:rPr>
        <w:t>14日</w:t>
      </w:r>
      <w:r>
        <w:rPr>
          <w:rFonts w:hint="eastAsia" w:ascii="宋体" w:hAnsi="宋体" w:eastAsia="宋体" w:cs="宋体"/>
          <w:bCs/>
          <w:color w:val="auto"/>
          <w:sz w:val="24"/>
          <w:szCs w:val="24"/>
          <w:highlight w:val="none"/>
          <w:u w:val="single"/>
        </w:rPr>
        <w:t>1</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点00分（</w:t>
      </w:r>
      <w:r>
        <w:rPr>
          <w:rFonts w:hint="eastAsia" w:ascii="宋体" w:hAnsi="宋体" w:eastAsia="宋体" w:cs="宋体"/>
          <w:bCs/>
          <w:color w:val="auto"/>
          <w:sz w:val="24"/>
          <w:szCs w:val="24"/>
          <w:highlight w:val="none"/>
        </w:rPr>
        <w:t>北京时间）前上传投标文件</w:t>
      </w:r>
      <w:r>
        <w:rPr>
          <w:rFonts w:hint="eastAsia" w:ascii="宋体" w:hAnsi="宋体" w:eastAsia="宋体" w:cs="宋体"/>
          <w:color w:val="auto"/>
          <w:sz w:val="24"/>
          <w:szCs w:val="24"/>
          <w:highlight w:val="none"/>
        </w:rPr>
        <w:t>。</w:t>
      </w:r>
    </w:p>
    <w:p w14:paraId="1051DB52">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9" w:name="_Toc35393621"/>
      <w:bookmarkStart w:id="10" w:name="_Toc28359079"/>
      <w:bookmarkStart w:id="11" w:name="_Toc35393790"/>
      <w:bookmarkStart w:id="12" w:name="_Toc28359002"/>
      <w:bookmarkStart w:id="13" w:name="_Hlk24379207"/>
      <w:r>
        <w:rPr>
          <w:rFonts w:hint="eastAsia" w:ascii="宋体" w:hAnsi="宋体" w:eastAsia="宋体" w:cs="宋体"/>
          <w:b/>
          <w:bCs/>
          <w:color w:val="auto"/>
          <w:sz w:val="24"/>
          <w:szCs w:val="24"/>
          <w:highlight w:val="none"/>
        </w:rPr>
        <w:t>一、项目基本情况</w:t>
      </w:r>
      <w:bookmarkEnd w:id="9"/>
      <w:bookmarkEnd w:id="10"/>
      <w:bookmarkEnd w:id="11"/>
      <w:bookmarkEnd w:id="12"/>
    </w:p>
    <w:p w14:paraId="7AD6792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Style w:val="46"/>
          <w:rFonts w:hint="eastAsia" w:ascii="宋体" w:hAnsi="宋体" w:cs="宋体"/>
          <w:bCs/>
          <w:color w:val="auto"/>
          <w:sz w:val="24"/>
          <w:szCs w:val="24"/>
          <w:highlight w:val="none"/>
        </w:rPr>
        <w:t>SXFD（SFY-ZC）20250402</w:t>
      </w:r>
    </w:p>
    <w:p w14:paraId="539EC78D">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bookmarkEnd w:id="13"/>
      <w:r>
        <w:rPr>
          <w:rFonts w:hint="eastAsia" w:ascii="宋体" w:hAnsi="宋体" w:cs="宋体"/>
          <w:color w:val="auto"/>
          <w:sz w:val="24"/>
          <w:szCs w:val="24"/>
          <w:highlight w:val="none"/>
          <w:lang w:eastAsia="zh-CN"/>
        </w:rPr>
        <w:t>新疆医科大学附属肿瘤医院肠内营养制剂袋采购项目</w:t>
      </w:r>
    </w:p>
    <w:p w14:paraId="4E4B7775">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采购方式：</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lang w:eastAsia="zh-CN"/>
        </w:rPr>
        <w:t> </w:t>
      </w:r>
    </w:p>
    <w:p w14:paraId="3F75387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预算金额（元）：</w:t>
      </w:r>
      <w:r>
        <w:rPr>
          <w:rFonts w:hint="eastAsia" w:ascii="宋体" w:hAnsi="宋体" w:eastAsia="宋体" w:cs="宋体"/>
          <w:color w:val="auto"/>
          <w:sz w:val="24"/>
          <w:szCs w:val="24"/>
          <w:highlight w:val="none"/>
          <w:lang w:val="en-US" w:eastAsia="zh-CN"/>
        </w:rPr>
        <w:t>94710元</w:t>
      </w:r>
    </w:p>
    <w:p w14:paraId="4F80A7DE">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）：3.85</w:t>
      </w:r>
      <w:r>
        <w:rPr>
          <w:rFonts w:hint="eastAsia" w:ascii="宋体" w:hAnsi="宋体" w:eastAsia="宋体" w:cs="宋体"/>
          <w:color w:val="auto"/>
          <w:sz w:val="24"/>
          <w:szCs w:val="24"/>
          <w:highlight w:val="none"/>
          <w:lang w:val="en-US" w:eastAsia="zh-CN"/>
        </w:rPr>
        <w:t>元</w:t>
      </w:r>
    </w:p>
    <w:p w14:paraId="3A61637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3155CE97">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   标项名称:</w:t>
      </w:r>
      <w:r>
        <w:rPr>
          <w:rStyle w:val="46"/>
          <w:rFonts w:hint="eastAsia" w:ascii="宋体" w:hAnsi="宋体" w:cs="宋体"/>
          <w:bCs/>
          <w:color w:val="auto"/>
          <w:sz w:val="24"/>
          <w:szCs w:val="24"/>
          <w:highlight w:val="none"/>
          <w:lang w:eastAsia="zh-CN"/>
        </w:rPr>
        <w:t>新疆医科大学附属肿瘤医院肠内营养制剂袋采购项目</w:t>
      </w:r>
    </w:p>
    <w:p w14:paraId="2FD0C083">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数量:1</w:t>
      </w:r>
      <w:r>
        <w:rPr>
          <w:rFonts w:hint="eastAsia" w:ascii="宋体" w:hAnsi="宋体" w:eastAsia="宋体" w:cs="宋体"/>
          <w:color w:val="auto"/>
          <w:sz w:val="24"/>
          <w:szCs w:val="24"/>
          <w:highlight w:val="none"/>
          <w:lang w:val="en-US" w:eastAsia="zh-CN"/>
        </w:rPr>
        <w:t>批</w:t>
      </w:r>
    </w:p>
    <w:p w14:paraId="127BA4C8">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简要规格描述或项目基本概况介绍、用途：</w:t>
      </w:r>
    </w:p>
    <w:p w14:paraId="6D095829">
      <w:pPr>
        <w:pageBreakBefore w:val="0"/>
        <w:kinsoku/>
        <w:wordWrap/>
        <w:overflowPunct/>
        <w:topLinePunct w:val="0"/>
        <w:autoSpaceDE/>
        <w:autoSpaceDN/>
        <w:bidi w:val="0"/>
        <w:adjustRightInd/>
        <w:snapToGrid/>
        <w:spacing w:line="380" w:lineRule="exact"/>
        <w:ind w:left="0" w:leftChars="0" w:right="0" w:righ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肠胃营养袋（管饲型）</w:t>
      </w:r>
      <w:r>
        <w:rPr>
          <w:rFonts w:hint="eastAsia" w:ascii="宋体" w:hAnsi="宋体" w:eastAsia="宋体" w:cs="宋体"/>
          <w:color w:val="auto"/>
          <w:sz w:val="24"/>
          <w:szCs w:val="24"/>
          <w:highlight w:val="none"/>
        </w:rPr>
        <w:t xml:space="preserve">，详见招标文件“第四章  </w:t>
      </w:r>
      <w:r>
        <w:rPr>
          <w:rFonts w:hint="eastAsia" w:ascii="宋体" w:hAnsi="宋体" w:eastAsia="宋体" w:cs="宋体"/>
          <w:color w:val="auto"/>
          <w:sz w:val="24"/>
          <w:szCs w:val="24"/>
          <w:highlight w:val="none"/>
          <w:lang w:eastAsia="zh-CN"/>
        </w:rPr>
        <w:t>项目采购需求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p>
    <w:p w14:paraId="30A37ED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否</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接受</w:t>
      </w:r>
      <w:r>
        <w:rPr>
          <w:rFonts w:hint="eastAsia" w:ascii="宋体" w:hAnsi="宋体" w:eastAsia="宋体" w:cs="宋体"/>
          <w:color w:val="auto"/>
          <w:sz w:val="24"/>
          <w:szCs w:val="24"/>
          <w:highlight w:val="none"/>
          <w:u w:val="none"/>
        </w:rPr>
        <w:t>联</w:t>
      </w:r>
      <w:r>
        <w:rPr>
          <w:rFonts w:hint="eastAsia" w:ascii="宋体" w:hAnsi="宋体" w:eastAsia="宋体" w:cs="宋体"/>
          <w:color w:val="auto"/>
          <w:sz w:val="24"/>
          <w:szCs w:val="24"/>
          <w:highlight w:val="none"/>
        </w:rPr>
        <w:t>合体投标。</w:t>
      </w:r>
    </w:p>
    <w:p w14:paraId="1272F1D6">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14" w:name="_Toc35393622"/>
      <w:bookmarkStart w:id="15" w:name="_Toc28359080"/>
      <w:bookmarkStart w:id="16" w:name="_Toc28359003"/>
      <w:bookmarkStart w:id="17" w:name="_Toc35393791"/>
      <w:r>
        <w:rPr>
          <w:rFonts w:hint="eastAsia" w:ascii="宋体" w:hAnsi="宋体" w:eastAsia="宋体" w:cs="宋体"/>
          <w:b/>
          <w:bCs/>
          <w:color w:val="auto"/>
          <w:sz w:val="24"/>
          <w:szCs w:val="24"/>
          <w:highlight w:val="none"/>
        </w:rPr>
        <w:t>二、申请人的资格要求：</w:t>
      </w:r>
      <w:bookmarkEnd w:id="14"/>
      <w:bookmarkEnd w:id="15"/>
      <w:bookmarkEnd w:id="16"/>
      <w:bookmarkEnd w:id="17"/>
    </w:p>
    <w:p w14:paraId="2455D6F9">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0037EA7E">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bookmarkStart w:id="18" w:name="_Toc28359081"/>
      <w:bookmarkStart w:id="19" w:name="_Toc28359004"/>
      <w:r>
        <w:rPr>
          <w:rFonts w:hint="eastAsia" w:ascii="宋体" w:hAnsi="宋体" w:eastAsia="宋体" w:cs="宋体"/>
          <w:color w:val="auto"/>
          <w:sz w:val="24"/>
          <w:szCs w:val="24"/>
          <w:highlight w:val="none"/>
        </w:rPr>
        <w:t>2.落实政府采购政策需满足的资格要求：本项目为专门面向中小企业（含中型、小型、微型）采购项目</w:t>
      </w:r>
      <w:r>
        <w:rPr>
          <w:rFonts w:hint="eastAsia" w:ascii="宋体" w:hAnsi="宋体" w:eastAsia="宋体" w:cs="宋体"/>
          <w:color w:val="auto"/>
          <w:sz w:val="24"/>
          <w:szCs w:val="24"/>
          <w:highlight w:val="none"/>
          <w:lang w:eastAsia="zh-CN"/>
        </w:rPr>
        <w:t>。</w:t>
      </w:r>
    </w:p>
    <w:p w14:paraId="049C27CC">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须提供食品经营许可证或食品生产许可证</w:t>
      </w:r>
      <w:r>
        <w:rPr>
          <w:rFonts w:hint="eastAsia" w:ascii="宋体" w:hAnsi="宋体" w:cs="宋体"/>
          <w:color w:val="auto"/>
          <w:sz w:val="24"/>
          <w:szCs w:val="24"/>
          <w:highlight w:val="none"/>
          <w:lang w:eastAsia="zh-CN"/>
        </w:rPr>
        <w:t>。</w:t>
      </w:r>
    </w:p>
    <w:p w14:paraId="450266A0">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w:t>
      </w:r>
    </w:p>
    <w:p w14:paraId="033C661A">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20" w:name="_Toc35393792"/>
      <w:bookmarkStart w:id="21" w:name="_Toc35393623"/>
      <w:r>
        <w:rPr>
          <w:rFonts w:hint="eastAsia" w:ascii="宋体" w:hAnsi="宋体" w:eastAsia="宋体" w:cs="宋体"/>
          <w:b/>
          <w:bCs/>
          <w:color w:val="auto"/>
          <w:sz w:val="24"/>
          <w:szCs w:val="24"/>
          <w:highlight w:val="none"/>
        </w:rPr>
        <w:t>三、获取招标文件</w:t>
      </w:r>
      <w:bookmarkEnd w:id="18"/>
      <w:bookmarkEnd w:id="19"/>
      <w:bookmarkEnd w:id="20"/>
      <w:bookmarkEnd w:id="21"/>
    </w:p>
    <w:p w14:paraId="4AEEB0CB">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日，每天上午00:00至23：59（北京时间，线上获取法定节假日均可）；</w:t>
      </w:r>
    </w:p>
    <w:p w14:paraId="7607427E">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地点：投标人</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政采云平台http://www.zcygov.cn/，在线申请获取招标文件（登录政府采购云平台→项目采购→获取招标文件→申请</w:t>
      </w:r>
      <w:r>
        <w:rPr>
          <w:rFonts w:hint="eastAsia" w:ascii="宋体" w:hAnsi="宋体" w:eastAsia="宋体" w:cs="宋体"/>
          <w:color w:val="auto"/>
          <w:sz w:val="24"/>
          <w:szCs w:val="24"/>
          <w:highlight w:val="none"/>
          <w:lang w:eastAsia="zh-CN"/>
        </w:rPr>
        <w:t>即</w:t>
      </w:r>
      <w:r>
        <w:rPr>
          <w:rFonts w:hint="eastAsia" w:ascii="宋体" w:hAnsi="宋体" w:eastAsia="宋体" w:cs="宋体"/>
          <w:color w:val="auto"/>
          <w:sz w:val="24"/>
          <w:szCs w:val="24"/>
          <w:highlight w:val="none"/>
        </w:rPr>
        <w:t>可下载招标文件，如有操作性问题，可与政采云在线客服进行咨询，咨询电话：95763）。</w:t>
      </w:r>
    </w:p>
    <w:p w14:paraId="7F9A598C">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方式：投标人登录新疆政府采购云平台https://www.zcygov.cn/在线申请获取招标文件（登录政府采购云平台→项目采购→获取招标文件→下载招标文件）</w:t>
      </w:r>
    </w:p>
    <w:p w14:paraId="51816285">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w:t>
      </w:r>
      <w:r>
        <w:rPr>
          <w:rFonts w:hint="eastAsia" w:ascii="宋体" w:hAnsi="宋体" w:eastAsia="宋体" w:cs="宋体"/>
          <w:color w:val="auto"/>
          <w:kern w:val="0"/>
          <w:sz w:val="24"/>
          <w:szCs w:val="24"/>
          <w:highlight w:val="none"/>
        </w:rPr>
        <w:t>免费获取</w:t>
      </w:r>
    </w:p>
    <w:p w14:paraId="25E40EB4">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22" w:name="_Toc28359082"/>
      <w:bookmarkStart w:id="23" w:name="_Toc28359005"/>
      <w:bookmarkStart w:id="24" w:name="_Toc35393793"/>
      <w:bookmarkStart w:id="25" w:name="_Toc35393624"/>
      <w:r>
        <w:rPr>
          <w:rFonts w:hint="eastAsia" w:ascii="宋体" w:hAnsi="宋体" w:eastAsia="宋体" w:cs="宋体"/>
          <w:b/>
          <w:bCs/>
          <w:color w:val="auto"/>
          <w:sz w:val="24"/>
          <w:szCs w:val="24"/>
          <w:highlight w:val="none"/>
        </w:rPr>
        <w:t>四、提交投标文件</w:t>
      </w:r>
      <w:bookmarkEnd w:id="22"/>
      <w:bookmarkEnd w:id="23"/>
      <w:r>
        <w:rPr>
          <w:rFonts w:hint="eastAsia" w:ascii="宋体" w:hAnsi="宋体" w:eastAsia="宋体" w:cs="宋体"/>
          <w:b/>
          <w:bCs/>
          <w:color w:val="auto"/>
          <w:sz w:val="24"/>
          <w:szCs w:val="24"/>
          <w:highlight w:val="none"/>
        </w:rPr>
        <w:t>截止时间、开标时间和地点</w:t>
      </w:r>
      <w:bookmarkEnd w:id="24"/>
      <w:bookmarkEnd w:id="25"/>
    </w:p>
    <w:p w14:paraId="25F8002D">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05</w:t>
      </w:r>
      <w:r>
        <w:rPr>
          <w:rFonts w:hint="eastAsia" w:ascii="宋体" w:hAnsi="宋体" w:eastAsia="宋体" w:cs="宋体"/>
          <w:bCs/>
          <w:color w:val="auto"/>
          <w:sz w:val="24"/>
          <w:szCs w:val="24"/>
          <w:highlight w:val="none"/>
          <w:u w:val="single"/>
          <w:lang w:val="en-US" w:eastAsia="zh-CN"/>
        </w:rPr>
        <w:t>月</w:t>
      </w:r>
      <w:r>
        <w:rPr>
          <w:rFonts w:hint="eastAsia" w:ascii="宋体" w:hAnsi="宋体" w:cs="宋体"/>
          <w:bCs/>
          <w:color w:val="auto"/>
          <w:sz w:val="24"/>
          <w:szCs w:val="24"/>
          <w:highlight w:val="none"/>
          <w:u w:val="single"/>
          <w:lang w:val="en-US" w:eastAsia="zh-CN"/>
        </w:rPr>
        <w:t>14日</w:t>
      </w:r>
      <w:r>
        <w:rPr>
          <w:rFonts w:hint="eastAsia" w:ascii="宋体" w:hAnsi="宋体" w:eastAsia="宋体" w:cs="宋体"/>
          <w:bCs/>
          <w:color w:val="auto"/>
          <w:sz w:val="24"/>
          <w:szCs w:val="24"/>
          <w:highlight w:val="none"/>
          <w:u w:val="single"/>
        </w:rPr>
        <w:t>1</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点00分</w:t>
      </w:r>
      <w:r>
        <w:rPr>
          <w:rFonts w:hint="eastAsia" w:ascii="宋体" w:hAnsi="宋体" w:eastAsia="宋体" w:cs="宋体"/>
          <w:color w:val="auto"/>
          <w:sz w:val="24"/>
          <w:szCs w:val="24"/>
          <w:highlight w:val="none"/>
        </w:rPr>
        <w:t>（北京时间）</w:t>
      </w:r>
    </w:p>
    <w:p w14:paraId="03E9F39A">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05</w:t>
      </w:r>
      <w:r>
        <w:rPr>
          <w:rFonts w:hint="eastAsia" w:ascii="宋体" w:hAnsi="宋体" w:eastAsia="宋体" w:cs="宋体"/>
          <w:bCs/>
          <w:color w:val="auto"/>
          <w:sz w:val="24"/>
          <w:szCs w:val="24"/>
          <w:highlight w:val="none"/>
          <w:u w:val="single"/>
          <w:lang w:val="en-US" w:eastAsia="zh-CN"/>
        </w:rPr>
        <w:t>月</w:t>
      </w:r>
      <w:r>
        <w:rPr>
          <w:rFonts w:hint="eastAsia" w:ascii="宋体" w:hAnsi="宋体" w:cs="宋体"/>
          <w:bCs/>
          <w:color w:val="auto"/>
          <w:sz w:val="24"/>
          <w:szCs w:val="24"/>
          <w:highlight w:val="none"/>
          <w:u w:val="single"/>
          <w:lang w:val="en-US" w:eastAsia="zh-CN"/>
        </w:rPr>
        <w:t>14日</w:t>
      </w:r>
      <w:r>
        <w:rPr>
          <w:rFonts w:hint="eastAsia" w:ascii="宋体" w:hAnsi="宋体" w:eastAsia="宋体" w:cs="宋体"/>
          <w:bCs/>
          <w:color w:val="auto"/>
          <w:sz w:val="24"/>
          <w:szCs w:val="24"/>
          <w:highlight w:val="none"/>
          <w:u w:val="single"/>
        </w:rPr>
        <w:t>1</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点00分</w:t>
      </w:r>
      <w:r>
        <w:rPr>
          <w:rFonts w:hint="eastAsia" w:ascii="宋体" w:hAnsi="宋体" w:eastAsia="宋体" w:cs="宋体"/>
          <w:color w:val="auto"/>
          <w:sz w:val="24"/>
          <w:szCs w:val="24"/>
          <w:highlight w:val="none"/>
        </w:rPr>
        <w:t>（北京时间）</w:t>
      </w:r>
    </w:p>
    <w:p w14:paraId="4489298C">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bookmarkStart w:id="26" w:name="_Toc28359007"/>
      <w:bookmarkStart w:id="27" w:name="_Toc35393794"/>
      <w:bookmarkStart w:id="28" w:name="_Toc35393625"/>
      <w:bookmarkStart w:id="29" w:name="_Toc28359084"/>
      <w:r>
        <w:rPr>
          <w:rFonts w:hint="eastAsia" w:ascii="宋体" w:hAnsi="宋体" w:eastAsia="宋体" w:cs="宋体"/>
          <w:color w:val="auto"/>
          <w:sz w:val="24"/>
          <w:szCs w:val="24"/>
          <w:highlight w:val="none"/>
        </w:rPr>
        <w:t>政采云平台http://www.zcygov.cn/</w:t>
      </w:r>
    </w:p>
    <w:p w14:paraId="1FE3D5C0">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bookmarkEnd w:id="26"/>
      <w:bookmarkEnd w:id="27"/>
      <w:bookmarkEnd w:id="28"/>
      <w:bookmarkEnd w:id="29"/>
    </w:p>
    <w:p w14:paraId="457D3B10">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0AD65499">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30" w:name="_Toc35393626"/>
      <w:bookmarkStart w:id="31" w:name="_Toc35393795"/>
      <w:r>
        <w:rPr>
          <w:rFonts w:hint="eastAsia" w:ascii="宋体" w:hAnsi="宋体" w:eastAsia="宋体" w:cs="宋体"/>
          <w:b/>
          <w:bCs/>
          <w:color w:val="auto"/>
          <w:sz w:val="24"/>
          <w:szCs w:val="24"/>
          <w:highlight w:val="none"/>
        </w:rPr>
        <w:t>六、其他补充事宜</w:t>
      </w:r>
      <w:bookmarkEnd w:id="30"/>
      <w:bookmarkEnd w:id="31"/>
    </w:p>
    <w:p w14:paraId="4B3A1DC8">
      <w:pPr>
        <w:pStyle w:val="49"/>
        <w:keepNext w:val="0"/>
        <w:keepLines w:val="0"/>
        <w:pageBreakBefore w:val="0"/>
        <w:widowControl/>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本项目实行全流程</w:t>
      </w:r>
      <w:r>
        <w:rPr>
          <w:rFonts w:hint="eastAsia" w:ascii="宋体" w:hAnsi="宋体" w:eastAsia="宋体" w:cs="宋体"/>
          <w:color w:val="auto"/>
          <w:sz w:val="24"/>
          <w:szCs w:val="24"/>
          <w:highlight w:val="none"/>
        </w:rPr>
        <w:t>电子交易方式</w:t>
      </w:r>
      <w:r>
        <w:rPr>
          <w:rFonts w:hint="eastAsia" w:ascii="宋体" w:hAnsi="宋体" w:eastAsia="宋体" w:cs="宋体"/>
          <w:color w:val="auto"/>
          <w:kern w:val="0"/>
          <w:sz w:val="24"/>
          <w:szCs w:val="24"/>
          <w:highlight w:val="none"/>
        </w:rPr>
        <w:t>，采用电子加密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上传方式；</w:t>
      </w:r>
    </w:p>
    <w:p w14:paraId="3747A1F0">
      <w:pPr>
        <w:pStyle w:val="49"/>
        <w:keepNext w:val="0"/>
        <w:keepLines w:val="0"/>
        <w:pageBreakBefore w:val="0"/>
        <w:widowControl/>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前应确保成为新疆政府采购网正式注册入库</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，并完成CA数字证书（符合国密标准）申领。因未注册入库、未办理CA数字证书等原因造成无法上传或</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失败等后果由</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自行承担。有意向参与的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，可访问新疆数字证书认证中心官方网站（https://www.xjca.com.cn/）或下载“新疆政务通”APP自行申领。如需咨询，请联系新疆CA服务热线0991-2819290；</w:t>
      </w:r>
    </w:p>
    <w:p w14:paraId="089D45F2">
      <w:pPr>
        <w:pStyle w:val="49"/>
        <w:keepNext w:val="0"/>
        <w:keepLines w:val="0"/>
        <w:pageBreakBefore w:val="0"/>
        <w:widowControl/>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在完成政采云电子交易客户端下载、安装后，可通过账号密码或CA登录客户端进行</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的制作。在使用“政采云投标客户端”时，建议使用WIN7及以上操作系统。客户端请至新疆政府采购网（http://www.ccgp-xinjiang.gov.cn/）下载专区查看，如遇问题可拨打政采云客户服务热线95763进行咨询。如因</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自身原因导致在规定时间内无法正常解密的（如：浏览器故障、未安装相关驱动、网络故障、加密CA与解密CA不一致等），采购中心、代理机构不予异常处理，视为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自动弃标；</w:t>
      </w:r>
    </w:p>
    <w:p w14:paraId="624DE4D4">
      <w:pPr>
        <w:pStyle w:val="49"/>
        <w:keepNext w:val="0"/>
        <w:keepLines w:val="0"/>
        <w:pageBreakBefore w:val="0"/>
        <w:widowControl/>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将生成的“电子加密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”上传至“政府采购云平台”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截止时间以后上传的</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将被“政府采购云平台”拒收；</w:t>
      </w:r>
    </w:p>
    <w:p w14:paraId="2F3031B9">
      <w:pPr>
        <w:pStyle w:val="49"/>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前须提前配置好电脑浏览器（建议使用360浏览器或谷歌浏览器）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开标时登录政采云平台，在“项目采购</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开标评审”功能中，使用制作加密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电子标书的CA锁进行解密及报价确认。本项目</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的解密时间定为30分钟内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在规定时间内因自身原因导致无法正常解密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后果由</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自行承担；</w:t>
      </w:r>
    </w:p>
    <w:p w14:paraId="74DC6D42">
      <w:pPr>
        <w:pStyle w:val="49"/>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登录政采云平台，在开标时间后30分钟内用“项目采购</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开标评审”功能进行解密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在规定时间内未按时解密的，视为响应无效。解密与加密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须使用同一个 CA。</w:t>
      </w:r>
    </w:p>
    <w:p w14:paraId="3E27967A">
      <w:pPr>
        <w:pStyle w:val="107"/>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特别提示：</w:t>
      </w:r>
    </w:p>
    <w:p w14:paraId="713435BE">
      <w:pPr>
        <w:pStyle w:val="107"/>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1、采购限额标准以上，200万元以下的货物和服务采购项目、400万元以下的工程采购项目，适宜由中小企业提供的，</w:t>
      </w:r>
      <w:r>
        <w:rPr>
          <w:rFonts w:hint="eastAsia" w:ascii="宋体" w:hAnsi="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应当专门面向中小企业采购。</w:t>
      </w:r>
    </w:p>
    <w:p w14:paraId="75A91128">
      <w:pPr>
        <w:pStyle w:val="107"/>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2、超过200万元的货物和服务采购项目，预留该部分采购项目预算总额的30%以上专门面向中小企业采购，其中预留给小微企业的比例不低于60%。</w:t>
      </w:r>
    </w:p>
    <w:p w14:paraId="73DFEEB0">
      <w:pPr>
        <w:pStyle w:val="107"/>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3、超过400万元的工程采购项目中适宜由中小企业提供的，预留该部分采购项目预算总额的40%以上专门面向中小企业采购，其中预留给小微企业的比例不低于60%。</w:t>
      </w:r>
    </w:p>
    <w:p w14:paraId="6737634D">
      <w:pPr>
        <w:pStyle w:val="107"/>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4、对于未预留份额专门面向中小企业的采购项目，以及预留份额项目中的非预留部分采购包，</w:t>
      </w:r>
      <w:r>
        <w:rPr>
          <w:rFonts w:hint="eastAsia" w:ascii="宋体" w:hAnsi="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招标代理机构</w:t>
      </w:r>
      <w:r>
        <w:rPr>
          <w:rFonts w:hint="eastAsia" w:ascii="宋体" w:hAnsi="宋体" w:eastAsia="宋体" w:cs="宋体"/>
          <w:b w:val="0"/>
          <w:bCs w:val="0"/>
          <w:color w:val="auto"/>
          <w:sz w:val="24"/>
          <w:szCs w:val="24"/>
          <w:highlight w:val="none"/>
        </w:rPr>
        <w:t>应当对符合规定的小微企业报价给予10%</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20%（工程项目为3%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5%作为其价格分。</w:t>
      </w:r>
    </w:p>
    <w:p w14:paraId="4C2DC246">
      <w:pPr>
        <w:pStyle w:val="107"/>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宋体" w:hAnsi="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招标代理机构</w:t>
      </w:r>
      <w:r>
        <w:rPr>
          <w:rFonts w:hint="eastAsia" w:ascii="宋体" w:hAnsi="宋体" w:eastAsia="宋体" w:cs="宋体"/>
          <w:b w:val="0"/>
          <w:bCs w:val="0"/>
          <w:color w:val="auto"/>
          <w:sz w:val="24"/>
          <w:szCs w:val="24"/>
          <w:highlight w:val="none"/>
        </w:rPr>
        <w:t>应当对联合体或者大中型企业的报价给予4%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6%（工程项目为1%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2%作为其价格分。</w:t>
      </w:r>
    </w:p>
    <w:p w14:paraId="36C90F3F">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32" w:name="_Toc28359008"/>
      <w:bookmarkStart w:id="33" w:name="_Toc35393627"/>
      <w:bookmarkStart w:id="34" w:name="_Toc35393796"/>
      <w:bookmarkStart w:id="35" w:name="_Toc28359085"/>
      <w:r>
        <w:rPr>
          <w:rFonts w:hint="eastAsia" w:ascii="宋体" w:hAnsi="宋体" w:eastAsia="宋体" w:cs="宋体"/>
          <w:b/>
          <w:bCs/>
          <w:color w:val="auto"/>
          <w:sz w:val="24"/>
          <w:szCs w:val="24"/>
          <w:highlight w:val="none"/>
        </w:rPr>
        <w:t>七、对本次招标提出询问，请按以下方式联系</w:t>
      </w:r>
      <w:bookmarkEnd w:id="32"/>
      <w:bookmarkEnd w:id="33"/>
      <w:bookmarkEnd w:id="34"/>
      <w:bookmarkEnd w:id="35"/>
      <w:r>
        <w:rPr>
          <w:rFonts w:hint="eastAsia" w:ascii="宋体" w:hAnsi="宋体" w:eastAsia="宋体" w:cs="宋体"/>
          <w:b/>
          <w:bCs/>
          <w:color w:val="auto"/>
          <w:sz w:val="24"/>
          <w:szCs w:val="24"/>
          <w:highlight w:val="none"/>
        </w:rPr>
        <w:t>：</w:t>
      </w:r>
    </w:p>
    <w:p w14:paraId="0138FB4B">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信息</w:t>
      </w:r>
    </w:p>
    <w:p w14:paraId="07CB2E4B">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i w:val="0"/>
          <w:iCs w:val="0"/>
          <w:color w:val="auto"/>
          <w:sz w:val="24"/>
          <w:szCs w:val="24"/>
          <w:highlight w:val="none"/>
          <w:lang w:val="en-US" w:eastAsia="zh-CN"/>
        </w:rPr>
        <w:t>新疆医科大学附属肿瘤医院</w:t>
      </w:r>
    </w:p>
    <w:p w14:paraId="28DB82CF">
      <w:pPr>
        <w:pageBreakBefore w:val="0"/>
        <w:kinsoku/>
        <w:wordWrap/>
        <w:overflowPunct/>
        <w:topLinePunct w:val="0"/>
        <w:autoSpaceDE/>
        <w:autoSpaceDN/>
        <w:bidi w:val="0"/>
        <w:adjustRightInd/>
        <w:snapToGrid/>
        <w:spacing w:line="380" w:lineRule="exact"/>
        <w:ind w:left="0" w:leftChars="0" w:right="0" w:rightChars="0" w:firstLine="540"/>
        <w:textAlignment w:val="auto"/>
        <w:rPr>
          <w:rStyle w:val="46"/>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地址：乌鲁木齐市苏州东街789号</w:t>
      </w:r>
    </w:p>
    <w:p w14:paraId="61BFDDF9">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0991-7819055</w:t>
      </w:r>
      <w:r>
        <w:rPr>
          <w:rFonts w:hint="eastAsia" w:ascii="宋体" w:hAnsi="宋体" w:eastAsia="宋体" w:cs="宋体"/>
          <w:color w:val="auto"/>
          <w:sz w:val="24"/>
          <w:szCs w:val="24"/>
          <w:highlight w:val="none"/>
        </w:rPr>
        <w:t xml:space="preserve">　　　　　　　 </w:t>
      </w:r>
      <w:bookmarkStart w:id="36" w:name="_Toc28359009"/>
      <w:bookmarkStart w:id="37" w:name="_Toc28359086"/>
    </w:p>
    <w:p w14:paraId="6DE8F3C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信息</w:t>
      </w:r>
      <w:bookmarkEnd w:id="36"/>
      <w:bookmarkEnd w:id="37"/>
    </w:p>
    <w:p w14:paraId="6EDDD68B">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Style w:val="46"/>
          <w:rFonts w:hint="eastAsia" w:ascii="宋体" w:hAnsi="宋体" w:eastAsia="宋体" w:cs="宋体"/>
          <w:bCs/>
          <w:color w:val="auto"/>
          <w:sz w:val="24"/>
          <w:szCs w:val="24"/>
          <w:highlight w:val="none"/>
          <w:lang w:eastAsia="zh-CN"/>
        </w:rPr>
        <w:t>陕西方得项目管理有限公司</w:t>
      </w:r>
    </w:p>
    <w:p w14:paraId="01E31360">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i w:val="0"/>
          <w:iCs w:val="0"/>
          <w:color w:val="auto"/>
          <w:sz w:val="24"/>
          <w:szCs w:val="24"/>
          <w:highlight w:val="none"/>
          <w:lang w:val="en-US" w:eastAsia="zh-CN"/>
        </w:rPr>
        <w:t>新疆乌鲁木齐市水磨沟区恒大绿洲二期10-2-1905室</w:t>
      </w:r>
    </w:p>
    <w:p w14:paraId="002B4C03">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i w:val="0"/>
          <w:iCs w:val="0"/>
          <w:color w:val="auto"/>
          <w:sz w:val="24"/>
          <w:szCs w:val="24"/>
          <w:highlight w:val="none"/>
          <w:lang w:val="en-US" w:eastAsia="zh-CN"/>
        </w:rPr>
        <w:t>马平利、白云昭、王浩</w:t>
      </w:r>
    </w:p>
    <w:p w14:paraId="58428839">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cs="宋体"/>
          <w:i w:val="0"/>
          <w:iCs w:val="0"/>
          <w:color w:val="auto"/>
          <w:sz w:val="24"/>
          <w:szCs w:val="24"/>
          <w:highlight w:val="none"/>
          <w:lang w:val="en-US" w:eastAsia="zh-CN"/>
        </w:rPr>
        <w:t>15699133769、0991-7503007</w:t>
      </w:r>
    </w:p>
    <w:p w14:paraId="5E34ABD8">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383E874">
      <w:pPr>
        <w:pStyle w:val="2"/>
        <w:pageBreakBefore w:val="0"/>
        <w:kinsoku/>
        <w:wordWrap/>
        <w:overflowPunct/>
        <w:topLinePunct w:val="0"/>
        <w:autoSpaceDE/>
        <w:autoSpaceDN/>
        <w:bidi w:val="0"/>
        <w:spacing w:before="0" w:after="0" w:line="560" w:lineRule="exact"/>
        <w:ind w:left="0" w:leftChars="0" w:right="0" w:rightChars="0" w:firstLine="0" w:firstLineChars="0"/>
        <w:jc w:val="center"/>
        <w:textAlignment w:val="auto"/>
        <w:rPr>
          <w:rFonts w:hint="eastAsia" w:ascii="宋体" w:hAnsi="宋体" w:eastAsia="宋体" w:cs="宋体"/>
          <w:b/>
          <w:bCs/>
          <w:color w:val="auto"/>
          <w:sz w:val="28"/>
          <w:szCs w:val="28"/>
          <w:highlight w:val="none"/>
        </w:rPr>
      </w:pPr>
      <w:bookmarkStart w:id="38" w:name="_Toc5608"/>
      <w:r>
        <w:rPr>
          <w:rFonts w:hint="eastAsia" w:ascii="宋体" w:hAnsi="宋体" w:eastAsia="宋体" w:cs="宋体"/>
          <w:b/>
          <w:bCs/>
          <w:color w:val="auto"/>
          <w:sz w:val="28"/>
          <w:szCs w:val="28"/>
          <w:highlight w:val="none"/>
        </w:rPr>
        <w:t>第二章  投标人须知</w:t>
      </w:r>
      <w:bookmarkEnd w:id="3"/>
      <w:bookmarkEnd w:id="4"/>
      <w:bookmarkEnd w:id="5"/>
      <w:bookmarkEnd w:id="6"/>
      <w:bookmarkEnd w:id="7"/>
      <w:bookmarkEnd w:id="8"/>
      <w:bookmarkEnd w:id="38"/>
    </w:p>
    <w:p w14:paraId="6750A163">
      <w:pPr>
        <w:keepNext/>
        <w:keepLines/>
        <w:pageBreakBefore w:val="0"/>
        <w:kinsoku/>
        <w:wordWrap/>
        <w:overflowPunct/>
        <w:topLinePunct w:val="0"/>
        <w:autoSpaceDE/>
        <w:autoSpaceDN/>
        <w:bidi w:val="0"/>
        <w:spacing w:line="560" w:lineRule="exact"/>
        <w:ind w:left="0" w:leftChars="0" w:right="0" w:rightChars="0" w:firstLine="0" w:firstLineChars="0"/>
        <w:jc w:val="center"/>
        <w:textAlignment w:val="auto"/>
        <w:outlineLvl w:val="1"/>
        <w:rPr>
          <w:rFonts w:hint="eastAsia" w:ascii="宋体" w:hAnsi="宋体" w:eastAsia="宋体" w:cs="宋体"/>
          <w:b/>
          <w:bCs/>
          <w:color w:val="auto"/>
          <w:sz w:val="24"/>
          <w:szCs w:val="24"/>
          <w:highlight w:val="none"/>
        </w:rPr>
      </w:pPr>
      <w:bookmarkStart w:id="39" w:name="_Toc213397010"/>
      <w:bookmarkStart w:id="40" w:name="_Toc213396946"/>
      <w:bookmarkStart w:id="41" w:name="_Toc213396760"/>
      <w:bookmarkStart w:id="42" w:name="_Toc217446032"/>
      <w:bookmarkStart w:id="43" w:name="_Toc213496268"/>
      <w:bookmarkStart w:id="44" w:name="_Toc189727030"/>
      <w:r>
        <w:rPr>
          <w:rFonts w:hint="eastAsia" w:ascii="宋体" w:hAnsi="宋体" w:eastAsia="宋体" w:cs="宋体"/>
          <w:b/>
          <w:bCs/>
          <w:color w:val="auto"/>
          <w:sz w:val="24"/>
          <w:szCs w:val="24"/>
          <w:highlight w:val="none"/>
        </w:rPr>
        <w:t>一、投标人须知前附表</w:t>
      </w:r>
      <w:bookmarkEnd w:id="39"/>
      <w:bookmarkEnd w:id="40"/>
      <w:bookmarkEnd w:id="41"/>
      <w:bookmarkEnd w:id="42"/>
      <w:bookmarkEnd w:id="43"/>
      <w:bookmarkEnd w:id="44"/>
    </w:p>
    <w:tbl>
      <w:tblPr>
        <w:tblStyle w:val="34"/>
        <w:tblW w:w="48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61"/>
        <w:gridCol w:w="1"/>
        <w:gridCol w:w="7350"/>
        <w:gridCol w:w="1"/>
      </w:tblGrid>
      <w:tr w14:paraId="0EB1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 w:hRule="atLeast"/>
          <w:jc w:val="center"/>
        </w:trPr>
        <w:tc>
          <w:tcPr>
            <w:tcW w:w="764" w:type="dxa"/>
            <w:vAlign w:val="center"/>
          </w:tcPr>
          <w:p w14:paraId="37F6FB0D">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62" w:type="dxa"/>
            <w:gridSpan w:val="2"/>
            <w:vAlign w:val="center"/>
          </w:tcPr>
          <w:p w14:paraId="2F453750">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7353" w:type="dxa"/>
            <w:gridSpan w:val="2"/>
            <w:vAlign w:val="center"/>
          </w:tcPr>
          <w:p w14:paraId="3D51953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6B09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64" w:type="dxa"/>
            <w:vAlign w:val="center"/>
          </w:tcPr>
          <w:p w14:paraId="55E4697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62" w:type="dxa"/>
            <w:gridSpan w:val="2"/>
            <w:vAlign w:val="center"/>
          </w:tcPr>
          <w:p w14:paraId="00E718D6">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招标人</w:t>
            </w:r>
          </w:p>
        </w:tc>
        <w:tc>
          <w:tcPr>
            <w:tcW w:w="7353" w:type="dxa"/>
            <w:gridSpan w:val="2"/>
            <w:vAlign w:val="center"/>
          </w:tcPr>
          <w:p w14:paraId="65723CE9">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i w:val="0"/>
                <w:iCs w:val="0"/>
                <w:color w:val="auto"/>
                <w:sz w:val="24"/>
                <w:szCs w:val="24"/>
                <w:highlight w:val="none"/>
                <w:lang w:val="en-US" w:eastAsia="zh-CN"/>
              </w:rPr>
              <w:t>新疆医科大学附属肿瘤医院</w:t>
            </w:r>
          </w:p>
          <w:p w14:paraId="093A88D6">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地址：乌鲁木齐市苏州东街789号</w:t>
            </w:r>
          </w:p>
          <w:p w14:paraId="2B20FCAD">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Style w:val="46"/>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联系人：</w:t>
            </w:r>
            <w:r>
              <w:rPr>
                <w:rStyle w:val="46"/>
                <w:rFonts w:hint="eastAsia" w:ascii="宋体" w:hAnsi="宋体" w:cs="宋体"/>
                <w:bCs/>
                <w:color w:val="auto"/>
                <w:sz w:val="24"/>
                <w:szCs w:val="24"/>
                <w:highlight w:val="none"/>
                <w:lang w:val="en-US" w:eastAsia="zh-CN"/>
              </w:rPr>
              <w:t>王老师</w:t>
            </w:r>
          </w:p>
          <w:p w14:paraId="165D7C23">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0991-7819055</w:t>
            </w:r>
            <w:r>
              <w:rPr>
                <w:rFonts w:hint="eastAsia" w:ascii="宋体" w:hAnsi="宋体" w:eastAsia="宋体" w:cs="宋体"/>
                <w:color w:val="auto"/>
                <w:sz w:val="24"/>
                <w:szCs w:val="24"/>
                <w:highlight w:val="none"/>
              </w:rPr>
              <w:t>　</w:t>
            </w:r>
          </w:p>
        </w:tc>
      </w:tr>
      <w:tr w14:paraId="3934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64" w:type="dxa"/>
            <w:vAlign w:val="center"/>
          </w:tcPr>
          <w:p w14:paraId="3D71619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62" w:type="dxa"/>
            <w:gridSpan w:val="2"/>
            <w:vAlign w:val="center"/>
          </w:tcPr>
          <w:p w14:paraId="326B630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招标代理机构</w:t>
            </w:r>
          </w:p>
        </w:tc>
        <w:tc>
          <w:tcPr>
            <w:tcW w:w="7353" w:type="dxa"/>
            <w:gridSpan w:val="2"/>
            <w:vAlign w:val="center"/>
          </w:tcPr>
          <w:p w14:paraId="6CCE7F22">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Style w:val="46"/>
                <w:rFonts w:hint="eastAsia" w:ascii="宋体" w:hAnsi="宋体" w:eastAsia="宋体" w:cs="宋体"/>
                <w:bCs/>
                <w:color w:val="auto"/>
                <w:sz w:val="24"/>
                <w:szCs w:val="24"/>
                <w:highlight w:val="none"/>
                <w:lang w:eastAsia="zh-CN"/>
              </w:rPr>
              <w:t>陕西方得项目管理有限公司</w:t>
            </w:r>
          </w:p>
          <w:p w14:paraId="383DD5EA">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地址：</w:t>
            </w:r>
            <w:r>
              <w:rPr>
                <w:rFonts w:hint="eastAsia" w:ascii="宋体" w:hAnsi="宋体" w:eastAsia="宋体" w:cs="宋体"/>
                <w:i w:val="0"/>
                <w:iCs w:val="0"/>
                <w:color w:val="auto"/>
                <w:sz w:val="24"/>
                <w:szCs w:val="24"/>
                <w:highlight w:val="none"/>
                <w:lang w:val="en-US" w:eastAsia="zh-CN"/>
              </w:rPr>
              <w:t>新疆乌鲁木齐市水磨沟区恒大绿洲二期10-2-1905室</w:t>
            </w:r>
          </w:p>
          <w:p w14:paraId="2ED499D9">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i w:val="0"/>
                <w:iCs w:val="0"/>
                <w:color w:val="auto"/>
                <w:sz w:val="24"/>
                <w:szCs w:val="24"/>
                <w:highlight w:val="none"/>
                <w:lang w:val="en-US" w:eastAsia="zh-CN"/>
              </w:rPr>
              <w:t>马平利、白云昭、王浩</w:t>
            </w:r>
          </w:p>
          <w:p w14:paraId="2F1F8C6A">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cs="宋体"/>
                <w:i w:val="0"/>
                <w:iCs w:val="0"/>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cs="宋体"/>
                <w:i w:val="0"/>
                <w:iCs w:val="0"/>
                <w:color w:val="auto"/>
                <w:sz w:val="24"/>
                <w:szCs w:val="24"/>
                <w:highlight w:val="none"/>
                <w:lang w:val="en-US" w:eastAsia="zh-CN"/>
              </w:rPr>
              <w:t>15699133769、0991-7503007</w:t>
            </w:r>
          </w:p>
          <w:p w14:paraId="0D4CAD0C">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邮箱：623905188@qq.com</w:t>
            </w:r>
          </w:p>
        </w:tc>
      </w:tr>
      <w:tr w14:paraId="5163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764" w:type="dxa"/>
            <w:vAlign w:val="center"/>
          </w:tcPr>
          <w:p w14:paraId="297DFF0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62" w:type="dxa"/>
            <w:gridSpan w:val="2"/>
            <w:vAlign w:val="center"/>
          </w:tcPr>
          <w:p w14:paraId="1A7662F2">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353" w:type="dxa"/>
            <w:gridSpan w:val="2"/>
            <w:vAlign w:val="center"/>
          </w:tcPr>
          <w:p w14:paraId="3212CCBC">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新疆医科大学附属肿瘤医院肠内营养制剂袋采购项目</w:t>
            </w:r>
          </w:p>
        </w:tc>
      </w:tr>
      <w:tr w14:paraId="7AFB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764" w:type="dxa"/>
            <w:vAlign w:val="center"/>
          </w:tcPr>
          <w:p w14:paraId="47EE8E32">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62" w:type="dxa"/>
            <w:gridSpan w:val="2"/>
            <w:vAlign w:val="center"/>
          </w:tcPr>
          <w:p w14:paraId="1B94B473">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p>
        </w:tc>
        <w:tc>
          <w:tcPr>
            <w:tcW w:w="7353" w:type="dxa"/>
            <w:gridSpan w:val="2"/>
            <w:vAlign w:val="center"/>
          </w:tcPr>
          <w:p w14:paraId="58B3CE7C">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Style w:val="46"/>
                <w:rFonts w:hint="eastAsia" w:ascii="宋体" w:hAnsi="宋体" w:cs="宋体"/>
                <w:bCs/>
                <w:color w:val="auto"/>
                <w:sz w:val="24"/>
                <w:szCs w:val="24"/>
                <w:highlight w:val="none"/>
              </w:rPr>
              <w:t>SXFD（SFY-ZC）20250402</w:t>
            </w:r>
          </w:p>
        </w:tc>
      </w:tr>
      <w:tr w14:paraId="0377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64" w:type="dxa"/>
            <w:vAlign w:val="center"/>
          </w:tcPr>
          <w:p w14:paraId="26D1EFB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62" w:type="dxa"/>
            <w:gridSpan w:val="2"/>
            <w:vAlign w:val="center"/>
          </w:tcPr>
          <w:p w14:paraId="6D0FDAD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资金来源、最高限价</w:t>
            </w:r>
          </w:p>
        </w:tc>
        <w:tc>
          <w:tcPr>
            <w:tcW w:w="7353" w:type="dxa"/>
            <w:gridSpan w:val="2"/>
            <w:vAlign w:val="center"/>
          </w:tcPr>
          <w:p w14:paraId="00A09524">
            <w:pPr>
              <w:keepNext w:val="0"/>
              <w:keepLines w:val="0"/>
              <w:pageBreakBefore w:val="0"/>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14:paraId="6C53E139">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：3.85</w:t>
            </w:r>
            <w:r>
              <w:rPr>
                <w:rFonts w:hint="eastAsia" w:ascii="宋体" w:hAnsi="宋体" w:eastAsia="宋体" w:cs="宋体"/>
                <w:color w:val="auto"/>
                <w:sz w:val="24"/>
                <w:szCs w:val="24"/>
                <w:highlight w:val="none"/>
                <w:lang w:val="en-US" w:eastAsia="zh-CN"/>
              </w:rPr>
              <w:t>元；</w:t>
            </w:r>
          </w:p>
          <w:p w14:paraId="379DA3E0">
            <w:pPr>
              <w:keepNext w:val="0"/>
              <w:keepLines w:val="0"/>
              <w:pageBreakBefore w:val="0"/>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注：本项目按单价招标，投标报价时按单价报，以实际发生量结算金额</w:t>
            </w:r>
            <w:r>
              <w:rPr>
                <w:rFonts w:hint="eastAsia" w:ascii="宋体" w:hAnsi="宋体" w:eastAsia="宋体" w:cs="宋体"/>
                <w:b/>
                <w:bCs/>
                <w:color w:val="auto"/>
                <w:sz w:val="24"/>
                <w:szCs w:val="24"/>
                <w:highlight w:val="none"/>
                <w:lang w:eastAsia="zh-CN"/>
              </w:rPr>
              <w:t>。</w:t>
            </w:r>
          </w:p>
        </w:tc>
      </w:tr>
      <w:tr w14:paraId="038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64" w:type="dxa"/>
            <w:vAlign w:val="center"/>
          </w:tcPr>
          <w:p w14:paraId="00BA7401">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62" w:type="dxa"/>
            <w:gridSpan w:val="2"/>
            <w:vAlign w:val="center"/>
          </w:tcPr>
          <w:p w14:paraId="4C3FB78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7353" w:type="dxa"/>
            <w:gridSpan w:val="2"/>
            <w:vAlign w:val="center"/>
          </w:tcPr>
          <w:p w14:paraId="4141962A">
            <w:pPr>
              <w:pageBreakBefore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肠胃营养袋（管饲型），详见招标文件“第四章 项目采购需求”。</w:t>
            </w:r>
          </w:p>
        </w:tc>
      </w:tr>
      <w:tr w14:paraId="581E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64" w:type="dxa"/>
            <w:vAlign w:val="center"/>
          </w:tcPr>
          <w:p w14:paraId="36A9D326">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62" w:type="dxa"/>
            <w:gridSpan w:val="2"/>
            <w:vAlign w:val="center"/>
          </w:tcPr>
          <w:p w14:paraId="3892C647">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供货期</w:t>
            </w:r>
          </w:p>
        </w:tc>
        <w:tc>
          <w:tcPr>
            <w:tcW w:w="7353" w:type="dxa"/>
            <w:gridSpan w:val="2"/>
            <w:vAlign w:val="center"/>
          </w:tcPr>
          <w:p w14:paraId="38A81839">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两年（1+1方式），一年一签，首年合同履行到期后，由院方管理部门进行考核，合格后方可续签次年服务合同。</w:t>
            </w:r>
          </w:p>
        </w:tc>
      </w:tr>
      <w:tr w14:paraId="607D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vAlign w:val="center"/>
          </w:tcPr>
          <w:p w14:paraId="15934C08">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62" w:type="dxa"/>
            <w:gridSpan w:val="2"/>
            <w:vAlign w:val="center"/>
          </w:tcPr>
          <w:p w14:paraId="10A94FF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质量标准</w:t>
            </w:r>
          </w:p>
        </w:tc>
        <w:tc>
          <w:tcPr>
            <w:tcW w:w="7353" w:type="dxa"/>
            <w:gridSpan w:val="2"/>
            <w:vAlign w:val="center"/>
          </w:tcPr>
          <w:p w14:paraId="5715273D">
            <w:pPr>
              <w:keepNext w:val="0"/>
              <w:keepLines w:val="0"/>
              <w:pageBreakBefore w:val="0"/>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符合国家、行业标准</w:t>
            </w:r>
          </w:p>
        </w:tc>
      </w:tr>
      <w:tr w14:paraId="798E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vAlign w:val="center"/>
          </w:tcPr>
          <w:p w14:paraId="5DCC6387">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62" w:type="dxa"/>
            <w:gridSpan w:val="2"/>
            <w:vAlign w:val="center"/>
          </w:tcPr>
          <w:p w14:paraId="31500441">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供货地点</w:t>
            </w:r>
          </w:p>
        </w:tc>
        <w:tc>
          <w:tcPr>
            <w:tcW w:w="7353" w:type="dxa"/>
            <w:gridSpan w:val="2"/>
            <w:vAlign w:val="center"/>
          </w:tcPr>
          <w:p w14:paraId="0BFAB2C0">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乌鲁木齐市苏州东街789号</w:t>
            </w:r>
          </w:p>
        </w:tc>
      </w:tr>
      <w:tr w14:paraId="6094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64" w:type="dxa"/>
            <w:vAlign w:val="center"/>
          </w:tcPr>
          <w:p w14:paraId="1531BD3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562" w:type="dxa"/>
            <w:gridSpan w:val="2"/>
            <w:vAlign w:val="center"/>
          </w:tcPr>
          <w:p w14:paraId="0DA36F33">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落实的政府采购政策</w:t>
            </w:r>
          </w:p>
        </w:tc>
        <w:tc>
          <w:tcPr>
            <w:tcW w:w="7353" w:type="dxa"/>
            <w:gridSpan w:val="2"/>
            <w:vAlign w:val="center"/>
          </w:tcPr>
          <w:p w14:paraId="15651DFD">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1）符合促进中小企业（监狱企业、残疾人福利性单位）发展政策；</w:t>
            </w:r>
          </w:p>
          <w:p w14:paraId="75A8CA95">
            <w:pPr>
              <w:keepNext w:val="0"/>
              <w:keepLines w:val="0"/>
              <w:pageBreakBefore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val="en-US" w:eastAsia="zh-CN"/>
              </w:rPr>
              <w:t>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非专门面向中小企业采购的项目或者采购标包，对满足价格扣除条件且在投标文件中提交了《中小企业声明函》、《残疾人福利性单位声明函》或省级以上监狱管理局、戒毒管理局（含新疆生产建设兵团）出具的属于监狱企业的证明文件的供应商，给予价格评审优惠的扶持政策，报价给予10%的扣除，用扣除后的价格参加评审。</w:t>
            </w:r>
          </w:p>
          <w:p w14:paraId="52C9659E">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（3）所属行业：</w:t>
            </w:r>
            <w:r>
              <w:rPr>
                <w:rFonts w:hint="eastAsia"/>
                <w:b/>
                <w:bCs/>
                <w:color w:val="auto"/>
                <w:sz w:val="24"/>
                <w:szCs w:val="32"/>
                <w:highlight w:val="none"/>
              </w:rPr>
              <w:t>制造业</w:t>
            </w:r>
          </w:p>
        </w:tc>
      </w:tr>
      <w:tr w14:paraId="20A7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764" w:type="dxa"/>
            <w:vAlign w:val="center"/>
          </w:tcPr>
          <w:p w14:paraId="2B85BEC3">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1562" w:type="dxa"/>
            <w:gridSpan w:val="2"/>
            <w:vAlign w:val="center"/>
          </w:tcPr>
          <w:p w14:paraId="0070914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投标人资格要求</w:t>
            </w:r>
          </w:p>
        </w:tc>
        <w:tc>
          <w:tcPr>
            <w:tcW w:w="7353" w:type="dxa"/>
            <w:gridSpan w:val="2"/>
            <w:vAlign w:val="center"/>
          </w:tcPr>
          <w:p w14:paraId="1837B269">
            <w:pPr>
              <w:pStyle w:val="49"/>
              <w:keepNext w:val="0"/>
              <w:keepLines w:val="0"/>
              <w:pageBreakBefore w:val="0"/>
              <w:widowControl/>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3090D2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2.落实政府采购政策需满足的资格要求：本项目为专门面向中小企业（含中型、小型、微型）采购项目</w:t>
            </w:r>
            <w:r>
              <w:rPr>
                <w:rFonts w:hint="eastAsia" w:ascii="宋体" w:hAnsi="宋体" w:eastAsia="宋体" w:cs="宋体"/>
                <w:color w:val="auto"/>
                <w:sz w:val="24"/>
                <w:szCs w:val="24"/>
                <w:highlight w:val="none"/>
                <w:lang w:eastAsia="zh-CN"/>
              </w:rPr>
              <w:t>。</w:t>
            </w:r>
          </w:p>
          <w:p w14:paraId="09E9157D">
            <w:pPr>
              <w:pStyle w:val="49"/>
              <w:keepNext w:val="0"/>
              <w:keepLines w:val="0"/>
              <w:pageBreakBefore w:val="0"/>
              <w:widowControl/>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须提供食品经营许可证或食品生产许可证</w:t>
            </w:r>
            <w:r>
              <w:rPr>
                <w:rFonts w:hint="eastAsia" w:ascii="宋体" w:hAnsi="宋体" w:cs="宋体"/>
                <w:color w:val="auto"/>
                <w:sz w:val="24"/>
                <w:szCs w:val="24"/>
                <w:highlight w:val="none"/>
                <w:lang w:eastAsia="zh-CN"/>
              </w:rPr>
              <w:t>。</w:t>
            </w:r>
          </w:p>
          <w:p w14:paraId="4D8C25E0">
            <w:pPr>
              <w:pStyle w:val="49"/>
              <w:keepNext w:val="0"/>
              <w:keepLines w:val="0"/>
              <w:pageBreakBefore w:val="0"/>
              <w:widowControl/>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4.本项目不接受联合体投标。</w:t>
            </w:r>
          </w:p>
        </w:tc>
      </w:tr>
      <w:tr w14:paraId="3655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764" w:type="dxa"/>
            <w:vAlign w:val="center"/>
          </w:tcPr>
          <w:p w14:paraId="03057F46">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1562" w:type="dxa"/>
            <w:gridSpan w:val="2"/>
            <w:vAlign w:val="center"/>
          </w:tcPr>
          <w:p w14:paraId="6A0356E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353" w:type="dxa"/>
            <w:gridSpan w:val="2"/>
            <w:vAlign w:val="center"/>
          </w:tcPr>
          <w:p w14:paraId="0B4B3E0D">
            <w:pPr>
              <w:pStyle w:val="33"/>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投标保证金的金额</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900元（玖佰元整）</w:t>
            </w:r>
          </w:p>
          <w:p w14:paraId="4999D72E">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缴纳：</w:t>
            </w:r>
          </w:p>
          <w:p w14:paraId="345B0C40">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应当以电汇、网银、</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rPr>
              <w:t>保函等非现金形式提交</w:t>
            </w:r>
            <w:r>
              <w:rPr>
                <w:rFonts w:hint="eastAsia" w:ascii="宋体" w:hAnsi="宋体" w:eastAsia="宋体" w:cs="宋体"/>
                <w:color w:val="auto"/>
                <w:kern w:val="0"/>
                <w:sz w:val="24"/>
                <w:szCs w:val="24"/>
                <w:highlight w:val="none"/>
              </w:rPr>
              <w:t>；</w:t>
            </w:r>
          </w:p>
          <w:p w14:paraId="6C39C8C6">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2.缴纳</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时需备注项目名称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标项号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如字数超限，可简写</w:t>
            </w:r>
            <w:r>
              <w:rPr>
                <w:rFonts w:hint="eastAsia" w:ascii="宋体" w:hAnsi="宋体" w:eastAsia="宋体" w:cs="宋体"/>
                <w:color w:val="auto"/>
                <w:kern w:val="0"/>
                <w:sz w:val="24"/>
                <w:szCs w:val="24"/>
                <w:highlight w:val="none"/>
              </w:rPr>
              <w:t>；</w:t>
            </w:r>
          </w:p>
          <w:p w14:paraId="1A001A4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lang w:val="en-US" w:eastAsia="zh-CN"/>
              </w:rPr>
              <w:t>缴纳</w:t>
            </w:r>
            <w:r>
              <w:rPr>
                <w:rFonts w:hint="eastAsia" w:ascii="宋体" w:hAnsi="宋体" w:eastAsia="宋体" w:cs="宋体"/>
                <w:color w:val="auto"/>
                <w:kern w:val="0"/>
                <w:sz w:val="24"/>
                <w:szCs w:val="24"/>
                <w:highlight w:val="none"/>
              </w:rPr>
              <w:t>截止时间：同</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截止时间；</w:t>
            </w:r>
          </w:p>
          <w:p w14:paraId="3BB02553">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缴纳账户：</w:t>
            </w:r>
          </w:p>
          <w:p w14:paraId="612D79D0">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：陕西方得项目管理有限公司乌鲁木齐分公司</w:t>
            </w:r>
          </w:p>
          <w:p w14:paraId="089A8F7A">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账号：107106786652</w:t>
            </w:r>
          </w:p>
          <w:p w14:paraId="0B4A8BAF">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开户行名称：</w:t>
            </w:r>
            <w:r>
              <w:rPr>
                <w:rFonts w:hint="eastAsia" w:ascii="宋体" w:hAnsi="宋体" w:eastAsia="宋体" w:cs="宋体"/>
                <w:color w:val="auto"/>
                <w:kern w:val="0"/>
                <w:sz w:val="24"/>
                <w:szCs w:val="24"/>
                <w:highlight w:val="none"/>
                <w:lang w:eastAsia="zh-CN"/>
              </w:rPr>
              <w:t>中国银行股份有限公司乌鲁木齐市南湖东路支行</w:t>
            </w:r>
          </w:p>
          <w:p w14:paraId="21258113">
            <w:pPr>
              <w:pStyle w:val="10"/>
              <w:ind w:left="0" w:leftChars="0" w:firstLine="0" w:firstLineChars="0"/>
              <w:rPr>
                <w:rFonts w:hint="eastAsia"/>
              </w:rPr>
            </w:pPr>
            <w:r>
              <w:rPr>
                <w:rFonts w:hint="eastAsia" w:ascii="宋体" w:hAnsi="宋体" w:eastAsia="宋体" w:cs="宋体"/>
                <w:color w:val="auto"/>
                <w:kern w:val="0"/>
                <w:sz w:val="24"/>
                <w:szCs w:val="24"/>
                <w:highlight w:val="none"/>
                <w:lang w:val="en-US" w:eastAsia="zh-CN" w:bidi="ar-SA"/>
              </w:rPr>
              <w:t>开户行行号：</w:t>
            </w:r>
            <w:r>
              <w:rPr>
                <w:rFonts w:hint="eastAsia" w:ascii="宋体" w:hAnsi="宋体" w:eastAsia="宋体" w:cs="宋体"/>
                <w:sz w:val="24"/>
                <w:szCs w:val="32"/>
              </w:rPr>
              <w:t>104881008010</w:t>
            </w:r>
          </w:p>
          <w:p w14:paraId="086CEA29">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退还：</w:t>
            </w:r>
          </w:p>
          <w:p w14:paraId="4E6511A3">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1.未</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将在</w:t>
            </w:r>
            <w:r>
              <w:rPr>
                <w:rFonts w:hint="eastAsia" w:ascii="宋体" w:hAnsi="宋体" w:eastAsia="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rPr>
              <w:t>通知书发出后5个工作日内退还。</w:t>
            </w:r>
          </w:p>
          <w:p w14:paraId="0572FAF5">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将在</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与</w:t>
            </w:r>
            <w:r>
              <w:rPr>
                <w:rFonts w:hint="eastAsia" w:ascii="宋体" w:hAnsi="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签订合同，并将合同递交至采购代理后5个工作日内，无息退还。</w:t>
            </w:r>
          </w:p>
          <w:p w14:paraId="40E6A18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3.有下列情形之一的，</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 xml:space="preserve">不予退还：详见总则第15.5条。 </w:t>
            </w:r>
          </w:p>
          <w:p w14:paraId="27BB250E">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三、备注：</w:t>
            </w:r>
          </w:p>
          <w:p w14:paraId="3D28B0E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val="en-US" w:eastAsia="zh-CN"/>
              </w:rPr>
              <w:t>投标人无需前往代理公司换取收据，仅需将</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缴纳凭证，装订在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中相应位置</w:t>
            </w:r>
            <w:r>
              <w:rPr>
                <w:rFonts w:hint="eastAsia" w:ascii="宋体" w:hAnsi="宋体" w:eastAsia="宋体" w:cs="宋体"/>
                <w:color w:val="auto"/>
                <w:sz w:val="24"/>
                <w:szCs w:val="24"/>
                <w:highlight w:val="none"/>
                <w:lang w:val="en-US" w:eastAsia="zh-CN"/>
              </w:rPr>
              <w:t>即可</w:t>
            </w:r>
            <w:r>
              <w:rPr>
                <w:rFonts w:hint="eastAsia" w:ascii="宋体" w:hAnsi="宋体" w:eastAsia="宋体" w:cs="宋体"/>
                <w:color w:val="auto"/>
                <w:sz w:val="24"/>
                <w:szCs w:val="24"/>
                <w:highlight w:val="none"/>
                <w:lang w:eastAsia="zh-CN"/>
              </w:rPr>
              <w:t>；</w:t>
            </w:r>
          </w:p>
          <w:p w14:paraId="48B9D972">
            <w:pPr>
              <w:pStyle w:val="33"/>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未按照</w:t>
            </w:r>
            <w:r>
              <w:rPr>
                <w:rFonts w:hint="eastAsia" w:ascii="宋体" w:hAnsi="宋体" w:eastAsia="宋体" w:cs="宋体"/>
                <w:b/>
                <w:bCs/>
                <w:color w:val="auto"/>
                <w:kern w:val="0"/>
                <w:sz w:val="24"/>
                <w:szCs w:val="24"/>
                <w:highlight w:val="none"/>
                <w:lang w:eastAsia="zh-CN"/>
              </w:rPr>
              <w:t>招标文件</w:t>
            </w:r>
            <w:r>
              <w:rPr>
                <w:rFonts w:hint="eastAsia" w:ascii="宋体" w:hAnsi="宋体" w:eastAsia="宋体" w:cs="宋体"/>
                <w:b/>
                <w:bCs/>
                <w:color w:val="auto"/>
                <w:kern w:val="0"/>
                <w:sz w:val="24"/>
                <w:szCs w:val="24"/>
                <w:highlight w:val="none"/>
              </w:rPr>
              <w:t>要求缴纳</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的，</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无效。</w:t>
            </w:r>
          </w:p>
        </w:tc>
      </w:tr>
      <w:tr w14:paraId="391C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64" w:type="dxa"/>
            <w:vAlign w:val="center"/>
          </w:tcPr>
          <w:p w14:paraId="1D96C6A1">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1562" w:type="dxa"/>
            <w:gridSpan w:val="2"/>
            <w:vAlign w:val="center"/>
          </w:tcPr>
          <w:p w14:paraId="3A876FF6">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7353" w:type="dxa"/>
            <w:gridSpan w:val="2"/>
            <w:vAlign w:val="center"/>
          </w:tcPr>
          <w:p w14:paraId="71887554">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3096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764" w:type="dxa"/>
            <w:vAlign w:val="center"/>
          </w:tcPr>
          <w:p w14:paraId="796D0EF4">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1561" w:type="dxa"/>
            <w:vAlign w:val="center"/>
          </w:tcPr>
          <w:p w14:paraId="0A77E22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7353" w:type="dxa"/>
            <w:gridSpan w:val="2"/>
            <w:vAlign w:val="center"/>
          </w:tcPr>
          <w:p w14:paraId="55F3E0DC">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1E3C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88" w:hRule="atLeast"/>
          <w:jc w:val="center"/>
        </w:trPr>
        <w:tc>
          <w:tcPr>
            <w:tcW w:w="764" w:type="dxa"/>
            <w:vAlign w:val="center"/>
          </w:tcPr>
          <w:p w14:paraId="5F883B3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1561" w:type="dxa"/>
            <w:vAlign w:val="center"/>
          </w:tcPr>
          <w:p w14:paraId="242188A0">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文件</w:t>
            </w:r>
            <w:r>
              <w:rPr>
                <w:rFonts w:hint="eastAsia" w:ascii="宋体" w:hAnsi="宋体" w:eastAsia="宋体" w:cs="宋体"/>
                <w:b w:val="0"/>
                <w:bCs/>
                <w:color w:val="auto"/>
                <w:sz w:val="24"/>
                <w:szCs w:val="24"/>
                <w:highlight w:val="none"/>
                <w:lang w:val="en-US" w:eastAsia="zh-CN"/>
              </w:rPr>
              <w:t>份数、</w:t>
            </w:r>
            <w:r>
              <w:rPr>
                <w:rFonts w:hint="eastAsia" w:ascii="宋体" w:hAnsi="宋体" w:eastAsia="宋体" w:cs="宋体"/>
                <w:b w:val="0"/>
                <w:bCs/>
                <w:color w:val="auto"/>
                <w:sz w:val="24"/>
                <w:szCs w:val="24"/>
                <w:highlight w:val="none"/>
              </w:rPr>
              <w:t>上传截止时间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地点</w:t>
            </w:r>
          </w:p>
        </w:tc>
        <w:tc>
          <w:tcPr>
            <w:tcW w:w="7353" w:type="dxa"/>
            <w:gridSpan w:val="2"/>
            <w:vAlign w:val="center"/>
          </w:tcPr>
          <w:p w14:paraId="0B89177A">
            <w:pPr>
              <w:pStyle w:val="49"/>
              <w:keepNext w:val="0"/>
              <w:keepLines w:val="0"/>
              <w:pageBreakBefore w:val="0"/>
              <w:widowControl/>
              <w:numPr>
                <w:ilvl w:val="0"/>
                <w:numId w:val="5"/>
              </w:numPr>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lang w:eastAsia="zh-CN"/>
              </w:rPr>
              <w:t>电子加密投标文件1份，无正副本区别，仅需</w:t>
            </w:r>
            <w:r>
              <w:rPr>
                <w:rFonts w:hint="eastAsia" w:ascii="宋体" w:hAnsi="宋体" w:eastAsia="宋体" w:cs="宋体"/>
                <w:b w:val="0"/>
                <w:bCs/>
                <w:color w:val="auto"/>
                <w:kern w:val="0"/>
                <w:sz w:val="24"/>
                <w:szCs w:val="24"/>
                <w:highlight w:val="none"/>
                <w:lang w:val="en-US" w:eastAsia="zh-CN"/>
              </w:rPr>
              <w:t>在规定时间内向政采云系统</w:t>
            </w:r>
            <w:r>
              <w:rPr>
                <w:rFonts w:hint="eastAsia" w:ascii="宋体" w:hAnsi="宋体" w:eastAsia="宋体" w:cs="宋体"/>
                <w:b w:val="0"/>
                <w:bCs/>
                <w:color w:val="auto"/>
                <w:kern w:val="0"/>
                <w:sz w:val="24"/>
                <w:szCs w:val="24"/>
                <w:highlight w:val="none"/>
                <w:lang w:eastAsia="zh-CN"/>
              </w:rPr>
              <w:t>上传即可）。</w:t>
            </w:r>
          </w:p>
          <w:p w14:paraId="0A5C8E83">
            <w:pPr>
              <w:pStyle w:val="49"/>
              <w:keepNext w:val="0"/>
              <w:keepLines w:val="0"/>
              <w:pageBreakBefore w:val="0"/>
              <w:widowControl/>
              <w:numPr>
                <w:ilvl w:val="0"/>
                <w:numId w:val="5"/>
              </w:numPr>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sz w:val="24"/>
                <w:szCs w:val="24"/>
                <w:highlight w:val="none"/>
                <w:lang w:val="en-US" w:eastAsia="zh-CN"/>
              </w:rPr>
              <w:t>所有投标人须在</w:t>
            </w:r>
            <w:r>
              <w:rPr>
                <w:rFonts w:hint="eastAsia" w:ascii="宋体" w:hAnsi="宋体" w:eastAsia="宋体" w:cs="宋体"/>
                <w:b/>
                <w:bCs w:val="0"/>
                <w:color w:val="auto"/>
                <w:sz w:val="24"/>
                <w:szCs w:val="24"/>
                <w:highlight w:val="none"/>
                <w:lang w:val="en-US" w:eastAsia="zh-CN"/>
              </w:rPr>
              <w:t>招标结束后五个工作日内</w:t>
            </w:r>
            <w:r>
              <w:rPr>
                <w:rFonts w:hint="eastAsia" w:ascii="宋体" w:hAnsi="宋体" w:eastAsia="宋体" w:cs="宋体"/>
                <w:b w:val="0"/>
                <w:bCs/>
                <w:color w:val="auto"/>
                <w:sz w:val="24"/>
                <w:szCs w:val="24"/>
                <w:highlight w:val="none"/>
                <w:lang w:val="en-US" w:eastAsia="zh-CN"/>
              </w:rPr>
              <w:t>向</w:t>
            </w:r>
            <w:r>
              <w:rPr>
                <w:rFonts w:hint="eastAsia" w:ascii="宋体" w:hAnsi="宋体" w:cs="宋体"/>
                <w:b w:val="0"/>
                <w:bCs/>
                <w:color w:val="auto"/>
                <w:sz w:val="24"/>
                <w:szCs w:val="24"/>
                <w:highlight w:val="none"/>
                <w:lang w:val="en-US" w:eastAsia="zh-CN"/>
              </w:rPr>
              <w:t>招标代理机构</w:t>
            </w:r>
            <w:r>
              <w:rPr>
                <w:rFonts w:hint="eastAsia" w:ascii="宋体" w:hAnsi="宋体" w:eastAsia="宋体" w:cs="宋体"/>
                <w:b w:val="0"/>
                <w:bCs/>
                <w:color w:val="auto"/>
                <w:sz w:val="24"/>
                <w:szCs w:val="24"/>
                <w:highlight w:val="none"/>
                <w:lang w:val="en-US" w:eastAsia="zh-CN"/>
              </w:rPr>
              <w:t>递交</w:t>
            </w:r>
            <w:r>
              <w:rPr>
                <w:rFonts w:hint="eastAsia" w:ascii="宋体" w:hAnsi="宋体" w:eastAsia="宋体" w:cs="宋体"/>
                <w:b/>
                <w:bCs w:val="0"/>
                <w:color w:val="auto"/>
                <w:sz w:val="24"/>
                <w:szCs w:val="24"/>
                <w:highlight w:val="none"/>
                <w:lang w:val="en-US" w:eastAsia="zh-CN"/>
              </w:rPr>
              <w:t>签章纸质版投标文件一正</w:t>
            </w:r>
            <w:r>
              <w:rPr>
                <w:rFonts w:hint="eastAsia" w:ascii="宋体" w:hAnsi="宋体" w:cs="宋体"/>
                <w:b/>
                <w:bCs w:val="0"/>
                <w:color w:val="auto"/>
                <w:sz w:val="24"/>
                <w:szCs w:val="24"/>
                <w:highlight w:val="none"/>
                <w:lang w:val="en-US" w:eastAsia="zh-CN"/>
              </w:rPr>
              <w:t>二</w:t>
            </w:r>
            <w:r>
              <w:rPr>
                <w:rFonts w:hint="eastAsia" w:ascii="宋体" w:hAnsi="宋体" w:eastAsia="宋体" w:cs="宋体"/>
                <w:b/>
                <w:bCs w:val="0"/>
                <w:color w:val="auto"/>
                <w:sz w:val="24"/>
                <w:szCs w:val="24"/>
                <w:highlight w:val="none"/>
                <w:lang w:val="en-US" w:eastAsia="zh-CN"/>
              </w:rPr>
              <w:t>副胶装成册（用于档案资料编制），</w:t>
            </w:r>
            <w:r>
              <w:rPr>
                <w:rFonts w:hint="eastAsia" w:ascii="宋体" w:hAnsi="宋体" w:eastAsia="宋体" w:cs="宋体"/>
                <w:b w:val="0"/>
                <w:bCs/>
                <w:color w:val="auto"/>
                <w:sz w:val="24"/>
                <w:szCs w:val="24"/>
                <w:highlight w:val="none"/>
                <w:lang w:val="en-US" w:eastAsia="zh-CN"/>
              </w:rPr>
              <w:t>纸质版投标文件须与政采云平台上传的电子版投标文件保持一致。</w:t>
            </w:r>
          </w:p>
          <w:p w14:paraId="1A709C3E">
            <w:pPr>
              <w:pStyle w:val="49"/>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上传截止时间：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05</w:t>
            </w:r>
            <w:r>
              <w:rPr>
                <w:rFonts w:hint="eastAsia" w:ascii="宋体" w:hAnsi="宋体" w:eastAsia="宋体" w:cs="宋体"/>
                <w:bCs/>
                <w:color w:val="auto"/>
                <w:sz w:val="24"/>
                <w:szCs w:val="24"/>
                <w:highlight w:val="none"/>
                <w:u w:val="single"/>
                <w:lang w:val="en-US" w:eastAsia="zh-CN"/>
              </w:rPr>
              <w:t>月</w:t>
            </w:r>
            <w:r>
              <w:rPr>
                <w:rFonts w:hint="eastAsia" w:ascii="宋体" w:hAnsi="宋体" w:cs="宋体"/>
                <w:bCs/>
                <w:color w:val="auto"/>
                <w:sz w:val="24"/>
                <w:szCs w:val="24"/>
                <w:highlight w:val="none"/>
                <w:u w:val="single"/>
                <w:lang w:val="en-US" w:eastAsia="zh-CN"/>
              </w:rPr>
              <w:t>14日</w:t>
            </w:r>
            <w:r>
              <w:rPr>
                <w:rFonts w:hint="eastAsia" w:ascii="宋体" w:hAnsi="宋体" w:eastAsia="宋体" w:cs="宋体"/>
                <w:bCs/>
                <w:color w:val="auto"/>
                <w:sz w:val="24"/>
                <w:szCs w:val="24"/>
                <w:highlight w:val="none"/>
                <w:u w:val="single"/>
              </w:rPr>
              <w:t>1</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点00分</w:t>
            </w:r>
            <w:r>
              <w:rPr>
                <w:rFonts w:hint="eastAsia" w:ascii="宋体" w:hAnsi="宋体" w:eastAsia="宋体" w:cs="宋体"/>
                <w:b w:val="0"/>
                <w:bCs/>
                <w:color w:val="auto"/>
                <w:kern w:val="0"/>
                <w:sz w:val="24"/>
                <w:szCs w:val="24"/>
                <w:highlight w:val="none"/>
              </w:rPr>
              <w:t>（北京时间）</w:t>
            </w:r>
          </w:p>
          <w:p w14:paraId="49856CFE">
            <w:pPr>
              <w:keepNext w:val="0"/>
              <w:keepLines w:val="0"/>
              <w:pageBreakBefore w:val="0"/>
              <w:widowControl/>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上传地点：在</w:t>
            </w:r>
            <w:r>
              <w:rPr>
                <w:rFonts w:hint="eastAsia" w:ascii="宋体" w:hAnsi="宋体" w:eastAsia="宋体" w:cs="宋体"/>
                <w:b w:val="0"/>
                <w:bCs/>
                <w:color w:val="auto"/>
                <w:kern w:val="0"/>
                <w:sz w:val="24"/>
                <w:szCs w:val="24"/>
                <w:highlight w:val="none"/>
                <w:lang w:val="en-US" w:eastAsia="zh-CN"/>
              </w:rPr>
              <w:t>投标</w:t>
            </w:r>
            <w:r>
              <w:rPr>
                <w:rFonts w:hint="eastAsia" w:ascii="宋体" w:hAnsi="宋体" w:eastAsia="宋体" w:cs="宋体"/>
                <w:b w:val="0"/>
                <w:bCs/>
                <w:color w:val="auto"/>
                <w:kern w:val="0"/>
                <w:sz w:val="24"/>
                <w:szCs w:val="24"/>
                <w:highlight w:val="none"/>
              </w:rPr>
              <w:t>截止时间前将电子加密</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成功上传至“政府采购云平台”</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投标人</w:t>
            </w:r>
            <w:r>
              <w:rPr>
                <w:rFonts w:hint="eastAsia" w:ascii="宋体" w:hAnsi="宋体" w:eastAsia="宋体" w:cs="宋体"/>
                <w:b w:val="0"/>
                <w:bCs/>
                <w:color w:val="auto"/>
                <w:kern w:val="0"/>
                <w:sz w:val="24"/>
                <w:szCs w:val="24"/>
                <w:highlight w:val="none"/>
                <w:lang w:eastAsia="zh-CN"/>
              </w:rPr>
              <w:t>成功上传电子加密投标文件后，可自行打印投标文件接收回执</w:t>
            </w:r>
            <w:r>
              <w:rPr>
                <w:rFonts w:hint="eastAsia" w:ascii="宋体" w:hAnsi="宋体" w:eastAsia="宋体" w:cs="宋体"/>
                <w:b w:val="0"/>
                <w:bCs/>
                <w:color w:val="auto"/>
                <w:sz w:val="24"/>
                <w:szCs w:val="24"/>
                <w:highlight w:val="none"/>
              </w:rPr>
              <w:t>。</w:t>
            </w:r>
          </w:p>
          <w:p w14:paraId="607921F9">
            <w:pPr>
              <w:pStyle w:val="43"/>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）电子投标文件包括“电子加密投标文件”和“备份投标文件”，在投标文件编制完成后同时生成。</w:t>
            </w:r>
          </w:p>
          <w:p w14:paraId="111DF1ED">
            <w:pPr>
              <w:pStyle w:val="43"/>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①</w:t>
            </w:r>
            <w:r>
              <w:rPr>
                <w:rFonts w:hint="eastAsia" w:ascii="宋体" w:hAnsi="宋体" w:eastAsia="宋体" w:cs="宋体"/>
                <w:b w:val="0"/>
                <w:bCs/>
                <w:color w:val="auto"/>
                <w:sz w:val="24"/>
                <w:szCs w:val="24"/>
                <w:highlight w:val="none"/>
                <w:lang w:eastAsia="zh-CN"/>
              </w:rPr>
              <w:t>“电子加密投标文件（“.jmbs”格式）”是指通过“政采云电子交易客户端”完成投标文件编制后生成并加密的数据电文形式的投标文件。</w:t>
            </w:r>
          </w:p>
          <w:p w14:paraId="6C0E1B92">
            <w:pPr>
              <w:pStyle w:val="43"/>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②</w:t>
            </w:r>
            <w:r>
              <w:rPr>
                <w:rFonts w:hint="eastAsia" w:ascii="宋体" w:hAnsi="宋体" w:eastAsia="宋体" w:cs="宋体"/>
                <w:b w:val="0"/>
                <w:bCs/>
                <w:color w:val="auto"/>
                <w:sz w:val="24"/>
                <w:szCs w:val="24"/>
                <w:highlight w:val="none"/>
                <w:lang w:eastAsia="zh-CN"/>
              </w:rPr>
              <w:t>“备份投标文件（“.bfbs”格式）”是指与“电子加密投标文件”同时生成的数据电文形式的电子文件（备份标书，用于投标人标书解密异常时应急使用），其他方式编制的备份投标文件视为无效备份投标文件。</w:t>
            </w:r>
          </w:p>
        </w:tc>
      </w:tr>
      <w:tr w14:paraId="1F5F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88" w:hRule="atLeast"/>
          <w:jc w:val="center"/>
        </w:trPr>
        <w:tc>
          <w:tcPr>
            <w:tcW w:w="764" w:type="dxa"/>
            <w:vAlign w:val="center"/>
          </w:tcPr>
          <w:p w14:paraId="55FC65B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1561" w:type="dxa"/>
            <w:vAlign w:val="center"/>
          </w:tcPr>
          <w:p w14:paraId="181BD0E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重要说明</w:t>
            </w:r>
          </w:p>
        </w:tc>
        <w:tc>
          <w:tcPr>
            <w:tcW w:w="7353" w:type="dxa"/>
            <w:gridSpan w:val="2"/>
            <w:vAlign w:val="center"/>
          </w:tcPr>
          <w:p w14:paraId="570A9A0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1、电子招投标情况说明：</w:t>
            </w:r>
          </w:p>
          <w:p w14:paraId="4C171ADB">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color w:val="auto"/>
                <w:sz w:val="24"/>
                <w:szCs w:val="24"/>
                <w:highlight w:val="none"/>
              </w:rPr>
              <w:t>电子招投标</w:t>
            </w:r>
            <w:r>
              <w:rPr>
                <w:rFonts w:hint="eastAsia" w:ascii="宋体" w:hAnsi="宋体" w:eastAsia="宋体" w:cs="宋体"/>
                <w:color w:val="auto"/>
                <w:sz w:val="24"/>
                <w:szCs w:val="24"/>
                <w:highlight w:val="none"/>
              </w:rPr>
              <w:t>：本项目以数据电文形式，依托“政府采购云平台（www.zcygov.cn）”进行招投标活动</w:t>
            </w:r>
            <w:r>
              <w:rPr>
                <w:rFonts w:hint="eastAsia" w:ascii="宋体" w:hAnsi="宋体" w:eastAsia="宋体" w:cs="宋体"/>
                <w:b/>
                <w:bCs/>
                <w:color w:val="auto"/>
                <w:sz w:val="24"/>
                <w:szCs w:val="24"/>
                <w:highlight w:val="none"/>
              </w:rPr>
              <w:t>。</w:t>
            </w:r>
          </w:p>
          <w:p w14:paraId="084FCA73">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color w:val="auto"/>
                <w:sz w:val="24"/>
                <w:szCs w:val="24"/>
                <w:highlight w:val="none"/>
              </w:rPr>
              <w:t>投标准备</w:t>
            </w:r>
            <w:r>
              <w:rPr>
                <w:rFonts w:hint="eastAsia" w:ascii="宋体" w:hAnsi="宋体" w:eastAsia="宋体" w:cs="宋体"/>
                <w:color w:val="auto"/>
                <w:sz w:val="24"/>
                <w:szCs w:val="24"/>
                <w:highlight w:val="none"/>
              </w:rPr>
              <w:t>：注册账号--点击“商家入驻”，进行政府采购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资料填写；申领CA数字证书---申领流程详见“</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政府采购网-下载专区-电子交易客户端-CA驱动和申领流程”；安装“政采云电子交易客户端”----前往“</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政府采购网-下载专区-政采云</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客户端”进行下载并安装。</w:t>
            </w:r>
          </w:p>
          <w:p w14:paraId="412799B8">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color w:val="auto"/>
                <w:sz w:val="24"/>
                <w:szCs w:val="24"/>
                <w:highlight w:val="none"/>
              </w:rPr>
              <w:t>采购文件的获取</w:t>
            </w:r>
            <w:r>
              <w:rPr>
                <w:rFonts w:hint="eastAsia" w:ascii="宋体" w:hAnsi="宋体" w:eastAsia="宋体" w:cs="宋体"/>
                <w:color w:val="auto"/>
                <w:sz w:val="24"/>
                <w:szCs w:val="24"/>
                <w:highlight w:val="none"/>
              </w:rPr>
              <w:t>：使用账号登录或者</w:t>
            </w:r>
            <w:r>
              <w:rPr>
                <w:rFonts w:hint="eastAsia" w:ascii="宋体" w:hAnsi="宋体" w:eastAsia="宋体" w:cs="宋体"/>
                <w:color w:val="auto"/>
                <w:sz w:val="24"/>
                <w:szCs w:val="24"/>
                <w:highlight w:val="none"/>
                <w:lang w:bidi="zh-CN"/>
              </w:rPr>
              <w:t>短信验证码</w:t>
            </w:r>
            <w:r>
              <w:rPr>
                <w:rFonts w:hint="eastAsia" w:ascii="宋体" w:hAnsi="宋体" w:eastAsia="宋体" w:cs="宋体"/>
                <w:color w:val="auto"/>
                <w:sz w:val="24"/>
                <w:szCs w:val="24"/>
                <w:highlight w:val="none"/>
              </w:rPr>
              <w:t>或者使用CA登录政采云平台；进入“项目采购”应用，在获取采购文件菜单中选择项目，获取采购文件。</w:t>
            </w:r>
          </w:p>
          <w:p w14:paraId="530F3AA2">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rPr>
              <w:t>投标文件的制作</w:t>
            </w:r>
            <w:r>
              <w:rPr>
                <w:rFonts w:hint="eastAsia" w:ascii="宋体" w:hAnsi="宋体" w:eastAsia="宋体" w:cs="宋体"/>
                <w:color w:val="auto"/>
                <w:sz w:val="24"/>
                <w:szCs w:val="24"/>
                <w:highlight w:val="none"/>
              </w:rPr>
              <w:t>：在“政采云</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客户端”中完成“填写基本信息”、“导入投标文件”、“标书关联”、“标书检查”、“电子签名”、“生成电子标书”等操作。</w:t>
            </w:r>
          </w:p>
          <w:p w14:paraId="0D80032B">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b/>
                <w:color w:val="auto"/>
                <w:sz w:val="24"/>
                <w:szCs w:val="24"/>
                <w:highlight w:val="none"/>
              </w:rPr>
              <w:t>投标文件的递交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在投标截止时间前将加密的投标文件上传至政府采购云平台</w:t>
            </w:r>
            <w:r>
              <w:rPr>
                <w:rFonts w:hint="eastAsia" w:ascii="宋体" w:hAnsi="宋体" w:eastAsia="宋体" w:cs="宋体"/>
                <w:color w:val="auto"/>
                <w:sz w:val="24"/>
                <w:szCs w:val="24"/>
                <w:highlight w:val="none"/>
                <w:lang w:eastAsia="zh-CN"/>
              </w:rPr>
              <w:t>。</w:t>
            </w:r>
          </w:p>
          <w:p w14:paraId="5E058B29">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投标文件的解密</w:t>
            </w:r>
            <w:r>
              <w:rPr>
                <w:rFonts w:hint="eastAsia" w:ascii="宋体" w:hAnsi="宋体" w:eastAsia="宋体" w:cs="宋体"/>
                <w:color w:val="auto"/>
                <w:sz w:val="24"/>
                <w:szCs w:val="24"/>
                <w:highlight w:val="none"/>
              </w:rPr>
              <w:t>：投标文件解密时间30分钟，开标前需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用CA证书登录政采云平台开标大厅签到，在30分钟解密时间内输入CA证书PIN码解密投标文件。在30分钟解密时间内未进行解密的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将导致投标无效。（解密时间开始时政采云平台将以短信形式向投标人在政采云平台预留的手机号发送短信通知，请投标人及时关注。）</w:t>
            </w:r>
          </w:p>
          <w:p w14:paraId="31EFBA6C">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投标人报价CA签字确认：</w:t>
            </w:r>
            <w:r>
              <w:rPr>
                <w:rFonts w:hint="eastAsia" w:ascii="宋体" w:hAnsi="宋体" w:eastAsia="宋体" w:cs="宋体"/>
                <w:color w:val="auto"/>
                <w:sz w:val="24"/>
                <w:szCs w:val="24"/>
                <w:highlight w:val="none"/>
              </w:rPr>
              <w:t>报价文件开启后将开启签字时段，投标人须在20分钟内用CA证书对报价进行签字确认。</w:t>
            </w:r>
          </w:p>
          <w:p w14:paraId="52631006">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）具</w:t>
            </w:r>
            <w:r>
              <w:rPr>
                <w:rFonts w:hint="eastAsia" w:ascii="宋体" w:hAnsi="宋体" w:eastAsia="宋体" w:cs="宋体"/>
                <w:b/>
                <w:color w:val="auto"/>
                <w:sz w:val="24"/>
                <w:szCs w:val="24"/>
                <w:highlight w:val="none"/>
              </w:rPr>
              <w:t>体操作指南</w:t>
            </w:r>
            <w:r>
              <w:rPr>
                <w:rFonts w:hint="eastAsia" w:ascii="宋体" w:hAnsi="宋体" w:eastAsia="宋体" w:cs="宋体"/>
                <w:color w:val="auto"/>
                <w:sz w:val="24"/>
                <w:szCs w:val="24"/>
                <w:highlight w:val="none"/>
              </w:rPr>
              <w:t>：详见政采云平台“服务中心-帮助文档-项目采购-操作流程-电子招投标-政府采购项目电子交易管理操作指南-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5D75462F">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在进行上述操作时，如遇技术问题可登录政采云（https://</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"http://www.zcygov.cn/" \h</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），点击右侧咨询小采，获取采小蜜智能服务管家帮助，或拨打政采云服务热线</w:t>
            </w:r>
            <w:r>
              <w:rPr>
                <w:rFonts w:hint="eastAsia" w:ascii="宋体" w:hAnsi="宋体" w:eastAsia="宋体" w:cs="宋体"/>
                <w:color w:val="auto"/>
                <w:sz w:val="24"/>
                <w:szCs w:val="24"/>
                <w:highlight w:val="none"/>
                <w:lang w:val="en-US" w:eastAsia="zh-CN"/>
              </w:rPr>
              <w:t>95763</w:t>
            </w:r>
            <w:r>
              <w:rPr>
                <w:rFonts w:hint="eastAsia" w:ascii="宋体" w:hAnsi="宋体" w:eastAsia="宋体" w:cs="宋体"/>
                <w:color w:val="auto"/>
                <w:sz w:val="24"/>
                <w:szCs w:val="24"/>
                <w:highlight w:val="none"/>
              </w:rPr>
              <w:t>获取热线服务帮助。</w:t>
            </w:r>
          </w:p>
          <w:p w14:paraId="7D49C6F3">
            <w:pPr>
              <w:keepNext w:val="0"/>
              <w:keepLines w:val="0"/>
              <w:pageBreakBefore w:val="0"/>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rPr>
              <w:t>温馨提醒：</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应提前上传，以便在上传时遇到技术问题，有充足的时间请教平台的技术人员。</w:t>
            </w:r>
          </w:p>
        </w:tc>
      </w:tr>
      <w:tr w14:paraId="5D2F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88" w:hRule="atLeast"/>
          <w:jc w:val="center"/>
        </w:trPr>
        <w:tc>
          <w:tcPr>
            <w:tcW w:w="764" w:type="dxa"/>
            <w:vAlign w:val="center"/>
          </w:tcPr>
          <w:p w14:paraId="6CA02CD9">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561" w:type="dxa"/>
            <w:vAlign w:val="center"/>
          </w:tcPr>
          <w:p w14:paraId="26D501FD">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7353" w:type="dxa"/>
            <w:gridSpan w:val="2"/>
            <w:vAlign w:val="center"/>
          </w:tcPr>
          <w:p w14:paraId="625A4364">
            <w:pPr>
              <w:keepNext w:val="0"/>
              <w:keepLines w:val="0"/>
              <w:pageBreakBefore w:val="0"/>
              <w:numPr>
                <w:ilvl w:val="0"/>
                <w:numId w:val="0"/>
              </w:numPr>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报价包括所投货物相关人工费、税费、保险费、运输费、装卸费等所有技术和售后服务费用，</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lang w:eastAsia="zh-CN"/>
              </w:rPr>
              <w:t>不再另行支付</w:t>
            </w:r>
            <w:r>
              <w:rPr>
                <w:rFonts w:hint="eastAsia" w:ascii="宋体" w:hAnsi="宋体" w:eastAsia="宋体" w:cs="宋体"/>
                <w:color w:val="auto"/>
                <w:sz w:val="24"/>
                <w:szCs w:val="24"/>
                <w:highlight w:val="none"/>
                <w:lang w:val="en-US" w:eastAsia="zh-CN"/>
              </w:rPr>
              <w:t>其它费用。</w:t>
            </w:r>
          </w:p>
          <w:p w14:paraId="175F5E8B">
            <w:pPr>
              <w:keepNext w:val="0"/>
              <w:keepLines w:val="0"/>
              <w:pageBreakBefore w:val="0"/>
              <w:numPr>
                <w:ilvl w:val="0"/>
                <w:numId w:val="0"/>
              </w:numPr>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投标人的报价明显低于其他通过符合性审查投标人的报价，有可能影响货物质量或者不能诚信履约的，应当要求其在评标现场合理的时间内提供</w:t>
            </w:r>
            <w:r>
              <w:rPr>
                <w:rFonts w:hint="eastAsia" w:ascii="宋体" w:hAnsi="宋体" w:eastAsia="宋体" w:cs="宋体"/>
                <w:color w:val="auto"/>
                <w:sz w:val="24"/>
                <w:szCs w:val="24"/>
                <w:highlight w:val="none"/>
                <w:lang w:val="en-US" w:eastAsia="zh-CN"/>
              </w:rPr>
              <w:t>报价合理性</w:t>
            </w:r>
            <w:r>
              <w:rPr>
                <w:rFonts w:hint="eastAsia" w:ascii="宋体" w:hAnsi="宋体" w:eastAsia="宋体" w:cs="宋体"/>
                <w:color w:val="auto"/>
                <w:sz w:val="24"/>
                <w:szCs w:val="24"/>
                <w:highlight w:val="none"/>
              </w:rPr>
              <w:t>说明，必要时提交相关证明材料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投标人不能证明其报价合理性的，评标委员会将其作为无效投标处理，自行承担相关责任。</w:t>
            </w:r>
          </w:p>
        </w:tc>
      </w:tr>
      <w:tr w14:paraId="699B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74" w:hRule="atLeast"/>
          <w:jc w:val="center"/>
        </w:trPr>
        <w:tc>
          <w:tcPr>
            <w:tcW w:w="764" w:type="dxa"/>
            <w:vAlign w:val="center"/>
          </w:tcPr>
          <w:p w14:paraId="435FA384">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1561" w:type="dxa"/>
            <w:vAlign w:val="center"/>
          </w:tcPr>
          <w:p w14:paraId="47C8C610">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7353" w:type="dxa"/>
            <w:gridSpan w:val="2"/>
            <w:vAlign w:val="center"/>
          </w:tcPr>
          <w:p w14:paraId="3325CBB2">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不组织，投标人自行踏勘，无论投标人对现场考察与否，都将被视为熟悉履行合同有关的一切情况，投标人现场踏勘发生的费用自理。</w:t>
            </w:r>
          </w:p>
        </w:tc>
      </w:tr>
      <w:tr w14:paraId="738A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764" w:type="dxa"/>
            <w:vAlign w:val="center"/>
          </w:tcPr>
          <w:p w14:paraId="45628B0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p>
        </w:tc>
        <w:tc>
          <w:tcPr>
            <w:tcW w:w="1561" w:type="dxa"/>
            <w:vAlign w:val="center"/>
          </w:tcPr>
          <w:p w14:paraId="08170B3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投标答疑会</w:t>
            </w:r>
          </w:p>
        </w:tc>
        <w:tc>
          <w:tcPr>
            <w:tcW w:w="7353" w:type="dxa"/>
            <w:gridSpan w:val="2"/>
            <w:vAlign w:val="center"/>
          </w:tcPr>
          <w:p w14:paraId="2069A1C8">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r>
              <w:rPr>
                <w:rFonts w:hint="eastAsia" w:ascii="宋体" w:hAnsi="宋体" w:eastAsia="宋体" w:cs="宋体"/>
                <w:color w:val="auto"/>
                <w:sz w:val="24"/>
                <w:szCs w:val="24"/>
                <w:highlight w:val="none"/>
                <w:lang w:eastAsia="zh-CN"/>
              </w:rPr>
              <w:t>。</w:t>
            </w:r>
          </w:p>
        </w:tc>
      </w:tr>
      <w:tr w14:paraId="705B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74" w:hRule="atLeast"/>
          <w:jc w:val="center"/>
        </w:trPr>
        <w:tc>
          <w:tcPr>
            <w:tcW w:w="764" w:type="dxa"/>
            <w:vAlign w:val="center"/>
          </w:tcPr>
          <w:p w14:paraId="38F24B15">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561" w:type="dxa"/>
            <w:vAlign w:val="center"/>
          </w:tcPr>
          <w:p w14:paraId="252815E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近年财务状况年份要求</w:t>
            </w:r>
          </w:p>
        </w:tc>
        <w:tc>
          <w:tcPr>
            <w:tcW w:w="7353" w:type="dxa"/>
            <w:gridSpan w:val="2"/>
            <w:vAlign w:val="center"/>
          </w:tcPr>
          <w:p w14:paraId="5680D281">
            <w:pPr>
              <w:pStyle w:val="26"/>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银行出具的近1年内</w:t>
            </w:r>
            <w:r>
              <w:rPr>
                <w:rFonts w:hint="eastAsia" w:ascii="宋体" w:hAnsi="宋体" w:eastAsia="宋体" w:cs="宋体"/>
                <w:color w:val="auto"/>
                <w:sz w:val="24"/>
                <w:szCs w:val="24"/>
                <w:highlight w:val="none"/>
                <w:lang w:val="en-US" w:eastAsia="zh-CN"/>
              </w:rPr>
              <w:t>任意三个月银行</w:t>
            </w:r>
            <w:r>
              <w:rPr>
                <w:rFonts w:hint="eastAsia" w:ascii="宋体" w:hAnsi="宋体" w:eastAsia="宋体" w:cs="宋体"/>
                <w:color w:val="auto"/>
                <w:sz w:val="24"/>
                <w:szCs w:val="24"/>
                <w:highlight w:val="none"/>
              </w:rPr>
              <w:t>资信证明或2023年度</w:t>
            </w:r>
            <w:r>
              <w:rPr>
                <w:rFonts w:hint="eastAsia" w:ascii="宋体" w:hAnsi="宋体" w:eastAsia="宋体" w:cs="宋体"/>
                <w:color w:val="auto"/>
                <w:sz w:val="24"/>
                <w:szCs w:val="24"/>
                <w:highlight w:val="none"/>
                <w:lang w:val="en-US" w:eastAsia="zh-CN"/>
              </w:rPr>
              <w:t>或2024</w:t>
            </w:r>
            <w:r>
              <w:rPr>
                <w:rFonts w:hint="eastAsia" w:ascii="宋体" w:hAnsi="宋体" w:eastAsia="宋体" w:cs="宋体"/>
                <w:color w:val="auto"/>
                <w:sz w:val="24"/>
                <w:szCs w:val="24"/>
                <w:highlight w:val="none"/>
              </w:rPr>
              <w:t>年度经会计师事务所或审计机构审计的财务审计报告，财务报告</w:t>
            </w:r>
            <w:r>
              <w:rPr>
                <w:rFonts w:hint="eastAsia" w:ascii="宋体" w:hAnsi="宋体" w:eastAsia="宋体" w:cs="宋体"/>
                <w:color w:val="auto"/>
                <w:sz w:val="24"/>
                <w:szCs w:val="24"/>
                <w:highlight w:val="none"/>
                <w:lang w:val="en-US" w:eastAsia="zh-CN"/>
              </w:rPr>
              <w:t>至少包含现金流量表‌、资产负债表、利润表；投标人</w:t>
            </w:r>
            <w:r>
              <w:rPr>
                <w:rFonts w:hint="eastAsia" w:ascii="宋体" w:hAnsi="宋体" w:eastAsia="宋体" w:cs="宋体"/>
                <w:color w:val="auto"/>
                <w:sz w:val="24"/>
                <w:szCs w:val="24"/>
                <w:highlight w:val="none"/>
              </w:rPr>
              <w:t>为自然人</w:t>
            </w:r>
            <w:r>
              <w:rPr>
                <w:rFonts w:hint="eastAsia" w:ascii="宋体" w:hAnsi="宋体" w:eastAsia="宋体" w:cs="宋体"/>
                <w:color w:val="auto"/>
                <w:sz w:val="24"/>
                <w:szCs w:val="24"/>
                <w:highlight w:val="none"/>
                <w:lang w:val="en-US" w:eastAsia="zh-CN"/>
              </w:rPr>
              <w:t>、个体工商户、营业执照成立日期不足一年的新成立单位</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承诺函；</w:t>
            </w:r>
          </w:p>
        </w:tc>
      </w:tr>
      <w:tr w14:paraId="373C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764" w:type="dxa"/>
            <w:vAlign w:val="center"/>
          </w:tcPr>
          <w:p w14:paraId="65C42617">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p>
        </w:tc>
        <w:tc>
          <w:tcPr>
            <w:tcW w:w="1561" w:type="dxa"/>
            <w:vAlign w:val="center"/>
          </w:tcPr>
          <w:p w14:paraId="63601B3D">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投标有效期</w:t>
            </w:r>
          </w:p>
        </w:tc>
        <w:tc>
          <w:tcPr>
            <w:tcW w:w="7353" w:type="dxa"/>
            <w:gridSpan w:val="2"/>
            <w:vAlign w:val="center"/>
          </w:tcPr>
          <w:p w14:paraId="4F63166D">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从提交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文件的截止之日起</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0天</w:t>
            </w:r>
          </w:p>
        </w:tc>
      </w:tr>
      <w:tr w14:paraId="2C40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60" w:hRule="atLeast"/>
          <w:jc w:val="center"/>
        </w:trPr>
        <w:tc>
          <w:tcPr>
            <w:tcW w:w="764" w:type="dxa"/>
            <w:vAlign w:val="center"/>
          </w:tcPr>
          <w:p w14:paraId="0D9FD66F">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561" w:type="dxa"/>
            <w:vAlign w:val="center"/>
          </w:tcPr>
          <w:p w14:paraId="6784CCE2">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7353" w:type="dxa"/>
            <w:gridSpan w:val="2"/>
            <w:vAlign w:val="center"/>
          </w:tcPr>
          <w:p w14:paraId="5EC9BC7F">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w:t>
            </w:r>
          </w:p>
          <w:p w14:paraId="01C09A10">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评标专家确定方式：经济、技术专家不少于评标委员会组成人员的三分之二，按相关规定从政府采购专家库中随机抽取。</w:t>
            </w:r>
          </w:p>
        </w:tc>
      </w:tr>
      <w:tr w14:paraId="1EF8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vAlign w:val="center"/>
          </w:tcPr>
          <w:p w14:paraId="3F6AE295">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1562" w:type="dxa"/>
            <w:gridSpan w:val="2"/>
            <w:vAlign w:val="center"/>
          </w:tcPr>
          <w:p w14:paraId="4961CB99">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7353" w:type="dxa"/>
            <w:gridSpan w:val="2"/>
            <w:vAlign w:val="center"/>
          </w:tcPr>
          <w:p w14:paraId="3E3EB7E3">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34E7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64" w:type="dxa"/>
            <w:vAlign w:val="center"/>
          </w:tcPr>
          <w:p w14:paraId="499BADF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562" w:type="dxa"/>
            <w:gridSpan w:val="2"/>
            <w:vAlign w:val="center"/>
          </w:tcPr>
          <w:p w14:paraId="433CA615">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7353" w:type="dxa"/>
            <w:gridSpan w:val="2"/>
            <w:vAlign w:val="center"/>
          </w:tcPr>
          <w:p w14:paraId="73867C98">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否，推荐3名中标候选人。</w:t>
            </w:r>
          </w:p>
        </w:tc>
      </w:tr>
      <w:tr w14:paraId="5B76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764" w:type="dxa"/>
            <w:vAlign w:val="center"/>
          </w:tcPr>
          <w:p w14:paraId="4622869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1561" w:type="dxa"/>
            <w:vAlign w:val="center"/>
          </w:tcPr>
          <w:p w14:paraId="5AAA504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353" w:type="dxa"/>
            <w:gridSpan w:val="2"/>
            <w:vAlign w:val="center"/>
          </w:tcPr>
          <w:p w14:paraId="77B4282E">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FF0000"/>
                <w:sz w:val="24"/>
                <w:szCs w:val="24"/>
                <w:highlight w:val="none"/>
                <w:lang w:val="en-US" w:eastAsia="zh-CN"/>
              </w:rPr>
              <w:t>本项目无需缴纳</w:t>
            </w:r>
            <w:r>
              <w:rPr>
                <w:rFonts w:hint="eastAsia" w:ascii="宋体" w:hAnsi="宋体" w:eastAsia="宋体" w:cs="宋体"/>
                <w:color w:val="FF0000"/>
                <w:sz w:val="24"/>
                <w:szCs w:val="24"/>
                <w:highlight w:val="none"/>
              </w:rPr>
              <w:t>履约保证金</w:t>
            </w:r>
            <w:r>
              <w:rPr>
                <w:rFonts w:hint="eastAsia" w:ascii="宋体" w:hAnsi="宋体" w:eastAsia="宋体" w:cs="宋体"/>
                <w:color w:val="auto"/>
                <w:sz w:val="24"/>
                <w:szCs w:val="24"/>
                <w:highlight w:val="none"/>
                <w:lang w:eastAsia="zh-CN"/>
              </w:rPr>
              <w:t>。</w:t>
            </w:r>
          </w:p>
        </w:tc>
      </w:tr>
      <w:tr w14:paraId="437E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34" w:hRule="atLeast"/>
          <w:jc w:val="center"/>
        </w:trPr>
        <w:tc>
          <w:tcPr>
            <w:tcW w:w="764" w:type="dxa"/>
            <w:vAlign w:val="center"/>
          </w:tcPr>
          <w:p w14:paraId="297DBE9D">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561" w:type="dxa"/>
            <w:vAlign w:val="center"/>
          </w:tcPr>
          <w:p w14:paraId="2B2752BF">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353" w:type="dxa"/>
            <w:gridSpan w:val="2"/>
            <w:vAlign w:val="center"/>
          </w:tcPr>
          <w:p w14:paraId="6F7454D7">
            <w:pPr>
              <w:pStyle w:val="102"/>
              <w:keepNext w:val="0"/>
              <w:keepLines w:val="0"/>
              <w:pageBreakBefore w:val="0"/>
              <w:widowControl/>
              <w:kinsoku/>
              <w:wordWrap/>
              <w:overflowPunct/>
              <w:topLinePunct w:val="0"/>
              <w:autoSpaceDE/>
              <w:autoSpaceDN/>
              <w:bidi w:val="0"/>
              <w:spacing w:line="380" w:lineRule="exact"/>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合同签订后，按季度付款，每三个月为一个付款周期，甲方以实际验收合格数量乘以固定单价结算。</w:t>
            </w:r>
          </w:p>
        </w:tc>
      </w:tr>
      <w:tr w14:paraId="4F03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60" w:hRule="atLeast"/>
          <w:jc w:val="center"/>
        </w:trPr>
        <w:tc>
          <w:tcPr>
            <w:tcW w:w="764" w:type="dxa"/>
            <w:vAlign w:val="center"/>
          </w:tcPr>
          <w:p w14:paraId="7CC4C97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561" w:type="dxa"/>
            <w:vAlign w:val="center"/>
          </w:tcPr>
          <w:p w14:paraId="755626B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中标服务费</w:t>
            </w:r>
          </w:p>
        </w:tc>
        <w:tc>
          <w:tcPr>
            <w:tcW w:w="7353" w:type="dxa"/>
            <w:gridSpan w:val="2"/>
            <w:vAlign w:val="center"/>
          </w:tcPr>
          <w:p w14:paraId="663D153B">
            <w:pPr>
              <w:pStyle w:val="102"/>
              <w:keepNext w:val="0"/>
              <w:keepLines w:val="0"/>
              <w:pageBreakBefore w:val="0"/>
              <w:widowControl/>
              <w:kinsoku/>
              <w:wordWrap/>
              <w:overflowPunct/>
              <w:topLinePunct w:val="0"/>
              <w:autoSpaceDE/>
              <w:autoSpaceDN/>
              <w:bidi w:val="0"/>
              <w:spacing w:line="380" w:lineRule="exact"/>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招标代理服务费由中标人向陕西方得项目管理有限公司支付，支付标准参考计委〔2002〕1980号文件（以预计年用量为计算金额）下浮60%执行 。</w:t>
            </w:r>
          </w:p>
        </w:tc>
      </w:tr>
      <w:tr w14:paraId="77D1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462" w:hRule="atLeast"/>
          <w:jc w:val="center"/>
        </w:trPr>
        <w:tc>
          <w:tcPr>
            <w:tcW w:w="764" w:type="dxa"/>
            <w:vAlign w:val="center"/>
          </w:tcPr>
          <w:p w14:paraId="34F161A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1561" w:type="dxa"/>
            <w:vAlign w:val="center"/>
          </w:tcPr>
          <w:p w14:paraId="63D48A84">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353" w:type="dxa"/>
            <w:gridSpan w:val="2"/>
            <w:vAlign w:val="center"/>
          </w:tcPr>
          <w:p w14:paraId="5C22EA5C">
            <w:pPr>
              <w:keepNext w:val="0"/>
              <w:keepLines w:val="0"/>
              <w:pageBreakBefore w:val="0"/>
              <w:numPr>
                <w:ilvl w:val="0"/>
                <w:numId w:val="0"/>
              </w:numPr>
              <w:kinsoku/>
              <w:wordWrap/>
              <w:overflowPunct/>
              <w:topLinePunct w:val="0"/>
              <w:autoSpaceDE/>
              <w:autoSpaceDN/>
              <w:bidi w:val="0"/>
              <w:spacing w:line="380" w:lineRule="exact"/>
              <w:ind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本次招标如有变更、澄清或其他通知将在发布招标公告的网站</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rPr>
              <w:t>上公布。</w:t>
            </w:r>
          </w:p>
          <w:p w14:paraId="40BBD0B8">
            <w:pPr>
              <w:keepNext w:val="0"/>
              <w:keepLines w:val="0"/>
              <w:pageBreakBefore w:val="0"/>
              <w:numPr>
                <w:ilvl w:val="0"/>
                <w:numId w:val="0"/>
              </w:numPr>
              <w:kinsoku/>
              <w:wordWrap/>
              <w:overflowPunct/>
              <w:topLinePunct w:val="0"/>
              <w:autoSpaceDE/>
              <w:autoSpaceDN/>
              <w:bidi w:val="0"/>
              <w:spacing w:line="380" w:lineRule="exact"/>
              <w:ind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（2）重要说明：①本项目采用全流程不见面电子开评标，投标人需要使用CA加密设备，投标人可通过新疆数字证书认证中心官网（https://www.xjca.com.cn/）或下载“新疆政务通”APP自行进行申领。</w:t>
            </w:r>
          </w:p>
          <w:p w14:paraId="2B1627BB">
            <w:pPr>
              <w:keepNext w:val="0"/>
              <w:keepLines w:val="0"/>
              <w:pageBreakBefore w:val="0"/>
              <w:numPr>
                <w:ilvl w:val="0"/>
                <w:numId w:val="0"/>
              </w:numPr>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②本项目实行网上投标，采用加密电子投标文件（投标人须使用CA加密设备通过政采云电子投标客户端制作投标文件）。若投标人参与投标，自行承担投标一切费用。</w:t>
            </w:r>
          </w:p>
          <w:p w14:paraId="1CFEB390">
            <w:pPr>
              <w:keepNext w:val="0"/>
              <w:keepLines w:val="0"/>
              <w:pageBreakBefore w:val="0"/>
              <w:numPr>
                <w:ilvl w:val="0"/>
                <w:numId w:val="0"/>
              </w:numPr>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（3）投标人使用相同IP地址的，一经发现，相关部门将进一步核实，查实后按串通投标处理。</w:t>
            </w:r>
          </w:p>
          <w:p w14:paraId="47739366">
            <w:pPr>
              <w:keepNext w:val="0"/>
              <w:keepLines w:val="0"/>
              <w:pageBreakBefore w:val="0"/>
              <w:numPr>
                <w:ilvl w:val="0"/>
                <w:numId w:val="0"/>
              </w:numPr>
              <w:kinsoku/>
              <w:wordWrap/>
              <w:overflowPunct/>
              <w:topLinePunct w:val="0"/>
              <w:autoSpaceDE/>
              <w:autoSpaceDN/>
              <w:bidi w:val="0"/>
              <w:spacing w:line="380" w:lineRule="exact"/>
              <w:ind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（4）不同投标人提供相同品牌核心产品且通过资格审查、符合性审查的不同投标人参加同一合同项下投标的，按一家投标人计算，评审后得分最高的同品牌投标人获得中标人推荐资格；评审得分相同的，由</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或者</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委托评标委员会按照招标文件规定的方式确定一个投标人获得中标人推荐资格，招标文件未规定的采取随机抽取方式确定，其他同品牌投标人不作为中标候选人。</w:t>
            </w:r>
          </w:p>
        </w:tc>
      </w:tr>
    </w:tbl>
    <w:p w14:paraId="211A9A29">
      <w:pPr>
        <w:pStyle w:val="3"/>
        <w:pageBreakBefore w:val="0"/>
        <w:kinsoku/>
        <w:wordWrap/>
        <w:overflowPunct/>
        <w:topLinePunct w:val="0"/>
        <w:autoSpaceDE/>
        <w:autoSpaceDN/>
        <w:bidi w:val="0"/>
        <w:spacing w:before="0" w:after="0" w:line="560" w:lineRule="exact"/>
        <w:ind w:left="0" w:leftChars="0" w:right="0" w:rightChars="0" w:firstLine="0" w:firstLineChars="0"/>
        <w:jc w:val="center"/>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br w:type="page"/>
      </w:r>
      <w:r>
        <w:rPr>
          <w:rFonts w:hint="eastAsia" w:ascii="宋体" w:hAnsi="宋体" w:eastAsia="宋体" w:cs="宋体"/>
          <w:bCs w:val="0"/>
          <w:color w:val="auto"/>
          <w:sz w:val="24"/>
          <w:szCs w:val="24"/>
          <w:highlight w:val="none"/>
        </w:rPr>
        <w:t>二、总  则</w:t>
      </w:r>
    </w:p>
    <w:p w14:paraId="74828837">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45" w:name="_Toc183682342"/>
      <w:bookmarkStart w:id="46" w:name="_Toc183582205"/>
      <w:bookmarkStart w:id="47" w:name="_Toc217446034"/>
      <w:r>
        <w:rPr>
          <w:rFonts w:hint="eastAsia" w:ascii="宋体" w:hAnsi="宋体" w:eastAsia="宋体" w:cs="宋体"/>
          <w:b/>
          <w:bCs/>
          <w:color w:val="auto"/>
          <w:sz w:val="24"/>
          <w:szCs w:val="24"/>
          <w:highlight w:val="none"/>
        </w:rPr>
        <w:t>1.</w:t>
      </w:r>
      <w:bookmarkEnd w:id="45"/>
      <w:bookmarkEnd w:id="46"/>
      <w:r>
        <w:rPr>
          <w:rFonts w:hint="eastAsia" w:ascii="宋体" w:hAnsi="宋体" w:eastAsia="宋体" w:cs="宋体"/>
          <w:b/>
          <w:bCs/>
          <w:color w:val="auto"/>
          <w:sz w:val="24"/>
          <w:szCs w:val="24"/>
          <w:highlight w:val="none"/>
        </w:rPr>
        <w:t xml:space="preserve"> 适用范围</w:t>
      </w:r>
      <w:bookmarkEnd w:id="47"/>
    </w:p>
    <w:p w14:paraId="64876D3D">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本招标文件仅适用于本次招标项目。</w:t>
      </w:r>
    </w:p>
    <w:p w14:paraId="4A7009EC">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48" w:name="_Toc183582206"/>
      <w:bookmarkStart w:id="49" w:name="_Toc183682343"/>
      <w:bookmarkStart w:id="50" w:name="_Toc217446035"/>
      <w:r>
        <w:rPr>
          <w:rFonts w:hint="eastAsia" w:ascii="宋体" w:hAnsi="宋体" w:eastAsia="宋体" w:cs="宋体"/>
          <w:b/>
          <w:bCs/>
          <w:color w:val="auto"/>
          <w:sz w:val="24"/>
          <w:szCs w:val="24"/>
          <w:highlight w:val="none"/>
        </w:rPr>
        <w:t xml:space="preserve">2. </w:t>
      </w:r>
      <w:bookmarkEnd w:id="48"/>
      <w:bookmarkEnd w:id="49"/>
      <w:r>
        <w:rPr>
          <w:rFonts w:hint="eastAsia" w:ascii="宋体" w:hAnsi="宋体" w:eastAsia="宋体" w:cs="宋体"/>
          <w:b/>
          <w:bCs/>
          <w:color w:val="auto"/>
          <w:sz w:val="24"/>
          <w:szCs w:val="24"/>
          <w:highlight w:val="none"/>
        </w:rPr>
        <w:t>有关定义</w:t>
      </w:r>
      <w:bookmarkEnd w:id="50"/>
    </w:p>
    <w:p w14:paraId="37C0A4BA">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”系指依法进行政府采购的国家机关、事业单位、团体组织。本项目</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是</w:t>
      </w:r>
      <w:r>
        <w:rPr>
          <w:rFonts w:hint="eastAsia" w:ascii="宋体" w:hAnsi="宋体" w:eastAsia="宋体" w:cs="宋体"/>
          <w:i w:val="0"/>
          <w:iCs w:val="0"/>
          <w:color w:val="auto"/>
          <w:sz w:val="24"/>
          <w:szCs w:val="24"/>
          <w:highlight w:val="none"/>
          <w:u w:val="single"/>
          <w:lang w:val="en-US" w:eastAsia="zh-CN"/>
        </w:rPr>
        <w:t>新疆医科大学附属肿瘤医院</w:t>
      </w:r>
      <w:r>
        <w:rPr>
          <w:rFonts w:hint="eastAsia" w:ascii="宋体" w:hAnsi="宋体" w:eastAsia="宋体" w:cs="宋体"/>
          <w:color w:val="auto"/>
          <w:sz w:val="24"/>
          <w:szCs w:val="24"/>
          <w:highlight w:val="none"/>
        </w:rPr>
        <w:t>。</w:t>
      </w:r>
    </w:p>
    <w:p w14:paraId="00C1CCA1">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”系指根据</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的委托依法办理招标事宜的采购机构。本次招标的</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是</w:t>
      </w:r>
      <w:r>
        <w:rPr>
          <w:rFonts w:hint="eastAsia" w:ascii="宋体" w:hAnsi="宋体" w:eastAsia="宋体" w:cs="宋体"/>
          <w:i w:val="0"/>
          <w:iCs w:val="0"/>
          <w:color w:val="auto"/>
          <w:sz w:val="24"/>
          <w:szCs w:val="24"/>
          <w:highlight w:val="none"/>
          <w:u w:val="single"/>
          <w:lang w:val="en-US" w:eastAsia="zh-CN"/>
        </w:rPr>
        <w:t>陕西方得项目管理有限公司</w:t>
      </w:r>
      <w:r>
        <w:rPr>
          <w:rFonts w:hint="eastAsia" w:ascii="宋体" w:hAnsi="宋体" w:eastAsia="宋体" w:cs="宋体"/>
          <w:color w:val="auto"/>
          <w:sz w:val="24"/>
          <w:szCs w:val="24"/>
          <w:highlight w:val="none"/>
        </w:rPr>
        <w:t>。</w:t>
      </w:r>
    </w:p>
    <w:p w14:paraId="09153637">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“采购单位”系指“</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”的统称。</w:t>
      </w:r>
    </w:p>
    <w:p w14:paraId="4E7B057D">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“投标人”指下载了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文件拟参加</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和向</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p>
    <w:p w14:paraId="38C78103">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51" w:name="_Toc217446036"/>
      <w:bookmarkStart w:id="52" w:name="_Toc217390843"/>
      <w:bookmarkStart w:id="53" w:name="_Toc183582207"/>
      <w:bookmarkStart w:id="54" w:name="_Toc183682344"/>
      <w:r>
        <w:rPr>
          <w:rFonts w:hint="eastAsia" w:ascii="宋体" w:hAnsi="宋体" w:eastAsia="宋体" w:cs="宋体"/>
          <w:b/>
          <w:bCs/>
          <w:color w:val="auto"/>
          <w:sz w:val="24"/>
          <w:szCs w:val="24"/>
          <w:highlight w:val="none"/>
        </w:rPr>
        <w:t>3. 合格的</w:t>
      </w:r>
      <w:bookmarkEnd w:id="51"/>
      <w:bookmarkEnd w:id="52"/>
      <w:bookmarkEnd w:id="53"/>
      <w:bookmarkEnd w:id="54"/>
      <w:r>
        <w:rPr>
          <w:rFonts w:hint="eastAsia" w:ascii="宋体" w:hAnsi="宋体" w:eastAsia="宋体" w:cs="宋体"/>
          <w:b/>
          <w:bCs/>
          <w:color w:val="auto"/>
          <w:sz w:val="24"/>
          <w:szCs w:val="24"/>
          <w:highlight w:val="none"/>
        </w:rPr>
        <w:t>投标人</w:t>
      </w:r>
    </w:p>
    <w:p w14:paraId="77D76ED5">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合格的投标人应具备以下条件：</w:t>
      </w:r>
    </w:p>
    <w:p w14:paraId="3599FB78">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（1）本招标文件“招标公告”第二条规定的条件</w:t>
      </w:r>
      <w:r>
        <w:rPr>
          <w:rFonts w:hint="eastAsia" w:ascii="宋体" w:hAnsi="宋体" w:eastAsia="宋体" w:cs="宋体"/>
          <w:color w:val="auto"/>
          <w:spacing w:val="-4"/>
          <w:sz w:val="24"/>
          <w:szCs w:val="24"/>
          <w:highlight w:val="none"/>
        </w:rPr>
        <w:t>；</w:t>
      </w:r>
    </w:p>
    <w:p w14:paraId="7ACD3F46">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（2）遵守国家有关的法律、法规、规章和其他政策规定；</w:t>
      </w:r>
    </w:p>
    <w:p w14:paraId="69274851">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（3）下载了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文件并按要求</w:t>
      </w:r>
      <w:r>
        <w:rPr>
          <w:rFonts w:hint="eastAsia" w:ascii="宋体" w:hAnsi="宋体" w:eastAsia="宋体" w:cs="宋体"/>
          <w:color w:val="auto"/>
          <w:sz w:val="24"/>
          <w:szCs w:val="24"/>
          <w:highlight w:val="none"/>
          <w:lang w:val="en-US" w:eastAsia="zh-CN"/>
        </w:rPr>
        <w:t>缴纳投标</w:t>
      </w:r>
      <w:r>
        <w:rPr>
          <w:rFonts w:hint="eastAsia" w:ascii="宋体" w:hAnsi="宋体" w:eastAsia="宋体" w:cs="宋体"/>
          <w:color w:val="auto"/>
          <w:sz w:val="24"/>
          <w:szCs w:val="24"/>
          <w:highlight w:val="none"/>
        </w:rPr>
        <w:t>保证金。</w:t>
      </w:r>
    </w:p>
    <w:p w14:paraId="01A2874B">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55" w:name="_Toc217446037"/>
      <w:bookmarkStart w:id="56" w:name="_Toc183682345"/>
      <w:bookmarkStart w:id="57" w:name="_Toc183582208"/>
      <w:r>
        <w:rPr>
          <w:rFonts w:hint="eastAsia" w:ascii="宋体" w:hAnsi="宋体" w:eastAsia="宋体" w:cs="宋体"/>
          <w:b/>
          <w:bCs/>
          <w:color w:val="auto"/>
          <w:sz w:val="24"/>
          <w:szCs w:val="24"/>
          <w:highlight w:val="none"/>
        </w:rPr>
        <w:t>4. 投标费用</w:t>
      </w:r>
      <w:bookmarkEnd w:id="55"/>
      <w:bookmarkEnd w:id="56"/>
      <w:bookmarkEnd w:id="57"/>
    </w:p>
    <w:p w14:paraId="2B765A94">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投标人参加投标的有关费用由投标人自行承担。</w:t>
      </w:r>
    </w:p>
    <w:p w14:paraId="73EBFE74">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Cs w:val="0"/>
          <w:color w:val="auto"/>
          <w:sz w:val="24"/>
          <w:szCs w:val="24"/>
          <w:highlight w:val="none"/>
        </w:rPr>
      </w:pPr>
      <w:bookmarkStart w:id="58" w:name="_Toc183582209"/>
      <w:bookmarkStart w:id="59" w:name="_Toc183682346"/>
      <w:bookmarkStart w:id="60" w:name="_Toc89075875"/>
      <w:bookmarkStart w:id="61" w:name="_Toc77400779"/>
      <w:bookmarkStart w:id="62" w:name="_Toc217446038"/>
      <w:r>
        <w:rPr>
          <w:rFonts w:hint="eastAsia" w:ascii="宋体" w:hAnsi="宋体" w:eastAsia="宋体" w:cs="宋体"/>
          <w:bCs w:val="0"/>
          <w:color w:val="auto"/>
          <w:sz w:val="24"/>
          <w:szCs w:val="24"/>
          <w:highlight w:val="none"/>
        </w:rPr>
        <w:t>三、</w:t>
      </w:r>
      <w:bookmarkEnd w:id="58"/>
      <w:bookmarkEnd w:id="59"/>
      <w:bookmarkEnd w:id="60"/>
      <w:bookmarkEnd w:id="61"/>
      <w:bookmarkEnd w:id="62"/>
      <w:r>
        <w:rPr>
          <w:rFonts w:hint="eastAsia" w:ascii="宋体" w:hAnsi="宋体" w:eastAsia="宋体" w:cs="宋体"/>
          <w:bCs w:val="0"/>
          <w:color w:val="auto"/>
          <w:sz w:val="24"/>
          <w:szCs w:val="24"/>
          <w:highlight w:val="none"/>
        </w:rPr>
        <w:t>招标文件</w:t>
      </w:r>
    </w:p>
    <w:p w14:paraId="401E98D2">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63" w:name="_Toc183682347"/>
      <w:bookmarkStart w:id="64" w:name="_Toc183582210"/>
      <w:bookmarkStart w:id="65" w:name="_Toc217446039"/>
      <w:r>
        <w:rPr>
          <w:rFonts w:hint="eastAsia" w:ascii="宋体" w:hAnsi="宋体" w:eastAsia="宋体" w:cs="宋体"/>
          <w:b/>
          <w:bCs/>
          <w:color w:val="auto"/>
          <w:sz w:val="24"/>
          <w:szCs w:val="24"/>
          <w:highlight w:val="none"/>
        </w:rPr>
        <w:t>5．招标文件的构成</w:t>
      </w:r>
      <w:bookmarkEnd w:id="63"/>
      <w:bookmarkEnd w:id="64"/>
      <w:bookmarkEnd w:id="65"/>
    </w:p>
    <w:p w14:paraId="04CFF5D7">
      <w:pPr>
        <w:pageBreakBefore w:val="0"/>
        <w:tabs>
          <w:tab w:val="left" w:pos="72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16A6F5FC">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r>
        <w:rPr>
          <w:rFonts w:hint="eastAsia" w:ascii="宋体" w:hAnsi="宋体" w:eastAsia="宋体" w:cs="宋体"/>
          <w:color w:val="auto"/>
          <w:sz w:val="24"/>
          <w:szCs w:val="24"/>
          <w:highlight w:val="none"/>
        </w:rPr>
        <w:tab/>
      </w:r>
    </w:p>
    <w:p w14:paraId="53765417">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r>
        <w:rPr>
          <w:rFonts w:hint="eastAsia" w:ascii="宋体" w:hAnsi="宋体" w:eastAsia="宋体" w:cs="宋体"/>
          <w:color w:val="auto"/>
          <w:sz w:val="24"/>
          <w:szCs w:val="24"/>
          <w:highlight w:val="none"/>
        </w:rPr>
        <w:tab/>
      </w:r>
    </w:p>
    <w:p w14:paraId="2EDC2EEE">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（3）投标文件格式</w:t>
      </w:r>
      <w:r>
        <w:rPr>
          <w:rFonts w:hint="eastAsia" w:ascii="宋体" w:hAnsi="宋体" w:eastAsia="宋体" w:cs="宋体"/>
          <w:color w:val="auto"/>
          <w:sz w:val="24"/>
          <w:szCs w:val="24"/>
          <w:highlight w:val="none"/>
        </w:rPr>
        <w:tab/>
      </w:r>
    </w:p>
    <w:p w14:paraId="5B11A214">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项目采购需求</w:t>
      </w:r>
      <w:r>
        <w:rPr>
          <w:rFonts w:hint="eastAsia" w:ascii="宋体" w:hAnsi="宋体" w:eastAsia="宋体" w:cs="宋体"/>
          <w:color w:val="auto"/>
          <w:sz w:val="24"/>
          <w:szCs w:val="24"/>
          <w:highlight w:val="none"/>
        </w:rPr>
        <w:tab/>
      </w:r>
    </w:p>
    <w:p w14:paraId="688F6845">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（5）评标办法</w:t>
      </w:r>
      <w:r>
        <w:rPr>
          <w:rFonts w:hint="eastAsia" w:ascii="宋体" w:hAnsi="宋体" w:eastAsia="宋体" w:cs="宋体"/>
          <w:color w:val="auto"/>
          <w:sz w:val="24"/>
          <w:szCs w:val="24"/>
          <w:highlight w:val="none"/>
        </w:rPr>
        <w:tab/>
      </w:r>
    </w:p>
    <w:p w14:paraId="3EB59EE4">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（6）拟签订的合同文本</w:t>
      </w:r>
      <w:r>
        <w:rPr>
          <w:rFonts w:hint="eastAsia" w:ascii="宋体" w:hAnsi="宋体" w:eastAsia="宋体" w:cs="宋体"/>
          <w:color w:val="auto"/>
          <w:sz w:val="24"/>
          <w:szCs w:val="24"/>
          <w:highlight w:val="none"/>
        </w:rPr>
        <w:tab/>
      </w:r>
    </w:p>
    <w:p w14:paraId="37045772">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eastAsia="宋体" w:cs="宋体"/>
          <w:b/>
          <w:bCs/>
          <w:color w:val="auto"/>
          <w:sz w:val="24"/>
          <w:szCs w:val="24"/>
          <w:highlight w:val="none"/>
        </w:rPr>
        <w:t>无效处理</w:t>
      </w:r>
      <w:r>
        <w:rPr>
          <w:rFonts w:hint="eastAsia" w:ascii="宋体" w:hAnsi="宋体" w:eastAsia="宋体" w:cs="宋体"/>
          <w:color w:val="auto"/>
          <w:sz w:val="24"/>
          <w:szCs w:val="24"/>
          <w:highlight w:val="none"/>
        </w:rPr>
        <w:t>。</w:t>
      </w:r>
    </w:p>
    <w:p w14:paraId="7407C71F">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bCs/>
          <w:color w:val="auto"/>
          <w:sz w:val="24"/>
          <w:szCs w:val="24"/>
          <w:highlight w:val="none"/>
        </w:rPr>
      </w:pPr>
      <w:bookmarkStart w:id="66" w:name="_Toc183582211"/>
      <w:bookmarkStart w:id="67" w:name="_Toc183682348"/>
      <w:bookmarkStart w:id="68" w:name="_Toc217446040"/>
      <w:r>
        <w:rPr>
          <w:rFonts w:hint="eastAsia" w:ascii="宋体" w:hAnsi="宋体" w:eastAsia="宋体" w:cs="宋体"/>
          <w:color w:val="auto"/>
          <w:sz w:val="24"/>
          <w:szCs w:val="24"/>
          <w:highlight w:val="none"/>
        </w:rPr>
        <w:t>6</w:t>
      </w:r>
      <w:r>
        <w:rPr>
          <w:rFonts w:hint="eastAsia" w:ascii="宋体" w:hAnsi="宋体" w:eastAsia="宋体" w:cs="宋体"/>
          <w:b/>
          <w:bCs/>
          <w:color w:val="auto"/>
          <w:sz w:val="24"/>
          <w:szCs w:val="24"/>
          <w:highlight w:val="none"/>
        </w:rPr>
        <w:t>. 招标文件的澄清</w:t>
      </w:r>
      <w:bookmarkEnd w:id="66"/>
      <w:bookmarkEnd w:id="67"/>
      <w:r>
        <w:rPr>
          <w:rFonts w:hint="eastAsia" w:ascii="宋体" w:hAnsi="宋体" w:eastAsia="宋体" w:cs="宋体"/>
          <w:b/>
          <w:bCs/>
          <w:color w:val="auto"/>
          <w:sz w:val="24"/>
          <w:szCs w:val="24"/>
          <w:highlight w:val="none"/>
        </w:rPr>
        <w:t>和修改</w:t>
      </w:r>
      <w:bookmarkEnd w:id="68"/>
    </w:p>
    <w:p w14:paraId="7781B5E3">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bookmarkStart w:id="69" w:name="_Toc208848971"/>
      <w:bookmarkStart w:id="70" w:name="_Toc217446041"/>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可以对已发出的招标文件，进行必要的澄清或者修改，但不得改变采购标的和资格条件。澄清或者修改应当在原公告发布媒体上发布澄清公告。澄清或者修改的内容为招标文件的组成部分。</w:t>
      </w:r>
    </w:p>
    <w:p w14:paraId="0D67A16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6.2澄清或者修改的内容可能影响投标文件编制的，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应当在投标截止时间至少15日前，以书面形式通知所有获取招标文件的潜在投标人，不足15日的，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应当顺延提交投标文件的截止时间。</w:t>
      </w:r>
    </w:p>
    <w:p w14:paraId="2CCCED77">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答疑会和现场考察</w:t>
      </w:r>
      <w:bookmarkEnd w:id="69"/>
      <w:bookmarkEnd w:id="70"/>
      <w:r>
        <w:rPr>
          <w:rFonts w:hint="eastAsia" w:ascii="宋体" w:hAnsi="宋体" w:eastAsia="宋体" w:cs="宋体"/>
          <w:b/>
          <w:bCs/>
          <w:color w:val="auto"/>
          <w:sz w:val="24"/>
          <w:szCs w:val="24"/>
          <w:highlight w:val="none"/>
        </w:rPr>
        <w:t>。</w:t>
      </w:r>
    </w:p>
    <w:p w14:paraId="4EB9D91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71" w:name="_Toc183682351"/>
      <w:bookmarkStart w:id="72" w:name="_Toc89075876"/>
      <w:bookmarkStart w:id="73" w:name="_Toc183582214"/>
      <w:bookmarkStart w:id="74" w:name="_Toc217446042"/>
      <w:bookmarkStart w:id="75" w:name="_Toc77400780"/>
      <w:r>
        <w:rPr>
          <w:rFonts w:hint="eastAsia" w:ascii="宋体" w:hAnsi="宋体" w:eastAsia="宋体" w:cs="宋体"/>
          <w:color w:val="auto"/>
          <w:sz w:val="24"/>
          <w:szCs w:val="24"/>
          <w:highlight w:val="none"/>
        </w:rPr>
        <w:t>7.1 本项目不组织答疑会和现场考察。</w:t>
      </w:r>
    </w:p>
    <w:p w14:paraId="05BD3B0E">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w:t>
      </w:r>
      <w:bookmarkEnd w:id="71"/>
      <w:bookmarkEnd w:id="72"/>
      <w:bookmarkEnd w:id="73"/>
      <w:bookmarkEnd w:id="74"/>
      <w:bookmarkEnd w:id="75"/>
      <w:r>
        <w:rPr>
          <w:rFonts w:hint="eastAsia" w:ascii="宋体" w:hAnsi="宋体" w:eastAsia="宋体" w:cs="宋体"/>
          <w:bCs w:val="0"/>
          <w:color w:val="auto"/>
          <w:sz w:val="24"/>
          <w:szCs w:val="24"/>
          <w:highlight w:val="none"/>
        </w:rPr>
        <w:t>投标文件</w:t>
      </w:r>
    </w:p>
    <w:p w14:paraId="179DBF64">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76" w:name="_Toc183682352"/>
      <w:bookmarkStart w:id="77" w:name="_Toc217446043"/>
      <w:bookmarkStart w:id="78" w:name="_Toc183582215"/>
      <w:r>
        <w:rPr>
          <w:rFonts w:hint="eastAsia" w:ascii="宋体" w:hAnsi="宋体" w:eastAsia="宋体" w:cs="宋体"/>
          <w:b/>
          <w:bCs/>
          <w:color w:val="auto"/>
          <w:sz w:val="24"/>
          <w:szCs w:val="24"/>
          <w:highlight w:val="none"/>
        </w:rPr>
        <w:t>8．投标文件的语言</w:t>
      </w:r>
      <w:bookmarkEnd w:id="76"/>
      <w:bookmarkEnd w:id="77"/>
      <w:bookmarkEnd w:id="78"/>
    </w:p>
    <w:p w14:paraId="4804823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投标人提交的投标文件以及投标人与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4233849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翻译的中文资料与外文资料如果出现差异和矛盾时，以中文为准。但不能故意错误翻译，否则，投标人的投标文件将作为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50A46CB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79" w:name="_Toc217446044"/>
      <w:bookmarkStart w:id="80" w:name="_Toc183582216"/>
      <w:bookmarkStart w:id="81" w:name="_Toc183682353"/>
      <w:r>
        <w:rPr>
          <w:rFonts w:hint="eastAsia" w:ascii="宋体" w:hAnsi="宋体" w:eastAsia="宋体" w:cs="宋体"/>
          <w:b/>
          <w:bCs/>
          <w:color w:val="auto"/>
          <w:sz w:val="24"/>
          <w:szCs w:val="24"/>
          <w:highlight w:val="none"/>
        </w:rPr>
        <w:t>9．计量单位</w:t>
      </w:r>
      <w:bookmarkEnd w:id="79"/>
      <w:bookmarkEnd w:id="80"/>
      <w:bookmarkEnd w:id="81"/>
    </w:p>
    <w:p w14:paraId="255BBDD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除招标文件中另有规定外，本招标项下的投标均采用国家法定的计量单位。</w:t>
      </w:r>
    </w:p>
    <w:p w14:paraId="2FDAFF1A">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2" w:name="_Toc217446045"/>
      <w:r>
        <w:rPr>
          <w:rFonts w:hint="eastAsia" w:ascii="宋体" w:hAnsi="宋体" w:eastAsia="宋体" w:cs="宋体"/>
          <w:b/>
          <w:bCs/>
          <w:color w:val="auto"/>
          <w:sz w:val="24"/>
          <w:szCs w:val="24"/>
          <w:highlight w:val="none"/>
        </w:rPr>
        <w:t>10. 投标货币</w:t>
      </w:r>
      <w:bookmarkEnd w:id="82"/>
    </w:p>
    <w:p w14:paraId="1AC9D4D9">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本次招标项目的投标均以人民币报价。</w:t>
      </w:r>
    </w:p>
    <w:p w14:paraId="600BCDD1">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3" w:name="_Toc217446046"/>
      <w:r>
        <w:rPr>
          <w:rFonts w:hint="eastAsia" w:ascii="宋体" w:hAnsi="宋体" w:eastAsia="宋体" w:cs="宋体"/>
          <w:b/>
          <w:bCs/>
          <w:color w:val="auto"/>
          <w:sz w:val="24"/>
          <w:szCs w:val="24"/>
          <w:highlight w:val="none"/>
        </w:rPr>
        <w:t>11. 联合体投标</w:t>
      </w:r>
      <w:bookmarkEnd w:id="83"/>
    </w:p>
    <w:p w14:paraId="77E6018D">
      <w:pPr>
        <w:pStyle w:val="13"/>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详见“投标人须知前附表”第1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条。</w:t>
      </w:r>
    </w:p>
    <w:p w14:paraId="3C52F97E">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4" w:name="_Toc217446047"/>
      <w:r>
        <w:rPr>
          <w:rFonts w:hint="eastAsia" w:ascii="宋体" w:hAnsi="宋体" w:eastAsia="宋体" w:cs="宋体"/>
          <w:b/>
          <w:bCs/>
          <w:color w:val="auto"/>
          <w:sz w:val="24"/>
          <w:szCs w:val="24"/>
          <w:highlight w:val="none"/>
        </w:rPr>
        <w:t>12. 知识产权</w:t>
      </w:r>
      <w:bookmarkEnd w:id="84"/>
    </w:p>
    <w:p w14:paraId="5DE90D23">
      <w:pPr>
        <w:pStyle w:val="13"/>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投标人应保证在本项目使用的任何产品或服务（包括部分使用）时，不会产生因第</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方提出侵犯其专利权、商标权或其它知识产权而引起的法律和经济纠纷，如因专利权、商标权或其它知识产权而引起法律和经济纠纷，由投标人承担所有相关责任。</w:t>
      </w:r>
    </w:p>
    <w:p w14:paraId="63DDE483">
      <w:pPr>
        <w:pStyle w:val="13"/>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 </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享有本项目实施过程中产生的知识成果及知识产权。</w:t>
      </w:r>
    </w:p>
    <w:p w14:paraId="5DA9DCB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享有永久使用权。</w:t>
      </w:r>
    </w:p>
    <w:p w14:paraId="0867CE2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12.4 如采用投标人所不拥有的知识产权，则在投标报价中必须包括合法获取该知识产权的相关费用。 </w:t>
      </w:r>
    </w:p>
    <w:p w14:paraId="7F05C340">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5" w:name="_Toc183682354"/>
      <w:bookmarkStart w:id="86" w:name="_Toc183582217"/>
      <w:bookmarkStart w:id="87" w:name="_Toc217446048"/>
      <w:r>
        <w:rPr>
          <w:rFonts w:hint="eastAsia" w:ascii="宋体" w:hAnsi="宋体" w:eastAsia="宋体" w:cs="宋体"/>
          <w:b/>
          <w:bCs/>
          <w:color w:val="auto"/>
          <w:sz w:val="24"/>
          <w:szCs w:val="24"/>
          <w:highlight w:val="none"/>
        </w:rPr>
        <w:t>13．投标文件的组成</w:t>
      </w:r>
      <w:bookmarkEnd w:id="85"/>
      <w:bookmarkEnd w:id="86"/>
      <w:bookmarkEnd w:id="87"/>
    </w:p>
    <w:p w14:paraId="37B90C5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133262AF">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88" w:name="_Toc217446049"/>
      <w:bookmarkStart w:id="89" w:name="_Toc183682355"/>
      <w:bookmarkStart w:id="90" w:name="_Toc183582218"/>
      <w:r>
        <w:rPr>
          <w:rFonts w:hint="eastAsia" w:ascii="宋体" w:hAnsi="宋体" w:eastAsia="宋体" w:cs="宋体"/>
          <w:color w:val="auto"/>
          <w:sz w:val="24"/>
          <w:szCs w:val="24"/>
          <w:highlight w:val="none"/>
        </w:rPr>
        <w:t>一、投标函</w:t>
      </w:r>
    </w:p>
    <w:p w14:paraId="456B564E">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二、投标报价明细表</w:t>
      </w:r>
    </w:p>
    <w:p w14:paraId="1D9C3129">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三、身份证明书</w:t>
      </w:r>
    </w:p>
    <w:p w14:paraId="4EC58223">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四、授权委托书</w:t>
      </w:r>
    </w:p>
    <w:p w14:paraId="2B7F209D">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五、投标人基本情况表</w:t>
      </w:r>
    </w:p>
    <w:p w14:paraId="09F07602">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项目负责人简介</w:t>
      </w:r>
    </w:p>
    <w:p w14:paraId="301FADDA">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en-US" w:eastAsia="zh-CN"/>
        </w:rPr>
        <w:t>拟配备人员简介</w:t>
      </w:r>
    </w:p>
    <w:p w14:paraId="0D81E959">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八、近年同类项目情况表</w:t>
      </w:r>
    </w:p>
    <w:p w14:paraId="14F43CD0">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九、商务、技术需求偏离表</w:t>
      </w:r>
    </w:p>
    <w:p w14:paraId="2A13274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十、技术方案</w:t>
      </w:r>
    </w:p>
    <w:p w14:paraId="0C8A5AAF">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十一、政府采购政策</w:t>
      </w:r>
    </w:p>
    <w:p w14:paraId="16324D98">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十二、投标人认为需要提供的资料</w:t>
      </w:r>
    </w:p>
    <w:p w14:paraId="7EBE13B9">
      <w:pPr>
        <w:pageBreakBefore w:val="0"/>
        <w:tabs>
          <w:tab w:val="left" w:pos="3480"/>
        </w:tabs>
        <w:wordWrap/>
        <w:overflowPunct/>
        <w:topLinePunct w:val="0"/>
        <w:bidi w:val="0"/>
        <w:spacing w:line="560" w:lineRule="exact"/>
        <w:ind w:left="0" w:leftChars="0" w:right="0" w:rightChars="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14．投标文件格式</w:t>
      </w:r>
      <w:bookmarkEnd w:id="88"/>
      <w:bookmarkEnd w:id="89"/>
      <w:bookmarkEnd w:id="90"/>
      <w:r>
        <w:rPr>
          <w:rFonts w:hint="eastAsia" w:ascii="宋体" w:hAnsi="宋体" w:eastAsia="宋体" w:cs="宋体"/>
          <w:color w:val="auto"/>
          <w:sz w:val="24"/>
          <w:szCs w:val="24"/>
          <w:highlight w:val="none"/>
        </w:rPr>
        <w:tab/>
      </w:r>
    </w:p>
    <w:p w14:paraId="54E23C5E">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投标人应严格按照招标文件第三章中提供的“投标文件格式”填写相关内容。除明确允许投标人可以自行编写的外，投标人不得以“投标文件格式”规定之外的方式填写相关内容。</w:t>
      </w:r>
    </w:p>
    <w:p w14:paraId="7AD2F80D">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对于没有格式要求的投标文件由投标人自行编写。</w:t>
      </w:r>
    </w:p>
    <w:p w14:paraId="60938D80">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91" w:name="_Toc183682360"/>
      <w:bookmarkStart w:id="92" w:name="_Toc217446050"/>
      <w:bookmarkStart w:id="93" w:name="_Toc183582223"/>
      <w:r>
        <w:rPr>
          <w:rFonts w:hint="eastAsia" w:ascii="宋体" w:hAnsi="宋体" w:eastAsia="宋体" w:cs="宋体"/>
          <w:b/>
          <w:bCs/>
          <w:color w:val="auto"/>
          <w:sz w:val="24"/>
          <w:szCs w:val="24"/>
          <w:highlight w:val="none"/>
        </w:rPr>
        <w:t>15．投标保证金</w:t>
      </w:r>
      <w:bookmarkEnd w:id="91"/>
      <w:bookmarkEnd w:id="92"/>
      <w:bookmarkEnd w:id="93"/>
    </w:p>
    <w:p w14:paraId="3779776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投标人投标时，必须按招标文件规定数额和形式缴纳投标保证金，并作为其投标文件的一部分。</w:t>
      </w:r>
    </w:p>
    <w:p w14:paraId="50FE9AB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15.2未按招标文件要求在规定时间前缴纳规定数额和形式的投标保证金，将被视为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2F7719F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投标人所缴纳的投标保证金不计利息。</w:t>
      </w:r>
    </w:p>
    <w:p w14:paraId="496E609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15.4未中标人的投标保证金，将在中标通知书发出后五个工作日内全额退还。中标人的投标保证金，自采购合同签订之日起5个工作日内退还中标人的投标保证金。</w:t>
      </w:r>
    </w:p>
    <w:p w14:paraId="46428E0A">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15.5发生下列情形之一的，</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将不予退还投标人缴纳的投标保证金：</w:t>
      </w:r>
    </w:p>
    <w:p w14:paraId="7C8301B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94" w:name="_Toc183582224"/>
      <w:bookmarkStart w:id="95" w:name="_Toc217446051"/>
      <w:bookmarkStart w:id="96" w:name="_Toc183682361"/>
      <w:r>
        <w:rPr>
          <w:rFonts w:hint="eastAsia" w:ascii="宋体" w:hAnsi="宋体" w:eastAsia="宋体" w:cs="宋体"/>
          <w:color w:val="auto"/>
          <w:sz w:val="24"/>
          <w:szCs w:val="24"/>
          <w:highlight w:val="none"/>
        </w:rPr>
        <w:t>（1）投标人在提交投标文件截止时间后撤回投标文件的；</w:t>
      </w:r>
    </w:p>
    <w:p w14:paraId="29DFAB5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（2）投标人在投标文件中提供虚假材料的；</w:t>
      </w:r>
    </w:p>
    <w:p w14:paraId="1C3BF42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（3）投标人不接受按投标文件规定对其投标报价进行修正的；</w:t>
      </w:r>
    </w:p>
    <w:p w14:paraId="2EE2A19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（4）除因不可抗力或投标文件认可的情形以外，中标人不履行与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签订合同的，在签订合同时向</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提出附加条件；</w:t>
      </w:r>
    </w:p>
    <w:p w14:paraId="0DB6B67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（5）中标人未能在规定期限内与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签署合同协议书或提交履约保证金的；</w:t>
      </w:r>
    </w:p>
    <w:p w14:paraId="29B87E3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、其他投标人或者</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恶意串通的；</w:t>
      </w:r>
    </w:p>
    <w:p w14:paraId="0E97394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（7）招标文件规定的其他情形；</w:t>
      </w:r>
    </w:p>
    <w:p w14:paraId="637C3BC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（8）符合法律、法规规定的其他情形的。 </w:t>
      </w:r>
    </w:p>
    <w:p w14:paraId="236134D7">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16．投标有效期</w:t>
      </w:r>
      <w:bookmarkEnd w:id="94"/>
      <w:bookmarkEnd w:id="95"/>
      <w:bookmarkEnd w:id="96"/>
    </w:p>
    <w:p w14:paraId="38D0C6D7">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投标有效期详见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条</w:t>
      </w:r>
      <w:r>
        <w:rPr>
          <w:rFonts w:hint="eastAsia" w:ascii="宋体" w:hAnsi="宋体" w:eastAsia="宋体" w:cs="宋体"/>
          <w:color w:val="auto"/>
          <w:sz w:val="24"/>
          <w:szCs w:val="24"/>
          <w:highlight w:val="none"/>
        </w:rPr>
        <w:t>。投标有效期短于此规定期限的，</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58636770">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特殊情况下，</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可于投标有效期满之前要求投标人同意延长有效期，要求与答复均应为书面形式。投标人可以拒绝上述要求，其投标保证金</w:t>
      </w:r>
      <w:r>
        <w:rPr>
          <w:rFonts w:hint="eastAsia" w:ascii="宋体" w:hAnsi="宋体" w:eastAsia="宋体" w:cs="宋体"/>
          <w:color w:val="auto"/>
          <w:spacing w:val="8"/>
          <w:sz w:val="24"/>
          <w:szCs w:val="24"/>
          <w:highlight w:val="none"/>
        </w:rPr>
        <w:t>不被没收。</w:t>
      </w:r>
      <w:r>
        <w:rPr>
          <w:rFonts w:hint="eastAsia" w:ascii="宋体" w:hAnsi="宋体" w:eastAsia="宋体" w:cs="宋体"/>
          <w:color w:val="auto"/>
          <w:sz w:val="24"/>
          <w:szCs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3094371C">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97" w:name="_Toc217446052"/>
      <w:bookmarkStart w:id="98" w:name="_Toc183582225"/>
      <w:bookmarkStart w:id="99" w:name="_Toc183682362"/>
      <w:r>
        <w:rPr>
          <w:rFonts w:hint="eastAsia" w:ascii="宋体" w:hAnsi="宋体" w:eastAsia="宋体" w:cs="宋体"/>
          <w:b/>
          <w:bCs/>
          <w:color w:val="auto"/>
          <w:sz w:val="24"/>
          <w:szCs w:val="24"/>
          <w:highlight w:val="none"/>
        </w:rPr>
        <w:t>17．</w:t>
      </w:r>
      <w:bookmarkEnd w:id="97"/>
      <w:bookmarkEnd w:id="98"/>
      <w:bookmarkEnd w:id="99"/>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的签署</w:t>
      </w:r>
    </w:p>
    <w:p w14:paraId="161E0054">
      <w:pPr>
        <w:pageBreakBefore w:val="0"/>
        <w:widowControl w:val="0"/>
        <w:tabs>
          <w:tab w:val="left" w:pos="1080"/>
        </w:tabs>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100" w:name="_Toc217446053"/>
      <w:bookmarkStart w:id="101" w:name="_Toc183582226"/>
      <w:bookmarkStart w:id="102" w:name="_Toc89075877"/>
      <w:bookmarkStart w:id="103" w:name="_Toc77400781"/>
      <w:bookmarkStart w:id="104" w:name="_Toc183682363"/>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的要求制作、签署、盖章，内容应完整。</w:t>
      </w:r>
    </w:p>
    <w:p w14:paraId="196EF332">
      <w:pPr>
        <w:pageBreakBefore w:val="0"/>
        <w:numPr>
          <w:ilvl w:val="0"/>
          <w:numId w:val="6"/>
        </w:numPr>
        <w:wordWrap/>
        <w:overflowPunct/>
        <w:topLinePunct w:val="0"/>
        <w:bidi w:val="0"/>
        <w:spacing w:line="560" w:lineRule="exact"/>
        <w:ind w:left="0" w:leftChars="0" w:right="0" w:rightChars="0"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投标文件的</w:t>
      </w:r>
      <w:r>
        <w:rPr>
          <w:rFonts w:hint="eastAsia" w:ascii="宋体" w:hAnsi="宋体" w:eastAsia="宋体" w:cs="宋体"/>
          <w:b/>
          <w:bCs/>
          <w:color w:val="auto"/>
          <w:sz w:val="24"/>
          <w:szCs w:val="24"/>
          <w:highlight w:val="none"/>
          <w:lang w:val="en-US" w:eastAsia="zh-CN"/>
        </w:rPr>
        <w:t>加密</w:t>
      </w:r>
      <w:bookmarkEnd w:id="100"/>
      <w:bookmarkEnd w:id="101"/>
      <w:bookmarkEnd w:id="102"/>
      <w:bookmarkEnd w:id="103"/>
      <w:bookmarkEnd w:id="104"/>
      <w:r>
        <w:rPr>
          <w:rFonts w:hint="eastAsia" w:ascii="宋体" w:hAnsi="宋体" w:eastAsia="宋体" w:cs="宋体"/>
          <w:b/>
          <w:bCs/>
          <w:color w:val="auto"/>
          <w:sz w:val="24"/>
          <w:szCs w:val="24"/>
          <w:highlight w:val="none"/>
          <w:lang w:val="en-US" w:eastAsia="zh-CN"/>
        </w:rPr>
        <w:t>和上传</w:t>
      </w:r>
    </w:p>
    <w:p w14:paraId="1BC2D60A">
      <w:pPr>
        <w:pageBreakBefore w:val="0"/>
        <w:numPr>
          <w:ilvl w:val="0"/>
          <w:numId w:val="0"/>
        </w:numPr>
        <w:wordWrap/>
        <w:overflowPunct/>
        <w:topLinePunct w:val="0"/>
        <w:bidi w:val="0"/>
        <w:spacing w:line="560" w:lineRule="exact"/>
        <w:ind w:left="0" w:leftChars="0" w:right="0" w:rightChars="0" w:firstLine="481"/>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18.1</w:t>
      </w:r>
      <w:r>
        <w:rPr>
          <w:rFonts w:hint="eastAsia" w:ascii="宋体" w:hAnsi="宋体" w:eastAsia="宋体" w:cs="宋体"/>
          <w:color w:val="auto"/>
          <w:kern w:val="0"/>
          <w:sz w:val="24"/>
          <w:szCs w:val="24"/>
          <w:highlight w:val="none"/>
        </w:rPr>
        <w:t>本项目实行全流程</w:t>
      </w:r>
      <w:r>
        <w:rPr>
          <w:rFonts w:hint="eastAsia" w:ascii="宋体" w:hAnsi="宋体" w:eastAsia="宋体" w:cs="宋体"/>
          <w:color w:val="auto"/>
          <w:sz w:val="24"/>
          <w:szCs w:val="24"/>
          <w:highlight w:val="none"/>
        </w:rPr>
        <w:t>电子交易方式</w:t>
      </w:r>
      <w:r>
        <w:rPr>
          <w:rFonts w:hint="eastAsia" w:ascii="宋体" w:hAnsi="宋体" w:eastAsia="宋体" w:cs="宋体"/>
          <w:color w:val="auto"/>
          <w:kern w:val="0"/>
          <w:sz w:val="24"/>
          <w:szCs w:val="24"/>
          <w:highlight w:val="none"/>
        </w:rPr>
        <w:t>，采用电子加密</w:t>
      </w:r>
      <w:r>
        <w:rPr>
          <w:rFonts w:hint="eastAsia" w:ascii="宋体" w:hAnsi="宋体" w:eastAsia="宋体" w:cs="宋体"/>
          <w:color w:val="auto"/>
          <w:kern w:val="0"/>
          <w:sz w:val="24"/>
          <w:szCs w:val="24"/>
          <w:highlight w:val="none"/>
          <w:lang w:eastAsia="zh-CN"/>
        </w:rPr>
        <w:t>投标文件（“.jmbs”格式）</w:t>
      </w:r>
      <w:r>
        <w:rPr>
          <w:rFonts w:hint="eastAsia" w:ascii="宋体" w:hAnsi="宋体" w:eastAsia="宋体" w:cs="宋体"/>
          <w:color w:val="auto"/>
          <w:kern w:val="0"/>
          <w:sz w:val="24"/>
          <w:szCs w:val="24"/>
          <w:highlight w:val="none"/>
        </w:rPr>
        <w:t>上传方式；</w:t>
      </w:r>
      <w:r>
        <w:rPr>
          <w:rFonts w:hint="eastAsia" w:ascii="宋体" w:hAnsi="宋体" w:eastAsia="宋体" w:cs="宋体"/>
          <w:color w:val="auto"/>
          <w:sz w:val="24"/>
          <w:szCs w:val="24"/>
          <w:highlight w:val="none"/>
        </w:rPr>
        <w:t>投标人应当在投标截止时间前，将“电子招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客户端”生成的“电子加密投标文件”上传电子交易平台</w:t>
      </w:r>
      <w:r>
        <w:rPr>
          <w:rFonts w:hint="eastAsia" w:ascii="宋体" w:hAnsi="宋体" w:eastAsia="宋体" w:cs="宋体"/>
          <w:color w:val="auto"/>
          <w:sz w:val="24"/>
          <w:szCs w:val="24"/>
          <w:highlight w:val="none"/>
          <w:lang w:eastAsia="zh-CN"/>
        </w:rPr>
        <w:t>，成功上传电子加密投标文件后，可自行打印投标文件接收回执</w:t>
      </w:r>
      <w:r>
        <w:rPr>
          <w:rFonts w:hint="eastAsia" w:ascii="宋体" w:hAnsi="宋体" w:eastAsia="宋体" w:cs="宋体"/>
          <w:color w:val="auto"/>
          <w:sz w:val="24"/>
          <w:szCs w:val="24"/>
          <w:highlight w:val="none"/>
        </w:rPr>
        <w:t>。</w:t>
      </w:r>
    </w:p>
    <w:p w14:paraId="4FBBE468">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18.2</w:t>
      </w:r>
      <w:r>
        <w:rPr>
          <w:rFonts w:hint="eastAsia" w:ascii="宋体" w:hAnsi="宋体" w:eastAsia="宋体" w:cs="宋体"/>
          <w:b w:val="0"/>
          <w:bCs/>
          <w:color w:val="auto"/>
          <w:sz w:val="24"/>
          <w:szCs w:val="24"/>
          <w:highlight w:val="none"/>
          <w:lang w:val="en-US" w:eastAsia="zh-CN"/>
        </w:rPr>
        <w:t>所有投标人须在</w:t>
      </w:r>
      <w:r>
        <w:rPr>
          <w:rFonts w:hint="eastAsia" w:ascii="宋体" w:hAnsi="宋体" w:eastAsia="宋体" w:cs="宋体"/>
          <w:b/>
          <w:bCs w:val="0"/>
          <w:color w:val="auto"/>
          <w:sz w:val="24"/>
          <w:szCs w:val="24"/>
          <w:highlight w:val="none"/>
          <w:lang w:val="en-US" w:eastAsia="zh-CN"/>
        </w:rPr>
        <w:t>招标结束后五个工作日内</w:t>
      </w:r>
      <w:r>
        <w:rPr>
          <w:rFonts w:hint="eastAsia" w:ascii="宋体" w:hAnsi="宋体" w:eastAsia="宋体" w:cs="宋体"/>
          <w:b w:val="0"/>
          <w:bCs/>
          <w:color w:val="auto"/>
          <w:sz w:val="24"/>
          <w:szCs w:val="24"/>
          <w:highlight w:val="none"/>
          <w:lang w:val="en-US" w:eastAsia="zh-CN"/>
        </w:rPr>
        <w:t>向</w:t>
      </w:r>
      <w:r>
        <w:rPr>
          <w:rFonts w:hint="eastAsia" w:ascii="宋体" w:hAnsi="宋体" w:cs="宋体"/>
          <w:b w:val="0"/>
          <w:bCs/>
          <w:color w:val="auto"/>
          <w:sz w:val="24"/>
          <w:szCs w:val="24"/>
          <w:highlight w:val="none"/>
          <w:lang w:val="en-US" w:eastAsia="zh-CN"/>
        </w:rPr>
        <w:t>招标代理机构</w:t>
      </w:r>
      <w:r>
        <w:rPr>
          <w:rFonts w:hint="eastAsia" w:ascii="宋体" w:hAnsi="宋体" w:eastAsia="宋体" w:cs="宋体"/>
          <w:b w:val="0"/>
          <w:bCs/>
          <w:color w:val="auto"/>
          <w:sz w:val="24"/>
          <w:szCs w:val="24"/>
          <w:highlight w:val="none"/>
          <w:lang w:val="en-US" w:eastAsia="zh-CN"/>
        </w:rPr>
        <w:t>递交</w:t>
      </w:r>
      <w:r>
        <w:rPr>
          <w:rFonts w:hint="eastAsia" w:ascii="宋体" w:hAnsi="宋体" w:eastAsia="宋体" w:cs="宋体"/>
          <w:b/>
          <w:bCs w:val="0"/>
          <w:color w:val="auto"/>
          <w:sz w:val="24"/>
          <w:szCs w:val="24"/>
          <w:highlight w:val="none"/>
          <w:lang w:val="en-US" w:eastAsia="zh-CN"/>
        </w:rPr>
        <w:t>签章纸质版投标文件一正</w:t>
      </w:r>
      <w:r>
        <w:rPr>
          <w:rFonts w:hint="eastAsia" w:ascii="宋体" w:hAnsi="宋体" w:cs="宋体"/>
          <w:b/>
          <w:bCs w:val="0"/>
          <w:color w:val="auto"/>
          <w:sz w:val="24"/>
          <w:szCs w:val="24"/>
          <w:highlight w:val="none"/>
          <w:lang w:val="en-US" w:eastAsia="zh-CN"/>
        </w:rPr>
        <w:t>二</w:t>
      </w:r>
      <w:r>
        <w:rPr>
          <w:rFonts w:hint="eastAsia" w:ascii="宋体" w:hAnsi="宋体" w:eastAsia="宋体" w:cs="宋体"/>
          <w:b/>
          <w:bCs w:val="0"/>
          <w:color w:val="auto"/>
          <w:sz w:val="24"/>
          <w:szCs w:val="24"/>
          <w:highlight w:val="none"/>
          <w:lang w:val="en-US" w:eastAsia="zh-CN"/>
        </w:rPr>
        <w:t>副（用于档案资料编制）</w:t>
      </w:r>
      <w:r>
        <w:rPr>
          <w:rFonts w:hint="eastAsia" w:ascii="宋体" w:hAnsi="宋体" w:eastAsia="宋体" w:cs="宋体"/>
          <w:b w:val="0"/>
          <w:bCs/>
          <w:color w:val="auto"/>
          <w:sz w:val="24"/>
          <w:szCs w:val="24"/>
          <w:highlight w:val="none"/>
          <w:lang w:val="en-US" w:eastAsia="zh-CN"/>
        </w:rPr>
        <w:t>，纸质版投标文件须与政采云平台上传的电子版投标文件保持一致。投标文件的正本和副本应在其封面右上角清楚地标明“正本”或“副本”字样，统一用A4幅面纸印制，图纸、横道图等必须使用A3幅面印制的应折叠成A4幅面，并按招标文件规定签字和盖章，投标文件胶装成册并编码，每册装订应牢固、不易拆散和换页，不得采用活页装订。</w:t>
      </w:r>
    </w:p>
    <w:p w14:paraId="7CC8BED4">
      <w:pPr>
        <w:pStyle w:val="6"/>
        <w:pageBreakBefore w:val="0"/>
        <w:wordWrap/>
        <w:overflowPunct/>
        <w:topLinePunct w:val="0"/>
        <w:bidi w:val="0"/>
        <w:spacing w:line="560" w:lineRule="exact"/>
        <w:ind w:left="0" w:leftChars="0" w:right="0" w:rightChars="0" w:firstLine="480"/>
        <w:rPr>
          <w:rFonts w:hint="eastAsia" w:ascii="宋体" w:hAnsi="宋体" w:eastAsia="宋体" w:cs="宋体"/>
          <w:b/>
          <w:bCs/>
          <w:color w:val="auto"/>
          <w:sz w:val="24"/>
          <w:szCs w:val="24"/>
          <w:highlight w:val="none"/>
        </w:rPr>
      </w:pPr>
      <w:bookmarkStart w:id="105" w:name="_Toc183682365"/>
      <w:bookmarkStart w:id="106" w:name="_Toc183582228"/>
      <w:bookmarkStart w:id="107" w:name="_Toc217446055"/>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．投标文件的修改和撤</w:t>
      </w:r>
      <w:bookmarkEnd w:id="105"/>
      <w:bookmarkEnd w:id="106"/>
      <w:r>
        <w:rPr>
          <w:rFonts w:hint="eastAsia" w:ascii="宋体" w:hAnsi="宋体" w:eastAsia="宋体" w:cs="宋体"/>
          <w:b/>
          <w:bCs/>
          <w:color w:val="auto"/>
          <w:sz w:val="24"/>
          <w:szCs w:val="24"/>
          <w:highlight w:val="none"/>
        </w:rPr>
        <w:t>回</w:t>
      </w:r>
      <w:bookmarkEnd w:id="107"/>
    </w:p>
    <w:p w14:paraId="35551722">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上传截止时间前，可以对所上传的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进行补充、修改或撤回。</w:t>
      </w:r>
    </w:p>
    <w:p w14:paraId="4B320170">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上传截止时间之后，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不得对其上传的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做任何修改、补充或撤回。</w:t>
      </w:r>
    </w:p>
    <w:p w14:paraId="395E953E">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19.3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中-如果出现计算上或累加上的算术错误，可按以下原则进行修改：</w:t>
      </w:r>
    </w:p>
    <w:p w14:paraId="7D950FB0">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内容与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报价明细表不一致的，以</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为准</w:t>
      </w:r>
      <w:r>
        <w:rPr>
          <w:rFonts w:hint="eastAsia" w:ascii="宋体" w:hAnsi="宋体" w:eastAsia="宋体" w:cs="宋体"/>
          <w:color w:val="auto"/>
          <w:sz w:val="24"/>
          <w:szCs w:val="24"/>
          <w:highlight w:val="none"/>
          <w:lang w:eastAsia="zh-CN"/>
        </w:rPr>
        <w:t>；</w:t>
      </w:r>
    </w:p>
    <w:p w14:paraId="11BCCEF1">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（2）用小写金额和大写金额不一致，应以大写金额为准；</w:t>
      </w:r>
    </w:p>
    <w:p w14:paraId="6CC0931C">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1D0A07DC">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（4）单价金额小数点或者百分比有明显错位的，以</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的总价为准，并修改单价。</w:t>
      </w:r>
    </w:p>
    <w:p w14:paraId="53EEAD35">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不确认的，其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6FB19031">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08" w:name="_Toc183582231"/>
      <w:bookmarkStart w:id="109" w:name="_Toc77400782"/>
      <w:bookmarkStart w:id="110" w:name="_Toc217446056"/>
      <w:bookmarkStart w:id="111" w:name="_Toc89075878"/>
      <w:bookmarkStart w:id="112" w:name="_Toc183682368"/>
      <w:r>
        <w:rPr>
          <w:rFonts w:hint="eastAsia" w:ascii="宋体" w:hAnsi="宋体" w:eastAsia="宋体" w:cs="宋体"/>
          <w:color w:val="auto"/>
          <w:sz w:val="24"/>
          <w:szCs w:val="24"/>
          <w:highlight w:val="none"/>
        </w:rPr>
        <w:t>五、开标和</w:t>
      </w:r>
      <w:bookmarkEnd w:id="108"/>
      <w:bookmarkEnd w:id="109"/>
      <w:bookmarkEnd w:id="110"/>
      <w:bookmarkEnd w:id="111"/>
      <w:bookmarkEnd w:id="112"/>
      <w:r>
        <w:rPr>
          <w:rFonts w:hint="eastAsia" w:ascii="宋体" w:hAnsi="宋体" w:eastAsia="宋体" w:cs="宋体"/>
          <w:color w:val="auto"/>
          <w:sz w:val="24"/>
          <w:szCs w:val="24"/>
          <w:highlight w:val="none"/>
        </w:rPr>
        <w:t>中标</w:t>
      </w:r>
    </w:p>
    <w:p w14:paraId="48D8C69C">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13" w:name="_Toc217446057"/>
      <w:bookmarkStart w:id="114" w:name="_Toc183682369"/>
      <w:bookmarkStart w:id="115" w:name="_Toc183582232"/>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．开标</w:t>
      </w:r>
      <w:bookmarkEnd w:id="113"/>
      <w:bookmarkEnd w:id="114"/>
      <w:bookmarkEnd w:id="115"/>
    </w:p>
    <w:p w14:paraId="5898154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在招标文件规定的时间和地点组织招标活动，邀请下载招标文件并参与竞争的投标人</w:t>
      </w:r>
      <w:r>
        <w:rPr>
          <w:rFonts w:hint="eastAsia" w:ascii="宋体" w:hAnsi="宋体" w:eastAsia="宋体" w:cs="宋体"/>
          <w:color w:val="auto"/>
          <w:sz w:val="24"/>
          <w:szCs w:val="24"/>
          <w:highlight w:val="none"/>
          <w:lang w:val="en-US" w:eastAsia="zh-CN"/>
        </w:rPr>
        <w:t>在线</w:t>
      </w:r>
      <w:r>
        <w:rPr>
          <w:rFonts w:hint="eastAsia" w:ascii="宋体" w:hAnsi="宋体" w:eastAsia="宋体" w:cs="宋体"/>
          <w:color w:val="auto"/>
          <w:sz w:val="24"/>
          <w:szCs w:val="24"/>
          <w:highlight w:val="none"/>
        </w:rPr>
        <w:t>参加开标</w:t>
      </w:r>
      <w:r>
        <w:rPr>
          <w:rFonts w:hint="eastAsia" w:ascii="宋体" w:hAnsi="宋体" w:eastAsia="宋体" w:cs="宋体"/>
          <w:color w:val="auto"/>
          <w:sz w:val="24"/>
          <w:szCs w:val="24"/>
          <w:highlight w:val="none"/>
          <w:lang w:eastAsia="zh-CN"/>
        </w:rPr>
        <w:t>，投标人未参加开标的视同认可开标结果，事后不得对采购相关人员、开标过程和开标结果提出异议，同时投标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因未在线参加开标而导致投标文件无法按时解密等一切后果由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自行承担</w:t>
      </w:r>
      <w:r>
        <w:rPr>
          <w:rFonts w:hint="eastAsia" w:ascii="宋体" w:hAnsi="宋体" w:eastAsia="宋体" w:cs="宋体"/>
          <w:color w:val="auto"/>
          <w:sz w:val="24"/>
          <w:szCs w:val="24"/>
          <w:highlight w:val="none"/>
        </w:rPr>
        <w:t>。</w:t>
      </w:r>
    </w:p>
    <w:p w14:paraId="1D11773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投标人不足3家的，不得开标。</w:t>
      </w:r>
    </w:p>
    <w:p w14:paraId="6607F5F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 开标时，</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可以邀请有关监督管理部门对开标进行现场监督。</w:t>
      </w:r>
    </w:p>
    <w:p w14:paraId="3180CC4A">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文件上传截止时间到，</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会议开始，公布</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名单。</w:t>
      </w:r>
    </w:p>
    <w:p w14:paraId="23CA0E4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.4开启“</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文件解密”环节，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在规定时间内进行解密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解密规定见《投标人须知前附表》</w:t>
      </w:r>
      <w:r>
        <w:rPr>
          <w:rFonts w:hint="eastAsia" w:ascii="宋体" w:hAnsi="宋体" w:eastAsia="宋体" w:cs="宋体"/>
          <w:b/>
          <w:bCs/>
          <w:color w:val="auto"/>
          <w:sz w:val="24"/>
          <w:szCs w:val="24"/>
          <w:highlight w:val="none"/>
          <w:lang w:val="en-US" w:eastAsia="zh-CN"/>
        </w:rPr>
        <w:t>第1</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条</w:t>
      </w:r>
      <w:r>
        <w:rPr>
          <w:rFonts w:hint="eastAsia" w:ascii="宋体" w:hAnsi="宋体" w:eastAsia="宋体" w:cs="宋体"/>
          <w:color w:val="auto"/>
          <w:sz w:val="24"/>
          <w:szCs w:val="24"/>
          <w:highlight w:val="none"/>
        </w:rPr>
        <w:t>）。</w:t>
      </w:r>
    </w:p>
    <w:p w14:paraId="549F8E9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20.5投标文件解密完毕，公布投标报价，开启报价签字确认（不予确认的应说明理由，否则视为无异议，开标结束后，由评标委员会对报价的合理性、准确性等进行审查核实）。</w:t>
      </w:r>
    </w:p>
    <w:p w14:paraId="367461B0">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评标程序</w:t>
      </w:r>
    </w:p>
    <w:p w14:paraId="6D7229B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.1公开招标采购项目开标结束后，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应当依法对投标人的资格进行审查。合格投标人不足3家的，不得评标。</w:t>
      </w:r>
    </w:p>
    <w:p w14:paraId="43D5526E">
      <w:pPr>
        <w:pStyle w:val="88"/>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.2符合性审查。符合性审查是指依据招标文件的规定，从商务和技术角度对投标文件的有效性和完整性进行审查，以确定是否对招标文件的实质性要求做出响应。</w:t>
      </w:r>
    </w:p>
    <w:p w14:paraId="3EE08FE7">
      <w:pPr>
        <w:pStyle w:val="88"/>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.3评标委员会采用综合评分法对满足招标文件全部实质性要求的投标文件和投标报价进行综合评分</w:t>
      </w:r>
    </w:p>
    <w:p w14:paraId="7AF3041E">
      <w:pPr>
        <w:pageBreakBefore w:val="0"/>
        <w:shd w:val="clear" w:color="auto" w:fill="auto"/>
        <w:wordWrap/>
        <w:overflowPunct/>
        <w:topLinePunct w:val="0"/>
        <w:bidi w:val="0"/>
        <w:spacing w:line="560" w:lineRule="exact"/>
        <w:ind w:right="0" w:righ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w:t>
      </w:r>
      <w:r>
        <w:rPr>
          <w:rFonts w:hint="eastAsia" w:ascii="宋体" w:hAnsi="宋体" w:eastAsia="宋体" w:cs="宋体"/>
          <w:b w:val="0"/>
          <w:bCs w:val="0"/>
          <w:color w:val="auto"/>
          <w:sz w:val="24"/>
          <w:szCs w:val="24"/>
          <w:highlight w:val="none"/>
          <w:lang w:val="en-US" w:eastAsia="zh-CN"/>
        </w:rPr>
        <w:t>澄清、说明或补正的形式：</w:t>
      </w:r>
    </w:p>
    <w:p w14:paraId="260CE849">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（1）对于投标文件中含义不明确、同类问题表述不一致或者有明显文字和计算错误的内容，评标委员会将通过“政府采购云平台”在线询标的方式要求投标人在规定的时间内作出必要的澄清、说明或者补正，</w:t>
      </w:r>
      <w:r>
        <w:rPr>
          <w:rFonts w:hint="eastAsia" w:ascii="宋体" w:hAnsi="宋体" w:eastAsia="宋体" w:cs="宋体"/>
          <w:b/>
          <w:bCs/>
          <w:color w:val="auto"/>
          <w:sz w:val="24"/>
          <w:szCs w:val="24"/>
          <w:highlight w:val="none"/>
          <w:lang w:val="en-US" w:eastAsia="zh-CN"/>
        </w:rPr>
        <w:t>投标人澄清、说明或补正时间为20分钟</w:t>
      </w:r>
      <w:r>
        <w:rPr>
          <w:rFonts w:hint="eastAsia" w:ascii="宋体" w:hAnsi="宋体" w:eastAsia="宋体" w:cs="宋体"/>
          <w:b w:val="0"/>
          <w:bCs w:val="0"/>
          <w:color w:val="auto"/>
          <w:sz w:val="24"/>
          <w:szCs w:val="24"/>
          <w:highlight w:val="none"/>
          <w:lang w:val="en-US" w:eastAsia="zh-CN"/>
        </w:rPr>
        <w:t>。</w:t>
      </w:r>
    </w:p>
    <w:p w14:paraId="5F2D3785">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的澄清、说明或者补正应当通过“政府采购云平台”在线答复的方式提交，并加盖公章或电子印章，或者由法定代表人（负责人）或其授权的代表签字。投标人的澄清、说明或者补正不得超出投标文件的范围或者改变投标文件的实质性内容，不接受投标人主动对投标文件的澄清、说明或者补正。</w:t>
      </w:r>
    </w:p>
    <w:p w14:paraId="4A5A9B01">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上述询标、澄清、说明和补正工作如因客观原因无法通过“政府采购云平台”在线进行的，将采用电子邮件等形式进行，请投标人保证办理投标事宜人员电话畅通、网络在线。如未及时进行澄清、说明或者补正的，视为放弃澄清、说明或者补正的权利。</w:t>
      </w:r>
    </w:p>
    <w:p w14:paraId="7834FBF1">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人员对各投标人投标文件非实质性内容有疑议或异议，或者审查发现明显的文字或计算错误等，及时向评标委员会组长提出。经评标委员会商议认为需要投标人作出必要澄清、说明或者补正的，应当以在线询标形式要求投标人作出必要的澄清、说明或者补正并加盖投标人电子印章或公章。澄清、说明或者补正的内容应作为政府采购项目档案归档留存。</w:t>
      </w:r>
    </w:p>
    <w:p w14:paraId="63AF9463">
      <w:pPr>
        <w:pStyle w:val="88"/>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 评标委员会需对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3619D998">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21.6</w:t>
      </w:r>
      <w:r>
        <w:rPr>
          <w:rFonts w:hint="eastAsia" w:ascii="宋体" w:hAnsi="宋体" w:eastAsia="宋体" w:cs="宋体"/>
          <w:color w:val="auto"/>
          <w:kern w:val="2"/>
          <w:sz w:val="24"/>
          <w:szCs w:val="24"/>
          <w:highlight w:val="none"/>
          <w:lang w:val="en-US" w:eastAsia="zh-CN" w:bidi="ar-SA"/>
        </w:rPr>
        <w:t>评标结果汇总完成后，除下列情形外，任何人不得修改评标结果：</w:t>
      </w:r>
    </w:p>
    <w:p w14:paraId="05FF848E">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(一)分值汇总计算错误的;</w:t>
      </w:r>
    </w:p>
    <w:p w14:paraId="452023C6">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(二)分项评分超出评分标准范围的;</w:t>
      </w:r>
    </w:p>
    <w:p w14:paraId="0A90BFD5">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(三)评标委员会成员对客观评审因素评分不一致的;</w:t>
      </w:r>
    </w:p>
    <w:p w14:paraId="15E3E45D">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(四)经评标委员会认定评分畸高、畸低的。</w:t>
      </w:r>
    </w:p>
    <w:p w14:paraId="3DA3095E">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评标报告签署前，经复核发现存在以上情形之一的，评标委员会应当当场修改评标结果，并在评标报告中记载;评标报告签署后，</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或者</w:t>
      </w:r>
      <w:r>
        <w:rPr>
          <w:rFonts w:hint="eastAsia" w:ascii="宋体" w:hAnsi="宋体" w:cs="宋体"/>
          <w:color w:val="auto"/>
          <w:kern w:val="2"/>
          <w:sz w:val="24"/>
          <w:szCs w:val="24"/>
          <w:highlight w:val="none"/>
          <w:lang w:val="en-US" w:eastAsia="zh-CN" w:bidi="ar-SA"/>
        </w:rPr>
        <w:t>招标代理机构</w:t>
      </w:r>
      <w:r>
        <w:rPr>
          <w:rFonts w:hint="eastAsia" w:ascii="宋体" w:hAnsi="宋体" w:eastAsia="宋体" w:cs="宋体"/>
          <w:color w:val="auto"/>
          <w:kern w:val="2"/>
          <w:sz w:val="24"/>
          <w:szCs w:val="24"/>
          <w:highlight w:val="none"/>
          <w:lang w:val="en-US" w:eastAsia="zh-CN" w:bidi="ar-SA"/>
        </w:rPr>
        <w:t>发现存在以上情形之一的，应当组织原评标委员会进行重新评审，重新评审改变评标结果的，书面报告本级财政部门。</w:t>
      </w:r>
    </w:p>
    <w:p w14:paraId="0C7C920B">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投标人对本条第一款情形提出质疑的，</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或者</w:t>
      </w:r>
      <w:r>
        <w:rPr>
          <w:rFonts w:hint="eastAsia" w:ascii="宋体" w:hAnsi="宋体" w:cs="宋体"/>
          <w:color w:val="auto"/>
          <w:kern w:val="2"/>
          <w:sz w:val="24"/>
          <w:szCs w:val="24"/>
          <w:highlight w:val="none"/>
          <w:lang w:val="en-US" w:eastAsia="zh-CN" w:bidi="ar-SA"/>
        </w:rPr>
        <w:t>招标代理机构</w:t>
      </w:r>
      <w:r>
        <w:rPr>
          <w:rFonts w:hint="eastAsia" w:ascii="宋体" w:hAnsi="宋体" w:eastAsia="宋体" w:cs="宋体"/>
          <w:color w:val="auto"/>
          <w:kern w:val="2"/>
          <w:sz w:val="24"/>
          <w:szCs w:val="24"/>
          <w:highlight w:val="none"/>
          <w:lang w:val="en-US" w:eastAsia="zh-CN" w:bidi="ar-SA"/>
        </w:rPr>
        <w:t>可以组织原评标委员会进行重新评审，重新评审改变评标结果的，应当书面报告本级财政部门。</w:t>
      </w:r>
    </w:p>
    <w:p w14:paraId="08A79C4B">
      <w:pPr>
        <w:pStyle w:val="88"/>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评标委员会根据综合评分情况，按照评标得分由高到低顺序推荐3名中标候选人，并编写评标报告。得分相同的，按投标报价由低到高顺序排列。得分且投标报价相同的，按照技术指标优劣顺序推荐。</w:t>
      </w:r>
    </w:p>
    <w:p w14:paraId="3BFDAD2D">
      <w:pPr>
        <w:pStyle w:val="88"/>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在评标结果后2个工作日内将评标报告送</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确认。</w:t>
      </w:r>
    </w:p>
    <w:p w14:paraId="1D78693E">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16" w:name="_Toc183682375"/>
      <w:bookmarkStart w:id="117" w:name="_Toc183582238"/>
      <w:bookmarkStart w:id="118" w:name="_Toc217446063"/>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．中标通知</w:t>
      </w:r>
      <w:bookmarkEnd w:id="116"/>
      <w:bookmarkEnd w:id="117"/>
      <w:r>
        <w:rPr>
          <w:rFonts w:hint="eastAsia" w:ascii="宋体" w:hAnsi="宋体" w:eastAsia="宋体" w:cs="宋体"/>
          <w:b/>
          <w:bCs/>
          <w:color w:val="auto"/>
          <w:sz w:val="24"/>
          <w:szCs w:val="24"/>
          <w:highlight w:val="none"/>
        </w:rPr>
        <w:t>书</w:t>
      </w:r>
      <w:bookmarkEnd w:id="118"/>
    </w:p>
    <w:p w14:paraId="4D7ECEC5">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中标通知书为签订中标合同的依据，是合同的有效组成部分。</w:t>
      </w:r>
    </w:p>
    <w:p w14:paraId="2D236044">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中标通知书对</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和中标人均具有法律效力。中标通知书发出后，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改变中标结果，或者中标人无正当理由放弃中标的，应当承担相应的法律责任。</w:t>
      </w:r>
    </w:p>
    <w:p w14:paraId="347A6C85">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．3中标人的投标文件本应作为无效投标处理或者有招投标法律法规规章制度规定的中标无效情形的，</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在取得有权主体的认定以后，应当宣布发出的中标通知书无效，并收回发出的中标通知书（中标人也应当缴回），依法重新确定中标人或者重新开展招标活动。</w:t>
      </w:r>
    </w:p>
    <w:p w14:paraId="1F2D5F63">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19" w:name="_Toc217446064"/>
      <w:bookmarkStart w:id="120" w:name="_Toc183682377"/>
      <w:bookmarkStart w:id="121" w:name="_Toc183582240"/>
      <w:r>
        <w:rPr>
          <w:rFonts w:hint="eastAsia" w:ascii="宋体" w:hAnsi="宋体" w:eastAsia="宋体" w:cs="宋体"/>
          <w:color w:val="auto"/>
          <w:sz w:val="24"/>
          <w:szCs w:val="24"/>
          <w:highlight w:val="none"/>
        </w:rPr>
        <w:t>六、签订及履行合同和验收</w:t>
      </w:r>
      <w:bookmarkEnd w:id="119"/>
    </w:p>
    <w:p w14:paraId="18DB3B37">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2" w:name="_Toc217446065"/>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签订合同</w:t>
      </w:r>
      <w:bookmarkEnd w:id="122"/>
    </w:p>
    <w:p w14:paraId="488BE11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中标人在收到</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发出的《中标通知书》后，应在法律法规规定的时间内与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签订采购合同。由于中标人的原因逾期未与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签订采购合同的，将视为放弃中标，取消其中标资格并将按相关规定进行处理。</w:t>
      </w:r>
    </w:p>
    <w:p w14:paraId="60FFD11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不得向中标人提出任何不合理的要求，作为签订合同的条件，不得与中标人私下订立背离合同实质性内容的任何协议，所签订的合同不得对招标文件和投标文件作实质性修改。</w:t>
      </w:r>
    </w:p>
    <w:p w14:paraId="215FBAD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拒绝与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签订合同的，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可以按照评审报告推荐的中标候选人名单排序，确定下一候选人为中标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，也可以重新开展政府采购活动。</w:t>
      </w:r>
    </w:p>
    <w:p w14:paraId="675803E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 中标人在合同签订之后三个工作日内，将签订的合同（彩色扫描件）交至</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w:t>
      </w:r>
    </w:p>
    <w:p w14:paraId="1B09FFD4">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3" w:name="_Toc217446066"/>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合同分包</w:t>
      </w:r>
      <w:bookmarkEnd w:id="123"/>
      <w:r>
        <w:rPr>
          <w:rFonts w:hint="eastAsia" w:ascii="宋体" w:hAnsi="宋体" w:eastAsia="宋体" w:cs="宋体"/>
          <w:b/>
          <w:bCs/>
          <w:color w:val="auto"/>
          <w:sz w:val="24"/>
          <w:szCs w:val="24"/>
          <w:highlight w:val="none"/>
        </w:rPr>
        <w:t>（如有）</w:t>
      </w:r>
    </w:p>
    <w:p w14:paraId="7E74977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若本项目允许分包的，经</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同意，中标人可以依法采取分包方式履行合同。这种要求应当在合同签订之前征得</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同意，并且分包人履行分包项目的服务及技术要求等，必须与中标的一致。</w:t>
      </w:r>
    </w:p>
    <w:p w14:paraId="471A5021">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招标合同实行分包履行的，中标人就招标项目和分包项目向</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负责，分包人就分包项目承担责任。</w:t>
      </w:r>
    </w:p>
    <w:p w14:paraId="6181BFDA">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4" w:name="_Toc217446067"/>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eastAsia="zh-CN"/>
        </w:rPr>
        <w:t>招标人</w:t>
      </w:r>
      <w:r>
        <w:rPr>
          <w:rFonts w:hint="eastAsia" w:ascii="宋体" w:hAnsi="宋体" w:eastAsia="宋体" w:cs="宋体"/>
          <w:b/>
          <w:bCs/>
          <w:color w:val="auto"/>
          <w:sz w:val="24"/>
          <w:szCs w:val="24"/>
          <w:highlight w:val="none"/>
        </w:rPr>
        <w:t>增加合同标的权</w:t>
      </w:r>
      <w:bookmarkEnd w:id="124"/>
      <w:r>
        <w:rPr>
          <w:rFonts w:hint="eastAsia" w:ascii="宋体" w:hAnsi="宋体" w:eastAsia="宋体" w:cs="宋体"/>
          <w:b/>
          <w:bCs/>
          <w:color w:val="auto"/>
          <w:sz w:val="24"/>
          <w:szCs w:val="24"/>
          <w:highlight w:val="none"/>
        </w:rPr>
        <w:t>利</w:t>
      </w:r>
    </w:p>
    <w:p w14:paraId="3D8BB4F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招标合同履行过程中，</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需要追加与合同标的相同的货物或者服务的，在不改变合同其他条款的前提下，可以与中标投标人协商签订补充合同，但所有补充合同的招标金额不得超过原合同招标金额的百分之十。</w:t>
      </w:r>
    </w:p>
    <w:p w14:paraId="2F8BAFCC">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5" w:name="_Toc217446068"/>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履约保证金</w:t>
      </w:r>
      <w:bookmarkEnd w:id="125"/>
    </w:p>
    <w:p w14:paraId="084FC65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人应在合同签订之前缴纳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文件规定数额的履约保证金。</w:t>
      </w:r>
    </w:p>
    <w:p w14:paraId="45D1A17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27.2 如果</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人在规定的合同签订时间内，没有按照</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文件的规定缴纳履约保证金，且又无正当理由的，将视为放弃</w:t>
      </w:r>
      <w:r>
        <w:rPr>
          <w:rFonts w:hint="eastAsia" w:ascii="宋体" w:hAnsi="宋体" w:eastAsia="宋体" w:cs="宋体"/>
          <w:color w:val="auto"/>
          <w:sz w:val="24"/>
          <w:szCs w:val="24"/>
          <w:highlight w:val="none"/>
          <w:lang w:val="en-US" w:eastAsia="zh-CN"/>
        </w:rPr>
        <w:t>中标资格</w:t>
      </w:r>
      <w:r>
        <w:rPr>
          <w:rFonts w:hint="eastAsia" w:ascii="宋体" w:hAnsi="宋体" w:eastAsia="宋体" w:cs="宋体"/>
          <w:color w:val="auto"/>
          <w:sz w:val="24"/>
          <w:szCs w:val="24"/>
          <w:highlight w:val="none"/>
        </w:rPr>
        <w:t>，其缴纳的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保证金将不与退还。</w:t>
      </w:r>
    </w:p>
    <w:p w14:paraId="7165A632">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6" w:name="_Toc217446069"/>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履行合同</w:t>
      </w:r>
      <w:bookmarkEnd w:id="126"/>
    </w:p>
    <w:p w14:paraId="1C2669C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中标人与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签订合同后，合同双方应严格执行合同条款，履行合同规定的义务，保证合同的顺利完成。</w:t>
      </w:r>
    </w:p>
    <w:p w14:paraId="068F86D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在合同履行过程中，如发生合同纠纷，合同双方应按照《中华人民共和国民法典》的有关规定进行处理。</w:t>
      </w:r>
    </w:p>
    <w:p w14:paraId="14E8CA3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7" w:name="_Toc217446070"/>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验收</w:t>
      </w:r>
      <w:bookmarkEnd w:id="127"/>
    </w:p>
    <w:p w14:paraId="39A553EC">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bookmarkStart w:id="128" w:name="_Toc217446071"/>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应严格按照国家财政部《关于进一步加强政府采购需求和履约验收管理的指导意见》（</w:t>
      </w:r>
      <w:r>
        <w:rPr>
          <w:rFonts w:hint="eastAsia" w:ascii="宋体" w:hAnsi="宋体" w:eastAsia="宋体" w:cs="宋体"/>
          <w:color w:val="auto"/>
          <w:sz w:val="24"/>
          <w:szCs w:val="24"/>
          <w:highlight w:val="none"/>
          <w:shd w:val="clear" w:color="auto" w:fill="FFFFFF"/>
        </w:rPr>
        <w:t>财库〔2016〕205号</w:t>
      </w:r>
      <w:r>
        <w:rPr>
          <w:rFonts w:hint="eastAsia" w:ascii="宋体" w:hAnsi="宋体" w:eastAsia="宋体" w:cs="宋体"/>
          <w:color w:val="auto"/>
          <w:sz w:val="24"/>
          <w:szCs w:val="24"/>
          <w:highlight w:val="none"/>
        </w:rPr>
        <w:t>）的要求</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color="auto" w:fill="FFFFFF"/>
        </w:rPr>
        <w:t>根据采购项目的具体情况，自行组织项目验收或者委托</w:t>
      </w:r>
      <w:r>
        <w:rPr>
          <w:rFonts w:hint="eastAsia" w:ascii="宋体" w:hAnsi="宋体" w:cs="宋体"/>
          <w:i w:val="0"/>
          <w:iCs w:val="0"/>
          <w:caps w:val="0"/>
          <w:color w:val="auto"/>
          <w:spacing w:val="0"/>
          <w:sz w:val="24"/>
          <w:szCs w:val="24"/>
          <w:highlight w:val="none"/>
          <w:shd w:val="clear" w:color="auto" w:fill="FFFFFF"/>
          <w:lang w:eastAsia="zh-CN"/>
        </w:rPr>
        <w:t>招标代理机构</w:t>
      </w:r>
      <w:r>
        <w:rPr>
          <w:rFonts w:hint="eastAsia" w:ascii="宋体" w:hAnsi="宋体" w:eastAsia="宋体" w:cs="宋体"/>
          <w:i w:val="0"/>
          <w:iCs w:val="0"/>
          <w:caps w:val="0"/>
          <w:color w:val="auto"/>
          <w:spacing w:val="0"/>
          <w:sz w:val="24"/>
          <w:szCs w:val="24"/>
          <w:highlight w:val="none"/>
          <w:shd w:val="clear" w:color="auto" w:fill="FFFFFF"/>
        </w:rPr>
        <w:t>邀请实际使用人</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参加本项目的其他</w:t>
      </w:r>
      <w:r>
        <w:rPr>
          <w:rFonts w:hint="eastAsia" w:ascii="宋体" w:hAnsi="宋体" w:eastAsia="宋体" w:cs="宋体"/>
          <w:i w:val="0"/>
          <w:iCs w:val="0"/>
          <w:caps w:val="0"/>
          <w:color w:val="auto"/>
          <w:spacing w:val="0"/>
          <w:sz w:val="24"/>
          <w:szCs w:val="24"/>
          <w:highlight w:val="none"/>
          <w:shd w:val="clear" w:color="auto" w:fill="FFFFFF"/>
          <w:lang w:eastAsia="zh-CN"/>
        </w:rPr>
        <w:t>投标人</w:t>
      </w:r>
      <w:r>
        <w:rPr>
          <w:rFonts w:hint="eastAsia" w:ascii="宋体" w:hAnsi="宋体" w:eastAsia="宋体" w:cs="宋体"/>
          <w:i w:val="0"/>
          <w:iCs w:val="0"/>
          <w:caps w:val="0"/>
          <w:color w:val="auto"/>
          <w:spacing w:val="0"/>
          <w:sz w:val="24"/>
          <w:szCs w:val="24"/>
          <w:highlight w:val="none"/>
          <w:shd w:val="clear" w:color="auto" w:fill="FFFFFF"/>
        </w:rPr>
        <w:t>或第</w:t>
      </w:r>
      <w:r>
        <w:rPr>
          <w:rFonts w:hint="eastAsia" w:ascii="宋体" w:hAnsi="宋体" w:eastAsia="宋体" w:cs="宋体"/>
          <w:i w:val="0"/>
          <w:iCs w:val="0"/>
          <w:caps w:val="0"/>
          <w:color w:val="auto"/>
          <w:spacing w:val="0"/>
          <w:sz w:val="24"/>
          <w:szCs w:val="24"/>
          <w:highlight w:val="none"/>
          <w:shd w:val="clear" w:color="auto" w:fill="FFFFFF"/>
          <w:lang w:eastAsia="zh-CN"/>
        </w:rPr>
        <w:t>双方</w:t>
      </w:r>
      <w:r>
        <w:rPr>
          <w:rFonts w:hint="eastAsia" w:ascii="宋体" w:hAnsi="宋体" w:eastAsia="宋体" w:cs="宋体"/>
          <w:i w:val="0"/>
          <w:iCs w:val="0"/>
          <w:caps w:val="0"/>
          <w:color w:val="auto"/>
          <w:spacing w:val="0"/>
          <w:sz w:val="24"/>
          <w:szCs w:val="24"/>
          <w:highlight w:val="none"/>
          <w:shd w:val="clear" w:color="auto" w:fill="FFFFFF"/>
        </w:rPr>
        <w:t>专业机构及专家</w:t>
      </w:r>
      <w:r>
        <w:rPr>
          <w:rFonts w:hint="eastAsia" w:ascii="宋体" w:hAnsi="宋体" w:eastAsia="宋体" w:cs="宋体"/>
          <w:color w:val="auto"/>
          <w:sz w:val="24"/>
          <w:szCs w:val="24"/>
          <w:highlight w:val="none"/>
        </w:rPr>
        <w:t>进行验收。</w:t>
      </w:r>
    </w:p>
    <w:bookmarkEnd w:id="120"/>
    <w:bookmarkEnd w:id="121"/>
    <w:bookmarkEnd w:id="128"/>
    <w:p w14:paraId="5BD911B6">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29" w:name="_Toc217446074"/>
      <w:bookmarkStart w:id="130" w:name="_Toc183682380"/>
      <w:bookmarkStart w:id="131" w:name="_Toc183582243"/>
      <w:r>
        <w:rPr>
          <w:rFonts w:hint="eastAsia" w:ascii="宋体" w:hAnsi="宋体" w:eastAsia="宋体" w:cs="宋体"/>
          <w:color w:val="auto"/>
          <w:sz w:val="24"/>
          <w:szCs w:val="24"/>
          <w:highlight w:val="none"/>
        </w:rPr>
        <w:t>七、投标纪律要求</w:t>
      </w:r>
      <w:bookmarkEnd w:id="129"/>
    </w:p>
    <w:p w14:paraId="17638E4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32" w:name="_Toc217446075"/>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 投标人不得具有的情形</w:t>
      </w:r>
      <w:bookmarkEnd w:id="132"/>
    </w:p>
    <w:p w14:paraId="2566B05B">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投标人参加投标不得有下列情形：</w:t>
      </w:r>
    </w:p>
    <w:p w14:paraId="0B3B233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w:t>
      </w:r>
    </w:p>
    <w:p w14:paraId="7CA7772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（2）采取不正当手段诋毁、排挤其他投标人；</w:t>
      </w:r>
    </w:p>
    <w:p w14:paraId="73C9E41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、其他投标人恶意串通；</w:t>
      </w:r>
    </w:p>
    <w:p w14:paraId="47FDFBF7">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、评标委员会成员行贿或者提供其他不正当利益；</w:t>
      </w:r>
    </w:p>
    <w:p w14:paraId="25478A28">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（5）在招标过程中与</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进行协商谈判；</w:t>
      </w:r>
    </w:p>
    <w:p w14:paraId="426F8AA8">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（6）拒绝有关部门的监督检查或者向监督检查部门提供虚假情况。</w:t>
      </w:r>
    </w:p>
    <w:p w14:paraId="61D6E484">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有上述情形之一的投标人，属于不合格投标人，其投标或中标资格将被取消。</w:t>
      </w:r>
    </w:p>
    <w:p w14:paraId="439C532F">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 w:val="0"/>
          <w:bCs w:val="0"/>
          <w:color w:val="auto"/>
          <w:sz w:val="24"/>
          <w:szCs w:val="24"/>
          <w:highlight w:val="none"/>
        </w:rPr>
      </w:pPr>
      <w:bookmarkStart w:id="133" w:name="_Toc217446076"/>
      <w:r>
        <w:rPr>
          <w:rFonts w:hint="eastAsia" w:ascii="宋体" w:hAnsi="宋体" w:eastAsia="宋体" w:cs="宋体"/>
          <w:color w:val="auto"/>
          <w:sz w:val="24"/>
          <w:szCs w:val="24"/>
          <w:highlight w:val="none"/>
        </w:rPr>
        <w:t>八、</w:t>
      </w:r>
      <w:bookmarkEnd w:id="133"/>
      <w:r>
        <w:rPr>
          <w:rFonts w:hint="eastAsia" w:ascii="宋体" w:hAnsi="宋体" w:eastAsia="宋体" w:cs="宋体"/>
          <w:color w:val="auto"/>
          <w:sz w:val="24"/>
          <w:szCs w:val="24"/>
          <w:highlight w:val="none"/>
        </w:rPr>
        <w:t>合同价款支付</w:t>
      </w:r>
    </w:p>
    <w:p w14:paraId="1B11EE99">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34" w:name="_Toc217446077"/>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 申请支付</w:t>
      </w:r>
      <w:bookmarkEnd w:id="134"/>
    </w:p>
    <w:p w14:paraId="349069C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35" w:name="_Toc217446078"/>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应当按照政府采购合同规定，及时向中标</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支付采购资金。</w:t>
      </w:r>
    </w:p>
    <w:p w14:paraId="1411C7F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政府采购项目资金支付程序，按照国家有关财政资金支付管理的规定执行。</w:t>
      </w:r>
    </w:p>
    <w:p w14:paraId="0C1AD61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p>
    <w:p w14:paraId="4D5966EC">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九、质疑和投诉</w:t>
      </w:r>
      <w:bookmarkEnd w:id="135"/>
      <w:bookmarkStart w:id="136" w:name="_Toc217446079"/>
    </w:p>
    <w:p w14:paraId="3B42D1C1">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136"/>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．质疑、投诉的接收和处理严格按照《中华人共和国政府采购法</w:t>
      </w:r>
      <w:bookmarkEnd w:id="130"/>
      <w:bookmarkEnd w:id="131"/>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政府采购质疑和投诉办法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财政部关于加强政府采购投标人投诉受理审查工作的通知》的规定办理。</w:t>
      </w:r>
    </w:p>
    <w:p w14:paraId="25B72E83">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.1投标人认为招标文件、采购过程和中标、成交结果使自己的权益受到损害的，可以在知道或者应知其权益受到损害之日起七个工作日内，以书面形式向</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提出质疑。针对同一采购环节的质疑应一次性提出，提出质疑的投标人应当是参与所质疑项目招标活动的投标人。</w:t>
      </w:r>
    </w:p>
    <w:p w14:paraId="6B4C8227">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.2潜在投标人已依法获取其可质疑的招标文件的，可以对该文件提出质疑。对招标文件提出质疑的，应当在获取招标文件或者招标文件公告期限届满之日起7个工作日内提出。</w:t>
      </w:r>
    </w:p>
    <w:p w14:paraId="3902A5ED">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70E3169">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代理人提出质疑和投诉，应当提交投标人签署的授权委托书。</w:t>
      </w:r>
    </w:p>
    <w:p w14:paraId="45D513F0">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.4投标人提出质疑应当提交质疑函和必要的证明材料。质疑函应当包括下列内容：</w:t>
      </w:r>
    </w:p>
    <w:p w14:paraId="678CEAEE">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（一）投标人的姓名或者名称、地址、邮编、联系人及联系电话；</w:t>
      </w:r>
    </w:p>
    <w:p w14:paraId="2414C1FD">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2059E808">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17FDBB53">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48B0B0D8">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21B05CDB">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56E11B94">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投标人为自然人的，应当由本人签字；投标人为法人或者其他组织的，应当由法定代表人、主要负责人或者其被授权人签字或盖章，并加盖公章。</w:t>
      </w:r>
    </w:p>
    <w:p w14:paraId="608CD4C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接收质疑函的方式：书面形式</w:t>
      </w:r>
    </w:p>
    <w:p w14:paraId="614B465F">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w:t>
      </w:r>
      <w:r>
        <w:rPr>
          <w:rFonts w:hint="eastAsia" w:ascii="宋体" w:hAnsi="宋体" w:eastAsia="宋体" w:cs="宋体"/>
          <w:i w:val="0"/>
          <w:iCs w:val="0"/>
          <w:color w:val="auto"/>
          <w:sz w:val="24"/>
          <w:szCs w:val="24"/>
          <w:highlight w:val="none"/>
          <w:lang w:val="en-US" w:eastAsia="zh-CN"/>
        </w:rPr>
        <w:t>陕西方得项目管理有限公司</w:t>
      </w:r>
    </w:p>
    <w:p w14:paraId="3572D24F">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联系人及联系电话：</w:t>
      </w:r>
      <w:r>
        <w:rPr>
          <w:rFonts w:hint="eastAsia" w:ascii="宋体" w:hAnsi="宋体" w:cs="宋体"/>
          <w:i w:val="0"/>
          <w:iCs w:val="0"/>
          <w:color w:val="auto"/>
          <w:sz w:val="24"/>
          <w:szCs w:val="24"/>
          <w:highlight w:val="none"/>
          <w:lang w:val="en-US" w:eastAsia="zh-CN"/>
        </w:rPr>
        <w:t>马平利、白云昭、王浩，15699133769、0991-7503007</w:t>
      </w:r>
    </w:p>
    <w:p w14:paraId="54888FC3">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lang w:val="en-US" w:eastAsia="zh-CN"/>
        </w:rPr>
        <w:t>邮箱：623905188@qq.com</w:t>
      </w:r>
    </w:p>
    <w:p w14:paraId="254CCD92">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i w:val="0"/>
          <w:iCs w:val="0"/>
          <w:color w:val="auto"/>
          <w:sz w:val="24"/>
          <w:szCs w:val="24"/>
          <w:highlight w:val="none"/>
          <w:lang w:val="en-US" w:eastAsia="zh-CN"/>
        </w:rPr>
        <w:t>新疆乌鲁木齐市水磨沟区恒大绿洲二期10-2-1905室</w:t>
      </w:r>
    </w:p>
    <w:p w14:paraId="3B0C7C64">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.5质疑投标人对</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的答复不满意，或者</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未在规定时间内作出答复的，可以在答复期满后15个工作日内向本办法第六条规定的财政部门提起投诉。</w:t>
      </w:r>
    </w:p>
    <w:p w14:paraId="5F7A16D7">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.6投诉人投诉时，应当提交投诉书和必要的证明材料，并按照被投诉</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（以下简称被投诉人）和与投诉事项有关的投标人数量提供投诉书的副本。投诉书应当包括下列内容：</w:t>
      </w:r>
    </w:p>
    <w:p w14:paraId="0BBBDA79">
      <w:pPr>
        <w:pStyle w:val="15"/>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（一）投诉人和被投诉人的姓名或者名称、通讯地址、邮编、联系人及联系电话；</w:t>
      </w:r>
    </w:p>
    <w:p w14:paraId="53E52346">
      <w:pPr>
        <w:pStyle w:val="15"/>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（二）质疑和质疑答复情况说明及相关证明材料；</w:t>
      </w:r>
    </w:p>
    <w:p w14:paraId="3B8951FE">
      <w:pPr>
        <w:pStyle w:val="15"/>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（三）具体、明确的投诉事项和与投诉事项相关的投诉请求；</w:t>
      </w:r>
    </w:p>
    <w:p w14:paraId="73A5336D">
      <w:pPr>
        <w:pStyle w:val="15"/>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79D58B08">
      <w:pPr>
        <w:pStyle w:val="15"/>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40B2E373">
      <w:pPr>
        <w:pStyle w:val="15"/>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（六）提起投诉的日期。</w:t>
      </w:r>
    </w:p>
    <w:p w14:paraId="7AADF984">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52146DC2">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.7投诉人应当根据《政府采购质疑和投诉办法》第七条第二款规定的信息内容，并按照其规定的方式提起投诉。</w:t>
      </w:r>
    </w:p>
    <w:p w14:paraId="0970A81D">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投诉人提起投诉应当符合下列条件：</w:t>
      </w:r>
    </w:p>
    <w:p w14:paraId="613E0DEB">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（一）提起投诉前已依法进行质疑；</w:t>
      </w:r>
    </w:p>
    <w:p w14:paraId="3BF7A490">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（二）投诉书内容符合本办法的规定；</w:t>
      </w:r>
    </w:p>
    <w:p w14:paraId="416D6B25">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（三）在投诉有效期限内提起投诉；</w:t>
      </w:r>
    </w:p>
    <w:p w14:paraId="071B3CE9">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（四）同一投诉事项未经财政部门投诉处理；</w:t>
      </w:r>
    </w:p>
    <w:p w14:paraId="6197B27A">
      <w:pPr>
        <w:pStyle w:val="15"/>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（五）财政部规定的其他条件。</w:t>
      </w:r>
    </w:p>
    <w:p w14:paraId="51D60E94">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质疑函范本</w:t>
      </w:r>
    </w:p>
    <w:p w14:paraId="2767F37A">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bCs/>
          <w:color w:val="auto"/>
          <w:sz w:val="24"/>
          <w:szCs w:val="24"/>
          <w:highlight w:val="none"/>
        </w:rPr>
        <w:t>基本信息</w:t>
      </w:r>
    </w:p>
    <w:p w14:paraId="58FA23B0">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dotted"/>
        </w:rPr>
        <w:t xml:space="preserve">                                        </w:t>
      </w:r>
    </w:p>
    <w:p w14:paraId="730C53FF">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076A12E">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560486C">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dotted"/>
        </w:rPr>
        <w:t xml:space="preserve">                                          </w:t>
      </w:r>
    </w:p>
    <w:p w14:paraId="524A28A9">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B222076">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418D79A">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07623C97">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350BF4FE">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34FBAE8">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dotted"/>
        </w:rPr>
        <w:t xml:space="preserve">                                         </w:t>
      </w:r>
    </w:p>
    <w:p w14:paraId="07DC4518">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招标文件获取日期：</w:t>
      </w:r>
      <w:r>
        <w:rPr>
          <w:rFonts w:hint="eastAsia" w:ascii="宋体" w:hAnsi="宋体" w:eastAsia="宋体" w:cs="宋体"/>
          <w:color w:val="auto"/>
          <w:sz w:val="24"/>
          <w:szCs w:val="24"/>
          <w:highlight w:val="none"/>
          <w:u w:val="dotted"/>
        </w:rPr>
        <w:t xml:space="preserve">                                           </w:t>
      </w:r>
    </w:p>
    <w:p w14:paraId="6760155B">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35A9DC04">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0191A372">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80C7A62">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1B4F4856">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2BE416A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B0AD9B8">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F0E49F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46B803C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6973538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08B9957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78174993">
      <w:pPr>
        <w:pageBreakBefore w:val="0"/>
        <w:wordWrap/>
        <w:overflowPunct/>
        <w:topLinePunct w:val="0"/>
        <w:bidi w:val="0"/>
        <w:spacing w:line="560" w:lineRule="exact"/>
        <w:ind w:left="0" w:leftChars="0" w:right="0" w:rightChars="0" w:firstLine="482" w:firstLineChars="200"/>
        <w:jc w:val="center"/>
        <w:rPr>
          <w:rFonts w:hint="eastAsia" w:ascii="宋体" w:hAnsi="宋体" w:eastAsia="宋体" w:cs="宋体"/>
          <w:b/>
          <w:bCs/>
          <w:color w:val="auto"/>
          <w:sz w:val="24"/>
          <w:szCs w:val="24"/>
          <w:highlight w:val="none"/>
        </w:rPr>
      </w:pPr>
    </w:p>
    <w:p w14:paraId="4916D9E6">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53C7F590">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提出质疑时，应提交质疑函和必要的证明材料。</w:t>
      </w:r>
    </w:p>
    <w:p w14:paraId="186DE54A">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若委托代理人进行质疑的，质疑函应按要求列明“被授权人”的有关内容，并在附件中提交由质疑</w:t>
      </w:r>
      <w:r>
        <w:rPr>
          <w:rFonts w:hint="eastAsia" w:ascii="宋体" w:hAnsi="宋体" w:eastAsia="宋体" w:cs="宋体"/>
          <w:color w:val="auto"/>
          <w:kern w:val="0"/>
          <w:sz w:val="24"/>
          <w:szCs w:val="24"/>
          <w:highlight w:val="none"/>
        </w:rPr>
        <w:t>投标人签署的授权委托书。授权委托书应载明代理人的姓名或者名称、代理事项、具体权限、期限和相关事项。</w:t>
      </w:r>
    </w:p>
    <w:p w14:paraId="7D0B6FED">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若对项目的某一分包进行质疑，质疑函中应列明具体分包号。</w:t>
      </w:r>
    </w:p>
    <w:p w14:paraId="4DDF9639">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42BF3985">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5EFED711">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为自然人的，质疑函应由本人签字；质疑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为法人或者其他组织的，质疑函应由法定代表人、主要负责人或者其被授权人签字或者盖章，并加盖公章。</w:t>
      </w:r>
    </w:p>
    <w:p w14:paraId="609360C7">
      <w:pPr>
        <w:pStyle w:val="33"/>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6EEAA023">
      <w:pPr>
        <w:pStyle w:val="33"/>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BBD479D">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p>
    <w:p w14:paraId="1B34C1B8">
      <w:pPr>
        <w:pageBreakBefore w:val="0"/>
        <w:wordWrap/>
        <w:overflowPunct/>
        <w:topLinePunct w:val="0"/>
        <w:bidi w:val="0"/>
        <w:spacing w:line="560" w:lineRule="exact"/>
        <w:ind w:left="0" w:leftChars="0" w:right="0" w:rightChars="0"/>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37" w:name="_Toc5850_WPSOffice_Level1"/>
      <w:bookmarkStart w:id="138" w:name="_Toc1522"/>
      <w:r>
        <w:rPr>
          <w:rFonts w:hint="eastAsia" w:ascii="宋体" w:hAnsi="宋体" w:eastAsia="宋体" w:cs="宋体"/>
          <w:b/>
          <w:bCs/>
          <w:color w:val="auto"/>
          <w:sz w:val="28"/>
          <w:szCs w:val="28"/>
          <w:highlight w:val="none"/>
        </w:rPr>
        <w:t>第三章  投标文件格式</w:t>
      </w:r>
      <w:bookmarkEnd w:id="137"/>
      <w:bookmarkEnd w:id="138"/>
    </w:p>
    <w:p w14:paraId="06B8EF52">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投标文件封面示例</w:t>
      </w:r>
    </w:p>
    <w:p w14:paraId="4E9C3706">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48EFC427">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4"/>
          <w:szCs w:val="24"/>
          <w:highlight w:val="none"/>
        </w:rPr>
      </w:pPr>
    </w:p>
    <w:p w14:paraId="0C2C2F98">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w:t>
      </w:r>
    </w:p>
    <w:p w14:paraId="26E65BBA">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7F4A73F4">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306DD752">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5B852D5D">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56180E4C">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6957B66F">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56B7DE31">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7882C59D">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204F74FF">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项目名称</w:t>
      </w:r>
      <w:r>
        <w:rPr>
          <w:rFonts w:hint="eastAsia" w:ascii="宋体" w:hAnsi="宋体" w:eastAsia="宋体" w:cs="宋体"/>
          <w:b/>
          <w:color w:val="auto"/>
          <w:sz w:val="24"/>
          <w:szCs w:val="24"/>
          <w:highlight w:val="none"/>
          <w:lang w:eastAsia="zh-CN"/>
        </w:rPr>
        <w:t>：</w:t>
      </w:r>
    </w:p>
    <w:p w14:paraId="72EB40A0">
      <w:pPr>
        <w:pageBreakBefore w:val="0"/>
        <w:wordWrap/>
        <w:overflowPunct/>
        <w:topLinePunct w:val="0"/>
        <w:bidi w:val="0"/>
        <w:spacing w:line="560" w:lineRule="exact"/>
        <w:ind w:left="0" w:leftChars="0" w:right="0" w:righ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标项：</w:t>
      </w:r>
    </w:p>
    <w:p w14:paraId="10E6463A">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项目编号：            </w:t>
      </w:r>
    </w:p>
    <w:p w14:paraId="3A7413D1">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投标人名称（盖章）：</w:t>
      </w:r>
    </w:p>
    <w:p w14:paraId="0A950DBD">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被授权人（签字或盖章）：</w:t>
      </w:r>
    </w:p>
    <w:p w14:paraId="3C9350CF">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项目联系人： </w:t>
      </w:r>
    </w:p>
    <w:p w14:paraId="5CAEEE6E">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p w14:paraId="75D2A76B">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时间：</w:t>
      </w:r>
    </w:p>
    <w:p w14:paraId="2CE73A14">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p>
    <w:p w14:paraId="5EA319DF">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39" w:name="_Toc217446082"/>
    </w:p>
    <w:p w14:paraId="3826A465">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14:paraId="1CF419D1">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二、投标报价明细表</w:t>
      </w:r>
    </w:p>
    <w:p w14:paraId="2900A749">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三、身份证明书</w:t>
      </w:r>
    </w:p>
    <w:p w14:paraId="376833B0">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四、授权委托书</w:t>
      </w:r>
    </w:p>
    <w:p w14:paraId="470405C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五、投标人基本情况表</w:t>
      </w:r>
    </w:p>
    <w:p w14:paraId="34111EA2">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项目负责人简介</w:t>
      </w:r>
    </w:p>
    <w:p w14:paraId="7F3DB7F3">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en-US" w:eastAsia="zh-CN"/>
        </w:rPr>
        <w:t>拟配备人员简介</w:t>
      </w:r>
    </w:p>
    <w:p w14:paraId="13D7684B">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八、近年同类项目情况表</w:t>
      </w:r>
    </w:p>
    <w:p w14:paraId="1239FAFC">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九、商务、技术需求偏离表</w:t>
      </w:r>
    </w:p>
    <w:p w14:paraId="1C0A9A0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十、技术方案</w:t>
      </w:r>
    </w:p>
    <w:p w14:paraId="3FF754BC">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十一、政府采购政策</w:t>
      </w:r>
    </w:p>
    <w:p w14:paraId="741D845D">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十二、投标人认为需要提供的资料</w:t>
      </w:r>
    </w:p>
    <w:p w14:paraId="10653D44">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p>
    <w:p w14:paraId="507551F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（备注：投标人应按以上目录顺序编排投标文件，并标注相应页码）。</w:t>
      </w:r>
    </w:p>
    <w:p w14:paraId="5EA4DCBA">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8587E80">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3EACE4A">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1BF6273C">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p w14:paraId="089D685A">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6381B50C">
      <w:pPr>
        <w:pStyle w:val="33"/>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154F086E">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5C545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一、</w:t>
      </w:r>
      <w:bookmarkEnd w:id="139"/>
      <w:r>
        <w:rPr>
          <w:rFonts w:hint="eastAsia" w:ascii="宋体" w:hAnsi="宋体" w:eastAsia="宋体" w:cs="宋体"/>
          <w:b/>
          <w:bCs/>
          <w:color w:val="auto"/>
          <w:sz w:val="24"/>
          <w:szCs w:val="24"/>
          <w:highlight w:val="none"/>
        </w:rPr>
        <w:t>投标函</w:t>
      </w:r>
    </w:p>
    <w:p w14:paraId="6DF0A45A">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0" w:firstLineChars="0"/>
        <w:textAlignment w:val="auto"/>
        <w:rPr>
          <w:rFonts w:hint="eastAsia" w:ascii="宋体" w:hAnsi="宋体" w:eastAsia="宋体" w:cs="宋体"/>
          <w:bCs/>
          <w:color w:val="auto"/>
          <w:sz w:val="24"/>
          <w:szCs w:val="24"/>
          <w:highlight w:val="none"/>
        </w:rPr>
      </w:pPr>
      <w:bookmarkStart w:id="140" w:name="_Toc217446083"/>
      <w:r>
        <w:rPr>
          <w:rFonts w:hint="eastAsia" w:ascii="宋体" w:hAnsi="宋体" w:eastAsia="宋体" w:cs="宋体"/>
          <w:bCs/>
          <w:color w:val="auto"/>
          <w:sz w:val="24"/>
          <w:szCs w:val="24"/>
          <w:highlight w:val="none"/>
        </w:rPr>
        <w:t>__________（</w:t>
      </w:r>
      <w:r>
        <w:rPr>
          <w:rFonts w:hint="eastAsia" w:ascii="宋体" w:hAnsi="宋体" w:cs="宋体"/>
          <w:bCs/>
          <w:color w:val="auto"/>
          <w:sz w:val="24"/>
          <w:szCs w:val="24"/>
          <w:highlight w:val="none"/>
          <w:lang w:eastAsia="zh-CN"/>
        </w:rPr>
        <w:t>招标人</w:t>
      </w:r>
      <w:r>
        <w:rPr>
          <w:rFonts w:hint="eastAsia" w:ascii="宋体" w:hAnsi="宋体" w:eastAsia="宋体" w:cs="宋体"/>
          <w:bCs/>
          <w:color w:val="auto"/>
          <w:sz w:val="24"/>
          <w:szCs w:val="24"/>
          <w:highlight w:val="none"/>
        </w:rPr>
        <w:t>）：</w:t>
      </w:r>
    </w:p>
    <w:p w14:paraId="630A9D74">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我方全面研究了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项目名称、项目编号、标项号</w:t>
      </w:r>
      <w:r>
        <w:rPr>
          <w:rFonts w:hint="eastAsia" w:ascii="宋体" w:hAnsi="宋体" w:eastAsia="宋体" w:cs="宋体"/>
          <w:bCs/>
          <w:color w:val="auto"/>
          <w:sz w:val="24"/>
          <w:szCs w:val="24"/>
          <w:highlight w:val="none"/>
        </w:rPr>
        <w:t>）”项目招标文件，决定参加贵单位组织的本项目投标。我方授权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（姓名、职务）代表我方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（投标人名称）全权处理本项目投标的有关事宜。</w:t>
      </w:r>
    </w:p>
    <w:p w14:paraId="40D47DA2">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1、我方自愿按照招标文件规定的各项要求向</w:t>
      </w:r>
      <w:r>
        <w:rPr>
          <w:rFonts w:hint="eastAsia" w:ascii="宋体" w:hAnsi="宋体" w:cs="宋体"/>
          <w:bCs/>
          <w:color w:val="auto"/>
          <w:sz w:val="24"/>
          <w:szCs w:val="24"/>
          <w:highlight w:val="none"/>
          <w:lang w:eastAsia="zh-CN"/>
        </w:rPr>
        <w:t>招标人</w:t>
      </w:r>
      <w:r>
        <w:rPr>
          <w:rFonts w:hint="eastAsia" w:ascii="宋体" w:hAnsi="宋体" w:eastAsia="宋体" w:cs="宋体"/>
          <w:bCs/>
          <w:color w:val="auto"/>
          <w:sz w:val="24"/>
          <w:szCs w:val="24"/>
          <w:highlight w:val="none"/>
        </w:rPr>
        <w:t>提供所需货物</w:t>
      </w:r>
      <w:r>
        <w:rPr>
          <w:rFonts w:hint="eastAsia" w:ascii="宋体" w:hAnsi="宋体" w:cs="宋体"/>
          <w:bCs/>
          <w:color w:val="auto"/>
          <w:sz w:val="24"/>
          <w:szCs w:val="24"/>
          <w:highlight w:val="none"/>
          <w:lang w:val="en-US" w:eastAsia="zh-CN"/>
        </w:rPr>
        <w:t>及服务</w:t>
      </w:r>
      <w:r>
        <w:rPr>
          <w:rFonts w:hint="eastAsia" w:ascii="宋体" w:hAnsi="宋体" w:eastAsia="宋体" w:cs="宋体"/>
          <w:bCs/>
          <w:color w:val="auto"/>
          <w:sz w:val="24"/>
          <w:szCs w:val="24"/>
          <w:highlight w:val="none"/>
        </w:rPr>
        <w:t>，投标</w:t>
      </w:r>
      <w:r>
        <w:rPr>
          <w:rFonts w:hint="eastAsia" w:ascii="宋体" w:hAnsi="宋体" w:cs="宋体"/>
          <w:bCs/>
          <w:color w:val="auto"/>
          <w:sz w:val="24"/>
          <w:szCs w:val="24"/>
          <w:highlight w:val="none"/>
          <w:lang w:val="en-US" w:eastAsia="zh-CN"/>
        </w:rPr>
        <w:t>报</w:t>
      </w:r>
      <w:r>
        <w:rPr>
          <w:rFonts w:hint="eastAsia" w:ascii="宋体" w:hAnsi="宋体" w:eastAsia="宋体" w:cs="宋体"/>
          <w:bCs/>
          <w:color w:val="auto"/>
          <w:sz w:val="24"/>
          <w:szCs w:val="24"/>
          <w:highlight w:val="none"/>
        </w:rPr>
        <w:t>价为人民币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rPr>
        <w:t>（报价包括所投货物相关人工费、税费、保险费、运输费、装卸费等所有技术和售后服务费用，</w:t>
      </w:r>
      <w:r>
        <w:rPr>
          <w:rFonts w:hint="eastAsia" w:ascii="宋体" w:hAnsi="宋体" w:eastAsia="宋体" w:cs="宋体"/>
          <w:bCs/>
          <w:color w:val="auto"/>
          <w:sz w:val="24"/>
          <w:szCs w:val="24"/>
          <w:highlight w:val="none"/>
          <w:lang w:val="en-US" w:eastAsia="zh-CN"/>
        </w:rPr>
        <w:t>中标</w:t>
      </w:r>
      <w:r>
        <w:rPr>
          <w:rFonts w:hint="eastAsia" w:ascii="宋体" w:hAnsi="宋体" w:eastAsia="宋体" w:cs="宋体"/>
          <w:bCs/>
          <w:color w:val="auto"/>
          <w:sz w:val="24"/>
          <w:szCs w:val="24"/>
          <w:highlight w:val="none"/>
        </w:rPr>
        <w:t>后</w:t>
      </w:r>
      <w:r>
        <w:rPr>
          <w:rFonts w:hint="eastAsia" w:ascii="宋体" w:hAnsi="宋体" w:cs="宋体"/>
          <w:bCs/>
          <w:color w:val="auto"/>
          <w:sz w:val="24"/>
          <w:szCs w:val="24"/>
          <w:highlight w:val="none"/>
          <w:lang w:eastAsia="zh-CN"/>
        </w:rPr>
        <w:t>招标人</w:t>
      </w:r>
      <w:r>
        <w:rPr>
          <w:rFonts w:hint="eastAsia" w:ascii="宋体" w:hAnsi="宋体" w:eastAsia="宋体" w:cs="宋体"/>
          <w:bCs/>
          <w:color w:val="auto"/>
          <w:sz w:val="24"/>
          <w:szCs w:val="24"/>
          <w:highlight w:val="none"/>
        </w:rPr>
        <w:t>不再另行支付</w:t>
      </w:r>
      <w:r>
        <w:rPr>
          <w:rFonts w:hint="eastAsia" w:ascii="宋体" w:hAnsi="宋体" w:eastAsia="宋体" w:cs="宋体"/>
          <w:bCs/>
          <w:color w:val="auto"/>
          <w:sz w:val="24"/>
          <w:szCs w:val="24"/>
          <w:highlight w:val="none"/>
          <w:lang w:val="en-US" w:eastAsia="zh-CN"/>
        </w:rPr>
        <w:t>其它费用</w:t>
      </w:r>
      <w:r>
        <w:rPr>
          <w:rFonts w:hint="eastAsia" w:ascii="宋体" w:hAnsi="宋体" w:eastAsia="宋体" w:cs="宋体"/>
          <w:bCs/>
          <w:color w:val="auto"/>
          <w:sz w:val="24"/>
          <w:szCs w:val="24"/>
          <w:highlight w:val="none"/>
        </w:rPr>
        <w:t>），投标有效期</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F92DCB0">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rPr>
        <w:t>2、一旦我方</w:t>
      </w:r>
      <w:r>
        <w:rPr>
          <w:rFonts w:hint="eastAsia" w:ascii="宋体" w:hAnsi="宋体" w:eastAsia="宋体" w:cs="宋体"/>
          <w:bCs/>
          <w:color w:val="auto"/>
          <w:sz w:val="24"/>
          <w:szCs w:val="24"/>
          <w:highlight w:val="none"/>
          <w:lang w:val="en-US" w:eastAsia="zh-CN"/>
        </w:rPr>
        <w:t>中标</w:t>
      </w:r>
      <w:r>
        <w:rPr>
          <w:rFonts w:hint="eastAsia" w:ascii="宋体" w:hAnsi="宋体" w:eastAsia="宋体" w:cs="宋体"/>
          <w:bCs/>
          <w:color w:val="auto"/>
          <w:sz w:val="24"/>
          <w:szCs w:val="24"/>
          <w:highlight w:val="none"/>
        </w:rPr>
        <w:t>，我方将严格履行合同规定的责任和义务，供货期为：</w:t>
      </w:r>
      <w:r>
        <w:rPr>
          <w:rFonts w:hint="eastAsia" w:ascii="宋体" w:hAnsi="宋体" w:eastAsia="宋体" w:cs="宋体"/>
          <w:bCs/>
          <w:color w:val="auto"/>
          <w:sz w:val="24"/>
          <w:szCs w:val="24"/>
          <w:highlight w:val="none"/>
          <w:u w:val="single"/>
        </w:rPr>
        <w:t>两年（1+1方式），一年一签，首年合同履行到期后，由院方管理部门进行考核，合格后方可续签次年服务合同</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none"/>
          <w:lang w:val="en-US" w:eastAsia="zh-CN"/>
        </w:rPr>
        <w:t>质量标准：</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w:t>
      </w:r>
    </w:p>
    <w:p w14:paraId="198222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3、我方同意按照招标文件的要求，向贵单位缴纳人民币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）的投标保证金，并承诺如发生符合“第二章投标人须知”第15.5条的任何情况时，我方将不要求退还投标保证金。</w:t>
      </w:r>
    </w:p>
    <w:p w14:paraId="373DA9B0">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4、我方提交的投标文件满足招标文件实质性要求。</w:t>
      </w:r>
    </w:p>
    <w:p w14:paraId="453F8DF4">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5、我方愿意提供</w:t>
      </w:r>
      <w:r>
        <w:rPr>
          <w:rFonts w:hint="eastAsia" w:ascii="宋体" w:hAnsi="宋体" w:cs="宋体"/>
          <w:bCs/>
          <w:color w:val="auto"/>
          <w:sz w:val="24"/>
          <w:szCs w:val="24"/>
          <w:highlight w:val="none"/>
          <w:lang w:eastAsia="zh-CN"/>
        </w:rPr>
        <w:t>招标人</w:t>
      </w:r>
      <w:r>
        <w:rPr>
          <w:rFonts w:hint="eastAsia" w:ascii="宋体" w:hAnsi="宋体" w:eastAsia="宋体" w:cs="宋体"/>
          <w:bCs/>
          <w:color w:val="auto"/>
          <w:sz w:val="24"/>
          <w:szCs w:val="24"/>
          <w:highlight w:val="none"/>
        </w:rPr>
        <w:t>可能另外要求的，与投标有关的文件资料，并保证我方已提供和将要提供的文件资料是真实、准确的。</w:t>
      </w:r>
    </w:p>
    <w:p w14:paraId="4205E872">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6、我方完全理解</w:t>
      </w:r>
      <w:r>
        <w:rPr>
          <w:rFonts w:hint="eastAsia" w:ascii="宋体" w:hAnsi="宋体" w:cs="宋体"/>
          <w:bCs/>
          <w:color w:val="auto"/>
          <w:sz w:val="24"/>
          <w:szCs w:val="24"/>
          <w:highlight w:val="none"/>
          <w:lang w:eastAsia="zh-CN"/>
        </w:rPr>
        <w:t>招标人</w:t>
      </w:r>
      <w:r>
        <w:rPr>
          <w:rFonts w:hint="eastAsia" w:ascii="宋体" w:hAnsi="宋体" w:eastAsia="宋体" w:cs="宋体"/>
          <w:bCs/>
          <w:color w:val="auto"/>
          <w:sz w:val="24"/>
          <w:szCs w:val="24"/>
          <w:highlight w:val="none"/>
        </w:rPr>
        <w:t>不一定将合同授予最低报价的投标人。</w:t>
      </w:r>
    </w:p>
    <w:p w14:paraId="4B84643C">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3360" w:firstLineChars="140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投标人名称（盖章）：</w:t>
      </w:r>
    </w:p>
    <w:p w14:paraId="367DA8AE">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授权人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7E3309BD">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3360" w:firstLineChars="140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通讯地址：</w:t>
      </w:r>
    </w:p>
    <w:p w14:paraId="622318FA">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3360" w:firstLineChars="140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2D58F7A4">
      <w:pPr>
        <w:pStyle w:val="1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3360" w:firstLineChars="1400"/>
        <w:jc w:val="righ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期： </w:t>
      </w:r>
    </w:p>
    <w:p w14:paraId="5C2F2B84">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0CC4C1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lang w:eastAsia="zh-CN"/>
        </w:rPr>
        <w:t>报价</w:t>
      </w:r>
      <w:r>
        <w:rPr>
          <w:rFonts w:hint="eastAsia" w:ascii="宋体" w:hAnsi="宋体" w:eastAsia="宋体" w:cs="宋体"/>
          <w:b w:val="0"/>
          <w:bCs w:val="0"/>
          <w:color w:val="auto"/>
          <w:sz w:val="24"/>
          <w:szCs w:val="24"/>
          <w:highlight w:val="none"/>
        </w:rPr>
        <w:t>明细表</w:t>
      </w:r>
    </w:p>
    <w:p w14:paraId="726FC577">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货币单位：人民币元</w:t>
      </w:r>
    </w:p>
    <w:p w14:paraId="03DCEE77">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项目名称、项目编号</w:t>
      </w:r>
      <w:r>
        <w:rPr>
          <w:rFonts w:hint="eastAsia" w:ascii="宋体" w:hAnsi="宋体" w:eastAsia="宋体" w:cs="宋体"/>
          <w:color w:val="auto"/>
          <w:sz w:val="24"/>
          <w:szCs w:val="24"/>
          <w:highlight w:val="none"/>
          <w:lang w:val="en-US" w:eastAsia="zh-CN"/>
        </w:rPr>
        <w:t>：</w:t>
      </w:r>
    </w:p>
    <w:tbl>
      <w:tblPr>
        <w:tblStyle w:val="34"/>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231"/>
        <w:gridCol w:w="1096"/>
        <w:gridCol w:w="1282"/>
        <w:gridCol w:w="1183"/>
        <w:gridCol w:w="1181"/>
        <w:gridCol w:w="746"/>
        <w:gridCol w:w="937"/>
        <w:gridCol w:w="1002"/>
        <w:gridCol w:w="791"/>
      </w:tblGrid>
      <w:tr w14:paraId="1213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36" w:type="pct"/>
            <w:noWrap w:val="0"/>
            <w:vAlign w:val="center"/>
          </w:tcPr>
          <w:p w14:paraId="448BB14D">
            <w:pPr>
              <w:spacing w:line="400" w:lineRule="atLeast"/>
              <w:jc w:val="center"/>
              <w:rPr>
                <w:rFonts w:hint="eastAsia" w:ascii="新宋体" w:hAnsi="新宋体" w:eastAsia="新宋体" w:cs="新宋体"/>
                <w:color w:val="auto"/>
                <w:sz w:val="24"/>
              </w:rPr>
            </w:pPr>
            <w:r>
              <w:rPr>
                <w:rFonts w:hint="eastAsia" w:ascii="新宋体" w:hAnsi="新宋体" w:eastAsia="新宋体" w:cs="新宋体"/>
                <w:color w:val="auto"/>
                <w:sz w:val="24"/>
              </w:rPr>
              <w:t>序号</w:t>
            </w:r>
          </w:p>
        </w:tc>
        <w:tc>
          <w:tcPr>
            <w:tcW w:w="622" w:type="pct"/>
            <w:noWrap w:val="0"/>
            <w:vAlign w:val="center"/>
          </w:tcPr>
          <w:p w14:paraId="0EBE5165">
            <w:pPr>
              <w:spacing w:line="400" w:lineRule="atLeast"/>
              <w:jc w:val="center"/>
              <w:rPr>
                <w:rFonts w:hint="eastAsia" w:ascii="新宋体" w:hAnsi="新宋体" w:eastAsia="新宋体" w:cs="新宋体"/>
                <w:color w:val="auto"/>
                <w:sz w:val="24"/>
              </w:rPr>
            </w:pPr>
            <w:r>
              <w:rPr>
                <w:rFonts w:hint="eastAsia" w:ascii="新宋体" w:hAnsi="新宋体" w:eastAsia="新宋体" w:cs="新宋体"/>
                <w:color w:val="auto"/>
                <w:sz w:val="24"/>
              </w:rPr>
              <w:t>产品名称</w:t>
            </w:r>
          </w:p>
        </w:tc>
        <w:tc>
          <w:tcPr>
            <w:tcW w:w="554" w:type="pct"/>
            <w:noWrap w:val="0"/>
            <w:vAlign w:val="center"/>
          </w:tcPr>
          <w:p w14:paraId="797A4194">
            <w:pPr>
              <w:spacing w:line="400" w:lineRule="atLeast"/>
              <w:jc w:val="center"/>
              <w:rPr>
                <w:rFonts w:hint="eastAsia" w:ascii="新宋体" w:hAnsi="新宋体" w:eastAsia="新宋体" w:cs="新宋体"/>
                <w:color w:val="auto"/>
                <w:sz w:val="24"/>
              </w:rPr>
            </w:pPr>
            <w:r>
              <w:rPr>
                <w:rFonts w:hint="eastAsia" w:ascii="新宋体" w:hAnsi="新宋体" w:eastAsia="新宋体" w:cs="新宋体"/>
                <w:color w:val="auto"/>
                <w:sz w:val="24"/>
              </w:rPr>
              <w:t>规格型号</w:t>
            </w:r>
          </w:p>
        </w:tc>
        <w:tc>
          <w:tcPr>
            <w:tcW w:w="648" w:type="pct"/>
            <w:noWrap w:val="0"/>
            <w:vAlign w:val="center"/>
          </w:tcPr>
          <w:p w14:paraId="09D2EEEF">
            <w:pPr>
              <w:spacing w:line="400" w:lineRule="atLeast"/>
              <w:jc w:val="center"/>
              <w:rPr>
                <w:rFonts w:hint="eastAsia" w:ascii="新宋体" w:hAnsi="新宋体" w:eastAsia="新宋体" w:cs="新宋体"/>
                <w:color w:val="auto"/>
                <w:sz w:val="24"/>
              </w:rPr>
            </w:pPr>
            <w:r>
              <w:rPr>
                <w:rFonts w:hint="eastAsia" w:ascii="新宋体" w:hAnsi="新宋体" w:eastAsia="新宋体" w:cs="新宋体"/>
                <w:color w:val="auto"/>
                <w:sz w:val="24"/>
              </w:rPr>
              <w:t>生产厂家或品牌</w:t>
            </w:r>
          </w:p>
        </w:tc>
        <w:tc>
          <w:tcPr>
            <w:tcW w:w="598" w:type="pct"/>
            <w:noWrap w:val="0"/>
            <w:vAlign w:val="center"/>
          </w:tcPr>
          <w:p w14:paraId="0C1EE84E">
            <w:pPr>
              <w:spacing w:line="400" w:lineRule="atLeast"/>
              <w:jc w:val="center"/>
              <w:rPr>
                <w:rFonts w:hint="eastAsia" w:ascii="新宋体" w:hAnsi="新宋体" w:eastAsia="新宋体" w:cs="新宋体"/>
                <w:color w:val="auto"/>
                <w:sz w:val="24"/>
              </w:rPr>
            </w:pPr>
            <w:r>
              <w:rPr>
                <w:rFonts w:hint="eastAsia" w:ascii="新宋体" w:hAnsi="新宋体" w:eastAsia="新宋体" w:cs="新宋体"/>
                <w:color w:val="auto"/>
                <w:sz w:val="24"/>
              </w:rPr>
              <w:t>产品注册证名称</w:t>
            </w:r>
          </w:p>
        </w:tc>
        <w:tc>
          <w:tcPr>
            <w:tcW w:w="597" w:type="pct"/>
            <w:noWrap w:val="0"/>
            <w:vAlign w:val="center"/>
          </w:tcPr>
          <w:p w14:paraId="742F5E7A">
            <w:pPr>
              <w:spacing w:line="400" w:lineRule="atLeast"/>
              <w:jc w:val="center"/>
              <w:rPr>
                <w:rFonts w:hint="eastAsia" w:ascii="新宋体" w:hAnsi="新宋体" w:eastAsia="新宋体" w:cs="新宋体"/>
                <w:color w:val="auto"/>
                <w:sz w:val="24"/>
              </w:rPr>
            </w:pPr>
            <w:r>
              <w:rPr>
                <w:rFonts w:hint="eastAsia" w:ascii="新宋体" w:hAnsi="新宋体" w:eastAsia="新宋体" w:cs="新宋体"/>
                <w:color w:val="auto"/>
                <w:sz w:val="24"/>
              </w:rPr>
              <w:t>产品注册证号</w:t>
            </w:r>
          </w:p>
        </w:tc>
        <w:tc>
          <w:tcPr>
            <w:tcW w:w="377" w:type="pct"/>
            <w:noWrap w:val="0"/>
            <w:vAlign w:val="center"/>
          </w:tcPr>
          <w:p w14:paraId="65569CC7">
            <w:pPr>
              <w:spacing w:line="400" w:lineRule="atLeast"/>
              <w:jc w:val="center"/>
              <w:rPr>
                <w:rFonts w:hint="eastAsia" w:ascii="新宋体" w:hAnsi="新宋体" w:eastAsia="新宋体" w:cs="新宋体"/>
                <w:color w:val="auto"/>
                <w:sz w:val="24"/>
              </w:rPr>
            </w:pPr>
            <w:r>
              <w:rPr>
                <w:rFonts w:hint="eastAsia" w:ascii="新宋体" w:hAnsi="新宋体" w:eastAsia="新宋体" w:cs="新宋体"/>
                <w:color w:val="auto"/>
                <w:sz w:val="24"/>
              </w:rPr>
              <w:t>单位</w:t>
            </w:r>
          </w:p>
        </w:tc>
        <w:tc>
          <w:tcPr>
            <w:tcW w:w="460" w:type="pct"/>
            <w:noWrap w:val="0"/>
            <w:vAlign w:val="center"/>
          </w:tcPr>
          <w:p w14:paraId="6670A545">
            <w:pPr>
              <w:spacing w:line="400" w:lineRule="atLeast"/>
              <w:jc w:val="center"/>
              <w:rPr>
                <w:rFonts w:hint="eastAsia" w:ascii="新宋体" w:hAnsi="新宋体" w:eastAsia="新宋体" w:cs="新宋体"/>
                <w:color w:val="auto"/>
                <w:sz w:val="24"/>
                <w:lang w:eastAsia="zh-CN"/>
              </w:rPr>
            </w:pPr>
            <w:r>
              <w:rPr>
                <w:rFonts w:hint="eastAsia" w:ascii="新宋体" w:hAnsi="新宋体" w:eastAsia="新宋体" w:cs="新宋体"/>
                <w:color w:val="auto"/>
                <w:sz w:val="24"/>
                <w:highlight w:val="none"/>
              </w:rPr>
              <w:t>含税单价</w:t>
            </w:r>
            <w:r>
              <w:rPr>
                <w:rFonts w:hint="eastAsia" w:ascii="新宋体" w:hAnsi="新宋体" w:eastAsia="新宋体" w:cs="新宋体"/>
                <w:color w:val="auto"/>
                <w:sz w:val="24"/>
                <w:highlight w:val="none"/>
                <w:lang w:eastAsia="zh-CN"/>
              </w:rPr>
              <w:t>（</w:t>
            </w:r>
            <w:r>
              <w:rPr>
                <w:rFonts w:hint="eastAsia" w:ascii="新宋体" w:hAnsi="新宋体" w:eastAsia="新宋体" w:cs="新宋体"/>
                <w:color w:val="auto"/>
                <w:sz w:val="24"/>
                <w:highlight w:val="none"/>
                <w:lang w:val="en-US" w:eastAsia="zh-CN"/>
              </w:rPr>
              <w:t>元</w:t>
            </w:r>
            <w:r>
              <w:rPr>
                <w:rFonts w:hint="eastAsia" w:ascii="新宋体" w:hAnsi="新宋体" w:eastAsia="新宋体" w:cs="新宋体"/>
                <w:color w:val="auto"/>
                <w:sz w:val="24"/>
                <w:highlight w:val="none"/>
                <w:lang w:eastAsia="zh-CN"/>
              </w:rPr>
              <w:t>）</w:t>
            </w:r>
          </w:p>
        </w:tc>
        <w:tc>
          <w:tcPr>
            <w:tcW w:w="506" w:type="pct"/>
            <w:noWrap w:val="0"/>
            <w:vAlign w:val="center"/>
          </w:tcPr>
          <w:p w14:paraId="4D2B6DBE">
            <w:pPr>
              <w:spacing w:line="400" w:lineRule="atLeast"/>
              <w:jc w:val="center"/>
              <w:rPr>
                <w:rFonts w:hint="eastAsia" w:ascii="新宋体" w:hAnsi="新宋体" w:eastAsia="新宋体" w:cs="新宋体"/>
                <w:color w:val="auto"/>
                <w:sz w:val="24"/>
              </w:rPr>
            </w:pPr>
            <w:r>
              <w:rPr>
                <w:rFonts w:hint="eastAsia" w:ascii="新宋体" w:hAnsi="新宋体" w:eastAsia="新宋体" w:cs="新宋体"/>
                <w:color w:val="auto"/>
                <w:sz w:val="24"/>
                <w:highlight w:val="none"/>
              </w:rPr>
              <w:t>包装价</w:t>
            </w:r>
          </w:p>
        </w:tc>
        <w:tc>
          <w:tcPr>
            <w:tcW w:w="396" w:type="pct"/>
            <w:noWrap w:val="0"/>
            <w:vAlign w:val="center"/>
          </w:tcPr>
          <w:p w14:paraId="4B6BB4C2">
            <w:pPr>
              <w:spacing w:line="400" w:lineRule="atLeast"/>
              <w:jc w:val="center"/>
              <w:rPr>
                <w:rFonts w:hint="eastAsia" w:ascii="新宋体" w:hAnsi="新宋体" w:eastAsia="新宋体" w:cs="新宋体"/>
                <w:color w:val="auto"/>
                <w:sz w:val="24"/>
              </w:rPr>
            </w:pPr>
            <w:r>
              <w:rPr>
                <w:rFonts w:hint="eastAsia" w:ascii="新宋体" w:hAnsi="新宋体" w:eastAsia="新宋体" w:cs="新宋体"/>
                <w:color w:val="auto"/>
                <w:sz w:val="24"/>
              </w:rPr>
              <w:t>备注</w:t>
            </w:r>
          </w:p>
        </w:tc>
      </w:tr>
      <w:tr w14:paraId="3A18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36" w:type="pct"/>
            <w:noWrap w:val="0"/>
            <w:vAlign w:val="center"/>
          </w:tcPr>
          <w:p w14:paraId="46501163">
            <w:pPr>
              <w:spacing w:line="400" w:lineRule="atLeast"/>
              <w:jc w:val="center"/>
              <w:rPr>
                <w:rFonts w:hint="eastAsia" w:ascii="新宋体" w:hAnsi="新宋体" w:eastAsia="新宋体" w:cs="新宋体"/>
                <w:color w:val="auto"/>
                <w:sz w:val="24"/>
              </w:rPr>
            </w:pPr>
            <w:r>
              <w:rPr>
                <w:rFonts w:hint="eastAsia" w:ascii="新宋体" w:hAnsi="新宋体" w:eastAsia="新宋体" w:cs="新宋体"/>
                <w:color w:val="auto"/>
                <w:sz w:val="24"/>
              </w:rPr>
              <w:t>1</w:t>
            </w:r>
          </w:p>
        </w:tc>
        <w:tc>
          <w:tcPr>
            <w:tcW w:w="622" w:type="pct"/>
            <w:noWrap w:val="0"/>
            <w:vAlign w:val="center"/>
          </w:tcPr>
          <w:p w14:paraId="66E38E6F">
            <w:pPr>
              <w:spacing w:line="400" w:lineRule="atLeast"/>
              <w:jc w:val="center"/>
              <w:rPr>
                <w:rFonts w:hint="eastAsia" w:ascii="新宋体" w:hAnsi="新宋体" w:eastAsia="新宋体" w:cs="新宋体"/>
                <w:color w:val="auto"/>
                <w:sz w:val="24"/>
              </w:rPr>
            </w:pPr>
          </w:p>
        </w:tc>
        <w:tc>
          <w:tcPr>
            <w:tcW w:w="554" w:type="pct"/>
            <w:noWrap w:val="0"/>
            <w:vAlign w:val="center"/>
          </w:tcPr>
          <w:p w14:paraId="5B39DA09">
            <w:pPr>
              <w:spacing w:line="400" w:lineRule="atLeast"/>
              <w:jc w:val="center"/>
              <w:rPr>
                <w:rFonts w:hint="eastAsia" w:ascii="新宋体" w:hAnsi="新宋体" w:eastAsia="新宋体" w:cs="新宋体"/>
                <w:color w:val="auto"/>
                <w:sz w:val="24"/>
              </w:rPr>
            </w:pPr>
          </w:p>
        </w:tc>
        <w:tc>
          <w:tcPr>
            <w:tcW w:w="648" w:type="pct"/>
            <w:noWrap w:val="0"/>
            <w:vAlign w:val="center"/>
          </w:tcPr>
          <w:p w14:paraId="2BF2B448">
            <w:pPr>
              <w:spacing w:line="400" w:lineRule="atLeast"/>
              <w:jc w:val="center"/>
              <w:rPr>
                <w:rFonts w:hint="eastAsia" w:ascii="新宋体" w:hAnsi="新宋体" w:eastAsia="新宋体" w:cs="新宋体"/>
                <w:color w:val="auto"/>
                <w:sz w:val="24"/>
              </w:rPr>
            </w:pPr>
          </w:p>
        </w:tc>
        <w:tc>
          <w:tcPr>
            <w:tcW w:w="598" w:type="pct"/>
            <w:noWrap w:val="0"/>
            <w:vAlign w:val="center"/>
          </w:tcPr>
          <w:p w14:paraId="29AA0CF1">
            <w:pPr>
              <w:spacing w:line="400" w:lineRule="atLeast"/>
              <w:jc w:val="center"/>
              <w:rPr>
                <w:rFonts w:hint="eastAsia" w:ascii="新宋体" w:hAnsi="新宋体" w:eastAsia="新宋体" w:cs="新宋体"/>
                <w:color w:val="auto"/>
                <w:sz w:val="24"/>
              </w:rPr>
            </w:pPr>
          </w:p>
        </w:tc>
        <w:tc>
          <w:tcPr>
            <w:tcW w:w="597" w:type="pct"/>
            <w:noWrap w:val="0"/>
            <w:vAlign w:val="center"/>
          </w:tcPr>
          <w:p w14:paraId="1CBFB391">
            <w:pPr>
              <w:spacing w:line="400" w:lineRule="atLeast"/>
              <w:jc w:val="center"/>
              <w:rPr>
                <w:rFonts w:hint="eastAsia" w:ascii="新宋体" w:hAnsi="新宋体" w:eastAsia="新宋体" w:cs="新宋体"/>
                <w:color w:val="auto"/>
                <w:sz w:val="24"/>
              </w:rPr>
            </w:pPr>
          </w:p>
        </w:tc>
        <w:tc>
          <w:tcPr>
            <w:tcW w:w="377" w:type="pct"/>
            <w:noWrap w:val="0"/>
            <w:vAlign w:val="center"/>
          </w:tcPr>
          <w:p w14:paraId="312F2686">
            <w:pPr>
              <w:spacing w:line="400" w:lineRule="atLeast"/>
              <w:jc w:val="center"/>
              <w:rPr>
                <w:rFonts w:hint="eastAsia" w:ascii="新宋体" w:hAnsi="新宋体" w:eastAsia="新宋体" w:cs="新宋体"/>
                <w:color w:val="auto"/>
                <w:sz w:val="24"/>
              </w:rPr>
            </w:pPr>
          </w:p>
        </w:tc>
        <w:tc>
          <w:tcPr>
            <w:tcW w:w="460" w:type="pct"/>
            <w:noWrap w:val="0"/>
            <w:vAlign w:val="center"/>
          </w:tcPr>
          <w:p w14:paraId="17D09ED7">
            <w:pPr>
              <w:spacing w:line="400" w:lineRule="atLeast"/>
              <w:jc w:val="center"/>
              <w:rPr>
                <w:rFonts w:hint="eastAsia" w:ascii="新宋体" w:hAnsi="新宋体" w:eastAsia="新宋体" w:cs="新宋体"/>
                <w:color w:val="auto"/>
                <w:sz w:val="24"/>
              </w:rPr>
            </w:pPr>
          </w:p>
        </w:tc>
        <w:tc>
          <w:tcPr>
            <w:tcW w:w="506" w:type="pct"/>
            <w:noWrap w:val="0"/>
            <w:vAlign w:val="center"/>
          </w:tcPr>
          <w:p w14:paraId="7B15BC73">
            <w:pPr>
              <w:spacing w:line="400" w:lineRule="atLeast"/>
              <w:jc w:val="center"/>
              <w:rPr>
                <w:rFonts w:hint="eastAsia" w:ascii="新宋体" w:hAnsi="新宋体" w:eastAsia="新宋体" w:cs="新宋体"/>
                <w:color w:val="auto"/>
                <w:sz w:val="24"/>
              </w:rPr>
            </w:pPr>
          </w:p>
        </w:tc>
        <w:tc>
          <w:tcPr>
            <w:tcW w:w="396" w:type="pct"/>
            <w:noWrap w:val="0"/>
            <w:vAlign w:val="center"/>
          </w:tcPr>
          <w:p w14:paraId="27CA810D">
            <w:pPr>
              <w:spacing w:line="400" w:lineRule="atLeast"/>
              <w:jc w:val="center"/>
              <w:rPr>
                <w:rFonts w:hint="eastAsia" w:ascii="新宋体" w:hAnsi="新宋体" w:eastAsia="新宋体" w:cs="新宋体"/>
                <w:color w:val="auto"/>
                <w:sz w:val="24"/>
              </w:rPr>
            </w:pPr>
          </w:p>
        </w:tc>
      </w:tr>
      <w:tr w14:paraId="539E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139282CE">
            <w:pPr>
              <w:spacing w:line="400" w:lineRule="atLeast"/>
              <w:jc w:val="center"/>
              <w:rPr>
                <w:rFonts w:hint="eastAsia" w:ascii="新宋体" w:hAnsi="新宋体" w:eastAsia="新宋体" w:cs="新宋体"/>
                <w:color w:val="auto"/>
                <w:sz w:val="24"/>
              </w:rPr>
            </w:pPr>
            <w:r>
              <w:rPr>
                <w:rFonts w:hint="eastAsia" w:ascii="新宋体" w:hAnsi="新宋体" w:eastAsia="新宋体" w:cs="新宋体"/>
                <w:color w:val="auto"/>
                <w:sz w:val="24"/>
              </w:rPr>
              <w:t>2</w:t>
            </w:r>
          </w:p>
        </w:tc>
        <w:tc>
          <w:tcPr>
            <w:tcW w:w="622" w:type="pct"/>
            <w:noWrap w:val="0"/>
            <w:vAlign w:val="center"/>
          </w:tcPr>
          <w:p w14:paraId="5F0028AE">
            <w:pPr>
              <w:spacing w:line="400" w:lineRule="atLeast"/>
              <w:jc w:val="center"/>
              <w:rPr>
                <w:rFonts w:hint="eastAsia" w:ascii="新宋体" w:hAnsi="新宋体" w:eastAsia="新宋体" w:cs="新宋体"/>
                <w:color w:val="auto"/>
                <w:sz w:val="24"/>
              </w:rPr>
            </w:pPr>
          </w:p>
        </w:tc>
        <w:tc>
          <w:tcPr>
            <w:tcW w:w="554" w:type="pct"/>
            <w:noWrap w:val="0"/>
            <w:vAlign w:val="center"/>
          </w:tcPr>
          <w:p w14:paraId="285B0E9F">
            <w:pPr>
              <w:spacing w:line="400" w:lineRule="atLeast"/>
              <w:jc w:val="center"/>
              <w:rPr>
                <w:rFonts w:hint="eastAsia" w:ascii="新宋体" w:hAnsi="新宋体" w:eastAsia="新宋体" w:cs="新宋体"/>
                <w:color w:val="auto"/>
                <w:sz w:val="24"/>
              </w:rPr>
            </w:pPr>
          </w:p>
        </w:tc>
        <w:tc>
          <w:tcPr>
            <w:tcW w:w="648" w:type="pct"/>
            <w:noWrap w:val="0"/>
            <w:vAlign w:val="center"/>
          </w:tcPr>
          <w:p w14:paraId="3E8D64F0">
            <w:pPr>
              <w:spacing w:line="400" w:lineRule="atLeast"/>
              <w:jc w:val="center"/>
              <w:rPr>
                <w:rFonts w:hint="eastAsia" w:ascii="新宋体" w:hAnsi="新宋体" w:eastAsia="新宋体" w:cs="新宋体"/>
                <w:color w:val="auto"/>
                <w:sz w:val="24"/>
              </w:rPr>
            </w:pPr>
          </w:p>
        </w:tc>
        <w:tc>
          <w:tcPr>
            <w:tcW w:w="598" w:type="pct"/>
            <w:noWrap w:val="0"/>
            <w:vAlign w:val="center"/>
          </w:tcPr>
          <w:p w14:paraId="5E15D2C1">
            <w:pPr>
              <w:spacing w:line="400" w:lineRule="atLeast"/>
              <w:jc w:val="center"/>
              <w:rPr>
                <w:rFonts w:hint="eastAsia" w:ascii="新宋体" w:hAnsi="新宋体" w:eastAsia="新宋体" w:cs="新宋体"/>
                <w:color w:val="auto"/>
                <w:sz w:val="24"/>
              </w:rPr>
            </w:pPr>
          </w:p>
        </w:tc>
        <w:tc>
          <w:tcPr>
            <w:tcW w:w="597" w:type="pct"/>
            <w:noWrap w:val="0"/>
            <w:vAlign w:val="center"/>
          </w:tcPr>
          <w:p w14:paraId="62066399">
            <w:pPr>
              <w:spacing w:line="400" w:lineRule="atLeast"/>
              <w:jc w:val="center"/>
              <w:rPr>
                <w:rFonts w:hint="eastAsia" w:ascii="新宋体" w:hAnsi="新宋体" w:eastAsia="新宋体" w:cs="新宋体"/>
                <w:color w:val="auto"/>
                <w:sz w:val="24"/>
              </w:rPr>
            </w:pPr>
          </w:p>
        </w:tc>
        <w:tc>
          <w:tcPr>
            <w:tcW w:w="377" w:type="pct"/>
            <w:noWrap w:val="0"/>
            <w:vAlign w:val="center"/>
          </w:tcPr>
          <w:p w14:paraId="5AD796E1">
            <w:pPr>
              <w:spacing w:line="400" w:lineRule="atLeast"/>
              <w:jc w:val="center"/>
              <w:rPr>
                <w:rFonts w:hint="eastAsia" w:ascii="新宋体" w:hAnsi="新宋体" w:eastAsia="新宋体" w:cs="新宋体"/>
                <w:color w:val="auto"/>
                <w:sz w:val="24"/>
              </w:rPr>
            </w:pPr>
          </w:p>
        </w:tc>
        <w:tc>
          <w:tcPr>
            <w:tcW w:w="460" w:type="pct"/>
            <w:noWrap w:val="0"/>
            <w:vAlign w:val="center"/>
          </w:tcPr>
          <w:p w14:paraId="2101B5DC">
            <w:pPr>
              <w:spacing w:line="400" w:lineRule="atLeast"/>
              <w:jc w:val="center"/>
              <w:rPr>
                <w:rFonts w:hint="eastAsia" w:ascii="新宋体" w:hAnsi="新宋体" w:eastAsia="新宋体" w:cs="新宋体"/>
                <w:color w:val="auto"/>
                <w:sz w:val="24"/>
              </w:rPr>
            </w:pPr>
          </w:p>
        </w:tc>
        <w:tc>
          <w:tcPr>
            <w:tcW w:w="506" w:type="pct"/>
            <w:noWrap w:val="0"/>
            <w:vAlign w:val="center"/>
          </w:tcPr>
          <w:p w14:paraId="427261B4">
            <w:pPr>
              <w:spacing w:line="400" w:lineRule="atLeast"/>
              <w:jc w:val="center"/>
              <w:rPr>
                <w:rFonts w:hint="eastAsia" w:ascii="新宋体" w:hAnsi="新宋体" w:eastAsia="新宋体" w:cs="新宋体"/>
                <w:color w:val="auto"/>
                <w:sz w:val="24"/>
              </w:rPr>
            </w:pPr>
          </w:p>
        </w:tc>
        <w:tc>
          <w:tcPr>
            <w:tcW w:w="396" w:type="pct"/>
            <w:noWrap w:val="0"/>
            <w:vAlign w:val="center"/>
          </w:tcPr>
          <w:p w14:paraId="55083A16">
            <w:pPr>
              <w:spacing w:line="400" w:lineRule="atLeast"/>
              <w:jc w:val="center"/>
              <w:rPr>
                <w:rFonts w:hint="eastAsia" w:ascii="新宋体" w:hAnsi="新宋体" w:eastAsia="新宋体" w:cs="新宋体"/>
                <w:color w:val="auto"/>
                <w:sz w:val="24"/>
              </w:rPr>
            </w:pPr>
          </w:p>
        </w:tc>
      </w:tr>
      <w:tr w14:paraId="2357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469F2876">
            <w:pPr>
              <w:spacing w:line="400" w:lineRule="atLeast"/>
              <w:jc w:val="center"/>
              <w:rPr>
                <w:rFonts w:hint="eastAsia" w:ascii="新宋体" w:hAnsi="新宋体" w:eastAsia="新宋体" w:cs="新宋体"/>
                <w:color w:val="auto"/>
                <w:sz w:val="24"/>
              </w:rPr>
            </w:pPr>
            <w:r>
              <w:rPr>
                <w:rFonts w:hint="eastAsia" w:ascii="新宋体" w:hAnsi="新宋体" w:eastAsia="新宋体" w:cs="新宋体"/>
                <w:color w:val="auto"/>
                <w:sz w:val="24"/>
              </w:rPr>
              <w:t>3</w:t>
            </w:r>
          </w:p>
        </w:tc>
        <w:tc>
          <w:tcPr>
            <w:tcW w:w="622" w:type="pct"/>
            <w:noWrap w:val="0"/>
            <w:vAlign w:val="center"/>
          </w:tcPr>
          <w:p w14:paraId="56F74ADB">
            <w:pPr>
              <w:spacing w:line="400" w:lineRule="atLeast"/>
              <w:jc w:val="center"/>
              <w:rPr>
                <w:rFonts w:hint="eastAsia" w:ascii="新宋体" w:hAnsi="新宋体" w:eastAsia="新宋体" w:cs="新宋体"/>
                <w:color w:val="auto"/>
                <w:sz w:val="24"/>
              </w:rPr>
            </w:pPr>
          </w:p>
        </w:tc>
        <w:tc>
          <w:tcPr>
            <w:tcW w:w="554" w:type="pct"/>
            <w:noWrap w:val="0"/>
            <w:vAlign w:val="center"/>
          </w:tcPr>
          <w:p w14:paraId="32892463">
            <w:pPr>
              <w:spacing w:line="400" w:lineRule="atLeast"/>
              <w:jc w:val="center"/>
              <w:rPr>
                <w:rFonts w:hint="eastAsia" w:ascii="新宋体" w:hAnsi="新宋体" w:eastAsia="新宋体" w:cs="新宋体"/>
                <w:color w:val="auto"/>
                <w:sz w:val="24"/>
              </w:rPr>
            </w:pPr>
          </w:p>
        </w:tc>
        <w:tc>
          <w:tcPr>
            <w:tcW w:w="648" w:type="pct"/>
            <w:noWrap w:val="0"/>
            <w:vAlign w:val="center"/>
          </w:tcPr>
          <w:p w14:paraId="1C289D64">
            <w:pPr>
              <w:spacing w:line="400" w:lineRule="atLeast"/>
              <w:jc w:val="center"/>
              <w:rPr>
                <w:rFonts w:hint="eastAsia" w:ascii="新宋体" w:hAnsi="新宋体" w:eastAsia="新宋体" w:cs="新宋体"/>
                <w:color w:val="auto"/>
                <w:sz w:val="24"/>
              </w:rPr>
            </w:pPr>
          </w:p>
        </w:tc>
        <w:tc>
          <w:tcPr>
            <w:tcW w:w="598" w:type="pct"/>
            <w:noWrap w:val="0"/>
            <w:vAlign w:val="center"/>
          </w:tcPr>
          <w:p w14:paraId="0AE1C3FF">
            <w:pPr>
              <w:spacing w:line="400" w:lineRule="atLeast"/>
              <w:jc w:val="center"/>
              <w:rPr>
                <w:rFonts w:hint="eastAsia" w:ascii="新宋体" w:hAnsi="新宋体" w:eastAsia="新宋体" w:cs="新宋体"/>
                <w:color w:val="auto"/>
                <w:sz w:val="24"/>
              </w:rPr>
            </w:pPr>
          </w:p>
        </w:tc>
        <w:tc>
          <w:tcPr>
            <w:tcW w:w="597" w:type="pct"/>
            <w:noWrap w:val="0"/>
            <w:vAlign w:val="center"/>
          </w:tcPr>
          <w:p w14:paraId="105B5603">
            <w:pPr>
              <w:spacing w:line="400" w:lineRule="atLeast"/>
              <w:jc w:val="center"/>
              <w:rPr>
                <w:rFonts w:hint="eastAsia" w:ascii="新宋体" w:hAnsi="新宋体" w:eastAsia="新宋体" w:cs="新宋体"/>
                <w:color w:val="auto"/>
                <w:sz w:val="24"/>
              </w:rPr>
            </w:pPr>
          </w:p>
        </w:tc>
        <w:tc>
          <w:tcPr>
            <w:tcW w:w="377" w:type="pct"/>
            <w:noWrap w:val="0"/>
            <w:vAlign w:val="center"/>
          </w:tcPr>
          <w:p w14:paraId="47C56C52">
            <w:pPr>
              <w:spacing w:line="400" w:lineRule="atLeast"/>
              <w:jc w:val="center"/>
              <w:rPr>
                <w:rFonts w:hint="eastAsia" w:ascii="新宋体" w:hAnsi="新宋体" w:eastAsia="新宋体" w:cs="新宋体"/>
                <w:color w:val="auto"/>
                <w:sz w:val="24"/>
              </w:rPr>
            </w:pPr>
          </w:p>
        </w:tc>
        <w:tc>
          <w:tcPr>
            <w:tcW w:w="460" w:type="pct"/>
            <w:noWrap w:val="0"/>
            <w:vAlign w:val="center"/>
          </w:tcPr>
          <w:p w14:paraId="451BF1CA">
            <w:pPr>
              <w:spacing w:line="400" w:lineRule="atLeast"/>
              <w:jc w:val="center"/>
              <w:rPr>
                <w:rFonts w:hint="eastAsia" w:ascii="新宋体" w:hAnsi="新宋体" w:eastAsia="新宋体" w:cs="新宋体"/>
                <w:color w:val="auto"/>
                <w:sz w:val="24"/>
              </w:rPr>
            </w:pPr>
          </w:p>
        </w:tc>
        <w:tc>
          <w:tcPr>
            <w:tcW w:w="506" w:type="pct"/>
            <w:noWrap w:val="0"/>
            <w:vAlign w:val="center"/>
          </w:tcPr>
          <w:p w14:paraId="4E9701E3">
            <w:pPr>
              <w:spacing w:line="400" w:lineRule="atLeast"/>
              <w:jc w:val="center"/>
              <w:rPr>
                <w:rFonts w:hint="eastAsia" w:ascii="新宋体" w:hAnsi="新宋体" w:eastAsia="新宋体" w:cs="新宋体"/>
                <w:color w:val="auto"/>
                <w:sz w:val="24"/>
              </w:rPr>
            </w:pPr>
          </w:p>
        </w:tc>
        <w:tc>
          <w:tcPr>
            <w:tcW w:w="396" w:type="pct"/>
            <w:noWrap w:val="0"/>
            <w:vAlign w:val="center"/>
          </w:tcPr>
          <w:p w14:paraId="4F832208">
            <w:pPr>
              <w:spacing w:line="400" w:lineRule="atLeast"/>
              <w:jc w:val="center"/>
              <w:rPr>
                <w:rFonts w:hint="eastAsia" w:ascii="新宋体" w:hAnsi="新宋体" w:eastAsia="新宋体" w:cs="新宋体"/>
                <w:color w:val="auto"/>
                <w:sz w:val="24"/>
              </w:rPr>
            </w:pPr>
          </w:p>
        </w:tc>
      </w:tr>
      <w:tr w14:paraId="68A0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72BE416E">
            <w:pPr>
              <w:spacing w:line="400" w:lineRule="atLeast"/>
              <w:rPr>
                <w:rFonts w:hint="eastAsia" w:ascii="新宋体" w:hAnsi="新宋体" w:eastAsia="新宋体" w:cs="新宋体"/>
                <w:color w:val="auto"/>
                <w:sz w:val="24"/>
              </w:rPr>
            </w:pPr>
          </w:p>
        </w:tc>
        <w:tc>
          <w:tcPr>
            <w:tcW w:w="622" w:type="pct"/>
            <w:noWrap w:val="0"/>
            <w:vAlign w:val="center"/>
          </w:tcPr>
          <w:p w14:paraId="206A4AB5">
            <w:pPr>
              <w:spacing w:line="400" w:lineRule="atLeast"/>
              <w:jc w:val="center"/>
              <w:rPr>
                <w:rFonts w:hint="eastAsia" w:ascii="新宋体" w:hAnsi="新宋体" w:eastAsia="新宋体" w:cs="新宋体"/>
                <w:color w:val="auto"/>
                <w:sz w:val="24"/>
              </w:rPr>
            </w:pPr>
          </w:p>
        </w:tc>
        <w:tc>
          <w:tcPr>
            <w:tcW w:w="554" w:type="pct"/>
            <w:noWrap w:val="0"/>
            <w:vAlign w:val="center"/>
          </w:tcPr>
          <w:p w14:paraId="6EEC047C">
            <w:pPr>
              <w:spacing w:line="400" w:lineRule="atLeast"/>
              <w:jc w:val="center"/>
              <w:rPr>
                <w:rFonts w:hint="eastAsia" w:ascii="新宋体" w:hAnsi="新宋体" w:eastAsia="新宋体" w:cs="新宋体"/>
                <w:color w:val="auto"/>
                <w:sz w:val="24"/>
              </w:rPr>
            </w:pPr>
          </w:p>
        </w:tc>
        <w:tc>
          <w:tcPr>
            <w:tcW w:w="648" w:type="pct"/>
            <w:noWrap w:val="0"/>
            <w:vAlign w:val="center"/>
          </w:tcPr>
          <w:p w14:paraId="14DF728E">
            <w:pPr>
              <w:spacing w:line="400" w:lineRule="atLeast"/>
              <w:jc w:val="center"/>
              <w:rPr>
                <w:rFonts w:hint="eastAsia" w:ascii="新宋体" w:hAnsi="新宋体" w:eastAsia="新宋体" w:cs="新宋体"/>
                <w:color w:val="auto"/>
                <w:sz w:val="24"/>
              </w:rPr>
            </w:pPr>
          </w:p>
        </w:tc>
        <w:tc>
          <w:tcPr>
            <w:tcW w:w="598" w:type="pct"/>
            <w:noWrap w:val="0"/>
            <w:vAlign w:val="center"/>
          </w:tcPr>
          <w:p w14:paraId="008F6FA8">
            <w:pPr>
              <w:spacing w:line="400" w:lineRule="atLeast"/>
              <w:jc w:val="center"/>
              <w:rPr>
                <w:rFonts w:hint="eastAsia" w:ascii="新宋体" w:hAnsi="新宋体" w:eastAsia="新宋体" w:cs="新宋体"/>
                <w:color w:val="auto"/>
                <w:sz w:val="24"/>
              </w:rPr>
            </w:pPr>
          </w:p>
        </w:tc>
        <w:tc>
          <w:tcPr>
            <w:tcW w:w="597" w:type="pct"/>
            <w:noWrap w:val="0"/>
            <w:vAlign w:val="center"/>
          </w:tcPr>
          <w:p w14:paraId="5C5C41E5">
            <w:pPr>
              <w:spacing w:line="400" w:lineRule="atLeast"/>
              <w:jc w:val="center"/>
              <w:rPr>
                <w:rFonts w:hint="eastAsia" w:ascii="新宋体" w:hAnsi="新宋体" w:eastAsia="新宋体" w:cs="新宋体"/>
                <w:color w:val="auto"/>
                <w:sz w:val="24"/>
              </w:rPr>
            </w:pPr>
          </w:p>
        </w:tc>
        <w:tc>
          <w:tcPr>
            <w:tcW w:w="377" w:type="pct"/>
            <w:noWrap w:val="0"/>
            <w:vAlign w:val="center"/>
          </w:tcPr>
          <w:p w14:paraId="6E135C8A">
            <w:pPr>
              <w:spacing w:line="400" w:lineRule="atLeast"/>
              <w:jc w:val="center"/>
              <w:rPr>
                <w:rFonts w:hint="eastAsia" w:ascii="新宋体" w:hAnsi="新宋体" w:eastAsia="新宋体" w:cs="新宋体"/>
                <w:color w:val="auto"/>
                <w:sz w:val="24"/>
              </w:rPr>
            </w:pPr>
          </w:p>
        </w:tc>
        <w:tc>
          <w:tcPr>
            <w:tcW w:w="460" w:type="pct"/>
            <w:noWrap w:val="0"/>
            <w:vAlign w:val="center"/>
          </w:tcPr>
          <w:p w14:paraId="26A52E4B">
            <w:pPr>
              <w:spacing w:line="400" w:lineRule="atLeast"/>
              <w:jc w:val="center"/>
              <w:rPr>
                <w:rFonts w:hint="eastAsia" w:ascii="新宋体" w:hAnsi="新宋体" w:eastAsia="新宋体" w:cs="新宋体"/>
                <w:color w:val="auto"/>
                <w:sz w:val="24"/>
              </w:rPr>
            </w:pPr>
          </w:p>
        </w:tc>
        <w:tc>
          <w:tcPr>
            <w:tcW w:w="506" w:type="pct"/>
            <w:noWrap w:val="0"/>
            <w:vAlign w:val="center"/>
          </w:tcPr>
          <w:p w14:paraId="41F26CD3">
            <w:pPr>
              <w:spacing w:line="400" w:lineRule="atLeast"/>
              <w:jc w:val="center"/>
              <w:rPr>
                <w:rFonts w:hint="eastAsia" w:ascii="新宋体" w:hAnsi="新宋体" w:eastAsia="新宋体" w:cs="新宋体"/>
                <w:color w:val="auto"/>
                <w:sz w:val="24"/>
              </w:rPr>
            </w:pPr>
          </w:p>
        </w:tc>
        <w:tc>
          <w:tcPr>
            <w:tcW w:w="396" w:type="pct"/>
            <w:noWrap w:val="0"/>
            <w:vAlign w:val="center"/>
          </w:tcPr>
          <w:p w14:paraId="6530B099">
            <w:pPr>
              <w:spacing w:line="400" w:lineRule="atLeast"/>
              <w:jc w:val="center"/>
              <w:rPr>
                <w:rFonts w:hint="eastAsia" w:ascii="新宋体" w:hAnsi="新宋体" w:eastAsia="新宋体" w:cs="新宋体"/>
                <w:color w:val="auto"/>
                <w:sz w:val="24"/>
              </w:rPr>
            </w:pPr>
          </w:p>
        </w:tc>
      </w:tr>
      <w:tr w14:paraId="4710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49FF0D4D">
            <w:pPr>
              <w:spacing w:line="400" w:lineRule="atLeast"/>
              <w:rPr>
                <w:rFonts w:hint="eastAsia" w:ascii="新宋体" w:hAnsi="新宋体" w:eastAsia="新宋体" w:cs="新宋体"/>
                <w:color w:val="auto"/>
                <w:sz w:val="24"/>
              </w:rPr>
            </w:pPr>
          </w:p>
        </w:tc>
        <w:tc>
          <w:tcPr>
            <w:tcW w:w="622" w:type="pct"/>
            <w:noWrap w:val="0"/>
            <w:vAlign w:val="center"/>
          </w:tcPr>
          <w:p w14:paraId="299B55F4">
            <w:pPr>
              <w:spacing w:line="400" w:lineRule="atLeast"/>
              <w:jc w:val="center"/>
              <w:rPr>
                <w:rFonts w:hint="eastAsia" w:ascii="新宋体" w:hAnsi="新宋体" w:eastAsia="新宋体" w:cs="新宋体"/>
                <w:color w:val="auto"/>
                <w:sz w:val="24"/>
              </w:rPr>
            </w:pPr>
          </w:p>
        </w:tc>
        <w:tc>
          <w:tcPr>
            <w:tcW w:w="554" w:type="pct"/>
            <w:noWrap w:val="0"/>
            <w:vAlign w:val="center"/>
          </w:tcPr>
          <w:p w14:paraId="50B8FD5E">
            <w:pPr>
              <w:spacing w:line="400" w:lineRule="atLeast"/>
              <w:jc w:val="center"/>
              <w:rPr>
                <w:rFonts w:hint="eastAsia" w:ascii="新宋体" w:hAnsi="新宋体" w:eastAsia="新宋体" w:cs="新宋体"/>
                <w:color w:val="auto"/>
                <w:sz w:val="24"/>
              </w:rPr>
            </w:pPr>
          </w:p>
        </w:tc>
        <w:tc>
          <w:tcPr>
            <w:tcW w:w="648" w:type="pct"/>
            <w:noWrap w:val="0"/>
            <w:vAlign w:val="center"/>
          </w:tcPr>
          <w:p w14:paraId="72A04BC7">
            <w:pPr>
              <w:spacing w:line="400" w:lineRule="atLeast"/>
              <w:jc w:val="center"/>
              <w:rPr>
                <w:rFonts w:hint="eastAsia" w:ascii="新宋体" w:hAnsi="新宋体" w:eastAsia="新宋体" w:cs="新宋体"/>
                <w:color w:val="auto"/>
                <w:sz w:val="24"/>
              </w:rPr>
            </w:pPr>
          </w:p>
        </w:tc>
        <w:tc>
          <w:tcPr>
            <w:tcW w:w="598" w:type="pct"/>
            <w:noWrap w:val="0"/>
            <w:vAlign w:val="center"/>
          </w:tcPr>
          <w:p w14:paraId="694236A7">
            <w:pPr>
              <w:spacing w:line="400" w:lineRule="atLeast"/>
              <w:jc w:val="center"/>
              <w:rPr>
                <w:rFonts w:hint="eastAsia" w:ascii="新宋体" w:hAnsi="新宋体" w:eastAsia="新宋体" w:cs="新宋体"/>
                <w:color w:val="auto"/>
                <w:sz w:val="24"/>
              </w:rPr>
            </w:pPr>
          </w:p>
        </w:tc>
        <w:tc>
          <w:tcPr>
            <w:tcW w:w="597" w:type="pct"/>
            <w:noWrap w:val="0"/>
            <w:vAlign w:val="center"/>
          </w:tcPr>
          <w:p w14:paraId="5A8DE9B3">
            <w:pPr>
              <w:spacing w:line="400" w:lineRule="atLeast"/>
              <w:jc w:val="center"/>
              <w:rPr>
                <w:rFonts w:hint="eastAsia" w:ascii="新宋体" w:hAnsi="新宋体" w:eastAsia="新宋体" w:cs="新宋体"/>
                <w:color w:val="auto"/>
                <w:sz w:val="24"/>
              </w:rPr>
            </w:pPr>
          </w:p>
        </w:tc>
        <w:tc>
          <w:tcPr>
            <w:tcW w:w="377" w:type="pct"/>
            <w:noWrap w:val="0"/>
            <w:vAlign w:val="center"/>
          </w:tcPr>
          <w:p w14:paraId="63FDA3F1">
            <w:pPr>
              <w:spacing w:line="400" w:lineRule="atLeast"/>
              <w:jc w:val="center"/>
              <w:rPr>
                <w:rFonts w:hint="eastAsia" w:ascii="新宋体" w:hAnsi="新宋体" w:eastAsia="新宋体" w:cs="新宋体"/>
                <w:color w:val="auto"/>
                <w:sz w:val="24"/>
              </w:rPr>
            </w:pPr>
          </w:p>
        </w:tc>
        <w:tc>
          <w:tcPr>
            <w:tcW w:w="460" w:type="pct"/>
            <w:noWrap w:val="0"/>
            <w:vAlign w:val="center"/>
          </w:tcPr>
          <w:p w14:paraId="48460C44">
            <w:pPr>
              <w:spacing w:line="400" w:lineRule="atLeast"/>
              <w:jc w:val="center"/>
              <w:rPr>
                <w:rFonts w:hint="eastAsia" w:ascii="新宋体" w:hAnsi="新宋体" w:eastAsia="新宋体" w:cs="新宋体"/>
                <w:color w:val="auto"/>
                <w:sz w:val="24"/>
              </w:rPr>
            </w:pPr>
          </w:p>
        </w:tc>
        <w:tc>
          <w:tcPr>
            <w:tcW w:w="506" w:type="pct"/>
            <w:noWrap w:val="0"/>
            <w:vAlign w:val="center"/>
          </w:tcPr>
          <w:p w14:paraId="19D5A96B">
            <w:pPr>
              <w:spacing w:line="400" w:lineRule="atLeast"/>
              <w:jc w:val="center"/>
              <w:rPr>
                <w:rFonts w:hint="eastAsia" w:ascii="新宋体" w:hAnsi="新宋体" w:eastAsia="新宋体" w:cs="新宋体"/>
                <w:color w:val="auto"/>
                <w:sz w:val="24"/>
              </w:rPr>
            </w:pPr>
          </w:p>
        </w:tc>
        <w:tc>
          <w:tcPr>
            <w:tcW w:w="396" w:type="pct"/>
            <w:noWrap w:val="0"/>
            <w:vAlign w:val="center"/>
          </w:tcPr>
          <w:p w14:paraId="0E3B9EC1">
            <w:pPr>
              <w:spacing w:line="400" w:lineRule="atLeast"/>
              <w:jc w:val="center"/>
              <w:rPr>
                <w:rFonts w:hint="eastAsia" w:ascii="新宋体" w:hAnsi="新宋体" w:eastAsia="新宋体" w:cs="新宋体"/>
                <w:color w:val="auto"/>
                <w:sz w:val="24"/>
              </w:rPr>
            </w:pPr>
          </w:p>
        </w:tc>
      </w:tr>
      <w:tr w14:paraId="7EFD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36" w:type="pct"/>
            <w:noWrap w:val="0"/>
            <w:vAlign w:val="center"/>
          </w:tcPr>
          <w:p w14:paraId="13DCC9C7">
            <w:pPr>
              <w:spacing w:line="400" w:lineRule="atLeast"/>
              <w:rPr>
                <w:rFonts w:hint="eastAsia" w:ascii="新宋体" w:hAnsi="新宋体" w:eastAsia="新宋体" w:cs="新宋体"/>
                <w:color w:val="auto"/>
                <w:sz w:val="24"/>
              </w:rPr>
            </w:pPr>
          </w:p>
        </w:tc>
        <w:tc>
          <w:tcPr>
            <w:tcW w:w="622" w:type="pct"/>
            <w:noWrap w:val="0"/>
            <w:vAlign w:val="center"/>
          </w:tcPr>
          <w:p w14:paraId="7F2B8001">
            <w:pPr>
              <w:spacing w:line="400" w:lineRule="atLeast"/>
              <w:jc w:val="center"/>
              <w:rPr>
                <w:rFonts w:hint="eastAsia" w:ascii="新宋体" w:hAnsi="新宋体" w:eastAsia="新宋体" w:cs="新宋体"/>
                <w:color w:val="auto"/>
                <w:sz w:val="24"/>
              </w:rPr>
            </w:pPr>
          </w:p>
        </w:tc>
        <w:tc>
          <w:tcPr>
            <w:tcW w:w="554" w:type="pct"/>
            <w:noWrap w:val="0"/>
            <w:vAlign w:val="center"/>
          </w:tcPr>
          <w:p w14:paraId="784B6E79">
            <w:pPr>
              <w:spacing w:line="400" w:lineRule="atLeast"/>
              <w:jc w:val="center"/>
              <w:rPr>
                <w:rFonts w:hint="eastAsia" w:ascii="新宋体" w:hAnsi="新宋体" w:eastAsia="新宋体" w:cs="新宋体"/>
                <w:color w:val="auto"/>
                <w:sz w:val="24"/>
              </w:rPr>
            </w:pPr>
          </w:p>
        </w:tc>
        <w:tc>
          <w:tcPr>
            <w:tcW w:w="648" w:type="pct"/>
            <w:noWrap w:val="0"/>
            <w:vAlign w:val="center"/>
          </w:tcPr>
          <w:p w14:paraId="3DC2D882">
            <w:pPr>
              <w:spacing w:line="400" w:lineRule="atLeast"/>
              <w:jc w:val="center"/>
              <w:rPr>
                <w:rFonts w:hint="eastAsia" w:ascii="新宋体" w:hAnsi="新宋体" w:eastAsia="新宋体" w:cs="新宋体"/>
                <w:color w:val="auto"/>
                <w:sz w:val="24"/>
              </w:rPr>
            </w:pPr>
          </w:p>
        </w:tc>
        <w:tc>
          <w:tcPr>
            <w:tcW w:w="598" w:type="pct"/>
            <w:noWrap w:val="0"/>
            <w:vAlign w:val="center"/>
          </w:tcPr>
          <w:p w14:paraId="465B0281">
            <w:pPr>
              <w:spacing w:line="400" w:lineRule="atLeast"/>
              <w:jc w:val="center"/>
              <w:rPr>
                <w:rFonts w:hint="eastAsia" w:ascii="新宋体" w:hAnsi="新宋体" w:eastAsia="新宋体" w:cs="新宋体"/>
                <w:color w:val="auto"/>
                <w:sz w:val="24"/>
              </w:rPr>
            </w:pPr>
          </w:p>
        </w:tc>
        <w:tc>
          <w:tcPr>
            <w:tcW w:w="597" w:type="pct"/>
            <w:noWrap w:val="0"/>
            <w:vAlign w:val="center"/>
          </w:tcPr>
          <w:p w14:paraId="6E08780A">
            <w:pPr>
              <w:spacing w:line="400" w:lineRule="atLeast"/>
              <w:jc w:val="center"/>
              <w:rPr>
                <w:rFonts w:hint="eastAsia" w:ascii="新宋体" w:hAnsi="新宋体" w:eastAsia="新宋体" w:cs="新宋体"/>
                <w:color w:val="auto"/>
                <w:sz w:val="24"/>
              </w:rPr>
            </w:pPr>
          </w:p>
        </w:tc>
        <w:tc>
          <w:tcPr>
            <w:tcW w:w="377" w:type="pct"/>
            <w:noWrap w:val="0"/>
            <w:vAlign w:val="center"/>
          </w:tcPr>
          <w:p w14:paraId="54BB48F0">
            <w:pPr>
              <w:spacing w:line="400" w:lineRule="atLeast"/>
              <w:jc w:val="center"/>
              <w:rPr>
                <w:rFonts w:hint="eastAsia" w:ascii="新宋体" w:hAnsi="新宋体" w:eastAsia="新宋体" w:cs="新宋体"/>
                <w:color w:val="auto"/>
                <w:sz w:val="24"/>
              </w:rPr>
            </w:pPr>
          </w:p>
        </w:tc>
        <w:tc>
          <w:tcPr>
            <w:tcW w:w="460" w:type="pct"/>
            <w:noWrap w:val="0"/>
            <w:vAlign w:val="center"/>
          </w:tcPr>
          <w:p w14:paraId="15B9616A">
            <w:pPr>
              <w:spacing w:line="400" w:lineRule="atLeast"/>
              <w:jc w:val="center"/>
              <w:rPr>
                <w:rFonts w:hint="eastAsia" w:ascii="新宋体" w:hAnsi="新宋体" w:eastAsia="新宋体" w:cs="新宋体"/>
                <w:color w:val="auto"/>
                <w:sz w:val="24"/>
              </w:rPr>
            </w:pPr>
          </w:p>
        </w:tc>
        <w:tc>
          <w:tcPr>
            <w:tcW w:w="506" w:type="pct"/>
            <w:noWrap w:val="0"/>
            <w:vAlign w:val="center"/>
          </w:tcPr>
          <w:p w14:paraId="65FCE8B7">
            <w:pPr>
              <w:spacing w:line="400" w:lineRule="atLeast"/>
              <w:jc w:val="center"/>
              <w:rPr>
                <w:rFonts w:hint="eastAsia" w:ascii="新宋体" w:hAnsi="新宋体" w:eastAsia="新宋体" w:cs="新宋体"/>
                <w:color w:val="auto"/>
                <w:sz w:val="24"/>
              </w:rPr>
            </w:pPr>
          </w:p>
        </w:tc>
        <w:tc>
          <w:tcPr>
            <w:tcW w:w="396" w:type="pct"/>
            <w:noWrap w:val="0"/>
            <w:vAlign w:val="center"/>
          </w:tcPr>
          <w:p w14:paraId="47F0AFB9">
            <w:pPr>
              <w:spacing w:line="400" w:lineRule="atLeast"/>
              <w:jc w:val="center"/>
              <w:rPr>
                <w:rFonts w:hint="eastAsia" w:ascii="新宋体" w:hAnsi="新宋体" w:eastAsia="新宋体" w:cs="新宋体"/>
                <w:color w:val="auto"/>
                <w:sz w:val="24"/>
              </w:rPr>
            </w:pPr>
          </w:p>
        </w:tc>
      </w:tr>
      <w:tr w14:paraId="50AE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36" w:type="pct"/>
            <w:noWrap w:val="0"/>
            <w:vAlign w:val="center"/>
          </w:tcPr>
          <w:p w14:paraId="5DDBBE90">
            <w:pPr>
              <w:spacing w:line="400" w:lineRule="atLeast"/>
              <w:jc w:val="center"/>
              <w:rPr>
                <w:rFonts w:hint="eastAsia" w:ascii="新宋体" w:hAnsi="新宋体" w:eastAsia="新宋体" w:cs="新宋体"/>
                <w:color w:val="auto"/>
                <w:sz w:val="24"/>
              </w:rPr>
            </w:pPr>
          </w:p>
        </w:tc>
        <w:tc>
          <w:tcPr>
            <w:tcW w:w="622" w:type="pct"/>
            <w:noWrap w:val="0"/>
            <w:vAlign w:val="center"/>
          </w:tcPr>
          <w:p w14:paraId="4707CD3A">
            <w:pPr>
              <w:spacing w:line="400" w:lineRule="atLeast"/>
              <w:jc w:val="center"/>
              <w:rPr>
                <w:rFonts w:hint="eastAsia" w:ascii="新宋体" w:hAnsi="新宋体" w:eastAsia="新宋体" w:cs="新宋体"/>
                <w:color w:val="auto"/>
                <w:sz w:val="24"/>
              </w:rPr>
            </w:pPr>
            <w:r>
              <w:rPr>
                <w:rFonts w:hint="eastAsia" w:ascii="新宋体" w:hAnsi="新宋体" w:eastAsia="新宋体" w:cs="新宋体"/>
                <w:color w:val="auto"/>
                <w:sz w:val="24"/>
                <w:lang w:val="en-US" w:eastAsia="zh-CN"/>
              </w:rPr>
              <w:t>投标报</w:t>
            </w:r>
            <w:r>
              <w:rPr>
                <w:rFonts w:hint="eastAsia" w:ascii="新宋体" w:hAnsi="新宋体" w:eastAsia="新宋体" w:cs="新宋体"/>
                <w:color w:val="auto"/>
                <w:sz w:val="24"/>
              </w:rPr>
              <w:t>价</w:t>
            </w:r>
          </w:p>
        </w:tc>
        <w:tc>
          <w:tcPr>
            <w:tcW w:w="4140" w:type="pct"/>
            <w:gridSpan w:val="8"/>
            <w:noWrap w:val="0"/>
            <w:vAlign w:val="center"/>
          </w:tcPr>
          <w:p w14:paraId="19911EDF">
            <w:pPr>
              <w:spacing w:line="400" w:lineRule="atLeast"/>
              <w:jc w:val="center"/>
              <w:rPr>
                <w:rFonts w:hint="eastAsia" w:ascii="新宋体" w:hAnsi="新宋体" w:eastAsia="新宋体" w:cs="新宋体"/>
                <w:color w:val="auto"/>
                <w:sz w:val="24"/>
                <w:lang w:val="en-US" w:eastAsia="zh-CN"/>
              </w:rPr>
            </w:pPr>
          </w:p>
        </w:tc>
      </w:tr>
    </w:tbl>
    <w:p w14:paraId="4BE8DEF5">
      <w:pPr>
        <w:keepNext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6016FBB">
      <w:pPr>
        <w:keepNext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货物名称</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val="en-US" w:eastAsia="zh-CN"/>
        </w:rPr>
        <w:t>单位</w:t>
      </w:r>
      <w:bookmarkStart w:id="178" w:name="_GoBack"/>
      <w:bookmarkEnd w:id="178"/>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应按照第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项目采购需求</w:t>
      </w:r>
      <w:r>
        <w:rPr>
          <w:rFonts w:hint="eastAsia" w:ascii="宋体" w:hAnsi="宋体" w:eastAsia="宋体" w:cs="宋体"/>
          <w:color w:val="auto"/>
          <w:sz w:val="24"/>
          <w:szCs w:val="24"/>
          <w:highlight w:val="none"/>
        </w:rPr>
        <w:t>”内容填写。</w:t>
      </w:r>
    </w:p>
    <w:p w14:paraId="50A7F647">
      <w:pPr>
        <w:keepNext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2.投标人</w:t>
      </w:r>
      <w:r>
        <w:rPr>
          <w:rFonts w:hint="eastAsia" w:ascii="宋体" w:hAnsi="宋体" w:eastAsia="宋体" w:cs="宋体"/>
          <w:color w:val="auto"/>
          <w:sz w:val="24"/>
          <w:szCs w:val="24"/>
          <w:highlight w:val="none"/>
        </w:rPr>
        <w:t>填报价格合计应与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函</w:t>
      </w:r>
      <w:r>
        <w:rPr>
          <w:rFonts w:hint="eastAsia" w:ascii="宋体" w:hAnsi="宋体" w:eastAsia="宋体" w:cs="宋体"/>
          <w:color w:val="auto"/>
          <w:sz w:val="24"/>
          <w:szCs w:val="24"/>
          <w:highlight w:val="none"/>
        </w:rPr>
        <w:t>载明价格一致，若不一致，</w:t>
      </w:r>
      <w:r>
        <w:rPr>
          <w:rFonts w:hint="eastAsia" w:ascii="宋体" w:hAnsi="宋体" w:eastAsia="宋体" w:cs="宋体"/>
          <w:color w:val="auto"/>
          <w:sz w:val="24"/>
          <w:szCs w:val="24"/>
          <w:highlight w:val="none"/>
          <w:lang w:val="en-US" w:eastAsia="zh-CN"/>
        </w:rPr>
        <w:t>以投标</w:t>
      </w:r>
      <w:r>
        <w:rPr>
          <w:rFonts w:hint="eastAsia" w:ascii="宋体" w:hAnsi="宋体" w:eastAsia="宋体" w:cs="宋体"/>
          <w:color w:val="auto"/>
          <w:sz w:val="24"/>
          <w:szCs w:val="24"/>
          <w:highlight w:val="none"/>
          <w:lang w:eastAsia="zh-CN"/>
        </w:rPr>
        <w:t>函</w:t>
      </w:r>
      <w:r>
        <w:rPr>
          <w:rFonts w:hint="eastAsia" w:ascii="宋体" w:hAnsi="宋体" w:eastAsia="宋体" w:cs="宋体"/>
          <w:color w:val="auto"/>
          <w:sz w:val="24"/>
          <w:szCs w:val="24"/>
          <w:highlight w:val="none"/>
        </w:rPr>
        <w:t>载明价格</w:t>
      </w:r>
      <w:r>
        <w:rPr>
          <w:rFonts w:hint="eastAsia" w:ascii="宋体" w:hAnsi="宋体" w:eastAsia="宋体" w:cs="宋体"/>
          <w:color w:val="auto"/>
          <w:sz w:val="24"/>
          <w:szCs w:val="24"/>
          <w:highlight w:val="none"/>
          <w:lang w:val="en-US" w:eastAsia="zh-CN"/>
        </w:rPr>
        <w:t>为准；</w:t>
      </w:r>
      <w:r>
        <w:rPr>
          <w:rFonts w:hint="eastAsia" w:ascii="宋体" w:hAnsi="宋体" w:eastAsia="宋体" w:cs="宋体"/>
          <w:color w:val="auto"/>
          <w:sz w:val="24"/>
          <w:szCs w:val="24"/>
          <w:highlight w:val="none"/>
        </w:rPr>
        <w:t>以单价金额</w:t>
      </w:r>
      <w:r>
        <w:rPr>
          <w:rFonts w:hint="eastAsia" w:ascii="宋体" w:hAnsi="宋体" w:eastAsia="宋体" w:cs="宋体"/>
          <w:color w:val="auto"/>
          <w:sz w:val="24"/>
          <w:szCs w:val="24"/>
          <w:highlight w:val="none"/>
          <w:lang w:val="en-US" w:eastAsia="zh-CN"/>
        </w:rPr>
        <w:t>计算的金额与总价不一致时，以单价金额</w:t>
      </w:r>
      <w:r>
        <w:rPr>
          <w:rFonts w:hint="eastAsia" w:ascii="宋体" w:hAnsi="宋体" w:eastAsia="宋体" w:cs="宋体"/>
          <w:color w:val="auto"/>
          <w:sz w:val="24"/>
          <w:szCs w:val="24"/>
          <w:highlight w:val="none"/>
        </w:rPr>
        <w:t>为准修正总价，但单价金额小数点有明显错误的除外。</w:t>
      </w:r>
    </w:p>
    <w:p w14:paraId="337077CA">
      <w:pPr>
        <w:keepNext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报价包括所投货物相关</w:t>
      </w:r>
      <w:r>
        <w:rPr>
          <w:rFonts w:hint="eastAsia" w:ascii="宋体" w:hAnsi="宋体" w:eastAsia="宋体" w:cs="宋体"/>
          <w:b w:val="0"/>
          <w:bCs/>
          <w:color w:val="auto"/>
          <w:sz w:val="24"/>
          <w:szCs w:val="24"/>
          <w:highlight w:val="none"/>
        </w:rPr>
        <w:t>人工费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保险费</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税费、保险费、运输费、装卸费等</w:t>
      </w:r>
      <w:r>
        <w:rPr>
          <w:rFonts w:hint="eastAsia" w:ascii="宋体" w:hAnsi="宋体" w:eastAsia="宋体" w:cs="宋体"/>
          <w:b w:val="0"/>
          <w:bCs/>
          <w:color w:val="auto"/>
          <w:sz w:val="24"/>
          <w:szCs w:val="24"/>
          <w:highlight w:val="none"/>
        </w:rPr>
        <w:t>所有技术和</w:t>
      </w:r>
      <w:r>
        <w:rPr>
          <w:rFonts w:hint="eastAsia" w:ascii="宋体" w:hAnsi="宋体" w:eastAsia="宋体" w:cs="宋体"/>
          <w:color w:val="auto"/>
          <w:sz w:val="24"/>
          <w:szCs w:val="24"/>
          <w:highlight w:val="none"/>
        </w:rPr>
        <w:t>售后</w:t>
      </w:r>
      <w:r>
        <w:rPr>
          <w:rFonts w:hint="eastAsia" w:ascii="宋体" w:hAnsi="宋体" w:eastAsia="宋体" w:cs="宋体"/>
          <w:b w:val="0"/>
          <w:bCs/>
          <w:color w:val="auto"/>
          <w:sz w:val="24"/>
          <w:szCs w:val="24"/>
          <w:highlight w:val="none"/>
        </w:rPr>
        <w:t>服务费用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中标</w:t>
      </w:r>
      <w:r>
        <w:rPr>
          <w:rFonts w:hint="eastAsia" w:ascii="宋体" w:hAnsi="宋体" w:eastAsia="宋体" w:cs="宋体"/>
          <w:b w:val="0"/>
          <w:bCs/>
          <w:color w:val="auto"/>
          <w:sz w:val="24"/>
          <w:szCs w:val="24"/>
          <w:highlight w:val="none"/>
          <w:lang w:eastAsia="zh-CN"/>
        </w:rPr>
        <w:t>后</w:t>
      </w:r>
      <w:r>
        <w:rPr>
          <w:rFonts w:hint="eastAsia" w:ascii="宋体" w:hAnsi="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lang w:eastAsia="zh-CN"/>
        </w:rPr>
        <w:t>不再另行支付</w:t>
      </w:r>
      <w:r>
        <w:rPr>
          <w:rFonts w:hint="eastAsia" w:ascii="宋体" w:hAnsi="宋体" w:eastAsia="宋体" w:cs="宋体"/>
          <w:bCs/>
          <w:color w:val="auto"/>
          <w:sz w:val="24"/>
          <w:szCs w:val="24"/>
          <w:highlight w:val="none"/>
          <w:lang w:val="en-US" w:eastAsia="zh-CN"/>
        </w:rPr>
        <w:t>其它费用</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28375266">
      <w:pPr>
        <w:pStyle w:val="15"/>
        <w:keepNext w:val="0"/>
        <w:pageBreakBefore w:val="0"/>
        <w:widowControl w:val="0"/>
        <w:kinsoku/>
        <w:wordWrap/>
        <w:overflowPunct/>
        <w:topLinePunct w:val="0"/>
        <w:autoSpaceDE/>
        <w:autoSpaceDN/>
        <w:bidi w:val="0"/>
        <w:adjustRightInd/>
        <w:snapToGrid/>
        <w:spacing w:after="0" w:line="44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名称（盖章）：</w:t>
      </w:r>
    </w:p>
    <w:p w14:paraId="40B0EEA0">
      <w:pPr>
        <w:pStyle w:val="15"/>
        <w:keepNext w:val="0"/>
        <w:pageBreakBefore w:val="0"/>
        <w:widowControl w:val="0"/>
        <w:kinsoku/>
        <w:wordWrap/>
        <w:overflowPunct/>
        <w:topLinePunct w:val="0"/>
        <w:autoSpaceDE/>
        <w:autoSpaceDN/>
        <w:bidi w:val="0"/>
        <w:adjustRightInd/>
        <w:snapToGrid/>
        <w:spacing w:after="0" w:line="44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授权人或被授权人</w:t>
      </w:r>
      <w:r>
        <w:rPr>
          <w:rFonts w:hint="eastAsia" w:ascii="宋体" w:hAnsi="宋体" w:eastAsia="宋体" w:cs="宋体"/>
          <w:bCs/>
          <w:color w:val="auto"/>
          <w:sz w:val="24"/>
          <w:szCs w:val="24"/>
          <w:highlight w:val="none"/>
        </w:rPr>
        <w:t>（盖章</w:t>
      </w:r>
      <w:r>
        <w:rPr>
          <w:rFonts w:hint="eastAsia" w:ascii="宋体" w:hAnsi="宋体" w:eastAsia="宋体" w:cs="宋体"/>
          <w:bCs/>
          <w:color w:val="auto"/>
          <w:sz w:val="24"/>
          <w:szCs w:val="24"/>
          <w:highlight w:val="none"/>
          <w:lang w:val="en-US" w:eastAsia="zh-CN"/>
        </w:rPr>
        <w:t>或签字</w:t>
      </w:r>
      <w:r>
        <w:rPr>
          <w:rFonts w:hint="eastAsia" w:ascii="宋体" w:hAnsi="宋体" w:eastAsia="宋体" w:cs="宋体"/>
          <w:bCs/>
          <w:color w:val="auto"/>
          <w:sz w:val="24"/>
          <w:szCs w:val="24"/>
          <w:highlight w:val="none"/>
        </w:rPr>
        <w:t>）：</w:t>
      </w:r>
    </w:p>
    <w:p w14:paraId="03F6DE43">
      <w:pPr>
        <w:keepNext w:val="0"/>
        <w:pageBreakBefore w:val="0"/>
        <w:widowControl w:val="0"/>
        <w:kinsoku/>
        <w:wordWrap/>
        <w:overflowPunct/>
        <w:topLinePunct w:val="0"/>
        <w:autoSpaceDE/>
        <w:autoSpaceDN/>
        <w:bidi w:val="0"/>
        <w:adjustRightInd/>
        <w:snapToGrid/>
        <w:spacing w:line="440" w:lineRule="exact"/>
        <w:ind w:left="0" w:leftChars="0" w:right="0" w:right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p>
    <w:p w14:paraId="17EEF023">
      <w:pPr>
        <w:pStyle w:val="3"/>
        <w:keepNext w:val="0"/>
        <w:pageBreakBefore w:val="0"/>
        <w:widowControl w:val="0"/>
        <w:numPr>
          <w:ilvl w:val="0"/>
          <w:numId w:val="0"/>
        </w:numPr>
        <w:kinsoku/>
        <w:wordWrap/>
        <w:overflowPunct/>
        <w:topLinePunct w:val="0"/>
        <w:autoSpaceDE/>
        <w:autoSpaceDN/>
        <w:bidi w:val="0"/>
        <w:adjustRightInd/>
        <w:snapToGrid/>
        <w:spacing w:before="0" w:after="0" w:line="440" w:lineRule="exact"/>
        <w:ind w:left="0" w:leftChars="0" w:right="0" w:rightChars="0" w:firstLine="480" w:firstLineChars="200"/>
        <w:jc w:val="center"/>
        <w:textAlignment w:val="auto"/>
        <w:rPr>
          <w:rFonts w:hint="eastAsia" w:ascii="宋体" w:hAnsi="宋体" w:eastAsia="宋体" w:cs="宋体"/>
          <w:b w:val="0"/>
          <w:bCs/>
          <w:color w:val="auto"/>
          <w:kern w:val="2"/>
          <w:sz w:val="24"/>
          <w:szCs w:val="24"/>
          <w:highlight w:val="none"/>
          <w:lang w:val="en-US" w:eastAsia="zh-CN" w:bidi="ar-SA"/>
        </w:rPr>
        <w:sectPr>
          <w:footerReference r:id="rId4" w:type="default"/>
          <w:pgSz w:w="11906" w:h="16838"/>
          <w:pgMar w:top="1440" w:right="1080" w:bottom="1440" w:left="1080" w:header="851" w:footer="992" w:gutter="0"/>
          <w:pgNumType w:fmt="decimal" w:start="1"/>
          <w:cols w:space="720" w:num="1"/>
          <w:docGrid w:type="lines" w:linePitch="312" w:charSpace="0"/>
        </w:sectPr>
      </w:pPr>
    </w:p>
    <w:p w14:paraId="3BEE1FEE">
      <w:pPr>
        <w:pStyle w:val="3"/>
        <w:pageBreakBefore w:val="0"/>
        <w:numPr>
          <w:ilvl w:val="0"/>
          <w:numId w:val="0"/>
        </w:numPr>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三、</w:t>
      </w:r>
      <w:r>
        <w:rPr>
          <w:rFonts w:hint="eastAsia" w:ascii="宋体" w:hAnsi="宋体" w:eastAsia="宋体" w:cs="宋体"/>
          <w:b w:val="0"/>
          <w:bCs/>
          <w:color w:val="auto"/>
          <w:sz w:val="24"/>
          <w:szCs w:val="24"/>
          <w:highlight w:val="none"/>
        </w:rPr>
        <w:t>身份证明书</w:t>
      </w:r>
    </w:p>
    <w:p w14:paraId="77E0842A">
      <w:pPr>
        <w:pageBreakBefore w:val="0"/>
        <w:wordWrap/>
        <w:overflowPunct/>
        <w:topLinePunct w:val="0"/>
        <w:bidi w:val="0"/>
        <w:spacing w:line="560" w:lineRule="exact"/>
        <w:ind w:left="0" w:leftChars="0" w:right="0" w:rightChars="0" w:firstLine="720" w:firstLineChars="3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（一）身份证明书（</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w:t>
      </w:r>
    </w:p>
    <w:p w14:paraId="380D3EE4">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单位名称：</w:t>
      </w:r>
      <w:r>
        <w:rPr>
          <w:rFonts w:hint="eastAsia" w:ascii="宋体" w:hAnsi="宋体" w:eastAsia="宋体" w:cs="宋体"/>
          <w:b w:val="0"/>
          <w:bCs/>
          <w:color w:val="auto"/>
          <w:sz w:val="24"/>
          <w:szCs w:val="24"/>
          <w:highlight w:val="none"/>
          <w:u w:val="single"/>
        </w:rPr>
        <w:t xml:space="preserve">                                             。 </w:t>
      </w:r>
    </w:p>
    <w:p w14:paraId="61B48AD8">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u w:val="single"/>
        </w:rPr>
        <w:t xml:space="preserve">                                             。</w:t>
      </w:r>
    </w:p>
    <w:p w14:paraId="519F18FF">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姓    名：</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性别：</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年龄：</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w:t>
      </w:r>
      <w:r>
        <w:rPr>
          <w:rFonts w:hint="eastAsia" w:ascii="宋体" w:hAnsi="宋体" w:eastAsia="宋体" w:cs="宋体"/>
          <w:b w:val="0"/>
          <w:bCs/>
          <w:color w:val="auto"/>
          <w:sz w:val="24"/>
          <w:szCs w:val="24"/>
          <w:highlight w:val="none"/>
          <w:u w:val="single"/>
        </w:rPr>
        <w:t xml:space="preserve">       。</w:t>
      </w:r>
    </w:p>
    <w:p w14:paraId="6F2E08C4">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p>
    <w:p w14:paraId="73D3210E">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的法定代表人，为具有参加</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cs="宋体"/>
          <w:color w:val="auto"/>
          <w:sz w:val="24"/>
          <w:szCs w:val="24"/>
          <w:highlight w:val="none"/>
          <w:lang w:val="en-US" w:eastAsia="zh-CN"/>
        </w:rPr>
        <w:t>项目名称、项目编号、标项号</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、签署上述</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、进行合同谈判、签署合同和处理与之有关的一切事务权利的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xml:space="preserve">。 </w:t>
      </w:r>
    </w:p>
    <w:p w14:paraId="2B4DE19F">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特此证明。                       </w:t>
      </w:r>
    </w:p>
    <w:p w14:paraId="660E9896">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附：法定代表人身份证正反面。</w:t>
      </w:r>
    </w:p>
    <w:p w14:paraId="4645BCB6">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120C63B9">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6B54754F">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2AC2F979">
      <w:pPr>
        <w:pageBreakBefore w:val="0"/>
        <w:wordWrap/>
        <w:overflowPunct/>
        <w:topLinePunct w:val="0"/>
        <w:bidi w:val="0"/>
        <w:spacing w:line="560" w:lineRule="exact"/>
        <w:ind w:left="0" w:leftChars="0" w:right="0" w:rightChars="0"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名称（盖章）：</w:t>
      </w:r>
    </w:p>
    <w:p w14:paraId="42A63790">
      <w:pPr>
        <w:pageBreakBefore w:val="0"/>
        <w:wordWrap/>
        <w:overflowPunct/>
        <w:topLinePunct w:val="0"/>
        <w:bidi w:val="0"/>
        <w:spacing w:line="560" w:lineRule="exact"/>
        <w:ind w:left="0" w:leftChars="0" w:right="0" w:rightChars="0"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日   期： </w:t>
      </w:r>
    </w:p>
    <w:p w14:paraId="160DCF4E">
      <w:pPr>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7B65855">
      <w:pPr>
        <w:pageBreakBefore w:val="0"/>
        <w:wordWrap/>
        <w:overflowPunct/>
        <w:topLinePunct w:val="0"/>
        <w:bidi w:val="0"/>
        <w:spacing w:line="56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身份证明书（</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为非法人）</w:t>
      </w:r>
    </w:p>
    <w:p w14:paraId="09B5125E">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p>
    <w:p w14:paraId="4CA421E7">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FA9926B">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18DF16E6">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21E75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为具有参加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项目名称、项目编号、标项号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、签署上述</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、进行合同谈判、签署合同和处理与之有关的一切事务权利的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5C1C30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4CD4E9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身份证</w:t>
      </w:r>
      <w:r>
        <w:rPr>
          <w:rFonts w:hint="eastAsia" w:ascii="宋体" w:hAnsi="宋体" w:eastAsia="宋体" w:cs="宋体"/>
          <w:b w:val="0"/>
          <w:bCs w:val="0"/>
          <w:color w:val="auto"/>
          <w:sz w:val="24"/>
          <w:szCs w:val="24"/>
          <w:highlight w:val="none"/>
          <w:lang w:val="en-US" w:eastAsia="zh-CN"/>
        </w:rPr>
        <w:t>正反面。</w:t>
      </w:r>
    </w:p>
    <w:p w14:paraId="45A722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p>
    <w:p w14:paraId="4D4E59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p>
    <w:p w14:paraId="426FDD08">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6AA9B4F8">
      <w:pPr>
        <w:pStyle w:val="11"/>
        <w:pageBreakBefore w:val="0"/>
        <w:wordWrap/>
        <w:overflowPunct/>
        <w:topLinePunct w:val="0"/>
        <w:bidi w:val="0"/>
        <w:spacing w:after="0" w:line="560" w:lineRule="exact"/>
        <w:ind w:left="0" w:leftChars="0" w:right="0" w:rightChars="0"/>
        <w:rPr>
          <w:rFonts w:hint="eastAsia" w:ascii="宋体" w:hAnsi="宋体" w:eastAsia="宋体" w:cs="宋体"/>
          <w:b/>
          <w:bCs/>
          <w:color w:val="auto"/>
          <w:sz w:val="24"/>
          <w:szCs w:val="24"/>
          <w:highlight w:val="none"/>
        </w:rPr>
      </w:pPr>
    </w:p>
    <w:p w14:paraId="1A29683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776405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授权委托书</w:t>
      </w:r>
    </w:p>
    <w:p w14:paraId="0C15D09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）法定代表人授权委托书（</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w:t>
      </w:r>
    </w:p>
    <w:p w14:paraId="485A619E">
      <w:pPr>
        <w:pStyle w:val="33"/>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p w14:paraId="350F379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_______（</w:t>
      </w:r>
      <w:r>
        <w:rPr>
          <w:rFonts w:hint="eastAsia" w:ascii="宋体" w:hAnsi="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名称）：</w:t>
      </w:r>
    </w:p>
    <w:p w14:paraId="71618E9A">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本授权声明：</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（法定代表人姓名、职务）授权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（被授权人姓名、职务）为我方 “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cs="宋体"/>
          <w:color w:val="auto"/>
          <w:sz w:val="24"/>
          <w:szCs w:val="24"/>
          <w:highlight w:val="none"/>
          <w:lang w:val="en-US" w:eastAsia="zh-CN"/>
        </w:rPr>
        <w:t>项目名称、项目编号、标项号</w:t>
      </w:r>
      <w:r>
        <w:rPr>
          <w:rFonts w:hint="eastAsia" w:ascii="宋体" w:hAnsi="宋体" w:eastAsia="宋体" w:cs="宋体"/>
          <w:b w:val="0"/>
          <w:bCs/>
          <w:color w:val="auto"/>
          <w:sz w:val="24"/>
          <w:szCs w:val="24"/>
          <w:highlight w:val="none"/>
        </w:rPr>
        <w:t>）”项目</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活动的合法代表，以我方名义全权处理该项目有关</w:t>
      </w: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、签订合同以及执行合同等一切事宜。</w:t>
      </w:r>
    </w:p>
    <w:p w14:paraId="3C8AE696">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被授权人无权转让本授权，特此声明。</w:t>
      </w:r>
    </w:p>
    <w:p w14:paraId="48D38B15">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附：法定代表人及被授权人身份证正反面。</w:t>
      </w:r>
    </w:p>
    <w:p w14:paraId="76CF2588">
      <w:pPr>
        <w:pStyle w:val="33"/>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p w14:paraId="491A1F87">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p>
    <w:p w14:paraId="702D39E6">
      <w:pPr>
        <w:pStyle w:val="15"/>
        <w:pageBreakBefore w:val="0"/>
        <w:wordWrap/>
        <w:overflowPunct/>
        <w:topLinePunct w:val="0"/>
        <w:bidi w:val="0"/>
        <w:spacing w:after="0" w:line="560" w:lineRule="exact"/>
        <w:ind w:left="0" w:leftChars="0" w:right="0" w:rightChars="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名称（盖章）：</w:t>
      </w:r>
    </w:p>
    <w:p w14:paraId="260A55C5">
      <w:pPr>
        <w:pStyle w:val="15"/>
        <w:pageBreakBefore w:val="0"/>
        <w:wordWrap/>
        <w:overflowPunct/>
        <w:topLinePunct w:val="0"/>
        <w:bidi w:val="0"/>
        <w:spacing w:after="0" w:line="560" w:lineRule="exact"/>
        <w:ind w:left="0" w:leftChars="0" w:right="0" w:rightChars="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法定代表人（盖章或签字）：</w:t>
      </w:r>
    </w:p>
    <w:p w14:paraId="319971E2">
      <w:pPr>
        <w:pageBreakBefore w:val="0"/>
        <w:wordWrap/>
        <w:overflowPunct/>
        <w:topLinePunct w:val="0"/>
        <w:bidi w:val="0"/>
        <w:spacing w:line="560" w:lineRule="exact"/>
        <w:ind w:left="0" w:leftChars="0" w:right="0" w:rightChars="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日期： </w:t>
      </w:r>
    </w:p>
    <w:p w14:paraId="7D05E2F1">
      <w:pPr>
        <w:pageBreakBefore w:val="0"/>
        <w:wordWrap/>
        <w:overflowPunct/>
        <w:topLinePunct w:val="0"/>
        <w:bidi w:val="0"/>
        <w:spacing w:line="560" w:lineRule="exact"/>
        <w:ind w:left="0" w:leftChars="0" w:right="0" w:rightChars="0" w:firstLine="4080" w:firstLineChars="1700"/>
        <w:rPr>
          <w:rFonts w:hint="eastAsia" w:ascii="宋体" w:hAnsi="宋体" w:eastAsia="宋体" w:cs="宋体"/>
          <w:b w:val="0"/>
          <w:bCs/>
          <w:color w:val="auto"/>
          <w:sz w:val="24"/>
          <w:szCs w:val="24"/>
          <w:highlight w:val="none"/>
        </w:rPr>
      </w:pPr>
    </w:p>
    <w:p w14:paraId="72246F3A">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53430F1D">
      <w:pPr>
        <w:pageBreakBefore w:val="0"/>
        <w:wordWrap/>
        <w:overflowPunct/>
        <w:topLinePunct w:val="0"/>
        <w:bidi w:val="0"/>
        <w:snapToGrid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63756551">
      <w:pPr>
        <w:pStyle w:val="11"/>
        <w:pageBreakBefore w:val="0"/>
        <w:wordWrap/>
        <w:overflowPunct/>
        <w:topLinePunct w:val="0"/>
        <w:bidi w:val="0"/>
        <w:spacing w:after="0" w:line="560" w:lineRule="exact"/>
        <w:ind w:left="0" w:leftChars="0" w:right="0" w:rightChars="0"/>
        <w:rPr>
          <w:rFonts w:hint="eastAsia" w:ascii="宋体" w:hAnsi="宋体" w:eastAsia="宋体" w:cs="宋体"/>
          <w:b w:val="0"/>
          <w:bCs/>
          <w:color w:val="auto"/>
          <w:sz w:val="24"/>
          <w:szCs w:val="24"/>
          <w:highlight w:val="none"/>
        </w:rPr>
      </w:pPr>
    </w:p>
    <w:p w14:paraId="6D913F43">
      <w:pPr>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1BF0F461">
      <w:pPr>
        <w:pageBreakBefore w:val="0"/>
        <w:wordWrap/>
        <w:overflowPunct/>
        <w:topLinePunct w:val="0"/>
        <w:bidi w:val="0"/>
        <w:spacing w:line="56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）授权委托书</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为非法人）</w:t>
      </w:r>
    </w:p>
    <w:p w14:paraId="4B64C593">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p>
    <w:p w14:paraId="292E666A">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_____（</w:t>
      </w:r>
      <w:r>
        <w:rPr>
          <w:rFonts w:hint="eastAsia" w:ascii="宋体" w:hAnsi="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名称）：</w:t>
      </w:r>
    </w:p>
    <w:p w14:paraId="2B18155C">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本授权声明：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名称）授权</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（被授权人姓名、职务）</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为我方 “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cs="宋体"/>
          <w:color w:val="auto"/>
          <w:sz w:val="24"/>
          <w:szCs w:val="24"/>
          <w:highlight w:val="none"/>
          <w:lang w:val="en-US" w:eastAsia="zh-CN"/>
        </w:rPr>
        <w:t>项目名称、项目编号、标项号</w:t>
      </w:r>
      <w:r>
        <w:rPr>
          <w:rFonts w:hint="eastAsia" w:ascii="宋体" w:hAnsi="宋体" w:eastAsia="宋体" w:cs="宋体"/>
          <w:b w:val="0"/>
          <w:bCs w:val="0"/>
          <w:color w:val="auto"/>
          <w:sz w:val="24"/>
          <w:szCs w:val="24"/>
          <w:highlight w:val="none"/>
        </w:rPr>
        <w:t>）” 项目</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活动的合法代表，以我方名义全权处理该项目有关</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、签订合同以及执行合同等一切事宜。</w:t>
      </w:r>
    </w:p>
    <w:p w14:paraId="08CE32D4">
      <w:pPr>
        <w:pageBreakBefore w:val="0"/>
        <w:shd w:val="clear" w:color="auto" w:fill="auto"/>
        <w:kinsoku/>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被授权人</w:t>
      </w:r>
      <w:r>
        <w:rPr>
          <w:rFonts w:hint="eastAsia" w:ascii="宋体" w:hAnsi="宋体" w:eastAsia="宋体" w:cs="宋体"/>
          <w:b w:val="0"/>
          <w:bCs w:val="0"/>
          <w:color w:val="auto"/>
          <w:sz w:val="24"/>
          <w:szCs w:val="24"/>
          <w:highlight w:val="none"/>
        </w:rPr>
        <w:t>无</w:t>
      </w:r>
      <w:r>
        <w:rPr>
          <w:rFonts w:hint="eastAsia" w:ascii="宋体" w:hAnsi="宋体" w:eastAsia="宋体" w:cs="宋体"/>
          <w:b w:val="0"/>
          <w:bCs w:val="0"/>
          <w:color w:val="auto"/>
          <w:sz w:val="24"/>
          <w:szCs w:val="24"/>
          <w:highlight w:val="none"/>
          <w:lang w:val="en-US" w:eastAsia="zh-CN"/>
        </w:rPr>
        <w:t>权转让本授权</w:t>
      </w:r>
      <w:r>
        <w:rPr>
          <w:rFonts w:hint="eastAsia" w:ascii="宋体" w:hAnsi="宋体" w:eastAsia="宋体" w:cs="宋体"/>
          <w:b w:val="0"/>
          <w:bCs w:val="0"/>
          <w:color w:val="auto"/>
          <w:sz w:val="24"/>
          <w:szCs w:val="24"/>
          <w:highlight w:val="none"/>
        </w:rPr>
        <w:t>，特此</w:t>
      </w:r>
      <w:r>
        <w:rPr>
          <w:rFonts w:hint="eastAsia" w:ascii="宋体" w:hAnsi="宋体" w:eastAsia="宋体" w:cs="宋体"/>
          <w:b w:val="0"/>
          <w:bCs w:val="0"/>
          <w:color w:val="auto"/>
          <w:sz w:val="24"/>
          <w:szCs w:val="24"/>
          <w:highlight w:val="none"/>
          <w:lang w:eastAsia="zh-CN"/>
        </w:rPr>
        <w:t>声明。</w:t>
      </w:r>
    </w:p>
    <w:p w14:paraId="3F403363">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附：授权人及被授权人身份证</w:t>
      </w:r>
      <w:r>
        <w:rPr>
          <w:rFonts w:hint="eastAsia" w:ascii="宋体" w:hAnsi="宋体" w:eastAsia="宋体" w:cs="宋体"/>
          <w:b w:val="0"/>
          <w:bCs w:val="0"/>
          <w:color w:val="auto"/>
          <w:sz w:val="24"/>
          <w:szCs w:val="24"/>
          <w:highlight w:val="none"/>
          <w:lang w:val="en-US" w:eastAsia="zh-CN"/>
        </w:rPr>
        <w:t>正反面。</w:t>
      </w:r>
    </w:p>
    <w:p w14:paraId="249D2BF2">
      <w:pPr>
        <w:pStyle w:val="33"/>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p>
    <w:p w14:paraId="14F2B16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p>
    <w:p w14:paraId="1C2F666F">
      <w:pPr>
        <w:pStyle w:val="15"/>
        <w:pageBreakBefore w:val="0"/>
        <w:wordWrap/>
        <w:overflowPunct/>
        <w:topLinePunct w:val="0"/>
        <w:bidi w:val="0"/>
        <w:spacing w:after="0" w:line="560" w:lineRule="exact"/>
        <w:ind w:left="0" w:leftChars="0" w:right="0" w:rightChars="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名称（盖章）：</w:t>
      </w:r>
    </w:p>
    <w:p w14:paraId="056E268C">
      <w:pPr>
        <w:pStyle w:val="15"/>
        <w:pageBreakBefore w:val="0"/>
        <w:wordWrap/>
        <w:overflowPunct/>
        <w:topLinePunct w:val="0"/>
        <w:bidi w:val="0"/>
        <w:spacing w:after="0" w:line="560" w:lineRule="exact"/>
        <w:ind w:left="0" w:leftChars="0" w:right="0" w:rightChars="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授权人</w:t>
      </w:r>
      <w:r>
        <w:rPr>
          <w:rFonts w:hint="eastAsia" w:ascii="宋体" w:hAnsi="宋体" w:eastAsia="宋体" w:cs="宋体"/>
          <w:bCs/>
          <w:color w:val="auto"/>
          <w:sz w:val="24"/>
          <w:szCs w:val="24"/>
          <w:highlight w:val="none"/>
        </w:rPr>
        <w:t>（盖章</w:t>
      </w:r>
      <w:r>
        <w:rPr>
          <w:rFonts w:hint="eastAsia" w:ascii="宋体" w:hAnsi="宋体" w:eastAsia="宋体" w:cs="宋体"/>
          <w:bCs/>
          <w:color w:val="auto"/>
          <w:sz w:val="24"/>
          <w:szCs w:val="24"/>
          <w:highlight w:val="none"/>
          <w:lang w:val="en-US" w:eastAsia="zh-CN"/>
        </w:rPr>
        <w:t>或签字</w:t>
      </w:r>
      <w:r>
        <w:rPr>
          <w:rFonts w:hint="eastAsia" w:ascii="宋体" w:hAnsi="宋体" w:eastAsia="宋体" w:cs="宋体"/>
          <w:bCs/>
          <w:color w:val="auto"/>
          <w:sz w:val="24"/>
          <w:szCs w:val="24"/>
          <w:highlight w:val="none"/>
        </w:rPr>
        <w:t>）：</w:t>
      </w:r>
    </w:p>
    <w:p w14:paraId="1AFA83AA">
      <w:pPr>
        <w:pageBreakBefore w:val="0"/>
        <w:wordWrap/>
        <w:overflowPunct/>
        <w:topLinePunct w:val="0"/>
        <w:bidi w:val="0"/>
        <w:spacing w:line="560" w:lineRule="exac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p>
    <w:p w14:paraId="28ABDD45">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5B559F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br w:type="page"/>
      </w:r>
      <w:bookmarkStart w:id="141" w:name="_Toc28653"/>
      <w:r>
        <w:rPr>
          <w:rFonts w:hint="eastAsia" w:ascii="宋体" w:hAnsi="宋体" w:eastAsia="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基本情况表</w:t>
      </w:r>
    </w:p>
    <w:bookmarkEnd w:id="141"/>
    <w:tbl>
      <w:tblPr>
        <w:tblStyle w:val="34"/>
        <w:tblW w:w="8759" w:type="dxa"/>
        <w:jc w:val="center"/>
        <w:tblLayout w:type="fixed"/>
        <w:tblCellMar>
          <w:top w:w="0" w:type="dxa"/>
          <w:left w:w="108" w:type="dxa"/>
          <w:bottom w:w="0" w:type="dxa"/>
          <w:right w:w="108" w:type="dxa"/>
        </w:tblCellMar>
      </w:tblPr>
      <w:tblGrid>
        <w:gridCol w:w="1782"/>
        <w:gridCol w:w="1010"/>
        <w:gridCol w:w="2429"/>
        <w:gridCol w:w="1478"/>
        <w:gridCol w:w="2060"/>
      </w:tblGrid>
      <w:tr w14:paraId="1BA98D39">
        <w:tblPrEx>
          <w:tblCellMar>
            <w:top w:w="0" w:type="dxa"/>
            <w:left w:w="108" w:type="dxa"/>
            <w:bottom w:w="0" w:type="dxa"/>
            <w:right w:w="108" w:type="dxa"/>
          </w:tblCellMar>
        </w:tblPrEx>
        <w:trPr>
          <w:trHeight w:val="945" w:hRule="atLeast"/>
          <w:jc w:val="center"/>
        </w:trPr>
        <w:tc>
          <w:tcPr>
            <w:tcW w:w="1782" w:type="dxa"/>
            <w:tcBorders>
              <w:top w:val="single" w:color="auto" w:sz="4" w:space="0"/>
              <w:left w:val="single" w:color="auto" w:sz="4" w:space="0"/>
              <w:bottom w:val="single" w:color="auto" w:sz="4" w:space="0"/>
              <w:right w:val="single" w:color="auto" w:sz="4" w:space="0"/>
            </w:tcBorders>
            <w:noWrap w:val="0"/>
            <w:vAlign w:val="center"/>
          </w:tcPr>
          <w:p w14:paraId="36ECF951">
            <w:pPr>
              <w:jc w:val="center"/>
              <w:rPr>
                <w:rFonts w:hint="eastAsia" w:ascii="宋体" w:hAnsi="宋体" w:eastAsia="宋体" w:cs="宋体"/>
                <w:b w:val="0"/>
                <w:bCs/>
                <w:color w:val="000000"/>
                <w:sz w:val="24"/>
                <w:highlight w:val="none"/>
              </w:rPr>
            </w:pPr>
            <w:bookmarkStart w:id="142" w:name="_Toc26218"/>
            <w:r>
              <w:rPr>
                <w:rFonts w:hint="eastAsia" w:ascii="宋体" w:hAnsi="宋体" w:eastAsia="宋体" w:cs="宋体"/>
                <w:b w:val="0"/>
                <w:bCs/>
                <w:color w:val="000000"/>
                <w:sz w:val="24"/>
                <w:highlight w:val="none"/>
                <w:lang w:eastAsia="zh-CN"/>
              </w:rPr>
              <w:t>投标人</w:t>
            </w:r>
            <w:r>
              <w:rPr>
                <w:rFonts w:hint="eastAsia" w:ascii="宋体" w:hAnsi="宋体" w:eastAsia="宋体" w:cs="宋体"/>
                <w:b w:val="0"/>
                <w:bCs/>
                <w:color w:val="000000"/>
                <w:sz w:val="24"/>
                <w:highlight w:val="none"/>
              </w:rPr>
              <w:t>名称</w:t>
            </w:r>
          </w:p>
        </w:tc>
        <w:tc>
          <w:tcPr>
            <w:tcW w:w="6977" w:type="dxa"/>
            <w:gridSpan w:val="4"/>
            <w:tcBorders>
              <w:top w:val="single" w:color="auto" w:sz="4" w:space="0"/>
              <w:left w:val="nil"/>
              <w:bottom w:val="single" w:color="auto" w:sz="4" w:space="0"/>
              <w:right w:val="single" w:color="auto" w:sz="4" w:space="0"/>
            </w:tcBorders>
            <w:noWrap w:val="0"/>
            <w:vAlign w:val="center"/>
          </w:tcPr>
          <w:p w14:paraId="34A49410">
            <w:pPr>
              <w:jc w:val="center"/>
              <w:rPr>
                <w:rFonts w:hint="eastAsia" w:ascii="宋体" w:hAnsi="宋体" w:eastAsia="宋体" w:cs="宋体"/>
                <w:b w:val="0"/>
                <w:bCs/>
                <w:color w:val="000000"/>
                <w:sz w:val="24"/>
                <w:highlight w:val="none"/>
              </w:rPr>
            </w:pPr>
          </w:p>
        </w:tc>
      </w:tr>
      <w:tr w14:paraId="4A1959AA">
        <w:tblPrEx>
          <w:tblCellMar>
            <w:top w:w="0" w:type="dxa"/>
            <w:left w:w="108" w:type="dxa"/>
            <w:bottom w:w="0" w:type="dxa"/>
            <w:right w:w="108" w:type="dxa"/>
          </w:tblCellMar>
        </w:tblPrEx>
        <w:trPr>
          <w:trHeight w:val="945" w:hRule="atLeast"/>
          <w:jc w:val="center"/>
        </w:trPr>
        <w:tc>
          <w:tcPr>
            <w:tcW w:w="1782" w:type="dxa"/>
            <w:tcBorders>
              <w:top w:val="nil"/>
              <w:left w:val="single" w:color="auto" w:sz="4" w:space="0"/>
              <w:bottom w:val="single" w:color="auto" w:sz="4" w:space="0"/>
              <w:right w:val="single" w:color="auto" w:sz="4" w:space="0"/>
            </w:tcBorders>
            <w:noWrap w:val="0"/>
            <w:vAlign w:val="center"/>
          </w:tcPr>
          <w:p w14:paraId="4BB71A42">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注册地址</w:t>
            </w:r>
          </w:p>
        </w:tc>
        <w:tc>
          <w:tcPr>
            <w:tcW w:w="3439" w:type="dxa"/>
            <w:gridSpan w:val="2"/>
            <w:tcBorders>
              <w:top w:val="single" w:color="auto" w:sz="4" w:space="0"/>
              <w:left w:val="nil"/>
              <w:bottom w:val="single" w:color="auto" w:sz="4" w:space="0"/>
              <w:right w:val="single" w:color="000000" w:sz="4" w:space="0"/>
            </w:tcBorders>
            <w:noWrap w:val="0"/>
            <w:vAlign w:val="center"/>
          </w:tcPr>
          <w:p w14:paraId="07137E0D">
            <w:pPr>
              <w:jc w:val="center"/>
              <w:rPr>
                <w:rFonts w:hint="eastAsia" w:ascii="宋体" w:hAnsi="宋体" w:eastAsia="宋体" w:cs="宋体"/>
                <w:b w:val="0"/>
                <w:bCs/>
                <w:color w:val="000000"/>
                <w:sz w:val="24"/>
                <w:highlight w:val="none"/>
              </w:rPr>
            </w:pPr>
          </w:p>
        </w:tc>
        <w:tc>
          <w:tcPr>
            <w:tcW w:w="1478" w:type="dxa"/>
            <w:tcBorders>
              <w:top w:val="nil"/>
              <w:left w:val="nil"/>
              <w:bottom w:val="single" w:color="auto" w:sz="4" w:space="0"/>
              <w:right w:val="single" w:color="auto" w:sz="4" w:space="0"/>
            </w:tcBorders>
            <w:noWrap w:val="0"/>
            <w:vAlign w:val="center"/>
          </w:tcPr>
          <w:p w14:paraId="594EC871">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邮政编码</w:t>
            </w:r>
          </w:p>
        </w:tc>
        <w:tc>
          <w:tcPr>
            <w:tcW w:w="2060" w:type="dxa"/>
            <w:tcBorders>
              <w:top w:val="nil"/>
              <w:left w:val="nil"/>
              <w:bottom w:val="single" w:color="auto" w:sz="4" w:space="0"/>
              <w:right w:val="single" w:color="auto" w:sz="4" w:space="0"/>
            </w:tcBorders>
            <w:noWrap w:val="0"/>
            <w:vAlign w:val="center"/>
          </w:tcPr>
          <w:p w14:paraId="6534069C">
            <w:pPr>
              <w:jc w:val="center"/>
              <w:rPr>
                <w:rFonts w:hint="eastAsia" w:ascii="宋体" w:hAnsi="宋体" w:eastAsia="宋体" w:cs="宋体"/>
                <w:b w:val="0"/>
                <w:bCs/>
                <w:color w:val="000000"/>
                <w:sz w:val="24"/>
                <w:highlight w:val="none"/>
              </w:rPr>
            </w:pPr>
          </w:p>
        </w:tc>
      </w:tr>
      <w:tr w14:paraId="107CC029">
        <w:tblPrEx>
          <w:tblCellMar>
            <w:top w:w="0" w:type="dxa"/>
            <w:left w:w="108" w:type="dxa"/>
            <w:bottom w:w="0" w:type="dxa"/>
            <w:right w:w="108" w:type="dxa"/>
          </w:tblCellMar>
        </w:tblPrEx>
        <w:trPr>
          <w:trHeight w:val="945" w:hRule="atLeast"/>
          <w:jc w:val="center"/>
        </w:trPr>
        <w:tc>
          <w:tcPr>
            <w:tcW w:w="1782" w:type="dxa"/>
            <w:tcBorders>
              <w:top w:val="nil"/>
              <w:left w:val="single" w:color="auto" w:sz="4" w:space="0"/>
              <w:bottom w:val="single" w:color="auto" w:sz="4" w:space="0"/>
              <w:right w:val="single" w:color="auto" w:sz="4" w:space="0"/>
            </w:tcBorders>
            <w:noWrap w:val="0"/>
            <w:vAlign w:val="center"/>
          </w:tcPr>
          <w:p w14:paraId="34FC9979">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成立时间</w:t>
            </w:r>
          </w:p>
        </w:tc>
        <w:tc>
          <w:tcPr>
            <w:tcW w:w="3439" w:type="dxa"/>
            <w:gridSpan w:val="2"/>
            <w:tcBorders>
              <w:top w:val="single" w:color="auto" w:sz="4" w:space="0"/>
              <w:left w:val="nil"/>
              <w:bottom w:val="single" w:color="auto" w:sz="4" w:space="0"/>
              <w:right w:val="single" w:color="000000" w:sz="4" w:space="0"/>
            </w:tcBorders>
            <w:noWrap w:val="0"/>
            <w:vAlign w:val="center"/>
          </w:tcPr>
          <w:p w14:paraId="3A1AA869">
            <w:pPr>
              <w:jc w:val="center"/>
              <w:rPr>
                <w:rFonts w:hint="eastAsia" w:ascii="宋体" w:hAnsi="宋体" w:eastAsia="宋体" w:cs="宋体"/>
                <w:b w:val="0"/>
                <w:bCs/>
                <w:color w:val="000000"/>
                <w:sz w:val="24"/>
                <w:highlight w:val="none"/>
              </w:rPr>
            </w:pPr>
          </w:p>
        </w:tc>
        <w:tc>
          <w:tcPr>
            <w:tcW w:w="1478" w:type="dxa"/>
            <w:tcBorders>
              <w:top w:val="nil"/>
              <w:left w:val="nil"/>
              <w:bottom w:val="single" w:color="auto" w:sz="4" w:space="0"/>
              <w:right w:val="single" w:color="auto" w:sz="4" w:space="0"/>
            </w:tcBorders>
            <w:noWrap w:val="0"/>
            <w:vAlign w:val="center"/>
          </w:tcPr>
          <w:p w14:paraId="62C0C164">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企业性质</w:t>
            </w:r>
          </w:p>
        </w:tc>
        <w:tc>
          <w:tcPr>
            <w:tcW w:w="2060" w:type="dxa"/>
            <w:tcBorders>
              <w:top w:val="nil"/>
              <w:left w:val="nil"/>
              <w:bottom w:val="single" w:color="auto" w:sz="4" w:space="0"/>
              <w:right w:val="single" w:color="auto" w:sz="4" w:space="0"/>
            </w:tcBorders>
            <w:noWrap w:val="0"/>
            <w:vAlign w:val="center"/>
          </w:tcPr>
          <w:p w14:paraId="7F5631CF">
            <w:pPr>
              <w:jc w:val="center"/>
              <w:rPr>
                <w:rFonts w:hint="eastAsia" w:ascii="宋体" w:hAnsi="宋体" w:eastAsia="宋体" w:cs="宋体"/>
                <w:b w:val="0"/>
                <w:bCs/>
                <w:color w:val="000000"/>
                <w:sz w:val="24"/>
                <w:highlight w:val="none"/>
              </w:rPr>
            </w:pPr>
          </w:p>
        </w:tc>
      </w:tr>
      <w:tr w14:paraId="20ACE34C">
        <w:tblPrEx>
          <w:tblCellMar>
            <w:top w:w="0" w:type="dxa"/>
            <w:left w:w="108" w:type="dxa"/>
            <w:bottom w:w="0" w:type="dxa"/>
            <w:right w:w="108" w:type="dxa"/>
          </w:tblCellMar>
        </w:tblPrEx>
        <w:trPr>
          <w:trHeight w:val="945" w:hRule="atLeast"/>
          <w:jc w:val="center"/>
        </w:trPr>
        <w:tc>
          <w:tcPr>
            <w:tcW w:w="1782" w:type="dxa"/>
            <w:tcBorders>
              <w:top w:val="nil"/>
              <w:left w:val="single" w:color="auto" w:sz="4" w:space="0"/>
              <w:bottom w:val="single" w:color="auto" w:sz="4" w:space="0"/>
              <w:right w:val="single" w:color="auto" w:sz="4" w:space="0"/>
            </w:tcBorders>
            <w:noWrap w:val="0"/>
            <w:vAlign w:val="center"/>
          </w:tcPr>
          <w:p w14:paraId="1EAE2328">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社会统一信用代码</w:t>
            </w:r>
          </w:p>
        </w:tc>
        <w:tc>
          <w:tcPr>
            <w:tcW w:w="3439" w:type="dxa"/>
            <w:gridSpan w:val="2"/>
            <w:tcBorders>
              <w:top w:val="single" w:color="auto" w:sz="4" w:space="0"/>
              <w:left w:val="nil"/>
              <w:bottom w:val="single" w:color="auto" w:sz="4" w:space="0"/>
              <w:right w:val="single" w:color="000000" w:sz="4" w:space="0"/>
            </w:tcBorders>
            <w:noWrap w:val="0"/>
            <w:vAlign w:val="center"/>
          </w:tcPr>
          <w:p w14:paraId="5500E083">
            <w:pPr>
              <w:jc w:val="center"/>
              <w:rPr>
                <w:rFonts w:hint="eastAsia" w:ascii="宋体" w:hAnsi="宋体" w:eastAsia="宋体" w:cs="宋体"/>
                <w:b w:val="0"/>
                <w:bCs/>
                <w:color w:val="000000"/>
                <w:sz w:val="24"/>
                <w:highlight w:val="none"/>
              </w:rPr>
            </w:pPr>
          </w:p>
        </w:tc>
        <w:tc>
          <w:tcPr>
            <w:tcW w:w="1478" w:type="dxa"/>
            <w:tcBorders>
              <w:top w:val="nil"/>
              <w:left w:val="nil"/>
              <w:bottom w:val="single" w:color="auto" w:sz="4" w:space="0"/>
              <w:right w:val="single" w:color="auto" w:sz="4" w:space="0"/>
            </w:tcBorders>
            <w:noWrap w:val="0"/>
            <w:vAlign w:val="center"/>
          </w:tcPr>
          <w:p w14:paraId="18B26530">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注册资金</w:t>
            </w:r>
          </w:p>
        </w:tc>
        <w:tc>
          <w:tcPr>
            <w:tcW w:w="2060" w:type="dxa"/>
            <w:tcBorders>
              <w:top w:val="nil"/>
              <w:left w:val="nil"/>
              <w:bottom w:val="single" w:color="auto" w:sz="4" w:space="0"/>
              <w:right w:val="single" w:color="auto" w:sz="4" w:space="0"/>
            </w:tcBorders>
            <w:noWrap w:val="0"/>
            <w:vAlign w:val="center"/>
          </w:tcPr>
          <w:p w14:paraId="20A76FE5">
            <w:pPr>
              <w:jc w:val="center"/>
              <w:rPr>
                <w:rFonts w:hint="eastAsia" w:ascii="宋体" w:hAnsi="宋体" w:eastAsia="宋体" w:cs="宋体"/>
                <w:b w:val="0"/>
                <w:bCs/>
                <w:color w:val="000000"/>
                <w:sz w:val="24"/>
                <w:highlight w:val="none"/>
              </w:rPr>
            </w:pPr>
          </w:p>
        </w:tc>
      </w:tr>
      <w:tr w14:paraId="6CB69B14">
        <w:tblPrEx>
          <w:tblCellMar>
            <w:top w:w="0" w:type="dxa"/>
            <w:left w:w="108" w:type="dxa"/>
            <w:bottom w:w="0" w:type="dxa"/>
            <w:right w:w="108" w:type="dxa"/>
          </w:tblCellMar>
        </w:tblPrEx>
        <w:trPr>
          <w:trHeight w:val="945" w:hRule="atLeast"/>
          <w:jc w:val="center"/>
        </w:trPr>
        <w:tc>
          <w:tcPr>
            <w:tcW w:w="1782" w:type="dxa"/>
            <w:tcBorders>
              <w:top w:val="nil"/>
              <w:left w:val="single" w:color="auto" w:sz="4" w:space="0"/>
              <w:bottom w:val="single" w:color="auto" w:sz="4" w:space="0"/>
              <w:right w:val="single" w:color="auto" w:sz="4" w:space="0"/>
            </w:tcBorders>
            <w:noWrap w:val="0"/>
            <w:vAlign w:val="center"/>
          </w:tcPr>
          <w:p w14:paraId="06F84293">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法定代表人</w:t>
            </w:r>
          </w:p>
        </w:tc>
        <w:tc>
          <w:tcPr>
            <w:tcW w:w="1010" w:type="dxa"/>
            <w:tcBorders>
              <w:top w:val="nil"/>
              <w:left w:val="nil"/>
              <w:bottom w:val="single" w:color="auto" w:sz="4" w:space="0"/>
              <w:right w:val="single" w:color="auto" w:sz="4" w:space="0"/>
            </w:tcBorders>
            <w:noWrap w:val="0"/>
            <w:vAlign w:val="center"/>
          </w:tcPr>
          <w:p w14:paraId="226E190A">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姓名</w:t>
            </w:r>
          </w:p>
        </w:tc>
        <w:tc>
          <w:tcPr>
            <w:tcW w:w="2429" w:type="dxa"/>
            <w:tcBorders>
              <w:top w:val="nil"/>
              <w:left w:val="nil"/>
              <w:bottom w:val="single" w:color="auto" w:sz="4" w:space="0"/>
              <w:right w:val="single" w:color="auto" w:sz="4" w:space="0"/>
            </w:tcBorders>
            <w:noWrap w:val="0"/>
            <w:vAlign w:val="center"/>
          </w:tcPr>
          <w:p w14:paraId="10EC39DB">
            <w:pPr>
              <w:jc w:val="center"/>
              <w:rPr>
                <w:rFonts w:hint="eastAsia" w:ascii="宋体" w:hAnsi="宋体" w:eastAsia="宋体" w:cs="宋体"/>
                <w:b w:val="0"/>
                <w:bCs/>
                <w:color w:val="000000"/>
                <w:sz w:val="24"/>
                <w:highlight w:val="none"/>
              </w:rPr>
            </w:pPr>
          </w:p>
        </w:tc>
        <w:tc>
          <w:tcPr>
            <w:tcW w:w="1478" w:type="dxa"/>
            <w:tcBorders>
              <w:top w:val="nil"/>
              <w:left w:val="nil"/>
              <w:bottom w:val="single" w:color="auto" w:sz="4" w:space="0"/>
              <w:right w:val="single" w:color="auto" w:sz="4" w:space="0"/>
            </w:tcBorders>
            <w:noWrap w:val="0"/>
            <w:vAlign w:val="center"/>
          </w:tcPr>
          <w:p w14:paraId="052D47CA">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电话</w:t>
            </w:r>
          </w:p>
        </w:tc>
        <w:tc>
          <w:tcPr>
            <w:tcW w:w="2060" w:type="dxa"/>
            <w:tcBorders>
              <w:top w:val="nil"/>
              <w:left w:val="nil"/>
              <w:bottom w:val="single" w:color="auto" w:sz="4" w:space="0"/>
              <w:right w:val="single" w:color="auto" w:sz="4" w:space="0"/>
            </w:tcBorders>
            <w:noWrap w:val="0"/>
            <w:vAlign w:val="center"/>
          </w:tcPr>
          <w:p w14:paraId="07E1153A">
            <w:pPr>
              <w:jc w:val="center"/>
              <w:rPr>
                <w:rFonts w:hint="eastAsia" w:ascii="宋体" w:hAnsi="宋体" w:eastAsia="宋体" w:cs="宋体"/>
                <w:b w:val="0"/>
                <w:bCs/>
                <w:color w:val="000000"/>
                <w:sz w:val="24"/>
                <w:highlight w:val="none"/>
              </w:rPr>
            </w:pPr>
          </w:p>
        </w:tc>
      </w:tr>
      <w:tr w14:paraId="2C9174C2">
        <w:tblPrEx>
          <w:tblCellMar>
            <w:top w:w="0" w:type="dxa"/>
            <w:left w:w="108" w:type="dxa"/>
            <w:bottom w:w="0" w:type="dxa"/>
            <w:right w:w="108" w:type="dxa"/>
          </w:tblCellMar>
        </w:tblPrEx>
        <w:trPr>
          <w:trHeight w:val="945" w:hRule="atLeast"/>
          <w:jc w:val="center"/>
        </w:trPr>
        <w:tc>
          <w:tcPr>
            <w:tcW w:w="1782" w:type="dxa"/>
            <w:vMerge w:val="restart"/>
            <w:tcBorders>
              <w:top w:val="nil"/>
              <w:left w:val="single" w:color="auto" w:sz="4" w:space="0"/>
              <w:bottom w:val="single" w:color="auto" w:sz="4" w:space="0"/>
              <w:right w:val="single" w:color="auto" w:sz="4" w:space="0"/>
            </w:tcBorders>
            <w:noWrap w:val="0"/>
            <w:vAlign w:val="center"/>
          </w:tcPr>
          <w:p w14:paraId="4E98F900">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联系方式</w:t>
            </w:r>
          </w:p>
        </w:tc>
        <w:tc>
          <w:tcPr>
            <w:tcW w:w="1010" w:type="dxa"/>
            <w:tcBorders>
              <w:top w:val="nil"/>
              <w:left w:val="nil"/>
              <w:bottom w:val="single" w:color="auto" w:sz="4" w:space="0"/>
              <w:right w:val="single" w:color="auto" w:sz="4" w:space="0"/>
            </w:tcBorders>
            <w:noWrap w:val="0"/>
            <w:vAlign w:val="center"/>
          </w:tcPr>
          <w:p w14:paraId="3A5BA257">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联系人</w:t>
            </w:r>
          </w:p>
        </w:tc>
        <w:tc>
          <w:tcPr>
            <w:tcW w:w="2429" w:type="dxa"/>
            <w:tcBorders>
              <w:top w:val="single" w:color="auto" w:sz="4" w:space="0"/>
              <w:left w:val="nil"/>
              <w:bottom w:val="single" w:color="auto" w:sz="4" w:space="0"/>
              <w:right w:val="single" w:color="000000" w:sz="4" w:space="0"/>
            </w:tcBorders>
            <w:noWrap w:val="0"/>
            <w:vAlign w:val="center"/>
          </w:tcPr>
          <w:p w14:paraId="09AD3915">
            <w:pPr>
              <w:jc w:val="center"/>
              <w:rPr>
                <w:rFonts w:hint="eastAsia" w:ascii="宋体" w:hAnsi="宋体" w:eastAsia="宋体" w:cs="宋体"/>
                <w:b w:val="0"/>
                <w:bCs/>
                <w:color w:val="000000"/>
                <w:sz w:val="24"/>
                <w:highlight w:val="none"/>
              </w:rPr>
            </w:pPr>
          </w:p>
        </w:tc>
        <w:tc>
          <w:tcPr>
            <w:tcW w:w="1478" w:type="dxa"/>
            <w:tcBorders>
              <w:top w:val="nil"/>
              <w:left w:val="nil"/>
              <w:bottom w:val="single" w:color="auto" w:sz="4" w:space="0"/>
              <w:right w:val="single" w:color="auto" w:sz="4" w:space="0"/>
            </w:tcBorders>
            <w:noWrap w:val="0"/>
            <w:vAlign w:val="center"/>
          </w:tcPr>
          <w:p w14:paraId="1B85EC5A">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电话</w:t>
            </w:r>
          </w:p>
        </w:tc>
        <w:tc>
          <w:tcPr>
            <w:tcW w:w="2060" w:type="dxa"/>
            <w:tcBorders>
              <w:top w:val="nil"/>
              <w:left w:val="nil"/>
              <w:bottom w:val="single" w:color="auto" w:sz="4" w:space="0"/>
              <w:right w:val="single" w:color="auto" w:sz="4" w:space="0"/>
            </w:tcBorders>
            <w:noWrap w:val="0"/>
            <w:vAlign w:val="center"/>
          </w:tcPr>
          <w:p w14:paraId="2465F34C">
            <w:pPr>
              <w:jc w:val="center"/>
              <w:rPr>
                <w:rFonts w:hint="eastAsia" w:ascii="宋体" w:hAnsi="宋体" w:eastAsia="宋体" w:cs="宋体"/>
                <w:b w:val="0"/>
                <w:bCs/>
                <w:color w:val="000000"/>
                <w:sz w:val="24"/>
                <w:highlight w:val="none"/>
              </w:rPr>
            </w:pPr>
          </w:p>
        </w:tc>
      </w:tr>
      <w:tr w14:paraId="53DAFB5D">
        <w:tblPrEx>
          <w:tblCellMar>
            <w:top w:w="0" w:type="dxa"/>
            <w:left w:w="108" w:type="dxa"/>
            <w:bottom w:w="0" w:type="dxa"/>
            <w:right w:w="108" w:type="dxa"/>
          </w:tblCellMar>
        </w:tblPrEx>
        <w:trPr>
          <w:trHeight w:val="945" w:hRule="atLeast"/>
          <w:jc w:val="center"/>
        </w:trPr>
        <w:tc>
          <w:tcPr>
            <w:tcW w:w="1782" w:type="dxa"/>
            <w:vMerge w:val="continue"/>
            <w:tcBorders>
              <w:top w:val="nil"/>
              <w:left w:val="single" w:color="auto" w:sz="4" w:space="0"/>
              <w:bottom w:val="single" w:color="auto" w:sz="4" w:space="0"/>
              <w:right w:val="single" w:color="auto" w:sz="4" w:space="0"/>
            </w:tcBorders>
            <w:noWrap w:val="0"/>
            <w:vAlign w:val="center"/>
          </w:tcPr>
          <w:p w14:paraId="3C66869B">
            <w:pPr>
              <w:jc w:val="center"/>
              <w:rPr>
                <w:rFonts w:hint="eastAsia" w:ascii="宋体" w:hAnsi="宋体" w:eastAsia="宋体" w:cs="宋体"/>
                <w:b w:val="0"/>
                <w:bCs/>
                <w:color w:val="000000"/>
                <w:sz w:val="24"/>
                <w:highlight w:val="none"/>
              </w:rPr>
            </w:pPr>
          </w:p>
        </w:tc>
        <w:tc>
          <w:tcPr>
            <w:tcW w:w="1010" w:type="dxa"/>
            <w:tcBorders>
              <w:top w:val="nil"/>
              <w:left w:val="nil"/>
              <w:bottom w:val="single" w:color="auto" w:sz="4" w:space="0"/>
              <w:right w:val="single" w:color="auto" w:sz="4" w:space="0"/>
            </w:tcBorders>
            <w:noWrap w:val="0"/>
            <w:vAlign w:val="center"/>
          </w:tcPr>
          <w:p w14:paraId="5E0608BF">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邮箱</w:t>
            </w:r>
          </w:p>
        </w:tc>
        <w:tc>
          <w:tcPr>
            <w:tcW w:w="2429" w:type="dxa"/>
            <w:tcBorders>
              <w:top w:val="single" w:color="auto" w:sz="4" w:space="0"/>
              <w:left w:val="nil"/>
              <w:bottom w:val="single" w:color="auto" w:sz="4" w:space="0"/>
              <w:right w:val="single" w:color="000000" w:sz="4" w:space="0"/>
            </w:tcBorders>
            <w:noWrap w:val="0"/>
            <w:vAlign w:val="center"/>
          </w:tcPr>
          <w:p w14:paraId="42162767">
            <w:pPr>
              <w:jc w:val="center"/>
              <w:rPr>
                <w:rFonts w:hint="eastAsia" w:ascii="宋体" w:hAnsi="宋体" w:eastAsia="宋体" w:cs="宋体"/>
                <w:b w:val="0"/>
                <w:bCs/>
                <w:color w:val="000000"/>
                <w:sz w:val="24"/>
                <w:highlight w:val="none"/>
              </w:rPr>
            </w:pPr>
          </w:p>
        </w:tc>
        <w:tc>
          <w:tcPr>
            <w:tcW w:w="1478" w:type="dxa"/>
            <w:tcBorders>
              <w:top w:val="nil"/>
              <w:left w:val="nil"/>
              <w:bottom w:val="single" w:color="auto" w:sz="4" w:space="0"/>
              <w:right w:val="single" w:color="auto" w:sz="4" w:space="0"/>
            </w:tcBorders>
            <w:noWrap w:val="0"/>
            <w:vAlign w:val="center"/>
          </w:tcPr>
          <w:p w14:paraId="12B25CE8">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网址</w:t>
            </w:r>
          </w:p>
        </w:tc>
        <w:tc>
          <w:tcPr>
            <w:tcW w:w="2060" w:type="dxa"/>
            <w:tcBorders>
              <w:top w:val="nil"/>
              <w:left w:val="nil"/>
              <w:bottom w:val="single" w:color="auto" w:sz="4" w:space="0"/>
              <w:right w:val="single" w:color="auto" w:sz="4" w:space="0"/>
            </w:tcBorders>
            <w:noWrap w:val="0"/>
            <w:vAlign w:val="center"/>
          </w:tcPr>
          <w:p w14:paraId="4E518849">
            <w:pPr>
              <w:jc w:val="center"/>
              <w:rPr>
                <w:rFonts w:hint="eastAsia" w:ascii="宋体" w:hAnsi="宋体" w:eastAsia="宋体" w:cs="宋体"/>
                <w:b w:val="0"/>
                <w:bCs/>
                <w:color w:val="000000"/>
                <w:sz w:val="24"/>
                <w:highlight w:val="none"/>
              </w:rPr>
            </w:pPr>
          </w:p>
        </w:tc>
      </w:tr>
      <w:tr w14:paraId="6AD748CC">
        <w:tblPrEx>
          <w:tblCellMar>
            <w:top w:w="0" w:type="dxa"/>
            <w:left w:w="108" w:type="dxa"/>
            <w:bottom w:w="0" w:type="dxa"/>
            <w:right w:w="108" w:type="dxa"/>
          </w:tblCellMar>
        </w:tblPrEx>
        <w:trPr>
          <w:trHeight w:val="945" w:hRule="atLeast"/>
          <w:jc w:val="center"/>
        </w:trPr>
        <w:tc>
          <w:tcPr>
            <w:tcW w:w="1782" w:type="dxa"/>
            <w:tcBorders>
              <w:top w:val="nil"/>
              <w:left w:val="single" w:color="auto" w:sz="4" w:space="0"/>
              <w:bottom w:val="single" w:color="auto" w:sz="4" w:space="0"/>
              <w:right w:val="single" w:color="auto" w:sz="4" w:space="0"/>
            </w:tcBorders>
            <w:noWrap w:val="0"/>
            <w:vAlign w:val="center"/>
          </w:tcPr>
          <w:p w14:paraId="49A05B35">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开户银行</w:t>
            </w:r>
          </w:p>
        </w:tc>
        <w:tc>
          <w:tcPr>
            <w:tcW w:w="3439" w:type="dxa"/>
            <w:gridSpan w:val="2"/>
            <w:tcBorders>
              <w:top w:val="single" w:color="auto" w:sz="4" w:space="0"/>
              <w:left w:val="nil"/>
              <w:bottom w:val="single" w:color="auto" w:sz="4" w:space="0"/>
              <w:right w:val="single" w:color="000000" w:sz="4" w:space="0"/>
            </w:tcBorders>
            <w:noWrap w:val="0"/>
            <w:vAlign w:val="center"/>
          </w:tcPr>
          <w:p w14:paraId="23B3665A">
            <w:pPr>
              <w:jc w:val="center"/>
              <w:rPr>
                <w:rFonts w:hint="eastAsia" w:ascii="宋体" w:hAnsi="宋体" w:eastAsia="宋体" w:cs="宋体"/>
                <w:b w:val="0"/>
                <w:bCs/>
                <w:color w:val="000000"/>
                <w:sz w:val="24"/>
                <w:highlight w:val="none"/>
              </w:rPr>
            </w:pPr>
          </w:p>
        </w:tc>
        <w:tc>
          <w:tcPr>
            <w:tcW w:w="1478" w:type="dxa"/>
            <w:tcBorders>
              <w:top w:val="nil"/>
              <w:left w:val="nil"/>
              <w:bottom w:val="single" w:color="auto" w:sz="4" w:space="0"/>
              <w:right w:val="single" w:color="auto" w:sz="4" w:space="0"/>
            </w:tcBorders>
            <w:noWrap w:val="0"/>
            <w:vAlign w:val="center"/>
          </w:tcPr>
          <w:p w14:paraId="56428415">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账号</w:t>
            </w:r>
          </w:p>
        </w:tc>
        <w:tc>
          <w:tcPr>
            <w:tcW w:w="2060" w:type="dxa"/>
            <w:tcBorders>
              <w:top w:val="nil"/>
              <w:left w:val="nil"/>
              <w:bottom w:val="single" w:color="auto" w:sz="4" w:space="0"/>
              <w:right w:val="single" w:color="auto" w:sz="4" w:space="0"/>
            </w:tcBorders>
            <w:noWrap w:val="0"/>
            <w:vAlign w:val="center"/>
          </w:tcPr>
          <w:p w14:paraId="5CD5D0CA">
            <w:pPr>
              <w:jc w:val="center"/>
              <w:rPr>
                <w:rFonts w:hint="eastAsia" w:ascii="宋体" w:hAnsi="宋体" w:eastAsia="宋体" w:cs="宋体"/>
                <w:b w:val="0"/>
                <w:bCs/>
                <w:color w:val="000000"/>
                <w:sz w:val="24"/>
                <w:highlight w:val="none"/>
              </w:rPr>
            </w:pPr>
          </w:p>
        </w:tc>
      </w:tr>
      <w:tr w14:paraId="51024F2C">
        <w:tblPrEx>
          <w:tblCellMar>
            <w:top w:w="0" w:type="dxa"/>
            <w:left w:w="108" w:type="dxa"/>
            <w:bottom w:w="0" w:type="dxa"/>
            <w:right w:w="108" w:type="dxa"/>
          </w:tblCellMar>
        </w:tblPrEx>
        <w:trPr>
          <w:trHeight w:val="945" w:hRule="atLeast"/>
          <w:jc w:val="center"/>
        </w:trPr>
        <w:tc>
          <w:tcPr>
            <w:tcW w:w="1782" w:type="dxa"/>
            <w:tcBorders>
              <w:top w:val="nil"/>
              <w:left w:val="single" w:color="auto" w:sz="4" w:space="0"/>
              <w:bottom w:val="single" w:color="auto" w:sz="4" w:space="0"/>
              <w:right w:val="single" w:color="auto" w:sz="4" w:space="0"/>
            </w:tcBorders>
            <w:noWrap w:val="0"/>
            <w:vAlign w:val="center"/>
          </w:tcPr>
          <w:p w14:paraId="733F0789">
            <w:pPr>
              <w:jc w:val="center"/>
              <w:rPr>
                <w:rFonts w:hint="eastAsia" w:ascii="宋体" w:hAnsi="宋体" w:eastAsia="宋体" w:cs="宋体"/>
                <w:b w:val="0"/>
                <w:bCs/>
                <w:color w:val="000000"/>
                <w:sz w:val="24"/>
                <w:highlight w:val="none"/>
                <w:lang w:eastAsia="zh-CN"/>
              </w:rPr>
            </w:pPr>
            <w:r>
              <w:rPr>
                <w:rFonts w:hint="eastAsia" w:ascii="宋体" w:hAnsi="宋体" w:eastAsia="宋体" w:cs="宋体"/>
                <w:b w:val="0"/>
                <w:bCs/>
                <w:color w:val="000000"/>
                <w:sz w:val="24"/>
                <w:highlight w:val="none"/>
              </w:rPr>
              <w:t>经营范围</w:t>
            </w:r>
          </w:p>
        </w:tc>
        <w:tc>
          <w:tcPr>
            <w:tcW w:w="6977" w:type="dxa"/>
            <w:gridSpan w:val="4"/>
            <w:tcBorders>
              <w:top w:val="single" w:color="auto" w:sz="4" w:space="0"/>
              <w:left w:val="nil"/>
              <w:bottom w:val="single" w:color="auto" w:sz="4" w:space="0"/>
              <w:right w:val="single" w:color="000000" w:sz="4" w:space="0"/>
            </w:tcBorders>
            <w:noWrap w:val="0"/>
            <w:vAlign w:val="center"/>
          </w:tcPr>
          <w:p w14:paraId="071E2DAE">
            <w:pPr>
              <w:jc w:val="center"/>
              <w:rPr>
                <w:rFonts w:hint="eastAsia" w:ascii="宋体" w:hAnsi="宋体" w:eastAsia="宋体" w:cs="宋体"/>
                <w:b w:val="0"/>
                <w:bCs/>
                <w:color w:val="000000"/>
                <w:sz w:val="24"/>
                <w:highlight w:val="none"/>
              </w:rPr>
            </w:pPr>
          </w:p>
        </w:tc>
      </w:tr>
      <w:tr w14:paraId="45A62520">
        <w:tblPrEx>
          <w:tblCellMar>
            <w:top w:w="0" w:type="dxa"/>
            <w:left w:w="108" w:type="dxa"/>
            <w:bottom w:w="0" w:type="dxa"/>
            <w:right w:w="108" w:type="dxa"/>
          </w:tblCellMar>
        </w:tblPrEx>
        <w:trPr>
          <w:trHeight w:val="955" w:hRule="atLeast"/>
          <w:jc w:val="center"/>
        </w:trPr>
        <w:tc>
          <w:tcPr>
            <w:tcW w:w="1782" w:type="dxa"/>
            <w:tcBorders>
              <w:top w:val="nil"/>
              <w:left w:val="single" w:color="auto" w:sz="4" w:space="0"/>
              <w:bottom w:val="single" w:color="auto" w:sz="4" w:space="0"/>
              <w:right w:val="single" w:color="auto" w:sz="4" w:space="0"/>
            </w:tcBorders>
            <w:noWrap w:val="0"/>
            <w:vAlign w:val="center"/>
          </w:tcPr>
          <w:p w14:paraId="296EF6CF">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备注</w:t>
            </w:r>
          </w:p>
        </w:tc>
        <w:tc>
          <w:tcPr>
            <w:tcW w:w="6977" w:type="dxa"/>
            <w:gridSpan w:val="4"/>
            <w:tcBorders>
              <w:top w:val="single" w:color="auto" w:sz="4" w:space="0"/>
              <w:left w:val="nil"/>
              <w:bottom w:val="single" w:color="auto" w:sz="4" w:space="0"/>
              <w:right w:val="single" w:color="000000" w:sz="4" w:space="0"/>
            </w:tcBorders>
            <w:noWrap w:val="0"/>
            <w:vAlign w:val="center"/>
          </w:tcPr>
          <w:p w14:paraId="51F6FA84">
            <w:pPr>
              <w:jc w:val="center"/>
              <w:rPr>
                <w:rFonts w:hint="eastAsia" w:ascii="宋体" w:hAnsi="宋体" w:eastAsia="宋体" w:cs="宋体"/>
                <w:b w:val="0"/>
                <w:bCs/>
                <w:color w:val="000000"/>
                <w:sz w:val="24"/>
                <w:highlight w:val="none"/>
              </w:rPr>
            </w:pPr>
          </w:p>
        </w:tc>
      </w:tr>
    </w:tbl>
    <w:p w14:paraId="01774A0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p w14:paraId="204DE653">
      <w:pPr>
        <w:pageBreakBefore w:val="0"/>
        <w:numPr>
          <w:ilvl w:val="0"/>
          <w:numId w:val="7"/>
        </w:numPr>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lang w:val="en-US" w:eastAsia="zh-CN"/>
        </w:rPr>
        <w:t>投标人为法人时，</w:t>
      </w:r>
      <w:r>
        <w:rPr>
          <w:rFonts w:hint="eastAsia" w:ascii="宋体" w:hAnsi="宋体" w:eastAsia="宋体" w:cs="宋体"/>
          <w:b w:val="0"/>
          <w:bCs/>
          <w:color w:val="auto"/>
          <w:sz w:val="24"/>
          <w:szCs w:val="24"/>
          <w:highlight w:val="none"/>
        </w:rPr>
        <w:t>后附营业执照</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资质证书</w:t>
      </w:r>
      <w:r>
        <w:rPr>
          <w:rFonts w:hint="eastAsia" w:ascii="宋体" w:hAnsi="宋体" w:eastAsia="宋体" w:cs="宋体"/>
          <w:b w:val="0"/>
          <w:bCs/>
          <w:color w:val="auto"/>
          <w:sz w:val="24"/>
          <w:szCs w:val="24"/>
          <w:highlight w:val="none"/>
        </w:rPr>
        <w:t>等相关证明材料</w:t>
      </w:r>
      <w:r>
        <w:rPr>
          <w:rFonts w:hint="eastAsia" w:ascii="宋体" w:hAnsi="宋体" w:eastAsia="宋体" w:cs="宋体"/>
          <w:b w:val="0"/>
          <w:bCs/>
          <w:color w:val="auto"/>
          <w:sz w:val="24"/>
          <w:szCs w:val="24"/>
          <w:highlight w:val="none"/>
          <w:lang w:eastAsia="zh-CN"/>
        </w:rPr>
        <w:t>；</w:t>
      </w:r>
    </w:p>
    <w:p w14:paraId="3B944056">
      <w:pPr>
        <w:pageBreakBefore w:val="0"/>
        <w:numPr>
          <w:ilvl w:val="0"/>
          <w:numId w:val="7"/>
        </w:numPr>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为非法人时，格式自拟。</w:t>
      </w:r>
    </w:p>
    <w:p w14:paraId="41FB090A">
      <w:pPr>
        <w:pStyle w:val="43"/>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14:paraId="35280DBC">
      <w:pPr>
        <w:keepNext w:val="0"/>
        <w:keepLines w:val="0"/>
        <w:pageBreakBefore w:val="0"/>
        <w:widowControl/>
        <w:suppressLineNumbers w:val="0"/>
        <w:wordWrap/>
        <w:overflowPunct/>
        <w:topLinePunct w:val="0"/>
        <w:bidi w:val="0"/>
        <w:spacing w:line="560" w:lineRule="exact"/>
        <w:ind w:left="0" w:leftChars="0" w:right="0" w:rightChars="0"/>
        <w:jc w:val="center"/>
        <w:outlineLvl w:val="1"/>
        <w:rPr>
          <w:rFonts w:hint="eastAsia" w:ascii="宋体" w:hAnsi="宋体" w:eastAsia="宋体" w:cs="宋体"/>
          <w:bCs/>
          <w:i w:val="0"/>
          <w:iCs w:val="0"/>
          <w:color w:val="auto"/>
          <w:sz w:val="24"/>
          <w:szCs w:val="24"/>
          <w:highlight w:val="none"/>
          <w:lang w:val="en-US"/>
        </w:rPr>
      </w:pPr>
      <w:r>
        <w:rPr>
          <w:rFonts w:hint="eastAsia" w:ascii="宋体" w:hAnsi="宋体" w:eastAsia="宋体" w:cs="宋体"/>
          <w:b w:val="0"/>
          <w:bCs/>
          <w:i w:val="0"/>
          <w:iCs w:val="0"/>
          <w:color w:val="auto"/>
          <w:kern w:val="0"/>
          <w:sz w:val="24"/>
          <w:szCs w:val="24"/>
          <w:highlight w:val="none"/>
          <w:lang w:val="en-US" w:eastAsia="zh-CN"/>
        </w:rPr>
        <w:t>六、项目负责人简介</w:t>
      </w:r>
    </w:p>
    <w:tbl>
      <w:tblPr>
        <w:tblStyle w:val="3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36"/>
        <w:gridCol w:w="1421"/>
        <w:gridCol w:w="1420"/>
        <w:gridCol w:w="1267"/>
        <w:gridCol w:w="2160"/>
      </w:tblGrid>
      <w:tr w14:paraId="71AD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FFF349A">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136" w:type="dxa"/>
            <w:vAlign w:val="center"/>
          </w:tcPr>
          <w:p w14:paraId="2325B27B">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1421" w:type="dxa"/>
            <w:vAlign w:val="center"/>
          </w:tcPr>
          <w:p w14:paraId="75AE1F16">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420" w:type="dxa"/>
            <w:vAlign w:val="center"/>
          </w:tcPr>
          <w:p w14:paraId="0BC0E96E">
            <w:pPr>
              <w:pageBreakBefore w:val="0"/>
              <w:kinsoku/>
              <w:topLinePunct w:val="0"/>
              <w:bidi w:val="0"/>
              <w:spacing w:line="500" w:lineRule="exact"/>
              <w:jc w:val="center"/>
              <w:rPr>
                <w:rFonts w:hint="eastAsia" w:ascii="宋体" w:hAnsi="宋体" w:eastAsia="宋体" w:cs="宋体"/>
                <w:color w:val="auto"/>
                <w:sz w:val="24"/>
                <w:szCs w:val="24"/>
                <w:highlight w:val="none"/>
              </w:rPr>
            </w:pPr>
          </w:p>
        </w:tc>
        <w:tc>
          <w:tcPr>
            <w:tcW w:w="1267" w:type="dxa"/>
            <w:vAlign w:val="center"/>
          </w:tcPr>
          <w:p w14:paraId="6B9ED5EA">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2160" w:type="dxa"/>
            <w:vAlign w:val="center"/>
          </w:tcPr>
          <w:p w14:paraId="316540EB">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64EF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82C4E61">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136" w:type="dxa"/>
            <w:vAlign w:val="center"/>
          </w:tcPr>
          <w:p w14:paraId="497DFBEA">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1421" w:type="dxa"/>
            <w:vAlign w:val="center"/>
          </w:tcPr>
          <w:p w14:paraId="7CAC1B18">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20" w:type="dxa"/>
            <w:vAlign w:val="center"/>
          </w:tcPr>
          <w:p w14:paraId="1A2CC9D5">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1267" w:type="dxa"/>
            <w:vAlign w:val="center"/>
          </w:tcPr>
          <w:p w14:paraId="038F6A82">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60" w:type="dxa"/>
            <w:vAlign w:val="center"/>
          </w:tcPr>
          <w:p w14:paraId="2790B72A">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06FA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03F8D1A5">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57" w:type="dxa"/>
            <w:gridSpan w:val="2"/>
            <w:vAlign w:val="center"/>
          </w:tcPr>
          <w:p w14:paraId="0B0355D8">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2687" w:type="dxa"/>
            <w:gridSpan w:val="2"/>
            <w:vAlign w:val="center"/>
          </w:tcPr>
          <w:p w14:paraId="762E0E38">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2160" w:type="dxa"/>
            <w:vAlign w:val="center"/>
          </w:tcPr>
          <w:p w14:paraId="3D3CD1FD">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0154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06CA4E62">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2557" w:type="dxa"/>
            <w:gridSpan w:val="2"/>
            <w:vAlign w:val="center"/>
          </w:tcPr>
          <w:p w14:paraId="147B1A81">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2687" w:type="dxa"/>
            <w:gridSpan w:val="2"/>
            <w:vAlign w:val="center"/>
          </w:tcPr>
          <w:p w14:paraId="4CA2A19C">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从事项目工作年限</w:t>
            </w:r>
          </w:p>
        </w:tc>
        <w:tc>
          <w:tcPr>
            <w:tcW w:w="2160" w:type="dxa"/>
            <w:vAlign w:val="center"/>
          </w:tcPr>
          <w:p w14:paraId="497652D6">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2939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1A399376">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相关证书</w:t>
            </w:r>
          </w:p>
        </w:tc>
        <w:tc>
          <w:tcPr>
            <w:tcW w:w="7404" w:type="dxa"/>
            <w:gridSpan w:val="5"/>
            <w:vAlign w:val="center"/>
          </w:tcPr>
          <w:p w14:paraId="6AFE93CC">
            <w:pPr>
              <w:pageBreakBefore w:val="0"/>
              <w:kinsoku/>
              <w:topLinePunct w:val="0"/>
              <w:bidi w:val="0"/>
              <w:spacing w:line="500" w:lineRule="exact"/>
              <w:jc w:val="both"/>
              <w:rPr>
                <w:rFonts w:hint="eastAsia" w:ascii="宋体" w:hAnsi="宋体" w:eastAsia="宋体" w:cs="宋体"/>
                <w:color w:val="auto"/>
                <w:sz w:val="24"/>
                <w:szCs w:val="24"/>
                <w:highlight w:val="none"/>
                <w:lang w:val="en-US" w:eastAsia="zh-CN"/>
              </w:rPr>
            </w:pPr>
          </w:p>
        </w:tc>
      </w:tr>
    </w:tbl>
    <w:p w14:paraId="1D5E60D1">
      <w:pPr>
        <w:pStyle w:val="43"/>
        <w:pageBreakBefore w:val="0"/>
        <w:tabs>
          <w:tab w:val="left" w:pos="2636"/>
        </w:tabs>
        <w:wordWrap/>
        <w:overflowPunct/>
        <w:topLinePunct w:val="0"/>
        <w:bidi w:val="0"/>
        <w:spacing w:line="560" w:lineRule="exact"/>
        <w:ind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后附项目负责人身份证、劳动合同等证明材料。</w:t>
      </w:r>
    </w:p>
    <w:p w14:paraId="4B8A63A8">
      <w:pPr>
        <w:rPr>
          <w:rFonts w:hint="eastAsia" w:ascii="宋体" w:hAnsi="宋体" w:eastAsia="宋体" w:cs="宋体"/>
          <w:color w:val="auto"/>
          <w:sz w:val="24"/>
          <w:szCs w:val="24"/>
          <w:highlight w:val="none"/>
          <w:lang w:eastAsia="zh-CN"/>
        </w:rPr>
        <w:sectPr>
          <w:pgSz w:w="11906" w:h="16838"/>
          <w:pgMar w:top="1440" w:right="1800" w:bottom="1440" w:left="1800" w:header="851" w:footer="992" w:gutter="0"/>
          <w:pgNumType w:fmt="decimal"/>
          <w:cols w:space="720" w:num="1"/>
          <w:docGrid w:type="lines" w:linePitch="312" w:charSpace="0"/>
        </w:sectPr>
      </w:pPr>
    </w:p>
    <w:bookmarkEnd w:id="142"/>
    <w:p w14:paraId="0538DF33">
      <w:pPr>
        <w:keepNext w:val="0"/>
        <w:keepLines w:val="0"/>
        <w:pageBreakBefore w:val="0"/>
        <w:widowControl/>
        <w:numPr>
          <w:ilvl w:val="0"/>
          <w:numId w:val="8"/>
        </w:numPr>
        <w:suppressLineNumbers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拟配备人员简介</w:t>
      </w:r>
    </w:p>
    <w:tbl>
      <w:tblPr>
        <w:tblStyle w:val="34"/>
        <w:tblpPr w:leftFromText="180" w:rightFromText="180" w:vertAnchor="text" w:horzAnchor="page" w:tblpX="1510" w:tblpY="527"/>
        <w:tblOverlap w:val="never"/>
        <w:tblW w:w="46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832"/>
        <w:gridCol w:w="1188"/>
        <w:gridCol w:w="968"/>
        <w:gridCol w:w="1260"/>
        <w:gridCol w:w="886"/>
        <w:gridCol w:w="1009"/>
        <w:gridCol w:w="912"/>
      </w:tblGrid>
      <w:tr w14:paraId="0DDC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vMerge w:val="restart"/>
            <w:vAlign w:val="center"/>
          </w:tcPr>
          <w:p w14:paraId="31708F6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521" w:type="pct"/>
            <w:vMerge w:val="restart"/>
            <w:vAlign w:val="center"/>
          </w:tcPr>
          <w:p w14:paraId="0252F4E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姓名</w:t>
            </w:r>
          </w:p>
        </w:tc>
        <w:tc>
          <w:tcPr>
            <w:tcW w:w="744" w:type="pct"/>
            <w:vMerge w:val="restart"/>
            <w:vAlign w:val="center"/>
          </w:tcPr>
          <w:p w14:paraId="2B894EE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拟担任本项目职务/岗位</w:t>
            </w:r>
          </w:p>
        </w:tc>
        <w:tc>
          <w:tcPr>
            <w:tcW w:w="606" w:type="pct"/>
            <w:vMerge w:val="restart"/>
            <w:vAlign w:val="center"/>
          </w:tcPr>
          <w:p w14:paraId="2393949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常住地</w:t>
            </w:r>
          </w:p>
        </w:tc>
        <w:tc>
          <w:tcPr>
            <w:tcW w:w="2547" w:type="pct"/>
            <w:gridSpan w:val="4"/>
            <w:vAlign w:val="center"/>
          </w:tcPr>
          <w:p w14:paraId="446B010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相关证书</w:t>
            </w:r>
          </w:p>
        </w:tc>
      </w:tr>
      <w:tr w14:paraId="15F7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579" w:type="pct"/>
            <w:vMerge w:val="continue"/>
            <w:vAlign w:val="center"/>
          </w:tcPr>
          <w:p w14:paraId="1CAB10A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vMerge w:val="continue"/>
            <w:vAlign w:val="center"/>
          </w:tcPr>
          <w:p w14:paraId="4221F80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vMerge w:val="continue"/>
            <w:vAlign w:val="center"/>
          </w:tcPr>
          <w:p w14:paraId="1B38C99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vMerge w:val="continue"/>
            <w:vAlign w:val="center"/>
          </w:tcPr>
          <w:p w14:paraId="5B47CB1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vAlign w:val="center"/>
          </w:tcPr>
          <w:p w14:paraId="09C2D0C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证书名称</w:t>
            </w:r>
          </w:p>
        </w:tc>
        <w:tc>
          <w:tcPr>
            <w:tcW w:w="555" w:type="pct"/>
            <w:vAlign w:val="center"/>
          </w:tcPr>
          <w:p w14:paraId="2DCBD10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级别</w:t>
            </w:r>
          </w:p>
        </w:tc>
        <w:tc>
          <w:tcPr>
            <w:tcW w:w="632" w:type="pct"/>
            <w:vAlign w:val="center"/>
          </w:tcPr>
          <w:p w14:paraId="05F7C6B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证书号</w:t>
            </w:r>
          </w:p>
        </w:tc>
        <w:tc>
          <w:tcPr>
            <w:tcW w:w="568" w:type="pct"/>
            <w:vAlign w:val="center"/>
          </w:tcPr>
          <w:p w14:paraId="1917207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专业</w:t>
            </w:r>
          </w:p>
        </w:tc>
      </w:tr>
      <w:tr w14:paraId="3D95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tcPr>
          <w:p w14:paraId="3B463C8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3C5F6B2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304C2AA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44BF0D4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12ED6CB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50B68A7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7E9312A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1BE3342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63C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tcPr>
          <w:p w14:paraId="604EEA8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4F3FD3B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170B225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29C7B72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46D86A7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42766BD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481D59C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0A921BF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2178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tcPr>
          <w:p w14:paraId="4B1256B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1F48617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1FFEACB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0AE75CC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290B273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0B96F28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60C1D2E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1B7C51F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5CB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vAlign w:val="center"/>
          </w:tcPr>
          <w:p w14:paraId="24DC250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53119C6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6069FB2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4BEBCCA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3439CB8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0B4039C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0A7DBF2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6C5A07D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2CF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tcPr>
          <w:p w14:paraId="3248CEC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183CAAE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3EDE977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2D47A3E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21DBA3C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5BA87C9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0AB4271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5CFFFE4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12F8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79" w:type="pct"/>
          </w:tcPr>
          <w:p w14:paraId="684F966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6E7A311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6B8A407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718EA3D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79648FE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382A496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47ADBF0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069E791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bl>
    <w:p w14:paraId="171B95FD">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拟配备人员汇总表</w:t>
      </w:r>
    </w:p>
    <w:p w14:paraId="46CB65C9">
      <w:pPr>
        <w:pageBreakBefore w:val="0"/>
        <w:wordWrap/>
        <w:overflowPunct/>
        <w:topLinePunct w:val="0"/>
        <w:bidi w:val="0"/>
        <w:adjustRightInd w:val="0"/>
        <w:spacing w:line="560" w:lineRule="exact"/>
        <w:ind w:right="0" w:rightChars="0" w:firstLine="240" w:firstLineChars="1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w:t>
      </w:r>
    </w:p>
    <w:p w14:paraId="0127B0BB">
      <w:pPr>
        <w:pageBreakBefore w:val="0"/>
        <w:wordWrap/>
        <w:overflowPunct/>
        <w:topLinePunct w:val="0"/>
        <w:bidi w:val="0"/>
        <w:adjustRightInd w:val="0"/>
        <w:spacing w:line="560" w:lineRule="exact"/>
        <w:ind w:left="0" w:leftChars="0" w:right="0" w:rightChars="0" w:firstLine="900" w:firstLineChars="375"/>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xml:space="preserve">名称（盖章）：        </w:t>
      </w:r>
    </w:p>
    <w:p w14:paraId="37F789BC">
      <w:pPr>
        <w:pStyle w:val="15"/>
        <w:pageBreakBefore w:val="0"/>
        <w:wordWrap/>
        <w:overflowPunct/>
        <w:topLinePunct w:val="0"/>
        <w:bidi w:val="0"/>
        <w:spacing w:after="0" w:line="560" w:lineRule="exact"/>
        <w:ind w:left="0" w:leftChars="0" w:right="0" w:rightChars="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授权人</w:t>
      </w:r>
      <w:r>
        <w:rPr>
          <w:rFonts w:hint="eastAsia" w:ascii="宋体" w:hAnsi="宋体" w:eastAsia="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rPr>
        <w:t>被授权人（签字或盖章）：</w:t>
      </w:r>
    </w:p>
    <w:p w14:paraId="257A1355">
      <w:pPr>
        <w:pageBreakBefore w:val="0"/>
        <w:wordWrap/>
        <w:overflowPunct/>
        <w:topLinePunct w:val="0"/>
        <w:bidi w:val="0"/>
        <w:adjustRightInd w:val="0"/>
        <w:spacing w:line="560" w:lineRule="exact"/>
        <w:ind w:right="0" w:rightChars="0" w:firstLine="4320" w:firstLineChars="18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日期</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 </w:t>
      </w:r>
    </w:p>
    <w:p w14:paraId="53D3307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35AE92A7">
      <w:pPr>
        <w:pStyle w:val="11"/>
        <w:rPr>
          <w:rFonts w:hint="eastAsia" w:ascii="宋体" w:hAnsi="宋体" w:eastAsia="宋体" w:cs="宋体"/>
          <w:color w:val="auto"/>
          <w:sz w:val="24"/>
          <w:szCs w:val="24"/>
          <w:highlight w:val="none"/>
          <w:lang w:val="en-US" w:eastAsia="zh-CN"/>
        </w:rPr>
      </w:pPr>
    </w:p>
    <w:p w14:paraId="55C234D6">
      <w:pPr>
        <w:pageBreakBefore w:val="0"/>
        <w:kinsoku/>
        <w:topLinePunct w:val="0"/>
        <w:bidi w:val="0"/>
        <w:spacing w:line="500" w:lineRule="exact"/>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人员简历</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1062"/>
        <w:gridCol w:w="1329"/>
        <w:gridCol w:w="1328"/>
        <w:gridCol w:w="1184"/>
        <w:gridCol w:w="2023"/>
      </w:tblGrid>
      <w:tr w14:paraId="40B4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vAlign w:val="center"/>
          </w:tcPr>
          <w:p w14:paraId="46956A95">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623" w:type="pct"/>
            <w:vAlign w:val="center"/>
          </w:tcPr>
          <w:p w14:paraId="3FC052B9">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780" w:type="pct"/>
            <w:vAlign w:val="center"/>
          </w:tcPr>
          <w:p w14:paraId="277751E3">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779" w:type="pct"/>
            <w:vAlign w:val="center"/>
          </w:tcPr>
          <w:p w14:paraId="499BB93D">
            <w:pPr>
              <w:pageBreakBefore w:val="0"/>
              <w:kinsoku/>
              <w:topLinePunct w:val="0"/>
              <w:bidi w:val="0"/>
              <w:spacing w:line="500" w:lineRule="exact"/>
              <w:jc w:val="center"/>
              <w:rPr>
                <w:rFonts w:hint="eastAsia" w:ascii="宋体" w:hAnsi="宋体" w:eastAsia="宋体" w:cs="宋体"/>
                <w:color w:val="auto"/>
                <w:sz w:val="24"/>
                <w:szCs w:val="24"/>
                <w:highlight w:val="none"/>
              </w:rPr>
            </w:pPr>
          </w:p>
        </w:tc>
        <w:tc>
          <w:tcPr>
            <w:tcW w:w="695" w:type="pct"/>
            <w:vAlign w:val="center"/>
          </w:tcPr>
          <w:p w14:paraId="1D85A278">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186" w:type="pct"/>
            <w:vAlign w:val="center"/>
          </w:tcPr>
          <w:p w14:paraId="1DA3498B">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4DC4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vAlign w:val="center"/>
          </w:tcPr>
          <w:p w14:paraId="6C6CA6FC">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623" w:type="pct"/>
            <w:vAlign w:val="center"/>
          </w:tcPr>
          <w:p w14:paraId="34EC91D4">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780" w:type="pct"/>
            <w:vAlign w:val="center"/>
          </w:tcPr>
          <w:p w14:paraId="05F319EF">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779" w:type="pct"/>
            <w:vAlign w:val="center"/>
          </w:tcPr>
          <w:p w14:paraId="3133A55C">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695" w:type="pct"/>
            <w:vAlign w:val="center"/>
          </w:tcPr>
          <w:p w14:paraId="2F933B78">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186" w:type="pct"/>
            <w:vAlign w:val="center"/>
          </w:tcPr>
          <w:p w14:paraId="7F5D0B31">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380B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pct"/>
            <w:vAlign w:val="center"/>
          </w:tcPr>
          <w:p w14:paraId="338D72DA">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1403" w:type="pct"/>
            <w:gridSpan w:val="2"/>
            <w:vAlign w:val="center"/>
          </w:tcPr>
          <w:p w14:paraId="3C54DAEB">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1474" w:type="pct"/>
            <w:gridSpan w:val="2"/>
            <w:vAlign w:val="center"/>
          </w:tcPr>
          <w:p w14:paraId="489F5C70">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1186" w:type="pct"/>
            <w:vAlign w:val="center"/>
          </w:tcPr>
          <w:p w14:paraId="384FEFC0">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6AE1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pct"/>
            <w:vAlign w:val="center"/>
          </w:tcPr>
          <w:p w14:paraId="290DA011">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1403" w:type="pct"/>
            <w:gridSpan w:val="2"/>
            <w:vAlign w:val="center"/>
          </w:tcPr>
          <w:p w14:paraId="7C68EEC1">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1474" w:type="pct"/>
            <w:gridSpan w:val="2"/>
            <w:vAlign w:val="center"/>
          </w:tcPr>
          <w:p w14:paraId="7731D612">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从事项目工作年限</w:t>
            </w:r>
          </w:p>
        </w:tc>
        <w:tc>
          <w:tcPr>
            <w:tcW w:w="1186" w:type="pct"/>
            <w:vAlign w:val="center"/>
          </w:tcPr>
          <w:p w14:paraId="472E55DA">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7890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pct"/>
            <w:vAlign w:val="center"/>
          </w:tcPr>
          <w:p w14:paraId="2E0EBD26">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相关证书</w:t>
            </w:r>
          </w:p>
        </w:tc>
        <w:tc>
          <w:tcPr>
            <w:tcW w:w="4064" w:type="pct"/>
            <w:gridSpan w:val="5"/>
            <w:vAlign w:val="center"/>
          </w:tcPr>
          <w:p w14:paraId="09645F95">
            <w:pPr>
              <w:pageBreakBefore w:val="0"/>
              <w:kinsoku/>
              <w:topLinePunct w:val="0"/>
              <w:bidi w:val="0"/>
              <w:spacing w:line="500" w:lineRule="exact"/>
              <w:jc w:val="both"/>
              <w:rPr>
                <w:rFonts w:hint="eastAsia" w:ascii="宋体" w:hAnsi="宋体" w:eastAsia="宋体" w:cs="宋体"/>
                <w:color w:val="auto"/>
                <w:sz w:val="24"/>
                <w:szCs w:val="24"/>
                <w:highlight w:val="none"/>
                <w:lang w:val="en-US" w:eastAsia="zh-CN"/>
              </w:rPr>
            </w:pPr>
          </w:p>
        </w:tc>
      </w:tr>
    </w:tbl>
    <w:p w14:paraId="6E78D809">
      <w:pPr>
        <w:pStyle w:val="1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拟配备人员每人填一张简历，后附人员的身份证、劳动合同等证明材料。</w:t>
      </w:r>
    </w:p>
    <w:p w14:paraId="152EBDB5">
      <w:pP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br w:type="page"/>
      </w:r>
    </w:p>
    <w:p w14:paraId="63594712">
      <w:pPr>
        <w:pageBreakBefore w:val="0"/>
        <w:wordWrap/>
        <w:overflowPunct/>
        <w:topLinePunct w:val="0"/>
        <w:bidi w:val="0"/>
        <w:spacing w:line="560" w:lineRule="exact"/>
        <w:ind w:left="0" w:leftChars="0" w:right="0" w:rightChars="0"/>
        <w:jc w:val="center"/>
        <w:outlineLvl w:val="1"/>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八、</w:t>
      </w:r>
      <w:r>
        <w:rPr>
          <w:rFonts w:hint="eastAsia" w:ascii="宋体" w:hAnsi="宋体" w:eastAsia="宋体" w:cs="宋体"/>
          <w:b w:val="0"/>
          <w:bCs/>
          <w:color w:val="auto"/>
          <w:sz w:val="24"/>
          <w:szCs w:val="24"/>
          <w:highlight w:val="none"/>
        </w:rPr>
        <w:t>近年</w:t>
      </w:r>
      <w:r>
        <w:rPr>
          <w:rFonts w:hint="eastAsia" w:ascii="宋体" w:hAnsi="宋体" w:eastAsia="宋体" w:cs="宋体"/>
          <w:b w:val="0"/>
          <w:bCs/>
          <w:color w:val="auto"/>
          <w:sz w:val="24"/>
          <w:szCs w:val="24"/>
          <w:highlight w:val="none"/>
          <w:lang w:val="en-US" w:eastAsia="zh-CN"/>
        </w:rPr>
        <w:t>同类</w:t>
      </w:r>
      <w:r>
        <w:rPr>
          <w:rFonts w:hint="eastAsia" w:ascii="宋体" w:hAnsi="宋体" w:eastAsia="宋体" w:cs="宋体"/>
          <w:b w:val="0"/>
          <w:bCs/>
          <w:color w:val="auto"/>
          <w:sz w:val="24"/>
          <w:szCs w:val="24"/>
          <w:highlight w:val="none"/>
        </w:rPr>
        <w:t>项目情况表</w:t>
      </w:r>
    </w:p>
    <w:tbl>
      <w:tblPr>
        <w:tblStyle w:val="34"/>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06"/>
        <w:gridCol w:w="959"/>
        <w:gridCol w:w="1112"/>
        <w:gridCol w:w="1150"/>
        <w:gridCol w:w="1161"/>
        <w:gridCol w:w="1179"/>
        <w:gridCol w:w="1157"/>
        <w:gridCol w:w="1078"/>
        <w:gridCol w:w="7"/>
      </w:tblGrid>
      <w:tr w14:paraId="2FAB53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606" w:type="dxa"/>
            <w:tcBorders>
              <w:top w:val="single" w:color="auto" w:sz="4" w:space="0"/>
            </w:tcBorders>
            <w:vAlign w:val="center"/>
          </w:tcPr>
          <w:p w14:paraId="64B9A656">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960" w:type="dxa"/>
            <w:vAlign w:val="center"/>
          </w:tcPr>
          <w:p w14:paraId="1C52383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招标人</w:t>
            </w:r>
          </w:p>
        </w:tc>
        <w:tc>
          <w:tcPr>
            <w:tcW w:w="1113" w:type="dxa"/>
            <w:vAlign w:val="center"/>
          </w:tcPr>
          <w:p w14:paraId="2D8DF48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tc>
        <w:tc>
          <w:tcPr>
            <w:tcW w:w="1151" w:type="dxa"/>
            <w:vAlign w:val="center"/>
          </w:tcPr>
          <w:p w14:paraId="2113277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联系电话</w:t>
            </w:r>
          </w:p>
        </w:tc>
        <w:tc>
          <w:tcPr>
            <w:tcW w:w="1162" w:type="dxa"/>
            <w:vAlign w:val="center"/>
          </w:tcPr>
          <w:p w14:paraId="56A63E3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项目名称</w:t>
            </w:r>
          </w:p>
        </w:tc>
        <w:tc>
          <w:tcPr>
            <w:tcW w:w="1180" w:type="dxa"/>
            <w:vAlign w:val="center"/>
          </w:tcPr>
          <w:p w14:paraId="194D674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完成时间</w:t>
            </w:r>
          </w:p>
        </w:tc>
        <w:tc>
          <w:tcPr>
            <w:tcW w:w="1158" w:type="dxa"/>
            <w:vAlign w:val="center"/>
          </w:tcPr>
          <w:p w14:paraId="1767673B">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合同金额</w:t>
            </w:r>
          </w:p>
        </w:tc>
        <w:tc>
          <w:tcPr>
            <w:tcW w:w="1079" w:type="dxa"/>
            <w:gridSpan w:val="2"/>
            <w:tcBorders>
              <w:right w:val="single" w:color="auto" w:sz="4" w:space="0"/>
            </w:tcBorders>
            <w:vAlign w:val="center"/>
          </w:tcPr>
          <w:p w14:paraId="3D7C58F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用户反馈</w:t>
            </w:r>
          </w:p>
        </w:tc>
      </w:tr>
      <w:tr w14:paraId="114BEB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4FC331A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vAlign w:val="center"/>
          </w:tcPr>
          <w:p w14:paraId="258069C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vAlign w:val="center"/>
          </w:tcPr>
          <w:p w14:paraId="3E47AC9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vAlign w:val="center"/>
          </w:tcPr>
          <w:p w14:paraId="5B54E9E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vAlign w:val="center"/>
          </w:tcPr>
          <w:p w14:paraId="06E3046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vAlign w:val="center"/>
          </w:tcPr>
          <w:p w14:paraId="3AF83A4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vAlign w:val="center"/>
          </w:tcPr>
          <w:p w14:paraId="0A26DDF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79" w:type="dxa"/>
            <w:gridSpan w:val="2"/>
            <w:tcBorders>
              <w:right w:val="single" w:color="auto" w:sz="4" w:space="0"/>
            </w:tcBorders>
            <w:vAlign w:val="center"/>
          </w:tcPr>
          <w:p w14:paraId="33E49F6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4A3B48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59A9EC4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vAlign w:val="center"/>
          </w:tcPr>
          <w:p w14:paraId="42C83AB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vAlign w:val="center"/>
          </w:tcPr>
          <w:p w14:paraId="7550C10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vAlign w:val="center"/>
          </w:tcPr>
          <w:p w14:paraId="27E2E33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vAlign w:val="center"/>
          </w:tcPr>
          <w:p w14:paraId="06B853D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vAlign w:val="center"/>
          </w:tcPr>
          <w:p w14:paraId="00A306C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vAlign w:val="center"/>
          </w:tcPr>
          <w:p w14:paraId="05CFACE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79" w:type="dxa"/>
            <w:gridSpan w:val="2"/>
            <w:tcBorders>
              <w:right w:val="single" w:color="auto" w:sz="4" w:space="0"/>
            </w:tcBorders>
            <w:vAlign w:val="center"/>
          </w:tcPr>
          <w:p w14:paraId="3112B98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5D36D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62A8D56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vAlign w:val="center"/>
          </w:tcPr>
          <w:p w14:paraId="5ABD75B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vAlign w:val="center"/>
          </w:tcPr>
          <w:p w14:paraId="051A178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vAlign w:val="center"/>
          </w:tcPr>
          <w:p w14:paraId="212C297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vAlign w:val="center"/>
          </w:tcPr>
          <w:p w14:paraId="3E18CE9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vAlign w:val="center"/>
          </w:tcPr>
          <w:p w14:paraId="1F63B11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vAlign w:val="center"/>
          </w:tcPr>
          <w:p w14:paraId="6413BBD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79" w:type="dxa"/>
            <w:gridSpan w:val="2"/>
            <w:tcBorders>
              <w:right w:val="single" w:color="auto" w:sz="4" w:space="0"/>
            </w:tcBorders>
            <w:vAlign w:val="center"/>
          </w:tcPr>
          <w:p w14:paraId="1C33019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6255DD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6CD92F3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tcBorders>
              <w:right w:val="single" w:color="auto" w:sz="4" w:space="0"/>
            </w:tcBorders>
            <w:vAlign w:val="center"/>
          </w:tcPr>
          <w:p w14:paraId="6DA602D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left w:val="single" w:color="auto" w:sz="4" w:space="0"/>
            </w:tcBorders>
            <w:vAlign w:val="center"/>
          </w:tcPr>
          <w:p w14:paraId="24F348E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tcBorders>
              <w:left w:val="single" w:color="auto" w:sz="4" w:space="0"/>
            </w:tcBorders>
            <w:vAlign w:val="center"/>
          </w:tcPr>
          <w:p w14:paraId="03B41C6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tcBorders>
              <w:left w:val="single" w:color="auto" w:sz="4" w:space="0"/>
            </w:tcBorders>
            <w:vAlign w:val="center"/>
          </w:tcPr>
          <w:p w14:paraId="193B8E4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vAlign w:val="center"/>
          </w:tcPr>
          <w:p w14:paraId="6F87368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vAlign w:val="center"/>
          </w:tcPr>
          <w:p w14:paraId="0DDBDDC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79" w:type="dxa"/>
            <w:gridSpan w:val="2"/>
            <w:tcBorders>
              <w:right w:val="single" w:color="auto" w:sz="4" w:space="0"/>
            </w:tcBorders>
            <w:vAlign w:val="center"/>
          </w:tcPr>
          <w:p w14:paraId="74B5657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242C77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087E2DD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960" w:type="dxa"/>
            <w:tcBorders>
              <w:left w:val="single" w:color="auto" w:sz="4" w:space="0"/>
              <w:right w:val="single" w:color="auto" w:sz="4" w:space="0"/>
            </w:tcBorders>
            <w:vAlign w:val="center"/>
          </w:tcPr>
          <w:p w14:paraId="430244BB">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13" w:type="dxa"/>
            <w:tcBorders>
              <w:left w:val="single" w:color="auto" w:sz="4" w:space="0"/>
              <w:right w:val="single" w:color="auto" w:sz="4" w:space="0"/>
            </w:tcBorders>
            <w:vAlign w:val="center"/>
          </w:tcPr>
          <w:p w14:paraId="27378E47">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51" w:type="dxa"/>
            <w:tcBorders>
              <w:left w:val="single" w:color="auto" w:sz="4" w:space="0"/>
              <w:right w:val="single" w:color="auto" w:sz="4" w:space="0"/>
            </w:tcBorders>
            <w:vAlign w:val="center"/>
          </w:tcPr>
          <w:p w14:paraId="6B9B2E2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62" w:type="dxa"/>
            <w:tcBorders>
              <w:left w:val="single" w:color="auto" w:sz="4" w:space="0"/>
              <w:right w:val="single" w:color="auto" w:sz="4" w:space="0"/>
            </w:tcBorders>
            <w:vAlign w:val="center"/>
          </w:tcPr>
          <w:p w14:paraId="2E9AE2E3">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80" w:type="dxa"/>
            <w:tcBorders>
              <w:left w:val="single" w:color="auto" w:sz="4" w:space="0"/>
              <w:right w:val="single" w:color="auto" w:sz="4" w:space="0"/>
            </w:tcBorders>
            <w:vAlign w:val="center"/>
          </w:tcPr>
          <w:p w14:paraId="6A645643">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58" w:type="dxa"/>
            <w:tcBorders>
              <w:left w:val="single" w:color="auto" w:sz="4" w:space="0"/>
              <w:right w:val="single" w:color="auto" w:sz="4" w:space="0"/>
            </w:tcBorders>
            <w:vAlign w:val="center"/>
          </w:tcPr>
          <w:p w14:paraId="748AA9B9">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079" w:type="dxa"/>
            <w:gridSpan w:val="2"/>
            <w:tcBorders>
              <w:left w:val="single" w:color="auto" w:sz="4" w:space="0"/>
              <w:right w:val="single" w:color="auto" w:sz="4" w:space="0"/>
            </w:tcBorders>
            <w:vAlign w:val="center"/>
          </w:tcPr>
          <w:p w14:paraId="6D302150">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r>
      <w:tr w14:paraId="3BADE9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74BEC3E6">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960" w:type="dxa"/>
            <w:vAlign w:val="center"/>
          </w:tcPr>
          <w:p w14:paraId="6832B54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13" w:type="dxa"/>
            <w:vAlign w:val="center"/>
          </w:tcPr>
          <w:p w14:paraId="007B9452">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51" w:type="dxa"/>
            <w:vAlign w:val="center"/>
          </w:tcPr>
          <w:p w14:paraId="3FD7AFC0">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62" w:type="dxa"/>
            <w:vAlign w:val="center"/>
          </w:tcPr>
          <w:p w14:paraId="6059022D">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80" w:type="dxa"/>
            <w:vAlign w:val="center"/>
          </w:tcPr>
          <w:p w14:paraId="458C2D15">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58" w:type="dxa"/>
            <w:tcBorders>
              <w:right w:val="single" w:color="auto" w:sz="4" w:space="0"/>
            </w:tcBorders>
            <w:vAlign w:val="center"/>
          </w:tcPr>
          <w:p w14:paraId="3207A9E7">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069" w:type="dxa"/>
            <w:tcBorders>
              <w:left w:val="single" w:color="auto" w:sz="4" w:space="0"/>
              <w:right w:val="single" w:color="auto" w:sz="4" w:space="0"/>
            </w:tcBorders>
            <w:vAlign w:val="center"/>
          </w:tcPr>
          <w:p w14:paraId="2EDEFABE">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r>
      <w:tr w14:paraId="42AB97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660544D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vAlign w:val="center"/>
          </w:tcPr>
          <w:p w14:paraId="381FA98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vAlign w:val="center"/>
          </w:tcPr>
          <w:p w14:paraId="59C5C58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vAlign w:val="center"/>
          </w:tcPr>
          <w:p w14:paraId="4DC0515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vAlign w:val="center"/>
          </w:tcPr>
          <w:p w14:paraId="04E2EA2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vAlign w:val="center"/>
          </w:tcPr>
          <w:p w14:paraId="3002C7C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tcBorders>
              <w:right w:val="single" w:color="auto" w:sz="4" w:space="0"/>
            </w:tcBorders>
            <w:vAlign w:val="center"/>
          </w:tcPr>
          <w:p w14:paraId="5921A88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69" w:type="dxa"/>
            <w:tcBorders>
              <w:left w:val="single" w:color="auto" w:sz="4" w:space="0"/>
              <w:right w:val="single" w:color="auto" w:sz="4" w:space="0"/>
            </w:tcBorders>
            <w:vAlign w:val="center"/>
          </w:tcPr>
          <w:p w14:paraId="2195768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468EA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277586D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vAlign w:val="center"/>
          </w:tcPr>
          <w:p w14:paraId="449B060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vAlign w:val="center"/>
          </w:tcPr>
          <w:p w14:paraId="36ACC49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vAlign w:val="center"/>
          </w:tcPr>
          <w:p w14:paraId="3070CA2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vAlign w:val="center"/>
          </w:tcPr>
          <w:p w14:paraId="1DE1065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vAlign w:val="center"/>
          </w:tcPr>
          <w:p w14:paraId="0979CED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tcBorders>
              <w:right w:val="single" w:color="auto" w:sz="4" w:space="0"/>
            </w:tcBorders>
            <w:vAlign w:val="center"/>
          </w:tcPr>
          <w:p w14:paraId="1F7CFDB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69" w:type="dxa"/>
            <w:tcBorders>
              <w:left w:val="single" w:color="auto" w:sz="4" w:space="0"/>
              <w:right w:val="single" w:color="auto" w:sz="4" w:space="0"/>
            </w:tcBorders>
            <w:vAlign w:val="center"/>
          </w:tcPr>
          <w:p w14:paraId="2A39B3B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605D40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10" w:hRule="atLeast"/>
          <w:jc w:val="center"/>
        </w:trPr>
        <w:tc>
          <w:tcPr>
            <w:tcW w:w="606" w:type="dxa"/>
            <w:tcBorders>
              <w:bottom w:val="single" w:color="auto" w:sz="4" w:space="0"/>
            </w:tcBorders>
            <w:vAlign w:val="center"/>
          </w:tcPr>
          <w:p w14:paraId="13FF964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tcBorders>
              <w:bottom w:val="single" w:color="auto" w:sz="4" w:space="0"/>
            </w:tcBorders>
            <w:vAlign w:val="center"/>
          </w:tcPr>
          <w:p w14:paraId="6427424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bottom w:val="single" w:color="auto" w:sz="4" w:space="0"/>
            </w:tcBorders>
            <w:vAlign w:val="center"/>
          </w:tcPr>
          <w:p w14:paraId="19976C9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tcBorders>
              <w:bottom w:val="single" w:color="auto" w:sz="4" w:space="0"/>
            </w:tcBorders>
            <w:vAlign w:val="center"/>
          </w:tcPr>
          <w:p w14:paraId="67009AF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tcBorders>
              <w:bottom w:val="single" w:color="auto" w:sz="4" w:space="0"/>
            </w:tcBorders>
            <w:vAlign w:val="center"/>
          </w:tcPr>
          <w:p w14:paraId="6EFCB62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tcBorders>
              <w:bottom w:val="single" w:color="auto" w:sz="4" w:space="0"/>
            </w:tcBorders>
            <w:vAlign w:val="center"/>
          </w:tcPr>
          <w:p w14:paraId="7B11318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tcBorders>
              <w:bottom w:val="single" w:color="auto" w:sz="4" w:space="0"/>
              <w:right w:val="single" w:color="auto" w:sz="4" w:space="0"/>
            </w:tcBorders>
            <w:vAlign w:val="center"/>
          </w:tcPr>
          <w:p w14:paraId="21FC146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69" w:type="dxa"/>
            <w:tcBorders>
              <w:left w:val="single" w:color="auto" w:sz="4" w:space="0"/>
              <w:bottom w:val="single" w:color="auto" w:sz="4" w:space="0"/>
              <w:right w:val="single" w:color="auto" w:sz="4" w:space="0"/>
            </w:tcBorders>
            <w:vAlign w:val="center"/>
          </w:tcPr>
          <w:p w14:paraId="2023832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56A04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7635FCE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tcBorders>
              <w:top w:val="single" w:color="auto" w:sz="4" w:space="0"/>
              <w:bottom w:val="single" w:color="auto" w:sz="4" w:space="0"/>
            </w:tcBorders>
            <w:vAlign w:val="center"/>
          </w:tcPr>
          <w:p w14:paraId="587B52B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top w:val="single" w:color="auto" w:sz="4" w:space="0"/>
              <w:bottom w:val="single" w:color="auto" w:sz="4" w:space="0"/>
            </w:tcBorders>
            <w:vAlign w:val="center"/>
          </w:tcPr>
          <w:p w14:paraId="68FF912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tcBorders>
              <w:top w:val="single" w:color="auto" w:sz="4" w:space="0"/>
              <w:bottom w:val="single" w:color="auto" w:sz="4" w:space="0"/>
            </w:tcBorders>
            <w:vAlign w:val="center"/>
          </w:tcPr>
          <w:p w14:paraId="1BABDD8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tcBorders>
              <w:top w:val="single" w:color="auto" w:sz="4" w:space="0"/>
              <w:bottom w:val="single" w:color="auto" w:sz="4" w:space="0"/>
            </w:tcBorders>
            <w:vAlign w:val="center"/>
          </w:tcPr>
          <w:p w14:paraId="7389040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tcBorders>
              <w:top w:val="single" w:color="auto" w:sz="4" w:space="0"/>
              <w:bottom w:val="single" w:color="auto" w:sz="4" w:space="0"/>
            </w:tcBorders>
            <w:vAlign w:val="center"/>
          </w:tcPr>
          <w:p w14:paraId="1B9FD1D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tcBorders>
              <w:top w:val="single" w:color="auto" w:sz="4" w:space="0"/>
              <w:bottom w:val="single" w:color="auto" w:sz="4" w:space="0"/>
              <w:right w:val="single" w:color="auto" w:sz="4" w:space="0"/>
            </w:tcBorders>
            <w:vAlign w:val="center"/>
          </w:tcPr>
          <w:p w14:paraId="7DCC2E7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50F3BF9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10AFDC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1E2F094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tcBorders>
              <w:top w:val="single" w:color="auto" w:sz="4" w:space="0"/>
              <w:bottom w:val="single" w:color="auto" w:sz="4" w:space="0"/>
            </w:tcBorders>
            <w:vAlign w:val="center"/>
          </w:tcPr>
          <w:p w14:paraId="187BDA5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top w:val="single" w:color="auto" w:sz="4" w:space="0"/>
              <w:bottom w:val="single" w:color="auto" w:sz="4" w:space="0"/>
            </w:tcBorders>
            <w:vAlign w:val="center"/>
          </w:tcPr>
          <w:p w14:paraId="6A79201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tcBorders>
              <w:top w:val="single" w:color="auto" w:sz="4" w:space="0"/>
              <w:bottom w:val="single" w:color="auto" w:sz="4" w:space="0"/>
            </w:tcBorders>
            <w:vAlign w:val="center"/>
          </w:tcPr>
          <w:p w14:paraId="3222BDE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tcBorders>
              <w:top w:val="single" w:color="auto" w:sz="4" w:space="0"/>
              <w:bottom w:val="single" w:color="auto" w:sz="4" w:space="0"/>
            </w:tcBorders>
            <w:vAlign w:val="center"/>
          </w:tcPr>
          <w:p w14:paraId="37EF39D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tcBorders>
              <w:top w:val="single" w:color="auto" w:sz="4" w:space="0"/>
              <w:bottom w:val="single" w:color="auto" w:sz="4" w:space="0"/>
            </w:tcBorders>
            <w:vAlign w:val="center"/>
          </w:tcPr>
          <w:p w14:paraId="11361C8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tcBorders>
              <w:top w:val="single" w:color="auto" w:sz="4" w:space="0"/>
              <w:bottom w:val="single" w:color="auto" w:sz="4" w:space="0"/>
              <w:right w:val="single" w:color="auto" w:sz="4" w:space="0"/>
            </w:tcBorders>
            <w:vAlign w:val="center"/>
          </w:tcPr>
          <w:p w14:paraId="1E686D3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6374451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42DB83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50" w:hRule="atLeast"/>
          <w:jc w:val="center"/>
        </w:trPr>
        <w:tc>
          <w:tcPr>
            <w:tcW w:w="606" w:type="dxa"/>
            <w:tcBorders>
              <w:top w:val="single" w:color="auto" w:sz="4" w:space="0"/>
              <w:bottom w:val="single" w:color="auto" w:sz="4" w:space="0"/>
            </w:tcBorders>
            <w:vAlign w:val="center"/>
          </w:tcPr>
          <w:p w14:paraId="4BCA1CF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tcBorders>
              <w:top w:val="single" w:color="auto" w:sz="4" w:space="0"/>
              <w:bottom w:val="single" w:color="auto" w:sz="4" w:space="0"/>
            </w:tcBorders>
            <w:vAlign w:val="center"/>
          </w:tcPr>
          <w:p w14:paraId="16DEDEE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top w:val="single" w:color="auto" w:sz="4" w:space="0"/>
              <w:bottom w:val="single" w:color="auto" w:sz="4" w:space="0"/>
            </w:tcBorders>
            <w:vAlign w:val="center"/>
          </w:tcPr>
          <w:p w14:paraId="5890066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tcBorders>
              <w:top w:val="single" w:color="auto" w:sz="4" w:space="0"/>
              <w:bottom w:val="single" w:color="auto" w:sz="4" w:space="0"/>
            </w:tcBorders>
            <w:vAlign w:val="center"/>
          </w:tcPr>
          <w:p w14:paraId="6740F6C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tcBorders>
              <w:top w:val="single" w:color="auto" w:sz="4" w:space="0"/>
              <w:bottom w:val="single" w:color="auto" w:sz="4" w:space="0"/>
            </w:tcBorders>
            <w:vAlign w:val="center"/>
          </w:tcPr>
          <w:p w14:paraId="7ACEFCD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tcBorders>
              <w:top w:val="single" w:color="auto" w:sz="4" w:space="0"/>
              <w:bottom w:val="single" w:color="auto" w:sz="4" w:space="0"/>
            </w:tcBorders>
            <w:vAlign w:val="center"/>
          </w:tcPr>
          <w:p w14:paraId="5AAD7C5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tcBorders>
              <w:top w:val="single" w:color="auto" w:sz="4" w:space="0"/>
              <w:bottom w:val="single" w:color="auto" w:sz="4" w:space="0"/>
              <w:right w:val="single" w:color="auto" w:sz="4" w:space="0"/>
            </w:tcBorders>
            <w:vAlign w:val="center"/>
          </w:tcPr>
          <w:p w14:paraId="65F4404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5020A40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267BB5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35" w:hRule="atLeast"/>
          <w:jc w:val="center"/>
        </w:trPr>
        <w:tc>
          <w:tcPr>
            <w:tcW w:w="606" w:type="dxa"/>
            <w:tcBorders>
              <w:top w:val="single" w:color="auto" w:sz="4" w:space="0"/>
            </w:tcBorders>
            <w:vAlign w:val="center"/>
          </w:tcPr>
          <w:p w14:paraId="2950298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960" w:type="dxa"/>
            <w:tcBorders>
              <w:top w:val="single" w:color="auto" w:sz="4" w:space="0"/>
            </w:tcBorders>
            <w:vAlign w:val="center"/>
          </w:tcPr>
          <w:p w14:paraId="660B261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13" w:type="dxa"/>
            <w:tcBorders>
              <w:top w:val="single" w:color="auto" w:sz="4" w:space="0"/>
            </w:tcBorders>
            <w:vAlign w:val="center"/>
          </w:tcPr>
          <w:p w14:paraId="41CEED1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1" w:type="dxa"/>
            <w:tcBorders>
              <w:top w:val="single" w:color="auto" w:sz="4" w:space="0"/>
            </w:tcBorders>
            <w:vAlign w:val="center"/>
          </w:tcPr>
          <w:p w14:paraId="552F40E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62" w:type="dxa"/>
            <w:tcBorders>
              <w:top w:val="single" w:color="auto" w:sz="4" w:space="0"/>
            </w:tcBorders>
            <w:vAlign w:val="center"/>
          </w:tcPr>
          <w:p w14:paraId="7739B00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80" w:type="dxa"/>
            <w:tcBorders>
              <w:top w:val="single" w:color="auto" w:sz="4" w:space="0"/>
            </w:tcBorders>
            <w:vAlign w:val="center"/>
          </w:tcPr>
          <w:p w14:paraId="0A36304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58" w:type="dxa"/>
            <w:tcBorders>
              <w:top w:val="single" w:color="auto" w:sz="4" w:space="0"/>
              <w:right w:val="single" w:color="auto" w:sz="4" w:space="0"/>
            </w:tcBorders>
            <w:vAlign w:val="center"/>
          </w:tcPr>
          <w:p w14:paraId="386886C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069" w:type="dxa"/>
            <w:tcBorders>
              <w:top w:val="single" w:color="auto" w:sz="4" w:space="0"/>
              <w:left w:val="single" w:color="auto" w:sz="4" w:space="0"/>
              <w:right w:val="single" w:color="auto" w:sz="4" w:space="0"/>
            </w:tcBorders>
            <w:vAlign w:val="center"/>
          </w:tcPr>
          <w:p w14:paraId="4D29F80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bl>
    <w:p w14:paraId="7299B3C7">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p w14:paraId="67D8A27E">
      <w:pPr>
        <w:pageBreakBefore w:val="0"/>
        <w:numPr>
          <w:ilvl w:val="0"/>
          <w:numId w:val="9"/>
        </w:numPr>
        <w:wordWrap/>
        <w:overflowPunct/>
        <w:topLinePunct w:val="0"/>
        <w:bidi w:val="0"/>
        <w:spacing w:line="560" w:lineRule="exact"/>
        <w:ind w:left="0" w:leftChars="0" w:right="0" w:rightChars="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本表后附：投标文件上传截止时间前</w:t>
      </w:r>
      <w:r>
        <w:rPr>
          <w:rFonts w:hint="eastAsia" w:ascii="宋体" w:hAnsi="宋体" w:eastAsia="宋体" w:cs="宋体"/>
          <w:b w:val="0"/>
          <w:bCs/>
          <w:color w:val="auto"/>
          <w:sz w:val="24"/>
          <w:szCs w:val="24"/>
          <w:highlight w:val="none"/>
          <w:lang w:val="en-US" w:eastAsia="zh-CN"/>
        </w:rPr>
        <w:t>推算三年</w:t>
      </w:r>
      <w:r>
        <w:rPr>
          <w:rFonts w:hint="eastAsia" w:ascii="宋体" w:hAnsi="宋体" w:eastAsia="宋体" w:cs="宋体"/>
          <w:b w:val="0"/>
          <w:bCs/>
          <w:color w:val="auto"/>
          <w:sz w:val="24"/>
          <w:szCs w:val="24"/>
          <w:highlight w:val="none"/>
        </w:rPr>
        <w:t>，以合同签订日期为准</w:t>
      </w:r>
      <w:r>
        <w:rPr>
          <w:rFonts w:hint="eastAsia" w:ascii="宋体" w:hAnsi="宋体" w:eastAsia="宋体" w:cs="宋体"/>
          <w:color w:val="auto"/>
          <w:sz w:val="24"/>
          <w:szCs w:val="24"/>
          <w:highlight w:val="none"/>
          <w:lang w:eastAsia="zh-CN"/>
        </w:rPr>
        <w:t>；</w:t>
      </w:r>
    </w:p>
    <w:p w14:paraId="71CCDC84">
      <w:pPr>
        <w:pageBreakBefore w:val="0"/>
        <w:wordWrap/>
        <w:overflowPunct/>
        <w:topLinePunct w:val="0"/>
        <w:bidi w:val="0"/>
        <w:spacing w:line="560" w:lineRule="exact"/>
        <w:ind w:left="0" w:leftChars="0" w:right="0" w:rightChars="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投标人须提供中标（成交）通知书</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lang w:eastAsia="zh-CN"/>
        </w:rPr>
        <w:t>合同（至少包括合同首页、标的页、签字盖章页、采购内容页）</w:t>
      </w:r>
      <w:r>
        <w:rPr>
          <w:rFonts w:hint="eastAsia" w:ascii="宋体" w:hAnsi="宋体" w:eastAsia="宋体" w:cs="宋体"/>
          <w:b w:val="0"/>
          <w:bCs/>
          <w:color w:val="auto"/>
          <w:sz w:val="24"/>
          <w:szCs w:val="24"/>
          <w:highlight w:val="none"/>
          <w:lang w:val="en-US" w:eastAsia="zh-CN"/>
        </w:rPr>
        <w:t>复印件加盖公章</w:t>
      </w:r>
      <w:r>
        <w:rPr>
          <w:rFonts w:hint="eastAsia" w:ascii="宋体" w:hAnsi="宋体" w:eastAsia="宋体" w:cs="宋体"/>
          <w:b w:val="0"/>
          <w:bCs/>
          <w:color w:val="auto"/>
          <w:sz w:val="24"/>
          <w:szCs w:val="24"/>
          <w:highlight w:val="none"/>
          <w:lang w:eastAsia="zh-CN"/>
        </w:rPr>
        <w:t>；</w:t>
      </w:r>
    </w:p>
    <w:p w14:paraId="408E032E">
      <w:pPr>
        <w:pStyle w:val="88"/>
        <w:pageBreakBefore w:val="0"/>
        <w:wordWrap/>
        <w:overflowPunct/>
        <w:topLinePunct w:val="0"/>
        <w:bidi w:val="0"/>
        <w:spacing w:line="560" w:lineRule="exact"/>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val="0"/>
          <w:color w:val="auto"/>
          <w:sz w:val="24"/>
          <w:szCs w:val="24"/>
          <w:highlight w:val="none"/>
          <w:lang w:eastAsia="zh-CN"/>
        </w:rPr>
        <w:br w:type="page"/>
      </w:r>
    </w:p>
    <w:p w14:paraId="4B750482">
      <w:pPr>
        <w:pStyle w:val="3"/>
        <w:keepNext w:val="0"/>
        <w:pageBreakBefore w:val="0"/>
        <w:widowControl w:val="0"/>
        <w:numPr>
          <w:ilvl w:val="0"/>
          <w:numId w:val="0"/>
        </w:numPr>
        <w:kinsoku/>
        <w:wordWrap/>
        <w:overflowPunct/>
        <w:topLinePunct w:val="0"/>
        <w:autoSpaceDE/>
        <w:autoSpaceDN/>
        <w:bidi w:val="0"/>
        <w:snapToGrid/>
        <w:spacing w:before="0" w:after="0" w:line="400" w:lineRule="exact"/>
        <w:ind w:left="0" w:leftChars="0" w:right="0" w:rightChars="0"/>
        <w:jc w:val="center"/>
        <w:rPr>
          <w:rFonts w:hint="eastAsia" w:ascii="宋体" w:hAnsi="宋体" w:eastAsia="宋体" w:cs="宋体"/>
          <w:color w:val="auto"/>
          <w:sz w:val="24"/>
          <w:szCs w:val="24"/>
          <w:highlight w:val="none"/>
        </w:rPr>
      </w:pPr>
      <w:bookmarkStart w:id="143" w:name="_Toc217446091"/>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商务、技术需求偏离表</w:t>
      </w:r>
    </w:p>
    <w:p w14:paraId="6B45CC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商务条款偏离表</w:t>
      </w:r>
    </w:p>
    <w:tbl>
      <w:tblPr>
        <w:tblStyle w:val="34"/>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7D30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382E571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50" w:type="dxa"/>
            <w:shd w:val="clear" w:color="auto" w:fill="FFFFFF"/>
            <w:vAlign w:val="center"/>
          </w:tcPr>
          <w:p w14:paraId="3478C092">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1008" w:type="dxa"/>
            <w:shd w:val="clear" w:color="auto" w:fill="FFFFFF"/>
            <w:vAlign w:val="center"/>
          </w:tcPr>
          <w:p w14:paraId="48988D1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1293F98C">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1164" w:type="dxa"/>
            <w:shd w:val="clear" w:color="auto" w:fill="FFFFFF"/>
            <w:vAlign w:val="center"/>
          </w:tcPr>
          <w:p w14:paraId="00E16CE7">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37A1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E1B772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50" w:type="dxa"/>
            <w:vAlign w:val="center"/>
          </w:tcPr>
          <w:p w14:paraId="51D48E4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完全理解并接受对合格投标人、合格的货物质量和服务要求；</w:t>
            </w:r>
          </w:p>
        </w:tc>
        <w:tc>
          <w:tcPr>
            <w:tcW w:w="1008" w:type="dxa"/>
            <w:vAlign w:val="center"/>
          </w:tcPr>
          <w:p w14:paraId="193D179A">
            <w:pPr>
              <w:pStyle w:val="103"/>
              <w:keepNext w:val="0"/>
              <w:pageBreakBefore w:val="0"/>
              <w:widowControl w:val="0"/>
              <w:kinsoku/>
              <w:wordWrap/>
              <w:overflowPunct/>
              <w:topLinePunct w:val="0"/>
              <w:autoSpaceDE/>
              <w:autoSpaceDN/>
              <w:bidi w:val="0"/>
              <w:adjustRightInd/>
              <w:snapToGrid/>
              <w:spacing w:before="0" w:after="0" w:line="400" w:lineRule="exact"/>
              <w:ind w:left="0" w:leftChars="0" w:right="0" w:rightChars="0"/>
              <w:textAlignment w:val="auto"/>
              <w:rPr>
                <w:rFonts w:hint="eastAsia" w:ascii="宋体" w:hAnsi="宋体" w:eastAsia="宋体" w:cs="宋体"/>
                <w:color w:val="auto"/>
                <w:spacing w:val="0"/>
                <w:kern w:val="2"/>
                <w:sz w:val="24"/>
                <w:szCs w:val="24"/>
                <w:highlight w:val="none"/>
              </w:rPr>
            </w:pPr>
          </w:p>
        </w:tc>
        <w:tc>
          <w:tcPr>
            <w:tcW w:w="1164" w:type="dxa"/>
            <w:vAlign w:val="center"/>
          </w:tcPr>
          <w:p w14:paraId="193DAA2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75D0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B1C70D2">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50" w:type="dxa"/>
            <w:vAlign w:val="center"/>
          </w:tcPr>
          <w:p w14:paraId="7E90C13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完全理解并接受对投标人的各项须知、规约要求和责任义务；</w:t>
            </w:r>
          </w:p>
        </w:tc>
        <w:tc>
          <w:tcPr>
            <w:tcW w:w="1008" w:type="dxa"/>
            <w:vAlign w:val="center"/>
          </w:tcPr>
          <w:p w14:paraId="231487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570AB9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4193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439B43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850" w:type="dxa"/>
            <w:vAlign w:val="center"/>
          </w:tcPr>
          <w:p w14:paraId="71A9555E">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同意接受拟签订的合同文本所列述的各项条款；</w:t>
            </w:r>
          </w:p>
        </w:tc>
        <w:tc>
          <w:tcPr>
            <w:tcW w:w="1008" w:type="dxa"/>
            <w:vAlign w:val="center"/>
          </w:tcPr>
          <w:p w14:paraId="02445F0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5893DA50">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0535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DE72D3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850" w:type="dxa"/>
            <w:vAlign w:val="center"/>
          </w:tcPr>
          <w:p w14:paraId="0F5F3875">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同意按本项目要求缴付相关款项；</w:t>
            </w:r>
          </w:p>
        </w:tc>
        <w:tc>
          <w:tcPr>
            <w:tcW w:w="1008" w:type="dxa"/>
            <w:vAlign w:val="center"/>
          </w:tcPr>
          <w:p w14:paraId="759AA11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45B68BF9">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74E2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Align w:val="center"/>
          </w:tcPr>
          <w:p w14:paraId="7A0645E5">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850" w:type="dxa"/>
            <w:vAlign w:val="center"/>
          </w:tcPr>
          <w:p w14:paraId="3B89D294">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可提供货物供货来源证明或供货渠道与品质的合法性证明；</w:t>
            </w:r>
          </w:p>
        </w:tc>
        <w:tc>
          <w:tcPr>
            <w:tcW w:w="1008" w:type="dxa"/>
            <w:vAlign w:val="center"/>
          </w:tcPr>
          <w:p w14:paraId="7285D10C">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2720C8D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060E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6F2A3A0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850" w:type="dxa"/>
            <w:vAlign w:val="center"/>
          </w:tcPr>
          <w:p w14:paraId="6D5F965B">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w:t>
            </w:r>
          </w:p>
        </w:tc>
        <w:tc>
          <w:tcPr>
            <w:tcW w:w="1008" w:type="dxa"/>
            <w:vAlign w:val="center"/>
          </w:tcPr>
          <w:p w14:paraId="6E1DB59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3BCC5291">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7DDE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476A47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850" w:type="dxa"/>
            <w:vAlign w:val="center"/>
          </w:tcPr>
          <w:p w14:paraId="05C12F2C">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投标内容均涵盖招标要求及一切费用和伴随服务；</w:t>
            </w:r>
          </w:p>
        </w:tc>
        <w:tc>
          <w:tcPr>
            <w:tcW w:w="1008" w:type="dxa"/>
            <w:vAlign w:val="center"/>
          </w:tcPr>
          <w:p w14:paraId="1F18FD4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3F4FA6D4">
            <w:pPr>
              <w:pStyle w:val="103"/>
              <w:keepNext w:val="0"/>
              <w:pageBreakBefore w:val="0"/>
              <w:widowControl w:val="0"/>
              <w:kinsoku/>
              <w:wordWrap/>
              <w:overflowPunct/>
              <w:topLinePunct w:val="0"/>
              <w:autoSpaceDE/>
              <w:autoSpaceDN/>
              <w:bidi w:val="0"/>
              <w:adjustRightInd/>
              <w:snapToGrid/>
              <w:spacing w:before="0" w:after="0" w:line="400" w:lineRule="exact"/>
              <w:ind w:left="0" w:leftChars="0" w:right="0" w:rightChars="0"/>
              <w:textAlignment w:val="auto"/>
              <w:rPr>
                <w:rFonts w:hint="eastAsia" w:ascii="宋体" w:hAnsi="宋体" w:eastAsia="宋体" w:cs="宋体"/>
                <w:color w:val="auto"/>
                <w:spacing w:val="0"/>
                <w:kern w:val="2"/>
                <w:sz w:val="24"/>
                <w:szCs w:val="24"/>
                <w:highlight w:val="none"/>
              </w:rPr>
            </w:pPr>
          </w:p>
        </w:tc>
      </w:tr>
      <w:tr w14:paraId="1A5B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811170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850" w:type="dxa"/>
            <w:vAlign w:val="center"/>
          </w:tcPr>
          <w:p w14:paraId="10574818">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同意接受本项目供货期</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质量标准</w:t>
            </w:r>
            <w:r>
              <w:rPr>
                <w:rFonts w:hint="eastAsia" w:ascii="宋体" w:hAnsi="宋体" w:eastAsia="宋体" w:cs="宋体"/>
                <w:color w:val="auto"/>
                <w:sz w:val="24"/>
                <w:szCs w:val="24"/>
                <w:highlight w:val="none"/>
              </w:rPr>
              <w:t>或相关进度安排要求；</w:t>
            </w:r>
          </w:p>
        </w:tc>
        <w:tc>
          <w:tcPr>
            <w:tcW w:w="1008" w:type="dxa"/>
            <w:vAlign w:val="center"/>
          </w:tcPr>
          <w:p w14:paraId="5C59898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2622B0B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4C39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132D7B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850" w:type="dxa"/>
            <w:vAlign w:val="center"/>
          </w:tcPr>
          <w:p w14:paraId="29FC2C7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同意接受本项目的验收要求及验收标准；</w:t>
            </w:r>
          </w:p>
        </w:tc>
        <w:tc>
          <w:tcPr>
            <w:tcW w:w="1008" w:type="dxa"/>
            <w:vAlign w:val="center"/>
          </w:tcPr>
          <w:p w14:paraId="7D0E90A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7BB2387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561D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5D007F6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850" w:type="dxa"/>
            <w:vAlign w:val="center"/>
          </w:tcPr>
          <w:p w14:paraId="2C087974">
            <w:pPr>
              <w:pStyle w:val="22"/>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w:t>
            </w:r>
            <w:r>
              <w:rPr>
                <w:rFonts w:hint="eastAsia" w:ascii="宋体" w:hAnsi="宋体" w:eastAsia="宋体" w:cs="宋体"/>
                <w:b w:val="0"/>
                <w:bCs w:val="0"/>
                <w:color w:val="auto"/>
                <w:kern w:val="2"/>
                <w:sz w:val="24"/>
                <w:szCs w:val="24"/>
                <w:highlight w:val="none"/>
                <w:lang w:eastAsia="zh-CN"/>
              </w:rPr>
              <w:t>招标人</w:t>
            </w:r>
            <w:r>
              <w:rPr>
                <w:rFonts w:hint="eastAsia" w:ascii="宋体" w:hAnsi="宋体" w:eastAsia="宋体" w:cs="宋体"/>
                <w:b w:val="0"/>
                <w:bCs w:val="0"/>
                <w:color w:val="auto"/>
                <w:kern w:val="2"/>
                <w:sz w:val="24"/>
                <w:szCs w:val="24"/>
                <w:highlight w:val="none"/>
              </w:rPr>
              <w:t>以任何形式对我方的投标文件内容的真实性和有效性进行审查、验证；</w:t>
            </w:r>
          </w:p>
        </w:tc>
        <w:tc>
          <w:tcPr>
            <w:tcW w:w="1008" w:type="dxa"/>
            <w:vAlign w:val="center"/>
          </w:tcPr>
          <w:p w14:paraId="0E8C17AD">
            <w:pPr>
              <w:pStyle w:val="104"/>
              <w:keepNext w:val="0"/>
              <w:pageBreakBefore w:val="0"/>
              <w:widowControl w:val="0"/>
              <w:numPr>
                <w:ilvl w:val="0"/>
                <w:numId w:val="0"/>
              </w:numPr>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p>
        </w:tc>
        <w:tc>
          <w:tcPr>
            <w:tcW w:w="1164" w:type="dxa"/>
            <w:vAlign w:val="center"/>
          </w:tcPr>
          <w:p w14:paraId="485D6C5A">
            <w:pPr>
              <w:pStyle w:val="103"/>
              <w:keepNext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r w14:paraId="02B1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62AF5F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850" w:type="dxa"/>
            <w:vAlign w:val="center"/>
          </w:tcPr>
          <w:p w14:paraId="62A484F5">
            <w:pPr>
              <w:pStyle w:val="22"/>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同意接受本项目付款的各项要求。</w:t>
            </w:r>
          </w:p>
        </w:tc>
        <w:tc>
          <w:tcPr>
            <w:tcW w:w="1008" w:type="dxa"/>
            <w:vAlign w:val="center"/>
          </w:tcPr>
          <w:p w14:paraId="0B866BE8">
            <w:pPr>
              <w:pStyle w:val="104"/>
              <w:keepNext w:val="0"/>
              <w:pageBreakBefore w:val="0"/>
              <w:widowControl w:val="0"/>
              <w:numPr>
                <w:ilvl w:val="0"/>
                <w:numId w:val="0"/>
              </w:numPr>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p>
        </w:tc>
        <w:tc>
          <w:tcPr>
            <w:tcW w:w="1164" w:type="dxa"/>
            <w:vAlign w:val="center"/>
          </w:tcPr>
          <w:p w14:paraId="5BC43601">
            <w:pPr>
              <w:pStyle w:val="103"/>
              <w:keepNext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bl>
    <w:p w14:paraId="748B21C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21AEB8C">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GB"/>
        </w:rPr>
        <w:t>于上述要求，如投标人完全响应，则请在“是否响应”栏内打“√”，对打“×”视为偏离，请在“偏离说明”栏内扼要说明偏离情况；</w:t>
      </w:r>
    </w:p>
    <w:p w14:paraId="62580BA7">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投标人应认真填写本响应表，若评标委员会在</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GB"/>
        </w:rPr>
        <w:t>期间，发现有虚假填写本响应表的，则将可能被视为存在两个</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val="en-GB"/>
        </w:rPr>
        <w:t>案，评标委员会将按本招标文件相关规定执行；</w:t>
      </w:r>
    </w:p>
    <w:p w14:paraId="73BDFC63">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本表内容不得擅自修改。</w:t>
      </w:r>
    </w:p>
    <w:p w14:paraId="5D7491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rPr>
      </w:pPr>
    </w:p>
    <w:p w14:paraId="3896358F">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投标人名称（盖章）：</w:t>
      </w:r>
    </w:p>
    <w:p w14:paraId="44E1584D">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授权人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618E22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w:t>
      </w:r>
    </w:p>
    <w:p w14:paraId="0F4DD274">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7DE8DE2C">
      <w:pPr>
        <w:pStyle w:val="1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bCs/>
          <w:caps w:val="0"/>
          <w:color w:val="auto"/>
          <w:spacing w:val="0"/>
          <w:w w:val="100"/>
          <w:kern w:val="0"/>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aps w:val="0"/>
          <w:color w:val="auto"/>
          <w:spacing w:val="0"/>
          <w:w w:val="100"/>
          <w:kern w:val="0"/>
          <w:sz w:val="24"/>
          <w:szCs w:val="24"/>
          <w:highlight w:val="none"/>
          <w:lang w:eastAsia="zh-CN"/>
        </w:rPr>
        <w:t>技术需求偏离表</w:t>
      </w:r>
    </w:p>
    <w:tbl>
      <w:tblPr>
        <w:tblStyle w:val="34"/>
        <w:tblW w:w="4888" w:type="pct"/>
        <w:tblInd w:w="0" w:type="dxa"/>
        <w:tblLayout w:type="autofit"/>
        <w:tblCellMar>
          <w:top w:w="0" w:type="dxa"/>
          <w:left w:w="108" w:type="dxa"/>
          <w:bottom w:w="0" w:type="dxa"/>
          <w:right w:w="108" w:type="dxa"/>
        </w:tblCellMar>
      </w:tblPr>
      <w:tblGrid>
        <w:gridCol w:w="514"/>
        <w:gridCol w:w="735"/>
        <w:gridCol w:w="905"/>
        <w:gridCol w:w="915"/>
        <w:gridCol w:w="592"/>
        <w:gridCol w:w="777"/>
        <w:gridCol w:w="837"/>
        <w:gridCol w:w="723"/>
        <w:gridCol w:w="765"/>
        <w:gridCol w:w="890"/>
        <w:gridCol w:w="678"/>
      </w:tblGrid>
      <w:tr w14:paraId="16E94933">
        <w:tblPrEx>
          <w:tblCellMar>
            <w:top w:w="0" w:type="dxa"/>
            <w:left w:w="108" w:type="dxa"/>
            <w:bottom w:w="0" w:type="dxa"/>
            <w:right w:w="108" w:type="dxa"/>
          </w:tblCellMar>
        </w:tblPrEx>
        <w:trPr>
          <w:trHeight w:val="1297" w:hRule="atLeast"/>
        </w:trPr>
        <w:tc>
          <w:tcPr>
            <w:tcW w:w="1293" w:type="pct"/>
            <w:gridSpan w:val="3"/>
            <w:tcBorders>
              <w:top w:val="single" w:color="auto" w:sz="4" w:space="0"/>
              <w:left w:val="single" w:color="auto" w:sz="4" w:space="0"/>
              <w:bottom w:val="single" w:color="auto" w:sz="4" w:space="0"/>
              <w:right w:val="single" w:color="auto" w:sz="4" w:space="0"/>
            </w:tcBorders>
            <w:shd w:val="clear" w:color="FFFFFF" w:fill="FFFFFF"/>
            <w:vAlign w:val="center"/>
          </w:tcPr>
          <w:p w14:paraId="4B931D80">
            <w:pPr>
              <w:pageBreakBefore w:val="0"/>
              <w:widowControl/>
              <w:wordWrap/>
              <w:overflowPunct/>
              <w:topLinePunct w:val="0"/>
              <w:bidi w:val="0"/>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lang w:eastAsia="zh-CN"/>
              </w:rPr>
              <w:t>文件</w:t>
            </w:r>
            <w:r>
              <w:rPr>
                <w:rFonts w:hint="eastAsia" w:ascii="宋体" w:hAnsi="宋体" w:eastAsia="宋体" w:cs="宋体"/>
                <w:b/>
                <w:bCs/>
                <w:color w:val="auto"/>
                <w:sz w:val="24"/>
                <w:szCs w:val="24"/>
                <w:highlight w:val="none"/>
              </w:rPr>
              <w:t>的要求</w:t>
            </w:r>
          </w:p>
        </w:tc>
        <w:tc>
          <w:tcPr>
            <w:tcW w:w="3706" w:type="pct"/>
            <w:gridSpan w:val="8"/>
            <w:tcBorders>
              <w:top w:val="single" w:color="auto" w:sz="4" w:space="0"/>
              <w:left w:val="single" w:color="auto" w:sz="4" w:space="0"/>
              <w:bottom w:val="single" w:color="auto" w:sz="4" w:space="0"/>
              <w:right w:val="single" w:color="auto" w:sz="4" w:space="0"/>
            </w:tcBorders>
            <w:shd w:val="clear" w:color="FFFFFF" w:fill="FFFFFF"/>
            <w:vAlign w:val="center"/>
          </w:tcPr>
          <w:p w14:paraId="48F6A966">
            <w:pPr>
              <w:pageBreakBefore w:val="0"/>
              <w:wordWrap/>
              <w:overflowPunct/>
              <w:topLinePunct w:val="0"/>
              <w:bidi w:val="0"/>
              <w:spacing w:line="560" w:lineRule="exact"/>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eastAsia="zh-CN"/>
              </w:rPr>
              <w:t>文件</w:t>
            </w:r>
            <w:r>
              <w:rPr>
                <w:rFonts w:hint="eastAsia" w:ascii="宋体" w:hAnsi="宋体" w:eastAsia="宋体" w:cs="宋体"/>
                <w:b/>
                <w:bCs/>
                <w:color w:val="auto"/>
                <w:sz w:val="24"/>
                <w:szCs w:val="24"/>
                <w:highlight w:val="none"/>
              </w:rPr>
              <w:t>的响应</w:t>
            </w:r>
          </w:p>
        </w:tc>
      </w:tr>
      <w:tr w14:paraId="196DFE3F">
        <w:tblPrEx>
          <w:tblCellMar>
            <w:top w:w="0" w:type="dxa"/>
            <w:left w:w="108" w:type="dxa"/>
            <w:bottom w:w="0" w:type="dxa"/>
            <w:right w:w="108" w:type="dxa"/>
          </w:tblCellMar>
        </w:tblPrEx>
        <w:trPr>
          <w:trHeight w:val="1272" w:hRule="atLeast"/>
        </w:trPr>
        <w:tc>
          <w:tcPr>
            <w:tcW w:w="309" w:type="pct"/>
            <w:tcBorders>
              <w:top w:val="single" w:color="auto" w:sz="4" w:space="0"/>
              <w:left w:val="single" w:color="auto" w:sz="4" w:space="0"/>
              <w:bottom w:val="single" w:color="auto" w:sz="4" w:space="0"/>
              <w:right w:val="single" w:color="auto" w:sz="4" w:space="0"/>
            </w:tcBorders>
            <w:shd w:val="clear" w:color="FFFFFF" w:fill="FFFFFF"/>
            <w:vAlign w:val="center"/>
          </w:tcPr>
          <w:p w14:paraId="5B920AAB">
            <w:pPr>
              <w:pageBreakBefore w:val="0"/>
              <w:widowControl/>
              <w:wordWrap/>
              <w:overflowPunct/>
              <w:topLinePunct w:val="0"/>
              <w:bidi w:val="0"/>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序号</w:t>
            </w:r>
          </w:p>
        </w:tc>
        <w:tc>
          <w:tcPr>
            <w:tcW w:w="441" w:type="pct"/>
            <w:tcBorders>
              <w:top w:val="single" w:color="auto" w:sz="4" w:space="0"/>
              <w:left w:val="single" w:color="auto" w:sz="4" w:space="0"/>
              <w:bottom w:val="single" w:color="auto" w:sz="4" w:space="0"/>
              <w:right w:val="single" w:color="auto" w:sz="4" w:space="0"/>
            </w:tcBorders>
            <w:shd w:val="clear" w:color="FFFFFF" w:fill="FFFFFF"/>
            <w:vAlign w:val="center"/>
          </w:tcPr>
          <w:p w14:paraId="3D789222">
            <w:pPr>
              <w:pageBreakBefore w:val="0"/>
              <w:widowControl/>
              <w:wordWrap/>
              <w:overflowPunct/>
              <w:topLinePunct w:val="0"/>
              <w:bidi w:val="0"/>
              <w:spacing w:line="240" w:lineRule="auto"/>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货物名称</w:t>
            </w:r>
          </w:p>
        </w:tc>
        <w:tc>
          <w:tcPr>
            <w:tcW w:w="543" w:type="pct"/>
            <w:tcBorders>
              <w:top w:val="single" w:color="auto" w:sz="4" w:space="0"/>
              <w:left w:val="single" w:color="auto" w:sz="4" w:space="0"/>
              <w:bottom w:val="single" w:color="auto" w:sz="4" w:space="0"/>
              <w:right w:val="single" w:color="auto" w:sz="4" w:space="0"/>
            </w:tcBorders>
            <w:shd w:val="clear" w:color="FFFFFF" w:fill="FFFFFF"/>
            <w:vAlign w:val="center"/>
          </w:tcPr>
          <w:p w14:paraId="69D474F5">
            <w:pPr>
              <w:pageBreakBefore w:val="0"/>
              <w:widowControl/>
              <w:wordWrap/>
              <w:overflowPunct/>
              <w:topLinePunct w:val="0"/>
              <w:bidi w:val="0"/>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技术参数要求</w:t>
            </w:r>
          </w:p>
        </w:tc>
        <w:tc>
          <w:tcPr>
            <w:tcW w:w="549" w:type="pct"/>
            <w:tcBorders>
              <w:top w:val="single" w:color="auto" w:sz="4" w:space="0"/>
              <w:left w:val="single" w:color="auto" w:sz="4" w:space="0"/>
              <w:bottom w:val="single" w:color="auto" w:sz="4" w:space="0"/>
              <w:right w:val="single" w:color="auto" w:sz="4" w:space="0"/>
            </w:tcBorders>
            <w:shd w:val="clear" w:color="FFFFFF" w:fill="FFFFFF"/>
            <w:vAlign w:val="center"/>
          </w:tcPr>
          <w:p w14:paraId="52E6999E">
            <w:pPr>
              <w:pageBreakBefore w:val="0"/>
              <w:wordWrap/>
              <w:overflowPunct/>
              <w:topLinePunct w:val="0"/>
              <w:bidi w:val="0"/>
              <w:spacing w:line="24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制造商名称</w:t>
            </w:r>
          </w:p>
        </w:tc>
        <w:tc>
          <w:tcPr>
            <w:tcW w:w="355" w:type="pct"/>
            <w:tcBorders>
              <w:top w:val="single" w:color="auto" w:sz="4" w:space="0"/>
              <w:left w:val="single" w:color="auto" w:sz="4" w:space="0"/>
              <w:bottom w:val="single" w:color="auto" w:sz="4" w:space="0"/>
              <w:right w:val="single" w:color="auto" w:sz="4" w:space="0"/>
            </w:tcBorders>
            <w:shd w:val="clear" w:color="FFFFFF" w:fill="FFFFFF"/>
            <w:vAlign w:val="center"/>
          </w:tcPr>
          <w:p w14:paraId="3EA3639F">
            <w:pPr>
              <w:pageBreakBefore w:val="0"/>
              <w:wordWrap/>
              <w:overflowPunct/>
              <w:topLinePunct w:val="0"/>
              <w:bidi w:val="0"/>
              <w:spacing w:line="24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466" w:type="pct"/>
            <w:tcBorders>
              <w:top w:val="single" w:color="auto" w:sz="4" w:space="0"/>
              <w:left w:val="single" w:color="auto" w:sz="4" w:space="0"/>
              <w:bottom w:val="single" w:color="auto" w:sz="4" w:space="0"/>
              <w:right w:val="single" w:color="auto" w:sz="4" w:space="0"/>
            </w:tcBorders>
            <w:shd w:val="clear" w:color="FFFFFF" w:fill="FFFFFF"/>
            <w:vAlign w:val="center"/>
          </w:tcPr>
          <w:p w14:paraId="2595C4D2">
            <w:pPr>
              <w:pageBreakBefore w:val="0"/>
              <w:wordWrap/>
              <w:overflowPunct/>
              <w:topLinePunct w:val="0"/>
              <w:bidi w:val="0"/>
              <w:spacing w:line="24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规格型号</w:t>
            </w:r>
          </w:p>
        </w:tc>
        <w:tc>
          <w:tcPr>
            <w:tcW w:w="502" w:type="pct"/>
            <w:tcBorders>
              <w:top w:val="single" w:color="auto" w:sz="4" w:space="0"/>
              <w:left w:val="single" w:color="auto" w:sz="4" w:space="0"/>
              <w:bottom w:val="single" w:color="auto" w:sz="4" w:space="0"/>
              <w:right w:val="single" w:color="auto" w:sz="4" w:space="0"/>
            </w:tcBorders>
            <w:shd w:val="clear" w:color="FFFFFF" w:fill="FFFFFF"/>
            <w:vAlign w:val="center"/>
          </w:tcPr>
          <w:p w14:paraId="5780DB48">
            <w:pPr>
              <w:pageBreakBefore w:val="0"/>
              <w:wordWrap/>
              <w:overflowPunct/>
              <w:topLinePunct w:val="0"/>
              <w:bidi w:val="0"/>
              <w:spacing w:line="240" w:lineRule="auto"/>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响应情况</w:t>
            </w:r>
          </w:p>
        </w:tc>
        <w:tc>
          <w:tcPr>
            <w:tcW w:w="434" w:type="pct"/>
            <w:tcBorders>
              <w:top w:val="single" w:color="auto" w:sz="4" w:space="0"/>
              <w:left w:val="single" w:color="auto" w:sz="4" w:space="0"/>
              <w:bottom w:val="single" w:color="auto" w:sz="4" w:space="0"/>
              <w:right w:val="single" w:color="auto" w:sz="4" w:space="0"/>
            </w:tcBorders>
            <w:shd w:val="clear" w:color="FFFFFF" w:fill="FFFFFF"/>
            <w:vAlign w:val="center"/>
          </w:tcPr>
          <w:p w14:paraId="624A344F">
            <w:pPr>
              <w:pageBreakBefore w:val="0"/>
              <w:wordWrap/>
              <w:overflowPunct/>
              <w:topLinePunct w:val="0"/>
              <w:bidi w:val="0"/>
              <w:spacing w:line="240" w:lineRule="auto"/>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偏离</w:t>
            </w:r>
            <w:r>
              <w:rPr>
                <w:rFonts w:hint="eastAsia" w:ascii="宋体" w:hAnsi="宋体" w:eastAsia="宋体" w:cs="宋体"/>
                <w:color w:val="auto"/>
                <w:sz w:val="24"/>
                <w:szCs w:val="24"/>
                <w:highlight w:val="none"/>
                <w:lang w:val="en-US" w:eastAsia="zh-CN"/>
              </w:rPr>
              <w:t>情况</w:t>
            </w:r>
          </w:p>
        </w:tc>
        <w:tc>
          <w:tcPr>
            <w:tcW w:w="459" w:type="pct"/>
            <w:tcBorders>
              <w:top w:val="single" w:color="auto" w:sz="4" w:space="0"/>
              <w:left w:val="single" w:color="auto" w:sz="4" w:space="0"/>
              <w:bottom w:val="single" w:color="auto" w:sz="4" w:space="0"/>
              <w:right w:val="single" w:color="auto" w:sz="4" w:space="0"/>
            </w:tcBorders>
            <w:shd w:val="clear" w:color="FFFFFF" w:fill="FFFFFF"/>
            <w:vAlign w:val="center"/>
          </w:tcPr>
          <w:p w14:paraId="11FED882">
            <w:pPr>
              <w:pageBreakBefore w:val="0"/>
              <w:wordWrap/>
              <w:overflowPunct/>
              <w:topLinePunct w:val="0"/>
              <w:bidi w:val="0"/>
              <w:spacing w:line="240" w:lineRule="auto"/>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证明材料</w:t>
            </w:r>
          </w:p>
        </w:tc>
        <w:tc>
          <w:tcPr>
            <w:tcW w:w="534" w:type="pct"/>
            <w:tcBorders>
              <w:top w:val="single" w:color="auto" w:sz="4" w:space="0"/>
              <w:left w:val="single" w:color="auto" w:sz="4" w:space="0"/>
              <w:bottom w:val="single" w:color="auto" w:sz="4" w:space="0"/>
              <w:right w:val="single" w:color="auto" w:sz="4" w:space="0"/>
            </w:tcBorders>
            <w:shd w:val="clear" w:color="FFFFFF" w:fill="FFFFFF"/>
            <w:vAlign w:val="center"/>
          </w:tcPr>
          <w:p w14:paraId="465CFB5F">
            <w:pPr>
              <w:pageBreakBefore w:val="0"/>
              <w:wordWrap/>
              <w:overflowPunct/>
              <w:topLinePunct w:val="0"/>
              <w:bidi w:val="0"/>
              <w:spacing w:line="240" w:lineRule="auto"/>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证明材料页码</w:t>
            </w:r>
          </w:p>
        </w:tc>
        <w:tc>
          <w:tcPr>
            <w:tcW w:w="402" w:type="pct"/>
            <w:tcBorders>
              <w:top w:val="single" w:color="auto" w:sz="4" w:space="0"/>
              <w:left w:val="single" w:color="auto" w:sz="4" w:space="0"/>
              <w:bottom w:val="single" w:color="auto" w:sz="4" w:space="0"/>
              <w:right w:val="single" w:color="auto" w:sz="4" w:space="0"/>
            </w:tcBorders>
            <w:shd w:val="clear" w:color="FFFFFF" w:fill="FFFFFF"/>
            <w:vAlign w:val="center"/>
          </w:tcPr>
          <w:p w14:paraId="7B40ED90">
            <w:pPr>
              <w:pageBreakBefore w:val="0"/>
              <w:wordWrap/>
              <w:overflowPunct/>
              <w:topLinePunct w:val="0"/>
              <w:bidi w:val="0"/>
              <w:spacing w:line="240" w:lineRule="auto"/>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tc>
      </w:tr>
      <w:tr w14:paraId="09B9A0E4">
        <w:tblPrEx>
          <w:tblCellMar>
            <w:top w:w="0" w:type="dxa"/>
            <w:left w:w="108" w:type="dxa"/>
            <w:bottom w:w="0" w:type="dxa"/>
            <w:right w:w="108" w:type="dxa"/>
          </w:tblCellMar>
        </w:tblPrEx>
        <w:trPr>
          <w:trHeight w:val="670" w:hRule="atLeast"/>
        </w:trPr>
        <w:tc>
          <w:tcPr>
            <w:tcW w:w="309" w:type="pct"/>
            <w:tcBorders>
              <w:top w:val="single" w:color="auto" w:sz="4" w:space="0"/>
              <w:left w:val="single" w:color="auto" w:sz="4" w:space="0"/>
              <w:bottom w:val="single" w:color="auto" w:sz="4" w:space="0"/>
              <w:right w:val="single" w:color="auto" w:sz="4" w:space="0"/>
            </w:tcBorders>
            <w:shd w:val="clear" w:color="FFFFFF" w:fill="FFFFFF"/>
            <w:vAlign w:val="center"/>
          </w:tcPr>
          <w:p w14:paraId="29421DEE">
            <w:pPr>
              <w:pageBreakBefore w:val="0"/>
              <w:widowControl/>
              <w:wordWrap/>
              <w:overflowPunct/>
              <w:topLinePunct w:val="0"/>
              <w:bidi w:val="0"/>
              <w:spacing w:line="56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441" w:type="pct"/>
            <w:tcBorders>
              <w:top w:val="single" w:color="auto" w:sz="4" w:space="0"/>
              <w:left w:val="single" w:color="auto" w:sz="4" w:space="0"/>
              <w:bottom w:val="single" w:color="auto" w:sz="4" w:space="0"/>
              <w:right w:val="single" w:color="auto" w:sz="4" w:space="0"/>
            </w:tcBorders>
            <w:shd w:val="clear" w:color="FFFFFF" w:fill="FFFFFF"/>
            <w:vAlign w:val="center"/>
          </w:tcPr>
          <w:p w14:paraId="6C126659">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shd w:val="clear" w:color="FFFFFF" w:fill="FFFFFF"/>
            <w:vAlign w:val="center"/>
          </w:tcPr>
          <w:p w14:paraId="2CBA91F8">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shd w:val="clear" w:color="FFFFFF" w:fill="FFFFFF"/>
            <w:vAlign w:val="center"/>
          </w:tcPr>
          <w:p w14:paraId="09D1FB42">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355" w:type="pct"/>
            <w:tcBorders>
              <w:top w:val="single" w:color="auto" w:sz="4" w:space="0"/>
              <w:left w:val="single" w:color="auto" w:sz="4" w:space="0"/>
              <w:bottom w:val="single" w:color="auto" w:sz="4" w:space="0"/>
              <w:right w:val="single" w:color="auto" w:sz="4" w:space="0"/>
            </w:tcBorders>
            <w:shd w:val="clear" w:color="FFFFFF" w:fill="FFFFFF"/>
            <w:vAlign w:val="center"/>
          </w:tcPr>
          <w:p w14:paraId="43A6DF8A">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66" w:type="pct"/>
            <w:tcBorders>
              <w:top w:val="single" w:color="auto" w:sz="4" w:space="0"/>
              <w:left w:val="single" w:color="auto" w:sz="4" w:space="0"/>
              <w:bottom w:val="single" w:color="auto" w:sz="4" w:space="0"/>
              <w:right w:val="single" w:color="auto" w:sz="4" w:space="0"/>
            </w:tcBorders>
            <w:shd w:val="clear" w:color="FFFFFF" w:fill="FFFFFF"/>
            <w:vAlign w:val="center"/>
          </w:tcPr>
          <w:p w14:paraId="3E4EEFDA">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02" w:type="pct"/>
            <w:tcBorders>
              <w:top w:val="single" w:color="auto" w:sz="4" w:space="0"/>
              <w:left w:val="single" w:color="auto" w:sz="4" w:space="0"/>
              <w:bottom w:val="single" w:color="auto" w:sz="4" w:space="0"/>
              <w:right w:val="single" w:color="auto" w:sz="4" w:space="0"/>
            </w:tcBorders>
            <w:shd w:val="clear" w:color="FFFFFF" w:fill="FFFFFF"/>
            <w:vAlign w:val="center"/>
          </w:tcPr>
          <w:p w14:paraId="08E5DF94">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34" w:type="pct"/>
            <w:tcBorders>
              <w:top w:val="single" w:color="auto" w:sz="4" w:space="0"/>
              <w:left w:val="single" w:color="auto" w:sz="4" w:space="0"/>
              <w:bottom w:val="single" w:color="auto" w:sz="4" w:space="0"/>
              <w:right w:val="single" w:color="auto" w:sz="4" w:space="0"/>
            </w:tcBorders>
            <w:shd w:val="clear" w:color="FFFFFF" w:fill="FFFFFF"/>
            <w:vAlign w:val="center"/>
          </w:tcPr>
          <w:p w14:paraId="6A064BAD">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cBorders>
            <w:shd w:val="clear" w:color="FFFFFF" w:fill="FFFFFF"/>
            <w:vAlign w:val="center"/>
          </w:tcPr>
          <w:p w14:paraId="26C56AA2">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shd w:val="clear" w:color="FFFFFF" w:fill="FFFFFF"/>
            <w:vAlign w:val="center"/>
          </w:tcPr>
          <w:p w14:paraId="02407D6B">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02" w:type="pct"/>
            <w:tcBorders>
              <w:top w:val="single" w:color="auto" w:sz="4" w:space="0"/>
              <w:left w:val="single" w:color="auto" w:sz="4" w:space="0"/>
              <w:bottom w:val="single" w:color="auto" w:sz="4" w:space="0"/>
              <w:right w:val="single" w:color="auto" w:sz="4" w:space="0"/>
            </w:tcBorders>
            <w:shd w:val="clear" w:color="FFFFFF" w:fill="FFFFFF"/>
            <w:vAlign w:val="center"/>
          </w:tcPr>
          <w:p w14:paraId="3E792B50">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63B64358">
        <w:tblPrEx>
          <w:tblCellMar>
            <w:top w:w="0" w:type="dxa"/>
            <w:left w:w="108" w:type="dxa"/>
            <w:bottom w:w="0" w:type="dxa"/>
            <w:right w:w="108" w:type="dxa"/>
          </w:tblCellMar>
        </w:tblPrEx>
        <w:trPr>
          <w:trHeight w:val="670" w:hRule="atLeast"/>
        </w:trPr>
        <w:tc>
          <w:tcPr>
            <w:tcW w:w="309" w:type="pct"/>
            <w:tcBorders>
              <w:top w:val="single" w:color="auto" w:sz="4" w:space="0"/>
              <w:left w:val="single" w:color="auto" w:sz="4" w:space="0"/>
              <w:bottom w:val="single" w:color="auto" w:sz="4" w:space="0"/>
              <w:right w:val="single" w:color="auto" w:sz="4" w:space="0"/>
            </w:tcBorders>
            <w:shd w:val="clear" w:color="FFFFFF" w:fill="FFFFFF"/>
            <w:vAlign w:val="center"/>
          </w:tcPr>
          <w:p w14:paraId="41153751">
            <w:pPr>
              <w:pageBreakBefore w:val="0"/>
              <w:widowControl/>
              <w:wordWrap/>
              <w:overflowPunct/>
              <w:topLinePunct w:val="0"/>
              <w:bidi w:val="0"/>
              <w:spacing w:line="560" w:lineRule="exact"/>
              <w:ind w:left="0" w:leftChars="0" w:right="0" w:right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41" w:type="pct"/>
            <w:tcBorders>
              <w:top w:val="single" w:color="auto" w:sz="4" w:space="0"/>
              <w:left w:val="single" w:color="auto" w:sz="4" w:space="0"/>
              <w:bottom w:val="single" w:color="auto" w:sz="4" w:space="0"/>
              <w:right w:val="single" w:color="auto" w:sz="4" w:space="0"/>
            </w:tcBorders>
            <w:shd w:val="clear" w:color="FFFFFF" w:fill="FFFFFF"/>
            <w:vAlign w:val="center"/>
          </w:tcPr>
          <w:p w14:paraId="3AF3CED0">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shd w:val="clear" w:color="FFFFFF" w:fill="FFFFFF"/>
            <w:vAlign w:val="center"/>
          </w:tcPr>
          <w:p w14:paraId="41F8C00B">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shd w:val="clear" w:color="FFFFFF" w:fill="FFFFFF"/>
            <w:vAlign w:val="center"/>
          </w:tcPr>
          <w:p w14:paraId="61B7088C">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355" w:type="pct"/>
            <w:tcBorders>
              <w:top w:val="single" w:color="auto" w:sz="4" w:space="0"/>
              <w:left w:val="single" w:color="auto" w:sz="4" w:space="0"/>
              <w:bottom w:val="single" w:color="auto" w:sz="4" w:space="0"/>
              <w:right w:val="single" w:color="auto" w:sz="4" w:space="0"/>
            </w:tcBorders>
            <w:shd w:val="clear" w:color="FFFFFF" w:fill="FFFFFF"/>
            <w:vAlign w:val="center"/>
          </w:tcPr>
          <w:p w14:paraId="46692E02">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66" w:type="pct"/>
            <w:tcBorders>
              <w:top w:val="single" w:color="auto" w:sz="4" w:space="0"/>
              <w:left w:val="single" w:color="auto" w:sz="4" w:space="0"/>
              <w:bottom w:val="single" w:color="auto" w:sz="4" w:space="0"/>
              <w:right w:val="single" w:color="auto" w:sz="4" w:space="0"/>
            </w:tcBorders>
            <w:shd w:val="clear" w:color="FFFFFF" w:fill="FFFFFF"/>
            <w:vAlign w:val="center"/>
          </w:tcPr>
          <w:p w14:paraId="55AEDDCA">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02" w:type="pct"/>
            <w:tcBorders>
              <w:top w:val="single" w:color="auto" w:sz="4" w:space="0"/>
              <w:left w:val="single" w:color="auto" w:sz="4" w:space="0"/>
              <w:bottom w:val="single" w:color="auto" w:sz="4" w:space="0"/>
              <w:right w:val="single" w:color="auto" w:sz="4" w:space="0"/>
            </w:tcBorders>
            <w:shd w:val="clear" w:color="FFFFFF" w:fill="FFFFFF"/>
            <w:vAlign w:val="center"/>
          </w:tcPr>
          <w:p w14:paraId="5A647D3A">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34" w:type="pct"/>
            <w:tcBorders>
              <w:top w:val="single" w:color="auto" w:sz="4" w:space="0"/>
              <w:left w:val="single" w:color="auto" w:sz="4" w:space="0"/>
              <w:bottom w:val="single" w:color="auto" w:sz="4" w:space="0"/>
              <w:right w:val="single" w:color="auto" w:sz="4" w:space="0"/>
            </w:tcBorders>
            <w:shd w:val="clear" w:color="FFFFFF" w:fill="FFFFFF"/>
            <w:vAlign w:val="center"/>
          </w:tcPr>
          <w:p w14:paraId="1B633111">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cBorders>
            <w:shd w:val="clear" w:color="FFFFFF" w:fill="FFFFFF"/>
            <w:vAlign w:val="center"/>
          </w:tcPr>
          <w:p w14:paraId="3F7679DE">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shd w:val="clear" w:color="FFFFFF" w:fill="FFFFFF"/>
            <w:vAlign w:val="center"/>
          </w:tcPr>
          <w:p w14:paraId="53B5D630">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02" w:type="pct"/>
            <w:tcBorders>
              <w:top w:val="single" w:color="auto" w:sz="4" w:space="0"/>
              <w:left w:val="single" w:color="auto" w:sz="4" w:space="0"/>
              <w:bottom w:val="single" w:color="auto" w:sz="4" w:space="0"/>
              <w:right w:val="single" w:color="auto" w:sz="4" w:space="0"/>
            </w:tcBorders>
            <w:shd w:val="clear" w:color="FFFFFF" w:fill="FFFFFF"/>
            <w:vAlign w:val="center"/>
          </w:tcPr>
          <w:p w14:paraId="1B1BDC30">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36E3A4E1">
        <w:tblPrEx>
          <w:tblCellMar>
            <w:top w:w="0" w:type="dxa"/>
            <w:left w:w="108" w:type="dxa"/>
            <w:bottom w:w="0" w:type="dxa"/>
            <w:right w:w="108" w:type="dxa"/>
          </w:tblCellMar>
        </w:tblPrEx>
        <w:trPr>
          <w:trHeight w:val="670" w:hRule="atLeast"/>
        </w:trPr>
        <w:tc>
          <w:tcPr>
            <w:tcW w:w="309" w:type="pct"/>
            <w:tcBorders>
              <w:top w:val="single" w:color="auto" w:sz="4" w:space="0"/>
              <w:left w:val="single" w:color="auto" w:sz="4" w:space="0"/>
              <w:bottom w:val="single" w:color="auto" w:sz="4" w:space="0"/>
              <w:right w:val="single" w:color="auto" w:sz="4" w:space="0"/>
            </w:tcBorders>
            <w:shd w:val="clear" w:color="FFFFFF" w:fill="FFFFFF"/>
            <w:vAlign w:val="center"/>
          </w:tcPr>
          <w:p w14:paraId="49DBDB26">
            <w:pPr>
              <w:pageBreakBefore w:val="0"/>
              <w:widowControl/>
              <w:wordWrap/>
              <w:overflowPunct/>
              <w:topLinePunct w:val="0"/>
              <w:bidi w:val="0"/>
              <w:spacing w:line="560" w:lineRule="exact"/>
              <w:ind w:left="0" w:leftChars="0" w:right="0" w:right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441" w:type="pct"/>
            <w:tcBorders>
              <w:top w:val="single" w:color="auto" w:sz="4" w:space="0"/>
              <w:left w:val="single" w:color="auto" w:sz="4" w:space="0"/>
              <w:bottom w:val="single" w:color="auto" w:sz="4" w:space="0"/>
              <w:right w:val="single" w:color="auto" w:sz="4" w:space="0"/>
            </w:tcBorders>
            <w:shd w:val="clear" w:color="FFFFFF" w:fill="FFFFFF"/>
            <w:vAlign w:val="center"/>
          </w:tcPr>
          <w:p w14:paraId="63EFDF6A">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shd w:val="clear" w:color="FFFFFF" w:fill="FFFFFF"/>
            <w:vAlign w:val="center"/>
          </w:tcPr>
          <w:p w14:paraId="331B5696">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shd w:val="clear" w:color="FFFFFF" w:fill="FFFFFF"/>
            <w:vAlign w:val="center"/>
          </w:tcPr>
          <w:p w14:paraId="5C12417B">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355" w:type="pct"/>
            <w:tcBorders>
              <w:top w:val="single" w:color="auto" w:sz="4" w:space="0"/>
              <w:left w:val="single" w:color="auto" w:sz="4" w:space="0"/>
              <w:bottom w:val="single" w:color="auto" w:sz="4" w:space="0"/>
              <w:right w:val="single" w:color="auto" w:sz="4" w:space="0"/>
            </w:tcBorders>
            <w:shd w:val="clear" w:color="FFFFFF" w:fill="FFFFFF"/>
            <w:vAlign w:val="center"/>
          </w:tcPr>
          <w:p w14:paraId="4A093CD0">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66" w:type="pct"/>
            <w:tcBorders>
              <w:top w:val="single" w:color="auto" w:sz="4" w:space="0"/>
              <w:left w:val="single" w:color="auto" w:sz="4" w:space="0"/>
              <w:bottom w:val="single" w:color="auto" w:sz="4" w:space="0"/>
              <w:right w:val="single" w:color="auto" w:sz="4" w:space="0"/>
            </w:tcBorders>
            <w:shd w:val="clear" w:color="FFFFFF" w:fill="FFFFFF"/>
            <w:vAlign w:val="center"/>
          </w:tcPr>
          <w:p w14:paraId="7C298DC6">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02" w:type="pct"/>
            <w:tcBorders>
              <w:top w:val="single" w:color="auto" w:sz="4" w:space="0"/>
              <w:left w:val="single" w:color="auto" w:sz="4" w:space="0"/>
              <w:bottom w:val="single" w:color="auto" w:sz="4" w:space="0"/>
              <w:right w:val="single" w:color="auto" w:sz="4" w:space="0"/>
            </w:tcBorders>
            <w:shd w:val="clear" w:color="FFFFFF" w:fill="FFFFFF"/>
            <w:vAlign w:val="center"/>
          </w:tcPr>
          <w:p w14:paraId="12D04CFD">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34" w:type="pct"/>
            <w:tcBorders>
              <w:top w:val="single" w:color="auto" w:sz="4" w:space="0"/>
              <w:left w:val="single" w:color="auto" w:sz="4" w:space="0"/>
              <w:bottom w:val="single" w:color="auto" w:sz="4" w:space="0"/>
              <w:right w:val="single" w:color="auto" w:sz="4" w:space="0"/>
            </w:tcBorders>
            <w:shd w:val="clear" w:color="FFFFFF" w:fill="FFFFFF"/>
            <w:vAlign w:val="center"/>
          </w:tcPr>
          <w:p w14:paraId="444E9077">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cBorders>
            <w:shd w:val="clear" w:color="FFFFFF" w:fill="FFFFFF"/>
            <w:vAlign w:val="center"/>
          </w:tcPr>
          <w:p w14:paraId="06C94028">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shd w:val="clear" w:color="FFFFFF" w:fill="FFFFFF"/>
            <w:vAlign w:val="center"/>
          </w:tcPr>
          <w:p w14:paraId="400FC19D">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02" w:type="pct"/>
            <w:tcBorders>
              <w:top w:val="single" w:color="auto" w:sz="4" w:space="0"/>
              <w:left w:val="single" w:color="auto" w:sz="4" w:space="0"/>
              <w:bottom w:val="single" w:color="auto" w:sz="4" w:space="0"/>
              <w:right w:val="single" w:color="auto" w:sz="4" w:space="0"/>
            </w:tcBorders>
            <w:shd w:val="clear" w:color="FFFFFF" w:fill="FFFFFF"/>
            <w:vAlign w:val="center"/>
          </w:tcPr>
          <w:p w14:paraId="35651176">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r w14:paraId="6FD854F9">
        <w:tblPrEx>
          <w:tblCellMar>
            <w:top w:w="0" w:type="dxa"/>
            <w:left w:w="108" w:type="dxa"/>
            <w:bottom w:w="0" w:type="dxa"/>
            <w:right w:w="108" w:type="dxa"/>
          </w:tblCellMar>
        </w:tblPrEx>
        <w:trPr>
          <w:trHeight w:val="714" w:hRule="atLeast"/>
        </w:trPr>
        <w:tc>
          <w:tcPr>
            <w:tcW w:w="309" w:type="pct"/>
            <w:tcBorders>
              <w:top w:val="single" w:color="auto" w:sz="4" w:space="0"/>
              <w:left w:val="single" w:color="auto" w:sz="4" w:space="0"/>
              <w:bottom w:val="single" w:color="auto" w:sz="4" w:space="0"/>
              <w:right w:val="single" w:color="auto" w:sz="4" w:space="0"/>
            </w:tcBorders>
            <w:shd w:val="clear" w:color="FFFFFF" w:fill="FFFFFF"/>
            <w:vAlign w:val="center"/>
          </w:tcPr>
          <w:p w14:paraId="0C6EFDF5">
            <w:pPr>
              <w:pageBreakBefore w:val="0"/>
              <w:widowControl/>
              <w:wordWrap/>
              <w:overflowPunct/>
              <w:topLinePunct w:val="0"/>
              <w:bidi w:val="0"/>
              <w:spacing w:line="560" w:lineRule="exact"/>
              <w:ind w:left="0" w:leftChars="0" w:right="0" w:rightChars="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441" w:type="pct"/>
            <w:tcBorders>
              <w:top w:val="single" w:color="auto" w:sz="4" w:space="0"/>
              <w:left w:val="single" w:color="auto" w:sz="4" w:space="0"/>
              <w:bottom w:val="single" w:color="auto" w:sz="4" w:space="0"/>
              <w:right w:val="single" w:color="auto" w:sz="4" w:space="0"/>
            </w:tcBorders>
            <w:shd w:val="clear" w:color="FFFFFF" w:fill="FFFFFF"/>
            <w:vAlign w:val="center"/>
          </w:tcPr>
          <w:p w14:paraId="3C9D06A9">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shd w:val="clear" w:color="FFFFFF" w:fill="FFFFFF"/>
            <w:vAlign w:val="center"/>
          </w:tcPr>
          <w:p w14:paraId="5539CF5E">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shd w:val="clear" w:color="FFFFFF" w:fill="FFFFFF"/>
            <w:vAlign w:val="center"/>
          </w:tcPr>
          <w:p w14:paraId="2CCF30A1">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355" w:type="pct"/>
            <w:tcBorders>
              <w:top w:val="single" w:color="auto" w:sz="4" w:space="0"/>
              <w:left w:val="single" w:color="auto" w:sz="4" w:space="0"/>
              <w:bottom w:val="single" w:color="auto" w:sz="4" w:space="0"/>
              <w:right w:val="single" w:color="auto" w:sz="4" w:space="0"/>
            </w:tcBorders>
            <w:shd w:val="clear" w:color="FFFFFF" w:fill="FFFFFF"/>
            <w:vAlign w:val="center"/>
          </w:tcPr>
          <w:p w14:paraId="596AE298">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66" w:type="pct"/>
            <w:tcBorders>
              <w:top w:val="single" w:color="auto" w:sz="4" w:space="0"/>
              <w:left w:val="single" w:color="auto" w:sz="4" w:space="0"/>
              <w:bottom w:val="single" w:color="auto" w:sz="4" w:space="0"/>
              <w:right w:val="single" w:color="auto" w:sz="4" w:space="0"/>
            </w:tcBorders>
            <w:shd w:val="clear" w:color="FFFFFF" w:fill="FFFFFF"/>
            <w:vAlign w:val="center"/>
          </w:tcPr>
          <w:p w14:paraId="55CD1255">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02" w:type="pct"/>
            <w:tcBorders>
              <w:top w:val="single" w:color="auto" w:sz="4" w:space="0"/>
              <w:left w:val="single" w:color="auto" w:sz="4" w:space="0"/>
              <w:bottom w:val="single" w:color="auto" w:sz="4" w:space="0"/>
              <w:right w:val="single" w:color="auto" w:sz="4" w:space="0"/>
            </w:tcBorders>
            <w:shd w:val="clear" w:color="FFFFFF" w:fill="FFFFFF"/>
            <w:vAlign w:val="center"/>
          </w:tcPr>
          <w:p w14:paraId="0535F284">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34" w:type="pct"/>
            <w:tcBorders>
              <w:top w:val="single" w:color="auto" w:sz="4" w:space="0"/>
              <w:left w:val="single" w:color="auto" w:sz="4" w:space="0"/>
              <w:bottom w:val="single" w:color="auto" w:sz="4" w:space="0"/>
              <w:right w:val="single" w:color="auto" w:sz="4" w:space="0"/>
            </w:tcBorders>
            <w:shd w:val="clear" w:color="FFFFFF" w:fill="FFFFFF"/>
            <w:vAlign w:val="center"/>
          </w:tcPr>
          <w:p w14:paraId="7A388B3F">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cBorders>
            <w:shd w:val="clear" w:color="FFFFFF" w:fill="FFFFFF"/>
            <w:vAlign w:val="center"/>
          </w:tcPr>
          <w:p w14:paraId="62D60E83">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shd w:val="clear" w:color="FFFFFF" w:fill="FFFFFF"/>
            <w:vAlign w:val="center"/>
          </w:tcPr>
          <w:p w14:paraId="3B93E10A">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c>
          <w:tcPr>
            <w:tcW w:w="402" w:type="pct"/>
            <w:tcBorders>
              <w:top w:val="single" w:color="auto" w:sz="4" w:space="0"/>
              <w:left w:val="single" w:color="auto" w:sz="4" w:space="0"/>
              <w:bottom w:val="single" w:color="auto" w:sz="4" w:space="0"/>
              <w:right w:val="single" w:color="auto" w:sz="4" w:space="0"/>
            </w:tcBorders>
            <w:shd w:val="clear" w:color="FFFFFF" w:fill="FFFFFF"/>
            <w:vAlign w:val="center"/>
          </w:tcPr>
          <w:p w14:paraId="0A1461FE">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c>
      </w:tr>
    </w:tbl>
    <w:p w14:paraId="4C82AABF">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AC23EF5">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应对照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eastAsia="zh-CN"/>
        </w:rPr>
        <w:t>项目采购需求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中技术参数</w:t>
      </w:r>
      <w:r>
        <w:rPr>
          <w:rFonts w:hint="eastAsia" w:ascii="宋体" w:hAnsi="宋体" w:eastAsia="宋体" w:cs="宋体"/>
          <w:color w:val="auto"/>
          <w:sz w:val="24"/>
          <w:szCs w:val="24"/>
          <w:highlight w:val="none"/>
        </w:rPr>
        <w:t>逐项填写，</w:t>
      </w:r>
      <w:r>
        <w:rPr>
          <w:rFonts w:hint="eastAsia" w:ascii="宋体" w:hAnsi="宋体" w:eastAsia="宋体" w:cs="宋体"/>
          <w:color w:val="auto"/>
          <w:sz w:val="24"/>
          <w:szCs w:val="24"/>
          <w:highlight w:val="none"/>
          <w:lang w:val="en-US" w:eastAsia="zh-CN"/>
        </w:rPr>
        <w:t>在“技术需求偏离表”中的“</w:t>
      </w:r>
      <w:r>
        <w:rPr>
          <w:rFonts w:hint="eastAsia" w:ascii="宋体" w:hAnsi="宋体" w:eastAsia="宋体" w:cs="宋体"/>
          <w:color w:val="auto"/>
          <w:sz w:val="24"/>
          <w:szCs w:val="24"/>
          <w:highlight w:val="none"/>
        </w:rPr>
        <w:t>偏离</w:t>
      </w:r>
      <w:r>
        <w:rPr>
          <w:rFonts w:hint="eastAsia" w:ascii="宋体" w:hAnsi="宋体" w:eastAsia="宋体" w:cs="宋体"/>
          <w:color w:val="auto"/>
          <w:sz w:val="24"/>
          <w:szCs w:val="24"/>
          <w:highlight w:val="none"/>
          <w:lang w:val="en-US" w:eastAsia="zh-CN"/>
        </w:rPr>
        <w:t>情况”中注明“正偏离”或“负偏离”或“无偏离”，</w:t>
      </w:r>
      <w:r>
        <w:rPr>
          <w:rFonts w:hint="eastAsia" w:ascii="宋体" w:hAnsi="宋体" w:eastAsia="宋体" w:cs="宋体"/>
          <w:color w:val="auto"/>
          <w:sz w:val="24"/>
          <w:szCs w:val="24"/>
          <w:highlight w:val="none"/>
        </w:rPr>
        <w:t>不得虚假响应</w:t>
      </w:r>
      <w:r>
        <w:rPr>
          <w:rFonts w:hint="eastAsia" w:ascii="宋体" w:hAnsi="宋体" w:eastAsia="宋体" w:cs="宋体"/>
          <w:color w:val="auto"/>
          <w:sz w:val="24"/>
          <w:szCs w:val="24"/>
          <w:highlight w:val="none"/>
          <w:lang w:eastAsia="zh-CN"/>
        </w:rPr>
        <w:t>。</w:t>
      </w:r>
    </w:p>
    <w:p w14:paraId="67CCF36E">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eastAsia="zh-CN"/>
        </w:rPr>
        <w:t>项目采购需求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投标人需提供与产品技术参数相关的证明材料（</w:t>
      </w:r>
      <w:r>
        <w:rPr>
          <w:rFonts w:hint="eastAsia" w:ascii="宋体" w:hAnsi="宋体" w:eastAsia="宋体" w:cs="宋体"/>
          <w:color w:val="auto"/>
          <w:sz w:val="24"/>
          <w:szCs w:val="24"/>
          <w:highlight w:val="none"/>
          <w:lang w:val="en-US" w:eastAsia="zh-CN"/>
        </w:rPr>
        <w:t>如产品样式及材质清单、认证证书、产品检测报告、鉴定证书、制造商产品彩页、制造商官网截图、制造商技术白皮书、制造商产品说明书、检测报告中的检测结果数据、产品注册证等彩页、彩色实物照片等</w:t>
      </w:r>
      <w:r>
        <w:rPr>
          <w:rFonts w:hint="eastAsia" w:ascii="宋体" w:hAnsi="宋体" w:eastAsia="宋体" w:cs="宋体"/>
          <w:color w:val="auto"/>
          <w:kern w:val="2"/>
          <w:sz w:val="24"/>
          <w:szCs w:val="24"/>
          <w:highlight w:val="none"/>
          <w:lang w:val="en-US" w:eastAsia="zh-CN" w:bidi="ar-SA"/>
        </w:rPr>
        <w:t>，任一项即可）</w:t>
      </w:r>
      <w:r>
        <w:rPr>
          <w:rFonts w:hint="eastAsia" w:ascii="宋体" w:hAnsi="宋体" w:eastAsia="宋体" w:cs="宋体"/>
          <w:b w:val="0"/>
          <w:bCs w:val="0"/>
          <w:color w:val="auto"/>
          <w:sz w:val="24"/>
          <w:szCs w:val="24"/>
          <w:highlight w:val="none"/>
          <w:lang w:val="en-US" w:eastAsia="zh-CN"/>
        </w:rPr>
        <w:t>，未提供或不清楚，不予认可。</w:t>
      </w:r>
    </w:p>
    <w:p w14:paraId="13D7691B">
      <w:pPr>
        <w:pageBreakBefore w:val="0"/>
        <w:wordWrap/>
        <w:overflowPunct/>
        <w:topLinePunct w:val="0"/>
        <w:bidi w:val="0"/>
        <w:spacing w:line="560" w:lineRule="exact"/>
        <w:ind w:left="0" w:leftChars="0" w:right="0" w:rightChars="0"/>
        <w:rPr>
          <w:rFonts w:hint="eastAsia" w:ascii="宋体" w:hAnsi="宋体" w:eastAsia="宋体" w:cs="宋体"/>
          <w:bCs/>
          <w:caps w:val="0"/>
          <w:color w:val="auto"/>
          <w:spacing w:val="0"/>
          <w:w w:val="100"/>
          <w:sz w:val="24"/>
          <w:szCs w:val="24"/>
          <w:highlight w:val="none"/>
        </w:rPr>
      </w:pPr>
      <w:r>
        <w:rPr>
          <w:rFonts w:hint="eastAsia" w:ascii="宋体" w:hAnsi="宋体" w:eastAsia="宋体" w:cs="宋体"/>
          <w:bCs/>
          <w:caps w:val="0"/>
          <w:color w:val="auto"/>
          <w:spacing w:val="0"/>
          <w:w w:val="100"/>
          <w:sz w:val="24"/>
          <w:szCs w:val="24"/>
          <w:highlight w:val="none"/>
          <w:lang w:val="en-US" w:eastAsia="zh-CN"/>
        </w:rPr>
        <w:t xml:space="preserve">                      </w:t>
      </w:r>
    </w:p>
    <w:p w14:paraId="1E495744">
      <w:pPr>
        <w:pStyle w:val="15"/>
        <w:pageBreakBefore w:val="0"/>
        <w:wordWrap/>
        <w:overflowPunct/>
        <w:topLinePunct w:val="0"/>
        <w:bidi w:val="0"/>
        <w:spacing w:after="0" w:line="560" w:lineRule="exact"/>
        <w:ind w:left="0" w:leftChars="0" w:right="0" w:rightChars="0"/>
        <w:jc w:val="righ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投标人名称（盖章）：</w:t>
      </w:r>
    </w:p>
    <w:p w14:paraId="4049BCD7">
      <w:pPr>
        <w:pStyle w:val="15"/>
        <w:pageBreakBefore w:val="0"/>
        <w:wordWrap/>
        <w:overflowPunct/>
        <w:topLinePunct w:val="0"/>
        <w:bidi w:val="0"/>
        <w:spacing w:after="0" w:line="560" w:lineRule="exact"/>
        <w:ind w:left="0" w:leftChars="0" w:right="0" w:rightChars="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授权人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2E1987D4">
      <w:pPr>
        <w:pageBreakBefore w:val="0"/>
        <w:wordWrap/>
        <w:overflowPunct/>
        <w:topLinePunct w:val="0"/>
        <w:bidi w:val="0"/>
        <w:spacing w:line="560" w:lineRule="exact"/>
        <w:ind w:left="0" w:leftChars="0" w:right="0" w:rightChars="0"/>
        <w:jc w:val="righ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sz w:val="24"/>
          <w:szCs w:val="24"/>
          <w:highlight w:val="none"/>
        </w:rPr>
        <w:t xml:space="preserve">日期： </w:t>
      </w:r>
      <w:bookmarkEnd w:id="143"/>
      <w:r>
        <w:rPr>
          <w:rFonts w:hint="eastAsia" w:ascii="宋体" w:hAnsi="宋体" w:eastAsia="宋体" w:cs="宋体"/>
          <w:b/>
          <w:bCs/>
          <w:color w:val="auto"/>
          <w:kern w:val="0"/>
          <w:sz w:val="24"/>
          <w:szCs w:val="24"/>
          <w:highlight w:val="none"/>
          <w:lang w:val="en-US" w:eastAsia="zh-CN"/>
        </w:rPr>
        <w:t xml:space="preserve"> </w:t>
      </w:r>
    </w:p>
    <w:p w14:paraId="2FEB75BA">
      <w:pPr>
        <w:pageBreakBefore w:val="0"/>
        <w:wordWrap/>
        <w:overflowPunct/>
        <w:topLinePunct w:val="0"/>
        <w:bidi w:val="0"/>
        <w:spacing w:line="560" w:lineRule="exact"/>
        <w:ind w:left="0" w:leftChars="0" w:right="0" w:rightChars="0"/>
        <w:jc w:val="center"/>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bookmarkStart w:id="144" w:name="_Toc13020"/>
      <w:bookmarkStart w:id="145" w:name="_Toc9179"/>
      <w:r>
        <w:rPr>
          <w:rFonts w:hint="eastAsia" w:ascii="宋体" w:hAnsi="宋体" w:eastAsia="宋体" w:cs="宋体"/>
          <w:b/>
          <w:bCs/>
          <w:color w:val="auto"/>
          <w:kern w:val="0"/>
          <w:sz w:val="24"/>
          <w:szCs w:val="24"/>
          <w:highlight w:val="none"/>
          <w:lang w:val="en-US" w:eastAsia="zh-CN"/>
        </w:rPr>
        <w:t>十</w:t>
      </w:r>
      <w:r>
        <w:rPr>
          <w:rFonts w:hint="eastAsia" w:ascii="宋体" w:hAnsi="宋体" w:eastAsia="宋体" w:cs="宋体"/>
          <w:b/>
          <w:bCs/>
          <w:color w:val="auto"/>
          <w:kern w:val="0"/>
          <w:sz w:val="24"/>
          <w:szCs w:val="24"/>
          <w:highlight w:val="none"/>
          <w:lang w:eastAsia="zh-CN"/>
        </w:rPr>
        <w:t>、技术方案</w:t>
      </w:r>
      <w:bookmarkEnd w:id="144"/>
      <w:bookmarkEnd w:id="145"/>
    </w:p>
    <w:p w14:paraId="127A5FAF">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46D6D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投标人应根据本招标文件要求和项目的具体情况，自行编制</w:t>
      </w:r>
      <w:r>
        <w:rPr>
          <w:rFonts w:hint="eastAsia" w:ascii="宋体" w:hAnsi="宋体" w:eastAsia="宋体" w:cs="宋体"/>
          <w:color w:val="auto"/>
          <w:sz w:val="24"/>
          <w:szCs w:val="24"/>
          <w:highlight w:val="none"/>
          <w:lang w:eastAsia="zh-CN"/>
        </w:rPr>
        <w:t>技术方案</w:t>
      </w:r>
      <w:r>
        <w:rPr>
          <w:rFonts w:hint="eastAsia" w:ascii="宋体" w:hAnsi="宋体" w:eastAsia="宋体" w:cs="宋体"/>
          <w:color w:val="auto"/>
          <w:sz w:val="24"/>
          <w:szCs w:val="24"/>
          <w:highlight w:val="none"/>
        </w:rPr>
        <w:t>，格式自拟，但应主要包括以下内容：</w:t>
      </w:r>
    </w:p>
    <w:bookmarkEnd w:id="140"/>
    <w:p w14:paraId="38AF7CA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bookmarkStart w:id="146" w:name="_Toc31271_WPSOffice_Level1"/>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实施方案</w:t>
      </w:r>
    </w:p>
    <w:p w14:paraId="05CAE0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val="en-US" w:eastAsia="zh-CN"/>
        </w:rPr>
        <w:t>质量保障措施</w:t>
      </w:r>
    </w:p>
    <w:p w14:paraId="3E619B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color w:val="auto"/>
          <w:spacing w:val="6"/>
          <w:kern w:val="0"/>
          <w:sz w:val="24"/>
          <w:szCs w:val="24"/>
          <w:highlight w:val="none"/>
          <w:lang w:val="en-US" w:eastAsia="zh-CN"/>
        </w:rPr>
        <w:t>售后</w:t>
      </w:r>
      <w:r>
        <w:rPr>
          <w:rFonts w:hint="eastAsia" w:ascii="宋体" w:hAnsi="宋体" w:cs="宋体"/>
          <w:color w:val="auto"/>
          <w:spacing w:val="6"/>
          <w:kern w:val="0"/>
          <w:sz w:val="24"/>
          <w:szCs w:val="24"/>
          <w:highlight w:val="none"/>
          <w:lang w:val="en-US" w:eastAsia="zh-CN"/>
        </w:rPr>
        <w:t>承诺</w:t>
      </w:r>
      <w:r>
        <w:rPr>
          <w:rFonts w:hint="eastAsia" w:ascii="宋体" w:hAnsi="宋体" w:eastAsia="宋体" w:cs="宋体"/>
          <w:b/>
          <w:bCs/>
          <w:color w:val="auto"/>
          <w:kern w:val="0"/>
          <w:sz w:val="24"/>
          <w:szCs w:val="24"/>
          <w:highlight w:val="none"/>
          <w:lang w:val="en-US" w:eastAsia="zh-CN"/>
        </w:rPr>
        <w:br w:type="page"/>
      </w:r>
    </w:p>
    <w:p w14:paraId="4DC0B531">
      <w:pPr>
        <w:pStyle w:val="14"/>
        <w:pageBreakBefore w:val="0"/>
        <w:wordWrap/>
        <w:overflowPunct/>
        <w:topLinePunct w:val="0"/>
        <w:bidi w:val="0"/>
        <w:spacing w:line="560" w:lineRule="exact"/>
        <w:ind w:left="0" w:leftChars="0" w:right="0" w:rightChars="0" w:firstLine="482" w:firstLineChars="200"/>
        <w:jc w:val="center"/>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十一</w:t>
      </w:r>
      <w:r>
        <w:rPr>
          <w:rFonts w:hint="eastAsia" w:ascii="宋体" w:hAnsi="宋体" w:eastAsia="宋体" w:cs="宋体"/>
          <w:b/>
          <w:bCs/>
          <w:color w:val="auto"/>
          <w:kern w:val="0"/>
          <w:sz w:val="24"/>
          <w:szCs w:val="24"/>
          <w:highlight w:val="none"/>
        </w:rPr>
        <w:t>、政府采购政策</w:t>
      </w:r>
    </w:p>
    <w:p w14:paraId="05258E52">
      <w:pPr>
        <w:pStyle w:val="14"/>
        <w:pageBreakBefore w:val="0"/>
        <w:wordWrap/>
        <w:overflowPunct/>
        <w:topLinePunct w:val="0"/>
        <w:bidi w:val="0"/>
        <w:spacing w:line="560" w:lineRule="exact"/>
        <w:ind w:left="0" w:leftChars="0" w:right="0" w:rightChars="0" w:firstLine="482" w:firstLineChars="200"/>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rPr>
        <w:t>（一）</w:t>
      </w:r>
      <w:r>
        <w:rPr>
          <w:rFonts w:hint="eastAsia" w:ascii="宋体" w:hAnsi="宋体" w:eastAsia="宋体" w:cs="宋体"/>
          <w:b/>
          <w:bCs/>
          <w:color w:val="auto"/>
          <w:sz w:val="24"/>
          <w:szCs w:val="24"/>
          <w:highlight w:val="none"/>
        </w:rPr>
        <w:t>中小企业声明函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如有</w:t>
      </w:r>
      <w:r>
        <w:rPr>
          <w:rFonts w:hint="eastAsia" w:ascii="宋体" w:hAnsi="宋体" w:eastAsia="宋体" w:cs="宋体"/>
          <w:b/>
          <w:bCs/>
          <w:color w:val="auto"/>
          <w:sz w:val="24"/>
          <w:szCs w:val="24"/>
          <w:highlight w:val="none"/>
          <w:lang w:eastAsia="zh-CN"/>
        </w:rPr>
        <w:t>）</w:t>
      </w:r>
    </w:p>
    <w:p w14:paraId="6F753475">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22A3AEDF">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u w:val="single"/>
        </w:rPr>
        <w:t>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，属于（中型企业、小型企业、微型企业）；</w:t>
      </w:r>
    </w:p>
    <w:p w14:paraId="7A914510">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u w:val="single"/>
        </w:rPr>
        <w:t>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AA563B">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A0AA891">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8BAEDC7">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3B2D59A">
      <w:pPr>
        <w:pStyle w:val="14"/>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企业名称（盖章）：</w:t>
      </w:r>
    </w:p>
    <w:p w14:paraId="02E5E8E3">
      <w:pPr>
        <w:pStyle w:val="14"/>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3804F44B">
      <w:pPr>
        <w:pStyle w:val="14"/>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1FFF853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A49C0D4">
      <w:pPr>
        <w:pStyle w:val="11"/>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特别说明</w:t>
      </w:r>
    </w:p>
    <w:p w14:paraId="35777048">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（1）以上《中小企业声明函》只须填写所投产品的制造商名称及相关信息。</w:t>
      </w:r>
    </w:p>
    <w:p w14:paraId="3EB577EE">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（2）本投标人须明确所投产品制造商的从业人员、</w:t>
      </w:r>
      <w:r>
        <w:rPr>
          <w:rFonts w:hint="eastAsia" w:ascii="宋体" w:hAnsi="宋体" w:eastAsia="宋体" w:cs="宋体"/>
          <w:color w:val="auto"/>
          <w:sz w:val="24"/>
          <w:szCs w:val="24"/>
          <w:highlight w:val="none"/>
        </w:rPr>
        <w:t>营业收入、资产总额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属于中型企业或小型企业或微型企业（只能填一项），未明确的，《中小企业声明函》按无效处理。</w:t>
      </w:r>
    </w:p>
    <w:p w14:paraId="77B789F9">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含多个标的，须逐一明确每个标的制造商的中小微企业情况。所有标的均由小微企业制造的，方可享受10%的价格扣除优惠。若有一个标的为非小微企业制造，不可享受价格扣除优惠政策，中型企业不享受价格扣除优惠政策。</w:t>
      </w:r>
    </w:p>
    <w:p w14:paraId="6C899C28">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（一）农、林、牧、渔业。营业收入20000万元以下的为中小微型企业。其中，营业收入500万元及以上的为中型企业，营业收入50万元及以上的为小型企业，营业收入50万元以下的为微型企业。</w:t>
      </w:r>
    </w:p>
    <w:p w14:paraId="25BF1174">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E99BB8">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11DC6B">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E64E299">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8647E0">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0635F52">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8E7C28B">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2A0CE9D">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6485ED">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569AFB">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8994B55">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6998C32">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D3F8DBB">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212FFA6">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A5594FF">
      <w:pPr>
        <w:pStyle w:val="14"/>
        <w:pageBreakBefore w:val="0"/>
        <w:shd w:val="clear"/>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（十六）其他未列明行业。从业人员300人以下的为中小微型企业。其中，从业人员100人及以上的为中型企业；从业人员10人及以上的为小型企业；从业人员10人以下的为微型企业。</w:t>
      </w:r>
    </w:p>
    <w:p w14:paraId="2FF384FA">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A8F5F65">
      <w:pPr>
        <w:pageBreakBefore w:val="0"/>
        <w:wordWrap/>
        <w:overflowPunct/>
        <w:topLinePunct w:val="0"/>
        <w:bidi w:val="0"/>
        <w:spacing w:line="560" w:lineRule="exact"/>
        <w:ind w:left="0" w:leftChars="0" w:right="0" w:rightChars="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pacing w:val="6"/>
          <w:sz w:val="24"/>
          <w:szCs w:val="24"/>
          <w:highlight w:val="none"/>
        </w:rPr>
        <w:t>残疾人福利性单位声明函</w:t>
      </w:r>
      <w:r>
        <w:rPr>
          <w:rFonts w:hint="eastAsia" w:ascii="宋体" w:hAnsi="宋体" w:eastAsia="宋体" w:cs="宋体"/>
          <w:b/>
          <w:color w:val="auto"/>
          <w:sz w:val="24"/>
          <w:szCs w:val="24"/>
          <w:highlight w:val="none"/>
        </w:rPr>
        <w:t>（如有）</w:t>
      </w:r>
    </w:p>
    <w:p w14:paraId="1E84A933">
      <w:pPr>
        <w:pageBreakBefore w:val="0"/>
        <w:wordWrap/>
        <w:overflowPunct/>
        <w:topLinePunct w:val="0"/>
        <w:bidi w:val="0"/>
        <w:spacing w:line="560" w:lineRule="exact"/>
        <w:ind w:left="0" w:leftChars="0" w:right="0" w:rightChars="0"/>
        <w:rPr>
          <w:rFonts w:hint="eastAsia" w:ascii="宋体" w:hAnsi="宋体" w:eastAsia="宋体" w:cs="宋体"/>
          <w:b/>
          <w:color w:val="auto"/>
          <w:spacing w:val="6"/>
          <w:sz w:val="24"/>
          <w:szCs w:val="24"/>
          <w:highlight w:val="none"/>
        </w:rPr>
      </w:pPr>
    </w:p>
    <w:p w14:paraId="4120DDD7">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项目投标活动提供本单位制造的货物（由本单位承担工程/提供服务），或者提供其他残疾人福利性单位制造的货物（不包括使用非残疾人福利性单位注册商标的货物）。</w:t>
      </w:r>
    </w:p>
    <w:p w14:paraId="1422DBE0">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4779C293">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p>
    <w:p w14:paraId="48B6A8E0">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p>
    <w:p w14:paraId="39BAEB3D">
      <w:pPr>
        <w:pageBreakBefore w:val="0"/>
        <w:tabs>
          <w:tab w:val="left" w:pos="4860"/>
        </w:tabs>
        <w:wordWrap/>
        <w:overflowPunct/>
        <w:topLinePunct w:val="0"/>
        <w:bidi w:val="0"/>
        <w:spacing w:line="560" w:lineRule="exact"/>
        <w:ind w:left="0" w:leftChars="0" w:right="0" w:rightChars="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14:paraId="338B8981">
      <w:pPr>
        <w:pageBreakBefore w:val="0"/>
        <w:tabs>
          <w:tab w:val="left" w:pos="4860"/>
        </w:tabs>
        <w:wordWrap/>
        <w:overflowPunct/>
        <w:topLinePunct w:val="0"/>
        <w:bidi w:val="0"/>
        <w:spacing w:line="560" w:lineRule="exact"/>
        <w:ind w:left="0" w:leftChars="0" w:right="0" w:rightChars="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750C8634">
      <w:pPr>
        <w:pageBreakBefore w:val="0"/>
        <w:widowControl/>
        <w:wordWrap/>
        <w:overflowPunct/>
        <w:topLinePunct w:val="0"/>
        <w:bidi w:val="0"/>
        <w:adjustRightInd w:val="0"/>
        <w:snapToGrid w:val="0"/>
        <w:spacing w:line="560" w:lineRule="exact"/>
        <w:ind w:left="0" w:leftChars="0" w:right="0" w:rightChars="0"/>
        <w:rPr>
          <w:rFonts w:hint="eastAsia" w:ascii="宋体" w:hAnsi="宋体" w:eastAsia="宋体" w:cs="宋体"/>
          <w:color w:val="auto"/>
          <w:sz w:val="24"/>
          <w:szCs w:val="24"/>
          <w:highlight w:val="none"/>
        </w:rPr>
      </w:pPr>
    </w:p>
    <w:p w14:paraId="21CC1829">
      <w:pPr>
        <w:pageBreakBefore w:val="0"/>
        <w:wordWrap/>
        <w:overflowPunct/>
        <w:topLinePunct w:val="0"/>
        <w:bidi w:val="0"/>
        <w:spacing w:line="560" w:lineRule="exact"/>
        <w:ind w:left="0" w:leftChars="0" w:right="0" w:rightChars="0"/>
        <w:jc w:val="left"/>
        <w:rPr>
          <w:rFonts w:hint="eastAsia" w:ascii="宋体" w:hAnsi="宋体" w:eastAsia="宋体" w:cs="宋体"/>
          <w:bCs/>
          <w:color w:val="auto"/>
          <w:sz w:val="24"/>
          <w:szCs w:val="24"/>
          <w:highlight w:val="none"/>
        </w:rPr>
      </w:pPr>
    </w:p>
    <w:p w14:paraId="0F2D56D8">
      <w:pPr>
        <w:pageBreakBefore w:val="0"/>
        <w:widowControl/>
        <w:wordWrap/>
        <w:overflowPunct/>
        <w:topLinePunct w:val="0"/>
        <w:bidi w:val="0"/>
        <w:spacing w:line="560" w:lineRule="exac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备注：须提供证明材料（能反映出企业残疾人的占比等情况的材料及残疾人证等）。</w:t>
      </w:r>
    </w:p>
    <w:p w14:paraId="4C9E2688">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2CD87416">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03706D5E">
      <w:pPr>
        <w:pageBreakBefore w:val="0"/>
        <w:widowControl/>
        <w:wordWrap/>
        <w:overflowPunct/>
        <w:topLinePunct w:val="0"/>
        <w:bidi w:val="0"/>
        <w:spacing w:line="560" w:lineRule="exact"/>
        <w:ind w:left="0" w:leftChars="0" w:right="0" w:rightChars="0"/>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（三）监狱企业证明文件（如有）</w:t>
      </w:r>
    </w:p>
    <w:p w14:paraId="0567C970">
      <w:pPr>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p>
    <w:p w14:paraId="2C5E9B41">
      <w:pPr>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A4ABBB0">
      <w:pPr>
        <w:pStyle w:val="14"/>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18AD85D2">
      <w:pPr>
        <w:pStyle w:val="33"/>
        <w:pageBreakBefore w:val="0"/>
        <w:wordWrap/>
        <w:overflowPunct/>
        <w:topLinePunct w:val="0"/>
        <w:bidi w:val="0"/>
        <w:spacing w:line="560" w:lineRule="exact"/>
        <w:ind w:left="0" w:leftChars="0" w:right="0" w:rightChars="0" w:firstLine="482" w:firstLineChars="200"/>
        <w:jc w:val="center"/>
        <w:rPr>
          <w:rFonts w:hint="eastAsia" w:ascii="宋体" w:hAnsi="宋体" w:eastAsia="宋体" w:cs="宋体"/>
          <w:b/>
          <w:bCs/>
          <w:color w:val="auto"/>
          <w:kern w:val="0"/>
          <w:sz w:val="24"/>
          <w:szCs w:val="24"/>
          <w:highlight w:val="none"/>
        </w:rPr>
      </w:pPr>
    </w:p>
    <w:p w14:paraId="4BD586C9">
      <w:pPr>
        <w:pStyle w:val="1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4"/>
          <w:szCs w:val="24"/>
          <w:highlight w:val="none"/>
          <w:lang w:val="en-US" w:eastAsia="zh-CN"/>
        </w:rPr>
        <w:t>十二、</w:t>
      </w:r>
      <w:r>
        <w:rPr>
          <w:rFonts w:hint="eastAsia" w:ascii="宋体" w:hAnsi="宋体" w:eastAsia="宋体" w:cs="宋体"/>
          <w:b/>
          <w:bCs/>
          <w:color w:val="auto"/>
          <w:kern w:val="0"/>
          <w:sz w:val="24"/>
          <w:szCs w:val="24"/>
          <w:highlight w:val="none"/>
          <w:lang w:eastAsia="zh-CN"/>
        </w:rPr>
        <w:t>投标人认为需要提供的资料</w:t>
      </w:r>
    </w:p>
    <w:p w14:paraId="36976587">
      <w:pPr>
        <w:pStyle w:val="1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投标保证金缴纳凭证</w:t>
      </w:r>
    </w:p>
    <w:p w14:paraId="4E98E8F3">
      <w:pPr>
        <w:pStyle w:val="14"/>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bl>
      <w:tblPr>
        <w:tblStyle w:val="3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790BD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8522" w:type="dxa"/>
            <w:tcBorders>
              <w:top w:val="single" w:color="auto" w:sz="4" w:space="0"/>
              <w:bottom w:val="single" w:color="auto" w:sz="4" w:space="0"/>
            </w:tcBorders>
            <w:vAlign w:val="center"/>
          </w:tcPr>
          <w:p w14:paraId="432D2E70">
            <w:pPr>
              <w:pStyle w:val="14"/>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投标保证金缴纳凭证</w:t>
            </w:r>
          </w:p>
        </w:tc>
      </w:tr>
    </w:tbl>
    <w:p w14:paraId="5489BAC5">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p>
    <w:p w14:paraId="589C3D55">
      <w:pPr>
        <w:pStyle w:val="14"/>
        <w:pageBreakBefore w:val="0"/>
        <w:wordWrap/>
        <w:overflowPunct/>
        <w:topLinePunct w:val="0"/>
        <w:bidi w:val="0"/>
        <w:spacing w:line="560" w:lineRule="exact"/>
        <w:ind w:left="0" w:leftChars="0" w:right="0" w:rightChars="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（二）其他</w:t>
      </w:r>
    </w:p>
    <w:p w14:paraId="35AF9E8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应当仔细核对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中有关</w:t>
      </w:r>
      <w:r>
        <w:rPr>
          <w:rFonts w:hint="eastAsia" w:ascii="宋体" w:hAnsi="宋体" w:eastAsia="宋体" w:cs="宋体"/>
          <w:b/>
          <w:bCs/>
          <w:color w:val="auto"/>
          <w:sz w:val="24"/>
          <w:szCs w:val="24"/>
          <w:highlight w:val="none"/>
        </w:rPr>
        <w:t>“响应无效”、“拒收”</w:t>
      </w:r>
      <w:r>
        <w:rPr>
          <w:rFonts w:hint="eastAsia" w:ascii="宋体" w:hAnsi="宋体" w:eastAsia="宋体" w:cs="宋体"/>
          <w:color w:val="auto"/>
          <w:sz w:val="24"/>
          <w:szCs w:val="24"/>
          <w:highlight w:val="none"/>
        </w:rPr>
        <w:t>和评审标准等条款内容，提供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认为应当附加</w:t>
      </w:r>
      <w:r>
        <w:rPr>
          <w:rFonts w:hint="eastAsia" w:ascii="宋体" w:hAnsi="宋体" w:eastAsia="宋体" w:cs="宋体"/>
          <w:color w:val="auto"/>
          <w:sz w:val="24"/>
          <w:szCs w:val="24"/>
          <w:highlight w:val="none"/>
          <w:lang w:eastAsia="zh-CN"/>
        </w:rPr>
        <w:t>的其他内容</w:t>
      </w:r>
      <w:r>
        <w:rPr>
          <w:rFonts w:hint="eastAsia" w:ascii="宋体" w:hAnsi="宋体" w:eastAsia="宋体" w:cs="宋体"/>
          <w:color w:val="auto"/>
          <w:sz w:val="24"/>
          <w:szCs w:val="24"/>
          <w:highlight w:val="none"/>
        </w:rPr>
        <w:t>，以充分证明其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响应符合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要求，并为评审提供充分依据。</w:t>
      </w:r>
    </w:p>
    <w:p w14:paraId="50A40D10">
      <w:pPr>
        <w:pageBreakBefore w:val="0"/>
        <w:widowControl w:val="0"/>
        <w:numPr>
          <w:ilvl w:val="0"/>
          <w:numId w:val="0"/>
        </w:numPr>
        <w:tabs>
          <w:tab w:val="left" w:pos="360"/>
        </w:tabs>
        <w:kinsoku/>
        <w:wordWrap/>
        <w:overflowPunct/>
        <w:topLinePunct w:val="0"/>
        <w:bidi w:val="0"/>
        <w:snapToGrid/>
        <w:spacing w:line="240" w:lineRule="auto"/>
        <w:ind w:leftChars="0"/>
        <w:jc w:val="center"/>
        <w:textAlignment w:val="auto"/>
        <w:outlineLvl w:val="9"/>
        <w:rPr>
          <w:rFonts w:hint="eastAsia" w:ascii="宋体" w:hAnsi="宋体" w:eastAsia="宋体" w:cs="宋体"/>
          <w:b/>
          <w:bCs/>
          <w:color w:val="auto"/>
          <w:sz w:val="24"/>
          <w:szCs w:val="24"/>
          <w:highlight w:val="none"/>
          <w:lang w:val="zh-CN" w:eastAsia="zh-CN"/>
        </w:rPr>
      </w:pPr>
      <w:bookmarkStart w:id="147" w:name="_Toc10306"/>
      <w:r>
        <w:rPr>
          <w:rFonts w:hint="eastAsia" w:ascii="宋体" w:hAnsi="宋体" w:cs="宋体"/>
          <w:b/>
          <w:bCs/>
          <w:color w:val="auto"/>
          <w:sz w:val="24"/>
          <w:szCs w:val="24"/>
          <w:highlight w:val="none"/>
          <w:lang w:val="en-US" w:eastAsia="zh-CN"/>
        </w:rPr>
        <w:t>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eastAsia="zh-CN"/>
        </w:rPr>
        <w:t>不参与围标串标承诺书</w:t>
      </w:r>
      <w:bookmarkEnd w:id="147"/>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必填</w:t>
      </w:r>
      <w:r>
        <w:rPr>
          <w:rFonts w:hint="eastAsia" w:ascii="宋体" w:hAnsi="宋体" w:eastAsia="宋体" w:cs="宋体"/>
          <w:b/>
          <w:bCs/>
          <w:color w:val="auto"/>
          <w:sz w:val="24"/>
          <w:szCs w:val="24"/>
          <w:highlight w:val="none"/>
          <w:lang w:val="zh-CN" w:eastAsia="zh-CN"/>
        </w:rPr>
        <w:t>）</w:t>
      </w:r>
    </w:p>
    <w:p w14:paraId="1CBBA347">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szCs w:val="24"/>
          <w:highlight w:val="none"/>
          <w:lang w:val="zh-CN"/>
        </w:rPr>
      </w:pPr>
    </w:p>
    <w:p w14:paraId="113F9B54">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为诚实、客观、有序地参与</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项目采购活动，愿就以下内容作出承诺：</w:t>
      </w:r>
    </w:p>
    <w:p w14:paraId="73ADE8DE">
      <w:pPr>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795004B2">
      <w:pPr>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w:t>
      </w:r>
      <w:r>
        <w:rPr>
          <w:rFonts w:hint="eastAsia" w:ascii="宋体" w:hAnsi="宋体" w:cs="宋体"/>
          <w:color w:val="auto"/>
          <w:kern w:val="0"/>
          <w:sz w:val="24"/>
          <w:szCs w:val="24"/>
          <w:highlight w:val="none"/>
          <w:lang w:val="zh-CN"/>
        </w:rPr>
        <w:t>招标人</w:t>
      </w:r>
      <w:r>
        <w:rPr>
          <w:rFonts w:hint="eastAsia" w:ascii="宋体" w:hAnsi="宋体" w:eastAsia="宋体" w:cs="宋体"/>
          <w:color w:val="auto"/>
          <w:kern w:val="0"/>
          <w:sz w:val="24"/>
          <w:szCs w:val="24"/>
          <w:highlight w:val="none"/>
          <w:lang w:val="zh-CN"/>
        </w:rPr>
        <w:t>或者招标代理机构串通投标；不向</w:t>
      </w:r>
      <w:r>
        <w:rPr>
          <w:rFonts w:hint="eastAsia" w:ascii="宋体" w:hAnsi="宋体" w:cs="宋体"/>
          <w:color w:val="auto"/>
          <w:kern w:val="0"/>
          <w:sz w:val="24"/>
          <w:szCs w:val="24"/>
          <w:highlight w:val="none"/>
          <w:lang w:val="zh-CN"/>
        </w:rPr>
        <w:t>招标人</w:t>
      </w:r>
      <w:r>
        <w:rPr>
          <w:rFonts w:hint="eastAsia" w:ascii="宋体" w:hAnsi="宋体" w:eastAsia="宋体" w:cs="宋体"/>
          <w:color w:val="auto"/>
          <w:kern w:val="0"/>
          <w:sz w:val="24"/>
          <w:szCs w:val="24"/>
          <w:highlight w:val="none"/>
          <w:lang w:val="zh-CN"/>
        </w:rPr>
        <w:t>或者评标委员会成员行贿以牟取中标。不排挤其他供应商的公平竞争，不损害</w:t>
      </w:r>
      <w:r>
        <w:rPr>
          <w:rFonts w:hint="eastAsia" w:ascii="宋体" w:hAnsi="宋体" w:cs="宋体"/>
          <w:color w:val="auto"/>
          <w:kern w:val="0"/>
          <w:sz w:val="24"/>
          <w:szCs w:val="24"/>
          <w:highlight w:val="none"/>
          <w:lang w:val="zh-CN"/>
        </w:rPr>
        <w:t>招标人</w:t>
      </w:r>
      <w:r>
        <w:rPr>
          <w:rFonts w:hint="eastAsia" w:ascii="宋体" w:hAnsi="宋体" w:eastAsia="宋体" w:cs="宋体"/>
          <w:color w:val="auto"/>
          <w:kern w:val="0"/>
          <w:sz w:val="24"/>
          <w:szCs w:val="24"/>
          <w:highlight w:val="none"/>
          <w:lang w:val="zh-CN"/>
        </w:rPr>
        <w:t>的合法权益，不损害国家利益、社会公共利益或者他人的合法权益。</w:t>
      </w:r>
    </w:p>
    <w:p w14:paraId="44A827A6">
      <w:pPr>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三、若在招标投标过程中发现其他投标人或相关方有围标、串标等违法行为，及时告知</w:t>
      </w:r>
      <w:r>
        <w:rPr>
          <w:rFonts w:hint="eastAsia" w:ascii="宋体" w:hAnsi="宋体" w:cs="宋体"/>
          <w:color w:val="auto"/>
          <w:kern w:val="0"/>
          <w:sz w:val="24"/>
          <w:szCs w:val="24"/>
          <w:highlight w:val="none"/>
          <w:lang w:val="zh-CN"/>
        </w:rPr>
        <w:t>招标人</w:t>
      </w:r>
      <w:r>
        <w:rPr>
          <w:rFonts w:hint="eastAsia" w:ascii="宋体" w:hAnsi="宋体" w:eastAsia="宋体" w:cs="宋体"/>
          <w:color w:val="auto"/>
          <w:kern w:val="0"/>
          <w:sz w:val="24"/>
          <w:szCs w:val="24"/>
          <w:highlight w:val="none"/>
          <w:lang w:val="zh-CN"/>
        </w:rPr>
        <w:t>或代理机构，积极配合调查。</w:t>
      </w:r>
    </w:p>
    <w:p w14:paraId="4AD01E54">
      <w:pPr>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color w:val="auto"/>
          <w:kern w:val="0"/>
          <w:sz w:val="24"/>
          <w:szCs w:val="24"/>
          <w:highlight w:val="none"/>
          <w:lang w:val="zh-CN"/>
        </w:rPr>
        <w:t>四、愿接受社会各界监督。如有违反上述承诺行为，自愿放弃中标资格，限制以后投标，记入不良信用档案，没收本次投标保证金。同意</w:t>
      </w:r>
      <w:r>
        <w:rPr>
          <w:rFonts w:hint="eastAsia" w:ascii="宋体" w:hAnsi="宋体" w:cs="宋体"/>
          <w:color w:val="auto"/>
          <w:kern w:val="0"/>
          <w:sz w:val="24"/>
          <w:szCs w:val="24"/>
          <w:highlight w:val="none"/>
          <w:lang w:val="zh-CN"/>
        </w:rPr>
        <w:t>招标人</w:t>
      </w:r>
      <w:r>
        <w:rPr>
          <w:rFonts w:hint="eastAsia" w:ascii="宋体" w:hAnsi="宋体" w:eastAsia="宋体" w:cs="宋体"/>
          <w:color w:val="auto"/>
          <w:kern w:val="0"/>
          <w:sz w:val="24"/>
          <w:szCs w:val="24"/>
          <w:highlight w:val="none"/>
          <w:lang w:val="zh-CN"/>
        </w:rPr>
        <w:t>或代理机构有权将线索移交有关部门，并愿意承担由此引起的其他法律责任。</w:t>
      </w:r>
    </w:p>
    <w:p w14:paraId="1FCCFD55">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供应商：                             （公章）</w:t>
      </w:r>
    </w:p>
    <w:p w14:paraId="0C5739AC">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法定代表人或委托代理人：             （签字）</w:t>
      </w:r>
    </w:p>
    <w:p w14:paraId="31132421">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zh-CN"/>
        </w:rPr>
        <w:t>年   月   日</w:t>
      </w:r>
    </w:p>
    <w:p w14:paraId="7A7C7072">
      <w:pPr>
        <w:pageBreakBefore w:val="0"/>
        <w:widowControl w:val="0"/>
        <w:numPr>
          <w:ilvl w:val="0"/>
          <w:numId w:val="0"/>
        </w:numPr>
        <w:tabs>
          <w:tab w:val="left" w:pos="360"/>
        </w:tabs>
        <w:kinsoku/>
        <w:wordWrap/>
        <w:overflowPunct/>
        <w:topLinePunct w:val="0"/>
        <w:bidi w:val="0"/>
        <w:snapToGrid/>
        <w:spacing w:line="240" w:lineRule="auto"/>
        <w:ind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48" w:name="_Toc3208"/>
      <w:r>
        <w:rPr>
          <w:rFonts w:hint="eastAsia" w:ascii="宋体" w:hAnsi="宋体" w:cs="宋体"/>
          <w:b/>
          <w:bCs/>
          <w:color w:val="auto"/>
          <w:sz w:val="24"/>
          <w:szCs w:val="24"/>
          <w:highlight w:val="none"/>
          <w:lang w:val="en-US" w:eastAsia="zh-CN"/>
        </w:rPr>
        <w:t>表</w:t>
      </w:r>
      <w:r>
        <w:rPr>
          <w:rFonts w:hint="eastAsia" w:ascii="宋体" w:hAnsi="宋体" w:eastAsia="宋体" w:cs="宋体"/>
          <w:b/>
          <w:bCs/>
          <w:color w:val="auto"/>
          <w:sz w:val="24"/>
          <w:szCs w:val="24"/>
          <w:highlight w:val="none"/>
          <w:lang w:val="en-US" w:eastAsia="zh-CN"/>
        </w:rPr>
        <w:t>2、供应商诚信承诺书</w:t>
      </w:r>
      <w:bookmarkEnd w:id="148"/>
      <w:r>
        <w:rPr>
          <w:rFonts w:hint="eastAsia" w:ascii="宋体" w:hAnsi="宋体" w:eastAsia="宋体" w:cs="宋体"/>
          <w:b/>
          <w:bCs/>
          <w:color w:val="auto"/>
          <w:sz w:val="24"/>
          <w:szCs w:val="24"/>
          <w:highlight w:val="none"/>
          <w:lang w:val="en-US" w:eastAsia="zh-CN"/>
        </w:rPr>
        <w:t>（必填）</w:t>
      </w:r>
    </w:p>
    <w:p w14:paraId="7A7F6FF2">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为了诚实、客观、有序地参与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kern w:val="0"/>
          <w:sz w:val="24"/>
          <w:szCs w:val="24"/>
          <w:highlight w:val="none"/>
          <w:lang w:val="zh-CN"/>
        </w:rPr>
        <w:t>采购活动，愿就以下内容作出承诺：</w:t>
      </w:r>
    </w:p>
    <w:p w14:paraId="718BBF20">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一、自觉遵守各项法律、法规、规章、制度以及社会公德，维护廉洁环境，与同场竞争的供应商平等参加招采购活动。</w:t>
      </w:r>
    </w:p>
    <w:p w14:paraId="14307A5A">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二、参加</w:t>
      </w:r>
      <w:r>
        <w:rPr>
          <w:rFonts w:hint="eastAsia" w:ascii="宋体" w:hAnsi="宋体" w:cs="宋体"/>
          <w:color w:val="auto"/>
          <w:kern w:val="0"/>
          <w:sz w:val="24"/>
          <w:szCs w:val="24"/>
          <w:highlight w:val="none"/>
          <w:lang w:val="zh-CN"/>
        </w:rPr>
        <w:t>招标代理机构</w:t>
      </w:r>
      <w:r>
        <w:rPr>
          <w:rFonts w:hint="eastAsia" w:ascii="宋体" w:hAnsi="宋体" w:eastAsia="宋体" w:cs="宋体"/>
          <w:color w:val="auto"/>
          <w:kern w:val="0"/>
          <w:sz w:val="24"/>
          <w:szCs w:val="24"/>
          <w:highlight w:val="none"/>
          <w:lang w:val="zh-CN"/>
        </w:rPr>
        <w:t>组织的采购活动时，严格按照</w:t>
      </w:r>
      <w:r>
        <w:rPr>
          <w:rFonts w:hint="eastAsia" w:ascii="宋体" w:hAnsi="宋体" w:eastAsia="宋体" w:cs="宋体"/>
          <w:color w:val="auto"/>
          <w:kern w:val="0"/>
          <w:sz w:val="24"/>
          <w:szCs w:val="24"/>
          <w:highlight w:val="none"/>
        </w:rPr>
        <w:t>招标</w:t>
      </w:r>
      <w:r>
        <w:rPr>
          <w:rFonts w:hint="eastAsia" w:ascii="宋体" w:hAnsi="宋体" w:eastAsia="宋体" w:cs="宋体"/>
          <w:color w:val="auto"/>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0F6011EB">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三、尊重参与采购活动各相关方的合法行为，接受采购活动依法形成的意见、结果。</w:t>
      </w:r>
    </w:p>
    <w:p w14:paraId="49E5773A">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p w14:paraId="33D76F2D">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404DD396">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6AB9A887">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七、认真履行成交人应承担的责任和义务，全面执行采购合同规定的各项内容，保质保量地按时提供采购物品。</w:t>
      </w:r>
    </w:p>
    <w:p w14:paraId="5953C9F9">
      <w:pPr>
        <w:autoSpaceDE w:val="0"/>
        <w:autoSpaceDN w:val="0"/>
        <w:adjustRightInd w:val="0"/>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若本企业（单位）发生有悖于上述承诺的行为或形成恶意投诉，我们自愿接受《政府采购法》等有关法律法规中对供应商的相关处理：自愿放弃中标资格、限制以后投标、记入不良信用档案、没收本次投标保证金，并愿意承担由此引起的其他法律责任。</w:t>
      </w:r>
    </w:p>
    <w:p w14:paraId="05FC1614">
      <w:pPr>
        <w:autoSpaceDE w:val="0"/>
        <w:autoSpaceDN w:val="0"/>
        <w:adjustRightInd w:val="0"/>
        <w:spacing w:line="400" w:lineRule="exact"/>
        <w:ind w:firstLine="4435" w:firstLineChars="1848"/>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供应商：             （公章）</w:t>
      </w:r>
    </w:p>
    <w:p w14:paraId="1FD6F17A">
      <w:pPr>
        <w:autoSpaceDE w:val="0"/>
        <w:autoSpaceDN w:val="0"/>
        <w:adjustRightInd w:val="0"/>
        <w:spacing w:line="400" w:lineRule="exact"/>
        <w:ind w:firstLine="2640" w:firstLineChars="1100"/>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法定代表人或委托代理人：             （签字）</w:t>
      </w:r>
    </w:p>
    <w:p w14:paraId="3BDEAA27">
      <w:pPr>
        <w:ind w:firstLine="4560" w:firstLineChars="19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zh-CN"/>
        </w:rPr>
        <w:t>年   月   日</w:t>
      </w:r>
    </w:p>
    <w:p w14:paraId="6F2F847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注：表</w:t>
      </w:r>
      <w:r>
        <w:rPr>
          <w:rFonts w:hint="eastAsia" w:ascii="宋体" w:hAnsi="宋体" w:eastAsia="宋体" w:cs="宋体"/>
          <w:b/>
          <w:bCs/>
          <w:color w:val="auto"/>
          <w:sz w:val="28"/>
          <w:szCs w:val="28"/>
          <w:highlight w:val="none"/>
          <w:lang w:val="en-US" w:eastAsia="zh-CN"/>
        </w:rPr>
        <w:t>3/4/5</w:t>
      </w:r>
      <w:r>
        <w:rPr>
          <w:rFonts w:hint="eastAsia" w:ascii="宋体" w:hAnsi="宋体" w:eastAsia="宋体" w:cs="宋体"/>
          <w:b/>
          <w:bCs/>
          <w:color w:val="auto"/>
          <w:sz w:val="28"/>
          <w:szCs w:val="28"/>
          <w:highlight w:val="none"/>
        </w:rPr>
        <w:t>无需和</w:t>
      </w:r>
      <w:r>
        <w:rPr>
          <w:rFonts w:hint="eastAsia" w:ascii="宋体" w:hAnsi="宋体" w:eastAsia="宋体" w:cs="宋体"/>
          <w:b/>
          <w:bCs/>
          <w:color w:val="auto"/>
          <w:sz w:val="28"/>
          <w:szCs w:val="28"/>
          <w:highlight w:val="none"/>
          <w:lang w:val="en-US" w:eastAsia="zh-CN"/>
        </w:rPr>
        <w:t>投标</w:t>
      </w:r>
      <w:r>
        <w:rPr>
          <w:rFonts w:hint="eastAsia" w:ascii="宋体" w:hAnsi="宋体" w:eastAsia="宋体" w:cs="宋体"/>
          <w:b/>
          <w:bCs/>
          <w:color w:val="auto"/>
          <w:sz w:val="28"/>
          <w:szCs w:val="28"/>
          <w:highlight w:val="none"/>
        </w:rPr>
        <w:t>文件一起上传政采云平台。</w:t>
      </w:r>
    </w:p>
    <w:p w14:paraId="2CBB9BC9">
      <w:pPr>
        <w:numPr>
          <w:ilvl w:val="0"/>
          <w:numId w:val="0"/>
        </w:numPr>
        <w:ind w:left="360" w:leftChars="0" w:hanging="360" w:firstLineChars="0"/>
        <w:jc w:val="center"/>
        <w:outlineLvl w:val="9"/>
        <w:rPr>
          <w:rFonts w:hint="eastAsia" w:ascii="宋体" w:hAnsi="宋体" w:eastAsia="宋体" w:cs="宋体"/>
          <w:b w:val="0"/>
          <w:color w:val="auto"/>
          <w:sz w:val="24"/>
          <w:szCs w:val="24"/>
          <w:highlight w:val="none"/>
        </w:rPr>
      </w:pPr>
      <w:bookmarkStart w:id="149" w:name="_Toc25864"/>
      <w:r>
        <w:rPr>
          <w:rFonts w:hint="eastAsia" w:ascii="宋体" w:hAnsi="宋体" w:cs="宋体"/>
          <w:b/>
          <w:bCs/>
          <w:color w:val="auto"/>
          <w:sz w:val="24"/>
          <w:szCs w:val="24"/>
          <w:highlight w:val="none"/>
          <w:lang w:val="en-US" w:eastAsia="zh-CN"/>
        </w:rPr>
        <w:t>表</w:t>
      </w:r>
      <w:r>
        <w:rPr>
          <w:rFonts w:hint="eastAsia" w:ascii="宋体" w:hAnsi="宋体" w:eastAsia="宋体" w:cs="宋体"/>
          <w:b/>
          <w:color w:val="auto"/>
          <w:kern w:val="2"/>
          <w:sz w:val="24"/>
          <w:szCs w:val="24"/>
          <w:highlight w:val="none"/>
          <w:lang w:val="en-US" w:eastAsia="zh-CN" w:bidi="ar-SA"/>
        </w:rPr>
        <w:t>3、专家履行义务承诺书</w:t>
      </w:r>
      <w:bookmarkEnd w:id="149"/>
    </w:p>
    <w:p w14:paraId="012938C8">
      <w:pPr>
        <w:spacing w:line="4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根据《中华人民共和国政府采购法》、《中华人民共和国政府采购法实施条例》及《政府采购评审专家管理办法》等法律法规规定，本人承诺如下：</w:t>
      </w:r>
    </w:p>
    <w:p w14:paraId="7632BBCB">
      <w:pPr>
        <w:widowControl/>
        <w:spacing w:line="400" w:lineRule="exact"/>
        <w:ind w:left="566" w:hanging="484" w:hangingChars="202"/>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一、严格遵守评审工作纪律,按照客观、公正、审慎的原则,根据采购文件规定的评审程序、评审方法和评审标准进行独立评审。</w:t>
      </w:r>
    </w:p>
    <w:p w14:paraId="77D0DBBF">
      <w:pPr>
        <w:widowControl/>
        <w:shd w:val="clear" w:color="auto" w:fill="FFFFFF"/>
        <w:spacing w:line="400" w:lineRule="exact"/>
        <w:ind w:left="560" w:hanging="480" w:hanging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二、评审专家发现采购文件内容违反国家有关强制性规定或者采购文件存在歧义、重大缺陷导致评审工作无法进行时,应当停止评审并向</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书面说明情况。</w:t>
      </w:r>
    </w:p>
    <w:p w14:paraId="4E26D6B9">
      <w:pPr>
        <w:widowControl/>
        <w:shd w:val="clear" w:color="auto" w:fill="FFFFFF"/>
        <w:spacing w:line="400" w:lineRule="exact"/>
        <w:ind w:left="560" w:hanging="480" w:hanging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三、评审专家应当配合答复供应商的询问、质疑和投诉等事项,不得泄露评审文件、评审情况和在评审过程中获悉的商业秘密。</w:t>
      </w:r>
    </w:p>
    <w:p w14:paraId="0B6F6B14">
      <w:pPr>
        <w:widowControl/>
        <w:shd w:val="clear" w:color="auto" w:fill="FFFFFF"/>
        <w:spacing w:line="400" w:lineRule="exact"/>
        <w:ind w:left="560" w:hanging="480" w:hanging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四、评审专家发现供应商具有行贿、提供虚假材料或者串通等违法行为的,应当及时向财政部门报告（现场及时告知监督人并申请停止采购活动）。</w:t>
      </w:r>
    </w:p>
    <w:p w14:paraId="6394CA4D">
      <w:pPr>
        <w:widowControl/>
        <w:shd w:val="clear" w:color="auto" w:fill="FFFFFF"/>
        <w:spacing w:line="400" w:lineRule="exact"/>
        <w:ind w:left="560" w:hanging="480" w:hanging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14:paraId="74E25322">
      <w:pPr>
        <w:widowControl/>
        <w:shd w:val="clear" w:color="auto" w:fill="FFFFFF"/>
        <w:spacing w:line="400" w:lineRule="exact"/>
        <w:ind w:left="560" w:hanging="480" w:hanging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六、在评审过程中，保证不出现下列行为：</w:t>
      </w:r>
    </w:p>
    <w:p w14:paraId="4BCC536F">
      <w:pPr>
        <w:widowControl/>
        <w:shd w:val="clear" w:color="auto" w:fill="FFFFFF"/>
        <w:spacing w:line="400" w:lineRule="exact"/>
        <w:ind w:left="900" w:leftChars="200" w:hanging="480" w:hanging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(一)未按照采购文件规定的评审程序、评审方法和评审标准进  行独立评审;</w:t>
      </w:r>
    </w:p>
    <w:p w14:paraId="35DC03F6">
      <w:pPr>
        <w:widowControl/>
        <w:shd w:val="clear" w:color="auto" w:fill="FFFFFF"/>
        <w:spacing w:line="4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(二)泄露评审文件、评审情况;</w:t>
      </w:r>
    </w:p>
    <w:p w14:paraId="6647CF1A">
      <w:pPr>
        <w:widowControl/>
        <w:shd w:val="clear" w:color="auto" w:fill="FFFFFF"/>
        <w:spacing w:line="4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(三)与供应商存在利害关系未回避;</w:t>
      </w:r>
    </w:p>
    <w:p w14:paraId="7BD5C806">
      <w:pPr>
        <w:widowControl/>
        <w:shd w:val="clear" w:color="auto" w:fill="FFFFFF"/>
        <w:spacing w:line="400" w:lineRule="exact"/>
        <w:ind w:left="900" w:leftChars="200" w:hanging="480" w:hanging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(四)收受</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、供应商贿赂或者获取其他不  正当利益;</w:t>
      </w:r>
    </w:p>
    <w:p w14:paraId="634392EE">
      <w:pPr>
        <w:widowControl/>
        <w:shd w:val="clear" w:color="auto" w:fill="FFFFFF"/>
        <w:spacing w:line="4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(五)提供虚假申请材料;</w:t>
      </w:r>
    </w:p>
    <w:p w14:paraId="581633C8">
      <w:pPr>
        <w:widowControl/>
        <w:shd w:val="clear" w:color="auto" w:fill="FFFFFF"/>
        <w:spacing w:line="4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(六)拒不履行配合答复供应商询问、质疑、投诉等法定义务;</w:t>
      </w:r>
    </w:p>
    <w:p w14:paraId="7834EA87">
      <w:pPr>
        <w:widowControl/>
        <w:shd w:val="clear" w:color="auto" w:fill="FFFFFF"/>
        <w:spacing w:line="4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(七)以评审专家身份从事有损政府采购公信力的活动。</w:t>
      </w:r>
    </w:p>
    <w:p w14:paraId="30C8115F">
      <w:pPr>
        <w:spacing w:line="400" w:lineRule="exact"/>
        <w:rPr>
          <w:rFonts w:hint="eastAsia" w:ascii="宋体" w:hAnsi="宋体" w:eastAsia="宋体" w:cs="宋体"/>
          <w:color w:val="auto"/>
          <w:sz w:val="24"/>
          <w:szCs w:val="24"/>
          <w:highlight w:val="none"/>
        </w:rPr>
      </w:pPr>
    </w:p>
    <w:p w14:paraId="2AC519B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承诺人：</w:t>
      </w:r>
    </w:p>
    <w:p w14:paraId="14C7692E">
      <w:pPr>
        <w:numPr>
          <w:ilvl w:val="0"/>
          <w:numId w:val="0"/>
        </w:numPr>
        <w:ind w:left="360" w:leftChars="0" w:hanging="360" w:firstLineChars="0"/>
        <w:jc w:val="center"/>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rPr>
        <w:br w:type="page"/>
      </w:r>
      <w:bookmarkStart w:id="150" w:name="_Toc18371"/>
      <w:r>
        <w:rPr>
          <w:rFonts w:hint="eastAsia" w:ascii="宋体" w:hAnsi="宋体" w:cs="宋体"/>
          <w:b/>
          <w:bCs/>
          <w:color w:val="auto"/>
          <w:sz w:val="24"/>
          <w:szCs w:val="24"/>
          <w:highlight w:val="none"/>
          <w:lang w:val="en-US" w:eastAsia="zh-CN"/>
        </w:rPr>
        <w:t>表</w:t>
      </w:r>
      <w:r>
        <w:rPr>
          <w:rFonts w:hint="eastAsia" w:ascii="宋体" w:hAnsi="宋体" w:eastAsia="宋体" w:cs="宋体"/>
          <w:b/>
          <w:color w:val="auto"/>
          <w:kern w:val="2"/>
          <w:sz w:val="24"/>
          <w:szCs w:val="24"/>
          <w:highlight w:val="none"/>
          <w:lang w:val="en-US" w:eastAsia="zh-CN" w:bidi="ar-SA"/>
        </w:rPr>
        <w:t>4、围标、串标风险审查表</w:t>
      </w:r>
      <w:bookmarkEnd w:id="150"/>
    </w:p>
    <w:tbl>
      <w:tblPr>
        <w:tblStyle w:val="3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103"/>
        <w:gridCol w:w="1275"/>
        <w:gridCol w:w="1276"/>
      </w:tblGrid>
      <w:tr w14:paraId="3123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05FB8F9B">
            <w:pPr>
              <w:spacing w:line="500" w:lineRule="exact"/>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103" w:type="dxa"/>
            <w:noWrap w:val="0"/>
            <w:vAlign w:val="center"/>
          </w:tcPr>
          <w:p w14:paraId="10DA66CB">
            <w:pPr>
              <w:spacing w:line="500" w:lineRule="exact"/>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2551" w:type="dxa"/>
            <w:gridSpan w:val="2"/>
            <w:noWrap w:val="0"/>
            <w:vAlign w:val="center"/>
          </w:tcPr>
          <w:p w14:paraId="42309A73">
            <w:pPr>
              <w:spacing w:line="500" w:lineRule="exact"/>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是否存在下列行为</w:t>
            </w:r>
          </w:p>
        </w:tc>
      </w:tr>
      <w:tr w14:paraId="200E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4338E4D1">
            <w:pPr>
              <w:spacing w:line="500" w:lineRule="exact"/>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03" w:type="dxa"/>
            <w:noWrap w:val="0"/>
            <w:vAlign w:val="center"/>
          </w:tcPr>
          <w:p w14:paraId="68785F4D">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不同投标人的投标文件由同一单位或者个人编制以及不同投标人的投标文件异常一致；（核查文件内容、格式、字体、颜色、排版、装订方式、错误甚至是错别字都一致的情况。）</w:t>
            </w:r>
          </w:p>
        </w:tc>
        <w:tc>
          <w:tcPr>
            <w:tcW w:w="1275" w:type="dxa"/>
            <w:noWrap w:val="0"/>
            <w:vAlign w:val="center"/>
          </w:tcPr>
          <w:p w14:paraId="018D70B9">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w:t>
            </w:r>
          </w:p>
        </w:tc>
        <w:tc>
          <w:tcPr>
            <w:tcW w:w="1276" w:type="dxa"/>
            <w:noWrap w:val="0"/>
            <w:vAlign w:val="center"/>
          </w:tcPr>
          <w:p w14:paraId="75580A8B">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w:t>
            </w:r>
          </w:p>
        </w:tc>
      </w:tr>
      <w:tr w14:paraId="6DA1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72C187A0">
            <w:pPr>
              <w:spacing w:line="500" w:lineRule="exact"/>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103" w:type="dxa"/>
            <w:noWrap w:val="0"/>
            <w:vAlign w:val="center"/>
          </w:tcPr>
          <w:p w14:paraId="1C3EC9DB">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不同投标人委托同一单位或者个人办理投标事宜；（核查投标人代表、法人授权代表是否为同一人的情况）</w:t>
            </w:r>
          </w:p>
        </w:tc>
        <w:tc>
          <w:tcPr>
            <w:tcW w:w="1275" w:type="dxa"/>
            <w:noWrap w:val="0"/>
            <w:vAlign w:val="center"/>
          </w:tcPr>
          <w:p w14:paraId="7BDC4F3D">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w:t>
            </w:r>
          </w:p>
        </w:tc>
        <w:tc>
          <w:tcPr>
            <w:tcW w:w="1276" w:type="dxa"/>
            <w:noWrap w:val="0"/>
            <w:vAlign w:val="center"/>
          </w:tcPr>
          <w:p w14:paraId="75C5F831">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w:t>
            </w:r>
          </w:p>
        </w:tc>
      </w:tr>
      <w:tr w14:paraId="589D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34A63005">
            <w:pPr>
              <w:spacing w:line="500" w:lineRule="exact"/>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103" w:type="dxa"/>
            <w:noWrap w:val="0"/>
            <w:vAlign w:val="center"/>
          </w:tcPr>
          <w:p w14:paraId="2C27C46A">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不同投标人的投标文件载明的项目管理成员或者联系人员为同一人；</w:t>
            </w:r>
          </w:p>
        </w:tc>
        <w:tc>
          <w:tcPr>
            <w:tcW w:w="1275" w:type="dxa"/>
            <w:noWrap w:val="0"/>
            <w:vAlign w:val="center"/>
          </w:tcPr>
          <w:p w14:paraId="7EA2813F">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w:t>
            </w:r>
          </w:p>
        </w:tc>
        <w:tc>
          <w:tcPr>
            <w:tcW w:w="1276" w:type="dxa"/>
            <w:noWrap w:val="0"/>
            <w:vAlign w:val="center"/>
          </w:tcPr>
          <w:p w14:paraId="32E6DCF7">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w:t>
            </w:r>
          </w:p>
        </w:tc>
      </w:tr>
      <w:tr w14:paraId="15E8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5B9E0D96">
            <w:pPr>
              <w:spacing w:line="500" w:lineRule="exact"/>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103" w:type="dxa"/>
            <w:noWrap w:val="0"/>
            <w:vAlign w:val="center"/>
          </w:tcPr>
          <w:p w14:paraId="6BC38593">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不同投标人的投标报价呈规律性差异；（核查投标报是否成价成阶梯性报价或等差数列等情况）</w:t>
            </w:r>
          </w:p>
        </w:tc>
        <w:tc>
          <w:tcPr>
            <w:tcW w:w="1275" w:type="dxa"/>
            <w:noWrap w:val="0"/>
            <w:vAlign w:val="center"/>
          </w:tcPr>
          <w:p w14:paraId="590099FE">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w:t>
            </w:r>
          </w:p>
        </w:tc>
        <w:tc>
          <w:tcPr>
            <w:tcW w:w="1276" w:type="dxa"/>
            <w:noWrap w:val="0"/>
            <w:vAlign w:val="center"/>
          </w:tcPr>
          <w:p w14:paraId="661F6D10">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w:t>
            </w:r>
          </w:p>
        </w:tc>
      </w:tr>
      <w:tr w14:paraId="330E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537DE342">
            <w:pPr>
              <w:spacing w:line="500" w:lineRule="exact"/>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103" w:type="dxa"/>
            <w:noWrap w:val="0"/>
            <w:vAlign w:val="center"/>
          </w:tcPr>
          <w:p w14:paraId="68B5E658">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不同投标人的投标文件相互混装；（仅适用于纸质投标）</w:t>
            </w:r>
          </w:p>
        </w:tc>
        <w:tc>
          <w:tcPr>
            <w:tcW w:w="1275" w:type="dxa"/>
            <w:noWrap w:val="0"/>
            <w:vAlign w:val="center"/>
          </w:tcPr>
          <w:p w14:paraId="0A9D0FDA">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w:t>
            </w:r>
          </w:p>
        </w:tc>
        <w:tc>
          <w:tcPr>
            <w:tcW w:w="1276" w:type="dxa"/>
            <w:noWrap w:val="0"/>
            <w:vAlign w:val="center"/>
          </w:tcPr>
          <w:p w14:paraId="050D425B">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w:t>
            </w:r>
          </w:p>
        </w:tc>
      </w:tr>
      <w:tr w14:paraId="09DE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6D2B4069">
            <w:pPr>
              <w:spacing w:line="500" w:lineRule="exact"/>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103" w:type="dxa"/>
            <w:noWrap w:val="0"/>
            <w:vAlign w:val="center"/>
          </w:tcPr>
          <w:p w14:paraId="68C311F9">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不同投标人的投标保证金从同一单位或者个人的账户转出。（核查投标保证金缴纳证明文件，是否存在从同一单位或个人账户转出）</w:t>
            </w:r>
          </w:p>
        </w:tc>
        <w:tc>
          <w:tcPr>
            <w:tcW w:w="1275" w:type="dxa"/>
            <w:noWrap w:val="0"/>
            <w:vAlign w:val="center"/>
          </w:tcPr>
          <w:p w14:paraId="692D34D0">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w:t>
            </w:r>
          </w:p>
        </w:tc>
        <w:tc>
          <w:tcPr>
            <w:tcW w:w="1276" w:type="dxa"/>
            <w:noWrap w:val="0"/>
            <w:vAlign w:val="center"/>
          </w:tcPr>
          <w:p w14:paraId="45A0B978">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w:t>
            </w:r>
          </w:p>
        </w:tc>
      </w:tr>
      <w:tr w14:paraId="4B64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73F695AD">
            <w:pPr>
              <w:spacing w:line="500" w:lineRule="exact"/>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103" w:type="dxa"/>
            <w:noWrap w:val="0"/>
            <w:vAlign w:val="center"/>
          </w:tcPr>
          <w:p w14:paraId="2E1C7FC4">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不同投标人登记邮箱、电话、管理人员一致，存在关联关系。（核查投标文件中不同单位的电话、邮箱、管理人员等是否一致，或其他存在关联关系的情况）</w:t>
            </w:r>
          </w:p>
        </w:tc>
        <w:tc>
          <w:tcPr>
            <w:tcW w:w="1275" w:type="dxa"/>
            <w:noWrap w:val="0"/>
            <w:vAlign w:val="center"/>
          </w:tcPr>
          <w:p w14:paraId="6ED522CD">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w:t>
            </w:r>
          </w:p>
        </w:tc>
        <w:tc>
          <w:tcPr>
            <w:tcW w:w="1276" w:type="dxa"/>
            <w:noWrap w:val="0"/>
            <w:vAlign w:val="center"/>
          </w:tcPr>
          <w:p w14:paraId="3C7A65F0">
            <w:pPr>
              <w:spacing w:line="5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w:t>
            </w:r>
          </w:p>
        </w:tc>
      </w:tr>
    </w:tbl>
    <w:p w14:paraId="2BC9BF4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评标委员会签字：</w:t>
      </w:r>
    </w:p>
    <w:p w14:paraId="73E81219">
      <w:pPr>
        <w:numPr>
          <w:ilvl w:val="0"/>
          <w:numId w:val="0"/>
        </w:numPr>
        <w:ind w:left="360" w:leftChars="0" w:hanging="360" w:firstLineChars="0"/>
        <w:jc w:val="center"/>
        <w:outlineLvl w:val="9"/>
        <w:rPr>
          <w:rFonts w:hint="eastAsia" w:ascii="宋体" w:hAnsi="宋体" w:eastAsia="宋体" w:cs="宋体"/>
          <w:b/>
          <w:color w:val="auto"/>
          <w:kern w:val="2"/>
          <w:sz w:val="24"/>
          <w:szCs w:val="24"/>
          <w:highlight w:val="none"/>
          <w:lang w:val="en-US" w:eastAsia="zh-CN" w:bidi="ar-SA"/>
        </w:rPr>
      </w:pPr>
      <w:bookmarkStart w:id="151" w:name="_Toc9805"/>
      <w:r>
        <w:rPr>
          <w:rFonts w:hint="eastAsia" w:ascii="宋体" w:hAnsi="宋体" w:eastAsia="宋体" w:cs="宋体"/>
          <w:color w:val="auto"/>
          <w:sz w:val="24"/>
          <w:szCs w:val="24"/>
          <w:highlight w:val="none"/>
          <w:lang w:val="en-US" w:eastAsia="zh-CN"/>
        </w:rPr>
        <w:br w:type="page"/>
      </w:r>
      <w:r>
        <w:rPr>
          <w:rFonts w:hint="eastAsia" w:ascii="宋体" w:hAnsi="宋体" w:cs="宋体"/>
          <w:b/>
          <w:bCs/>
          <w:color w:val="auto"/>
          <w:sz w:val="24"/>
          <w:szCs w:val="24"/>
          <w:highlight w:val="none"/>
          <w:lang w:val="en-US" w:eastAsia="zh-CN"/>
        </w:rPr>
        <w:t>表</w:t>
      </w:r>
      <w:r>
        <w:rPr>
          <w:rFonts w:hint="eastAsia" w:ascii="宋体" w:hAnsi="宋体" w:eastAsia="宋体" w:cs="宋体"/>
          <w:b/>
          <w:color w:val="auto"/>
          <w:kern w:val="2"/>
          <w:sz w:val="24"/>
          <w:szCs w:val="24"/>
          <w:highlight w:val="none"/>
          <w:lang w:val="en-US" w:eastAsia="zh-CN" w:bidi="ar-SA"/>
        </w:rPr>
        <w:t>5、专项资格审查登记表</w:t>
      </w:r>
      <w:bookmarkEnd w:id="151"/>
    </w:p>
    <w:p w14:paraId="1CD77E2C">
      <w:pPr>
        <w:rPr>
          <w:rFonts w:hint="eastAsia" w:ascii="宋体" w:hAnsi="宋体" w:eastAsia="宋体" w:cs="宋体"/>
          <w:color w:val="auto"/>
          <w:sz w:val="24"/>
          <w:szCs w:val="24"/>
          <w:highlight w:val="none"/>
          <w:u w:val="single"/>
        </w:rPr>
      </w:pPr>
    </w:p>
    <w:p w14:paraId="23FB87DC">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项目于</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在新疆医科大学附属肿瘤医院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会议室进行了开评标会议。该项目参与投标的供应商共计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家，即：</w:t>
      </w:r>
    </w:p>
    <w:p w14:paraId="29E19E51">
      <w:pPr>
        <w:ind w:firstLine="5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p>
    <w:p w14:paraId="4A055173">
      <w:pPr>
        <w:ind w:firstLine="5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p>
    <w:p w14:paraId="29A5B1ED">
      <w:pPr>
        <w:ind w:firstLine="5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p>
    <w:p w14:paraId="79A580F1">
      <w:pPr>
        <w:ind w:firstLine="5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 xml:space="preserve">                      </w:t>
      </w:r>
    </w:p>
    <w:p w14:paraId="2806A834">
      <w:pPr>
        <w:ind w:firstLine="56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single"/>
        </w:rPr>
        <w:t xml:space="preserve">                      </w:t>
      </w:r>
    </w:p>
    <w:p w14:paraId="0BBBE2BD">
      <w:pPr>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招标代理公司与资格审查人员通过天眼查等网站查询，上述投标的供应商，未发现存在股东、董事、高管人员（财务负责人、董事、监事）存在控股、管理以及关联关系。</w:t>
      </w:r>
    </w:p>
    <w:p w14:paraId="4064C06D">
      <w:pPr>
        <w:rPr>
          <w:rFonts w:hint="eastAsia" w:ascii="宋体" w:hAnsi="宋体" w:eastAsia="宋体" w:cs="宋体"/>
          <w:color w:val="auto"/>
          <w:sz w:val="24"/>
          <w:szCs w:val="24"/>
          <w:highlight w:val="none"/>
        </w:rPr>
      </w:pPr>
    </w:p>
    <w:p w14:paraId="59269876">
      <w:pPr>
        <w:rPr>
          <w:rFonts w:hint="eastAsia" w:ascii="宋体" w:hAnsi="宋体" w:eastAsia="宋体" w:cs="宋体"/>
          <w:color w:val="auto"/>
          <w:sz w:val="24"/>
          <w:szCs w:val="24"/>
          <w:highlight w:val="none"/>
        </w:rPr>
      </w:pPr>
    </w:p>
    <w:p w14:paraId="4A723E79">
      <w:pPr>
        <w:rPr>
          <w:rFonts w:hint="eastAsia" w:ascii="宋体" w:hAnsi="宋体" w:eastAsia="宋体" w:cs="宋体"/>
          <w:color w:val="auto"/>
          <w:sz w:val="24"/>
          <w:szCs w:val="24"/>
          <w:highlight w:val="none"/>
        </w:rPr>
      </w:pPr>
    </w:p>
    <w:p w14:paraId="2884DA12">
      <w:pPr>
        <w:wordWrap w:val="0"/>
        <w:ind w:right="640" w:firstLine="2880" w:firstLineChars="1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招标代理公司（签名）：</w:t>
      </w:r>
    </w:p>
    <w:p w14:paraId="11E11DF7">
      <w:pPr>
        <w:ind w:right="640"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资格审查人（签名）：</w:t>
      </w:r>
    </w:p>
    <w:p w14:paraId="563E42A7">
      <w:pPr>
        <w:wordWrap w:val="0"/>
        <w:ind w:firstLine="564"/>
        <w:jc w:val="right"/>
        <w:rPr>
          <w:rFonts w:hint="eastAsia" w:ascii="宋体" w:hAnsi="宋体" w:eastAsia="宋体" w:cs="宋体"/>
          <w:color w:val="auto"/>
          <w:sz w:val="24"/>
          <w:szCs w:val="24"/>
          <w:highlight w:val="none"/>
        </w:rPr>
      </w:pPr>
    </w:p>
    <w:p w14:paraId="0B04674B">
      <w:pPr>
        <w:wordWrap w:val="0"/>
        <w:ind w:right="640"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A69D40D">
      <w:pPr>
        <w:rPr>
          <w:rFonts w:hint="eastAsia" w:ascii="宋体" w:hAnsi="宋体" w:eastAsia="宋体" w:cs="宋体"/>
          <w:i w:val="0"/>
          <w:iCs w:val="0"/>
          <w:color w:val="auto"/>
          <w:highlight w:val="none"/>
        </w:rPr>
      </w:pPr>
    </w:p>
    <w:p w14:paraId="3ED431CC">
      <w:pPr>
        <w:pageBreakBefore w:val="0"/>
        <w:wordWrap/>
        <w:overflowPunct/>
        <w:topLinePunct w:val="0"/>
        <w:bidi w:val="0"/>
        <w:spacing w:line="560" w:lineRule="exact"/>
        <w:ind w:left="0" w:leftChars="0" w:right="0" w:rightChars="0" w:firstLine="482" w:firstLineChars="200"/>
        <w:jc w:val="center"/>
        <w:rPr>
          <w:rFonts w:hint="eastAsia" w:ascii="宋体" w:hAnsi="宋体" w:eastAsia="宋体" w:cs="宋体"/>
          <w:b/>
          <w:bCs/>
          <w:color w:val="auto"/>
          <w:sz w:val="24"/>
          <w:szCs w:val="24"/>
          <w:highlight w:val="none"/>
        </w:rPr>
      </w:pPr>
    </w:p>
    <w:p w14:paraId="581F9502">
      <w:pPr>
        <w:pageBreakBefore w:val="0"/>
        <w:widowControl/>
        <w:shd w:val="clear" w:color="auto" w:fill="FFFFFF"/>
        <w:wordWrap/>
        <w:overflowPunct/>
        <w:topLinePunct w:val="0"/>
        <w:bidi w:val="0"/>
        <w:spacing w:line="560" w:lineRule="exact"/>
        <w:ind w:left="0" w:leftChars="0" w:right="0" w:rightChars="0"/>
        <w:jc w:val="left"/>
        <w:rPr>
          <w:rFonts w:hint="eastAsia" w:ascii="宋体" w:hAnsi="宋体" w:eastAsia="宋体" w:cs="宋体"/>
          <w:color w:val="auto"/>
          <w:kern w:val="0"/>
          <w:sz w:val="24"/>
          <w:szCs w:val="24"/>
          <w:highlight w:val="none"/>
        </w:rPr>
      </w:pPr>
    </w:p>
    <w:p w14:paraId="6638E77D">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bookmarkEnd w:id="146"/>
    <w:p w14:paraId="08B123CC">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A493C65">
      <w:pPr>
        <w:pStyle w:val="89"/>
        <w:keepNext w:val="0"/>
        <w:keepLines w:val="0"/>
        <w:pageBreakBefore w:val="0"/>
        <w:widowControl/>
        <w:numPr>
          <w:ilvl w:val="0"/>
          <w:numId w:val="11"/>
        </w:numPr>
        <w:kinsoku/>
        <w:wordWrap/>
        <w:overflowPunct/>
        <w:topLinePunct w:val="0"/>
        <w:autoSpaceDE/>
        <w:autoSpaceDN/>
        <w:bidi w:val="0"/>
        <w:adjustRightInd/>
        <w:snapToGrid/>
        <w:spacing w:after="0" w:line="560" w:lineRule="exact"/>
        <w:ind w:left="0" w:leftChars="0" w:right="0" w:rightChars="0" w:firstLine="0"/>
        <w:jc w:val="center"/>
        <w:textAlignment w:val="auto"/>
        <w:outlineLvl w:val="0"/>
        <w:rPr>
          <w:rFonts w:hint="eastAsia" w:ascii="宋体" w:hAnsi="宋体" w:eastAsia="宋体" w:cs="宋体"/>
          <w:b/>
          <w:bCs/>
          <w:color w:val="auto"/>
          <w:kern w:val="2"/>
          <w:sz w:val="28"/>
          <w:szCs w:val="28"/>
          <w:highlight w:val="none"/>
          <w:lang w:eastAsia="zh-CN"/>
        </w:rPr>
      </w:pPr>
      <w:r>
        <w:rPr>
          <w:rFonts w:hint="eastAsia" w:ascii="宋体" w:hAnsi="宋体" w:eastAsia="宋体" w:cs="宋体"/>
          <w:b/>
          <w:color w:val="auto"/>
          <w:sz w:val="24"/>
          <w:szCs w:val="24"/>
          <w:highlight w:val="none"/>
          <w:lang w:eastAsia="zh-CN"/>
        </w:rPr>
        <w:br w:type="page"/>
      </w:r>
      <w:bookmarkStart w:id="152" w:name="_Toc25336"/>
      <w:r>
        <w:rPr>
          <w:rFonts w:hint="eastAsia" w:ascii="宋体" w:hAnsi="宋体" w:eastAsia="宋体" w:cs="宋体"/>
          <w:b/>
          <w:bCs/>
          <w:color w:val="auto"/>
          <w:kern w:val="2"/>
          <w:sz w:val="28"/>
          <w:szCs w:val="28"/>
          <w:highlight w:val="none"/>
          <w:lang w:eastAsia="zh-CN"/>
        </w:rPr>
        <w:t xml:space="preserve"> 项目采购需求</w:t>
      </w:r>
      <w:bookmarkEnd w:id="152"/>
    </w:p>
    <w:p w14:paraId="24B76E3E">
      <w:pPr>
        <w:pStyle w:val="125"/>
        <w:keepNext/>
        <w:keepLines/>
        <w:spacing w:after="240"/>
        <w:jc w:val="both"/>
        <w:outlineLvl w:val="9"/>
        <w:rPr>
          <w:rFonts w:hint="eastAsia" w:ascii="宋体" w:hAnsi="宋体" w:eastAsia="宋体" w:cs="宋体"/>
          <w:color w:val="auto"/>
          <w:sz w:val="24"/>
          <w:szCs w:val="24"/>
          <w:highlight w:val="none"/>
        </w:rPr>
      </w:pPr>
      <w:bookmarkStart w:id="153" w:name="bookmark2"/>
      <w:bookmarkStart w:id="154" w:name="bookmark1"/>
      <w:bookmarkStart w:id="155" w:name="bookmark0"/>
    </w:p>
    <w:bookmarkEnd w:id="153"/>
    <w:bookmarkEnd w:id="154"/>
    <w:bookmarkEnd w:id="155"/>
    <w:p w14:paraId="0A9E24B7">
      <w:pPr>
        <w:numPr>
          <w:ilvl w:val="0"/>
          <w:numId w:val="0"/>
        </w:numPr>
        <w:spacing w:line="520" w:lineRule="exact"/>
        <w:ind w:firstLine="480" w:firstLineChars="200"/>
        <w:rPr>
          <w:rFonts w:hint="eastAsia" w:ascii="宋体" w:hAnsi="宋体" w:eastAsia="宋体" w:cs="宋体"/>
          <w:b/>
          <w:sz w:val="24"/>
          <w:szCs w:val="24"/>
        </w:rPr>
      </w:pPr>
      <w:bookmarkStart w:id="156" w:name="_Toc31658"/>
      <w:bookmarkStart w:id="157" w:name="_Toc17884_WPSOffice_Level1"/>
      <w:r>
        <w:rPr>
          <w:rFonts w:hint="eastAsia" w:ascii="宋体" w:hAnsi="宋体" w:eastAsia="宋体" w:cs="宋体"/>
          <w:sz w:val="24"/>
          <w:szCs w:val="24"/>
        </w:rPr>
        <w:t>总体要求：主要是为了给予患者更有效的个体化营养支持治疗，分装肠内营养液用</w:t>
      </w:r>
      <w:r>
        <w:rPr>
          <w:rFonts w:hint="eastAsia" w:ascii="宋体" w:hAnsi="宋体" w:eastAsia="宋体" w:cs="宋体"/>
          <w:sz w:val="24"/>
          <w:szCs w:val="24"/>
          <w:lang w:eastAsia="zh-CN"/>
        </w:rPr>
        <w:t>，为患者提供全面且均衡的营养</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sz w:val="24"/>
          <w:szCs w:val="24"/>
        </w:rPr>
        <w:t>口服管饲一体化设计方便快捷</w:t>
      </w:r>
      <w:r>
        <w:rPr>
          <w:rFonts w:hint="eastAsia" w:ascii="宋体" w:hAnsi="宋体" w:eastAsia="宋体" w:cs="宋体"/>
          <w:sz w:val="24"/>
          <w:szCs w:val="24"/>
          <w:lang w:eastAsia="zh-CN"/>
        </w:rPr>
        <w:t>，</w:t>
      </w:r>
      <w:r>
        <w:rPr>
          <w:rFonts w:hint="eastAsia" w:ascii="宋体" w:hAnsi="宋体" w:eastAsia="宋体" w:cs="宋体"/>
          <w:sz w:val="24"/>
          <w:szCs w:val="24"/>
        </w:rPr>
        <w:t>管饲口防漏设计</w:t>
      </w:r>
      <w:r>
        <w:rPr>
          <w:rFonts w:hint="eastAsia" w:ascii="宋体" w:hAnsi="宋体" w:eastAsia="宋体" w:cs="宋体"/>
          <w:sz w:val="24"/>
          <w:szCs w:val="24"/>
          <w:lang w:eastAsia="zh-CN"/>
        </w:rPr>
        <w:t>使用安全</w:t>
      </w:r>
      <w:r>
        <w:rPr>
          <w:rFonts w:hint="eastAsia" w:ascii="宋体" w:hAnsi="宋体" w:eastAsia="宋体" w:cs="宋体"/>
          <w:sz w:val="24"/>
          <w:szCs w:val="24"/>
        </w:rPr>
        <w:t>放心</w:t>
      </w:r>
      <w:r>
        <w:rPr>
          <w:rFonts w:hint="eastAsia" w:ascii="宋体" w:hAnsi="宋体" w:eastAsia="宋体" w:cs="宋体"/>
          <w:sz w:val="24"/>
          <w:szCs w:val="24"/>
          <w:lang w:eastAsia="zh-CN"/>
        </w:rPr>
        <w:t>的同时</w:t>
      </w:r>
      <w:r>
        <w:rPr>
          <w:rFonts w:hint="eastAsia" w:ascii="宋体" w:hAnsi="宋体" w:eastAsia="宋体" w:cs="宋体"/>
          <w:sz w:val="24"/>
          <w:szCs w:val="24"/>
          <w:lang w:val="en-US" w:eastAsia="zh-CN"/>
        </w:rPr>
        <w:t>获得更好的临床治疗体验。</w:t>
      </w:r>
      <w:r>
        <w:rPr>
          <w:rFonts w:hint="eastAsia" w:ascii="宋体" w:hAnsi="宋体" w:eastAsia="宋体" w:cs="宋体"/>
          <w:sz w:val="24"/>
          <w:szCs w:val="24"/>
        </w:rPr>
        <w:t>为了节约资金，避免浪费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以最终使用数量为准进行结算。</w:t>
      </w:r>
    </w:p>
    <w:p w14:paraId="0C89A0CA">
      <w:pPr>
        <w:numPr>
          <w:ilvl w:val="0"/>
          <w:numId w:val="12"/>
        </w:numPr>
        <w:spacing w:line="520" w:lineRule="exact"/>
        <w:rPr>
          <w:rFonts w:hint="eastAsia" w:ascii="宋体" w:hAnsi="宋体" w:eastAsia="宋体" w:cs="宋体"/>
          <w:b/>
          <w:sz w:val="24"/>
          <w:szCs w:val="24"/>
        </w:rPr>
      </w:pPr>
      <w:r>
        <w:rPr>
          <w:rFonts w:hint="eastAsia" w:ascii="宋体" w:hAnsi="宋体" w:eastAsia="宋体" w:cs="宋体"/>
          <w:b/>
          <w:sz w:val="24"/>
          <w:szCs w:val="24"/>
        </w:rPr>
        <w:t>货物名称、规格、数量</w:t>
      </w:r>
    </w:p>
    <w:tbl>
      <w:tblPr>
        <w:tblStyle w:val="34"/>
        <w:tblW w:w="9225" w:type="dxa"/>
        <w:tblInd w:w="-120" w:type="dxa"/>
        <w:tblLayout w:type="fixed"/>
        <w:tblCellMar>
          <w:top w:w="15" w:type="dxa"/>
          <w:left w:w="15" w:type="dxa"/>
          <w:bottom w:w="15" w:type="dxa"/>
          <w:right w:w="15" w:type="dxa"/>
        </w:tblCellMar>
      </w:tblPr>
      <w:tblGrid>
        <w:gridCol w:w="870"/>
        <w:gridCol w:w="2775"/>
        <w:gridCol w:w="1605"/>
        <w:gridCol w:w="960"/>
        <w:gridCol w:w="960"/>
        <w:gridCol w:w="2055"/>
      </w:tblGrid>
      <w:tr w14:paraId="61EF87A7">
        <w:tblPrEx>
          <w:tblCellMar>
            <w:top w:w="15" w:type="dxa"/>
            <w:left w:w="15" w:type="dxa"/>
            <w:bottom w:w="15" w:type="dxa"/>
            <w:right w:w="15"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14:paraId="43701B07">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361ACE37">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货物名称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C897973">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规格</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9D3384">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控制</w:t>
            </w:r>
          </w:p>
          <w:p w14:paraId="072783CA">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76BC640">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17690C0">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壹年暂定数量</w:t>
            </w:r>
          </w:p>
        </w:tc>
      </w:tr>
      <w:tr w14:paraId="736A0D3C">
        <w:tblPrEx>
          <w:tblCellMar>
            <w:top w:w="15" w:type="dxa"/>
            <w:left w:w="15" w:type="dxa"/>
            <w:bottom w:w="15" w:type="dxa"/>
            <w:right w:w="15" w:type="dxa"/>
          </w:tblCellMar>
        </w:tblPrEx>
        <w:trPr>
          <w:trHeight w:val="286"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397E6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3304682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肠胃营养袋</w:t>
            </w:r>
            <w:r>
              <w:rPr>
                <w:rFonts w:hint="eastAsia" w:ascii="宋体" w:hAnsi="宋体" w:eastAsia="宋体" w:cs="宋体"/>
                <w:sz w:val="24"/>
                <w:szCs w:val="24"/>
                <w:lang w:val="en-US" w:eastAsia="zh-CN"/>
              </w:rPr>
              <w:t>（管饲型）</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C50962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500ml/</w:t>
            </w:r>
            <w:r>
              <w:rPr>
                <w:rFonts w:hint="eastAsia" w:ascii="宋体" w:hAnsi="宋体" w:eastAsia="宋体" w:cs="宋体"/>
                <w:color w:val="000000"/>
                <w:sz w:val="24"/>
                <w:szCs w:val="24"/>
                <w:lang w:bidi="ar"/>
              </w:rPr>
              <w:t>个</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8E6646">
            <w:pPr>
              <w:widowControl/>
              <w:jc w:val="center"/>
              <w:textAlignment w:val="bottom"/>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3.85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7E44A5">
            <w:pPr>
              <w:widowControl/>
              <w:jc w:val="center"/>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lang w:bidi="ar"/>
              </w:rPr>
              <w:t>个</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A859B86">
            <w:pPr>
              <w:widowControl/>
              <w:jc w:val="center"/>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r>
              <w:rPr>
                <w:rFonts w:hint="eastAsia" w:ascii="宋体" w:hAnsi="宋体" w:cs="宋体"/>
                <w:color w:val="000000"/>
                <w:kern w:val="0"/>
                <w:sz w:val="24"/>
                <w:szCs w:val="24"/>
                <w:lang w:val="en-US" w:eastAsia="zh-CN" w:bidi="ar"/>
              </w:rPr>
              <w:t>46</w:t>
            </w:r>
            <w:r>
              <w:rPr>
                <w:rFonts w:hint="eastAsia" w:ascii="宋体" w:hAnsi="宋体" w:eastAsia="宋体" w:cs="宋体"/>
                <w:color w:val="000000"/>
                <w:kern w:val="0"/>
                <w:sz w:val="24"/>
                <w:szCs w:val="24"/>
                <w:lang w:bidi="ar"/>
              </w:rPr>
              <w:t>00</w:t>
            </w:r>
            <w:r>
              <w:rPr>
                <w:rFonts w:hint="eastAsia" w:ascii="宋体" w:hAnsi="宋体" w:eastAsia="宋体" w:cs="宋体"/>
                <w:sz w:val="24"/>
                <w:szCs w:val="24"/>
              </w:rPr>
              <w:t xml:space="preserve"> </w:t>
            </w:r>
            <w:r>
              <w:rPr>
                <w:rFonts w:hint="eastAsia" w:ascii="宋体" w:hAnsi="宋体" w:eastAsia="宋体" w:cs="宋体"/>
                <w:color w:val="000000"/>
                <w:kern w:val="0"/>
                <w:sz w:val="24"/>
                <w:szCs w:val="24"/>
                <w:lang w:bidi="ar"/>
              </w:rPr>
              <w:t>个</w:t>
            </w:r>
          </w:p>
        </w:tc>
      </w:tr>
    </w:tbl>
    <w:p w14:paraId="028BEE63">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lang w:bidi="ar"/>
        </w:rPr>
        <w:t>用途及要求:</w:t>
      </w:r>
      <w:r>
        <w:rPr>
          <w:rFonts w:hint="eastAsia" w:ascii="宋体" w:hAnsi="宋体" w:eastAsia="宋体" w:cs="宋体"/>
          <w:color w:val="000000"/>
          <w:sz w:val="24"/>
          <w:szCs w:val="24"/>
          <w:shd w:val="clear" w:color="auto" w:fill="FFFFFF"/>
        </w:rPr>
        <w:t xml:space="preserve"> </w:t>
      </w:r>
    </w:p>
    <w:p w14:paraId="2583238F">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分装肠内营养液用。</w:t>
      </w:r>
    </w:p>
    <w:p w14:paraId="323B886D">
      <w:pPr>
        <w:spacing w:line="360" w:lineRule="auto"/>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b/>
          <w:bCs/>
          <w:sz w:val="24"/>
          <w:szCs w:val="24"/>
        </w:rPr>
        <w:t>招标现场</w:t>
      </w:r>
      <w:r>
        <w:rPr>
          <w:rFonts w:hint="eastAsia" w:ascii="宋体" w:hAnsi="宋体" w:cs="宋体"/>
          <w:b/>
          <w:bCs/>
          <w:sz w:val="24"/>
          <w:szCs w:val="24"/>
          <w:lang w:eastAsia="zh-CN"/>
        </w:rPr>
        <w:t>投标人</w:t>
      </w:r>
      <w:r>
        <w:rPr>
          <w:rFonts w:hint="eastAsia" w:ascii="宋体" w:hAnsi="宋体" w:eastAsia="宋体" w:cs="宋体"/>
          <w:b/>
          <w:bCs/>
          <w:sz w:val="24"/>
          <w:szCs w:val="24"/>
        </w:rPr>
        <w:t>须提供样品，所提供样品将作为后续合同验收样本。</w:t>
      </w:r>
      <w:r>
        <w:rPr>
          <w:rFonts w:hint="eastAsia" w:ascii="宋体" w:hAnsi="宋体" w:cs="宋体"/>
          <w:b/>
          <w:bCs/>
          <w:sz w:val="24"/>
          <w:szCs w:val="24"/>
          <w:lang w:eastAsia="zh-CN"/>
        </w:rPr>
        <w:t>（</w:t>
      </w:r>
      <w:r>
        <w:rPr>
          <w:rFonts w:hint="eastAsia" w:ascii="宋体" w:hAnsi="宋体" w:cs="宋体"/>
          <w:b/>
          <w:bCs/>
          <w:sz w:val="24"/>
          <w:szCs w:val="24"/>
          <w:lang w:val="en-US" w:eastAsia="zh-CN"/>
        </w:rPr>
        <w:t>开标前邮寄至在招标公司</w:t>
      </w:r>
      <w:r>
        <w:rPr>
          <w:rFonts w:hint="eastAsia" w:ascii="宋体" w:hAnsi="宋体" w:cs="宋体"/>
          <w:b/>
          <w:bCs/>
          <w:sz w:val="24"/>
          <w:szCs w:val="24"/>
          <w:lang w:eastAsia="zh-CN"/>
        </w:rPr>
        <w:t>）</w:t>
      </w:r>
    </w:p>
    <w:p w14:paraId="7F78652A">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.请</w:t>
      </w:r>
      <w:r>
        <w:rPr>
          <w:rFonts w:hint="eastAsia" w:ascii="宋体" w:hAnsi="宋体" w:cs="宋体"/>
          <w:sz w:val="24"/>
          <w:szCs w:val="24"/>
          <w:lang w:eastAsia="zh-CN"/>
        </w:rPr>
        <w:t>投标人</w:t>
      </w:r>
      <w:r>
        <w:rPr>
          <w:rFonts w:hint="eastAsia" w:ascii="宋体" w:hAnsi="宋体" w:eastAsia="宋体" w:cs="宋体"/>
          <w:sz w:val="24"/>
          <w:szCs w:val="24"/>
        </w:rPr>
        <w:t>提供所投产品技术支持文件，包括产品检测报告、报关单复印件等。</w:t>
      </w:r>
    </w:p>
    <w:p w14:paraId="7AB10BAD">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eastAsia="zh-CN"/>
        </w:rPr>
        <w:t>投标人</w:t>
      </w:r>
      <w:r>
        <w:rPr>
          <w:rFonts w:hint="eastAsia" w:ascii="宋体" w:hAnsi="宋体" w:eastAsia="宋体" w:cs="宋体"/>
          <w:sz w:val="24"/>
          <w:szCs w:val="24"/>
        </w:rPr>
        <w:t>不得恶意低价竞标，由此所产生的一切纠纷将承担相应的法律责任。</w:t>
      </w:r>
    </w:p>
    <w:p w14:paraId="69F13272">
      <w:pPr>
        <w:spacing w:line="360" w:lineRule="auto"/>
        <w:ind w:firstLine="241" w:firstLineChars="100"/>
        <w:jc w:val="left"/>
        <w:rPr>
          <w:rFonts w:hint="eastAsia" w:ascii="宋体" w:hAnsi="宋体" w:eastAsia="宋体" w:cs="宋体"/>
          <w:sz w:val="24"/>
          <w:szCs w:val="24"/>
          <w:lang w:eastAsia="zh-CN"/>
        </w:rPr>
      </w:pPr>
      <w:r>
        <w:rPr>
          <w:rFonts w:hint="eastAsia" w:ascii="宋体" w:hAnsi="宋体" w:eastAsia="宋体" w:cs="宋体"/>
          <w:b/>
          <w:bCs/>
          <w:sz w:val="24"/>
          <w:szCs w:val="24"/>
          <w:lang w:eastAsia="zh-CN"/>
        </w:rPr>
        <w:t>付款方式：</w:t>
      </w:r>
      <w:r>
        <w:rPr>
          <w:rFonts w:hint="eastAsia" w:ascii="宋体" w:hAnsi="宋体" w:eastAsia="宋体" w:cs="宋体"/>
          <w:sz w:val="24"/>
          <w:szCs w:val="24"/>
        </w:rPr>
        <w:t>合同签订后，按季度付款，每三个月为一个付款周期，</w:t>
      </w:r>
      <w:r>
        <w:rPr>
          <w:rFonts w:hint="eastAsia" w:ascii="宋体" w:hAnsi="宋体" w:cs="宋体"/>
          <w:sz w:val="24"/>
          <w:szCs w:val="24"/>
          <w:lang w:val="en-US" w:eastAsia="zh-CN"/>
        </w:rPr>
        <w:t>招标人</w:t>
      </w:r>
      <w:r>
        <w:rPr>
          <w:rFonts w:hint="eastAsia" w:ascii="宋体" w:hAnsi="宋体" w:eastAsia="宋体" w:cs="宋体"/>
          <w:sz w:val="24"/>
          <w:szCs w:val="24"/>
        </w:rPr>
        <w:t>以实际验收合格数量乘以固定单价结算</w:t>
      </w:r>
      <w:r>
        <w:rPr>
          <w:rFonts w:hint="eastAsia" w:ascii="宋体" w:hAnsi="宋体" w:eastAsia="宋体" w:cs="宋体"/>
          <w:sz w:val="24"/>
          <w:szCs w:val="24"/>
          <w:lang w:eastAsia="zh-CN"/>
        </w:rPr>
        <w:t>。</w:t>
      </w:r>
    </w:p>
    <w:p w14:paraId="704CD2FC">
      <w:pPr>
        <w:spacing w:line="360" w:lineRule="auto"/>
        <w:ind w:firstLine="241" w:firstLineChars="100"/>
        <w:jc w:val="left"/>
        <w:rPr>
          <w:rFonts w:hint="eastAsia" w:ascii="仿宋_GB2312" w:hAnsi="仿宋_GB2312" w:eastAsia="仿宋_GB2312" w:cs="仿宋_GB2312"/>
          <w:sz w:val="28"/>
          <w:szCs w:val="28"/>
        </w:rPr>
      </w:pPr>
      <w:r>
        <w:rPr>
          <w:rFonts w:hint="eastAsia" w:ascii="宋体" w:hAnsi="宋体" w:eastAsia="宋体" w:cs="宋体"/>
          <w:b/>
          <w:bCs/>
          <w:sz w:val="24"/>
          <w:szCs w:val="24"/>
          <w:lang w:val="en-US" w:eastAsia="zh-CN"/>
        </w:rPr>
        <w:t>合同期限：</w:t>
      </w:r>
      <w:r>
        <w:rPr>
          <w:rFonts w:hint="eastAsia" w:ascii="宋体" w:hAnsi="宋体" w:eastAsia="宋体" w:cs="宋体"/>
          <w:sz w:val="24"/>
          <w:szCs w:val="24"/>
          <w:lang w:val="en-US" w:eastAsia="zh-CN"/>
        </w:rPr>
        <w:t>两年（1+1方式），一年一签，首年合同履行到期后，由院方管理部门进行考核，合格后方可续签次年服务合同。</w:t>
      </w:r>
    </w:p>
    <w:p w14:paraId="578DAF95">
      <w:pP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br w:type="page"/>
      </w:r>
    </w:p>
    <w:bookmarkEnd w:id="156"/>
    <w:p w14:paraId="679BDD82">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center"/>
        <w:textAlignment w:val="auto"/>
        <w:outlineLvl w:val="0"/>
        <w:rPr>
          <w:rFonts w:hint="eastAsia" w:ascii="宋体" w:hAnsi="宋体" w:eastAsia="宋体" w:cs="宋体"/>
          <w:b/>
          <w:bCs w:val="0"/>
          <w:color w:val="auto"/>
          <w:sz w:val="28"/>
          <w:szCs w:val="28"/>
          <w:highlight w:val="none"/>
          <w:lang w:eastAsia="zh-CN"/>
        </w:rPr>
      </w:pPr>
      <w:bookmarkStart w:id="158" w:name="_Toc1378"/>
      <w:r>
        <w:rPr>
          <w:rFonts w:hint="eastAsia" w:ascii="宋体" w:hAnsi="宋体" w:eastAsia="宋体" w:cs="宋体"/>
          <w:b/>
          <w:bCs w:val="0"/>
          <w:color w:val="auto"/>
          <w:sz w:val="28"/>
          <w:szCs w:val="28"/>
          <w:highlight w:val="none"/>
          <w:lang w:eastAsia="zh-CN"/>
        </w:rPr>
        <w:t>第五章  评标办法</w:t>
      </w:r>
      <w:bookmarkEnd w:id="157"/>
      <w:bookmarkEnd w:id="158"/>
      <w:bookmarkStart w:id="159" w:name="_Hlt101846155"/>
      <w:bookmarkEnd w:id="159"/>
      <w:bookmarkStart w:id="160" w:name="_Toc208849007"/>
      <w:bookmarkStart w:id="161" w:name="_Toc217446097"/>
      <w:bookmarkStart w:id="162" w:name="_Toc183682415"/>
      <w:bookmarkStart w:id="163" w:name="_Toc183582280"/>
    </w:p>
    <w:p w14:paraId="0E0C6F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160"/>
      <w:bookmarkEnd w:id="161"/>
      <w:bookmarkEnd w:id="162"/>
      <w:bookmarkEnd w:id="163"/>
    </w:p>
    <w:p w14:paraId="767330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中华人民共和国政府采购法实施条例》和《政府采购货物和服务招标投标管理办法》（财政部第87号令）等法律法规、规章和相关规定，结合招标项目特点制定本评标办法。</w:t>
      </w:r>
    </w:p>
    <w:p w14:paraId="40A93C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bCs/>
          <w:color w:val="auto"/>
          <w:sz w:val="24"/>
          <w:szCs w:val="24"/>
          <w:highlight w:val="none"/>
        </w:rPr>
        <w:t>评标工作由</w:t>
      </w:r>
      <w:r>
        <w:rPr>
          <w:rFonts w:hint="eastAsia" w:ascii="宋体" w:hAnsi="宋体" w:cs="宋体"/>
          <w:bCs/>
          <w:color w:val="auto"/>
          <w:sz w:val="24"/>
          <w:szCs w:val="24"/>
          <w:highlight w:val="none"/>
          <w:lang w:eastAsia="zh-CN"/>
        </w:rPr>
        <w:t>招标人</w:t>
      </w:r>
      <w:r>
        <w:rPr>
          <w:rFonts w:hint="eastAsia" w:ascii="宋体" w:hAnsi="宋体" w:eastAsia="宋体" w:cs="宋体"/>
          <w:bCs/>
          <w:color w:val="auto"/>
          <w:sz w:val="24"/>
          <w:szCs w:val="24"/>
          <w:highlight w:val="none"/>
        </w:rPr>
        <w:t>负责组织，具体评标工作由</w:t>
      </w:r>
      <w:r>
        <w:rPr>
          <w:rFonts w:hint="eastAsia" w:ascii="宋体" w:hAnsi="宋体" w:cs="宋体"/>
          <w:bCs/>
          <w:color w:val="auto"/>
          <w:sz w:val="24"/>
          <w:szCs w:val="24"/>
          <w:highlight w:val="none"/>
          <w:lang w:eastAsia="zh-CN"/>
        </w:rPr>
        <w:t>招标人</w:t>
      </w:r>
      <w:r>
        <w:rPr>
          <w:rFonts w:hint="eastAsia" w:ascii="宋体" w:hAnsi="宋体" w:eastAsia="宋体" w:cs="宋体"/>
          <w:bCs/>
          <w:color w:val="auto"/>
          <w:sz w:val="24"/>
          <w:szCs w:val="24"/>
          <w:highlight w:val="none"/>
        </w:rPr>
        <w:t>依法组建的评标委员会负责。评标委员会由</w:t>
      </w:r>
      <w:r>
        <w:rPr>
          <w:rFonts w:hint="eastAsia" w:ascii="宋体" w:hAnsi="宋体" w:cs="宋体"/>
          <w:bCs/>
          <w:color w:val="auto"/>
          <w:sz w:val="24"/>
          <w:szCs w:val="24"/>
          <w:highlight w:val="none"/>
          <w:lang w:eastAsia="zh-CN"/>
        </w:rPr>
        <w:t>招标人</w:t>
      </w:r>
      <w:r>
        <w:rPr>
          <w:rFonts w:hint="eastAsia" w:ascii="宋体" w:hAnsi="宋体" w:eastAsia="宋体" w:cs="宋体"/>
          <w:bCs/>
          <w:color w:val="auto"/>
          <w:sz w:val="24"/>
          <w:szCs w:val="24"/>
          <w:highlight w:val="none"/>
        </w:rPr>
        <w:t>代表和有关技术、经济等方面的专家组成。</w:t>
      </w:r>
    </w:p>
    <w:p w14:paraId="2FB659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评标工作应遵循公平、公正、科学及择优的原则。</w:t>
      </w:r>
    </w:p>
    <w:p w14:paraId="603BE1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评标委员会按照招标文件规定的评标方法和标准进行评标，并独立履行下列职责：</w:t>
      </w:r>
    </w:p>
    <w:p w14:paraId="028E9D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（1）审查投标文件是否符合招标文件要求，并作出评价；</w:t>
      </w:r>
    </w:p>
    <w:p w14:paraId="331333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对投标文件有关事项作出解释或者澄清；</w:t>
      </w:r>
    </w:p>
    <w:p w14:paraId="7EE0C6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（3）推荐中标候选投标人名单，或者受</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委托按照事先确定的办法直接确定中标投标人；</w:t>
      </w:r>
    </w:p>
    <w:p w14:paraId="6B3522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或者有关部门报告非法干预评标工作的行为。</w:t>
      </w:r>
      <w:bookmarkStart w:id="164" w:name="_Toc217446098"/>
    </w:p>
    <w:p w14:paraId="517BEA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评标过程严格保密。投标人对评标委员会的评标过程或合同授予决定施加影响的任何行为都可能导致其投标被拒绝。</w:t>
      </w:r>
    </w:p>
    <w:p w14:paraId="3AA1F8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1.6评标委员会决定投标文件的响应性应依据投标文件本身的内容，而不寻求外部的证据。</w:t>
      </w:r>
    </w:p>
    <w:p w14:paraId="3D6641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1.7评标委员会发现招标文件表述不明确或需要说明的事项，可提请</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书面解释说明。发现招标文件违反法律、法规、规章和相关规定的，可以拒绝评标，并向</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书面说明情况。</w:t>
      </w:r>
    </w:p>
    <w:p w14:paraId="727C8A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评标方法</w:t>
      </w:r>
    </w:p>
    <w:p w14:paraId="729C65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本项目评标方法为：综合评分法。</w:t>
      </w:r>
    </w:p>
    <w:p w14:paraId="50E6EC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评标程序</w:t>
      </w:r>
      <w:bookmarkEnd w:id="164"/>
    </w:p>
    <w:p w14:paraId="3DB4E6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165" w:name="_Toc217446099"/>
      <w:r>
        <w:rPr>
          <w:rFonts w:hint="eastAsia" w:ascii="宋体" w:hAnsi="宋体" w:eastAsia="宋体" w:cs="宋体"/>
          <w:color w:val="auto"/>
          <w:sz w:val="24"/>
          <w:szCs w:val="24"/>
          <w:highlight w:val="none"/>
        </w:rPr>
        <w:t>3.1资格审查</w:t>
      </w:r>
    </w:p>
    <w:p w14:paraId="78E5D43E">
      <w:pPr>
        <w:keepNext/>
        <w:keepLines/>
        <w:pageBreakBefore w:val="0"/>
        <w:wordWrap/>
        <w:overflowPunct/>
        <w:topLinePunct w:val="0"/>
        <w:bidi w:val="0"/>
        <w:spacing w:line="560" w:lineRule="exact"/>
        <w:ind w:left="0" w:leftChars="0" w:right="0" w:rightChars="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资格审查表</w:t>
      </w:r>
    </w:p>
    <w:tbl>
      <w:tblPr>
        <w:tblStyle w:val="34"/>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2997"/>
        <w:gridCol w:w="4392"/>
      </w:tblGrid>
      <w:tr w14:paraId="2525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771" w:type="dxa"/>
            <w:vMerge w:val="restart"/>
            <w:vAlign w:val="center"/>
          </w:tcPr>
          <w:p w14:paraId="7FE43C07">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94" w:type="dxa"/>
            <w:vMerge w:val="restart"/>
            <w:vAlign w:val="center"/>
          </w:tcPr>
          <w:p w14:paraId="4F366AA0">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审查</w:t>
            </w:r>
            <w:r>
              <w:rPr>
                <w:rFonts w:hint="eastAsia" w:ascii="宋体" w:hAnsi="宋体" w:eastAsia="宋体" w:cs="宋体"/>
                <w:color w:val="auto"/>
                <w:sz w:val="24"/>
                <w:szCs w:val="24"/>
                <w:highlight w:val="none"/>
                <w:lang w:val="en-US" w:eastAsia="zh-CN"/>
              </w:rPr>
              <w:t>因素</w:t>
            </w:r>
          </w:p>
        </w:tc>
        <w:tc>
          <w:tcPr>
            <w:tcW w:w="4388" w:type="dxa"/>
            <w:vMerge w:val="restart"/>
            <w:vAlign w:val="center"/>
          </w:tcPr>
          <w:p w14:paraId="0D2D2CD7">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审查标准</w:t>
            </w:r>
          </w:p>
        </w:tc>
      </w:tr>
      <w:tr w14:paraId="2074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771" w:type="dxa"/>
            <w:vMerge w:val="continue"/>
            <w:vAlign w:val="center"/>
          </w:tcPr>
          <w:p w14:paraId="289361C2">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p>
        </w:tc>
        <w:tc>
          <w:tcPr>
            <w:tcW w:w="2994" w:type="dxa"/>
            <w:vMerge w:val="continue"/>
            <w:vAlign w:val="center"/>
          </w:tcPr>
          <w:p w14:paraId="1D5082F1">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p>
        </w:tc>
        <w:tc>
          <w:tcPr>
            <w:tcW w:w="4388" w:type="dxa"/>
            <w:vMerge w:val="continue"/>
            <w:vAlign w:val="center"/>
          </w:tcPr>
          <w:p w14:paraId="6099C5C2">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lang w:val="en-US" w:eastAsia="zh-CN"/>
              </w:rPr>
            </w:pPr>
          </w:p>
        </w:tc>
      </w:tr>
      <w:tr w14:paraId="1AB8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0" w:hRule="atLeast"/>
          <w:jc w:val="center"/>
        </w:trPr>
        <w:tc>
          <w:tcPr>
            <w:tcW w:w="771" w:type="dxa"/>
            <w:vAlign w:val="center"/>
          </w:tcPr>
          <w:p w14:paraId="7E129827">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94" w:type="dxa"/>
            <w:vAlign w:val="center"/>
          </w:tcPr>
          <w:p w14:paraId="46869B35">
            <w:pPr>
              <w:pStyle w:val="93"/>
              <w:keepNext w:val="0"/>
              <w:keepLines w:val="0"/>
              <w:pageBreakBefore w:val="0"/>
              <w:kinsoku/>
              <w:wordWrap/>
              <w:overflowPunct/>
              <w:topLinePunct w:val="0"/>
              <w:autoSpaceDE/>
              <w:autoSpaceDN/>
              <w:bidi w:val="0"/>
              <w:adjustRightInd/>
              <w:snapToGrid/>
              <w:spacing w:line="240" w:lineRule="auto"/>
              <w:ind w:left="0" w:leftChars="0" w:right="0" w:rightChars="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具有独立承担民事责任的能力；</w:t>
            </w:r>
          </w:p>
        </w:tc>
        <w:tc>
          <w:tcPr>
            <w:tcW w:w="4388" w:type="dxa"/>
            <w:vAlign w:val="center"/>
          </w:tcPr>
          <w:p w14:paraId="7319C29B">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满足以下条件之一即可</w:t>
            </w:r>
            <w:r>
              <w:rPr>
                <w:rFonts w:hint="eastAsia" w:ascii="宋体" w:hAnsi="宋体" w:eastAsia="宋体" w:cs="宋体"/>
                <w:color w:val="auto"/>
                <w:sz w:val="24"/>
                <w:szCs w:val="24"/>
                <w:highlight w:val="none"/>
                <w:lang w:eastAsia="zh-CN"/>
              </w:rPr>
              <w:t>：</w:t>
            </w:r>
          </w:p>
          <w:p w14:paraId="7989FB57">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投标人为企业（包括合伙企业）的，应提供有效的“营业执照”；</w:t>
            </w:r>
          </w:p>
          <w:p w14:paraId="206BE5A6">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投标人为事业单位的，应提供有效的“事业单位法人证书”；</w:t>
            </w:r>
          </w:p>
          <w:p w14:paraId="4B49E74C">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投标人是非企业机构的，应提供有效的“执业许可证”、“登记证书”等证明文件；</w:t>
            </w:r>
          </w:p>
          <w:p w14:paraId="32A7B20A">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投标人是个体工商户的，应提供有效的“个体工商户营业执照”；</w:t>
            </w:r>
          </w:p>
          <w:p w14:paraId="1C40F710">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投标人是自然人的，应提供有效的自然人身份证明。</w:t>
            </w:r>
          </w:p>
          <w:p w14:paraId="127EF10E">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eastAsia="宋体" w:cs="宋体"/>
                <w:color w:val="auto"/>
                <w:sz w:val="24"/>
                <w:szCs w:val="24"/>
                <w:highlight w:val="none"/>
                <w:lang w:eastAsia="zh-CN"/>
              </w:rPr>
              <w:t>。</w:t>
            </w:r>
          </w:p>
        </w:tc>
      </w:tr>
      <w:tr w14:paraId="1E84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771" w:type="dxa"/>
            <w:vAlign w:val="center"/>
          </w:tcPr>
          <w:p w14:paraId="2912D55A">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994" w:type="dxa"/>
            <w:vAlign w:val="center"/>
          </w:tcPr>
          <w:p w14:paraId="363394E9">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4388" w:type="dxa"/>
            <w:vAlign w:val="center"/>
          </w:tcPr>
          <w:p w14:paraId="68730D69">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银行出具的近1年内</w:t>
            </w:r>
            <w:r>
              <w:rPr>
                <w:rFonts w:hint="eastAsia" w:ascii="宋体" w:hAnsi="宋体" w:eastAsia="宋体" w:cs="宋体"/>
                <w:color w:val="auto"/>
                <w:sz w:val="24"/>
                <w:szCs w:val="24"/>
                <w:highlight w:val="none"/>
                <w:lang w:val="en-US" w:eastAsia="zh-CN"/>
              </w:rPr>
              <w:t>任意三个月银行</w:t>
            </w:r>
            <w:r>
              <w:rPr>
                <w:rFonts w:hint="eastAsia" w:ascii="宋体" w:hAnsi="宋体" w:eastAsia="宋体" w:cs="宋体"/>
                <w:color w:val="auto"/>
                <w:sz w:val="24"/>
                <w:szCs w:val="24"/>
                <w:highlight w:val="none"/>
              </w:rPr>
              <w:t>资信证明或2023年度</w:t>
            </w:r>
            <w:r>
              <w:rPr>
                <w:rFonts w:hint="eastAsia" w:ascii="宋体" w:hAnsi="宋体" w:eastAsia="宋体" w:cs="宋体"/>
                <w:color w:val="auto"/>
                <w:sz w:val="24"/>
                <w:szCs w:val="24"/>
                <w:highlight w:val="none"/>
                <w:lang w:val="en-US" w:eastAsia="zh-CN"/>
              </w:rPr>
              <w:t>或2024</w:t>
            </w:r>
            <w:r>
              <w:rPr>
                <w:rFonts w:hint="eastAsia" w:ascii="宋体" w:hAnsi="宋体" w:eastAsia="宋体" w:cs="宋体"/>
                <w:color w:val="auto"/>
                <w:sz w:val="24"/>
                <w:szCs w:val="24"/>
                <w:highlight w:val="none"/>
              </w:rPr>
              <w:t>年度经会计师事务所或审计机构审计的财务审计报告，财务报告</w:t>
            </w:r>
            <w:r>
              <w:rPr>
                <w:rFonts w:hint="eastAsia" w:ascii="宋体" w:hAnsi="宋体" w:eastAsia="宋体" w:cs="宋体"/>
                <w:color w:val="auto"/>
                <w:sz w:val="24"/>
                <w:szCs w:val="24"/>
                <w:highlight w:val="none"/>
                <w:lang w:val="en-US" w:eastAsia="zh-CN"/>
              </w:rPr>
              <w:t>至少包含现金流量表‌、资产负债表、利润表；投标人</w:t>
            </w:r>
            <w:r>
              <w:rPr>
                <w:rFonts w:hint="eastAsia" w:ascii="宋体" w:hAnsi="宋体" w:eastAsia="宋体" w:cs="宋体"/>
                <w:color w:val="auto"/>
                <w:sz w:val="24"/>
                <w:szCs w:val="24"/>
                <w:highlight w:val="none"/>
              </w:rPr>
              <w:t>为自然人</w:t>
            </w:r>
            <w:r>
              <w:rPr>
                <w:rFonts w:hint="eastAsia" w:ascii="宋体" w:hAnsi="宋体" w:eastAsia="宋体" w:cs="宋体"/>
                <w:color w:val="auto"/>
                <w:sz w:val="24"/>
                <w:szCs w:val="24"/>
                <w:highlight w:val="none"/>
                <w:lang w:val="en-US" w:eastAsia="zh-CN"/>
              </w:rPr>
              <w:t>、个体工商户、营业执照成立日期不足一年的新成立单位</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承诺函；</w:t>
            </w:r>
          </w:p>
        </w:tc>
      </w:tr>
      <w:tr w14:paraId="17B0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771" w:type="dxa"/>
            <w:vAlign w:val="center"/>
          </w:tcPr>
          <w:p w14:paraId="48BE6394">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994" w:type="dxa"/>
            <w:vAlign w:val="center"/>
          </w:tcPr>
          <w:p w14:paraId="765FC12E">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4388" w:type="dxa"/>
            <w:vAlign w:val="center"/>
          </w:tcPr>
          <w:p w14:paraId="7ACE6DCB">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提供相关设备设施购置发票或单据</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pacing w:val="-2"/>
                <w:sz w:val="24"/>
                <w:szCs w:val="24"/>
                <w:highlight w:val="none"/>
              </w:rPr>
              <w:t>具有履行合同所必需的专业技术能力相关证明材料或</w:t>
            </w:r>
            <w:r>
              <w:rPr>
                <w:rFonts w:hint="eastAsia" w:ascii="宋体" w:hAnsi="宋体" w:eastAsia="宋体" w:cs="宋体"/>
                <w:color w:val="auto"/>
                <w:sz w:val="24"/>
                <w:szCs w:val="24"/>
                <w:highlight w:val="none"/>
              </w:rPr>
              <w:t>承诺函</w:t>
            </w:r>
            <w:r>
              <w:rPr>
                <w:rFonts w:hint="eastAsia" w:ascii="宋体" w:hAnsi="宋体" w:eastAsia="宋体" w:cs="宋体"/>
                <w:color w:val="auto"/>
                <w:sz w:val="24"/>
                <w:szCs w:val="24"/>
                <w:highlight w:val="none"/>
                <w:lang w:eastAsia="zh-CN"/>
              </w:rPr>
              <w:t>；</w:t>
            </w:r>
          </w:p>
        </w:tc>
      </w:tr>
      <w:tr w14:paraId="1515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771" w:type="dxa"/>
            <w:vAlign w:val="center"/>
          </w:tcPr>
          <w:p w14:paraId="653EE857">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994" w:type="dxa"/>
            <w:vAlign w:val="center"/>
          </w:tcPr>
          <w:p w14:paraId="23F5078D">
            <w:pPr>
              <w:pStyle w:val="11"/>
              <w:keepNext w:val="0"/>
              <w:keepLines w:val="0"/>
              <w:pageBreakBefore w:val="0"/>
              <w:widowControl/>
              <w:kinsoku/>
              <w:wordWrap/>
              <w:overflowPunct/>
              <w:topLinePunct w:val="0"/>
              <w:autoSpaceDE/>
              <w:autoSpaceDN/>
              <w:bidi w:val="0"/>
              <w:adjustRightInd/>
              <w:snapToGrid/>
              <w:spacing w:after="0"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4388" w:type="dxa"/>
            <w:vAlign w:val="center"/>
          </w:tcPr>
          <w:p w14:paraId="0E5E9783">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提供：①近</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个月已依法缴纳税收的凭据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自然人、个体工商户无需提供；</w:t>
            </w:r>
            <w:r>
              <w:rPr>
                <w:rFonts w:hint="eastAsia" w:ascii="宋体" w:hAnsi="宋体" w:eastAsia="宋体" w:cs="宋体"/>
                <w:color w:val="auto"/>
                <w:sz w:val="24"/>
                <w:szCs w:val="24"/>
                <w:highlight w:val="none"/>
              </w:rPr>
              <w:t>依法免税</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rPr>
              <w:t>，应提供相应证明文件；②近</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个月已依法缴纳社会保险的凭据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自然人、个体工商户无需提供。</w:t>
            </w:r>
          </w:p>
          <w:p w14:paraId="2F6E57E3">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公司员工为返聘人员提供返聘合同、退休证；</w:t>
            </w:r>
          </w:p>
        </w:tc>
      </w:tr>
      <w:tr w14:paraId="42C8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771" w:type="dxa"/>
            <w:vAlign w:val="center"/>
          </w:tcPr>
          <w:p w14:paraId="3B97EA8C">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994" w:type="dxa"/>
            <w:vAlign w:val="center"/>
          </w:tcPr>
          <w:p w14:paraId="564081ED">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4388" w:type="dxa"/>
            <w:vAlign w:val="center"/>
          </w:tcPr>
          <w:p w14:paraId="1E22DFA7">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提供承诺函</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自行承诺并承担后果，声明不实的，按《政府采购法》及相关法律法规中提供虚假材料的有关规定处理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tc>
      </w:tr>
      <w:tr w14:paraId="7250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771" w:type="dxa"/>
            <w:vAlign w:val="center"/>
          </w:tcPr>
          <w:p w14:paraId="2F8E37F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994" w:type="dxa"/>
            <w:vAlign w:val="center"/>
          </w:tcPr>
          <w:p w14:paraId="29253733">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法律、行政法规规定的其他条件；</w:t>
            </w:r>
          </w:p>
        </w:tc>
        <w:tc>
          <w:tcPr>
            <w:tcW w:w="4388" w:type="dxa"/>
            <w:vAlign w:val="center"/>
          </w:tcPr>
          <w:p w14:paraId="3CBD69E9">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提供承诺函，投标人自行承诺并承担后果，声明函不实的，按《政府采购法》及相关法律法规中提供虚假材料的有关规定处理）； </w:t>
            </w:r>
          </w:p>
        </w:tc>
      </w:tr>
      <w:tr w14:paraId="4C73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771" w:type="dxa"/>
            <w:vAlign w:val="center"/>
          </w:tcPr>
          <w:p w14:paraId="68818577">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994" w:type="dxa"/>
            <w:vAlign w:val="center"/>
          </w:tcPr>
          <w:p w14:paraId="3850AB18">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须提供食品经营许可证或食品生产许可证</w:t>
            </w:r>
          </w:p>
        </w:tc>
        <w:tc>
          <w:tcPr>
            <w:tcW w:w="4388" w:type="dxa"/>
            <w:vAlign w:val="center"/>
          </w:tcPr>
          <w:p w14:paraId="215615A6">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w:t>
            </w:r>
            <w:r>
              <w:rPr>
                <w:rFonts w:hint="eastAsia" w:ascii="宋体" w:hAnsi="宋体" w:cs="宋体"/>
                <w:color w:val="auto"/>
                <w:sz w:val="24"/>
                <w:szCs w:val="24"/>
                <w:highlight w:val="none"/>
                <w:lang w:val="en-US" w:eastAsia="zh-CN"/>
              </w:rPr>
              <w:t>合格有效的</w:t>
            </w:r>
            <w:r>
              <w:rPr>
                <w:rFonts w:hint="eastAsia" w:ascii="宋体" w:hAnsi="宋体" w:eastAsia="宋体" w:cs="宋体"/>
                <w:color w:val="auto"/>
                <w:sz w:val="24"/>
                <w:szCs w:val="24"/>
                <w:highlight w:val="none"/>
              </w:rPr>
              <w:t>证明材料</w:t>
            </w:r>
          </w:p>
        </w:tc>
      </w:tr>
      <w:tr w14:paraId="10AC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771" w:type="dxa"/>
            <w:vAlign w:val="center"/>
          </w:tcPr>
          <w:p w14:paraId="019BE62B">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994" w:type="dxa"/>
            <w:vAlign w:val="center"/>
          </w:tcPr>
          <w:p w14:paraId="56B12FD6">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w:t>
            </w:r>
          </w:p>
        </w:tc>
        <w:tc>
          <w:tcPr>
            <w:tcW w:w="4388" w:type="dxa"/>
            <w:vAlign w:val="center"/>
          </w:tcPr>
          <w:p w14:paraId="5AD2CE41">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无需提供任何证明材料。</w:t>
            </w:r>
          </w:p>
        </w:tc>
      </w:tr>
      <w:tr w14:paraId="7340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771" w:type="dxa"/>
            <w:vAlign w:val="center"/>
          </w:tcPr>
          <w:p w14:paraId="14DDF90A">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994" w:type="dxa"/>
            <w:vAlign w:val="center"/>
          </w:tcPr>
          <w:p w14:paraId="5ED8F8A4">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本项目为专门面向中小企业（含中型、小型、微型）采购项目。</w:t>
            </w:r>
          </w:p>
        </w:tc>
        <w:tc>
          <w:tcPr>
            <w:tcW w:w="4388" w:type="dxa"/>
            <w:vAlign w:val="center"/>
          </w:tcPr>
          <w:p w14:paraId="78D4E7AC">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hd w:val="clear" w:color="auto" w:fill="auto"/>
              </w:rPr>
              <w:t>满足条件的企业需在响应文件中提供合格有效的《中小企业声明函》。</w:t>
            </w:r>
          </w:p>
        </w:tc>
      </w:tr>
      <w:tr w14:paraId="680F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8153" w:type="dxa"/>
            <w:gridSpan w:val="3"/>
            <w:vAlign w:val="center"/>
          </w:tcPr>
          <w:p w14:paraId="6CE901F5">
            <w:pPr>
              <w:pStyle w:val="93"/>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shd w:val="clear" w:color="auto" w:fill="FFFFFF"/>
              </w:rPr>
              <w:t>如果资格性审查有一项未通过上述审查标准，</w:t>
            </w:r>
            <w:r>
              <w:rPr>
                <w:rFonts w:hint="eastAsia" w:ascii="宋体" w:hAnsi="宋体" w:cs="宋体"/>
                <w:color w:val="auto"/>
                <w:sz w:val="24"/>
                <w:szCs w:val="24"/>
                <w:highlight w:val="none"/>
                <w:shd w:val="clear" w:color="auto" w:fill="FFFFFF"/>
                <w:lang w:val="en-US" w:eastAsia="zh-CN"/>
              </w:rPr>
              <w:t>招标人</w:t>
            </w:r>
            <w:r>
              <w:rPr>
                <w:rFonts w:hint="eastAsia" w:ascii="宋体" w:hAnsi="宋体" w:eastAsia="宋体" w:cs="宋体"/>
                <w:color w:val="auto"/>
                <w:sz w:val="24"/>
                <w:szCs w:val="24"/>
                <w:highlight w:val="none"/>
                <w:shd w:val="clear" w:color="auto" w:fill="FFFFFF"/>
                <w:lang w:val="en-US" w:eastAsia="zh-CN"/>
              </w:rPr>
              <w:t>或</w:t>
            </w:r>
            <w:r>
              <w:rPr>
                <w:rFonts w:hint="eastAsia" w:ascii="宋体" w:hAnsi="宋体" w:cs="宋体"/>
                <w:color w:val="auto"/>
                <w:sz w:val="24"/>
                <w:szCs w:val="24"/>
                <w:highlight w:val="none"/>
                <w:shd w:val="clear" w:color="auto" w:fill="FFFFFF"/>
                <w:lang w:val="en-US" w:eastAsia="zh-CN"/>
              </w:rPr>
              <w:t>招标代理机构</w:t>
            </w:r>
            <w:r>
              <w:rPr>
                <w:rFonts w:hint="eastAsia" w:ascii="宋体" w:hAnsi="宋体" w:eastAsia="宋体" w:cs="宋体"/>
                <w:color w:val="auto"/>
                <w:sz w:val="24"/>
                <w:szCs w:val="24"/>
                <w:highlight w:val="none"/>
                <w:shd w:val="clear" w:color="auto" w:fill="FFFFFF"/>
              </w:rPr>
              <w:t>将认定整个投标文件不响应招标文件而予以无效处理，并且不允许</w:t>
            </w:r>
            <w:r>
              <w:rPr>
                <w:rFonts w:hint="eastAsia" w:ascii="宋体" w:hAnsi="宋体" w:eastAsia="宋体" w:cs="宋体"/>
                <w:color w:val="auto"/>
                <w:sz w:val="24"/>
                <w:szCs w:val="24"/>
                <w:highlight w:val="none"/>
                <w:shd w:val="clear" w:color="auto" w:fill="FFFFFF"/>
                <w:lang w:eastAsia="zh-CN"/>
              </w:rPr>
              <w:t>投标</w:t>
            </w:r>
            <w:r>
              <w:rPr>
                <w:rFonts w:hint="eastAsia" w:ascii="宋体" w:hAnsi="宋体" w:cs="宋体"/>
                <w:color w:val="auto"/>
                <w:sz w:val="24"/>
                <w:szCs w:val="24"/>
                <w:highlight w:val="none"/>
                <w:shd w:val="clear" w:color="auto" w:fill="FFFFFF"/>
                <w:lang w:eastAsia="zh-CN"/>
              </w:rPr>
              <w:t>人</w:t>
            </w:r>
            <w:r>
              <w:rPr>
                <w:rFonts w:hint="eastAsia" w:ascii="宋体" w:hAnsi="宋体" w:eastAsia="宋体" w:cs="宋体"/>
                <w:color w:val="auto"/>
                <w:sz w:val="24"/>
                <w:szCs w:val="24"/>
                <w:highlight w:val="none"/>
                <w:shd w:val="clear" w:color="auto" w:fill="FFFFFF"/>
              </w:rPr>
              <w:t>通过修改或撤销其不符合要求的差异或保留，使之成为具有响应性的投标。</w:t>
            </w:r>
          </w:p>
        </w:tc>
      </w:tr>
    </w:tbl>
    <w:p w14:paraId="2B657D89">
      <w:pPr>
        <w:pageBreakBefore w:val="0"/>
        <w:wordWrap/>
        <w:overflowPunct/>
        <w:topLinePunct w:val="0"/>
        <w:bidi w:val="0"/>
        <w:spacing w:line="560" w:lineRule="exact"/>
        <w:ind w:left="0" w:leftChars="0" w:right="0" w:rightChars="0" w:firstLine="480" w:firstLineChars="200"/>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3.2符合性审查。依据招标文件的规定，从投标文件的有效性、完整性和对招标文件的响应程度进行审查，以确定是否对招标文件的实质性要求作出响应。</w:t>
      </w:r>
    </w:p>
    <w:p w14:paraId="4A45CFE5">
      <w:pPr>
        <w:pageBreakBefore w:val="0"/>
        <w:wordWrap/>
        <w:overflowPunct/>
        <w:topLinePunct w:val="0"/>
        <w:bidi w:val="0"/>
        <w:spacing w:line="560" w:lineRule="exact"/>
        <w:ind w:left="0" w:leftChars="0" w:right="0" w:rightChars="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bl>
      <w:tblPr>
        <w:tblStyle w:val="34"/>
        <w:tblW w:w="47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7359"/>
      </w:tblGrid>
      <w:tr w14:paraId="75FB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713" w:type="dxa"/>
            <w:vMerge w:val="restart"/>
            <w:vAlign w:val="center"/>
          </w:tcPr>
          <w:p w14:paraId="68866B7A">
            <w:pPr>
              <w:pStyle w:val="93"/>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626" w:type="dxa"/>
            <w:vMerge w:val="restart"/>
            <w:vAlign w:val="center"/>
          </w:tcPr>
          <w:p w14:paraId="43E704E5">
            <w:pPr>
              <w:pStyle w:val="93"/>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   查   标   准</w:t>
            </w:r>
          </w:p>
        </w:tc>
      </w:tr>
      <w:tr w14:paraId="5FEC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713" w:type="dxa"/>
            <w:vMerge w:val="continue"/>
            <w:vAlign w:val="center"/>
          </w:tcPr>
          <w:p w14:paraId="7835C09B">
            <w:pPr>
              <w:pStyle w:val="93"/>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p>
        </w:tc>
        <w:tc>
          <w:tcPr>
            <w:tcW w:w="8626" w:type="dxa"/>
            <w:vMerge w:val="continue"/>
            <w:vAlign w:val="center"/>
          </w:tcPr>
          <w:p w14:paraId="60762014">
            <w:pPr>
              <w:pStyle w:val="93"/>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p>
        </w:tc>
      </w:tr>
      <w:tr w14:paraId="636E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exact"/>
          <w:jc w:val="center"/>
        </w:trPr>
        <w:tc>
          <w:tcPr>
            <w:tcW w:w="713" w:type="dxa"/>
            <w:vAlign w:val="center"/>
          </w:tcPr>
          <w:p w14:paraId="517AB577">
            <w:pPr>
              <w:pStyle w:val="93"/>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626" w:type="dxa"/>
            <w:vAlign w:val="center"/>
          </w:tcPr>
          <w:p w14:paraId="0BAE7F5A">
            <w:pPr>
              <w:pStyle w:val="93"/>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按照招标文件规定的格式要求编制投标文件，实质性响应招标文件内容</w:t>
            </w:r>
            <w:r>
              <w:rPr>
                <w:rFonts w:hint="eastAsia" w:ascii="宋体" w:hAnsi="宋体" w:eastAsia="宋体" w:cs="宋体"/>
                <w:color w:val="auto"/>
                <w:sz w:val="24"/>
                <w:szCs w:val="24"/>
                <w:highlight w:val="none"/>
                <w:lang w:eastAsia="zh-CN"/>
              </w:rPr>
              <w:t>；</w:t>
            </w:r>
          </w:p>
        </w:tc>
      </w:tr>
      <w:tr w14:paraId="03A3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exact"/>
          <w:jc w:val="center"/>
        </w:trPr>
        <w:tc>
          <w:tcPr>
            <w:tcW w:w="713" w:type="dxa"/>
            <w:vAlign w:val="center"/>
          </w:tcPr>
          <w:p w14:paraId="7F05801C">
            <w:pPr>
              <w:pStyle w:val="93"/>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626" w:type="dxa"/>
            <w:vAlign w:val="center"/>
          </w:tcPr>
          <w:p w14:paraId="7C750E79">
            <w:pPr>
              <w:pStyle w:val="93"/>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要求签署、盖章；</w:t>
            </w:r>
          </w:p>
        </w:tc>
      </w:tr>
      <w:tr w14:paraId="53BD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jc w:val="center"/>
        </w:trPr>
        <w:tc>
          <w:tcPr>
            <w:tcW w:w="713" w:type="dxa"/>
            <w:vAlign w:val="center"/>
          </w:tcPr>
          <w:p w14:paraId="0666878F">
            <w:pPr>
              <w:pStyle w:val="93"/>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626" w:type="dxa"/>
            <w:vAlign w:val="center"/>
          </w:tcPr>
          <w:p w14:paraId="625BA17B">
            <w:pPr>
              <w:pStyle w:val="93"/>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的规定提交</w:t>
            </w:r>
            <w:r>
              <w:rPr>
                <w:rFonts w:hint="eastAsia" w:ascii="宋体" w:hAnsi="宋体" w:eastAsia="宋体" w:cs="宋体"/>
                <w:color w:val="auto"/>
                <w:sz w:val="24"/>
                <w:szCs w:val="24"/>
                <w:highlight w:val="none"/>
                <w:lang w:val="en-US" w:eastAsia="zh-CN"/>
              </w:rPr>
              <w:t>投标保证金</w:t>
            </w:r>
            <w:r>
              <w:rPr>
                <w:rFonts w:hint="eastAsia" w:ascii="宋体" w:hAnsi="宋体" w:eastAsia="宋体" w:cs="宋体"/>
                <w:color w:val="auto"/>
                <w:sz w:val="24"/>
                <w:szCs w:val="24"/>
                <w:highlight w:val="none"/>
              </w:rPr>
              <w:t>；</w:t>
            </w:r>
          </w:p>
        </w:tc>
      </w:tr>
      <w:tr w14:paraId="0302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exact"/>
          <w:jc w:val="center"/>
        </w:trPr>
        <w:tc>
          <w:tcPr>
            <w:tcW w:w="713" w:type="dxa"/>
            <w:vAlign w:val="center"/>
          </w:tcPr>
          <w:p w14:paraId="790B64F1">
            <w:pPr>
              <w:pStyle w:val="93"/>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626" w:type="dxa"/>
            <w:vAlign w:val="center"/>
          </w:tcPr>
          <w:p w14:paraId="05519B45">
            <w:pPr>
              <w:pStyle w:val="93"/>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超过</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中规定的最高限价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任何有选择的报价或有附加条件的报价，视为无效报价</w:t>
            </w:r>
            <w:r>
              <w:rPr>
                <w:rFonts w:hint="eastAsia" w:ascii="宋体" w:hAnsi="宋体" w:eastAsia="宋体" w:cs="宋体"/>
                <w:color w:val="auto"/>
                <w:sz w:val="24"/>
                <w:szCs w:val="24"/>
                <w:highlight w:val="none"/>
              </w:rPr>
              <w:t>；</w:t>
            </w:r>
          </w:p>
        </w:tc>
      </w:tr>
      <w:tr w14:paraId="2DEF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exact"/>
          <w:jc w:val="center"/>
        </w:trPr>
        <w:tc>
          <w:tcPr>
            <w:tcW w:w="713" w:type="dxa"/>
            <w:vAlign w:val="center"/>
          </w:tcPr>
          <w:p w14:paraId="165BFBA3">
            <w:pPr>
              <w:pStyle w:val="93"/>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626" w:type="dxa"/>
            <w:vAlign w:val="center"/>
          </w:tcPr>
          <w:p w14:paraId="2BEB635C">
            <w:pPr>
              <w:pStyle w:val="93"/>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供货期、投标有效期、</w:t>
            </w:r>
            <w:r>
              <w:rPr>
                <w:rFonts w:hint="eastAsia" w:ascii="宋体" w:hAnsi="宋体" w:eastAsia="宋体" w:cs="宋体"/>
                <w:b w:val="0"/>
                <w:bCs/>
                <w:color w:val="auto"/>
                <w:sz w:val="24"/>
                <w:szCs w:val="24"/>
                <w:highlight w:val="none"/>
                <w:u w:val="none"/>
                <w:lang w:val="en-US" w:eastAsia="zh-CN"/>
              </w:rPr>
              <w:t>质量标准</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w:t>
            </w:r>
          </w:p>
        </w:tc>
      </w:tr>
      <w:tr w14:paraId="6DF5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exact"/>
          <w:jc w:val="center"/>
        </w:trPr>
        <w:tc>
          <w:tcPr>
            <w:tcW w:w="713" w:type="dxa"/>
            <w:vAlign w:val="center"/>
          </w:tcPr>
          <w:p w14:paraId="7605FC01">
            <w:pPr>
              <w:pStyle w:val="93"/>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626" w:type="dxa"/>
            <w:vAlign w:val="center"/>
          </w:tcPr>
          <w:p w14:paraId="35D50F26">
            <w:pPr>
              <w:pStyle w:val="93"/>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lang w:val="en-US" w:eastAsia="zh-CN"/>
              </w:rPr>
              <w:t>不存在</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lang w:eastAsia="zh-CN"/>
              </w:rPr>
              <w:t>不能接受的附加条件</w:t>
            </w:r>
            <w:r>
              <w:rPr>
                <w:rFonts w:hint="eastAsia" w:ascii="宋体" w:hAnsi="宋体" w:eastAsia="宋体" w:cs="宋体"/>
                <w:color w:val="auto"/>
                <w:sz w:val="24"/>
                <w:szCs w:val="24"/>
                <w:highlight w:val="none"/>
              </w:rPr>
              <w:t>。</w:t>
            </w:r>
          </w:p>
        </w:tc>
      </w:tr>
      <w:tr w14:paraId="15FA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exact"/>
          <w:jc w:val="center"/>
        </w:trPr>
        <w:tc>
          <w:tcPr>
            <w:tcW w:w="713" w:type="dxa"/>
            <w:vAlign w:val="center"/>
          </w:tcPr>
          <w:p w14:paraId="12E1FF32">
            <w:pPr>
              <w:pStyle w:val="93"/>
              <w:pageBreakBefore w:val="0"/>
              <w:kinsoku/>
              <w:wordWrap/>
              <w:overflowPunct/>
              <w:topLinePunct w:val="0"/>
              <w:bidi w:val="0"/>
              <w:adjustRightInd/>
              <w:snapToGrid/>
              <w:spacing w:line="560" w:lineRule="exact"/>
              <w:ind w:left="0" w:leftChars="0" w:right="0" w:righ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8626" w:type="dxa"/>
            <w:vAlign w:val="center"/>
          </w:tcPr>
          <w:p w14:paraId="38FC5412">
            <w:pPr>
              <w:pStyle w:val="93"/>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是否按要求提供样品。</w:t>
            </w:r>
          </w:p>
        </w:tc>
      </w:tr>
      <w:tr w14:paraId="6039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exact"/>
          <w:jc w:val="center"/>
        </w:trPr>
        <w:tc>
          <w:tcPr>
            <w:tcW w:w="9339" w:type="dxa"/>
            <w:gridSpan w:val="2"/>
            <w:vAlign w:val="center"/>
          </w:tcPr>
          <w:p w14:paraId="3B995BA2">
            <w:pPr>
              <w:pStyle w:val="93"/>
              <w:pageBreakBefore w:val="0"/>
              <w:kinsoku/>
              <w:wordWrap/>
              <w:overflowPunct/>
              <w:topLinePunct w:val="0"/>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中有一项未通过上述审查标准，</w:t>
            </w: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将认定整个投标文件不响应招标文件而予以无效处理，并且不允许</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通过修改或撤销其不符合要求的差异或保留，使之成为具有响应性的投标</w:t>
            </w:r>
            <w:r>
              <w:rPr>
                <w:rFonts w:hint="eastAsia" w:ascii="宋体" w:hAnsi="宋体" w:eastAsia="宋体" w:cs="宋体"/>
                <w:color w:val="auto"/>
                <w:sz w:val="24"/>
                <w:szCs w:val="24"/>
                <w:highlight w:val="none"/>
                <w:lang w:eastAsia="zh-CN"/>
              </w:rPr>
              <w:t>。</w:t>
            </w:r>
          </w:p>
        </w:tc>
      </w:tr>
    </w:tbl>
    <w:p w14:paraId="1FFA62C0">
      <w:pPr>
        <w:pStyle w:val="13"/>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3.2.1在投标文件符合性审查过程中，如果出现评标委员会成员意见不一致的情况，按照少数服从多数的原则确定，但不得违背政府采购基本原则和招标文件规定。</w:t>
      </w:r>
    </w:p>
    <w:p w14:paraId="4CFF1FE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66" w:name="_Toc183682422"/>
      <w:bookmarkStart w:id="167" w:name="_Toc217446104"/>
      <w:bookmarkStart w:id="168" w:name="_Toc183582287"/>
    </w:p>
    <w:bookmarkEnd w:id="166"/>
    <w:bookmarkEnd w:id="167"/>
    <w:bookmarkEnd w:id="168"/>
    <w:p w14:paraId="55735DA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3.4比较与评价。按招标文件中规定的评标方法和标准，对符合性审查合格的投标文件进行综合比较与评价。</w:t>
      </w:r>
    </w:p>
    <w:p w14:paraId="3ED8F5E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3.5推荐中标候选人名单。中标候选人数量应当根据招标文件确定，但必须按顺序排列中标候选人。</w:t>
      </w:r>
    </w:p>
    <w:p w14:paraId="4257ED31">
      <w:pPr>
        <w:pStyle w:val="88"/>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color w:val="auto"/>
          <w:sz w:val="24"/>
          <w:szCs w:val="24"/>
          <w:highlight w:val="none"/>
          <w:shd w:val="clear" w:color="auto" w:fill="FAFAFA"/>
        </w:rPr>
        <w:t>，按照技术指标优劣顺序推荐</w:t>
      </w:r>
      <w:r>
        <w:rPr>
          <w:rFonts w:hint="eastAsia" w:ascii="宋体" w:hAnsi="宋体" w:eastAsia="宋体" w:cs="宋体"/>
          <w:color w:val="auto"/>
          <w:sz w:val="24"/>
          <w:szCs w:val="24"/>
          <w:highlight w:val="none"/>
        </w:rPr>
        <w:t>。</w:t>
      </w:r>
    </w:p>
    <w:p w14:paraId="1F3BDEC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3.6编写评标报告。评标报告是评标委员会根据评标委员成员签字的原始评标记录和评标结果编写的报告，其主要内容包括：</w:t>
      </w:r>
    </w:p>
    <w:p w14:paraId="1E9F35A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（1）项目概况、开标日期和地点；</w:t>
      </w:r>
    </w:p>
    <w:p w14:paraId="6E29689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（2）参与竞争的的投标人名单和评标委员会成员名单；</w:t>
      </w:r>
    </w:p>
    <w:p w14:paraId="11D14F7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（3）评审因素和评分标准；</w:t>
      </w:r>
    </w:p>
    <w:p w14:paraId="439756F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（4）开标记录和评标情况及说明，包括投标无效投标人名单及原因；</w:t>
      </w:r>
    </w:p>
    <w:p w14:paraId="0AE174E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（5）评标结果和中标候选人排序。</w:t>
      </w:r>
    </w:p>
    <w:p w14:paraId="1DC508C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69" w:name="_Toc217446103"/>
      <w:r>
        <w:rPr>
          <w:rFonts w:hint="eastAsia" w:ascii="宋体" w:hAnsi="宋体" w:eastAsia="宋体" w:cs="宋体"/>
          <w:color w:val="auto"/>
          <w:sz w:val="24"/>
          <w:szCs w:val="24"/>
          <w:highlight w:val="none"/>
        </w:rPr>
        <w:t>4. 评标细则及标准</w:t>
      </w:r>
      <w:bookmarkEnd w:id="169"/>
    </w:p>
    <w:p w14:paraId="2B6C8EE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评标委员会只对通过符合性审查的投标文件，根据招标文件的要求采用相同的评标程序、评分办法及标准进行评价和比较。</w:t>
      </w:r>
    </w:p>
    <w:p w14:paraId="2F91D95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本次综合评分的因素是：商务、价格、技术服务、业绩、对招标文件的响应程度以及投标文件规范性等。</w:t>
      </w:r>
    </w:p>
    <w:p w14:paraId="22F7A42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除价格因素外，评标委员会成员应依据投标文件规定的评审因素和评分标准进行比较打分。</w:t>
      </w:r>
    </w:p>
    <w:p w14:paraId="112EE5C9">
      <w:pPr>
        <w:pStyle w:val="13"/>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评标细则及标准的制定以科学合理、降低评标委员会自由裁量权为原则。</w:t>
      </w:r>
    </w:p>
    <w:p w14:paraId="5E5E1208">
      <w:pPr>
        <w:pStyle w:val="13"/>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评标委员会将按照下述评分标准对通过符合性审查的投标文件进行详细评标，投标人评标得分等于所有评委评分的算术平均值，结果保留两位小数。</w:t>
      </w:r>
    </w:p>
    <w:p w14:paraId="03B6C8D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评审因素权重表</w:t>
      </w:r>
    </w:p>
    <w:tbl>
      <w:tblPr>
        <w:tblStyle w:val="34"/>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946"/>
        <w:gridCol w:w="2209"/>
        <w:gridCol w:w="2660"/>
      </w:tblGrid>
      <w:tr w14:paraId="7F8C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5CB105AB">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序号</w:t>
            </w:r>
          </w:p>
        </w:tc>
        <w:tc>
          <w:tcPr>
            <w:tcW w:w="1158" w:type="pct"/>
            <w:tcBorders>
              <w:top w:val="single" w:color="auto" w:sz="4" w:space="0"/>
              <w:left w:val="single" w:color="auto" w:sz="4" w:space="0"/>
              <w:bottom w:val="single" w:color="auto" w:sz="4" w:space="0"/>
              <w:right w:val="single" w:color="auto" w:sz="4" w:space="0"/>
            </w:tcBorders>
            <w:vAlign w:val="center"/>
          </w:tcPr>
          <w:p w14:paraId="184AD10D">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w:t>
            </w:r>
          </w:p>
        </w:tc>
        <w:tc>
          <w:tcPr>
            <w:tcW w:w="1315" w:type="pct"/>
            <w:tcBorders>
              <w:top w:val="single" w:color="auto" w:sz="4" w:space="0"/>
              <w:left w:val="single" w:color="auto" w:sz="4" w:space="0"/>
              <w:bottom w:val="single" w:color="auto" w:sz="4" w:space="0"/>
              <w:right w:val="single" w:color="auto" w:sz="4" w:space="0"/>
            </w:tcBorders>
            <w:vAlign w:val="center"/>
          </w:tcPr>
          <w:p w14:paraId="7431F646">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w:t>
            </w:r>
          </w:p>
        </w:tc>
        <w:tc>
          <w:tcPr>
            <w:tcW w:w="1583" w:type="pct"/>
            <w:tcBorders>
              <w:top w:val="single" w:color="auto" w:sz="4" w:space="0"/>
              <w:left w:val="single" w:color="auto" w:sz="4" w:space="0"/>
              <w:bottom w:val="single" w:color="auto" w:sz="4" w:space="0"/>
              <w:right w:val="single" w:color="auto" w:sz="4" w:space="0"/>
            </w:tcBorders>
            <w:vAlign w:val="center"/>
          </w:tcPr>
          <w:p w14:paraId="14EC6A9E">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w:t>
            </w:r>
          </w:p>
        </w:tc>
      </w:tr>
      <w:tr w14:paraId="5EBC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62D3B7E9">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评审因素</w:t>
            </w:r>
          </w:p>
        </w:tc>
        <w:tc>
          <w:tcPr>
            <w:tcW w:w="1158" w:type="pct"/>
            <w:tcBorders>
              <w:top w:val="single" w:color="auto" w:sz="4" w:space="0"/>
              <w:left w:val="single" w:color="auto" w:sz="4" w:space="0"/>
              <w:bottom w:val="single" w:color="auto" w:sz="4" w:space="0"/>
              <w:right w:val="single" w:color="auto" w:sz="4" w:space="0"/>
            </w:tcBorders>
            <w:vAlign w:val="center"/>
          </w:tcPr>
          <w:p w14:paraId="5787550A">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投标报价</w:t>
            </w:r>
          </w:p>
        </w:tc>
        <w:tc>
          <w:tcPr>
            <w:tcW w:w="1315" w:type="pct"/>
            <w:tcBorders>
              <w:top w:val="single" w:color="auto" w:sz="4" w:space="0"/>
              <w:left w:val="single" w:color="auto" w:sz="4" w:space="0"/>
              <w:bottom w:val="single" w:color="auto" w:sz="4" w:space="0"/>
              <w:right w:val="single" w:color="auto" w:sz="4" w:space="0"/>
            </w:tcBorders>
            <w:vAlign w:val="center"/>
          </w:tcPr>
          <w:p w14:paraId="3B9B1710">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技术、商务部分</w:t>
            </w:r>
          </w:p>
        </w:tc>
        <w:tc>
          <w:tcPr>
            <w:tcW w:w="1583" w:type="pct"/>
            <w:tcBorders>
              <w:top w:val="single" w:color="auto" w:sz="4" w:space="0"/>
              <w:left w:val="single" w:color="auto" w:sz="4" w:space="0"/>
              <w:bottom w:val="single" w:color="auto" w:sz="4" w:space="0"/>
              <w:right w:val="single" w:color="auto" w:sz="4" w:space="0"/>
            </w:tcBorders>
            <w:vAlign w:val="center"/>
          </w:tcPr>
          <w:p w14:paraId="4814C6A9">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合计</w:t>
            </w:r>
          </w:p>
        </w:tc>
      </w:tr>
      <w:tr w14:paraId="095D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71BC386C">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权重</w:t>
            </w:r>
          </w:p>
        </w:tc>
        <w:tc>
          <w:tcPr>
            <w:tcW w:w="1158" w:type="pct"/>
            <w:tcBorders>
              <w:top w:val="single" w:color="auto" w:sz="4" w:space="0"/>
              <w:left w:val="single" w:color="auto" w:sz="4" w:space="0"/>
              <w:bottom w:val="single" w:color="auto" w:sz="4" w:space="0"/>
              <w:right w:val="single" w:color="auto" w:sz="4" w:space="0"/>
            </w:tcBorders>
            <w:vAlign w:val="center"/>
          </w:tcPr>
          <w:p w14:paraId="79B3FE69">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30%</w:t>
            </w:r>
          </w:p>
        </w:tc>
        <w:tc>
          <w:tcPr>
            <w:tcW w:w="1315" w:type="pct"/>
            <w:tcBorders>
              <w:top w:val="single" w:color="auto" w:sz="4" w:space="0"/>
              <w:left w:val="single" w:color="auto" w:sz="4" w:space="0"/>
              <w:bottom w:val="single" w:color="auto" w:sz="4" w:space="0"/>
              <w:right w:val="single" w:color="auto" w:sz="4" w:space="0"/>
            </w:tcBorders>
            <w:vAlign w:val="center"/>
          </w:tcPr>
          <w:p w14:paraId="174F3620">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lang w:val="en-US" w:eastAsia="zh-CN"/>
              </w:rPr>
              <w:t>70</w:t>
            </w:r>
            <w:r>
              <w:rPr>
                <w:rFonts w:hint="eastAsia" w:ascii="宋体" w:hAnsi="宋体" w:eastAsia="宋体" w:cs="宋体"/>
                <w:color w:val="auto"/>
                <w:spacing w:val="6"/>
                <w:kern w:val="0"/>
                <w:sz w:val="24"/>
                <w:szCs w:val="24"/>
                <w:highlight w:val="none"/>
              </w:rPr>
              <w:t>%</w:t>
            </w:r>
          </w:p>
        </w:tc>
        <w:tc>
          <w:tcPr>
            <w:tcW w:w="1583" w:type="pct"/>
            <w:tcBorders>
              <w:top w:val="single" w:color="auto" w:sz="4" w:space="0"/>
              <w:left w:val="single" w:color="auto" w:sz="4" w:space="0"/>
              <w:bottom w:val="single" w:color="auto" w:sz="4" w:space="0"/>
              <w:right w:val="single" w:color="auto" w:sz="4" w:space="0"/>
            </w:tcBorders>
            <w:vAlign w:val="center"/>
          </w:tcPr>
          <w:p w14:paraId="279D22AE">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100%</w:t>
            </w:r>
          </w:p>
        </w:tc>
      </w:tr>
    </w:tbl>
    <w:p w14:paraId="483DD382">
      <w:pPr>
        <w:pageBreakBefore w:val="0"/>
        <w:wordWrap/>
        <w:overflowPunct/>
        <w:topLinePunct w:val="0"/>
        <w:bidi w:val="0"/>
        <w:spacing w:line="560" w:lineRule="exact"/>
        <w:ind w:left="0" w:leftChars="0" w:right="0" w:rightChars="0"/>
        <w:jc w:val="center"/>
        <w:outlineLvl w:val="9"/>
        <w:rPr>
          <w:rFonts w:hint="eastAsia" w:ascii="宋体" w:hAnsi="宋体" w:eastAsia="宋体" w:cs="宋体"/>
          <w:color w:val="auto"/>
          <w:spacing w:val="6"/>
          <w:kern w:val="0"/>
          <w:sz w:val="24"/>
          <w:szCs w:val="24"/>
          <w:highlight w:val="none"/>
        </w:rPr>
      </w:pPr>
      <w:r>
        <w:rPr>
          <w:rFonts w:hint="eastAsia" w:ascii="宋体" w:hAnsi="宋体" w:eastAsia="宋体" w:cs="宋体"/>
          <w:b/>
          <w:bCs/>
          <w:color w:val="auto"/>
          <w:sz w:val="24"/>
          <w:szCs w:val="24"/>
          <w:highlight w:val="none"/>
        </w:rPr>
        <w:t>商务、技术部分评审标准（70分）</w:t>
      </w:r>
    </w:p>
    <w:tbl>
      <w:tblPr>
        <w:tblStyle w:val="34"/>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588"/>
        <w:gridCol w:w="973"/>
        <w:gridCol w:w="1134"/>
        <w:gridCol w:w="5232"/>
      </w:tblGrid>
      <w:tr w14:paraId="3964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88" w:type="dxa"/>
            <w:tcBorders>
              <w:top w:val="single" w:color="auto" w:sz="4" w:space="0"/>
              <w:left w:val="single" w:color="auto" w:sz="4" w:space="0"/>
              <w:right w:val="single" w:color="auto" w:sz="4" w:space="0"/>
            </w:tcBorders>
            <w:vAlign w:val="center"/>
          </w:tcPr>
          <w:p w14:paraId="57872329">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w:t>
            </w:r>
          </w:p>
        </w:tc>
        <w:tc>
          <w:tcPr>
            <w:tcW w:w="687" w:type="dxa"/>
            <w:tcBorders>
              <w:top w:val="single" w:color="auto" w:sz="4" w:space="0"/>
              <w:left w:val="single" w:color="auto" w:sz="4" w:space="0"/>
              <w:right w:val="single" w:color="auto" w:sz="4" w:space="0"/>
            </w:tcBorders>
            <w:vAlign w:val="center"/>
          </w:tcPr>
          <w:p w14:paraId="03E7EB9C">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37" w:type="dxa"/>
            <w:tcBorders>
              <w:top w:val="single" w:color="auto" w:sz="4" w:space="0"/>
              <w:left w:val="single" w:color="auto" w:sz="4" w:space="0"/>
              <w:bottom w:val="single" w:color="auto" w:sz="4" w:space="0"/>
              <w:right w:val="single" w:color="auto" w:sz="4" w:space="0"/>
            </w:tcBorders>
            <w:vAlign w:val="center"/>
          </w:tcPr>
          <w:p w14:paraId="75200F77">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1325" w:type="dxa"/>
            <w:tcBorders>
              <w:top w:val="single" w:color="auto" w:sz="4" w:space="0"/>
              <w:left w:val="single" w:color="auto" w:sz="4" w:space="0"/>
              <w:bottom w:val="single" w:color="auto" w:sz="4" w:space="0"/>
              <w:right w:val="single" w:color="auto" w:sz="4" w:space="0"/>
            </w:tcBorders>
            <w:vAlign w:val="center"/>
          </w:tcPr>
          <w:p w14:paraId="3FA9DA3A">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分值 </w:t>
            </w:r>
          </w:p>
        </w:tc>
        <w:tc>
          <w:tcPr>
            <w:tcW w:w="6119" w:type="dxa"/>
            <w:tcBorders>
              <w:top w:val="single" w:color="auto" w:sz="4" w:space="0"/>
              <w:left w:val="single" w:color="auto" w:sz="4" w:space="0"/>
              <w:bottom w:val="single" w:color="auto" w:sz="4" w:space="0"/>
              <w:right w:val="single" w:color="auto" w:sz="4" w:space="0"/>
            </w:tcBorders>
            <w:vAlign w:val="center"/>
          </w:tcPr>
          <w:p w14:paraId="49A1FC68">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325A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88" w:type="dxa"/>
            <w:vMerge w:val="restart"/>
            <w:tcBorders>
              <w:left w:val="single" w:color="auto" w:sz="4" w:space="0"/>
              <w:right w:val="single" w:color="auto" w:sz="4" w:space="0"/>
            </w:tcBorders>
            <w:vAlign w:val="center"/>
          </w:tcPr>
          <w:p w14:paraId="76C5B6D2">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商务部分</w:t>
            </w:r>
          </w:p>
        </w:tc>
        <w:tc>
          <w:tcPr>
            <w:tcW w:w="687" w:type="dxa"/>
            <w:tcBorders>
              <w:left w:val="single" w:color="auto" w:sz="4" w:space="0"/>
              <w:right w:val="single" w:color="auto" w:sz="4" w:space="0"/>
            </w:tcBorders>
            <w:vAlign w:val="center"/>
          </w:tcPr>
          <w:p w14:paraId="4E4C30FB">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1</w:t>
            </w:r>
          </w:p>
        </w:tc>
        <w:tc>
          <w:tcPr>
            <w:tcW w:w="1137" w:type="dxa"/>
            <w:tcBorders>
              <w:top w:val="single" w:color="auto" w:sz="4" w:space="0"/>
              <w:left w:val="single" w:color="auto" w:sz="4" w:space="0"/>
              <w:bottom w:val="single" w:color="auto" w:sz="4" w:space="0"/>
              <w:right w:val="single" w:color="auto" w:sz="4" w:space="0"/>
            </w:tcBorders>
            <w:vAlign w:val="center"/>
          </w:tcPr>
          <w:p w14:paraId="45AB3A56">
            <w:pPr>
              <w:pageBreakBefore w:val="0"/>
              <w:wordWrap/>
              <w:overflowPunct/>
              <w:topLinePunct w:val="0"/>
              <w:bidi w:val="0"/>
              <w:spacing w:line="240" w:lineRule="auto"/>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lang w:val="en-US" w:eastAsia="zh-CN"/>
              </w:rPr>
              <w:t>类似业绩</w:t>
            </w:r>
          </w:p>
        </w:tc>
        <w:tc>
          <w:tcPr>
            <w:tcW w:w="1325" w:type="dxa"/>
            <w:tcBorders>
              <w:top w:val="single" w:color="auto" w:sz="4" w:space="0"/>
              <w:left w:val="single" w:color="auto" w:sz="4" w:space="0"/>
              <w:bottom w:val="single" w:color="auto" w:sz="4" w:space="0"/>
              <w:right w:val="single" w:color="auto" w:sz="4" w:space="0"/>
            </w:tcBorders>
            <w:vAlign w:val="center"/>
          </w:tcPr>
          <w:p w14:paraId="3D1FF461">
            <w:pPr>
              <w:pageBreakBefore w:val="0"/>
              <w:wordWrap/>
              <w:overflowPunct/>
              <w:topLinePunct w:val="0"/>
              <w:bidi w:val="0"/>
              <w:spacing w:line="240" w:lineRule="auto"/>
              <w:ind w:left="0" w:leftChars="0" w:right="0" w:rightChars="0"/>
              <w:jc w:val="center"/>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tc>
        <w:tc>
          <w:tcPr>
            <w:tcW w:w="6119" w:type="dxa"/>
            <w:tcBorders>
              <w:top w:val="single" w:color="auto" w:sz="4" w:space="0"/>
              <w:left w:val="single" w:color="auto" w:sz="4" w:space="0"/>
              <w:bottom w:val="single" w:color="auto" w:sz="4" w:space="0"/>
              <w:right w:val="single" w:color="auto" w:sz="4" w:space="0"/>
            </w:tcBorders>
            <w:vAlign w:val="center"/>
          </w:tcPr>
          <w:p w14:paraId="4CC6FF7C">
            <w:pPr>
              <w:pageBreakBefore w:val="0"/>
              <w:wordWrap/>
              <w:overflowPunct/>
              <w:topLinePunct w:val="0"/>
              <w:bidi w:val="0"/>
              <w:spacing w:line="24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投标人近三年内（</w:t>
            </w:r>
            <w:r>
              <w:rPr>
                <w:rFonts w:hint="eastAsia" w:ascii="宋体" w:hAnsi="宋体" w:eastAsia="宋体" w:cs="宋体"/>
                <w:b w:val="0"/>
                <w:bCs/>
                <w:color w:val="auto"/>
                <w:sz w:val="24"/>
                <w:szCs w:val="24"/>
                <w:highlight w:val="none"/>
              </w:rPr>
              <w:t>投标文件上传截止时间前</w:t>
            </w:r>
            <w:r>
              <w:rPr>
                <w:rFonts w:hint="eastAsia" w:ascii="宋体" w:hAnsi="宋体" w:eastAsia="宋体" w:cs="宋体"/>
                <w:b w:val="0"/>
                <w:bCs/>
                <w:color w:val="auto"/>
                <w:sz w:val="24"/>
                <w:szCs w:val="24"/>
                <w:highlight w:val="none"/>
                <w:lang w:val="en-US" w:eastAsia="zh-CN"/>
              </w:rPr>
              <w:t>推算三年</w:t>
            </w:r>
            <w:r>
              <w:rPr>
                <w:rFonts w:hint="eastAsia" w:ascii="宋体" w:hAnsi="宋体" w:eastAsia="宋体" w:cs="宋体"/>
                <w:color w:val="auto"/>
                <w:sz w:val="24"/>
                <w:szCs w:val="24"/>
                <w:highlight w:val="none"/>
              </w:rPr>
              <w:t>，以合同签订日期为准）完成类似项目的业绩，每个项目业绩得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 注：①须提供中标（成交）通知书</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合同（至少包括合同首页、标的页、签字盖章页、采购内容页）</w:t>
            </w:r>
            <w:r>
              <w:rPr>
                <w:rFonts w:hint="eastAsia" w:ascii="宋体" w:hAnsi="宋体" w:eastAsia="宋体" w:cs="宋体"/>
                <w:color w:val="auto"/>
                <w:sz w:val="24"/>
                <w:szCs w:val="24"/>
                <w:highlight w:val="none"/>
                <w:lang w:val="en-US" w:eastAsia="zh-CN"/>
              </w:rPr>
              <w:t>复印件加盖公章</w:t>
            </w:r>
            <w:r>
              <w:rPr>
                <w:rFonts w:hint="eastAsia" w:ascii="宋体" w:hAnsi="宋体" w:eastAsia="宋体" w:cs="宋体"/>
                <w:color w:val="auto"/>
                <w:sz w:val="24"/>
                <w:szCs w:val="24"/>
                <w:highlight w:val="none"/>
              </w:rPr>
              <w:t xml:space="preserve">，未按要求提供不得分； </w:t>
            </w:r>
          </w:p>
        </w:tc>
      </w:tr>
      <w:tr w14:paraId="7D7A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88" w:type="dxa"/>
            <w:vMerge w:val="continue"/>
            <w:tcBorders>
              <w:left w:val="single" w:color="auto" w:sz="4" w:space="0"/>
              <w:right w:val="single" w:color="auto" w:sz="4" w:space="0"/>
            </w:tcBorders>
            <w:vAlign w:val="center"/>
          </w:tcPr>
          <w:p w14:paraId="2AD61888">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p>
        </w:tc>
        <w:tc>
          <w:tcPr>
            <w:tcW w:w="687" w:type="dxa"/>
            <w:tcBorders>
              <w:left w:val="single" w:color="auto" w:sz="4" w:space="0"/>
              <w:right w:val="single" w:color="auto" w:sz="4" w:space="0"/>
            </w:tcBorders>
            <w:vAlign w:val="center"/>
          </w:tcPr>
          <w:p w14:paraId="042A0186">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default"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2</w:t>
            </w:r>
          </w:p>
        </w:tc>
        <w:tc>
          <w:tcPr>
            <w:tcW w:w="1137" w:type="dxa"/>
            <w:tcBorders>
              <w:top w:val="single" w:color="auto" w:sz="4" w:space="0"/>
              <w:left w:val="single" w:color="auto" w:sz="4" w:space="0"/>
              <w:bottom w:val="single" w:color="auto" w:sz="4" w:space="0"/>
              <w:right w:val="single" w:color="auto" w:sz="4" w:space="0"/>
            </w:tcBorders>
            <w:vAlign w:val="center"/>
          </w:tcPr>
          <w:p w14:paraId="32899100">
            <w:pPr>
              <w:pageBreakBefore w:val="0"/>
              <w:wordWrap/>
              <w:overflowPunct/>
              <w:topLinePunct w:val="0"/>
              <w:bidi w:val="0"/>
              <w:spacing w:line="240" w:lineRule="auto"/>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拟配备人员</w:t>
            </w:r>
          </w:p>
        </w:tc>
        <w:tc>
          <w:tcPr>
            <w:tcW w:w="1325" w:type="dxa"/>
            <w:tcBorders>
              <w:top w:val="single" w:color="auto" w:sz="4" w:space="0"/>
              <w:left w:val="single" w:color="auto" w:sz="4" w:space="0"/>
              <w:bottom w:val="single" w:color="auto" w:sz="4" w:space="0"/>
              <w:right w:val="single" w:color="auto" w:sz="4" w:space="0"/>
            </w:tcBorders>
            <w:vAlign w:val="center"/>
          </w:tcPr>
          <w:p w14:paraId="011C14B5">
            <w:pPr>
              <w:pageBreakBefore w:val="0"/>
              <w:wordWrap/>
              <w:overflowPunct/>
              <w:topLinePunct w:val="0"/>
              <w:bidi w:val="0"/>
              <w:spacing w:line="240" w:lineRule="auto"/>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6119" w:type="dxa"/>
            <w:tcBorders>
              <w:top w:val="single" w:color="auto" w:sz="4" w:space="0"/>
              <w:left w:val="single" w:color="auto" w:sz="4" w:space="0"/>
              <w:bottom w:val="single" w:color="auto" w:sz="4" w:space="0"/>
              <w:right w:val="single" w:color="auto" w:sz="4" w:space="0"/>
            </w:tcBorders>
            <w:vAlign w:val="center"/>
          </w:tcPr>
          <w:p w14:paraId="14E769AF">
            <w:pPr>
              <w:pageBreakBefore w:val="0"/>
              <w:wordWrap/>
              <w:overflowPunct/>
              <w:topLinePunct w:val="0"/>
              <w:bidi w:val="0"/>
              <w:spacing w:line="24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投标人提供服务本项目人员至少2人，承担货物的配送、分发工作，提供2人的得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分，不足2人不得分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本项满分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分；须提供人员的身份证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劳动合同复印件</w:t>
            </w:r>
            <w:r>
              <w:rPr>
                <w:rFonts w:hint="eastAsia" w:ascii="宋体" w:hAnsi="宋体" w:eastAsia="宋体" w:cs="宋体"/>
                <w:color w:val="auto"/>
                <w:sz w:val="24"/>
                <w:szCs w:val="24"/>
                <w:highlight w:val="none"/>
              </w:rPr>
              <w:t>加盖公章，未提供或提供不全不得分。</w:t>
            </w:r>
          </w:p>
        </w:tc>
      </w:tr>
      <w:tr w14:paraId="3E2B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88" w:type="dxa"/>
            <w:vMerge w:val="restart"/>
            <w:tcBorders>
              <w:left w:val="single" w:color="auto" w:sz="4" w:space="0"/>
              <w:right w:val="single" w:color="auto" w:sz="4" w:space="0"/>
            </w:tcBorders>
            <w:vAlign w:val="center"/>
          </w:tcPr>
          <w:p w14:paraId="2F308941">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技术部分</w:t>
            </w:r>
          </w:p>
        </w:tc>
        <w:tc>
          <w:tcPr>
            <w:tcW w:w="687" w:type="dxa"/>
            <w:tcBorders>
              <w:left w:val="single" w:color="auto" w:sz="4" w:space="0"/>
              <w:right w:val="single" w:color="auto" w:sz="4" w:space="0"/>
            </w:tcBorders>
            <w:vAlign w:val="center"/>
          </w:tcPr>
          <w:p w14:paraId="64CF919D">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3</w:t>
            </w:r>
          </w:p>
        </w:tc>
        <w:tc>
          <w:tcPr>
            <w:tcW w:w="1137" w:type="dxa"/>
            <w:tcBorders>
              <w:top w:val="single" w:color="auto" w:sz="4" w:space="0"/>
              <w:left w:val="single" w:color="auto" w:sz="4" w:space="0"/>
              <w:bottom w:val="single" w:color="auto" w:sz="4" w:space="0"/>
              <w:right w:val="single" w:color="auto" w:sz="4" w:space="0"/>
            </w:tcBorders>
            <w:vAlign w:val="center"/>
          </w:tcPr>
          <w:p w14:paraId="4E67124F">
            <w:pPr>
              <w:pageBreakBefore w:val="0"/>
              <w:wordWrap/>
              <w:overflowPunct/>
              <w:topLinePunct w:val="0"/>
              <w:bidi w:val="0"/>
              <w:spacing w:line="240" w:lineRule="auto"/>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lang w:val="en-US" w:eastAsia="zh-CN"/>
              </w:rPr>
              <w:t>质量保障及技术参数的符合程度</w:t>
            </w:r>
          </w:p>
        </w:tc>
        <w:tc>
          <w:tcPr>
            <w:tcW w:w="1325" w:type="dxa"/>
            <w:tcBorders>
              <w:top w:val="single" w:color="auto" w:sz="4" w:space="0"/>
              <w:left w:val="single" w:color="auto" w:sz="4" w:space="0"/>
              <w:bottom w:val="single" w:color="auto" w:sz="4" w:space="0"/>
              <w:right w:val="single" w:color="auto" w:sz="4" w:space="0"/>
            </w:tcBorders>
            <w:vAlign w:val="center"/>
          </w:tcPr>
          <w:p w14:paraId="2B897623">
            <w:pPr>
              <w:pageBreakBefore w:val="0"/>
              <w:wordWrap/>
              <w:overflowPunct/>
              <w:topLinePunct w:val="0"/>
              <w:bidi w:val="0"/>
              <w:spacing w:line="240" w:lineRule="auto"/>
              <w:ind w:left="0" w:leftChars="0" w:right="0" w:rightChars="0"/>
              <w:jc w:val="center"/>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10</w:t>
            </w:r>
            <w:r>
              <w:rPr>
                <w:rFonts w:hint="eastAsia" w:ascii="宋体" w:hAnsi="宋体" w:eastAsia="宋体" w:cs="宋体"/>
                <w:color w:val="auto"/>
                <w:spacing w:val="6"/>
                <w:kern w:val="0"/>
                <w:sz w:val="24"/>
                <w:szCs w:val="24"/>
                <w:highlight w:val="none"/>
                <w:lang w:val="en-US" w:eastAsia="zh-CN"/>
              </w:rPr>
              <w:t>分</w:t>
            </w:r>
          </w:p>
        </w:tc>
        <w:tc>
          <w:tcPr>
            <w:tcW w:w="6119" w:type="dxa"/>
            <w:tcBorders>
              <w:top w:val="single" w:color="auto" w:sz="4" w:space="0"/>
              <w:left w:val="single" w:color="auto" w:sz="4" w:space="0"/>
              <w:bottom w:val="single" w:color="auto" w:sz="4" w:space="0"/>
              <w:right w:val="single" w:color="auto" w:sz="4" w:space="0"/>
            </w:tcBorders>
            <w:vAlign w:val="center"/>
          </w:tcPr>
          <w:p w14:paraId="5F30D845">
            <w:pPr>
              <w:pageBreakBefore w:val="0"/>
              <w:wordWrap/>
              <w:overflowPunct/>
              <w:topLinePunct w:val="0"/>
              <w:bidi w:val="0"/>
              <w:spacing w:line="24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投标人在投标过程中应充分考虑用户需求，且是完全满足招标文件技术参数和技术规格要求的产品并按照逐条提供证明材料，并标注证明材料相应页码。</w:t>
            </w:r>
          </w:p>
          <w:p w14:paraId="67344E73">
            <w:pPr>
              <w:bidi w:val="0"/>
              <w:jc w:val="left"/>
              <w:rPr>
                <w:rFonts w:hint="eastAsia" w:ascii="宋体" w:hAnsi="宋体" w:eastAsia="宋体" w:cs="宋体"/>
                <w:color w:val="auto"/>
                <w:sz w:val="24"/>
                <w:szCs w:val="24"/>
              </w:rPr>
            </w:pPr>
            <w:r>
              <w:rPr>
                <w:rFonts w:hint="eastAsia" w:ascii="宋体" w:hAnsi="宋体" w:eastAsia="宋体" w:cs="宋体"/>
                <w:color w:val="auto"/>
                <w:sz w:val="24"/>
                <w:szCs w:val="24"/>
              </w:rPr>
              <w:t>针对招标文件</w:t>
            </w:r>
            <w:r>
              <w:rPr>
                <w:rFonts w:hint="eastAsia" w:ascii="宋体" w:hAnsi="宋体" w:eastAsia="宋体" w:cs="宋体"/>
                <w:color w:val="auto"/>
                <w:sz w:val="24"/>
                <w:szCs w:val="24"/>
                <w:highlight w:val="none"/>
              </w:rPr>
              <w:t>“第四章项目</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”中所有参数</w:t>
            </w:r>
            <w:r>
              <w:rPr>
                <w:rFonts w:hint="eastAsia" w:ascii="宋体" w:hAnsi="宋体" w:eastAsia="宋体" w:cs="宋体"/>
                <w:color w:val="auto"/>
                <w:sz w:val="24"/>
                <w:szCs w:val="24"/>
              </w:rPr>
              <w:t>，满足招标文件要求，全部满足要求得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0分</w:t>
            </w:r>
            <w:r>
              <w:rPr>
                <w:rFonts w:hint="eastAsia" w:ascii="宋体" w:hAnsi="宋体" w:cs="宋体"/>
                <w:color w:val="auto"/>
                <w:sz w:val="24"/>
                <w:szCs w:val="24"/>
                <w:lang w:eastAsia="zh-CN"/>
              </w:rPr>
              <w:t>，</w:t>
            </w:r>
            <w:r>
              <w:rPr>
                <w:rFonts w:hint="eastAsia" w:ascii="宋体" w:hAnsi="宋体" w:eastAsia="宋体" w:cs="宋体"/>
                <w:color w:val="auto"/>
                <w:sz w:val="24"/>
                <w:szCs w:val="24"/>
                <w:highlight w:val="none"/>
                <w:lang w:val="en-US" w:eastAsia="zh-CN"/>
              </w:rPr>
              <w:t>不满足</w:t>
            </w:r>
            <w:r>
              <w:rPr>
                <w:rFonts w:hint="eastAsia" w:ascii="宋体" w:hAnsi="宋体" w:cs="宋体"/>
                <w:color w:val="auto"/>
                <w:sz w:val="24"/>
                <w:szCs w:val="24"/>
                <w:highlight w:val="none"/>
                <w:lang w:val="en-US" w:eastAsia="zh-CN"/>
              </w:rPr>
              <w:t>得0</w:t>
            </w:r>
            <w:r>
              <w:rPr>
                <w:rFonts w:hint="eastAsia" w:ascii="宋体" w:hAnsi="宋体" w:eastAsia="宋体" w:cs="宋体"/>
                <w:color w:val="auto"/>
                <w:sz w:val="24"/>
                <w:szCs w:val="24"/>
                <w:highlight w:val="none"/>
                <w:lang w:val="en-US" w:eastAsia="zh-CN"/>
              </w:rPr>
              <w:t>分。</w:t>
            </w:r>
          </w:p>
          <w:p w14:paraId="63443A1F">
            <w:pPr>
              <w:pageBreakBefore w:val="0"/>
              <w:wordWrap/>
              <w:overflowPunct/>
              <w:topLinePunct w:val="0"/>
              <w:bidi w:val="0"/>
              <w:spacing w:line="24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每项投标人需提供与产品技术参数相关的证明材料（如产品样式及材质清单、认证证书、产品检测报告、鉴定证书、制造商产品彩页、制造商官网截图、制造商技术白皮书、制造商产品说明书、检测报告中的检测结果数据、产品注册证等彩页或彩色实物照片，提供任一项即可），不提供、不清楚不准确提供不全不得分，并在“技术需求偏离表”中注明“响应情况”和“偏离情况”。</w:t>
            </w:r>
          </w:p>
        </w:tc>
      </w:tr>
      <w:tr w14:paraId="596C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588" w:type="dxa"/>
            <w:vMerge w:val="continue"/>
            <w:tcBorders>
              <w:left w:val="single" w:color="auto" w:sz="4" w:space="0"/>
              <w:right w:val="single" w:color="auto" w:sz="4" w:space="0"/>
            </w:tcBorders>
            <w:vAlign w:val="center"/>
          </w:tcPr>
          <w:p w14:paraId="314951AF">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p>
        </w:tc>
        <w:tc>
          <w:tcPr>
            <w:tcW w:w="687" w:type="dxa"/>
            <w:tcBorders>
              <w:left w:val="single" w:color="auto" w:sz="4" w:space="0"/>
              <w:right w:val="single" w:color="auto" w:sz="4" w:space="0"/>
            </w:tcBorders>
            <w:vAlign w:val="center"/>
          </w:tcPr>
          <w:p w14:paraId="066E4257">
            <w:pPr>
              <w:autoSpaceDE w:val="0"/>
              <w:autoSpaceDN w:val="0"/>
              <w:adjustRightInd w:val="0"/>
              <w:spacing w:line="340" w:lineRule="exact"/>
              <w:jc w:val="center"/>
              <w:rPr>
                <w:rFonts w:hint="eastAsia" w:ascii="宋体" w:hAnsi="宋体" w:eastAsia="宋体" w:cs="宋体"/>
                <w:color w:val="auto"/>
                <w:spacing w:val="6"/>
                <w:kern w:val="0"/>
                <w:sz w:val="24"/>
                <w:szCs w:val="24"/>
                <w:highlight w:val="none"/>
                <w:lang w:val="en-US" w:eastAsia="zh-CN"/>
              </w:rPr>
            </w:pPr>
            <w:r>
              <w:rPr>
                <w:rFonts w:hint="eastAsia" w:ascii="宋体" w:hAnsi="宋体" w:cs="宋体"/>
                <w:bCs/>
                <w:color w:val="auto"/>
                <w:sz w:val="24"/>
                <w:szCs w:val="24"/>
                <w:highlight w:val="none"/>
                <w:lang w:val="en-US" w:eastAsia="zh-CN"/>
              </w:rPr>
              <w:t>4</w:t>
            </w:r>
          </w:p>
        </w:tc>
        <w:tc>
          <w:tcPr>
            <w:tcW w:w="1137" w:type="dxa"/>
            <w:tcBorders>
              <w:top w:val="single" w:color="auto" w:sz="4" w:space="0"/>
              <w:left w:val="single" w:color="auto" w:sz="4" w:space="0"/>
              <w:bottom w:val="single" w:color="auto" w:sz="4" w:space="0"/>
              <w:right w:val="single" w:color="auto" w:sz="4" w:space="0"/>
            </w:tcBorders>
            <w:vAlign w:val="center"/>
          </w:tcPr>
          <w:p w14:paraId="091D3D6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实施</w:t>
            </w:r>
            <w:r>
              <w:rPr>
                <w:rFonts w:hint="eastAsia" w:ascii="宋体" w:hAnsi="宋体" w:eastAsia="宋体" w:cs="宋体"/>
                <w:color w:val="auto"/>
                <w:spacing w:val="6"/>
                <w:kern w:val="0"/>
                <w:sz w:val="24"/>
                <w:szCs w:val="24"/>
                <w:highlight w:val="none"/>
                <w:lang w:val="en-US" w:eastAsia="zh-CN"/>
              </w:rPr>
              <w:t>方案</w:t>
            </w:r>
          </w:p>
        </w:tc>
        <w:tc>
          <w:tcPr>
            <w:tcW w:w="1325" w:type="dxa"/>
            <w:tcBorders>
              <w:top w:val="single" w:color="auto" w:sz="4" w:space="0"/>
              <w:left w:val="single" w:color="auto" w:sz="4" w:space="0"/>
              <w:bottom w:val="single" w:color="auto" w:sz="4" w:space="0"/>
              <w:right w:val="single" w:color="auto" w:sz="4" w:space="0"/>
            </w:tcBorders>
            <w:vAlign w:val="center"/>
          </w:tcPr>
          <w:p w14:paraId="11B62CD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14</w:t>
            </w:r>
            <w:r>
              <w:rPr>
                <w:rFonts w:hint="eastAsia" w:ascii="宋体" w:hAnsi="宋体" w:eastAsia="宋体" w:cs="宋体"/>
                <w:color w:val="auto"/>
                <w:spacing w:val="6"/>
                <w:kern w:val="0"/>
                <w:sz w:val="24"/>
                <w:szCs w:val="24"/>
                <w:highlight w:val="none"/>
                <w:lang w:val="en-US" w:eastAsia="zh-CN"/>
              </w:rPr>
              <w:t>分</w:t>
            </w:r>
          </w:p>
        </w:tc>
        <w:tc>
          <w:tcPr>
            <w:tcW w:w="6119" w:type="dxa"/>
            <w:tcBorders>
              <w:top w:val="single" w:color="auto" w:sz="4" w:space="0"/>
              <w:left w:val="single" w:color="auto" w:sz="4" w:space="0"/>
              <w:bottom w:val="single" w:color="auto" w:sz="4" w:space="0"/>
              <w:right w:val="single" w:color="auto" w:sz="4" w:space="0"/>
            </w:tcBorders>
            <w:vAlign w:val="center"/>
          </w:tcPr>
          <w:p w14:paraId="2270ADF4">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left="0" w:leftChars="0"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投标人根据本项目特点，提供项目实施供货方案，包含但不仅限于：①工作流程管理制度、②配送流程、 ③运送制度及车辆通行保障、④安全管理体系、⑤配送人员管理制度、⑥采购管理及出入库管理制度、⑦ 验收方案；</w:t>
            </w:r>
          </w:p>
          <w:p w14:paraId="1E68C652">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left="0" w:lef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以上</w:t>
            </w:r>
            <w:r>
              <w:rPr>
                <w:rFonts w:hint="eastAsia" w:ascii="宋体" w:hAnsi="宋体" w:eastAsia="宋体" w:cs="宋体"/>
                <w:b w:val="0"/>
                <w:bCs w:val="0"/>
                <w:color w:val="auto"/>
                <w:sz w:val="24"/>
                <w:szCs w:val="24"/>
                <w:highlight w:val="none"/>
              </w:rPr>
              <w:t>方案内容完整齐全，</w:t>
            </w:r>
            <w:r>
              <w:rPr>
                <w:rFonts w:hint="eastAsia" w:ascii="宋体" w:hAnsi="宋体" w:eastAsia="宋体" w:cs="宋体"/>
                <w:b w:val="0"/>
                <w:bCs w:val="0"/>
                <w:color w:val="auto"/>
                <w:sz w:val="24"/>
                <w:szCs w:val="24"/>
                <w:highlight w:val="none"/>
                <w:lang w:val="en-US" w:eastAsia="zh-CN"/>
              </w:rPr>
              <w:t>无</w:t>
            </w:r>
            <w:r>
              <w:rPr>
                <w:rFonts w:hint="eastAsia" w:ascii="宋体" w:hAnsi="宋体" w:eastAsia="宋体" w:cs="宋体"/>
                <w:color w:val="auto"/>
                <w:sz w:val="24"/>
                <w:szCs w:val="24"/>
                <w:highlight w:val="none"/>
                <w:lang w:eastAsia="zh-CN"/>
              </w:rPr>
              <w:t>瑕疵</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符合项目实际，</w:t>
            </w:r>
            <w:r>
              <w:rPr>
                <w:rFonts w:hint="eastAsia" w:ascii="宋体" w:hAnsi="宋体" w:eastAsia="宋体" w:cs="宋体"/>
                <w:b w:val="0"/>
                <w:bCs w:val="0"/>
                <w:color w:val="auto"/>
                <w:sz w:val="24"/>
                <w:szCs w:val="24"/>
                <w:highlight w:val="none"/>
                <w:lang w:val="en-US" w:eastAsia="zh-CN"/>
              </w:rPr>
              <w:t>一项</w:t>
            </w:r>
            <w:r>
              <w:rPr>
                <w:rFonts w:hint="eastAsia" w:ascii="宋体" w:hAnsi="宋体" w:eastAsia="宋体" w:cs="宋体"/>
                <w:b w:val="0"/>
                <w:bCs w:val="0"/>
                <w:color w:val="auto"/>
                <w:sz w:val="24"/>
                <w:szCs w:val="24"/>
                <w:highlight w:val="none"/>
              </w:rPr>
              <w:t>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最高得</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b w:val="0"/>
                <w:bCs w:val="0"/>
                <w:color w:val="auto"/>
                <w:sz w:val="24"/>
                <w:szCs w:val="24"/>
                <w:highlight w:val="none"/>
              </w:rPr>
              <w:t>内容存在</w:t>
            </w:r>
            <w:r>
              <w:rPr>
                <w:rFonts w:hint="eastAsia" w:ascii="宋体" w:hAnsi="宋体" w:eastAsia="宋体" w:cs="宋体"/>
                <w:b w:val="0"/>
                <w:bCs w:val="0"/>
                <w:color w:val="auto"/>
                <w:sz w:val="24"/>
                <w:szCs w:val="24"/>
                <w:highlight w:val="none"/>
                <w:lang w:val="en-US" w:eastAsia="zh-CN"/>
              </w:rPr>
              <w:t>缺项、漏项或有</w:t>
            </w:r>
            <w:r>
              <w:rPr>
                <w:rFonts w:hint="eastAsia" w:ascii="宋体" w:hAnsi="宋体" w:eastAsia="宋体" w:cs="宋体"/>
                <w:b w:val="0"/>
                <w:bCs w:val="0"/>
                <w:color w:val="auto"/>
                <w:sz w:val="24"/>
                <w:szCs w:val="24"/>
                <w:highlight w:val="none"/>
              </w:rPr>
              <w:t>缺陷</w:t>
            </w:r>
            <w:r>
              <w:rPr>
                <w:rFonts w:hint="eastAsia" w:ascii="宋体" w:hAnsi="宋体" w:eastAsia="宋体" w:cs="宋体"/>
                <w:b w:val="0"/>
                <w:bCs w:val="0"/>
                <w:color w:val="auto"/>
                <w:sz w:val="24"/>
                <w:szCs w:val="24"/>
                <w:highlight w:val="none"/>
                <w:lang w:val="en-US" w:eastAsia="zh-CN"/>
              </w:rPr>
              <w:t>等瑕疵，一项依次递减1</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扣完为止，</w:t>
            </w:r>
            <w:r>
              <w:rPr>
                <w:rFonts w:hint="eastAsia" w:ascii="宋体" w:hAnsi="宋体" w:eastAsia="宋体" w:cs="宋体"/>
                <w:b w:val="0"/>
                <w:bCs w:val="0"/>
                <w:color w:val="auto"/>
                <w:sz w:val="24"/>
                <w:szCs w:val="24"/>
                <w:highlight w:val="none"/>
              </w:rPr>
              <w:t>未提供不得分。</w:t>
            </w:r>
          </w:p>
          <w:p w14:paraId="1E7EE32B">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left="0" w:leftChars="0"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lang w:eastAsia="zh-CN"/>
              </w:rPr>
              <w:t>本项目称“瑕疵”是指内容缺项、不完整或缺少关键点；非专门针对本项目或不适用本项目特征、套用其他项目内容，同一问题前后前述不一致矛盾；存在逻辑漏洞、科学原理或常识错误；不利于本项目目标的实现、现有技术条件下不可能出现的情形等任意一种情形。</w:t>
            </w:r>
          </w:p>
        </w:tc>
      </w:tr>
      <w:tr w14:paraId="6561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tcBorders>
              <w:left w:val="single" w:color="auto" w:sz="4" w:space="0"/>
              <w:right w:val="single" w:color="auto" w:sz="4" w:space="0"/>
            </w:tcBorders>
            <w:vAlign w:val="center"/>
          </w:tcPr>
          <w:p w14:paraId="6572CF5E">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p>
        </w:tc>
        <w:tc>
          <w:tcPr>
            <w:tcW w:w="687" w:type="dxa"/>
            <w:tcBorders>
              <w:left w:val="single" w:color="auto" w:sz="4" w:space="0"/>
              <w:right w:val="single" w:color="auto" w:sz="4" w:space="0"/>
            </w:tcBorders>
            <w:vAlign w:val="center"/>
          </w:tcPr>
          <w:p w14:paraId="7C59392A">
            <w:pPr>
              <w:autoSpaceDE w:val="0"/>
              <w:autoSpaceDN w:val="0"/>
              <w:adjustRightInd w:val="0"/>
              <w:spacing w:line="34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p>
        </w:tc>
        <w:tc>
          <w:tcPr>
            <w:tcW w:w="1137" w:type="dxa"/>
            <w:tcBorders>
              <w:top w:val="single" w:color="auto" w:sz="4" w:space="0"/>
              <w:left w:val="single" w:color="auto" w:sz="4" w:space="0"/>
              <w:bottom w:val="single" w:color="auto" w:sz="4" w:space="0"/>
              <w:right w:val="single" w:color="auto" w:sz="4" w:space="0"/>
            </w:tcBorders>
            <w:vAlign w:val="center"/>
          </w:tcPr>
          <w:p w14:paraId="7350D9F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质量保障措施</w:t>
            </w:r>
          </w:p>
        </w:tc>
        <w:tc>
          <w:tcPr>
            <w:tcW w:w="1325" w:type="dxa"/>
            <w:tcBorders>
              <w:top w:val="single" w:color="auto" w:sz="4" w:space="0"/>
              <w:left w:val="single" w:color="auto" w:sz="4" w:space="0"/>
              <w:bottom w:val="single" w:color="auto" w:sz="4" w:space="0"/>
              <w:right w:val="single" w:color="auto" w:sz="4" w:space="0"/>
            </w:tcBorders>
            <w:vAlign w:val="center"/>
          </w:tcPr>
          <w:p w14:paraId="0731729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14分</w:t>
            </w:r>
          </w:p>
        </w:tc>
        <w:tc>
          <w:tcPr>
            <w:tcW w:w="6119" w:type="dxa"/>
            <w:tcBorders>
              <w:top w:val="single" w:color="auto" w:sz="4" w:space="0"/>
              <w:left w:val="single" w:color="auto" w:sz="4" w:space="0"/>
              <w:bottom w:val="single" w:color="auto" w:sz="4" w:space="0"/>
              <w:right w:val="single" w:color="auto" w:sz="4" w:space="0"/>
            </w:tcBorders>
            <w:vAlign w:val="center"/>
          </w:tcPr>
          <w:p w14:paraId="4E8BFF2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投标人根据本项目需求提供详细的质量保障措施，内容包含但不限于：①进货渠道及货源品质保障、备货、货物质量检查、②货物包装、防护保障、③内部质量监督管理、④临时存放产品质量保证、 ⑤配送途中货物质量保证、⑥质量保证期限内的服务方案、⑦紧急情况下的应急保障措施等；</w:t>
            </w:r>
          </w:p>
          <w:p w14:paraId="6962741E">
            <w:pPr>
              <w:pStyle w:val="4"/>
              <w:numPr>
                <w:ilvl w:val="2"/>
                <w:numId w:val="0"/>
              </w:numPr>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以上方案内容完整齐全，无瑕疵，符合项目实际，一项得2分，最高得14分。内容存在缺项、漏项或有缺陷等瑕疵，一项依次递减1分，扣完为止，未提供不得分。</w:t>
            </w:r>
          </w:p>
          <w:p w14:paraId="7DC1AF1D">
            <w:pPr>
              <w:pStyle w:val="4"/>
              <w:numPr>
                <w:ilvl w:val="2"/>
                <w:numId w:val="0"/>
              </w:numPr>
              <w:rPr>
                <w:rFonts w:hint="eastAsia"/>
                <w:lang w:val="en-US" w:eastAsia="zh-CN"/>
              </w:rPr>
            </w:pPr>
            <w:r>
              <w:rPr>
                <w:rFonts w:hint="eastAsia" w:ascii="宋体" w:hAnsi="宋体" w:eastAsia="宋体" w:cs="宋体"/>
                <w:bCs w:val="0"/>
                <w:color w:val="auto"/>
                <w:kern w:val="2"/>
                <w:sz w:val="24"/>
                <w:szCs w:val="24"/>
                <w:highlight w:val="none"/>
                <w:lang w:val="en-US" w:eastAsia="zh-CN" w:bidi="ar-SA"/>
              </w:rPr>
              <w:t>备注：本项目称“瑕疵”是指内容缺项、不完整或缺少关键点；非专门针对本项目或不适用本项目特征、套用其他项目内容，同一问题前后前述不一致矛盾；存在逻辑漏洞、科学原理或常识错误；不利于本项目目标的实现、现有技术条件下不可能出现的情形等任意一种情形。</w:t>
            </w:r>
          </w:p>
        </w:tc>
      </w:tr>
      <w:tr w14:paraId="172B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tcBorders>
              <w:left w:val="single" w:color="auto" w:sz="4" w:space="0"/>
              <w:right w:val="single" w:color="auto" w:sz="4" w:space="0"/>
            </w:tcBorders>
            <w:vAlign w:val="center"/>
          </w:tcPr>
          <w:p w14:paraId="77DBED0E">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p>
        </w:tc>
        <w:tc>
          <w:tcPr>
            <w:tcW w:w="687" w:type="dxa"/>
            <w:tcBorders>
              <w:left w:val="single" w:color="auto" w:sz="4" w:space="0"/>
              <w:right w:val="single" w:color="auto" w:sz="4" w:space="0"/>
            </w:tcBorders>
            <w:vAlign w:val="center"/>
          </w:tcPr>
          <w:p w14:paraId="16C5E8D2">
            <w:pPr>
              <w:autoSpaceDE w:val="0"/>
              <w:autoSpaceDN w:val="0"/>
              <w:adjustRightInd w:val="0"/>
              <w:spacing w:line="340" w:lineRule="exact"/>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p>
        </w:tc>
        <w:tc>
          <w:tcPr>
            <w:tcW w:w="1137" w:type="dxa"/>
            <w:tcBorders>
              <w:top w:val="single" w:color="auto" w:sz="4" w:space="0"/>
              <w:left w:val="single" w:color="auto" w:sz="4" w:space="0"/>
              <w:bottom w:val="single" w:color="auto" w:sz="4" w:space="0"/>
              <w:right w:val="single" w:color="auto" w:sz="4" w:space="0"/>
            </w:tcBorders>
            <w:vAlign w:val="center"/>
          </w:tcPr>
          <w:p w14:paraId="2240774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售后</w:t>
            </w:r>
            <w:r>
              <w:rPr>
                <w:rFonts w:hint="eastAsia" w:ascii="宋体" w:hAnsi="宋体" w:cs="宋体"/>
                <w:color w:val="auto"/>
                <w:spacing w:val="6"/>
                <w:kern w:val="0"/>
                <w:sz w:val="24"/>
                <w:szCs w:val="24"/>
                <w:highlight w:val="none"/>
                <w:lang w:val="en-US" w:eastAsia="zh-CN"/>
              </w:rPr>
              <w:t>承诺</w:t>
            </w:r>
          </w:p>
        </w:tc>
        <w:tc>
          <w:tcPr>
            <w:tcW w:w="1325" w:type="dxa"/>
            <w:tcBorders>
              <w:top w:val="single" w:color="auto" w:sz="4" w:space="0"/>
              <w:left w:val="single" w:color="auto" w:sz="4" w:space="0"/>
              <w:bottom w:val="single" w:color="auto" w:sz="4" w:space="0"/>
              <w:right w:val="single" w:color="auto" w:sz="4" w:space="0"/>
            </w:tcBorders>
            <w:vAlign w:val="center"/>
          </w:tcPr>
          <w:p w14:paraId="4C6EA5B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2</w:t>
            </w:r>
            <w:r>
              <w:rPr>
                <w:rFonts w:hint="eastAsia" w:ascii="宋体" w:hAnsi="宋体" w:eastAsia="宋体" w:cs="宋体"/>
                <w:color w:val="auto"/>
                <w:spacing w:val="6"/>
                <w:kern w:val="0"/>
                <w:sz w:val="24"/>
                <w:szCs w:val="24"/>
                <w:highlight w:val="none"/>
                <w:lang w:val="en-US" w:eastAsia="zh-CN"/>
              </w:rPr>
              <w:t>分</w:t>
            </w:r>
          </w:p>
        </w:tc>
        <w:tc>
          <w:tcPr>
            <w:tcW w:w="6119" w:type="dxa"/>
            <w:tcBorders>
              <w:top w:val="single" w:color="auto" w:sz="4" w:space="0"/>
              <w:left w:val="single" w:color="auto" w:sz="4" w:space="0"/>
              <w:bottom w:val="single" w:color="auto" w:sz="4" w:space="0"/>
              <w:right w:val="single" w:color="auto" w:sz="4" w:space="0"/>
            </w:tcBorders>
            <w:vAlign w:val="center"/>
          </w:tcPr>
          <w:p w14:paraId="29076B51">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投标人提供售后服务响应</w:t>
            </w:r>
            <w:r>
              <w:rPr>
                <w:rFonts w:hint="eastAsia" w:ascii="宋体" w:hAnsi="宋体" w:cs="宋体"/>
                <w:color w:val="auto"/>
                <w:sz w:val="24"/>
                <w:szCs w:val="24"/>
                <w:highlight w:val="none"/>
                <w:lang w:val="en-US" w:eastAsia="zh-CN"/>
              </w:rPr>
              <w:t>承诺、</w:t>
            </w:r>
            <w:r>
              <w:rPr>
                <w:rFonts w:hint="eastAsia" w:ascii="宋体" w:hAnsi="宋体" w:eastAsia="宋体" w:cs="宋体"/>
                <w:color w:val="auto"/>
                <w:sz w:val="24"/>
                <w:szCs w:val="24"/>
                <w:highlight w:val="none"/>
                <w:lang w:val="en-US" w:eastAsia="zh-CN"/>
              </w:rPr>
              <w:t>退换货</w:t>
            </w:r>
            <w:r>
              <w:rPr>
                <w:rFonts w:hint="eastAsia" w:ascii="宋体" w:hAnsi="宋体" w:cs="宋体"/>
                <w:color w:val="auto"/>
                <w:sz w:val="24"/>
                <w:szCs w:val="24"/>
                <w:highlight w:val="none"/>
                <w:lang w:val="en-US" w:eastAsia="zh-CN"/>
              </w:rPr>
              <w:t>承诺得2分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未提供不得分。</w:t>
            </w:r>
          </w:p>
        </w:tc>
      </w:tr>
    </w:tbl>
    <w:p w14:paraId="28CA0E19">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报价部分评</w:t>
      </w:r>
      <w:r>
        <w:rPr>
          <w:rFonts w:hint="eastAsia" w:ascii="宋体" w:hAnsi="宋体" w:eastAsia="宋体" w:cs="宋体"/>
          <w:b/>
          <w:bCs/>
          <w:color w:val="auto"/>
          <w:sz w:val="24"/>
          <w:szCs w:val="24"/>
          <w:highlight w:val="none"/>
          <w:lang w:val="zh-CN"/>
        </w:rPr>
        <w:t>审</w:t>
      </w:r>
      <w:r>
        <w:rPr>
          <w:rFonts w:hint="eastAsia" w:ascii="宋体" w:hAnsi="宋体" w:eastAsia="宋体" w:cs="宋体"/>
          <w:b/>
          <w:bCs/>
          <w:color w:val="auto"/>
          <w:sz w:val="24"/>
          <w:szCs w:val="24"/>
          <w:highlight w:val="none"/>
        </w:rPr>
        <w:t>标准（30分）</w:t>
      </w:r>
    </w:p>
    <w:tbl>
      <w:tblPr>
        <w:tblStyle w:val="34"/>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139"/>
        <w:gridCol w:w="6380"/>
      </w:tblGrid>
      <w:tr w14:paraId="29C6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0" w:type="dxa"/>
            <w:vAlign w:val="center"/>
          </w:tcPr>
          <w:p w14:paraId="070807D4">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139" w:type="dxa"/>
            <w:vAlign w:val="center"/>
          </w:tcPr>
          <w:p w14:paraId="4D56B92A">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评标项目</w:t>
            </w:r>
          </w:p>
        </w:tc>
        <w:tc>
          <w:tcPr>
            <w:tcW w:w="6380" w:type="dxa"/>
            <w:vAlign w:val="center"/>
          </w:tcPr>
          <w:p w14:paraId="12BC55A1">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评分标准</w:t>
            </w:r>
          </w:p>
        </w:tc>
      </w:tr>
      <w:tr w14:paraId="4E12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740" w:type="dxa"/>
            <w:vAlign w:val="center"/>
          </w:tcPr>
          <w:p w14:paraId="15CC440B">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1139" w:type="dxa"/>
            <w:vAlign w:val="center"/>
          </w:tcPr>
          <w:p w14:paraId="63272995">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w:t>
            </w:r>
          </w:p>
        </w:tc>
        <w:tc>
          <w:tcPr>
            <w:tcW w:w="6380" w:type="dxa"/>
            <w:vAlign w:val="center"/>
          </w:tcPr>
          <w:p w14:paraId="1F3A0E19">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满足</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zh-CN"/>
              </w:rPr>
              <w:t>文件要求且</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报价最低的</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的价格为</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zh-CN"/>
              </w:rPr>
              <w:t>基准价，其价格分为满分，项目评标过程中，不得去掉</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报价中的最高报价和最低报价。</w:t>
            </w:r>
          </w:p>
          <w:p w14:paraId="7824693E">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auto"/>
                <w:lang w:val="zh-CN"/>
              </w:rPr>
              <w:t>投标报价得分=（评标基准价/投标报价）×</w:t>
            </w:r>
            <w:r>
              <w:rPr>
                <w:rFonts w:hint="eastAsia" w:ascii="宋体" w:hAnsi="宋体" w:eastAsia="宋体" w:cs="宋体"/>
                <w:color w:val="auto"/>
                <w:sz w:val="24"/>
                <w:szCs w:val="24"/>
                <w:highlight w:val="none"/>
                <w:shd w:val="clear" w:color="auto" w:fill="auto"/>
              </w:rPr>
              <w:t>30</w:t>
            </w:r>
          </w:p>
        </w:tc>
      </w:tr>
      <w:tr w14:paraId="3714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1" w:hRule="atLeast"/>
          <w:jc w:val="center"/>
        </w:trPr>
        <w:tc>
          <w:tcPr>
            <w:tcW w:w="740" w:type="dxa"/>
            <w:vMerge w:val="restart"/>
            <w:vAlign w:val="center"/>
          </w:tcPr>
          <w:p w14:paraId="2637D72B">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政府采购政策</w:t>
            </w:r>
            <w:r>
              <w:rPr>
                <w:rFonts w:hint="eastAsia" w:ascii="宋体" w:hAnsi="宋体" w:eastAsia="宋体" w:cs="宋体"/>
                <w:color w:val="auto"/>
                <w:sz w:val="24"/>
                <w:szCs w:val="24"/>
                <w:highlight w:val="none"/>
                <w:lang w:val="en-US" w:eastAsia="zh-CN"/>
              </w:rPr>
              <w:t>说明</w:t>
            </w:r>
          </w:p>
        </w:tc>
        <w:tc>
          <w:tcPr>
            <w:tcW w:w="1139" w:type="dxa"/>
            <w:vMerge w:val="restart"/>
            <w:vAlign w:val="center"/>
          </w:tcPr>
          <w:p w14:paraId="4F9878E1">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6380" w:type="dxa"/>
            <w:vAlign w:val="center"/>
          </w:tcPr>
          <w:p w14:paraId="77B9F291">
            <w:pPr>
              <w:keepNext w:val="0"/>
              <w:keepLines w:val="0"/>
              <w:pageBreakBefore w:val="0"/>
              <w:widowControl w:val="0"/>
              <w:kinsoku/>
              <w:wordWrap/>
              <w:overflowPunct/>
              <w:topLinePunct w:val="0"/>
              <w:bidi w:val="0"/>
              <w:snapToGrid/>
              <w:spacing w:line="560" w:lineRule="exact"/>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根据工信部等部委发布的《关于印发中小企业划型标准规定的通知》（工信部联企业</w:t>
            </w:r>
            <w:r>
              <w:rPr>
                <w:rFonts w:hint="eastAsia" w:ascii="宋体" w:hAnsi="宋体" w:eastAsia="宋体" w:cs="宋体"/>
                <w:bCs/>
                <w:color w:val="auto"/>
                <w:sz w:val="24"/>
                <w:szCs w:val="24"/>
                <w:highlight w:val="none"/>
              </w:rPr>
              <w:t>〔2011〕300</w:t>
            </w:r>
            <w:r>
              <w:rPr>
                <w:rFonts w:hint="eastAsia" w:ascii="宋体" w:hAnsi="宋体" w:eastAsia="宋体" w:cs="宋体"/>
                <w:color w:val="auto"/>
                <w:sz w:val="24"/>
                <w:szCs w:val="24"/>
                <w:highlight w:val="none"/>
              </w:rPr>
              <w:t>号），按照本次</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的所属行业的划型标准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招标文件载明的行业）</w:t>
            </w:r>
            <w:r>
              <w:rPr>
                <w:rFonts w:hint="eastAsia" w:ascii="宋体" w:hAnsi="宋体" w:eastAsia="宋体" w:cs="宋体"/>
                <w:color w:val="auto"/>
                <w:sz w:val="24"/>
                <w:szCs w:val="24"/>
                <w:highlight w:val="none"/>
              </w:rPr>
              <w:t>，符合条件的中小企业须提供</w:t>
            </w:r>
            <w:r>
              <w:rPr>
                <w:rFonts w:hint="eastAsia" w:ascii="宋体" w:hAnsi="宋体" w:eastAsia="宋体" w:cs="宋体"/>
                <w:color w:val="auto"/>
                <w:sz w:val="24"/>
                <w:szCs w:val="24"/>
                <w:highlight w:val="none"/>
                <w:lang w:val="en-US" w:eastAsia="zh-CN"/>
              </w:rPr>
              <w:t>招标文件提供格式的</w:t>
            </w:r>
            <w:r>
              <w:rPr>
                <w:rFonts w:hint="eastAsia" w:ascii="宋体" w:hAnsi="宋体" w:eastAsia="宋体" w:cs="宋体"/>
                <w:color w:val="auto"/>
                <w:sz w:val="24"/>
                <w:szCs w:val="24"/>
                <w:highlight w:val="none"/>
              </w:rPr>
              <w:t>《中小企业声明函》。投标人应当对其出具的《中小企业声明函》真实性负责，投标人出具的《中小企业声明函》内容不实的，属于提供虚假材料谋取中标，依照《中华人民共和国政府采购法》等国家有关规定追究相应责任。</w:t>
            </w:r>
          </w:p>
        </w:tc>
      </w:tr>
      <w:tr w14:paraId="14C7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740" w:type="dxa"/>
            <w:vMerge w:val="continue"/>
            <w:vAlign w:val="center"/>
          </w:tcPr>
          <w:p w14:paraId="28DC4800">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p>
        </w:tc>
        <w:tc>
          <w:tcPr>
            <w:tcW w:w="1139" w:type="dxa"/>
            <w:vMerge w:val="continue"/>
            <w:vAlign w:val="center"/>
          </w:tcPr>
          <w:p w14:paraId="10584F9A">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p>
        </w:tc>
        <w:tc>
          <w:tcPr>
            <w:tcW w:w="6380" w:type="dxa"/>
            <w:vAlign w:val="center"/>
          </w:tcPr>
          <w:p w14:paraId="36EE614E">
            <w:pPr>
              <w:keepNext w:val="0"/>
              <w:keepLines w:val="0"/>
              <w:pageBreakBefore w:val="0"/>
              <w:widowControl w:val="0"/>
              <w:kinsoku/>
              <w:wordWrap/>
              <w:overflowPunct/>
              <w:topLinePunct w:val="0"/>
              <w:bidi w:val="0"/>
              <w:snapToGrid/>
              <w:spacing w:line="56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货物服务采购项目给予小微企业的价格扣除优惠，</w:t>
            </w: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《关于进一步加大政府采购支持中小企业力度的通知》（财库〔2022〕19号）文件规定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小微企业报价给予10%</w:t>
            </w:r>
            <w:r>
              <w:rPr>
                <w:rFonts w:hint="eastAsia" w:ascii="宋体" w:hAnsi="宋体" w:eastAsia="宋体" w:cs="宋体"/>
                <w:color w:val="auto"/>
                <w:sz w:val="24"/>
                <w:szCs w:val="24"/>
                <w:highlight w:val="none"/>
                <w:lang w:val="en-US" w:eastAsia="zh-CN"/>
              </w:rPr>
              <w:t>的扣除优惠</w:t>
            </w:r>
            <w:r>
              <w:rPr>
                <w:rFonts w:hint="eastAsia" w:ascii="宋体" w:hAnsi="宋体" w:eastAsia="宋体" w:cs="宋体"/>
                <w:color w:val="auto"/>
                <w:sz w:val="24"/>
                <w:szCs w:val="24"/>
                <w:highlight w:val="none"/>
              </w:rPr>
              <w:t>。</w:t>
            </w:r>
          </w:p>
        </w:tc>
      </w:tr>
      <w:tr w14:paraId="1474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740" w:type="dxa"/>
            <w:vMerge w:val="continue"/>
            <w:vAlign w:val="center"/>
          </w:tcPr>
          <w:p w14:paraId="3E8A234E">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p>
        </w:tc>
        <w:tc>
          <w:tcPr>
            <w:tcW w:w="1139" w:type="dxa"/>
            <w:vAlign w:val="center"/>
          </w:tcPr>
          <w:p w14:paraId="032A28FE">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tc>
        <w:tc>
          <w:tcPr>
            <w:tcW w:w="6380" w:type="dxa"/>
            <w:vAlign w:val="center"/>
          </w:tcPr>
          <w:p w14:paraId="4AACDA17">
            <w:pPr>
              <w:keepNext w:val="0"/>
              <w:keepLines w:val="0"/>
              <w:pageBreakBefore w:val="0"/>
              <w:widowControl w:val="0"/>
              <w:kinsoku/>
              <w:wordWrap/>
              <w:overflowPunct/>
              <w:topLinePunct w:val="0"/>
              <w:bidi w:val="0"/>
              <w:snapToGrid/>
              <w:spacing w:line="560" w:lineRule="exact"/>
              <w:ind w:left="0" w:leftChars="0"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根据财库〔2014〕68号《财政部司法部关于政府采购支持监狱企业发展有关问题的通知》，能够</w:t>
            </w:r>
            <w:r>
              <w:rPr>
                <w:rFonts w:hint="eastAsia" w:ascii="宋体" w:hAnsi="宋体" w:eastAsia="宋体" w:cs="宋体"/>
                <w:color w:val="auto"/>
                <w:sz w:val="24"/>
                <w:szCs w:val="24"/>
                <w:highlight w:val="none"/>
              </w:rPr>
              <w:t>提供由省级以上监狱管理局、戒毒管理局（含新疆生产建设兵团）出具的“属于监狱企业的证明文件”的监狱企业，</w:t>
            </w:r>
            <w:r>
              <w:rPr>
                <w:rFonts w:hint="eastAsia" w:ascii="宋体" w:hAnsi="宋体" w:eastAsia="宋体" w:cs="宋体"/>
                <w:bCs/>
                <w:color w:val="auto"/>
                <w:sz w:val="24"/>
                <w:szCs w:val="24"/>
                <w:highlight w:val="none"/>
              </w:rPr>
              <w:t>视同</w:t>
            </w:r>
            <w:r>
              <w:rPr>
                <w:rFonts w:hint="eastAsia" w:ascii="宋体" w:hAnsi="宋体" w:eastAsia="宋体" w:cs="宋体"/>
                <w:color w:val="auto"/>
                <w:sz w:val="24"/>
                <w:szCs w:val="24"/>
                <w:highlight w:val="none"/>
              </w:rPr>
              <w:t>中小企业</w:t>
            </w:r>
            <w:r>
              <w:rPr>
                <w:rFonts w:hint="eastAsia" w:ascii="宋体" w:hAnsi="宋体" w:eastAsia="宋体" w:cs="宋体"/>
                <w:color w:val="auto"/>
                <w:sz w:val="24"/>
                <w:szCs w:val="24"/>
                <w:highlight w:val="none"/>
                <w:lang w:eastAsia="zh-CN"/>
              </w:rPr>
              <w:t>。</w:t>
            </w:r>
          </w:p>
        </w:tc>
      </w:tr>
      <w:tr w14:paraId="0C88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740" w:type="dxa"/>
            <w:vMerge w:val="continue"/>
            <w:vAlign w:val="center"/>
          </w:tcPr>
          <w:p w14:paraId="3A200AE8">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p>
        </w:tc>
        <w:tc>
          <w:tcPr>
            <w:tcW w:w="1139" w:type="dxa"/>
            <w:vAlign w:val="center"/>
          </w:tcPr>
          <w:p w14:paraId="785BB405">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福利企业</w:t>
            </w:r>
          </w:p>
        </w:tc>
        <w:tc>
          <w:tcPr>
            <w:tcW w:w="6380" w:type="dxa"/>
            <w:vAlign w:val="center"/>
          </w:tcPr>
          <w:p w14:paraId="59C99E8B">
            <w:pPr>
              <w:keepNext w:val="0"/>
              <w:keepLines w:val="0"/>
              <w:pageBreakBefore w:val="0"/>
              <w:widowControl w:val="0"/>
              <w:kinsoku/>
              <w:wordWrap/>
              <w:overflowPunct/>
              <w:topLinePunct w:val="0"/>
              <w:bidi w:val="0"/>
              <w:snapToGrid/>
              <w:spacing w:line="56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4"/>
                <w:szCs w:val="24"/>
                <w:highlight w:val="none"/>
              </w:rPr>
              <w:t>自拟格式的</w:t>
            </w:r>
            <w:r>
              <w:rPr>
                <w:rFonts w:hint="eastAsia" w:ascii="宋体" w:hAnsi="宋体" w:eastAsia="宋体" w:cs="宋体"/>
                <w:bCs/>
                <w:color w:val="auto"/>
                <w:sz w:val="24"/>
                <w:szCs w:val="24"/>
                <w:highlight w:val="none"/>
              </w:rPr>
              <w:t>《残疾人福利性单位声明函》的残疾人福利性单位，视同</w:t>
            </w:r>
            <w:r>
              <w:rPr>
                <w:rFonts w:hint="eastAsia" w:ascii="宋体" w:hAnsi="宋体" w:eastAsia="宋体" w:cs="宋体"/>
                <w:color w:val="auto"/>
                <w:sz w:val="24"/>
                <w:szCs w:val="24"/>
                <w:highlight w:val="none"/>
              </w:rPr>
              <w:t>中小企业</w:t>
            </w:r>
            <w:r>
              <w:rPr>
                <w:rFonts w:hint="eastAsia" w:ascii="宋体" w:hAnsi="宋体" w:eastAsia="宋体" w:cs="宋体"/>
                <w:bCs/>
                <w:color w:val="auto"/>
                <w:sz w:val="24"/>
                <w:szCs w:val="24"/>
                <w:highlight w:val="none"/>
              </w:rPr>
              <w:t>。</w:t>
            </w:r>
          </w:p>
        </w:tc>
      </w:tr>
      <w:tr w14:paraId="77F6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1" w:hRule="atLeast"/>
          <w:jc w:val="center"/>
        </w:trPr>
        <w:tc>
          <w:tcPr>
            <w:tcW w:w="740" w:type="dxa"/>
            <w:vMerge w:val="continue"/>
            <w:vAlign w:val="center"/>
          </w:tcPr>
          <w:p w14:paraId="1D8C331E">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rPr>
            </w:pPr>
          </w:p>
        </w:tc>
        <w:tc>
          <w:tcPr>
            <w:tcW w:w="1139" w:type="dxa"/>
            <w:vAlign w:val="center"/>
          </w:tcPr>
          <w:p w14:paraId="1D2359C3">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特别说明</w:t>
            </w:r>
          </w:p>
        </w:tc>
        <w:tc>
          <w:tcPr>
            <w:tcW w:w="6380" w:type="dxa"/>
            <w:vAlign w:val="center"/>
          </w:tcPr>
          <w:p w14:paraId="12045E8C">
            <w:pPr>
              <w:keepNext w:val="0"/>
              <w:keepLines w:val="0"/>
              <w:pageBreakBefore w:val="0"/>
              <w:widowControl w:val="0"/>
              <w:numPr>
                <w:ilvl w:val="0"/>
                <w:numId w:val="0"/>
              </w:numPr>
              <w:kinsoku/>
              <w:wordWrap/>
              <w:overflowPunct/>
              <w:topLinePunct w:val="0"/>
              <w:bidi w:val="0"/>
              <w:snapToGrid/>
              <w:spacing w:line="560" w:lineRule="exact"/>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sz w:val="24"/>
                <w:szCs w:val="24"/>
                <w:highlight w:val="none"/>
              </w:rPr>
              <w:t>按照《政府采购促进中小企业发展管理办法》（财库〔2020〕46号，以下称《办法》）规定，在货物采购项目中，货物由中小企业制造（货物由中小企业生产且使用该中小企业商号或者注册商标）的，可享受中小企业扶持政策。如果一个采购项目或采购包含有多个采购标的的，则每个采购标的均应由中小企业制造。采购项目或者采购包中，大型企业提供的所有采购标的均为小微企业制造的，可享受价格评审优惠政策。</w:t>
            </w:r>
          </w:p>
          <w:p w14:paraId="7D1FE1A9">
            <w:pPr>
              <w:keepNext w:val="0"/>
              <w:keepLines w:val="0"/>
              <w:pageBreakBefore w:val="0"/>
              <w:widowControl w:val="0"/>
              <w:numPr>
                <w:ilvl w:val="0"/>
                <w:numId w:val="0"/>
              </w:numPr>
              <w:kinsoku/>
              <w:wordWrap/>
              <w:overflowPunct/>
              <w:topLinePunct w:val="0"/>
              <w:bidi w:val="0"/>
              <w:snapToGrid/>
              <w:spacing w:line="560" w:lineRule="exact"/>
              <w:ind w:left="0" w:leftChars="0" w:right="0" w:right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bCs/>
                <w:color w:val="auto"/>
                <w:sz w:val="24"/>
                <w:szCs w:val="24"/>
                <w:highlight w:val="none"/>
                <w:lang w:eastAsia="zh-CN"/>
              </w:rPr>
              <w:t>在货物采购项目中，</w:t>
            </w:r>
            <w:r>
              <w:rPr>
                <w:rFonts w:hint="eastAsia" w:ascii="宋体" w:hAnsi="宋体" w:cs="宋体"/>
                <w:bCs/>
                <w:color w:val="auto"/>
                <w:sz w:val="24"/>
                <w:szCs w:val="24"/>
                <w:highlight w:val="none"/>
                <w:lang w:eastAsia="zh-CN"/>
              </w:rPr>
              <w:t>投标人</w:t>
            </w:r>
            <w:r>
              <w:rPr>
                <w:rFonts w:hint="eastAsia" w:ascii="宋体" w:hAnsi="宋体" w:eastAsia="宋体" w:cs="宋体"/>
                <w:bCs/>
                <w:color w:val="auto"/>
                <w:sz w:val="24"/>
                <w:szCs w:val="24"/>
                <w:highlight w:val="none"/>
                <w:lang w:eastAsia="zh-CN"/>
              </w:rPr>
              <w:t>提供的货物既有中型企业制造，也有小微企业制造的，不享受</w:t>
            </w:r>
            <w:r>
              <w:rPr>
                <w:rFonts w:hint="eastAsia" w:ascii="宋体" w:hAnsi="宋体" w:eastAsia="宋体" w:cs="宋体"/>
                <w:bCs/>
                <w:color w:val="auto"/>
                <w:sz w:val="24"/>
                <w:szCs w:val="24"/>
                <w:highlight w:val="none"/>
              </w:rPr>
              <w:t>《政府采购促进中小企业发展管理办法》（财库〔2020〕46号</w:t>
            </w:r>
            <w:r>
              <w:rPr>
                <w:rFonts w:hint="eastAsia" w:ascii="宋体" w:hAnsi="宋体" w:eastAsia="宋体" w:cs="宋体"/>
                <w:bCs/>
                <w:color w:val="auto"/>
                <w:sz w:val="24"/>
                <w:szCs w:val="24"/>
                <w:highlight w:val="none"/>
                <w:lang w:eastAsia="zh-CN"/>
              </w:rPr>
              <w:t>）规定的小微企业扶持政策。</w:t>
            </w:r>
          </w:p>
        </w:tc>
      </w:tr>
    </w:tbl>
    <w:p w14:paraId="3CE95590">
      <w:pPr>
        <w:pStyle w:val="13"/>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4.5.1投标人总分=报价部分得分+技术、商务部分得分，结果保留两位小数。</w:t>
      </w:r>
    </w:p>
    <w:p w14:paraId="32FCE33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70" w:name="_Toc217446060"/>
      <w:r>
        <w:rPr>
          <w:rFonts w:hint="eastAsia" w:ascii="宋体" w:hAnsi="宋体" w:eastAsia="宋体" w:cs="宋体"/>
          <w:color w:val="auto"/>
          <w:sz w:val="24"/>
          <w:szCs w:val="24"/>
          <w:highlight w:val="none"/>
        </w:rPr>
        <w:t>5. 终止招标</w:t>
      </w:r>
    </w:p>
    <w:p w14:paraId="39AC58DA">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在发布招标公告、资格预审公告或者发出投标邀请书后，除因重大变故采购任务取消情况外，不得擅自终止招标活动。</w:t>
      </w:r>
    </w:p>
    <w:p w14:paraId="50EFD51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终止招标的，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应当在终止采购活动后5个工作日内，退还所收取的招标文件费用和所收取的投标保证金及其在银行产生的孳息。</w:t>
      </w:r>
    </w:p>
    <w:p w14:paraId="4335590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定标</w:t>
      </w:r>
      <w:bookmarkEnd w:id="170"/>
      <w:bookmarkStart w:id="171" w:name="_Toc217446061"/>
    </w:p>
    <w:p w14:paraId="4122BAF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定标原则</w:t>
      </w:r>
      <w:bookmarkEnd w:id="171"/>
      <w:r>
        <w:rPr>
          <w:rFonts w:hint="eastAsia" w:ascii="宋体" w:hAnsi="宋体" w:eastAsia="宋体" w:cs="宋体"/>
          <w:color w:val="auto"/>
          <w:sz w:val="24"/>
          <w:szCs w:val="24"/>
          <w:highlight w:val="none"/>
        </w:rPr>
        <w:t>：本项目根据评标委员会推荐的中标候选人名单，按顺序确定中标人。</w:t>
      </w:r>
    </w:p>
    <w:p w14:paraId="23DDB48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72" w:name="_Toc217446062"/>
      <w:r>
        <w:rPr>
          <w:rFonts w:hint="eastAsia" w:ascii="宋体" w:hAnsi="宋体" w:eastAsia="宋体" w:cs="宋体"/>
          <w:color w:val="auto"/>
          <w:sz w:val="24"/>
          <w:szCs w:val="24"/>
          <w:highlight w:val="none"/>
        </w:rPr>
        <w:t>6.2. 定标程序</w:t>
      </w:r>
      <w:bookmarkEnd w:id="172"/>
    </w:p>
    <w:p w14:paraId="0D194A3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1ADC08B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6.2.2 </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在评标结束后两个工作日内将评标报告送至</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w:t>
      </w:r>
    </w:p>
    <w:p w14:paraId="2422AE8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6.2.3 </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应当自收到评标报告之日起5个工作日内在评标报告推荐的中标候选人中按顺序确定中标人。</w:t>
      </w:r>
    </w:p>
    <w:p w14:paraId="5A376FD1">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 根据</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确定的中标人，</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在招标公告发布的媒体上发布中标公告，同时向中标人发出中标通知书。</w:t>
      </w:r>
    </w:p>
    <w:p w14:paraId="2EFA0E9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6.2.5 </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不退回投标文件和其他投标资料。</w:t>
      </w:r>
    </w:p>
    <w:bookmarkEnd w:id="165"/>
    <w:p w14:paraId="12DA2F0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73" w:name="_Toc217446105"/>
      <w:bookmarkStart w:id="174" w:name="_Toc183582297"/>
      <w:bookmarkStart w:id="175" w:name="_Toc183682432"/>
      <w:bookmarkStart w:id="176" w:name="_Toc208849022"/>
      <w:r>
        <w:rPr>
          <w:rFonts w:hint="eastAsia" w:ascii="宋体" w:hAnsi="宋体" w:eastAsia="宋体" w:cs="宋体"/>
          <w:color w:val="auto"/>
          <w:sz w:val="24"/>
          <w:szCs w:val="24"/>
          <w:highlight w:val="none"/>
        </w:rPr>
        <w:t xml:space="preserve">7. </w:t>
      </w:r>
      <w:bookmarkEnd w:id="173"/>
      <w:bookmarkEnd w:id="174"/>
      <w:bookmarkEnd w:id="175"/>
      <w:bookmarkEnd w:id="176"/>
      <w:r>
        <w:rPr>
          <w:rFonts w:hint="eastAsia" w:ascii="宋体" w:hAnsi="宋体" w:eastAsia="宋体" w:cs="宋体"/>
          <w:color w:val="auto"/>
          <w:sz w:val="24"/>
          <w:szCs w:val="24"/>
          <w:highlight w:val="none"/>
        </w:rPr>
        <w:t>评标专家在政府采购活动中承担以下义务：</w:t>
      </w:r>
    </w:p>
    <w:p w14:paraId="7E012E2C">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遵纪守法，客观、公正、廉洁地履行职责。</w:t>
      </w:r>
    </w:p>
    <w:p w14:paraId="7FA7B5C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予签字确认。</w:t>
      </w:r>
    </w:p>
    <w:p w14:paraId="3E7B2CFA">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保守秘密。不得透露招标项目情况，不得泄漏投标人的投标文件及知悉的商业秘密，不得向投标人透露评标情况。</w:t>
      </w:r>
    </w:p>
    <w:p w14:paraId="3BA42676">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发现投标人在政府采购活动中有不正当竞争或恶意串通等违规行为，及时向政府采购评标工作的组织者或财政部门报告并加以制止。</w:t>
      </w:r>
    </w:p>
    <w:p w14:paraId="5D89E774">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及其工作人员在招标活动中有干预评标、发表倾向性和歧视性言论、受贿或者接受投标人的其他好处及其他违法违规行为，及时向财政部门报告。</w:t>
      </w:r>
    </w:p>
    <w:p w14:paraId="343D8E22">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配合</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答复投标人质疑，配合投诉处理工作等事宜。</w:t>
      </w:r>
    </w:p>
    <w:p w14:paraId="26CF0130">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法律、法规和规章规定的其他义务。</w:t>
      </w:r>
    </w:p>
    <w:p w14:paraId="5B0DEDF5">
      <w:pPr>
        <w:pageBreakBefore w:val="0"/>
        <w:widowControl/>
        <w:wordWrap/>
        <w:overflowPunct/>
        <w:topLinePunct w:val="0"/>
        <w:autoSpaceDE w:val="0"/>
        <w:autoSpaceDN w:val="0"/>
        <w:bidi w:val="0"/>
        <w:spacing w:line="560" w:lineRule="exact"/>
        <w:ind w:left="0" w:leftChars="0" w:right="0" w:rightChars="0" w:firstLine="482"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评标专家在招标活动中应当遵守以下工作纪律：</w:t>
      </w:r>
    </w:p>
    <w:p w14:paraId="681560E6">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应邀按时参加评标活动。遇特殊情况不能出席或途中遇阻不能按时参加评标的，应及时告知财政部门或者</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，不得私自转托他人。</w:t>
      </w:r>
    </w:p>
    <w:p w14:paraId="42963F78">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不得参加与自己有利害关系的招标项目的评标活动。对与自己有利害关系的评标项目，如受到邀请，应主动提出回避。财政部门、</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也可要求该评标专家回避。</w:t>
      </w:r>
    </w:p>
    <w:p w14:paraId="0E144B01">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有利害关系主要是指三年内曾在参加该招标项目投标人中任职(包括一般工作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或担任顾问，配偶或直系亲属在参加该招标项目的投标人中任职或担任顾问，与参加该招标项目投标人发生过法律纠纷，以及其他可能影响公正评标的情况。</w:t>
      </w:r>
    </w:p>
    <w:p w14:paraId="48FCF390">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评标过程中关闭通讯设备，不得与外界联系。</w:t>
      </w:r>
    </w:p>
    <w:p w14:paraId="326B7958">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5D5A5FD8">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br w:type="page"/>
      </w:r>
      <w:bookmarkStart w:id="177" w:name="_Toc6803"/>
      <w:r>
        <w:rPr>
          <w:rFonts w:hint="eastAsia" w:ascii="宋体" w:hAnsi="宋体" w:eastAsia="宋体" w:cs="宋体"/>
          <w:b/>
          <w:bCs/>
          <w:color w:val="auto"/>
          <w:sz w:val="32"/>
          <w:szCs w:val="32"/>
          <w:highlight w:val="none"/>
        </w:rPr>
        <w:t>第六章  拟签订的合同文本</w:t>
      </w:r>
      <w:bookmarkEnd w:id="177"/>
    </w:p>
    <w:p w14:paraId="6F52FDE4">
      <w:pPr>
        <w:jc w:val="center"/>
        <w:rPr>
          <w:rFonts w:hint="eastAsia" w:ascii="宋体" w:hAnsi="宋体" w:eastAsia="宋体" w:cs="宋体"/>
          <w:bCs/>
          <w:color w:val="auto"/>
          <w:sz w:val="24"/>
          <w:szCs w:val="24"/>
          <w:highlight w:val="none"/>
        </w:rPr>
      </w:pPr>
      <w:r>
        <w:rPr>
          <w:rStyle w:val="37"/>
          <w:rFonts w:hint="eastAsia" w:ascii="宋体" w:hAnsi="宋体" w:eastAsia="宋体" w:cs="宋体"/>
          <w:color w:val="auto"/>
          <w:sz w:val="24"/>
          <w:szCs w:val="24"/>
          <w:highlight w:val="none"/>
        </w:rPr>
        <w:t>　</w:t>
      </w:r>
      <w:r>
        <w:rPr>
          <w:rStyle w:val="37"/>
          <w:rFonts w:hint="eastAsia" w:ascii="宋体" w:hAnsi="宋体" w:eastAsia="宋体" w:cs="宋体"/>
          <w:b/>
          <w:bCs/>
          <w:color w:val="auto"/>
          <w:sz w:val="24"/>
          <w:szCs w:val="24"/>
          <w:highlight w:val="none"/>
        </w:rPr>
        <w:t>　</w:t>
      </w:r>
      <w:r>
        <w:rPr>
          <w:rFonts w:hint="eastAsia" w:ascii="宋体" w:hAnsi="宋体" w:eastAsia="宋体" w:cs="宋体"/>
          <w:b/>
          <w:bCs w:val="0"/>
          <w:color w:val="auto"/>
          <w:sz w:val="24"/>
          <w:szCs w:val="24"/>
          <w:highlight w:val="none"/>
        </w:rPr>
        <w:t>（具体以实际签订合同为</w:t>
      </w:r>
      <w:r>
        <w:rPr>
          <w:rFonts w:hint="eastAsia" w:ascii="宋体" w:hAnsi="宋体" w:eastAsia="宋体" w:cs="宋体"/>
          <w:b/>
          <w:bCs w:val="0"/>
          <w:color w:val="auto"/>
          <w:sz w:val="24"/>
          <w:szCs w:val="24"/>
          <w:highlight w:val="none"/>
          <w:lang w:eastAsia="zh-CN"/>
        </w:rPr>
        <w:t>准</w:t>
      </w:r>
      <w:r>
        <w:rPr>
          <w:rFonts w:hint="eastAsia" w:ascii="宋体" w:hAnsi="宋体" w:eastAsia="宋体" w:cs="宋体"/>
          <w:b/>
          <w:bCs w:val="0"/>
          <w:color w:val="auto"/>
          <w:sz w:val="24"/>
          <w:szCs w:val="24"/>
          <w:highlight w:val="none"/>
        </w:rPr>
        <w:t>）</w:t>
      </w:r>
    </w:p>
    <w:p w14:paraId="3A94DBE1">
      <w:pPr>
        <w:spacing w:before="139" w:line="226" w:lineRule="auto"/>
        <w:rPr>
          <w:rFonts w:hint="eastAsia" w:ascii="宋体" w:hAnsi="宋体" w:eastAsia="宋体" w:cs="宋体"/>
          <w:b/>
          <w:bCs/>
          <w:color w:val="auto"/>
          <w:spacing w:val="4"/>
          <w:sz w:val="24"/>
          <w:szCs w:val="24"/>
          <w:highlight w:val="none"/>
        </w:rPr>
      </w:pPr>
    </w:p>
    <w:p w14:paraId="418AB787">
      <w:pPr>
        <w:pStyle w:val="126"/>
        <w:spacing w:line="480" w:lineRule="auto"/>
        <w:rPr>
          <w:rFonts w:hint="eastAsia" w:ascii="仿宋_GB2312" w:hAnsi="宋体" w:eastAsia="仿宋_GB2312"/>
          <w:b/>
          <w:color w:val="auto"/>
          <w:sz w:val="28"/>
          <w:szCs w:val="28"/>
        </w:rPr>
      </w:pPr>
    </w:p>
    <w:p w14:paraId="61A16C11">
      <w:pPr>
        <w:pStyle w:val="126"/>
        <w:spacing w:line="48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合同编号：                                 XZ—202</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—WZ—</w:t>
      </w:r>
      <w:r>
        <w:rPr>
          <w:rFonts w:hint="eastAsia" w:ascii="宋体" w:hAnsi="宋体" w:eastAsia="宋体" w:cs="宋体"/>
          <w:b/>
          <w:color w:val="auto"/>
          <w:sz w:val="24"/>
          <w:szCs w:val="24"/>
          <w:lang w:val="en-US" w:eastAsia="zh-CN"/>
        </w:rPr>
        <w:t xml:space="preserve"> </w:t>
      </w:r>
    </w:p>
    <w:p w14:paraId="1673304F">
      <w:pPr>
        <w:pStyle w:val="126"/>
        <w:spacing w:line="48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14:paraId="346BD7B0">
      <w:pPr>
        <w:pStyle w:val="126"/>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b/>
          <w:color w:val="auto"/>
          <w:sz w:val="24"/>
          <w:szCs w:val="24"/>
        </w:rPr>
      </w:pPr>
    </w:p>
    <w:p w14:paraId="45A65CD7">
      <w:pPr>
        <w:pStyle w:val="126"/>
        <w:spacing w:line="480" w:lineRule="auto"/>
        <w:jc w:val="both"/>
        <w:rPr>
          <w:rFonts w:hint="eastAsia" w:ascii="宋体" w:hAnsi="宋体" w:eastAsia="宋体" w:cs="宋体"/>
          <w:b/>
          <w:color w:val="auto"/>
          <w:sz w:val="24"/>
          <w:szCs w:val="24"/>
        </w:rPr>
      </w:pPr>
    </w:p>
    <w:p w14:paraId="365FA121">
      <w:pPr>
        <w:pStyle w:val="126"/>
        <w:spacing w:line="48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新疆医科大学附属肿瘤医院</w:t>
      </w:r>
    </w:p>
    <w:p w14:paraId="329380EB">
      <w:pPr>
        <w:pStyle w:val="126"/>
        <w:spacing w:line="360" w:lineRule="auto"/>
        <w:jc w:val="center"/>
        <w:rPr>
          <w:rFonts w:hint="eastAsia" w:ascii="宋体" w:hAnsi="宋体" w:eastAsia="宋体" w:cs="宋体"/>
          <w:color w:val="auto"/>
          <w:sz w:val="24"/>
          <w:szCs w:val="24"/>
        </w:rPr>
      </w:pPr>
    </w:p>
    <w:p w14:paraId="064574C8">
      <w:pPr>
        <w:pStyle w:val="126"/>
        <w:spacing w:line="360" w:lineRule="auto"/>
        <w:rPr>
          <w:rFonts w:hint="eastAsia" w:ascii="宋体" w:hAnsi="宋体" w:eastAsia="宋体" w:cs="宋体"/>
          <w:color w:val="auto"/>
          <w:sz w:val="24"/>
          <w:szCs w:val="24"/>
        </w:rPr>
      </w:pPr>
    </w:p>
    <w:p w14:paraId="5B762559">
      <w:pPr>
        <w:pStyle w:val="126"/>
        <w:spacing w:line="360" w:lineRule="auto"/>
        <w:jc w:val="center"/>
        <w:rPr>
          <w:rFonts w:hint="eastAsia" w:ascii="宋体" w:hAnsi="宋体" w:eastAsia="宋体" w:cs="宋体"/>
          <w:b/>
          <w:color w:val="auto"/>
          <w:sz w:val="24"/>
          <w:szCs w:val="24"/>
        </w:rPr>
      </w:pPr>
    </w:p>
    <w:p w14:paraId="14993F74">
      <w:pPr>
        <w:pStyle w:val="126"/>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采 购 合 同 </w:t>
      </w:r>
    </w:p>
    <w:p w14:paraId="2659C601">
      <w:pPr>
        <w:pStyle w:val="126"/>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108DD06">
      <w:pPr>
        <w:pStyle w:val="126"/>
        <w:spacing w:line="360" w:lineRule="auto"/>
        <w:rPr>
          <w:rFonts w:hint="eastAsia" w:ascii="宋体" w:hAnsi="宋体" w:eastAsia="宋体" w:cs="宋体"/>
          <w:color w:val="auto"/>
          <w:sz w:val="24"/>
          <w:szCs w:val="24"/>
        </w:rPr>
      </w:pPr>
    </w:p>
    <w:p w14:paraId="28BB4DD1">
      <w:pPr>
        <w:pStyle w:val="126"/>
        <w:spacing w:line="360" w:lineRule="auto"/>
        <w:rPr>
          <w:rFonts w:hint="eastAsia" w:ascii="宋体" w:hAnsi="宋体" w:eastAsia="宋体" w:cs="宋体"/>
          <w:color w:val="auto"/>
          <w:sz w:val="24"/>
          <w:szCs w:val="24"/>
        </w:rPr>
      </w:pPr>
    </w:p>
    <w:p w14:paraId="0287F940">
      <w:pPr>
        <w:keepNext w:val="0"/>
        <w:keepLines w:val="0"/>
        <w:pageBreakBefore w:val="0"/>
        <w:widowControl/>
        <w:kinsoku/>
        <w:wordWrap/>
        <w:overflowPunct/>
        <w:topLinePunct w:val="0"/>
        <w:bidi w:val="0"/>
        <w:adjustRightInd/>
        <w:snapToGrid/>
        <w:spacing w:line="320" w:lineRule="exact"/>
        <w:ind w:firstLine="964" w:firstLineChars="400"/>
        <w:textAlignment w:val="auto"/>
        <w:rPr>
          <w:rFonts w:hint="eastAsia" w:ascii="宋体" w:hAnsi="宋体" w:eastAsia="宋体" w:cs="宋体"/>
          <w:b/>
          <w:sz w:val="24"/>
          <w:szCs w:val="24"/>
          <w:u w:val="single"/>
          <w:lang w:val="en-US" w:eastAsia="zh-CN"/>
        </w:rPr>
      </w:pPr>
      <w:r>
        <w:rPr>
          <w:rFonts w:hint="eastAsia" w:ascii="宋体" w:hAnsi="宋体" w:eastAsia="宋体" w:cs="宋体"/>
          <w:b/>
          <w:sz w:val="24"/>
          <w:szCs w:val="24"/>
        </w:rPr>
        <w:t>项目名称：</w:t>
      </w:r>
      <w:r>
        <w:rPr>
          <w:rFonts w:hint="eastAsia" w:ascii="宋体" w:hAnsi="宋体" w:eastAsia="宋体" w:cs="宋体"/>
          <w:b/>
          <w:sz w:val="24"/>
          <w:szCs w:val="24"/>
          <w:lang w:val="en-US" w:eastAsia="zh-CN"/>
        </w:rPr>
        <w:t xml:space="preserve"> </w:t>
      </w:r>
    </w:p>
    <w:p w14:paraId="079F36F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 xml:space="preserve">        </w:t>
      </w:r>
    </w:p>
    <w:p w14:paraId="704CF85E">
      <w:pPr>
        <w:keepNext w:val="0"/>
        <w:keepLines w:val="0"/>
        <w:pageBreakBefore w:val="0"/>
        <w:kinsoku/>
        <w:wordWrap/>
        <w:overflowPunct/>
        <w:topLinePunct w:val="0"/>
        <w:bidi w:val="0"/>
        <w:adjustRightInd/>
        <w:snapToGrid/>
        <w:spacing w:line="320" w:lineRule="exact"/>
        <w:ind w:firstLine="964" w:firstLineChars="400"/>
        <w:jc w:val="left"/>
        <w:textAlignment w:val="auto"/>
        <w:rPr>
          <w:rFonts w:hint="eastAsia" w:ascii="宋体" w:hAnsi="宋体" w:eastAsia="宋体" w:cs="宋体"/>
          <w:b/>
          <w:bCs/>
          <w:sz w:val="24"/>
          <w:szCs w:val="24"/>
        </w:rPr>
      </w:pPr>
      <w:r>
        <w:rPr>
          <w:rFonts w:hint="eastAsia" w:ascii="宋体" w:hAnsi="宋体" w:eastAsia="宋体" w:cs="宋体"/>
          <w:b/>
          <w:sz w:val="24"/>
          <w:szCs w:val="24"/>
        </w:rPr>
        <w:t>甲方名称：</w:t>
      </w:r>
    </w:p>
    <w:p w14:paraId="42FBC319">
      <w:pPr>
        <w:pStyle w:val="126"/>
        <w:keepNext w:val="0"/>
        <w:keepLines w:val="0"/>
        <w:pageBreakBefore w:val="0"/>
        <w:widowControl w:val="0"/>
        <w:kinsoku/>
        <w:wordWrap/>
        <w:overflowPunct/>
        <w:topLinePunct w:val="0"/>
        <w:autoSpaceDE w:val="0"/>
        <w:autoSpaceDN w:val="0"/>
        <w:bidi w:val="0"/>
        <w:adjustRightInd/>
        <w:snapToGrid/>
        <w:spacing w:line="320" w:lineRule="exact"/>
        <w:ind w:firstLine="964" w:firstLineChars="400"/>
        <w:textAlignment w:val="auto"/>
        <w:rPr>
          <w:rFonts w:hint="eastAsia" w:ascii="宋体" w:hAnsi="宋体" w:eastAsia="宋体" w:cs="宋体"/>
          <w:b/>
          <w:color w:val="auto"/>
          <w:sz w:val="24"/>
          <w:szCs w:val="24"/>
        </w:rPr>
      </w:pPr>
    </w:p>
    <w:p w14:paraId="52B9A504">
      <w:pPr>
        <w:pStyle w:val="126"/>
        <w:keepNext w:val="0"/>
        <w:keepLines w:val="0"/>
        <w:pageBreakBefore w:val="0"/>
        <w:kinsoku/>
        <w:wordWrap/>
        <w:overflowPunct/>
        <w:topLinePunct w:val="0"/>
        <w:bidi w:val="0"/>
        <w:adjustRightInd/>
        <w:snapToGrid/>
        <w:spacing w:line="320" w:lineRule="exact"/>
        <w:ind w:firstLine="964" w:firstLineChars="400"/>
        <w:textAlignment w:val="auto"/>
        <w:rPr>
          <w:rFonts w:hint="eastAsia" w:ascii="宋体" w:hAnsi="宋体" w:eastAsia="宋体" w:cs="宋体"/>
          <w:b/>
          <w:bCs/>
          <w:sz w:val="24"/>
          <w:szCs w:val="24"/>
          <w:u w:val="single"/>
        </w:rPr>
      </w:pPr>
      <w:r>
        <w:rPr>
          <w:rFonts w:hint="eastAsia" w:ascii="宋体" w:hAnsi="宋体" w:eastAsia="宋体" w:cs="宋体"/>
          <w:b/>
          <w:color w:val="auto"/>
          <w:sz w:val="24"/>
          <w:szCs w:val="24"/>
        </w:rPr>
        <w:t>乙方</w:t>
      </w:r>
      <w:r>
        <w:rPr>
          <w:rFonts w:hint="eastAsia" w:ascii="宋体" w:hAnsi="宋体" w:eastAsia="宋体" w:cs="宋体"/>
          <w:b/>
          <w:sz w:val="24"/>
          <w:szCs w:val="24"/>
        </w:rPr>
        <w:t>名称</w:t>
      </w:r>
      <w:r>
        <w:rPr>
          <w:rFonts w:hint="eastAsia" w:ascii="宋体" w:hAnsi="宋体" w:eastAsia="宋体" w:cs="宋体"/>
          <w:b/>
          <w:color w:val="auto"/>
          <w:sz w:val="24"/>
          <w:szCs w:val="24"/>
        </w:rPr>
        <w:t>：</w:t>
      </w:r>
    </w:p>
    <w:p w14:paraId="42841733">
      <w:pPr>
        <w:pStyle w:val="126"/>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b/>
          <w:bCs/>
          <w:sz w:val="24"/>
          <w:szCs w:val="24"/>
          <w:u w:val="single"/>
        </w:rPr>
      </w:pPr>
    </w:p>
    <w:p w14:paraId="5F1648E7">
      <w:pPr>
        <w:pStyle w:val="126"/>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sz w:val="24"/>
          <w:szCs w:val="24"/>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color w:val="auto"/>
          <w:sz w:val="24"/>
          <w:szCs w:val="24"/>
        </w:rPr>
        <w:t xml:space="preserve">        签订时间: </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日</w:t>
      </w:r>
    </w:p>
    <w:p w14:paraId="5ED33E5C">
      <w:pPr>
        <w:pStyle w:val="126"/>
        <w:keepNext w:val="0"/>
        <w:keepLines w:val="0"/>
        <w:pageBreakBefore w:val="0"/>
        <w:kinsoku/>
        <w:wordWrap/>
        <w:overflowPunct/>
        <w:topLinePunct w:val="0"/>
        <w:bidi w:val="0"/>
        <w:spacing w:line="480" w:lineRule="exact"/>
        <w:jc w:val="center"/>
        <w:rPr>
          <w:rFonts w:hint="eastAsia" w:ascii="仿宋_GB2312" w:eastAsia="仿宋_GB2312"/>
          <w:b/>
          <w:sz w:val="44"/>
          <w:szCs w:val="44"/>
        </w:rPr>
      </w:pPr>
      <w:r>
        <w:rPr>
          <w:rFonts w:hint="eastAsia" w:ascii="仿宋_GB2312" w:eastAsia="仿宋_GB2312"/>
          <w:b/>
          <w:sz w:val="44"/>
          <w:szCs w:val="44"/>
        </w:rPr>
        <w:t>采 购 合 同</w:t>
      </w:r>
    </w:p>
    <w:p w14:paraId="17D1DA0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8"/>
          <w:szCs w:val="28"/>
        </w:rPr>
      </w:pPr>
    </w:p>
    <w:p w14:paraId="234EC5E0">
      <w:pPr>
        <w:keepNext w:val="0"/>
        <w:keepLines w:val="0"/>
        <w:pageBreakBefore w:val="0"/>
        <w:kinsoku/>
        <w:wordWrap/>
        <w:overflowPunct/>
        <w:topLinePunct w:val="0"/>
        <w:bidi w:val="0"/>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甲方（买方）：新疆医科大学附属肿瘤医院</w:t>
      </w:r>
    </w:p>
    <w:p w14:paraId="78A01BC2">
      <w:pPr>
        <w:pStyle w:val="126"/>
        <w:keepNext w:val="0"/>
        <w:keepLines w:val="0"/>
        <w:pageBreakBefore w:val="0"/>
        <w:kinsoku/>
        <w:wordWrap/>
        <w:overflowPunct/>
        <w:topLinePunct w:val="0"/>
        <w:bidi w:val="0"/>
        <w:spacing w:line="480" w:lineRule="exac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bCs/>
          <w:color w:val="auto"/>
          <w:sz w:val="24"/>
          <w:szCs w:val="24"/>
        </w:rPr>
        <w:t>新疆乌鲁木齐市新市区苏州东街789号</w:t>
      </w:r>
    </w:p>
    <w:p w14:paraId="2AF7A8E2">
      <w:pPr>
        <w:pStyle w:val="126"/>
        <w:keepNext w:val="0"/>
        <w:keepLines w:val="0"/>
        <w:pageBreakBefore w:val="0"/>
        <w:kinsoku/>
        <w:wordWrap/>
        <w:overflowPunct/>
        <w:topLinePunct w:val="0"/>
        <w:bidi w:val="0"/>
        <w:spacing w:line="480" w:lineRule="exac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bCs/>
          <w:color w:val="auto"/>
          <w:sz w:val="24"/>
          <w:szCs w:val="24"/>
        </w:rPr>
        <w:t xml:space="preserve">0991—7819240    </w:t>
      </w:r>
    </w:p>
    <w:p w14:paraId="1D579B2C">
      <w:pPr>
        <w:pStyle w:val="126"/>
        <w:keepNext w:val="0"/>
        <w:keepLines w:val="0"/>
        <w:pageBreakBefore w:val="0"/>
        <w:widowControl w:val="0"/>
        <w:kinsoku/>
        <w:wordWrap/>
        <w:overflowPunct/>
        <w:topLinePunct w:val="0"/>
        <w:autoSpaceDE w:val="0"/>
        <w:autoSpaceDN w:val="0"/>
        <w:bidi w:val="0"/>
        <w:adjustRightInd/>
        <w:snapToGrid/>
        <w:spacing w:line="160" w:lineRule="exact"/>
        <w:textAlignment w:val="auto"/>
        <w:rPr>
          <w:rFonts w:hint="eastAsia" w:ascii="宋体" w:hAnsi="宋体" w:eastAsia="宋体" w:cs="宋体"/>
          <w:sz w:val="24"/>
          <w:szCs w:val="24"/>
        </w:rPr>
      </w:pPr>
    </w:p>
    <w:p w14:paraId="257381D8">
      <w:pPr>
        <w:pStyle w:val="126"/>
        <w:keepNext w:val="0"/>
        <w:keepLines w:val="0"/>
        <w:pageBreakBefore w:val="0"/>
        <w:kinsoku/>
        <w:wordWrap/>
        <w:overflowPunct/>
        <w:topLinePunct w:val="0"/>
        <w:bidi w:val="0"/>
        <w:adjustRightInd/>
        <w:spacing w:line="480" w:lineRule="exact"/>
        <w:rPr>
          <w:rFonts w:hint="eastAsia" w:ascii="宋体" w:hAnsi="宋体" w:eastAsia="宋体" w:cs="宋体"/>
          <w:bCs/>
          <w:sz w:val="24"/>
          <w:szCs w:val="24"/>
        </w:rPr>
      </w:pPr>
      <w:r>
        <w:rPr>
          <w:rFonts w:hint="eastAsia" w:ascii="宋体" w:hAnsi="宋体" w:eastAsia="宋体" w:cs="宋体"/>
          <w:sz w:val="24"/>
          <w:szCs w:val="24"/>
        </w:rPr>
        <w:t>乙方（卖方）：</w:t>
      </w:r>
    </w:p>
    <w:p w14:paraId="17309C45">
      <w:pPr>
        <w:keepNext w:val="0"/>
        <w:keepLines w:val="0"/>
        <w:pageBreakBefore w:val="0"/>
        <w:kinsoku/>
        <w:wordWrap/>
        <w:overflowPunct/>
        <w:topLinePunct w:val="0"/>
        <w:bidi w:val="0"/>
        <w:spacing w:line="480" w:lineRule="exact"/>
        <w:ind w:left="840" w:hanging="720" w:hangingChars="300"/>
        <w:jc w:val="left"/>
        <w:rPr>
          <w:rFonts w:hint="eastAsia" w:ascii="宋体" w:hAnsi="宋体" w:eastAsia="宋体" w:cs="宋体"/>
          <w:sz w:val="24"/>
          <w:szCs w:val="24"/>
        </w:rPr>
      </w:pPr>
      <w:r>
        <w:rPr>
          <w:rFonts w:hint="eastAsia" w:ascii="宋体" w:hAnsi="宋体" w:eastAsia="宋体" w:cs="宋体"/>
          <w:sz w:val="24"/>
          <w:szCs w:val="24"/>
        </w:rPr>
        <w:t>地址：</w:t>
      </w:r>
    </w:p>
    <w:p w14:paraId="0CB6BE8E">
      <w:pPr>
        <w:keepNext w:val="0"/>
        <w:keepLines w:val="0"/>
        <w:pageBreakBefore w:val="0"/>
        <w:kinsoku/>
        <w:wordWrap/>
        <w:overflowPunct/>
        <w:topLinePunct w:val="0"/>
        <w:bidi w:val="0"/>
        <w:spacing w:line="480" w:lineRule="exact"/>
        <w:rPr>
          <w:rFonts w:hint="eastAsia" w:ascii="宋体" w:hAnsi="宋体" w:eastAsia="宋体" w:cs="宋体"/>
          <w:sz w:val="24"/>
          <w:szCs w:val="24"/>
          <w:lang w:val="en-US" w:eastAsia="zh-CN"/>
        </w:rPr>
      </w:pPr>
      <w:r>
        <w:rPr>
          <w:rFonts w:hint="eastAsia" w:ascii="宋体" w:hAnsi="宋体" w:eastAsia="宋体" w:cs="宋体"/>
          <w:sz w:val="24"/>
          <w:szCs w:val="24"/>
        </w:rPr>
        <w:t xml:space="preserve">联系人：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联系电话：</w:t>
      </w:r>
    </w:p>
    <w:p w14:paraId="6FF8D966">
      <w:pPr>
        <w:keepNext w:val="0"/>
        <w:keepLines w:val="0"/>
        <w:pageBreakBefore w:val="0"/>
        <w:kinsoku/>
        <w:wordWrap/>
        <w:overflowPunct/>
        <w:topLinePunct w:val="0"/>
        <w:bidi w:val="0"/>
        <w:spacing w:line="480" w:lineRule="exact"/>
        <w:ind w:firstLine="480" w:firstLineChars="200"/>
        <w:rPr>
          <w:rFonts w:hint="eastAsia" w:ascii="宋体" w:hAnsi="宋体" w:eastAsia="宋体" w:cs="宋体"/>
          <w:sz w:val="24"/>
          <w:szCs w:val="24"/>
        </w:rPr>
      </w:pPr>
    </w:p>
    <w:p w14:paraId="71A13C6E">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新疆医科大学附属肿瘤医院（以下简称甲方）与</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rPr>
        <w:t>（以下简称乙方）就</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采购事宜，根据《中华人民共和国政府采购法》、《中华人民共和国民法典》等规定，本着平等、自愿、互利、互惠的原则，经各方协商一致，订立本合同。</w:t>
      </w:r>
    </w:p>
    <w:p w14:paraId="47DE95AA">
      <w:pPr>
        <w:pStyle w:val="28"/>
        <w:keepNext w:val="0"/>
        <w:keepLines w:val="0"/>
        <w:pageBreakBefore w:val="0"/>
        <w:kinsoku/>
        <w:wordWrap/>
        <w:overflowPunct/>
        <w:topLinePunct w:val="0"/>
        <w:bidi w:val="0"/>
        <w:spacing w:line="480" w:lineRule="exact"/>
        <w:rPr>
          <w:rFonts w:hint="eastAsia" w:ascii="宋体" w:hAnsi="宋体" w:eastAsia="宋体" w:cs="宋体"/>
          <w:sz w:val="24"/>
          <w:szCs w:val="24"/>
        </w:rPr>
      </w:pPr>
    </w:p>
    <w:p w14:paraId="319C5528">
      <w:pPr>
        <w:pStyle w:val="126"/>
        <w:keepNext w:val="0"/>
        <w:keepLines w:val="0"/>
        <w:pageBreakBefore w:val="0"/>
        <w:numPr>
          <w:ilvl w:val="0"/>
          <w:numId w:val="13"/>
        </w:numPr>
        <w:kinsoku/>
        <w:wordWrap/>
        <w:overflowPunct/>
        <w:topLinePunct w:val="0"/>
        <w:bidi w:val="0"/>
        <w:spacing w:line="480" w:lineRule="exact"/>
        <w:jc w:val="both"/>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货物名称、规格、数量、价格</w:t>
      </w:r>
    </w:p>
    <w:tbl>
      <w:tblPr>
        <w:tblStyle w:val="34"/>
        <w:tblW w:w="8580" w:type="dxa"/>
        <w:jc w:val="center"/>
        <w:tblLayout w:type="fixed"/>
        <w:tblCellMar>
          <w:top w:w="15" w:type="dxa"/>
          <w:left w:w="15" w:type="dxa"/>
          <w:bottom w:w="15" w:type="dxa"/>
          <w:right w:w="15" w:type="dxa"/>
        </w:tblCellMar>
      </w:tblPr>
      <w:tblGrid>
        <w:gridCol w:w="795"/>
        <w:gridCol w:w="1500"/>
        <w:gridCol w:w="960"/>
        <w:gridCol w:w="1275"/>
        <w:gridCol w:w="1480"/>
        <w:gridCol w:w="1250"/>
        <w:gridCol w:w="1320"/>
      </w:tblGrid>
      <w:tr w14:paraId="2F980309">
        <w:tblPrEx>
          <w:tblCellMar>
            <w:top w:w="15" w:type="dxa"/>
            <w:left w:w="15" w:type="dxa"/>
            <w:bottom w:w="15" w:type="dxa"/>
            <w:right w:w="15"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0C13EC02">
            <w:pPr>
              <w:keepNext w:val="0"/>
              <w:keepLines w:val="0"/>
              <w:pageBreakBefore w:val="0"/>
              <w:widowControl/>
              <w:kinsoku/>
              <w:wordWrap/>
              <w:overflowPunct/>
              <w:topLinePunct w:val="0"/>
              <w:bidi w:val="0"/>
              <w:spacing w:line="48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序号</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8EBCAE6">
            <w:pPr>
              <w:keepNext w:val="0"/>
              <w:keepLines w:val="0"/>
              <w:pageBreakBefore w:val="0"/>
              <w:widowControl/>
              <w:kinsoku/>
              <w:wordWrap/>
              <w:overflowPunct/>
              <w:topLinePunct w:val="0"/>
              <w:bidi w:val="0"/>
              <w:spacing w:line="48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货物名称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FCF3FC">
            <w:pPr>
              <w:keepNext w:val="0"/>
              <w:keepLines w:val="0"/>
              <w:pageBreakBefore w:val="0"/>
              <w:widowControl/>
              <w:kinsoku/>
              <w:wordWrap/>
              <w:overflowPunct/>
              <w:topLinePunct w:val="0"/>
              <w:bidi w:val="0"/>
              <w:spacing w:line="480" w:lineRule="exact"/>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sz w:val="24"/>
                <w:szCs w:val="24"/>
              </w:rPr>
              <w:t>品牌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8A4583F">
            <w:pPr>
              <w:keepNext w:val="0"/>
              <w:keepLines w:val="0"/>
              <w:pageBreakBefore w:val="0"/>
              <w:widowControl/>
              <w:kinsoku/>
              <w:wordWrap/>
              <w:overflowPunct/>
              <w:topLinePunct w:val="0"/>
              <w:bidi w:val="0"/>
              <w:spacing w:line="48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规格</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8A92FB3">
            <w:pPr>
              <w:keepNext w:val="0"/>
              <w:keepLines w:val="0"/>
              <w:pageBreakBefore w:val="0"/>
              <w:widowControl/>
              <w:kinsoku/>
              <w:wordWrap/>
              <w:overflowPunct/>
              <w:topLinePunct w:val="0"/>
              <w:bidi w:val="0"/>
              <w:snapToGrid w:val="0"/>
              <w:spacing w:line="480" w:lineRule="exact"/>
              <w:jc w:val="center"/>
              <w:textAlignment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固定单价</w:t>
            </w:r>
            <w:r>
              <w:rPr>
                <w:rFonts w:hint="eastAsia" w:ascii="宋体" w:hAnsi="宋体" w:eastAsia="宋体" w:cs="宋体"/>
                <w:b/>
                <w:bCs/>
                <w:color w:val="auto"/>
                <w:sz w:val="24"/>
                <w:szCs w:val="24"/>
                <w:lang w:eastAsia="zh-CN"/>
              </w:rPr>
              <w:t>（元）</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07EDAAC">
            <w:pPr>
              <w:keepNext w:val="0"/>
              <w:keepLines w:val="0"/>
              <w:pageBreakBefore w:val="0"/>
              <w:widowControl/>
              <w:kinsoku/>
              <w:wordWrap/>
              <w:overflowPunct/>
              <w:topLinePunct w:val="0"/>
              <w:bidi w:val="0"/>
              <w:snapToGrid w:val="0"/>
              <w:spacing w:line="48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暂定数量</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60419EA">
            <w:pPr>
              <w:keepNext w:val="0"/>
              <w:keepLines w:val="0"/>
              <w:pageBreakBefore w:val="0"/>
              <w:widowControl/>
              <w:kinsoku/>
              <w:wordWrap/>
              <w:overflowPunct/>
              <w:topLinePunct w:val="0"/>
              <w:bidi w:val="0"/>
              <w:snapToGrid w:val="0"/>
              <w:spacing w:line="48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合</w:t>
            </w:r>
            <w:r>
              <w:rPr>
                <w:rFonts w:hint="eastAsia" w:ascii="宋体" w:hAnsi="宋体" w:eastAsia="宋体" w:cs="宋体"/>
                <w:b/>
                <w:bCs/>
                <w:color w:val="auto"/>
                <w:sz w:val="24"/>
                <w:szCs w:val="24"/>
              </w:rPr>
              <w:t>计（元）</w:t>
            </w:r>
          </w:p>
        </w:tc>
      </w:tr>
      <w:tr w14:paraId="74304FE7">
        <w:tblPrEx>
          <w:tblCellMar>
            <w:top w:w="15" w:type="dxa"/>
            <w:left w:w="15" w:type="dxa"/>
            <w:bottom w:w="15" w:type="dxa"/>
            <w:right w:w="15" w:type="dxa"/>
          </w:tblCellMar>
        </w:tblPrEx>
        <w:trPr>
          <w:trHeight w:val="687"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0C29E48C">
            <w:pPr>
              <w:keepNext w:val="0"/>
              <w:keepLines w:val="0"/>
              <w:pageBreakBefore w:val="0"/>
              <w:widowControl/>
              <w:kinsoku/>
              <w:wordWrap/>
              <w:overflowPunct/>
              <w:topLinePunct w:val="0"/>
              <w:bidi w:val="0"/>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BE2B672">
            <w:pPr>
              <w:keepNext w:val="0"/>
              <w:keepLines w:val="0"/>
              <w:pageBreakBefore w:val="0"/>
              <w:widowControl/>
              <w:kinsoku/>
              <w:wordWrap/>
              <w:overflowPunct/>
              <w:topLinePunct w:val="0"/>
              <w:bidi w:val="0"/>
              <w:spacing w:line="480" w:lineRule="exact"/>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bidi="ar"/>
              </w:rPr>
              <w:t>肠内营养袋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CADCA4">
            <w:pPr>
              <w:keepNext w:val="0"/>
              <w:keepLines w:val="0"/>
              <w:pageBreakBefore w:val="0"/>
              <w:widowControl/>
              <w:kinsoku/>
              <w:wordWrap/>
              <w:overflowPunct/>
              <w:topLinePunct w:val="0"/>
              <w:bidi w:val="0"/>
              <w:snapToGrid w:val="0"/>
              <w:spacing w:line="480" w:lineRule="exact"/>
              <w:jc w:val="center"/>
              <w:textAlignment w:val="center"/>
              <w:rPr>
                <w:rFonts w:hint="eastAsia" w:ascii="宋体" w:hAnsi="宋体" w:eastAsia="宋体" w:cs="宋体"/>
                <w:color w:val="auto"/>
                <w:kern w:val="0"/>
                <w:sz w:val="24"/>
                <w:szCs w:val="24"/>
                <w:lang w:eastAsia="zh-CN"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0DECE0">
            <w:pPr>
              <w:keepNext w:val="0"/>
              <w:keepLines w:val="0"/>
              <w:pageBreakBefore w:val="0"/>
              <w:widowControl/>
              <w:kinsoku/>
              <w:wordWrap/>
              <w:overflowPunct/>
              <w:topLinePunct w:val="0"/>
              <w:bidi w:val="0"/>
              <w:spacing w:line="480" w:lineRule="exact"/>
              <w:jc w:val="center"/>
              <w:textAlignment w:val="bottom"/>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500ML</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1511D7D">
            <w:pPr>
              <w:keepNext w:val="0"/>
              <w:keepLines w:val="0"/>
              <w:pageBreakBefore w:val="0"/>
              <w:widowControl/>
              <w:kinsoku/>
              <w:wordWrap/>
              <w:overflowPunct/>
              <w:topLinePunct w:val="0"/>
              <w:bidi w:val="0"/>
              <w:snapToGrid w:val="0"/>
              <w:spacing w:line="480" w:lineRule="exact"/>
              <w:jc w:val="center"/>
              <w:textAlignment w:val="bottom"/>
              <w:rPr>
                <w:rFonts w:hint="eastAsia" w:ascii="宋体" w:hAnsi="宋体" w:eastAsia="宋体" w:cs="宋体"/>
                <w:color w:val="auto"/>
                <w:kern w:val="0"/>
                <w:sz w:val="24"/>
                <w:szCs w:val="24"/>
                <w:lang w:val="en-US" w:eastAsia="zh-CN" w:bidi="ar"/>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2F57677">
            <w:pPr>
              <w:keepNext w:val="0"/>
              <w:keepLines w:val="0"/>
              <w:pageBreakBefore w:val="0"/>
              <w:widowControl/>
              <w:kinsoku/>
              <w:wordWrap/>
              <w:overflowPunct/>
              <w:topLinePunct w:val="0"/>
              <w:bidi w:val="0"/>
              <w:snapToGrid w:val="0"/>
              <w:spacing w:line="480" w:lineRule="exact"/>
              <w:jc w:val="center"/>
              <w:textAlignment w:val="bottom"/>
              <w:rPr>
                <w:rFonts w:hint="eastAsia" w:ascii="宋体" w:hAnsi="宋体" w:eastAsia="宋体" w:cs="宋体"/>
                <w:color w:val="auto"/>
                <w:kern w:val="0"/>
                <w:sz w:val="24"/>
                <w:szCs w:val="24"/>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4090A54">
            <w:pPr>
              <w:keepNext w:val="0"/>
              <w:keepLines w:val="0"/>
              <w:pageBreakBefore w:val="0"/>
              <w:widowControl/>
              <w:kinsoku/>
              <w:wordWrap/>
              <w:overflowPunct/>
              <w:topLinePunct w:val="0"/>
              <w:bidi w:val="0"/>
              <w:snapToGrid w:val="0"/>
              <w:spacing w:line="480" w:lineRule="exact"/>
              <w:jc w:val="center"/>
              <w:textAlignment w:val="bottom"/>
              <w:rPr>
                <w:rFonts w:hint="eastAsia" w:ascii="宋体" w:hAnsi="宋体" w:eastAsia="宋体" w:cs="宋体"/>
                <w:color w:val="auto"/>
                <w:kern w:val="0"/>
                <w:sz w:val="24"/>
                <w:szCs w:val="24"/>
                <w:lang w:val="en-US" w:eastAsia="zh-CN" w:bidi="ar"/>
              </w:rPr>
            </w:pPr>
          </w:p>
        </w:tc>
      </w:tr>
    </w:tbl>
    <w:p w14:paraId="5C24383D">
      <w:pPr>
        <w:keepNext w:val="0"/>
        <w:keepLines w:val="0"/>
        <w:pageBreakBefore w:val="0"/>
        <w:kinsoku/>
        <w:wordWrap/>
        <w:overflowPunct/>
        <w:topLinePunct w:val="0"/>
        <w:bidi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本合同为固定单价，本合同暂定总价为人民币大写：</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rPr>
        <w:t>（小写：元）</w:t>
      </w:r>
      <w:r>
        <w:rPr>
          <w:rFonts w:hint="eastAsia" w:ascii="宋体" w:hAnsi="宋体" w:eastAsia="宋体" w:cs="宋体"/>
          <w:color w:val="auto"/>
          <w:sz w:val="24"/>
          <w:szCs w:val="24"/>
        </w:rPr>
        <w:t>，合同最终总价以甲方实际采购且</w:t>
      </w:r>
      <w:r>
        <w:rPr>
          <w:rFonts w:hint="eastAsia" w:ascii="宋体" w:hAnsi="宋体" w:eastAsia="宋体" w:cs="宋体"/>
          <w:color w:val="auto"/>
          <w:sz w:val="24"/>
          <w:szCs w:val="24"/>
          <w:lang w:val="en-US" w:eastAsia="zh-CN"/>
        </w:rPr>
        <w:t>书面</w:t>
      </w:r>
      <w:r>
        <w:rPr>
          <w:rFonts w:hint="eastAsia" w:ascii="宋体" w:hAnsi="宋体" w:eastAsia="宋体" w:cs="宋体"/>
          <w:color w:val="auto"/>
          <w:sz w:val="24"/>
          <w:szCs w:val="24"/>
        </w:rPr>
        <w:t xml:space="preserve">验收合格的数量结合固定单价进行结算。上述价格已包括货物供给、货物包装、运输费、装卸费和保险等的全部费用及相关税费。乙方应保证甲方除支付合同约定货款之外无需再行支付其他任何费用和款项。 </w:t>
      </w:r>
    </w:p>
    <w:p w14:paraId="7F2CE215">
      <w:pPr>
        <w:keepNext w:val="0"/>
        <w:keepLines w:val="0"/>
        <w:pageBreakBefore w:val="0"/>
        <w:kinsoku/>
        <w:wordWrap/>
        <w:overflowPunct/>
        <w:topLinePunct w:val="0"/>
        <w:bidi w:val="0"/>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二、付款方式</w:t>
      </w:r>
    </w:p>
    <w:p w14:paraId="53783ABF">
      <w:pPr>
        <w:keepNext w:val="0"/>
        <w:keepLines w:val="0"/>
        <w:pageBreakBefore w:val="0"/>
        <w:kinsoku/>
        <w:wordWrap/>
        <w:overflowPunct/>
        <w:topLinePunct w:val="0"/>
        <w:bidi w:val="0"/>
        <w:spacing w:line="480" w:lineRule="exac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1、合同签订后，按季度付款，每三个月为一个付款周期，甲方以实际验收合格数量乘以固定单价结算</w:t>
      </w:r>
      <w:r>
        <w:rPr>
          <w:rFonts w:hint="eastAsia" w:ascii="宋体" w:hAnsi="宋体" w:eastAsia="宋体" w:cs="宋体"/>
          <w:color w:val="auto"/>
          <w:sz w:val="24"/>
          <w:szCs w:val="24"/>
          <w:lang w:eastAsia="zh-CN"/>
        </w:rPr>
        <w:t>。</w:t>
      </w:r>
    </w:p>
    <w:p w14:paraId="04647C32">
      <w:pPr>
        <w:keepNext w:val="0"/>
        <w:keepLines w:val="0"/>
        <w:pageBreakBefore w:val="0"/>
        <w:kinsoku/>
        <w:wordWrap/>
        <w:overflowPunct/>
        <w:topLinePunct w:val="0"/>
        <w:bidi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2、甲方采用网银、银行承兑汇票</w:t>
      </w:r>
      <w:r>
        <w:rPr>
          <w:rFonts w:hint="eastAsia" w:ascii="宋体" w:hAnsi="宋体" w:eastAsia="宋体" w:cs="宋体"/>
          <w:color w:val="auto"/>
          <w:sz w:val="24"/>
          <w:szCs w:val="24"/>
          <w:lang w:eastAsia="zh-CN"/>
        </w:rPr>
        <w:t>、供应链</w:t>
      </w:r>
      <w:r>
        <w:rPr>
          <w:rFonts w:hint="eastAsia" w:ascii="宋体" w:hAnsi="宋体" w:eastAsia="宋体" w:cs="宋体"/>
          <w:color w:val="auto"/>
          <w:sz w:val="24"/>
          <w:szCs w:val="24"/>
        </w:rPr>
        <w:t>的方式付款。</w:t>
      </w:r>
    </w:p>
    <w:p w14:paraId="7E8710F1">
      <w:pPr>
        <w:keepNext w:val="0"/>
        <w:keepLines w:val="0"/>
        <w:pageBreakBefore w:val="0"/>
        <w:kinsoku/>
        <w:wordWrap/>
        <w:overflowPunct/>
        <w:topLinePunct w:val="0"/>
        <w:bidi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3、甲方支付上述任何一笔款项前，乙方应提供符合甲方财务做账要求的正规增值税发票，否则，甲方有权拒付款项且不承担违约责任。    </w:t>
      </w:r>
    </w:p>
    <w:p w14:paraId="7888B6CB">
      <w:pPr>
        <w:keepNext w:val="0"/>
        <w:keepLines w:val="0"/>
        <w:pageBreakBefore w:val="0"/>
        <w:kinsoku/>
        <w:wordWrap/>
        <w:overflowPunct/>
        <w:topLinePunct w:val="0"/>
        <w:bidi w:val="0"/>
        <w:spacing w:line="480" w:lineRule="exact"/>
        <w:rPr>
          <w:rFonts w:hint="eastAsia" w:ascii="宋体" w:hAnsi="宋体" w:eastAsia="宋体" w:cs="宋体"/>
          <w:b/>
          <w:color w:val="auto"/>
          <w:sz w:val="24"/>
          <w:szCs w:val="24"/>
        </w:rPr>
      </w:pPr>
    </w:p>
    <w:p w14:paraId="2501252E">
      <w:pPr>
        <w:keepNext w:val="0"/>
        <w:keepLines w:val="0"/>
        <w:pageBreakBefore w:val="0"/>
        <w:kinsoku/>
        <w:wordWrap/>
        <w:overflowPunct/>
        <w:topLinePunct w:val="0"/>
        <w:bidi w:val="0"/>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三、交货地点</w:t>
      </w:r>
    </w:p>
    <w:p w14:paraId="7111126C">
      <w:pPr>
        <w:keepNext w:val="0"/>
        <w:keepLines w:val="0"/>
        <w:pageBreakBefore w:val="0"/>
        <w:kinsoku/>
        <w:wordWrap/>
        <w:overflowPunct/>
        <w:topLinePunct w:val="0"/>
        <w:bidi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1、合同签订后乙方接到甲方送货通知后2日内将货物送达至以下指定地点：</w:t>
      </w:r>
      <w:r>
        <w:rPr>
          <w:rFonts w:hint="eastAsia" w:ascii="宋体" w:hAnsi="宋体" w:eastAsia="宋体" w:cs="宋体"/>
          <w:color w:val="auto"/>
          <w:sz w:val="24"/>
          <w:szCs w:val="24"/>
          <w:u w:val="single"/>
        </w:rPr>
        <w:t xml:space="preserve">新疆医科大学附属肿瘤医院综合楼地下室库房 </w:t>
      </w:r>
      <w:r>
        <w:rPr>
          <w:rFonts w:hint="eastAsia" w:ascii="宋体" w:hAnsi="宋体" w:eastAsia="宋体" w:cs="宋体"/>
          <w:color w:val="auto"/>
          <w:sz w:val="24"/>
          <w:szCs w:val="24"/>
        </w:rPr>
        <w:t>，并确保在</w:t>
      </w:r>
      <w:r>
        <w:rPr>
          <w:rFonts w:hint="eastAsia" w:ascii="宋体" w:hAnsi="宋体" w:eastAsia="宋体" w:cs="宋体"/>
          <w:color w:val="auto"/>
          <w:sz w:val="24"/>
          <w:szCs w:val="24"/>
          <w:u w:val="single"/>
        </w:rPr>
        <w:t xml:space="preserve"> 当 </w:t>
      </w:r>
      <w:r>
        <w:rPr>
          <w:rFonts w:hint="eastAsia" w:ascii="宋体" w:hAnsi="宋体" w:eastAsia="宋体" w:cs="宋体"/>
          <w:color w:val="auto"/>
          <w:sz w:val="24"/>
          <w:szCs w:val="24"/>
        </w:rPr>
        <w:t>天内配合甲方完成验收工作。应急时乙方接到甲方订货电话需在2小时内将所需</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送至甲方指定地点</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运输途中的货物安全问题均由乙方负责。</w:t>
      </w:r>
    </w:p>
    <w:p w14:paraId="4B659E89">
      <w:pPr>
        <w:keepNext w:val="0"/>
        <w:keepLines w:val="0"/>
        <w:pageBreakBefore w:val="0"/>
        <w:kinsoku/>
        <w:wordWrap/>
        <w:overflowPunct/>
        <w:topLinePunct w:val="0"/>
        <w:bidi w:val="0"/>
        <w:spacing w:line="480" w:lineRule="exact"/>
        <w:ind w:firstLine="360" w:firstLineChars="150"/>
        <w:rPr>
          <w:rFonts w:hint="eastAsia" w:ascii="宋体" w:hAnsi="宋体" w:eastAsia="宋体" w:cs="宋体"/>
          <w:color w:val="auto"/>
          <w:sz w:val="24"/>
          <w:szCs w:val="24"/>
          <w:u w:val="single"/>
        </w:rPr>
      </w:pPr>
      <w:r>
        <w:rPr>
          <w:rFonts w:hint="eastAsia" w:ascii="宋体" w:hAnsi="宋体" w:eastAsia="宋体" w:cs="宋体"/>
          <w:color w:val="auto"/>
          <w:sz w:val="24"/>
          <w:szCs w:val="24"/>
        </w:rPr>
        <w:t>2、甲方指定的接货人为：</w:t>
      </w:r>
      <w:r>
        <w:rPr>
          <w:rFonts w:hint="eastAsia" w:ascii="宋体" w:hAnsi="宋体" w:eastAsia="宋体" w:cs="宋体"/>
          <w:color w:val="auto"/>
          <w:sz w:val="24"/>
          <w:szCs w:val="24"/>
          <w:u w:val="single"/>
        </w:rPr>
        <w:t>采购供应科采购员或后勤管理科库房管理员</w:t>
      </w:r>
      <w:r>
        <w:rPr>
          <w:rFonts w:hint="eastAsia" w:ascii="宋体" w:hAnsi="宋体" w:eastAsia="宋体" w:cs="宋体"/>
          <w:color w:val="auto"/>
          <w:sz w:val="24"/>
          <w:szCs w:val="24"/>
        </w:rPr>
        <w:t>；双方明确，除该指定接货人外，其他任何人员（包括甲方的其他任何工作人员）签署的接货单，甲方均不予认可。</w:t>
      </w:r>
    </w:p>
    <w:p w14:paraId="3B8AA93F">
      <w:pPr>
        <w:keepNext w:val="0"/>
        <w:keepLines w:val="0"/>
        <w:pageBreakBefore w:val="0"/>
        <w:kinsoku/>
        <w:wordWrap/>
        <w:overflowPunct/>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3、在交付时，乙方必须向甲方提供质量合格证书、技术资料（操作、维修、保养）、保修凭证等一切相关资料及配件，否则，甲方有权不予付款且不承担违约责任。</w:t>
      </w:r>
    </w:p>
    <w:p w14:paraId="1152031A">
      <w:pPr>
        <w:keepNext w:val="0"/>
        <w:keepLines w:val="0"/>
        <w:pageBreakBefore w:val="0"/>
        <w:kinsoku/>
        <w:wordWrap/>
        <w:overflowPunct/>
        <w:topLinePunct w:val="0"/>
        <w:bidi w:val="0"/>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4、货物交付完成且经甲方验收合格前，本合同项下商品的损毁灭失风险由乙方承担，货物交付完成且经甲方验收合格后，商品的所有权及损毁灭失风险转移至甲方。</w:t>
      </w:r>
    </w:p>
    <w:p w14:paraId="16AE4CDD">
      <w:pPr>
        <w:keepNext w:val="0"/>
        <w:keepLines w:val="0"/>
        <w:pageBreakBefore w:val="0"/>
        <w:kinsoku/>
        <w:wordWrap/>
        <w:overflowPunct/>
        <w:topLinePunct w:val="0"/>
        <w:bidi w:val="0"/>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、质保期</w:t>
      </w:r>
    </w:p>
    <w:p w14:paraId="0F5F8489">
      <w:pPr>
        <w:keepNext w:val="0"/>
        <w:keepLines w:val="0"/>
        <w:pageBreakBefore w:val="0"/>
        <w:kinsoku/>
        <w:wordWrap/>
        <w:overflowPunct/>
        <w:topLinePunct w:val="0"/>
        <w:bidi w:val="0"/>
        <w:spacing w:line="480" w:lineRule="exact"/>
        <w:ind w:firstLine="561"/>
        <w:jc w:val="left"/>
        <w:rPr>
          <w:rFonts w:hint="eastAsia" w:ascii="宋体" w:hAnsi="宋体" w:eastAsia="宋体" w:cs="宋体"/>
          <w:color w:val="auto"/>
          <w:sz w:val="24"/>
          <w:szCs w:val="24"/>
        </w:rPr>
      </w:pPr>
      <w:r>
        <w:rPr>
          <w:rFonts w:hint="eastAsia" w:ascii="宋体" w:hAnsi="宋体" w:eastAsia="宋体" w:cs="宋体"/>
          <w:color w:val="auto"/>
          <w:sz w:val="24"/>
          <w:szCs w:val="24"/>
        </w:rPr>
        <w:t>医疗用食品质保期为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rPr>
        <w:t>，自甲方验收合格之日起算；乙方必须确保供货产品与投标产品一致，包装完好。</w:t>
      </w:r>
    </w:p>
    <w:p w14:paraId="3E9AF1C3">
      <w:pPr>
        <w:keepNext w:val="0"/>
        <w:keepLines w:val="0"/>
        <w:pageBreakBefore w:val="0"/>
        <w:kinsoku/>
        <w:wordWrap/>
        <w:overflowPunct/>
        <w:topLinePunct w:val="0"/>
        <w:bidi w:val="0"/>
        <w:spacing w:line="480" w:lineRule="exact"/>
        <w:ind w:firstLine="561"/>
        <w:jc w:val="left"/>
        <w:rPr>
          <w:rFonts w:hint="eastAsia" w:ascii="宋体" w:hAnsi="宋体" w:eastAsia="宋体" w:cs="宋体"/>
          <w:color w:val="auto"/>
          <w:sz w:val="24"/>
          <w:szCs w:val="24"/>
        </w:rPr>
      </w:pPr>
      <w:r>
        <w:rPr>
          <w:rFonts w:hint="eastAsia" w:ascii="宋体" w:hAnsi="宋体" w:eastAsia="宋体" w:cs="宋体"/>
          <w:color w:val="auto"/>
          <w:sz w:val="24"/>
          <w:szCs w:val="24"/>
        </w:rPr>
        <w:t>乙方保证本合同货物是全新的、未使用过的，并符合国家技术规格和国家质量标准的出厂原装合格产品，产品型号、数量、规格及技术、质量标准、售后服务必须满足甲方和自治区政府采购合同定点采购要求。</w:t>
      </w:r>
    </w:p>
    <w:p w14:paraId="0E5FD97F">
      <w:pPr>
        <w:keepNext w:val="0"/>
        <w:keepLines w:val="0"/>
        <w:pageBreakBefore w:val="0"/>
        <w:kinsoku/>
        <w:wordWrap/>
        <w:overflowPunct/>
        <w:topLinePunct w:val="0"/>
        <w:bidi w:val="0"/>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、验收</w:t>
      </w:r>
    </w:p>
    <w:p w14:paraId="088DBE0E">
      <w:pPr>
        <w:keepNext w:val="0"/>
        <w:keepLines w:val="0"/>
        <w:pageBreakBefore w:val="0"/>
        <w:kinsoku/>
        <w:wordWrap/>
        <w:overflowPunct/>
        <w:topLinePunct w:val="0"/>
        <w:bidi w:val="0"/>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14:paraId="66751516">
      <w:pPr>
        <w:keepNext w:val="0"/>
        <w:keepLines w:val="0"/>
        <w:pageBreakBefore w:val="0"/>
        <w:kinsoku/>
        <w:wordWrap/>
        <w:overflowPunct/>
        <w:topLinePunct w:val="0"/>
        <w:bidi w:val="0"/>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数量:乙方交货时，甲乙双方应各指定一名工作人员对货物数量进行统计，交货完成后，就甲方验收合格的货物数量，由双方各自指定的工作人员在交货清单上签字确认，交货清单一式两份，作为今后双方结算的依据。</w:t>
      </w:r>
    </w:p>
    <w:p w14:paraId="66EF1AEF">
      <w:pPr>
        <w:keepNext w:val="0"/>
        <w:keepLines w:val="0"/>
        <w:pageBreakBefore w:val="0"/>
        <w:kinsoku/>
        <w:wordWrap/>
        <w:overflowPunct/>
        <w:topLinePunct w:val="0"/>
        <w:bidi w:val="0"/>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6AD142C4">
      <w:pPr>
        <w:keepNext w:val="0"/>
        <w:keepLines w:val="0"/>
        <w:pageBreakBefore w:val="0"/>
        <w:kinsoku/>
        <w:wordWrap/>
        <w:overflowPunct/>
        <w:topLinePunct w:val="0"/>
        <w:bidi w:val="0"/>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4A6D2200">
      <w:pPr>
        <w:keepNext w:val="0"/>
        <w:keepLines w:val="0"/>
        <w:pageBreakBefore w:val="0"/>
        <w:kinsoku/>
        <w:wordWrap/>
        <w:overflowPunct/>
        <w:topLinePunct w:val="0"/>
        <w:bidi w:val="0"/>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5、乙方交货并保证货物出厂无瑕疵，经甲方验收合格后进入保修期。</w:t>
      </w:r>
    </w:p>
    <w:p w14:paraId="4F7141B7">
      <w:pPr>
        <w:keepNext w:val="0"/>
        <w:keepLines w:val="0"/>
        <w:pageBreakBefore w:val="0"/>
        <w:kinsoku/>
        <w:wordWrap/>
        <w:overflowPunct/>
        <w:topLinePunct w:val="0"/>
        <w:bidi w:val="0"/>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6、乙方要向甲方提供送货单一式三联（甲方留一联、乙方留二联），并在送货单上注明物品名称、品牌、型号规格验收合格后由甲方签字以备双方结算用。</w:t>
      </w:r>
    </w:p>
    <w:p w14:paraId="3CCE95CC">
      <w:pPr>
        <w:keepNext w:val="0"/>
        <w:keepLines w:val="0"/>
        <w:pageBreakBefore w:val="0"/>
        <w:kinsoku/>
        <w:wordWrap/>
        <w:overflowPunct/>
        <w:topLinePunct w:val="0"/>
        <w:bidi w:val="0"/>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、售后服务</w:t>
      </w:r>
    </w:p>
    <w:p w14:paraId="5DF068DA">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1、上述产品的质保期为交货并验收合格后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年 </w:t>
      </w:r>
      <w:r>
        <w:rPr>
          <w:rFonts w:hint="eastAsia" w:ascii="宋体" w:hAnsi="宋体" w:eastAsia="宋体" w:cs="宋体"/>
          <w:color w:val="auto"/>
          <w:sz w:val="24"/>
          <w:szCs w:val="24"/>
          <w:u w:val="single"/>
          <w:lang w:eastAsia="zh-CN"/>
        </w:rPr>
        <w:t>。</w:t>
      </w:r>
    </w:p>
    <w:p w14:paraId="2403D2FC">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2、乙方售后服务地址：</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，售后服务联系人：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CN"/>
        </w:rPr>
        <w:t>。</w:t>
      </w:r>
    </w:p>
    <w:p w14:paraId="126027EB">
      <w:pPr>
        <w:keepNext w:val="0"/>
        <w:keepLines w:val="0"/>
        <w:pageBreakBefore w:val="0"/>
        <w:kinsoku/>
        <w:wordWrap/>
        <w:overflowPunct/>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质保期内所发生的一切费用由乙方承担，质保期内出现问题时，接到甲方反映问题的通知后乙方应积极与甲方保持沟通联络，双方共同协商解决办法，甲方有权决定最终解决办法，乙方应在48小时内采取措施解决所有问题，逾期则应承担本合同规定的违约责任。</w:t>
      </w:r>
    </w:p>
    <w:p w14:paraId="0A657BD7">
      <w:pPr>
        <w:keepNext w:val="0"/>
        <w:keepLines w:val="0"/>
        <w:pageBreakBefore w:val="0"/>
        <w:kinsoku/>
        <w:wordWrap/>
        <w:overflowPunct/>
        <w:topLinePunct w:val="0"/>
        <w:bidi w:val="0"/>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七</w:t>
      </w:r>
      <w:r>
        <w:rPr>
          <w:rFonts w:hint="eastAsia" w:ascii="宋体" w:hAnsi="宋体" w:eastAsia="宋体" w:cs="宋体"/>
          <w:b/>
          <w:color w:val="auto"/>
          <w:sz w:val="24"/>
          <w:szCs w:val="24"/>
        </w:rPr>
        <w:t>、违约责任</w:t>
      </w:r>
    </w:p>
    <w:p w14:paraId="1BA2E10A">
      <w:pPr>
        <w:keepNext w:val="0"/>
        <w:keepLines w:val="0"/>
        <w:pageBreakBefore w:val="0"/>
        <w:kinsoku/>
        <w:wordWrap/>
        <w:overflowPunct/>
        <w:topLinePunct w:val="0"/>
        <w:bidi w:val="0"/>
        <w:spacing w:line="480" w:lineRule="exact"/>
        <w:ind w:firstLine="561"/>
        <w:jc w:val="left"/>
        <w:rPr>
          <w:rFonts w:hint="eastAsia" w:ascii="宋体" w:hAnsi="宋体" w:eastAsia="宋体" w:cs="宋体"/>
          <w:color w:val="auto"/>
          <w:sz w:val="24"/>
          <w:szCs w:val="24"/>
        </w:rPr>
      </w:pPr>
      <w:r>
        <w:rPr>
          <w:rFonts w:hint="eastAsia" w:ascii="宋体" w:hAnsi="宋体" w:eastAsia="宋体" w:cs="宋体"/>
          <w:color w:val="auto"/>
          <w:sz w:val="24"/>
          <w:szCs w:val="24"/>
        </w:rPr>
        <w:t>1、逾期违约责任</w:t>
      </w:r>
    </w:p>
    <w:p w14:paraId="18D71D09">
      <w:pPr>
        <w:keepNext w:val="0"/>
        <w:keepLines w:val="0"/>
        <w:pageBreakBefore w:val="0"/>
        <w:kinsoku/>
        <w:wordWrap/>
        <w:overflowPunct/>
        <w:topLinePunct w:val="0"/>
        <w:bidi w:val="0"/>
        <w:spacing w:line="480" w:lineRule="exact"/>
        <w:ind w:firstLine="561"/>
        <w:jc w:val="left"/>
        <w:rPr>
          <w:rFonts w:hint="eastAsia" w:ascii="宋体" w:hAnsi="宋体" w:eastAsia="宋体" w:cs="宋体"/>
          <w:color w:val="auto"/>
          <w:sz w:val="24"/>
          <w:szCs w:val="24"/>
        </w:rPr>
      </w:pPr>
      <w:r>
        <w:rPr>
          <w:rFonts w:hint="eastAsia" w:ascii="宋体" w:hAnsi="宋体" w:eastAsia="宋体" w:cs="宋体"/>
          <w:color w:val="auto"/>
          <w:sz w:val="24"/>
          <w:szCs w:val="24"/>
        </w:rPr>
        <w:t>（1）乙方须严格按照合同规定的时间交货。</w:t>
      </w:r>
    </w:p>
    <w:p w14:paraId="2EB835F2">
      <w:pPr>
        <w:keepNext w:val="0"/>
        <w:keepLines w:val="0"/>
        <w:pageBreakBefore w:val="0"/>
        <w:kinsoku/>
        <w:wordWrap/>
        <w:overflowPunct/>
        <w:topLinePunct w:val="0"/>
        <w:bidi w:val="0"/>
        <w:spacing w:line="480" w:lineRule="exact"/>
        <w:ind w:firstLine="561"/>
        <w:jc w:val="left"/>
        <w:rPr>
          <w:rFonts w:hint="eastAsia" w:ascii="宋体" w:hAnsi="宋体" w:eastAsia="宋体" w:cs="宋体"/>
          <w:color w:val="auto"/>
          <w:sz w:val="24"/>
          <w:szCs w:val="24"/>
        </w:rPr>
      </w:pPr>
      <w:r>
        <w:rPr>
          <w:rFonts w:hint="eastAsia" w:ascii="宋体" w:hAnsi="宋体" w:eastAsia="宋体" w:cs="宋体"/>
          <w:color w:val="auto"/>
          <w:sz w:val="24"/>
          <w:szCs w:val="24"/>
        </w:rPr>
        <w:t>（2）质保期内发现医疗用食品有质量问题,乙方在接到通知后的2天内进行更换完毕,并承担调换或者退货而支付的相关的运费、税金售后服务等所有费用。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以上任何一项逾期,均视为乙方违约,乙方需承担合同实际发生额的30%违约金,若</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不支付,甲方有权从未支付货款中扣除;如果逾期5天后仍未能交货,甲方有权解除合同,乙方仍有义务支付上述违约金，如乙方拒绝支付违约金，甲方有权要求乙方赔偿甲方由此违约行为及拒付行为的一切损失。</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2、合同生效后,乙方未按照本合同执行相应义务(不可抗力原因除外),视为乙方违约,甲方有权解除本合同，并要求乙方支付合同实际发生额的30%违约金。 </w:t>
      </w:r>
    </w:p>
    <w:p w14:paraId="53242CB3">
      <w:pPr>
        <w:keepNext w:val="0"/>
        <w:keepLines w:val="0"/>
        <w:pageBreakBefore w:val="0"/>
        <w:kinsoku/>
        <w:wordWrap/>
        <w:overflowPunct/>
        <w:topLinePunct w:val="0"/>
        <w:bidi w:val="0"/>
        <w:spacing w:line="480" w:lineRule="exact"/>
        <w:ind w:firstLine="561"/>
        <w:jc w:val="left"/>
        <w:rPr>
          <w:rFonts w:hint="eastAsia" w:ascii="宋体" w:hAnsi="宋体" w:eastAsia="宋体" w:cs="宋体"/>
          <w:color w:val="auto"/>
          <w:sz w:val="24"/>
          <w:szCs w:val="24"/>
        </w:rPr>
      </w:pPr>
      <w:r>
        <w:rPr>
          <w:rFonts w:hint="eastAsia" w:ascii="宋体" w:hAnsi="宋体" w:eastAsia="宋体" w:cs="宋体"/>
          <w:color w:val="auto"/>
          <w:sz w:val="24"/>
          <w:szCs w:val="24"/>
        </w:rPr>
        <w:t>3、乙方在合作期间出具的发票必须为真实有效的正规增值税发票，凡出现虚假发票，一律停止付款，乙方同意放弃全部应收货款的权利，甲方有权解除合同，所造成的一切后果由乙方承担。</w:t>
      </w:r>
    </w:p>
    <w:p w14:paraId="1795378F">
      <w:pPr>
        <w:keepNext w:val="0"/>
        <w:keepLines w:val="0"/>
        <w:pageBreakBefore w:val="0"/>
        <w:kinsoku/>
        <w:wordWrap/>
        <w:overflowPunct/>
        <w:topLinePunct w:val="0"/>
        <w:bidi w:val="0"/>
        <w:spacing w:line="480" w:lineRule="exact"/>
        <w:ind w:firstLine="561"/>
        <w:jc w:val="left"/>
        <w:rPr>
          <w:rFonts w:hint="eastAsia" w:ascii="宋体" w:hAnsi="宋体" w:eastAsia="宋体" w:cs="宋体"/>
          <w:color w:val="auto"/>
          <w:sz w:val="24"/>
          <w:szCs w:val="24"/>
        </w:rPr>
      </w:pPr>
      <w:r>
        <w:rPr>
          <w:rFonts w:hint="eastAsia" w:ascii="宋体" w:hAnsi="宋体" w:eastAsia="宋体" w:cs="宋体"/>
          <w:color w:val="auto"/>
          <w:sz w:val="24"/>
          <w:szCs w:val="24"/>
        </w:rPr>
        <w:t>4、如因乙方提供的医疗用食品出现质量问题，导致患者出现食物中毒事件时，由乙方承担全部责任并赔偿甲方所有损失，甲方有权单方面终止合同，乙方承担违约金10万元。</w:t>
      </w:r>
    </w:p>
    <w:p w14:paraId="146A1A6E">
      <w:pPr>
        <w:keepNext w:val="0"/>
        <w:keepLines w:val="0"/>
        <w:pageBreakBefore w:val="0"/>
        <w:kinsoku/>
        <w:wordWrap/>
        <w:overflowPunct/>
        <w:topLinePunct w:val="0"/>
        <w:bidi w:val="0"/>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八</w:t>
      </w:r>
      <w:r>
        <w:rPr>
          <w:rFonts w:hint="eastAsia" w:ascii="宋体" w:hAnsi="宋体" w:eastAsia="宋体" w:cs="宋体"/>
          <w:b/>
          <w:color w:val="auto"/>
          <w:sz w:val="24"/>
          <w:szCs w:val="24"/>
        </w:rPr>
        <w:t>、不可抗力</w:t>
      </w:r>
    </w:p>
    <w:p w14:paraId="0210EA51">
      <w:pPr>
        <w:keepNext w:val="0"/>
        <w:keepLines w:val="0"/>
        <w:pageBreakBefore w:val="0"/>
        <w:kinsoku/>
        <w:wordWrap/>
        <w:overflowPunct/>
        <w:topLinePunct w:val="0"/>
        <w:bidi w:val="0"/>
        <w:spacing w:line="480" w:lineRule="exact"/>
        <w:ind w:firstLine="360" w:firstLineChars="150"/>
        <w:rPr>
          <w:rFonts w:hint="eastAsia" w:ascii="宋体" w:hAnsi="宋体" w:eastAsia="宋体" w:cs="宋体"/>
          <w:bCs/>
          <w:color w:val="auto"/>
          <w:sz w:val="24"/>
          <w:szCs w:val="24"/>
        </w:rPr>
      </w:pPr>
      <w:r>
        <w:rPr>
          <w:rFonts w:hint="eastAsia" w:ascii="宋体" w:hAnsi="宋体" w:eastAsia="宋体" w:cs="宋体"/>
          <w:bCs/>
          <w:color w:val="auto"/>
          <w:sz w:val="24"/>
          <w:szCs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A5DA0C9">
      <w:pPr>
        <w:keepNext w:val="0"/>
        <w:keepLines w:val="0"/>
        <w:pageBreakBefore w:val="0"/>
        <w:kinsoku/>
        <w:wordWrap/>
        <w:overflowPunct/>
        <w:topLinePunct w:val="0"/>
        <w:bidi w:val="0"/>
        <w:spacing w:line="480" w:lineRule="exact"/>
        <w:ind w:firstLine="360" w:firstLineChars="150"/>
        <w:rPr>
          <w:rFonts w:hint="eastAsia" w:ascii="宋体" w:hAnsi="宋体" w:eastAsia="宋体" w:cs="宋体"/>
          <w:bCs/>
          <w:color w:val="auto"/>
          <w:sz w:val="24"/>
          <w:szCs w:val="24"/>
        </w:rPr>
      </w:pPr>
      <w:r>
        <w:rPr>
          <w:rFonts w:hint="eastAsia" w:ascii="宋体" w:hAnsi="宋体" w:eastAsia="宋体" w:cs="宋体"/>
          <w:bCs/>
          <w:color w:val="auto"/>
          <w:sz w:val="24"/>
          <w:szCs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1E02DC91">
      <w:pPr>
        <w:keepNext w:val="0"/>
        <w:keepLines w:val="0"/>
        <w:pageBreakBefore w:val="0"/>
        <w:kinsoku/>
        <w:wordWrap/>
        <w:overflowPunct/>
        <w:topLinePunct w:val="0"/>
        <w:bidi w:val="0"/>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九</w:t>
      </w:r>
      <w:r>
        <w:rPr>
          <w:rFonts w:hint="eastAsia" w:ascii="宋体" w:hAnsi="宋体" w:eastAsia="宋体" w:cs="宋体"/>
          <w:b/>
          <w:color w:val="auto"/>
          <w:sz w:val="24"/>
          <w:szCs w:val="24"/>
        </w:rPr>
        <w:t>、争议解决</w:t>
      </w:r>
    </w:p>
    <w:p w14:paraId="375E3863">
      <w:pPr>
        <w:keepNext w:val="0"/>
        <w:keepLines w:val="0"/>
        <w:pageBreakBefore w:val="0"/>
        <w:kinsoku/>
        <w:wordWrap/>
        <w:overflowPunct/>
        <w:topLinePunct w:val="0"/>
        <w:bidi w:val="0"/>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本合同如发生纠纷，当事人双方应当及时协商解决，协商不成时，可向甲方所在地人民法院起诉。</w:t>
      </w:r>
    </w:p>
    <w:p w14:paraId="1D7A01A2">
      <w:pPr>
        <w:keepNext w:val="0"/>
        <w:keepLines w:val="0"/>
        <w:pageBreakBefore w:val="0"/>
        <w:kinsoku/>
        <w:wordWrap/>
        <w:overflowPunct/>
        <w:topLinePunct w:val="0"/>
        <w:bidi w:val="0"/>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十、合同的文本及生效</w:t>
      </w:r>
    </w:p>
    <w:p w14:paraId="280C3B0A">
      <w:pPr>
        <w:spacing w:line="520" w:lineRule="exact"/>
        <w:ind w:firstLine="360" w:firstLineChars="150"/>
        <w:rPr>
          <w:rFonts w:hint="eastAsia" w:ascii="宋体" w:hAnsi="宋体" w:eastAsia="宋体" w:cs="宋体"/>
          <w:bCs/>
          <w:color w:val="auto"/>
          <w:sz w:val="24"/>
          <w:szCs w:val="24"/>
        </w:rPr>
      </w:pPr>
      <w:r>
        <w:rPr>
          <w:rFonts w:hint="eastAsia" w:ascii="宋体" w:hAnsi="宋体" w:eastAsia="宋体" w:cs="宋体"/>
          <w:bCs/>
          <w:color w:val="auto"/>
          <w:sz w:val="24"/>
          <w:szCs w:val="24"/>
        </w:rPr>
        <w:t>1、本合同</w:t>
      </w:r>
      <w:r>
        <w:rPr>
          <w:rFonts w:hint="eastAsia" w:ascii="宋体" w:hAnsi="宋体" w:eastAsia="宋体" w:cs="宋体"/>
          <w:color w:val="auto"/>
          <w:sz w:val="24"/>
          <w:szCs w:val="24"/>
        </w:rPr>
        <w:t>供货期</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两年（1+1方式），一年一签，首年合同履行到期后，由院方管理部门进行考核，合格后方可续签次年服务合同。自202</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日—202</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日。</w:t>
      </w:r>
    </w:p>
    <w:p w14:paraId="263DCD4F">
      <w:pPr>
        <w:keepNext w:val="0"/>
        <w:keepLines w:val="0"/>
        <w:pageBreakBefore w:val="0"/>
        <w:kinsoku/>
        <w:wordWrap/>
        <w:overflowPunct/>
        <w:topLinePunct w:val="0"/>
        <w:bidi w:val="0"/>
        <w:spacing w:line="480" w:lineRule="exact"/>
        <w:ind w:firstLine="360" w:firstLineChars="150"/>
        <w:rPr>
          <w:rFonts w:hint="eastAsia" w:ascii="宋体" w:hAnsi="宋体" w:eastAsia="宋体" w:cs="宋体"/>
          <w:bCs/>
          <w:color w:val="auto"/>
          <w:sz w:val="24"/>
          <w:szCs w:val="24"/>
        </w:rPr>
      </w:pPr>
      <w:r>
        <w:rPr>
          <w:rFonts w:hint="eastAsia" w:ascii="宋体" w:hAnsi="宋体" w:eastAsia="宋体" w:cs="宋体"/>
          <w:bCs/>
          <w:color w:val="auto"/>
          <w:sz w:val="24"/>
          <w:szCs w:val="24"/>
        </w:rPr>
        <w:t>2、本合同一式陆份，甲方</w:t>
      </w:r>
      <w:r>
        <w:rPr>
          <w:rFonts w:hint="eastAsia" w:ascii="宋体" w:hAnsi="宋体" w:eastAsia="宋体" w:cs="宋体"/>
          <w:bCs/>
          <w:color w:val="auto"/>
          <w:sz w:val="24"/>
          <w:szCs w:val="24"/>
          <w:lang w:eastAsia="zh-CN"/>
        </w:rPr>
        <w:t>执</w:t>
      </w:r>
      <w:r>
        <w:rPr>
          <w:rFonts w:hint="eastAsia" w:ascii="宋体" w:hAnsi="宋体" w:eastAsia="宋体" w:cs="宋体"/>
          <w:bCs/>
          <w:color w:val="auto"/>
          <w:sz w:val="24"/>
          <w:szCs w:val="24"/>
        </w:rPr>
        <w:t>伍份、乙方</w:t>
      </w:r>
      <w:r>
        <w:rPr>
          <w:rFonts w:hint="eastAsia" w:ascii="宋体" w:hAnsi="宋体" w:eastAsia="宋体" w:cs="宋体"/>
          <w:bCs/>
          <w:color w:val="auto"/>
          <w:sz w:val="24"/>
          <w:szCs w:val="24"/>
          <w:lang w:eastAsia="zh-CN"/>
        </w:rPr>
        <w:t>执</w:t>
      </w:r>
      <w:r>
        <w:rPr>
          <w:rFonts w:hint="eastAsia" w:ascii="宋体" w:hAnsi="宋体" w:eastAsia="宋体" w:cs="宋体"/>
          <w:bCs/>
          <w:color w:val="auto"/>
          <w:sz w:val="24"/>
          <w:szCs w:val="24"/>
        </w:rPr>
        <w:t>壹份</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均具有同等的法律效力</w:t>
      </w:r>
      <w:r>
        <w:rPr>
          <w:rFonts w:hint="eastAsia" w:ascii="宋体" w:hAnsi="宋体" w:eastAsia="宋体" w:cs="宋体"/>
          <w:bCs/>
          <w:color w:val="auto"/>
          <w:sz w:val="24"/>
          <w:szCs w:val="24"/>
        </w:rPr>
        <w:t>。</w:t>
      </w:r>
    </w:p>
    <w:p w14:paraId="741BF139">
      <w:pPr>
        <w:keepNext w:val="0"/>
        <w:keepLines w:val="0"/>
        <w:pageBreakBefore w:val="0"/>
        <w:kinsoku/>
        <w:wordWrap/>
        <w:overflowPunct/>
        <w:topLinePunct w:val="0"/>
        <w:bidi w:val="0"/>
        <w:spacing w:line="480" w:lineRule="exact"/>
        <w:ind w:firstLine="360" w:firstLineChars="150"/>
        <w:rPr>
          <w:rFonts w:hint="eastAsia" w:ascii="宋体" w:hAnsi="宋体" w:eastAsia="宋体" w:cs="宋体"/>
          <w:bCs/>
          <w:color w:val="auto"/>
          <w:sz w:val="24"/>
          <w:szCs w:val="24"/>
        </w:rPr>
      </w:pPr>
      <w:r>
        <w:rPr>
          <w:rFonts w:hint="eastAsia" w:ascii="宋体" w:hAnsi="宋体" w:eastAsia="宋体" w:cs="宋体"/>
          <w:bCs/>
          <w:color w:val="auto"/>
          <w:sz w:val="24"/>
          <w:szCs w:val="24"/>
        </w:rPr>
        <w:t>3、本合同经双方法定代表人签字或单位盖章或双方委托代理人签字成立生效。</w:t>
      </w:r>
    </w:p>
    <w:p w14:paraId="1D42B580">
      <w:pPr>
        <w:keepNext w:val="0"/>
        <w:keepLines w:val="0"/>
        <w:pageBreakBefore w:val="0"/>
        <w:kinsoku/>
        <w:wordWrap/>
        <w:overflowPunct/>
        <w:topLinePunct w:val="0"/>
        <w:bidi w:val="0"/>
        <w:spacing w:line="480" w:lineRule="exact"/>
        <w:ind w:firstLine="360" w:firstLineChars="150"/>
        <w:rPr>
          <w:rFonts w:hint="eastAsia" w:ascii="宋体" w:hAnsi="宋体" w:eastAsia="宋体" w:cs="宋体"/>
          <w:bCs/>
          <w:color w:val="auto"/>
          <w:sz w:val="24"/>
          <w:szCs w:val="24"/>
        </w:rPr>
      </w:pPr>
      <w:r>
        <w:rPr>
          <w:rFonts w:hint="eastAsia" w:ascii="宋体" w:hAnsi="宋体" w:eastAsia="宋体" w:cs="宋体"/>
          <w:bCs/>
          <w:color w:val="auto"/>
          <w:sz w:val="24"/>
          <w:szCs w:val="24"/>
        </w:rPr>
        <w:t>4、合同内容如遇国家法律、法规及政策另有规定的，从其规定。</w:t>
      </w:r>
    </w:p>
    <w:p w14:paraId="63738A2B">
      <w:pPr>
        <w:keepNext w:val="0"/>
        <w:keepLines w:val="0"/>
        <w:pageBreakBefore w:val="0"/>
        <w:kinsoku/>
        <w:wordWrap/>
        <w:overflowPunct/>
        <w:topLinePunct w:val="0"/>
        <w:bidi w:val="0"/>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、其他约定事项</w:t>
      </w:r>
    </w:p>
    <w:p w14:paraId="358079F6">
      <w:pPr>
        <w:keepNext w:val="0"/>
        <w:keepLines w:val="0"/>
        <w:pageBreakBefore w:val="0"/>
        <w:kinsoku/>
        <w:wordWrap/>
        <w:overflowPunct/>
        <w:topLinePunct w:val="0"/>
        <w:bidi w:val="0"/>
        <w:spacing w:line="480" w:lineRule="exact"/>
        <w:ind w:firstLine="240" w:firstLineChars="100"/>
        <w:rPr>
          <w:rStyle w:val="46"/>
          <w:rFonts w:hint="eastAsia" w:ascii="宋体" w:hAnsi="宋体" w:eastAsia="宋体" w:cs="宋体"/>
          <w:color w:val="auto"/>
          <w:sz w:val="24"/>
          <w:szCs w:val="24"/>
        </w:rPr>
      </w:pPr>
      <w:r>
        <w:rPr>
          <w:rFonts w:hint="eastAsia" w:ascii="宋体" w:hAnsi="宋体" w:eastAsia="宋体" w:cs="宋体"/>
          <w:color w:val="auto"/>
          <w:sz w:val="24"/>
          <w:szCs w:val="24"/>
        </w:rPr>
        <w:t>1、</w:t>
      </w:r>
      <w:r>
        <w:rPr>
          <w:rStyle w:val="46"/>
          <w:rFonts w:hint="eastAsia" w:ascii="宋体" w:hAnsi="宋体" w:eastAsia="宋体" w:cs="宋体"/>
          <w:color w:val="auto"/>
          <w:sz w:val="24"/>
          <w:szCs w:val="24"/>
        </w:rPr>
        <w:t>与本合同有关的采购询价单是本合同不可分割的组成部分，与本合同具有同等法律效力，其他未尽事宜，从其规定。</w:t>
      </w:r>
    </w:p>
    <w:p w14:paraId="48F8B9BC">
      <w:pPr>
        <w:keepNext w:val="0"/>
        <w:keepLines w:val="0"/>
        <w:pageBreakBefore w:val="0"/>
        <w:kinsoku/>
        <w:wordWrap/>
        <w:overflowPunct/>
        <w:topLinePunct w:val="0"/>
        <w:bidi w:val="0"/>
        <w:spacing w:line="480" w:lineRule="exact"/>
        <w:ind w:firstLine="240" w:firstLineChars="100"/>
        <w:rPr>
          <w:rStyle w:val="46"/>
          <w:rFonts w:hint="eastAsia" w:ascii="宋体" w:hAnsi="宋体" w:eastAsia="宋体" w:cs="宋体"/>
          <w:color w:val="auto"/>
          <w:sz w:val="24"/>
          <w:szCs w:val="24"/>
        </w:rPr>
      </w:pPr>
      <w:r>
        <w:rPr>
          <w:rStyle w:val="46"/>
          <w:rFonts w:hint="eastAsia" w:ascii="宋体" w:hAnsi="宋体" w:eastAsia="宋体" w:cs="宋体"/>
          <w:color w:val="auto"/>
          <w:sz w:val="24"/>
          <w:szCs w:val="24"/>
        </w:rPr>
        <w:t>2、本合同首部的双方联系方式及地址为双方有效的送达地址，如有一方地址发生变更，应在变更后当日向对方书面通知，如因变更方未及时通知，相对方按合同首部地址送达的，视为送达成功。</w:t>
      </w:r>
    </w:p>
    <w:p w14:paraId="541C1E91">
      <w:pPr>
        <w:spacing w:line="520" w:lineRule="exact"/>
        <w:ind w:firstLine="1440" w:firstLineChars="600"/>
        <w:rPr>
          <w:rFonts w:hint="eastAsia" w:ascii="宋体" w:hAnsi="宋体" w:eastAsia="宋体" w:cs="宋体"/>
          <w:color w:val="auto"/>
          <w:sz w:val="24"/>
          <w:szCs w:val="24"/>
        </w:rPr>
      </w:pPr>
    </w:p>
    <w:p w14:paraId="6925CD83">
      <w:pPr>
        <w:spacing w:line="52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（以下无正文，为本合同签署页）</w:t>
      </w:r>
    </w:p>
    <w:p w14:paraId="2926C0DB">
      <w:pPr>
        <w:pStyle w:val="28"/>
        <w:rPr>
          <w:rFonts w:hint="eastAsia" w:ascii="宋体" w:hAnsi="宋体" w:eastAsia="宋体" w:cs="宋体"/>
          <w:sz w:val="24"/>
          <w:szCs w:val="24"/>
        </w:rPr>
      </w:pPr>
    </w:p>
    <w:p w14:paraId="25C147FA">
      <w:pPr>
        <w:pStyle w:val="28"/>
        <w:rPr>
          <w:rFonts w:hint="eastAsia" w:ascii="宋体" w:hAnsi="宋体" w:eastAsia="宋体" w:cs="宋体"/>
          <w:sz w:val="24"/>
          <w:szCs w:val="24"/>
        </w:rPr>
      </w:pPr>
    </w:p>
    <w:p w14:paraId="75E7F7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甲方（盖章）：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乙方（盖章）：</w:t>
      </w:r>
    </w:p>
    <w:p w14:paraId="1868FD3A">
      <w:pPr>
        <w:pStyle w:val="28"/>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color w:val="auto"/>
          <w:sz w:val="24"/>
          <w:szCs w:val="24"/>
        </w:rPr>
      </w:pPr>
    </w:p>
    <w:p w14:paraId="2AA9523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或</w:t>
      </w:r>
    </w:p>
    <w:p w14:paraId="35D3D74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授权代表（签字）：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授权代表（签字）：</w:t>
      </w:r>
    </w:p>
    <w:p w14:paraId="782F9C2C">
      <w:pPr>
        <w:pStyle w:val="28"/>
        <w:rPr>
          <w:rFonts w:hint="eastAsia" w:ascii="宋体" w:hAnsi="宋体" w:eastAsia="宋体" w:cs="宋体"/>
          <w:sz w:val="24"/>
          <w:szCs w:val="24"/>
        </w:rPr>
      </w:pPr>
    </w:p>
    <w:p w14:paraId="33062A92">
      <w:pPr>
        <w:rPr>
          <w:rFonts w:hint="eastAsia" w:ascii="宋体" w:hAnsi="宋体" w:eastAsia="宋体" w:cs="宋体"/>
          <w:snapToGrid w:val="0"/>
          <w:color w:val="auto"/>
          <w:spacing w:val="-9"/>
          <w:kern w:val="0"/>
          <w:sz w:val="24"/>
          <w:szCs w:val="24"/>
          <w:highlight w:val="none"/>
          <w:lang w:val="en-US" w:eastAsia="zh-CN"/>
        </w:rPr>
      </w:pPr>
      <w:r>
        <w:rPr>
          <w:rFonts w:hint="eastAsia" w:ascii="宋体" w:hAnsi="宋体" w:eastAsia="宋体" w:cs="宋体"/>
          <w:color w:val="auto"/>
          <w:sz w:val="24"/>
          <w:szCs w:val="24"/>
        </w:rPr>
        <w:t xml:space="preserve">日期：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日期：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lang w:val="en-US" w:eastAsia="zh-CN"/>
        </w:rPr>
        <w:t xml:space="preserve">    月    日</w:t>
      </w:r>
    </w:p>
    <w:sectPr>
      <w:headerReference r:id="rId7" w:type="default"/>
      <w:footerReference r:id="rId8"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2020400000000000000"/>
    <w:charset w:val="86"/>
    <w:family w:val="auto"/>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6B3C">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4414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14414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A2BD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2579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D2579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7C8D5">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6306B">
                          <w:pPr>
                            <w:pStyle w:val="1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76306B">
                    <w:pPr>
                      <w:pStyle w:val="1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CE46">
    <w:pPr>
      <w:pStyle w:val="19"/>
    </w:pPr>
    <w:r>
      <w:rPr>
        <w:rStyle w:val="46"/>
        <w:rFonts w:hint="eastAsia"/>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BB992">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1AAF7">
    <w:pPr>
      <w:pStyle w:val="19"/>
      <w:pBdr>
        <w:bottom w:val="none" w:color="auto" w:sz="0" w:space="1"/>
      </w:pBdr>
      <w:jc w:val="both"/>
    </w:pPr>
    <w:r>
      <w:rPr>
        <w:rStyle w:val="46"/>
        <w:rFonts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838D2"/>
    <w:multiLevelType w:val="singleLevel"/>
    <w:tmpl w:val="A6A838D2"/>
    <w:lvl w:ilvl="0" w:tentative="0">
      <w:start w:val="1"/>
      <w:numFmt w:val="chineseCounting"/>
      <w:suff w:val="nothing"/>
      <w:lvlText w:val="%1、"/>
      <w:lvlJc w:val="left"/>
      <w:rPr>
        <w:rFonts w:hint="eastAsia"/>
      </w:rPr>
    </w:lvl>
  </w:abstractNum>
  <w:abstractNum w:abstractNumId="1">
    <w:nsid w:val="00000000"/>
    <w:multiLevelType w:val="singleLevel"/>
    <w:tmpl w:val="00000000"/>
    <w:lvl w:ilvl="0" w:tentative="0">
      <w:start w:val="7"/>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suff w:val="nothing"/>
      <w:lvlText w:val="（%1）"/>
      <w:lvlJc w:val="left"/>
    </w:lvl>
    <w:lvl w:ilvl="1" w:tentative="0">
      <w:start w:val="1"/>
      <w:numFmt w:val="decimal"/>
      <w:suff w:val="nothing"/>
      <w:lvlText w:val="%1.%2"/>
      <w:lvlJc w:val="left"/>
      <w:pPr>
        <w:ind w:left="875" w:hanging="449"/>
      </w:pPr>
      <w:rPr>
        <w:rFonts w:hint="eastAsia"/>
      </w:rPr>
    </w:lvl>
    <w:lvl w:ilvl="2" w:tentative="0">
      <w:start w:val="1"/>
      <w:numFmt w:val="decimal"/>
      <w:suff w:val="nothing"/>
      <w:lvlText w:val="%1.%2.%3."/>
      <w:lvlJc w:val="left"/>
      <w:pPr>
        <w:ind w:left="1561"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00000004"/>
    <w:multiLevelType w:val="multilevel"/>
    <w:tmpl w:val="00000004"/>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5">
    <w:nsid w:val="0000000A"/>
    <w:multiLevelType w:val="multilevel"/>
    <w:tmpl w:val="0000000A"/>
    <w:lvl w:ilvl="0" w:tentative="0">
      <w:start w:val="1"/>
      <w:numFmt w:val="decimal"/>
      <w:suff w:val="nothing"/>
      <w:lvlText w:val="%1、"/>
      <w:lvlJc w:val="left"/>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6">
    <w:nsid w:val="0000000C"/>
    <w:multiLevelType w:val="multilevel"/>
    <w:tmpl w:val="0000000C"/>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704" w:firstLine="0"/>
      </w:pPr>
      <w:rPr>
        <w:rFonts w:hint="eastAsia"/>
        <w:spacing w:val="0"/>
        <w:w w:val="100"/>
        <w:kern w:val="21"/>
        <w:position w:val="0"/>
      </w:rPr>
    </w:lvl>
    <w:lvl w:ilvl="2" w:tentative="0">
      <w:start w:val="1"/>
      <w:numFmt w:val="decimal"/>
      <w:pStyle w:val="4"/>
      <w:isLgl/>
      <w:suff w:val="space"/>
      <w:lvlText w:val="%1.%2.%3"/>
      <w:lvlJc w:val="left"/>
      <w:pPr>
        <w:ind w:left="2410" w:firstLine="0"/>
      </w:pPr>
      <w:rPr>
        <w:rFonts w:hint="eastAsia"/>
        <w:color w:val="auto"/>
      </w:rPr>
    </w:lvl>
    <w:lvl w:ilvl="3" w:tentative="0">
      <w:start w:val="1"/>
      <w:numFmt w:val="decimal"/>
      <w:lvlText w:val="%1.%2.%3.%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abstractNum w:abstractNumId="7">
    <w:nsid w:val="0000000F"/>
    <w:multiLevelType w:val="singleLevel"/>
    <w:tmpl w:val="0000000F"/>
    <w:lvl w:ilvl="0" w:tentative="0">
      <w:start w:val="1"/>
      <w:numFmt w:val="decimal"/>
      <w:lvlText w:val="(%1)"/>
      <w:lvlJc w:val="left"/>
      <w:pPr>
        <w:ind w:left="425" w:hanging="425"/>
      </w:pPr>
      <w:rPr>
        <w:rFonts w:hint="default"/>
      </w:rPr>
    </w:lvl>
  </w:abstractNum>
  <w:abstractNum w:abstractNumId="8">
    <w:nsid w:val="00000010"/>
    <w:multiLevelType w:val="multilevel"/>
    <w:tmpl w:val="00000010"/>
    <w:lvl w:ilvl="0" w:tentative="0">
      <w:start w:val="1"/>
      <w:numFmt w:val="decimal"/>
      <w:lvlText w:val="%1、"/>
      <w:lvlJc w:val="left"/>
      <w:pPr>
        <w:tabs>
          <w:tab w:val="left" w:pos="740"/>
        </w:tabs>
        <w:ind w:left="1081" w:hanging="1081"/>
      </w:pPr>
      <w:rPr>
        <w:rFonts w:hint="default"/>
      </w:rPr>
    </w:lvl>
    <w:lvl w:ilvl="1" w:tentative="0">
      <w:start w:val="1"/>
      <w:numFmt w:val="decimal"/>
      <w:pStyle w:val="104"/>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singleLevel"/>
    <w:tmpl w:val="00000012"/>
    <w:lvl w:ilvl="0" w:tentative="0">
      <w:start w:val="1"/>
      <w:numFmt w:val="decimal"/>
      <w:suff w:val="nothing"/>
      <w:lvlText w:val="%1、"/>
      <w:lvlJc w:val="left"/>
    </w:lvl>
  </w:abstractNum>
  <w:abstractNum w:abstractNumId="10">
    <w:nsid w:val="00000015"/>
    <w:multiLevelType w:val="singleLevel"/>
    <w:tmpl w:val="00000015"/>
    <w:lvl w:ilvl="0" w:tentative="0">
      <w:start w:val="18"/>
      <w:numFmt w:val="decimal"/>
      <w:lvlText w:val="%1."/>
      <w:lvlJc w:val="left"/>
    </w:lvl>
  </w:abstractNum>
  <w:abstractNum w:abstractNumId="11">
    <w:nsid w:val="2C1D026A"/>
    <w:multiLevelType w:val="singleLevel"/>
    <w:tmpl w:val="2C1D026A"/>
    <w:lvl w:ilvl="0" w:tentative="0">
      <w:start w:val="1"/>
      <w:numFmt w:val="chineseCounting"/>
      <w:suff w:val="nothing"/>
      <w:lvlText w:val="%1、"/>
      <w:lvlJc w:val="left"/>
      <w:rPr>
        <w:rFonts w:hint="eastAsia"/>
      </w:rPr>
    </w:lvl>
  </w:abstractNum>
  <w:abstractNum w:abstractNumId="12">
    <w:nsid w:val="2C3EF7A0"/>
    <w:multiLevelType w:val="singleLevel"/>
    <w:tmpl w:val="2C3EF7A0"/>
    <w:lvl w:ilvl="0" w:tentative="0">
      <w:start w:val="4"/>
      <w:numFmt w:val="chineseCounting"/>
      <w:suff w:val="space"/>
      <w:lvlText w:val="第%1章"/>
      <w:lvlJc w:val="left"/>
      <w:rPr>
        <w:rFonts w:hint="eastAsia"/>
      </w:rPr>
    </w:lvl>
  </w:abstractNum>
  <w:num w:numId="1">
    <w:abstractNumId w:val="6"/>
  </w:num>
  <w:num w:numId="2">
    <w:abstractNumId w:val="4"/>
  </w:num>
  <w:num w:numId="3">
    <w:abstractNumId w:val="8"/>
  </w:num>
  <w:num w:numId="4">
    <w:abstractNumId w:val="7"/>
  </w:num>
  <w:num w:numId="5">
    <w:abstractNumId w:val="2"/>
  </w:num>
  <w:num w:numId="6">
    <w:abstractNumId w:val="10"/>
  </w:num>
  <w:num w:numId="7">
    <w:abstractNumId w:val="9"/>
  </w:num>
  <w:num w:numId="8">
    <w:abstractNumId w:val="1"/>
  </w:num>
  <w:num w:numId="9">
    <w:abstractNumId w:val="3"/>
  </w:num>
  <w:num w:numId="10">
    <w:abstractNumId w:val="5"/>
  </w:num>
  <w:num w:numId="11">
    <w:abstractNumId w:val="1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YWZlZTMxNGRhMzA3N2JkNjZhNTk4MzI1Nzk4ZDIifQ=="/>
    <w:docVar w:name="KSO_WPS_MARK_KEY" w:val="7f4dda96-5094-424a-97c2-1daf99f5beb2"/>
  </w:docVars>
  <w:rsids>
    <w:rsidRoot w:val="00000000"/>
    <w:rsid w:val="0005057E"/>
    <w:rsid w:val="000833F9"/>
    <w:rsid w:val="003773F4"/>
    <w:rsid w:val="01065BD1"/>
    <w:rsid w:val="0171757A"/>
    <w:rsid w:val="01D66B01"/>
    <w:rsid w:val="02313A30"/>
    <w:rsid w:val="029A4513"/>
    <w:rsid w:val="02A85658"/>
    <w:rsid w:val="03196F07"/>
    <w:rsid w:val="0338372C"/>
    <w:rsid w:val="03A41333"/>
    <w:rsid w:val="04133416"/>
    <w:rsid w:val="047A1C27"/>
    <w:rsid w:val="04BA7D51"/>
    <w:rsid w:val="06A53AB0"/>
    <w:rsid w:val="06E7146D"/>
    <w:rsid w:val="07103357"/>
    <w:rsid w:val="07145B0E"/>
    <w:rsid w:val="07411D23"/>
    <w:rsid w:val="07E32B39"/>
    <w:rsid w:val="07F73167"/>
    <w:rsid w:val="08294B5B"/>
    <w:rsid w:val="08A00D3E"/>
    <w:rsid w:val="08B03E69"/>
    <w:rsid w:val="091927F9"/>
    <w:rsid w:val="092B59D0"/>
    <w:rsid w:val="092E279E"/>
    <w:rsid w:val="095E209F"/>
    <w:rsid w:val="097A32EB"/>
    <w:rsid w:val="09A13D71"/>
    <w:rsid w:val="0A3B7A5B"/>
    <w:rsid w:val="0A9D24B7"/>
    <w:rsid w:val="0BF751B0"/>
    <w:rsid w:val="0C0B3E50"/>
    <w:rsid w:val="0C752210"/>
    <w:rsid w:val="0D570D57"/>
    <w:rsid w:val="0D9E0D32"/>
    <w:rsid w:val="0D9E641E"/>
    <w:rsid w:val="0DB618D1"/>
    <w:rsid w:val="0DFF319D"/>
    <w:rsid w:val="0ED71555"/>
    <w:rsid w:val="0F1420E1"/>
    <w:rsid w:val="0F5C32C3"/>
    <w:rsid w:val="0F6B03A9"/>
    <w:rsid w:val="0F9812C6"/>
    <w:rsid w:val="0FB75ADD"/>
    <w:rsid w:val="0FC15B45"/>
    <w:rsid w:val="0FC44115"/>
    <w:rsid w:val="10A848AE"/>
    <w:rsid w:val="112E6CD0"/>
    <w:rsid w:val="123208A2"/>
    <w:rsid w:val="126B242E"/>
    <w:rsid w:val="130B0C02"/>
    <w:rsid w:val="13A10592"/>
    <w:rsid w:val="14BB2EC0"/>
    <w:rsid w:val="156F7F75"/>
    <w:rsid w:val="157079BA"/>
    <w:rsid w:val="159643E7"/>
    <w:rsid w:val="159D1B49"/>
    <w:rsid w:val="16A7470C"/>
    <w:rsid w:val="17100C34"/>
    <w:rsid w:val="17153370"/>
    <w:rsid w:val="171C091C"/>
    <w:rsid w:val="17AC1CA0"/>
    <w:rsid w:val="17D94124"/>
    <w:rsid w:val="181C089E"/>
    <w:rsid w:val="18297794"/>
    <w:rsid w:val="18A6763E"/>
    <w:rsid w:val="18CB43A7"/>
    <w:rsid w:val="18FC2A59"/>
    <w:rsid w:val="190D7E26"/>
    <w:rsid w:val="191B532F"/>
    <w:rsid w:val="19412BFE"/>
    <w:rsid w:val="19513CCA"/>
    <w:rsid w:val="19FD18AF"/>
    <w:rsid w:val="1A3022CF"/>
    <w:rsid w:val="1A9531FD"/>
    <w:rsid w:val="1AAD4BCB"/>
    <w:rsid w:val="1AEE033B"/>
    <w:rsid w:val="1B142621"/>
    <w:rsid w:val="1BC31CAE"/>
    <w:rsid w:val="1BF07F02"/>
    <w:rsid w:val="1CB10E7F"/>
    <w:rsid w:val="1D1D23DC"/>
    <w:rsid w:val="1DA018D4"/>
    <w:rsid w:val="1E787DF7"/>
    <w:rsid w:val="1EE461C3"/>
    <w:rsid w:val="1FD0232F"/>
    <w:rsid w:val="20677C6C"/>
    <w:rsid w:val="20874C13"/>
    <w:rsid w:val="20B63B3D"/>
    <w:rsid w:val="21117017"/>
    <w:rsid w:val="21F96814"/>
    <w:rsid w:val="2266474F"/>
    <w:rsid w:val="22A93E72"/>
    <w:rsid w:val="22FC7E91"/>
    <w:rsid w:val="23411E36"/>
    <w:rsid w:val="23FA17BD"/>
    <w:rsid w:val="24A95456"/>
    <w:rsid w:val="24F21544"/>
    <w:rsid w:val="24FE5D71"/>
    <w:rsid w:val="26430DD2"/>
    <w:rsid w:val="26506553"/>
    <w:rsid w:val="26514E7D"/>
    <w:rsid w:val="265F4BE0"/>
    <w:rsid w:val="26D675CB"/>
    <w:rsid w:val="26F742AF"/>
    <w:rsid w:val="27663BDC"/>
    <w:rsid w:val="28752EF6"/>
    <w:rsid w:val="2882122F"/>
    <w:rsid w:val="28FE4325"/>
    <w:rsid w:val="291C5D93"/>
    <w:rsid w:val="299D3B3E"/>
    <w:rsid w:val="2B162169"/>
    <w:rsid w:val="2B4875EE"/>
    <w:rsid w:val="2C1E33D9"/>
    <w:rsid w:val="2C3E3247"/>
    <w:rsid w:val="2CCE0B84"/>
    <w:rsid w:val="2DBA2E0B"/>
    <w:rsid w:val="2DC20777"/>
    <w:rsid w:val="2E8D7D76"/>
    <w:rsid w:val="2FDA5B01"/>
    <w:rsid w:val="2FDB4900"/>
    <w:rsid w:val="30121A9A"/>
    <w:rsid w:val="301D09D9"/>
    <w:rsid w:val="30AE084E"/>
    <w:rsid w:val="30DF3FFF"/>
    <w:rsid w:val="30F424A1"/>
    <w:rsid w:val="319F6100"/>
    <w:rsid w:val="32186458"/>
    <w:rsid w:val="32544432"/>
    <w:rsid w:val="332202AE"/>
    <w:rsid w:val="3339387A"/>
    <w:rsid w:val="334B54F3"/>
    <w:rsid w:val="348C46B3"/>
    <w:rsid w:val="3496630F"/>
    <w:rsid w:val="349D3815"/>
    <w:rsid w:val="35095565"/>
    <w:rsid w:val="352C22ED"/>
    <w:rsid w:val="355D555F"/>
    <w:rsid w:val="357908AF"/>
    <w:rsid w:val="358862C6"/>
    <w:rsid w:val="35951335"/>
    <w:rsid w:val="359D0A22"/>
    <w:rsid w:val="35B80BE7"/>
    <w:rsid w:val="35BE131A"/>
    <w:rsid w:val="35CA19F8"/>
    <w:rsid w:val="35CC6809"/>
    <w:rsid w:val="36A87E6A"/>
    <w:rsid w:val="36BF7BB4"/>
    <w:rsid w:val="37BA58BB"/>
    <w:rsid w:val="3832528F"/>
    <w:rsid w:val="386F6996"/>
    <w:rsid w:val="388C425A"/>
    <w:rsid w:val="38A07506"/>
    <w:rsid w:val="38CA2129"/>
    <w:rsid w:val="396B3311"/>
    <w:rsid w:val="396D5AC3"/>
    <w:rsid w:val="39C550E6"/>
    <w:rsid w:val="3A1C3049"/>
    <w:rsid w:val="3A91201A"/>
    <w:rsid w:val="3BA503F2"/>
    <w:rsid w:val="3BCB62E9"/>
    <w:rsid w:val="3BF209CF"/>
    <w:rsid w:val="3CBF4BC3"/>
    <w:rsid w:val="3CC72F54"/>
    <w:rsid w:val="3CE81A7C"/>
    <w:rsid w:val="3D445B93"/>
    <w:rsid w:val="3D961290"/>
    <w:rsid w:val="3D9D4A23"/>
    <w:rsid w:val="3DF64210"/>
    <w:rsid w:val="3E594080"/>
    <w:rsid w:val="3EEF22EE"/>
    <w:rsid w:val="3F2B6263"/>
    <w:rsid w:val="3FA77753"/>
    <w:rsid w:val="3FC671F3"/>
    <w:rsid w:val="401F0014"/>
    <w:rsid w:val="41B076E0"/>
    <w:rsid w:val="41DE52B0"/>
    <w:rsid w:val="420D0EED"/>
    <w:rsid w:val="42280F66"/>
    <w:rsid w:val="42F53ACA"/>
    <w:rsid w:val="431542ED"/>
    <w:rsid w:val="431E0717"/>
    <w:rsid w:val="43672C44"/>
    <w:rsid w:val="438660D8"/>
    <w:rsid w:val="44305883"/>
    <w:rsid w:val="44A1052F"/>
    <w:rsid w:val="44A8170B"/>
    <w:rsid w:val="4508359E"/>
    <w:rsid w:val="45322F35"/>
    <w:rsid w:val="45940A84"/>
    <w:rsid w:val="45DE2A82"/>
    <w:rsid w:val="45FA10AE"/>
    <w:rsid w:val="46F26477"/>
    <w:rsid w:val="471E1E95"/>
    <w:rsid w:val="47794E4B"/>
    <w:rsid w:val="47C4377F"/>
    <w:rsid w:val="47CF301F"/>
    <w:rsid w:val="47F2216A"/>
    <w:rsid w:val="48382AE4"/>
    <w:rsid w:val="493B436E"/>
    <w:rsid w:val="49A55450"/>
    <w:rsid w:val="49D7054F"/>
    <w:rsid w:val="4A3F7AC2"/>
    <w:rsid w:val="4A9326C8"/>
    <w:rsid w:val="4ADB31ED"/>
    <w:rsid w:val="4B312C5F"/>
    <w:rsid w:val="4C2018C1"/>
    <w:rsid w:val="4C215AB1"/>
    <w:rsid w:val="4C9E7102"/>
    <w:rsid w:val="4CDC2B70"/>
    <w:rsid w:val="4CF22F6C"/>
    <w:rsid w:val="4D5D2E7B"/>
    <w:rsid w:val="4D9D06DE"/>
    <w:rsid w:val="4D9F30F3"/>
    <w:rsid w:val="4E6C5709"/>
    <w:rsid w:val="4E957A66"/>
    <w:rsid w:val="4ED36436"/>
    <w:rsid w:val="4F626B0C"/>
    <w:rsid w:val="4F6F4400"/>
    <w:rsid w:val="4FC450D1"/>
    <w:rsid w:val="4FEF7931"/>
    <w:rsid w:val="504804B7"/>
    <w:rsid w:val="50B22EF2"/>
    <w:rsid w:val="51110FA5"/>
    <w:rsid w:val="51257DF2"/>
    <w:rsid w:val="513533EB"/>
    <w:rsid w:val="51A77DFB"/>
    <w:rsid w:val="52416EAD"/>
    <w:rsid w:val="529A65BD"/>
    <w:rsid w:val="52B254B0"/>
    <w:rsid w:val="52CE189B"/>
    <w:rsid w:val="53091436"/>
    <w:rsid w:val="53093F86"/>
    <w:rsid w:val="5457656B"/>
    <w:rsid w:val="551F0267"/>
    <w:rsid w:val="5522154F"/>
    <w:rsid w:val="55335A9C"/>
    <w:rsid w:val="55675003"/>
    <w:rsid w:val="55E737FF"/>
    <w:rsid w:val="55FB6939"/>
    <w:rsid w:val="566C263F"/>
    <w:rsid w:val="56D06BB2"/>
    <w:rsid w:val="56FB7F75"/>
    <w:rsid w:val="57213F32"/>
    <w:rsid w:val="575D490D"/>
    <w:rsid w:val="585F1E3B"/>
    <w:rsid w:val="593C73B9"/>
    <w:rsid w:val="59B853BE"/>
    <w:rsid w:val="5AE06500"/>
    <w:rsid w:val="5B1803F9"/>
    <w:rsid w:val="5B615ECA"/>
    <w:rsid w:val="5B995664"/>
    <w:rsid w:val="5BAD110F"/>
    <w:rsid w:val="5BC24244"/>
    <w:rsid w:val="5C5B1929"/>
    <w:rsid w:val="5C8E2CEF"/>
    <w:rsid w:val="5CC95F93"/>
    <w:rsid w:val="5CD53362"/>
    <w:rsid w:val="5D306318"/>
    <w:rsid w:val="5E2A3ED5"/>
    <w:rsid w:val="5E4951BD"/>
    <w:rsid w:val="5E9B1E6D"/>
    <w:rsid w:val="5EB91229"/>
    <w:rsid w:val="5EC7698C"/>
    <w:rsid w:val="5F0F1ED5"/>
    <w:rsid w:val="5F121FCF"/>
    <w:rsid w:val="5F9230A8"/>
    <w:rsid w:val="5F930F57"/>
    <w:rsid w:val="5FB213EA"/>
    <w:rsid w:val="60043270"/>
    <w:rsid w:val="60285C26"/>
    <w:rsid w:val="60762418"/>
    <w:rsid w:val="60F44CBD"/>
    <w:rsid w:val="613D43B1"/>
    <w:rsid w:val="620A72BB"/>
    <w:rsid w:val="634D3C76"/>
    <w:rsid w:val="63AD6150"/>
    <w:rsid w:val="63E61662"/>
    <w:rsid w:val="63E64090"/>
    <w:rsid w:val="63F06D02"/>
    <w:rsid w:val="64777EE0"/>
    <w:rsid w:val="650008EE"/>
    <w:rsid w:val="650D74DA"/>
    <w:rsid w:val="6523433B"/>
    <w:rsid w:val="653D252F"/>
    <w:rsid w:val="656528E3"/>
    <w:rsid w:val="657F1D6E"/>
    <w:rsid w:val="65C27DEC"/>
    <w:rsid w:val="663552DB"/>
    <w:rsid w:val="66751F24"/>
    <w:rsid w:val="66BE49B2"/>
    <w:rsid w:val="68A660EC"/>
    <w:rsid w:val="692C4A1B"/>
    <w:rsid w:val="693E784B"/>
    <w:rsid w:val="69755D9C"/>
    <w:rsid w:val="6A131496"/>
    <w:rsid w:val="6ACF65B7"/>
    <w:rsid w:val="6B083D29"/>
    <w:rsid w:val="6B344DF0"/>
    <w:rsid w:val="6B723851"/>
    <w:rsid w:val="6BE74052"/>
    <w:rsid w:val="6C6F39F5"/>
    <w:rsid w:val="6D2F00AE"/>
    <w:rsid w:val="6D4D4500"/>
    <w:rsid w:val="6D8C67E8"/>
    <w:rsid w:val="6DC347C2"/>
    <w:rsid w:val="6DD62942"/>
    <w:rsid w:val="6DE207AB"/>
    <w:rsid w:val="6E93082B"/>
    <w:rsid w:val="6F432FB1"/>
    <w:rsid w:val="705A24C7"/>
    <w:rsid w:val="70D311C0"/>
    <w:rsid w:val="71083F82"/>
    <w:rsid w:val="712E1664"/>
    <w:rsid w:val="71992506"/>
    <w:rsid w:val="71AD1673"/>
    <w:rsid w:val="71C07E31"/>
    <w:rsid w:val="720A13D4"/>
    <w:rsid w:val="720C498A"/>
    <w:rsid w:val="72892FBD"/>
    <w:rsid w:val="72A33206"/>
    <w:rsid w:val="73016E15"/>
    <w:rsid w:val="734A7C48"/>
    <w:rsid w:val="741E320F"/>
    <w:rsid w:val="74242CF8"/>
    <w:rsid w:val="742A7942"/>
    <w:rsid w:val="74845699"/>
    <w:rsid w:val="74AB355D"/>
    <w:rsid w:val="75265D63"/>
    <w:rsid w:val="75774810"/>
    <w:rsid w:val="76042581"/>
    <w:rsid w:val="76407CB9"/>
    <w:rsid w:val="7711659E"/>
    <w:rsid w:val="776963DA"/>
    <w:rsid w:val="77C93EF8"/>
    <w:rsid w:val="77F47AAC"/>
    <w:rsid w:val="784F3EEE"/>
    <w:rsid w:val="78D443E2"/>
    <w:rsid w:val="79B46312"/>
    <w:rsid w:val="7A1F2D6A"/>
    <w:rsid w:val="7AB139FE"/>
    <w:rsid w:val="7C3945CD"/>
    <w:rsid w:val="7C732BC9"/>
    <w:rsid w:val="7E3F256B"/>
    <w:rsid w:val="7E6B42D4"/>
    <w:rsid w:val="7E8048D2"/>
    <w:rsid w:val="7E9B63FC"/>
    <w:rsid w:val="7EE94821"/>
    <w:rsid w:val="7EF66C5B"/>
    <w:rsid w:val="7F406FE6"/>
    <w:rsid w:val="7F8B38CC"/>
    <w:rsid w:val="7FC63AB1"/>
    <w:rsid w:val="7FCD6BA3"/>
    <w:rsid w:val="7FDA7E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pPr>
    <w:rPr>
      <w:rFonts w:ascii="Calibri" w:hAnsi="Calibri"/>
      <w:kern w:val="44"/>
      <w:sz w:val="44"/>
      <w:szCs w:val="44"/>
    </w:rPr>
  </w:style>
  <w:style w:type="paragraph" w:styleId="3">
    <w:name w:val="heading 2"/>
    <w:basedOn w:val="1"/>
    <w:next w:val="1"/>
    <w:autoRedefine/>
    <w:qFormat/>
    <w:uiPriority w:val="0"/>
    <w:pPr>
      <w:keepLines/>
      <w:spacing w:before="260" w:after="260" w:line="416" w:lineRule="auto"/>
      <w:outlineLvl w:val="1"/>
    </w:pPr>
    <w:rPr>
      <w:rFonts w:ascii="Arial" w:hAnsi="Arial" w:eastAsia="黑体"/>
      <w:bCs/>
      <w:szCs w:val="32"/>
    </w:rPr>
  </w:style>
  <w:style w:type="paragraph" w:styleId="4">
    <w:name w:val="heading 3"/>
    <w:basedOn w:val="1"/>
    <w:next w:val="1"/>
    <w:qFormat/>
    <w:uiPriority w:val="0"/>
    <w:pPr>
      <w:numPr>
        <w:ilvl w:val="2"/>
        <w:numId w:val="1"/>
      </w:numPr>
      <w:snapToGrid w:val="0"/>
      <w:ind w:left="567"/>
      <w:outlineLvl w:val="2"/>
    </w:pPr>
    <w:rPr>
      <w:rFonts w:ascii="微软雅黑" w:hAnsi="微软雅黑" w:eastAsia="微软雅黑" w:cs="Times New Roman"/>
      <w:bCs/>
      <w:kern w:val="2"/>
      <w:sz w:val="21"/>
      <w:szCs w:val="32"/>
      <w:lang w:val="en-US" w:eastAsia="zh-CN" w:bidi="ar-SA"/>
    </w:rPr>
  </w:style>
  <w:style w:type="paragraph" w:styleId="5">
    <w:name w:val="heading 4"/>
    <w:basedOn w:val="1"/>
    <w:next w:val="1"/>
    <w:qFormat/>
    <w:uiPriority w:val="0"/>
    <w:pPr>
      <w:keepNext/>
      <w:keepLines/>
      <w:numPr>
        <w:ilvl w:val="3"/>
        <w:numId w:val="2"/>
      </w:numPr>
      <w:spacing w:before="280" w:after="290" w:line="372" w:lineRule="auto"/>
      <w:outlineLvl w:val="3"/>
    </w:pPr>
    <w:rPr>
      <w:rFonts w:ascii="Arial" w:hAnsi="Arial" w:eastAsia="黑体"/>
      <w:b/>
      <w:sz w:val="28"/>
    </w:rPr>
  </w:style>
  <w:style w:type="character" w:default="1" w:styleId="36">
    <w:name w:val="Default Paragraph Font"/>
    <w:qFormat/>
    <w:uiPriority w:val="1"/>
  </w:style>
  <w:style w:type="table" w:default="1" w:styleId="34">
    <w:name w:val="Normal Table"/>
    <w:autoRedefine/>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firstLineChars="200"/>
    </w:pPr>
  </w:style>
  <w:style w:type="paragraph" w:styleId="7">
    <w:name w:val="caption"/>
    <w:basedOn w:val="1"/>
    <w:next w:val="1"/>
    <w:autoRedefine/>
    <w:qFormat/>
    <w:uiPriority w:val="0"/>
    <w:rPr>
      <w:rFonts w:ascii="Arial" w:hAnsi="Arial" w:eastAsia="黑体" w:cs="Arial"/>
      <w:sz w:val="20"/>
      <w:szCs w:val="20"/>
    </w:rPr>
  </w:style>
  <w:style w:type="paragraph" w:styleId="8">
    <w:name w:val="toa heading"/>
    <w:basedOn w:val="1"/>
    <w:next w:val="1"/>
    <w:autoRedefine/>
    <w:qFormat/>
    <w:uiPriority w:val="0"/>
    <w:pPr>
      <w:spacing w:before="120"/>
    </w:pPr>
    <w:rPr>
      <w:rFonts w:ascii="Cambria" w:hAnsi="Cambria"/>
      <w:sz w:val="24"/>
    </w:rPr>
  </w:style>
  <w:style w:type="paragraph" w:styleId="9">
    <w:name w:val="annotation text"/>
    <w:basedOn w:val="1"/>
    <w:link w:val="99"/>
    <w:autoRedefine/>
    <w:qFormat/>
    <w:uiPriority w:val="0"/>
    <w:pPr>
      <w:jc w:val="left"/>
    </w:pPr>
  </w:style>
  <w:style w:type="paragraph" w:styleId="10">
    <w:name w:val="index 6"/>
    <w:basedOn w:val="1"/>
    <w:next w:val="1"/>
    <w:qFormat/>
    <w:uiPriority w:val="99"/>
    <w:pPr>
      <w:ind w:left="2100"/>
    </w:pPr>
  </w:style>
  <w:style w:type="paragraph" w:styleId="11">
    <w:name w:val="Body Text"/>
    <w:basedOn w:val="1"/>
    <w:next w:val="12"/>
    <w:autoRedefine/>
    <w:qFormat/>
    <w:uiPriority w:val="0"/>
    <w:pPr>
      <w:spacing w:after="120"/>
    </w:pPr>
  </w:style>
  <w:style w:type="paragraph" w:styleId="12">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13">
    <w:name w:val="Body Text Indent"/>
    <w:basedOn w:val="1"/>
    <w:autoRedefine/>
    <w:qFormat/>
    <w:uiPriority w:val="0"/>
    <w:pPr>
      <w:ind w:firstLine="630"/>
    </w:pPr>
    <w:rPr>
      <w:sz w:val="32"/>
      <w:szCs w:val="20"/>
    </w:rPr>
  </w:style>
  <w:style w:type="paragraph" w:styleId="14">
    <w:name w:val="Plain Text"/>
    <w:basedOn w:val="1"/>
    <w:autoRedefine/>
    <w:qFormat/>
    <w:uiPriority w:val="0"/>
    <w:rPr>
      <w:rFonts w:ascii="宋体" w:hAnsi="Courier New"/>
      <w:szCs w:val="20"/>
    </w:rPr>
  </w:style>
  <w:style w:type="paragraph" w:styleId="15">
    <w:name w:val="Body Text Indent 2"/>
    <w:basedOn w:val="1"/>
    <w:autoRedefine/>
    <w:qFormat/>
    <w:uiPriority w:val="0"/>
    <w:pPr>
      <w:spacing w:after="120" w:line="480" w:lineRule="auto"/>
      <w:ind w:left="420" w:leftChars="200"/>
    </w:pPr>
  </w:style>
  <w:style w:type="paragraph" w:styleId="16">
    <w:name w:val="Balloon Text"/>
    <w:basedOn w:val="1"/>
    <w:link w:val="98"/>
    <w:autoRedefine/>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envelope return"/>
    <w:basedOn w:val="1"/>
    <w:qFormat/>
    <w:uiPriority w:val="99"/>
    <w:pPr>
      <w:snapToGrid w:val="0"/>
    </w:pPr>
    <w:rPr>
      <w:rFonts w:ascii="Arial" w:hAnsi="Arial" w:cs="Arial"/>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autoRedefine/>
    <w:qFormat/>
    <w:uiPriority w:val="0"/>
    <w:pPr>
      <w:spacing w:line="480" w:lineRule="auto"/>
    </w:pPr>
    <w:rPr>
      <w:rFonts w:ascii="Times New Roman" w:hAnsi="Times New Roman"/>
      <w:sz w:val="30"/>
    </w:rPr>
  </w:style>
  <w:style w:type="paragraph" w:styleId="21">
    <w:name w:val="toc 4"/>
    <w:basedOn w:val="1"/>
    <w:next w:val="1"/>
    <w:autoRedefine/>
    <w:qFormat/>
    <w:uiPriority w:val="0"/>
    <w:pPr>
      <w:wordWrap w:val="0"/>
      <w:ind w:left="850"/>
      <w:jc w:val="both"/>
    </w:pPr>
    <w:rPr>
      <w:rFonts w:ascii="Times New Roman" w:hAnsi="Times New Roman" w:eastAsia="宋体" w:cs="Times New Roman"/>
      <w:sz w:val="21"/>
      <w:lang w:val="en-US" w:eastAsia="zh-CN" w:bidi="ar-SA"/>
    </w:rPr>
  </w:style>
  <w:style w:type="paragraph" w:styleId="22">
    <w:name w:val="index heading"/>
    <w:basedOn w:val="1"/>
    <w:next w:val="23"/>
    <w:autoRedefine/>
    <w:qFormat/>
    <w:uiPriority w:val="0"/>
    <w:pPr>
      <w:adjustRightInd w:val="0"/>
      <w:spacing w:line="312" w:lineRule="atLeast"/>
      <w:textAlignment w:val="baseline"/>
    </w:pPr>
    <w:rPr>
      <w:rFonts w:ascii="Arial" w:hAnsi="Arial" w:eastAsia="仿宋" w:cs="Arial"/>
      <w:b/>
      <w:bCs/>
      <w:kern w:val="0"/>
      <w:sz w:val="32"/>
      <w:szCs w:val="20"/>
    </w:rPr>
  </w:style>
  <w:style w:type="paragraph" w:styleId="23">
    <w:name w:val="index 1"/>
    <w:basedOn w:val="1"/>
    <w:next w:val="1"/>
    <w:autoRedefine/>
    <w:qFormat/>
    <w:uiPriority w:val="0"/>
  </w:style>
  <w:style w:type="paragraph" w:styleId="24">
    <w:name w:val="footnote text"/>
    <w:basedOn w:val="1"/>
    <w:autoRedefine/>
    <w:semiHidden/>
    <w:qFormat/>
    <w:uiPriority w:val="0"/>
    <w:pPr>
      <w:adjustRightInd w:val="0"/>
      <w:snapToGrid w:val="0"/>
      <w:jc w:val="left"/>
      <w:textAlignment w:val="baseline"/>
    </w:pPr>
    <w:rPr>
      <w:rFonts w:ascii="Times New Roman" w:hAnsi="Times New Roman"/>
      <w:sz w:val="18"/>
      <w:szCs w:val="20"/>
    </w:rPr>
  </w:style>
  <w:style w:type="paragraph" w:styleId="25">
    <w:name w:val="toc 6"/>
    <w:next w:val="1"/>
    <w:autoRedefine/>
    <w:qFormat/>
    <w:uiPriority w:val="39"/>
    <w:pPr>
      <w:widowControl w:val="0"/>
      <w:spacing w:line="240" w:lineRule="auto"/>
      <w:ind w:left="2100" w:leftChars="1000"/>
      <w:jc w:val="both"/>
    </w:pPr>
    <w:rPr>
      <w:rFonts w:ascii="Calibri" w:hAnsi="Calibri" w:eastAsia="宋体" w:cs="Times New Roman"/>
      <w:kern w:val="2"/>
      <w:sz w:val="21"/>
      <w:szCs w:val="22"/>
      <w:lang w:val="en-US" w:eastAsia="zh-CN" w:bidi="ar-SA"/>
    </w:rPr>
  </w:style>
  <w:style w:type="paragraph" w:styleId="26">
    <w:name w:val="List 5"/>
    <w:basedOn w:val="1"/>
    <w:autoRedefine/>
    <w:qFormat/>
    <w:uiPriority w:val="0"/>
    <w:pPr>
      <w:ind w:left="2100" w:hanging="420"/>
    </w:pPr>
    <w:rPr>
      <w:rFonts w:eastAsia="楷体_GB2312"/>
      <w:sz w:val="32"/>
      <w:szCs w:val="20"/>
    </w:rPr>
  </w:style>
  <w:style w:type="paragraph" w:styleId="27">
    <w:name w:val="index 7"/>
    <w:basedOn w:val="1"/>
    <w:next w:val="1"/>
    <w:autoRedefine/>
    <w:qFormat/>
    <w:uiPriority w:val="0"/>
    <w:pPr>
      <w:autoSpaceDE/>
      <w:autoSpaceDN/>
      <w:adjustRightInd/>
      <w:ind w:left="1200" w:leftChars="1200"/>
    </w:pPr>
    <w:rPr>
      <w:color w:val="auto"/>
      <w:kern w:val="2"/>
      <w:szCs w:val="24"/>
    </w:rPr>
  </w:style>
  <w:style w:type="paragraph" w:styleId="28">
    <w:name w:val="HTML Preformatted"/>
    <w:basedOn w:val="1"/>
    <w:unhideWhenUsed/>
    <w:qFormat/>
    <w:uiPriority w:val="99"/>
    <w:rPr>
      <w:rFonts w:ascii="Courier New" w:hAnsi="Courier New" w:cs="Courier New"/>
      <w:sz w:val="20"/>
      <w:szCs w:val="20"/>
    </w:rPr>
  </w:style>
  <w:style w:type="paragraph" w:styleId="29">
    <w:name w:val="Normal (Web)"/>
    <w:basedOn w:val="1"/>
    <w:next w:val="1"/>
    <w:autoRedefine/>
    <w:qFormat/>
    <w:uiPriority w:val="0"/>
    <w:pPr>
      <w:widowControl/>
      <w:spacing w:before="100" w:beforeAutospacing="1" w:after="100" w:afterAutospacing="1"/>
      <w:jc w:val="left"/>
    </w:pPr>
    <w:rPr>
      <w:rFonts w:ascii="宋体" w:hAnsi="宋体"/>
      <w:kern w:val="0"/>
      <w:sz w:val="18"/>
      <w:szCs w:val="18"/>
    </w:rPr>
  </w:style>
  <w:style w:type="paragraph" w:styleId="30">
    <w:name w:val="Title"/>
    <w:basedOn w:val="1"/>
    <w:next w:val="1"/>
    <w:autoRedefine/>
    <w:qFormat/>
    <w:uiPriority w:val="10"/>
    <w:pPr>
      <w:spacing w:before="240" w:after="60"/>
      <w:jc w:val="center"/>
      <w:outlineLvl w:val="0"/>
    </w:pPr>
    <w:rPr>
      <w:rFonts w:ascii="Cambria" w:hAnsi="Cambria"/>
      <w:b/>
      <w:bCs/>
      <w:sz w:val="32"/>
      <w:szCs w:val="32"/>
    </w:rPr>
  </w:style>
  <w:style w:type="paragraph" w:styleId="31">
    <w:name w:val="annotation subject"/>
    <w:basedOn w:val="9"/>
    <w:next w:val="9"/>
    <w:link w:val="100"/>
    <w:autoRedefine/>
    <w:qFormat/>
    <w:uiPriority w:val="0"/>
    <w:rPr>
      <w:b/>
      <w:bCs/>
    </w:rPr>
  </w:style>
  <w:style w:type="paragraph" w:styleId="32">
    <w:name w:val="Body Text First Indent"/>
    <w:basedOn w:val="11"/>
    <w:autoRedefine/>
    <w:qFormat/>
    <w:uiPriority w:val="0"/>
    <w:pPr>
      <w:ind w:firstLine="420" w:firstLineChars="100"/>
    </w:pPr>
  </w:style>
  <w:style w:type="paragraph" w:styleId="33">
    <w:name w:val="Body Text First Indent 2"/>
    <w:basedOn w:val="13"/>
    <w:next w:val="1"/>
    <w:autoRedefine/>
    <w:qFormat/>
    <w:uiPriority w:val="0"/>
    <w:pPr>
      <w:ind w:firstLine="420"/>
    </w:p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22"/>
    <w:rPr>
      <w:b/>
      <w:bCs/>
    </w:rPr>
  </w:style>
  <w:style w:type="character" w:styleId="38">
    <w:name w:val="Hyperlink"/>
    <w:basedOn w:val="36"/>
    <w:qFormat/>
    <w:uiPriority w:val="0"/>
    <w:rPr>
      <w:rFonts w:ascii="Times New Roman" w:hAnsi="Times New Roman" w:eastAsia="微软雅黑" w:cs="Times New Roman"/>
      <w:color w:val="0000FF"/>
      <w:u w:val="single"/>
    </w:rPr>
  </w:style>
  <w:style w:type="character" w:styleId="39">
    <w:name w:val="annotation reference"/>
    <w:basedOn w:val="36"/>
    <w:autoRedefine/>
    <w:qFormat/>
    <w:uiPriority w:val="0"/>
    <w:rPr>
      <w:sz w:val="21"/>
      <w:szCs w:val="21"/>
    </w:rPr>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Default"/>
    <w:basedOn w:val="30"/>
    <w:next w:val="42"/>
    <w:qFormat/>
    <w:uiPriority w:val="99"/>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42">
    <w:name w:val="大标题"/>
    <w:basedOn w:val="1"/>
    <w:next w:val="33"/>
    <w:qFormat/>
    <w:uiPriority w:val="0"/>
    <w:pPr>
      <w:jc w:val="center"/>
    </w:pPr>
    <w:rPr>
      <w:rFonts w:ascii="Arial" w:hAnsi="Arial" w:eastAsia="宋体" w:cs="Times New Roman"/>
      <w:b/>
      <w:sz w:val="28"/>
      <w:szCs w:val="24"/>
    </w:rPr>
  </w:style>
  <w:style w:type="paragraph" w:customStyle="1" w:styleId="43">
    <w:name w:val="无间隔1"/>
    <w:next w:val="1"/>
    <w:qFormat/>
    <w:uiPriority w:val="1"/>
    <w:pPr>
      <w:widowControl w:val="0"/>
    </w:pPr>
    <w:rPr>
      <w:rFonts w:ascii="Calibri" w:hAnsi="Calibri" w:eastAsia="仿宋_GB2312" w:cs="Times New Roman"/>
      <w:kern w:val="2"/>
      <w:sz w:val="28"/>
      <w:szCs w:val="21"/>
      <w:lang w:val="en-US" w:eastAsia="zh-CN" w:bidi="ar-SA"/>
    </w:rPr>
  </w:style>
  <w:style w:type="character" w:customStyle="1" w:styleId="44">
    <w:name w:val="标题 1 Char"/>
    <w:link w:val="2"/>
    <w:autoRedefine/>
    <w:qFormat/>
    <w:uiPriority w:val="0"/>
    <w:rPr>
      <w:rFonts w:ascii="Calibri" w:hAnsi="Calibri" w:eastAsia="宋体" w:cs="Times New Roman"/>
      <w:kern w:val="44"/>
      <w:sz w:val="44"/>
      <w:szCs w:val="44"/>
    </w:rPr>
  </w:style>
  <w:style w:type="paragraph" w:customStyle="1" w:styleId="45">
    <w:name w:val="3）三级标题 与下段同页"/>
    <w:basedOn w:val="1"/>
    <w:autoRedefine/>
    <w:qFormat/>
    <w:uiPriority w:val="0"/>
    <w:pPr>
      <w:keepNext/>
      <w:spacing w:beforeLines="50" w:afterLines="50"/>
      <w:jc w:val="center"/>
      <w:outlineLvl w:val="2"/>
    </w:pPr>
    <w:rPr>
      <w:rFonts w:ascii="仿宋_GB2312" w:eastAsia="仿宋_GB2312"/>
      <w:b/>
      <w:sz w:val="32"/>
    </w:rPr>
  </w:style>
  <w:style w:type="character" w:customStyle="1" w:styleId="46">
    <w:name w:val="NormalCharacter"/>
    <w:link w:val="47"/>
    <w:qFormat/>
    <w:uiPriority w:val="0"/>
    <w:rPr>
      <w:rFonts w:ascii="Calibri" w:hAnsi="Calibri" w:eastAsia="宋体" w:cs="Times New Roman"/>
      <w:kern w:val="2"/>
      <w:sz w:val="21"/>
      <w:szCs w:val="24"/>
      <w:lang w:val="en-US" w:eastAsia="zh-CN" w:bidi="ar-SA"/>
    </w:rPr>
  </w:style>
  <w:style w:type="paragraph" w:customStyle="1" w:styleId="47">
    <w:name w:val="UserStyle_20"/>
    <w:basedOn w:val="1"/>
    <w:link w:val="46"/>
    <w:qFormat/>
    <w:uiPriority w:val="0"/>
    <w:pPr>
      <w:spacing w:after="160" w:line="240" w:lineRule="exact"/>
      <w:jc w:val="left"/>
    </w:pPr>
    <w:rPr>
      <w:rFonts w:ascii="Verdana" w:hAnsi="Verdana" w:eastAsia="仿宋_GB2312"/>
      <w:kern w:val="0"/>
      <w:sz w:val="24"/>
      <w:szCs w:val="20"/>
      <w:lang w:eastAsia="en-US"/>
    </w:rPr>
  </w:style>
  <w:style w:type="character" w:customStyle="1" w:styleId="48">
    <w:name w:val="UserStyle_3"/>
    <w:qFormat/>
    <w:uiPriority w:val="0"/>
    <w:rPr>
      <w:rFonts w:ascii="宋体" w:hAnsi="宋体" w:eastAsia="宋体"/>
      <w:b/>
      <w:sz w:val="32"/>
      <w:szCs w:val="32"/>
    </w:rPr>
  </w:style>
  <w:style w:type="paragraph" w:customStyle="1" w:styleId="49">
    <w:name w:val="正文_2_0"/>
    <w:basedOn w:val="50"/>
    <w:next w:val="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2_1"/>
    <w:basedOn w:val="51"/>
    <w:next w:val="72"/>
    <w:qFormat/>
    <w:uiPriority w:val="0"/>
    <w:rPr>
      <w:szCs w:val="24"/>
    </w:rPr>
  </w:style>
  <w:style w:type="paragraph" w:customStyle="1" w:styleId="51">
    <w:name w:val="正文_3_0"/>
    <w:basedOn w:val="52"/>
    <w:next w:val="55"/>
    <w:autoRedefine/>
    <w:qFormat/>
    <w:uiPriority w:val="0"/>
  </w:style>
  <w:style w:type="paragraph" w:customStyle="1" w:styleId="52">
    <w:name w:val="Normal_0_0"/>
    <w:next w:val="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Body Text_0"/>
    <w:basedOn w:val="54"/>
    <w:qFormat/>
    <w:uiPriority w:val="0"/>
    <w:pPr>
      <w:spacing w:after="120"/>
    </w:pPr>
  </w:style>
  <w:style w:type="paragraph" w:customStyle="1" w:styleId="54">
    <w:name w:val="Normal_1"/>
    <w:next w:val="5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缩进_0_0_1"/>
    <w:basedOn w:val="56"/>
    <w:qFormat/>
    <w:uiPriority w:val="0"/>
    <w:pPr>
      <w:ind w:firstLine="420" w:firstLineChars="200"/>
    </w:pPr>
  </w:style>
  <w:style w:type="paragraph" w:customStyle="1" w:styleId="56">
    <w:name w:val="正文_0_1_1"/>
    <w:basedOn w:val="57"/>
    <w:next w:val="69"/>
    <w:autoRedefine/>
    <w:qFormat/>
    <w:uiPriority w:val="0"/>
    <w:rPr>
      <w:rFonts w:eastAsia="Calibri"/>
    </w:rPr>
  </w:style>
  <w:style w:type="paragraph" w:customStyle="1" w:styleId="57">
    <w:name w:val="正文_3_1"/>
    <w:basedOn w:val="58"/>
    <w:next w:val="61"/>
    <w:qFormat/>
    <w:uiPriority w:val="0"/>
    <w:rPr>
      <w:rFonts w:ascii="Calibri" w:hAnsi="Calibri"/>
      <w:sz w:val="21"/>
      <w:szCs w:val="22"/>
    </w:rPr>
  </w:style>
  <w:style w:type="paragraph" w:customStyle="1" w:styleId="58">
    <w:name w:val="Normal_0_1"/>
    <w:basedOn w:val="59"/>
    <w:qFormat/>
    <w:uiPriority w:val="0"/>
    <w:rPr>
      <w:rFonts w:ascii="黑体" w:hAnsi="黑体" w:eastAsia="黑体"/>
      <w:b/>
      <w:sz w:val="32"/>
      <w:szCs w:val="24"/>
    </w:rPr>
  </w:style>
  <w:style w:type="paragraph" w:customStyle="1" w:styleId="59">
    <w:name w:val="Normal_2"/>
    <w:next w:val="6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Body Text_1"/>
    <w:basedOn w:val="59"/>
    <w:qFormat/>
    <w:uiPriority w:val="0"/>
    <w:pPr>
      <w:spacing w:after="120"/>
    </w:pPr>
  </w:style>
  <w:style w:type="paragraph" w:customStyle="1" w:styleId="61">
    <w:name w:val="正文缩进_0_0_0"/>
    <w:basedOn w:val="62"/>
    <w:qFormat/>
    <w:uiPriority w:val="0"/>
    <w:pPr>
      <w:ind w:firstLine="420" w:firstLineChars="200"/>
    </w:pPr>
  </w:style>
  <w:style w:type="paragraph" w:customStyle="1" w:styleId="62">
    <w:name w:val="正文_0_1_0"/>
    <w:basedOn w:val="63"/>
    <w:next w:val="64"/>
    <w:autoRedefine/>
    <w:qFormat/>
    <w:uiPriority w:val="0"/>
    <w:rPr>
      <w:rFonts w:eastAsia="Calibri"/>
    </w:rPr>
  </w:style>
  <w:style w:type="paragraph" w:customStyle="1" w:styleId="63">
    <w:name w:val="正文_1_1"/>
    <w:next w:val="6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脚注文本_0"/>
    <w:basedOn w:val="65"/>
    <w:next w:val="67"/>
    <w:qFormat/>
    <w:uiPriority w:val="99"/>
    <w:pPr>
      <w:snapToGrid w:val="0"/>
      <w:jc w:val="left"/>
    </w:pPr>
    <w:rPr>
      <w:rFonts w:ascii="Calibri" w:hAnsi="Calibri" w:eastAsia="Calibri"/>
      <w:sz w:val="18"/>
    </w:rPr>
  </w:style>
  <w:style w:type="paragraph" w:customStyle="1" w:styleId="65">
    <w:name w:val="正文_0_2"/>
    <w:next w:val="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页脚_0_0"/>
    <w:basedOn w:val="65"/>
    <w:autoRedefine/>
    <w:qFormat/>
    <w:uiPriority w:val="99"/>
    <w:pPr>
      <w:tabs>
        <w:tab w:val="center" w:pos="4153"/>
        <w:tab w:val="right" w:pos="8306"/>
      </w:tabs>
      <w:snapToGrid w:val="0"/>
      <w:jc w:val="left"/>
    </w:pPr>
    <w:rPr>
      <w:sz w:val="18"/>
      <w:szCs w:val="18"/>
    </w:rPr>
  </w:style>
  <w:style w:type="paragraph" w:customStyle="1" w:styleId="67">
    <w:name w:val="正文_2"/>
    <w:next w:val="6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文本_0"/>
    <w:basedOn w:val="49"/>
    <w:qFormat/>
    <w:uiPriority w:val="0"/>
  </w:style>
  <w:style w:type="paragraph" w:customStyle="1" w:styleId="69">
    <w:name w:val="脚注文本1"/>
    <w:basedOn w:val="70"/>
    <w:next w:val="71"/>
    <w:qFormat/>
    <w:uiPriority w:val="0"/>
    <w:pPr>
      <w:snapToGrid w:val="0"/>
      <w:jc w:val="left"/>
    </w:pPr>
    <w:rPr>
      <w:kern w:val="0"/>
      <w:sz w:val="18"/>
      <w:szCs w:val="18"/>
    </w:rPr>
  </w:style>
  <w:style w:type="paragraph" w:customStyle="1" w:styleId="70">
    <w:name w:val="正文_1_0"/>
    <w:next w:val="69"/>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1">
    <w:name w:val="索引 51"/>
    <w:basedOn w:val="70"/>
    <w:next w:val="70"/>
    <w:qFormat/>
    <w:uiPriority w:val="99"/>
    <w:pPr>
      <w:ind w:left="1680"/>
    </w:pPr>
  </w:style>
  <w:style w:type="paragraph" w:customStyle="1" w:styleId="72">
    <w:name w:val="No Spacing_0"/>
    <w:basedOn w:val="73"/>
    <w:qFormat/>
    <w:uiPriority w:val="1"/>
  </w:style>
  <w:style w:type="paragraph" w:customStyle="1" w:styleId="73">
    <w:name w:val="正文_5"/>
    <w:basedOn w:val="67"/>
    <w:next w:val="74"/>
    <w:qFormat/>
    <w:uiPriority w:val="0"/>
    <w:rPr>
      <w:rFonts w:ascii="Calibri" w:hAnsi="Calibri"/>
      <w:szCs w:val="22"/>
    </w:rPr>
  </w:style>
  <w:style w:type="paragraph" w:customStyle="1" w:styleId="74">
    <w:name w:val="段_0"/>
    <w:next w:val="73"/>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5">
    <w:name w:val="正文1_0"/>
    <w:basedOn w:val="76"/>
    <w:qFormat/>
    <w:uiPriority w:val="0"/>
    <w:pPr>
      <w:widowControl/>
      <w:spacing w:before="120" w:after="120"/>
      <w:ind w:firstLine="200" w:firstLineChars="200"/>
      <w:jc w:val="left"/>
    </w:pPr>
    <w:rPr>
      <w:rFonts w:ascii="Times New Roman" w:hAnsi="Times New Roman" w:eastAsia="Adobe 仿宋 Std R"/>
    </w:rPr>
  </w:style>
  <w:style w:type="paragraph" w:customStyle="1" w:styleId="76">
    <w:name w:val="正文_3"/>
    <w:basedOn w:val="77"/>
    <w:next w:val="79"/>
    <w:qFormat/>
    <w:uiPriority w:val="0"/>
  </w:style>
  <w:style w:type="paragraph" w:customStyle="1" w:styleId="77">
    <w:name w:val="Normal_0"/>
    <w:basedOn w:val="78"/>
    <w:next w:val="33"/>
    <w:autoRedefine/>
    <w:qFormat/>
    <w:uiPriority w:val="0"/>
    <w:rPr>
      <w:rFonts w:ascii="Calibri" w:hAnsi="Calibri"/>
      <w:sz w:val="21"/>
    </w:rPr>
  </w:style>
  <w:style w:type="paragraph" w:customStyle="1" w:styleId="78">
    <w:name w:val="正文1"/>
    <w:next w:val="3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9">
    <w:name w:val="正文缩进_0_0"/>
    <w:basedOn w:val="80"/>
    <w:qFormat/>
    <w:uiPriority w:val="0"/>
    <w:pPr>
      <w:ind w:firstLine="420" w:firstLineChars="200"/>
    </w:pPr>
  </w:style>
  <w:style w:type="paragraph" w:customStyle="1" w:styleId="80">
    <w:name w:val="正文_2_0_0"/>
    <w:basedOn w:val="81"/>
    <w:next w:val="85"/>
    <w:autoRedefine/>
    <w:qFormat/>
    <w:uiPriority w:val="0"/>
    <w:rPr>
      <w:rFonts w:cs="Calibri"/>
      <w:szCs w:val="21"/>
    </w:rPr>
  </w:style>
  <w:style w:type="paragraph" w:customStyle="1" w:styleId="81">
    <w:name w:val="正文_3_0_0"/>
    <w:basedOn w:val="82"/>
    <w:next w:val="83"/>
    <w:qFormat/>
    <w:uiPriority w:val="0"/>
    <w:rPr>
      <w:rFonts w:ascii="Calibri" w:hAnsi="Calibri"/>
    </w:rPr>
  </w:style>
  <w:style w:type="paragraph" w:customStyle="1" w:styleId="82">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文本_1_0_0"/>
    <w:basedOn w:val="84"/>
    <w:qFormat/>
    <w:uiPriority w:val="0"/>
    <w:pPr>
      <w:spacing w:after="120"/>
    </w:pPr>
  </w:style>
  <w:style w:type="paragraph" w:customStyle="1" w:styleId="84">
    <w:name w:val="正文_2_0_0_0_0"/>
    <w:next w:val="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正文首行缩进 2_4"/>
    <w:basedOn w:val="86"/>
    <w:qFormat/>
    <w:uiPriority w:val="99"/>
    <w:pPr>
      <w:ind w:firstLine="420" w:firstLineChars="200"/>
    </w:pPr>
  </w:style>
  <w:style w:type="paragraph" w:customStyle="1" w:styleId="86">
    <w:name w:val="正文文本缩进_5"/>
    <w:basedOn w:val="87"/>
    <w:qFormat/>
    <w:uiPriority w:val="0"/>
    <w:pPr>
      <w:spacing w:line="500" w:lineRule="exact"/>
      <w:ind w:left="1588" w:leftChars="832" w:firstLine="433" w:firstLineChars="196"/>
    </w:pPr>
    <w:rPr>
      <w:kern w:val="0"/>
      <w:sz w:val="24"/>
    </w:rPr>
  </w:style>
  <w:style w:type="paragraph" w:customStyle="1" w:styleId="87">
    <w:name w:val="正文_2_0_0_0"/>
    <w:next w:val="8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4正文"/>
    <w:basedOn w:val="1"/>
    <w:autoRedefine/>
    <w:qFormat/>
    <w:uiPriority w:val="0"/>
    <w:pPr>
      <w:snapToGrid w:val="0"/>
      <w:spacing w:line="360" w:lineRule="auto"/>
      <w:ind w:firstLine="480" w:firstLineChars="200"/>
    </w:pPr>
    <w:rPr>
      <w:rFonts w:eastAsia="仿宋"/>
      <w:sz w:val="24"/>
    </w:rPr>
  </w:style>
  <w:style w:type="paragraph" w:customStyle="1" w:styleId="89">
    <w:name w:val="首行缩进:  0.85 厘米"/>
    <w:basedOn w:val="1"/>
    <w:qFormat/>
    <w:uiPriority w:val="0"/>
    <w:pPr>
      <w:widowControl/>
      <w:spacing w:after="100" w:line="360" w:lineRule="auto"/>
      <w:ind w:firstLine="482"/>
      <w:jc w:val="left"/>
    </w:pPr>
    <w:rPr>
      <w:kern w:val="0"/>
      <w:sz w:val="24"/>
      <w:lang w:eastAsia="en-US"/>
    </w:rPr>
  </w:style>
  <w:style w:type="paragraph" w:customStyle="1" w:styleId="90">
    <w:name w:val="Table Paragraph"/>
    <w:basedOn w:val="1"/>
    <w:qFormat/>
    <w:uiPriority w:val="1"/>
    <w:rPr>
      <w:sz w:val="24"/>
    </w:rPr>
  </w:style>
  <w:style w:type="paragraph" w:customStyle="1" w:styleId="91">
    <w:name w:val="列出段落1"/>
    <w:basedOn w:val="1"/>
    <w:qFormat/>
    <w:uiPriority w:val="0"/>
    <w:pPr>
      <w:spacing w:line="360" w:lineRule="auto"/>
      <w:ind w:firstLine="420" w:firstLineChars="200"/>
    </w:pPr>
    <w:rPr>
      <w:rFonts w:ascii="等线" w:hAnsi="等线"/>
      <w:szCs w:val="22"/>
    </w:rPr>
  </w:style>
  <w:style w:type="paragraph" w:customStyle="1" w:styleId="92">
    <w:name w:val="样式 正文缩进 + 首行缩进:  2 字符"/>
    <w:basedOn w:val="6"/>
    <w:autoRedefine/>
    <w:qFormat/>
    <w:uiPriority w:val="0"/>
    <w:pPr>
      <w:spacing w:line="360" w:lineRule="auto"/>
      <w:ind w:firstLine="200"/>
    </w:pPr>
    <w:rPr>
      <w:rFonts w:cs="宋体"/>
      <w:sz w:val="24"/>
      <w:szCs w:val="20"/>
    </w:rPr>
  </w:style>
  <w:style w:type="paragraph" w:customStyle="1" w:styleId="93">
    <w:name w:val="WPS Plain"/>
    <w:basedOn w:val="1"/>
    <w:qFormat/>
    <w:uiPriority w:val="0"/>
    <w:pPr>
      <w:widowControl/>
      <w:jc w:val="left"/>
    </w:pPr>
    <w:rPr>
      <w:rFonts w:ascii="Times New Roman"/>
      <w:sz w:val="24"/>
    </w:rPr>
  </w:style>
  <w:style w:type="paragraph" w:customStyle="1" w:styleId="94">
    <w:name w:val="普通(网站)1"/>
    <w:basedOn w:val="1"/>
    <w:qFormat/>
    <w:uiPriority w:val="0"/>
    <w:pPr>
      <w:jc w:val="left"/>
    </w:pPr>
    <w:rPr>
      <w:kern w:val="0"/>
      <w:sz w:val="24"/>
    </w:rPr>
  </w:style>
  <w:style w:type="paragraph" w:customStyle="1" w:styleId="95">
    <w:name w:val="Body text|1"/>
    <w:basedOn w:val="1"/>
    <w:qFormat/>
    <w:uiPriority w:val="0"/>
    <w:pPr>
      <w:spacing w:line="290" w:lineRule="auto"/>
      <w:ind w:firstLine="400"/>
    </w:pPr>
    <w:rPr>
      <w:rFonts w:ascii="宋体" w:hAnsi="宋体" w:cs="宋体"/>
      <w:sz w:val="22"/>
      <w:szCs w:val="22"/>
      <w:lang w:val="zh-CN" w:bidi="zh-CN"/>
    </w:rPr>
  </w:style>
  <w:style w:type="paragraph" w:customStyle="1" w:styleId="96">
    <w:name w:val="纯文本1"/>
    <w:basedOn w:val="1"/>
    <w:qFormat/>
    <w:uiPriority w:val="0"/>
    <w:rPr>
      <w:rFonts w:ascii="宋体" w:hAnsi="Courier New"/>
      <w:szCs w:val="22"/>
    </w:rPr>
  </w:style>
  <w:style w:type="paragraph" w:customStyle="1" w:styleId="97">
    <w:name w:val="List Paragraph_bec9d0d3-48c0-408b-9551-1be35552bd90"/>
    <w:basedOn w:val="1"/>
    <w:autoRedefine/>
    <w:qFormat/>
    <w:uiPriority w:val="99"/>
    <w:pPr>
      <w:ind w:firstLine="420" w:firstLineChars="200"/>
    </w:pPr>
  </w:style>
  <w:style w:type="character" w:customStyle="1" w:styleId="98">
    <w:name w:val="批注框文本 Char"/>
    <w:basedOn w:val="36"/>
    <w:link w:val="16"/>
    <w:autoRedefine/>
    <w:qFormat/>
    <w:uiPriority w:val="0"/>
    <w:rPr>
      <w:rFonts w:ascii="Calibri" w:hAnsi="Calibri"/>
      <w:kern w:val="2"/>
      <w:sz w:val="18"/>
      <w:szCs w:val="18"/>
    </w:rPr>
  </w:style>
  <w:style w:type="character" w:customStyle="1" w:styleId="99">
    <w:name w:val="批注文字 Char"/>
    <w:basedOn w:val="36"/>
    <w:link w:val="9"/>
    <w:autoRedefine/>
    <w:qFormat/>
    <w:uiPriority w:val="0"/>
    <w:rPr>
      <w:rFonts w:ascii="Calibri" w:hAnsi="Calibri"/>
      <w:kern w:val="2"/>
      <w:sz w:val="21"/>
      <w:szCs w:val="24"/>
    </w:rPr>
  </w:style>
  <w:style w:type="character" w:customStyle="1" w:styleId="100">
    <w:name w:val="批注主题 Char"/>
    <w:basedOn w:val="99"/>
    <w:link w:val="31"/>
    <w:qFormat/>
    <w:uiPriority w:val="0"/>
    <w:rPr>
      <w:rFonts w:ascii="Calibri" w:hAnsi="Calibri"/>
      <w:b/>
      <w:bCs/>
      <w:kern w:val="2"/>
      <w:sz w:val="21"/>
      <w:szCs w:val="24"/>
    </w:rPr>
  </w:style>
  <w:style w:type="paragraph" w:customStyle="1" w:styleId="101">
    <w:name w:val="普通(网站)2"/>
    <w:basedOn w:val="1"/>
    <w:autoRedefine/>
    <w:qFormat/>
    <w:uiPriority w:val="0"/>
    <w:pPr>
      <w:jc w:val="left"/>
    </w:pPr>
    <w:rPr>
      <w:rFonts w:ascii="Times New Roman" w:hAnsi="Times New Roman"/>
      <w:kern w:val="0"/>
      <w:sz w:val="24"/>
    </w:rPr>
  </w:style>
  <w:style w:type="paragraph" w:customStyle="1" w:styleId="102">
    <w:name w:val="普通(网站)3"/>
    <w:basedOn w:val="1"/>
    <w:qFormat/>
    <w:uiPriority w:val="0"/>
    <w:pPr>
      <w:jc w:val="left"/>
    </w:pPr>
    <w:rPr>
      <w:kern w:val="0"/>
      <w:sz w:val="24"/>
    </w:rPr>
  </w:style>
  <w:style w:type="paragraph" w:customStyle="1" w:styleId="10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4">
    <w:name w:val="题注5"/>
    <w:basedOn w:val="1"/>
    <w:next w:val="7"/>
    <w:qFormat/>
    <w:uiPriority w:val="0"/>
    <w:pPr>
      <w:numPr>
        <w:ilvl w:val="1"/>
        <w:numId w:val="3"/>
      </w:numPr>
      <w:tabs>
        <w:tab w:val="left" w:pos="0"/>
        <w:tab w:val="left" w:pos="720"/>
      </w:tabs>
      <w:spacing w:line="360" w:lineRule="auto"/>
      <w:ind w:left="720" w:hanging="720"/>
    </w:pPr>
    <w:rPr>
      <w:b/>
      <w:color w:val="000000"/>
      <w:sz w:val="28"/>
      <w:szCs w:val="28"/>
    </w:rPr>
  </w:style>
  <w:style w:type="character" w:customStyle="1" w:styleId="105">
    <w:name w:val="ft7"/>
    <w:basedOn w:val="36"/>
    <w:autoRedefine/>
    <w:qFormat/>
    <w:uiPriority w:val="0"/>
  </w:style>
  <w:style w:type="character" w:customStyle="1" w:styleId="106">
    <w:name w:val="ft35"/>
    <w:basedOn w:val="36"/>
    <w:qFormat/>
    <w:uiPriority w:val="0"/>
  </w:style>
  <w:style w:type="paragraph" w:customStyle="1" w:styleId="107">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08">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109">
    <w:name w:val="p0"/>
    <w:basedOn w:val="1"/>
    <w:qFormat/>
    <w:uiPriority w:val="0"/>
    <w:pPr>
      <w:widowControl/>
    </w:pPr>
    <w:rPr>
      <w:rFonts w:ascii="Times New Roman" w:hAnsi="Times New Roman" w:eastAsia="宋体" w:cs="Times New Roman"/>
      <w:kern w:val="0"/>
      <w:szCs w:val="21"/>
    </w:rPr>
  </w:style>
  <w:style w:type="paragraph" w:customStyle="1" w:styleId="110">
    <w:name w:val="样式2"/>
    <w:basedOn w:val="1"/>
    <w:qFormat/>
    <w:uiPriority w:val="0"/>
    <w:pPr>
      <w:spacing w:before="120" w:after="120"/>
    </w:pPr>
  </w:style>
  <w:style w:type="paragraph" w:customStyle="1" w:styleId="111">
    <w:name w:val="样式 微软雅黑 小四 行距: 固定值 22 磅 首行缩进:  2 字符"/>
    <w:basedOn w:val="1"/>
    <w:autoRedefine/>
    <w:qFormat/>
    <w:uiPriority w:val="0"/>
    <w:pPr>
      <w:spacing w:line="440" w:lineRule="exact"/>
      <w:jc w:val="both"/>
    </w:pPr>
    <w:rPr>
      <w:rFonts w:eastAsia="微软雅黑"/>
      <w:sz w:val="24"/>
      <w:szCs w:val="20"/>
    </w:rPr>
  </w:style>
  <w:style w:type="paragraph" w:customStyle="1" w:styleId="112">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3">
    <w:name w:val="Normal (Web)_da840081-6722-4a06-8bb9-a1081cc0db29"/>
    <w:basedOn w:val="1"/>
    <w:autoRedefine/>
    <w:qFormat/>
    <w:uiPriority w:val="0"/>
    <w:pPr>
      <w:spacing w:before="0" w:beforeAutospacing="0" w:after="0" w:afterAutospacing="0"/>
      <w:ind w:left="0" w:right="0"/>
      <w:jc w:val="left"/>
    </w:pPr>
    <w:rPr>
      <w:kern w:val="0"/>
      <w:sz w:val="24"/>
      <w:lang w:val="en-US" w:eastAsia="zh-CN"/>
    </w:rPr>
  </w:style>
  <w:style w:type="table" w:customStyle="1" w:styleId="114">
    <w:name w:val="Table Normal"/>
    <w:qFormat/>
    <w:uiPriority w:val="0"/>
    <w:tblPr>
      <w:tblCellMar>
        <w:top w:w="0" w:type="dxa"/>
        <w:left w:w="0" w:type="dxa"/>
        <w:bottom w:w="0" w:type="dxa"/>
        <w:right w:w="0" w:type="dxa"/>
      </w:tblCellMar>
    </w:tblPr>
  </w:style>
  <w:style w:type="paragraph" w:customStyle="1" w:styleId="115">
    <w:name w:val="Table Text"/>
    <w:basedOn w:val="1"/>
    <w:qFormat/>
    <w:uiPriority w:val="0"/>
    <w:rPr>
      <w:rFonts w:ascii="Arial" w:hAnsi="Arial" w:eastAsia="Arial" w:cs="Arial"/>
      <w:sz w:val="24"/>
      <w:szCs w:val="24"/>
      <w:lang w:val="en-US" w:eastAsia="en-US" w:bidi="ar-SA"/>
    </w:rPr>
  </w:style>
  <w:style w:type="paragraph" w:customStyle="1" w:styleId="116">
    <w:name w:val="表格"/>
    <w:basedOn w:val="1"/>
    <w:autoRedefine/>
    <w:qFormat/>
    <w:uiPriority w:val="0"/>
    <w:pPr>
      <w:spacing w:line="400" w:lineRule="exact"/>
    </w:pPr>
    <w:rPr>
      <w:rFonts w:ascii="Times New Roman" w:hAnsi="Times New Roman" w:eastAsia="宋体" w:cs="Times New Roman"/>
      <w:sz w:val="24"/>
    </w:rPr>
  </w:style>
  <w:style w:type="character" w:customStyle="1" w:styleId="117">
    <w:name w:val="font31"/>
    <w:basedOn w:val="36"/>
    <w:qFormat/>
    <w:uiPriority w:val="0"/>
    <w:rPr>
      <w:rFonts w:hint="eastAsia" w:ascii="宋体" w:hAnsi="宋体" w:eastAsia="宋体" w:cs="宋体"/>
      <w:color w:val="000000"/>
      <w:sz w:val="24"/>
      <w:szCs w:val="24"/>
      <w:u w:val="none"/>
    </w:rPr>
  </w:style>
  <w:style w:type="character" w:customStyle="1" w:styleId="118">
    <w:name w:val="font41"/>
    <w:basedOn w:val="36"/>
    <w:autoRedefine/>
    <w:qFormat/>
    <w:uiPriority w:val="0"/>
    <w:rPr>
      <w:rFonts w:hint="eastAsia" w:ascii="宋体" w:hAnsi="宋体" w:eastAsia="宋体" w:cs="宋体"/>
      <w:color w:val="000000"/>
      <w:sz w:val="24"/>
      <w:szCs w:val="24"/>
      <w:u w:val="none"/>
    </w:rPr>
  </w:style>
  <w:style w:type="character" w:customStyle="1" w:styleId="119">
    <w:name w:val="font61"/>
    <w:basedOn w:val="36"/>
    <w:qFormat/>
    <w:uiPriority w:val="0"/>
    <w:rPr>
      <w:rFonts w:hint="eastAsia" w:ascii="宋体" w:hAnsi="宋体" w:eastAsia="宋体" w:cs="宋体"/>
      <w:color w:val="000000"/>
      <w:sz w:val="24"/>
      <w:szCs w:val="24"/>
      <w:u w:val="none"/>
    </w:rPr>
  </w:style>
  <w:style w:type="paragraph" w:customStyle="1" w:styleId="120">
    <w:name w:val="Other|1"/>
    <w:basedOn w:val="1"/>
    <w:qFormat/>
    <w:uiPriority w:val="0"/>
    <w:pPr>
      <w:jc w:val="center"/>
    </w:pPr>
    <w:rPr>
      <w:rFonts w:ascii="宋体" w:hAnsi="宋体" w:eastAsia="宋体" w:cs="宋体"/>
      <w:sz w:val="16"/>
      <w:szCs w:val="16"/>
      <w:lang w:val="zh-TW" w:eastAsia="zh-TW" w:bidi="zh-TW"/>
    </w:rPr>
  </w:style>
  <w:style w:type="paragraph" w:customStyle="1" w:styleId="12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
    <w:name w:val="List Paragraph"/>
    <w:basedOn w:val="1"/>
    <w:qFormat/>
    <w:uiPriority w:val="34"/>
    <w:pPr>
      <w:ind w:firstLine="420" w:firstLineChars="200"/>
    </w:pPr>
  </w:style>
  <w:style w:type="paragraph" w:customStyle="1" w:styleId="12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4">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125">
    <w:name w:val="Heading #1|1"/>
    <w:basedOn w:val="1"/>
    <w:autoRedefine/>
    <w:qFormat/>
    <w:uiPriority w:val="0"/>
    <w:pPr>
      <w:spacing w:after="280"/>
      <w:jc w:val="center"/>
      <w:outlineLvl w:val="0"/>
    </w:pPr>
    <w:rPr>
      <w:rFonts w:ascii="宋体" w:hAnsi="宋体" w:eastAsia="宋体" w:cs="宋体"/>
      <w:sz w:val="30"/>
      <w:szCs w:val="30"/>
      <w:lang w:val="zh-TW" w:eastAsia="zh-TW" w:bidi="zh-TW"/>
    </w:rPr>
  </w:style>
  <w:style w:type="paragraph" w:customStyle="1" w:styleId="126">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18188</Words>
  <Characters>19311</Characters>
  <Paragraphs>2044</Paragraphs>
  <TotalTime>5</TotalTime>
  <ScaleCrop>false</ScaleCrop>
  <LinksUpToDate>false</LinksUpToDate>
  <CharactersWithSpaces>21399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2023-02-26T09:34:00Z</dcterms:created>
  <dc:creator>lenovo</dc:creator>
  <cp:lastModifiedBy>过往</cp:lastModifiedBy>
  <cp:lastPrinted>2025-03-18T13:12:00Z</cp:lastPrinted>
  <dcterms:modified xsi:type="dcterms:W3CDTF">2025-04-23T06:21:16Z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3FE902F17B5F49CCAADA04551AC9421F_13</vt:lpwstr>
  </property>
  <property fmtid="{D5CDD505-2E9C-101B-9397-08002B2CF9AE}" pid="4" name="KSOTemplateDocerSaveRecord">
    <vt:lpwstr>eyJoZGlkIjoiMDg3ZjgxM2NkNDc4ZDNmMTE0NThhY2RjZTc2ZDViZDkiLCJ1c2VySWQiOiIyNDI5NjgzNTIifQ==</vt:lpwstr>
  </property>
</Properties>
</file>