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22643">
      <w:pPr>
        <w:pageBreakBefore w:val="0"/>
        <w:tabs>
          <w:tab w:val="left" w:pos="1134"/>
          <w:tab w:val="left" w:pos="5481"/>
          <w:tab w:val="left" w:pos="5859"/>
        </w:tabs>
        <w:kinsoku/>
        <w:overflowPunct/>
        <w:topLinePunct w:val="0"/>
        <w:bidi w:val="0"/>
        <w:jc w:val="both"/>
        <w:rPr>
          <w:rFonts w:hint="eastAsia" w:asciiTheme="minorEastAsia" w:hAnsiTheme="minorEastAsia" w:eastAsiaTheme="minorEastAsia" w:cstheme="minorEastAsia"/>
          <w:color w:val="auto"/>
          <w:spacing w:val="0"/>
          <w:position w:val="0"/>
          <w:sz w:val="10"/>
          <w:szCs w:val="10"/>
          <w:highlight w:val="none"/>
          <w:lang w:val="en-US" w:eastAsia="zh-CN"/>
        </w:rPr>
      </w:pPr>
      <w:r>
        <w:rPr>
          <w:rFonts w:hint="eastAsia" w:asciiTheme="minorEastAsia" w:hAnsiTheme="minorEastAsia" w:eastAsiaTheme="minorEastAsia" w:cstheme="minorEastAsia"/>
          <w:color w:val="auto"/>
          <w:spacing w:val="0"/>
          <w:position w:val="0"/>
          <w:sz w:val="10"/>
          <w:szCs w:val="10"/>
          <w:highlight w:val="none"/>
          <w:lang w:val="en-US" w:eastAsia="zh-CN"/>
        </w:rPr>
        <w:t xml:space="preserve"> </w:t>
      </w:r>
    </w:p>
    <w:p w14:paraId="3E586074">
      <w:pPr>
        <w:pStyle w:val="75"/>
        <w:pageBreakBefore w:val="0"/>
        <w:kinsoku/>
        <w:overflowPunct/>
        <w:topLinePunct w:val="0"/>
        <w:bidi w:val="0"/>
        <w:snapToGrid w:val="0"/>
        <w:spacing w:before="0" w:beforeAutospacing="0" w:after="0" w:afterAutospacing="0" w:line="240" w:lineRule="auto"/>
        <w:jc w:val="center"/>
        <w:textAlignment w:val="baseline"/>
        <w:rPr>
          <w:rStyle w:val="76"/>
          <w:rFonts w:hint="eastAsia" w:asciiTheme="minorEastAsia" w:hAnsiTheme="minorEastAsia" w:eastAsiaTheme="minorEastAsia" w:cstheme="minorEastAsia"/>
          <w:b/>
          <w:i w:val="0"/>
          <w:caps w:val="0"/>
          <w:color w:val="auto"/>
          <w:spacing w:val="0"/>
          <w:w w:val="100"/>
          <w:position w:val="0"/>
          <w:sz w:val="48"/>
          <w:szCs w:val="48"/>
          <w:highlight w:val="none"/>
          <w:lang w:val="en-US" w:eastAsia="zh-CN" w:bidi="ar-SA"/>
        </w:rPr>
      </w:pPr>
      <w:r>
        <w:rPr>
          <w:rFonts w:hint="eastAsia" w:asciiTheme="minorEastAsia" w:hAnsiTheme="minorEastAsia" w:eastAsiaTheme="minorEastAsia" w:cstheme="minorEastAsia"/>
          <w:b/>
          <w:bCs/>
          <w:color w:val="auto"/>
          <w:spacing w:val="0"/>
          <w:position w:val="0"/>
          <w:sz w:val="96"/>
          <w:szCs w:val="96"/>
          <w:highlight w:val="none"/>
          <w:lang w:eastAsia="zh-CN"/>
        </w:rPr>
        <w:t>政府采购</w:t>
      </w:r>
    </w:p>
    <w:p w14:paraId="3A8467E7">
      <w:pPr>
        <w:pageBreakBefore w:val="0"/>
        <w:kinsoku/>
        <w:overflowPunct/>
        <w:topLinePunct w:val="0"/>
        <w:bidi w:val="0"/>
        <w:jc w:val="center"/>
        <w:rPr>
          <w:rFonts w:hint="eastAsia" w:asciiTheme="minorEastAsia" w:hAnsiTheme="minorEastAsia" w:eastAsiaTheme="minorEastAsia" w:cstheme="minorEastAsia"/>
          <w:b/>
          <w:bCs/>
          <w:color w:val="auto"/>
          <w:spacing w:val="0"/>
          <w:position w:val="0"/>
          <w:sz w:val="96"/>
          <w:szCs w:val="144"/>
          <w:highlight w:val="none"/>
          <w:lang w:val="en-US" w:eastAsia="zh-CN"/>
        </w:rPr>
      </w:pPr>
      <w:r>
        <w:rPr>
          <w:rFonts w:hint="eastAsia" w:asciiTheme="minorEastAsia" w:hAnsiTheme="minorEastAsia" w:eastAsiaTheme="minorEastAsia" w:cstheme="minorEastAsia"/>
          <w:b/>
          <w:bCs/>
          <w:color w:val="auto"/>
          <w:spacing w:val="0"/>
          <w:position w:val="0"/>
          <w:sz w:val="96"/>
          <w:szCs w:val="144"/>
          <w:highlight w:val="none"/>
          <w:lang w:val="en-US" w:eastAsia="zh-CN"/>
        </w:rPr>
        <w:t>竞争性磋商文件</w:t>
      </w:r>
    </w:p>
    <w:p w14:paraId="7E523BAA">
      <w:pPr>
        <w:pageBreakBefore w:val="0"/>
        <w:kinsoku/>
        <w:overflowPunct/>
        <w:topLinePunct w:val="0"/>
        <w:bidi w:val="0"/>
        <w:snapToGrid w:val="0"/>
        <w:spacing w:before="0" w:beforeAutospacing="0" w:after="0" w:afterAutospacing="0" w:line="440" w:lineRule="exact"/>
        <w:jc w:val="center"/>
        <w:textAlignment w:val="baseline"/>
        <w:rPr>
          <w:rStyle w:val="76"/>
          <w:rFonts w:hint="eastAsia" w:asciiTheme="minorEastAsia" w:hAnsiTheme="minorEastAsia" w:eastAsiaTheme="minorEastAsia" w:cstheme="minorEastAsia"/>
          <w:b/>
          <w:i w:val="0"/>
          <w:caps w:val="0"/>
          <w:color w:val="auto"/>
          <w:spacing w:val="0"/>
          <w:w w:val="100"/>
          <w:kern w:val="2"/>
          <w:position w:val="0"/>
          <w:sz w:val="32"/>
          <w:szCs w:val="32"/>
          <w:highlight w:val="none"/>
          <w:lang w:val="en-US" w:eastAsia="zh-CN" w:bidi="ar-SA"/>
        </w:rPr>
      </w:pPr>
      <w:r>
        <w:rPr>
          <w:rStyle w:val="76"/>
          <w:rFonts w:hint="eastAsia" w:asciiTheme="minorEastAsia" w:hAnsiTheme="minorEastAsia" w:eastAsiaTheme="minorEastAsia" w:cstheme="minorEastAsia"/>
          <w:b/>
          <w:i w:val="0"/>
          <w:caps w:val="0"/>
          <w:color w:val="auto"/>
          <w:spacing w:val="0"/>
          <w:w w:val="100"/>
          <w:kern w:val="2"/>
          <w:position w:val="0"/>
          <w:sz w:val="32"/>
          <w:szCs w:val="32"/>
          <w:highlight w:val="none"/>
          <w:lang w:val="en-US" w:eastAsia="zh-CN" w:bidi="ar-SA"/>
        </w:rPr>
        <w:t>（服务类）</w:t>
      </w:r>
    </w:p>
    <w:p w14:paraId="0C31AD15">
      <w:pPr>
        <w:pageBreakBefore w:val="0"/>
        <w:kinsoku/>
        <w:overflowPunct/>
        <w:topLinePunct w:val="0"/>
        <w:bidi w:val="0"/>
        <w:snapToGrid w:val="0"/>
        <w:spacing w:before="0" w:beforeAutospacing="0" w:after="0" w:afterAutospacing="0" w:line="240" w:lineRule="auto"/>
        <w:jc w:val="center"/>
        <w:textAlignment w:val="baseline"/>
        <w:rPr>
          <w:rStyle w:val="76"/>
          <w:rFonts w:hint="eastAsia" w:asciiTheme="minorEastAsia" w:hAnsiTheme="minorEastAsia" w:eastAsiaTheme="minorEastAsia" w:cstheme="minorEastAsia"/>
          <w:b/>
          <w:i w:val="0"/>
          <w:caps w:val="0"/>
          <w:color w:val="auto"/>
          <w:spacing w:val="0"/>
          <w:w w:val="100"/>
          <w:kern w:val="2"/>
          <w:position w:val="0"/>
          <w:sz w:val="44"/>
          <w:szCs w:val="44"/>
          <w:highlight w:val="none"/>
          <w:lang w:val="en-US" w:eastAsia="zh-CN" w:bidi="ar-SA"/>
        </w:rPr>
      </w:pPr>
      <w:r>
        <w:rPr>
          <w:rFonts w:hint="eastAsia" w:asciiTheme="minorEastAsia" w:hAnsiTheme="minorEastAsia" w:eastAsiaTheme="minorEastAsia" w:cstheme="minorEastAsia"/>
          <w:b/>
          <w:bCs/>
          <w:color w:val="auto"/>
          <w:spacing w:val="0"/>
          <w:position w:val="0"/>
          <w:sz w:val="28"/>
          <w:szCs w:val="28"/>
          <w:highlight w:val="none"/>
          <w:lang w:eastAsia="zh-CN"/>
        </w:rPr>
        <w:drawing>
          <wp:anchor distT="0" distB="0" distL="114300" distR="114300" simplePos="0" relativeHeight="251660288" behindDoc="1" locked="0" layoutInCell="1" allowOverlap="1">
            <wp:simplePos x="0" y="0"/>
            <wp:positionH relativeFrom="column">
              <wp:posOffset>1504950</wp:posOffset>
            </wp:positionH>
            <wp:positionV relativeFrom="paragraph">
              <wp:posOffset>17145</wp:posOffset>
            </wp:positionV>
            <wp:extent cx="2305050" cy="1809750"/>
            <wp:effectExtent l="0" t="0" r="11430" b="3810"/>
            <wp:wrapNone/>
            <wp:docPr id="1" name="图片 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图片1"/>
                    <pic:cNvPicPr>
                      <a:picLocks noChangeAspect="1"/>
                    </pic:cNvPicPr>
                  </pic:nvPicPr>
                  <pic:blipFill>
                    <a:blip r:embed="rId9"/>
                    <a:stretch>
                      <a:fillRect/>
                    </a:stretch>
                  </pic:blipFill>
                  <pic:spPr>
                    <a:xfrm>
                      <a:off x="0" y="0"/>
                      <a:ext cx="2305050" cy="1809750"/>
                    </a:xfrm>
                    <a:prstGeom prst="rect">
                      <a:avLst/>
                    </a:prstGeom>
                    <a:noFill/>
                    <a:ln>
                      <a:noFill/>
                    </a:ln>
                  </pic:spPr>
                </pic:pic>
              </a:graphicData>
            </a:graphic>
          </wp:anchor>
        </w:drawing>
      </w:r>
    </w:p>
    <w:p w14:paraId="4122E425">
      <w:pPr>
        <w:pStyle w:val="75"/>
        <w:pageBreakBefore w:val="0"/>
        <w:kinsoku/>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position w:val="0"/>
          <w:sz w:val="96"/>
          <w:szCs w:val="96"/>
          <w:highlight w:val="none"/>
          <w:lang w:val="en-US" w:eastAsia="zh-CN" w:bidi="ar-SA"/>
        </w:rPr>
      </w:pPr>
    </w:p>
    <w:p w14:paraId="5BF782C4">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auto"/>
          <w:spacing w:val="0"/>
          <w:position w:val="0"/>
          <w:sz w:val="32"/>
          <w:szCs w:val="28"/>
          <w:highlight w:val="none"/>
          <w:lang w:eastAsia="zh-CN"/>
        </w:rPr>
      </w:pPr>
    </w:p>
    <w:p w14:paraId="47E1C19C">
      <w:pPr>
        <w:pageBreakBefore w:val="0"/>
        <w:widowControl/>
        <w:kinsoku/>
        <w:overflowPunct/>
        <w:topLinePunct w:val="0"/>
        <w:bidi w:val="0"/>
        <w:spacing w:line="480" w:lineRule="auto"/>
        <w:ind w:firstLine="960" w:firstLineChars="300"/>
        <w:jc w:val="left"/>
        <w:rPr>
          <w:rFonts w:hint="default" w:asciiTheme="minorEastAsia" w:hAnsiTheme="minorEastAsia" w:eastAsiaTheme="minorEastAsia" w:cstheme="minorEastAsia"/>
          <w:color w:val="auto"/>
          <w:spacing w:val="0"/>
          <w:position w:val="0"/>
          <w:sz w:val="32"/>
          <w:szCs w:val="28"/>
          <w:highlight w:val="none"/>
          <w:lang w:val="en-US" w:eastAsia="zh-CN"/>
        </w:rPr>
      </w:pPr>
      <w:r>
        <w:rPr>
          <w:rFonts w:hint="eastAsia" w:asciiTheme="minorEastAsia" w:hAnsiTheme="minorEastAsia" w:eastAsiaTheme="minorEastAsia" w:cstheme="minorEastAsia"/>
          <w:color w:val="auto"/>
          <w:spacing w:val="0"/>
          <w:position w:val="0"/>
          <w:sz w:val="32"/>
          <w:szCs w:val="28"/>
          <w:highlight w:val="none"/>
          <w:lang w:val="en-US" w:eastAsia="zh-CN"/>
        </w:rPr>
        <w:t xml:space="preserve">           </w:t>
      </w:r>
    </w:p>
    <w:p w14:paraId="5A96D3C0">
      <w:pPr>
        <w:pageBreakBefore w:val="0"/>
        <w:widowControl/>
        <w:kinsoku/>
        <w:overflowPunct/>
        <w:topLinePunct w:val="0"/>
        <w:bidi w:val="0"/>
        <w:spacing w:line="480" w:lineRule="auto"/>
        <w:ind w:firstLine="960" w:firstLineChars="300"/>
        <w:jc w:val="left"/>
        <w:rPr>
          <w:rFonts w:hint="eastAsia" w:asciiTheme="minorEastAsia" w:hAnsiTheme="minorEastAsia" w:eastAsiaTheme="minorEastAsia" w:cstheme="minorEastAsia"/>
          <w:color w:val="auto"/>
          <w:spacing w:val="0"/>
          <w:position w:val="0"/>
          <w:sz w:val="32"/>
          <w:szCs w:val="28"/>
          <w:highlight w:val="none"/>
          <w:lang w:eastAsia="zh-CN"/>
        </w:rPr>
      </w:pPr>
    </w:p>
    <w:p w14:paraId="2A5A17B3">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p>
    <w:p w14:paraId="0E26F806">
      <w:pPr>
        <w:jc w:val="left"/>
        <w:rPr>
          <w:rFonts w:hint="eastAsia" w:asciiTheme="minorEastAsia" w:hAnsiTheme="minorEastAsia" w:eastAsiaTheme="minorEastAsia" w:cstheme="minorEastAsia"/>
          <w:b/>
          <w:bCs/>
          <w:color w:val="auto"/>
          <w:spacing w:val="0"/>
          <w:position w:val="0"/>
          <w:sz w:val="32"/>
          <w:szCs w:val="40"/>
          <w:highlight w:val="none"/>
          <w:lang w:eastAsia="zh-CN"/>
        </w:rPr>
      </w:pPr>
      <w:r>
        <w:rPr>
          <w:rFonts w:hint="eastAsia" w:asciiTheme="minorEastAsia" w:hAnsiTheme="minorEastAsia" w:eastAsiaTheme="minorEastAsia" w:cstheme="minorEastAsia"/>
          <w:b/>
          <w:bCs/>
          <w:color w:val="auto"/>
          <w:spacing w:val="0"/>
          <w:position w:val="0"/>
          <w:sz w:val="32"/>
          <w:szCs w:val="40"/>
          <w:highlight w:val="none"/>
          <w:lang w:eastAsia="zh-CN"/>
        </w:rPr>
        <w:t>项目名称：新疆维吾尔自治区残疾人联合会宣传文化培训班项目</w:t>
      </w:r>
    </w:p>
    <w:p w14:paraId="5469F407">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p>
    <w:p w14:paraId="3CE591BF">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val="en-US" w:eastAsia="zh-CN"/>
        </w:rPr>
      </w:pPr>
      <w:r>
        <w:rPr>
          <w:rFonts w:hint="eastAsia" w:asciiTheme="minorEastAsia" w:hAnsiTheme="minorEastAsia" w:eastAsiaTheme="minorEastAsia" w:cstheme="minorEastAsia"/>
          <w:b/>
          <w:bCs/>
          <w:color w:val="auto"/>
          <w:spacing w:val="0"/>
          <w:position w:val="0"/>
          <w:sz w:val="32"/>
          <w:szCs w:val="40"/>
          <w:highlight w:val="none"/>
          <w:lang w:eastAsia="zh-CN"/>
        </w:rPr>
        <w:t>招标编号：XJCC-ZB-2025-045</w:t>
      </w:r>
    </w:p>
    <w:p w14:paraId="1FCFB487">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rPr>
      </w:pPr>
    </w:p>
    <w:p w14:paraId="7DCF6ABE">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lang w:eastAsia="zh-CN"/>
        </w:rPr>
      </w:pPr>
      <w:r>
        <w:rPr>
          <w:rFonts w:hint="eastAsia" w:asciiTheme="minorEastAsia" w:hAnsiTheme="minorEastAsia" w:eastAsiaTheme="minorEastAsia" w:cstheme="minorEastAsia"/>
          <w:b/>
          <w:bCs/>
          <w:color w:val="auto"/>
          <w:spacing w:val="0"/>
          <w:position w:val="0"/>
          <w:sz w:val="32"/>
          <w:szCs w:val="40"/>
          <w:highlight w:val="none"/>
        </w:rPr>
        <w:t>采购人</w:t>
      </w:r>
      <w:r>
        <w:rPr>
          <w:rFonts w:hint="eastAsia" w:asciiTheme="minorEastAsia" w:hAnsiTheme="minorEastAsia" w:eastAsiaTheme="minorEastAsia" w:cstheme="minorEastAsia"/>
          <w:b/>
          <w:bCs/>
          <w:color w:val="auto"/>
          <w:spacing w:val="0"/>
          <w:position w:val="0"/>
          <w:sz w:val="32"/>
          <w:szCs w:val="40"/>
          <w:highlight w:val="none"/>
          <w:lang w:eastAsia="zh-CN"/>
        </w:rPr>
        <w:t>（盖章）</w:t>
      </w:r>
      <w:r>
        <w:rPr>
          <w:rFonts w:hint="eastAsia" w:asciiTheme="minorEastAsia" w:hAnsiTheme="minorEastAsia" w:eastAsiaTheme="minorEastAsia" w:cstheme="minorEastAsia"/>
          <w:b/>
          <w:bCs/>
          <w:color w:val="auto"/>
          <w:spacing w:val="0"/>
          <w:position w:val="0"/>
          <w:sz w:val="32"/>
          <w:szCs w:val="40"/>
          <w:highlight w:val="none"/>
        </w:rPr>
        <w:t>：</w:t>
      </w:r>
      <w:r>
        <w:rPr>
          <w:rFonts w:hint="eastAsia" w:asciiTheme="minorEastAsia" w:hAnsiTheme="minorEastAsia" w:eastAsiaTheme="minorEastAsia" w:cstheme="minorEastAsia"/>
          <w:b/>
          <w:bCs/>
          <w:color w:val="auto"/>
          <w:spacing w:val="0"/>
          <w:position w:val="0"/>
          <w:sz w:val="32"/>
          <w:szCs w:val="40"/>
          <w:highlight w:val="none"/>
          <w:lang w:eastAsia="zh-CN"/>
        </w:rPr>
        <w:t>新疆维吾尔自治区残疾人联合会</w:t>
      </w:r>
    </w:p>
    <w:p w14:paraId="6B59DC22">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rPr>
      </w:pPr>
    </w:p>
    <w:p w14:paraId="658FF1CA">
      <w:pPr>
        <w:pStyle w:val="16"/>
        <w:pageBreakBefore w:val="0"/>
        <w:kinsoku/>
        <w:wordWrap/>
        <w:overflowPunct/>
        <w:topLinePunct w:val="0"/>
        <w:bidi w:val="0"/>
        <w:spacing w:line="360" w:lineRule="auto"/>
        <w:ind w:left="0" w:leftChars="0" w:firstLine="0" w:firstLineChars="0"/>
        <w:rPr>
          <w:rFonts w:hint="eastAsia" w:asciiTheme="minorEastAsia" w:hAnsiTheme="minorEastAsia" w:eastAsiaTheme="minorEastAsia" w:cstheme="minorEastAsia"/>
          <w:b/>
          <w:bCs/>
          <w:color w:val="auto"/>
          <w:spacing w:val="0"/>
          <w:position w:val="0"/>
          <w:sz w:val="32"/>
          <w:szCs w:val="40"/>
          <w:highlight w:val="none"/>
          <w:u w:val="single"/>
          <w:lang w:eastAsia="zh-CN"/>
        </w:rPr>
      </w:pPr>
      <w:r>
        <w:rPr>
          <w:rFonts w:hint="eastAsia" w:asciiTheme="minorEastAsia" w:hAnsiTheme="minorEastAsia" w:eastAsiaTheme="minorEastAsia" w:cstheme="minorEastAsia"/>
          <w:b/>
          <w:bCs/>
          <w:color w:val="auto"/>
          <w:spacing w:val="0"/>
          <w:position w:val="0"/>
          <w:sz w:val="32"/>
          <w:szCs w:val="40"/>
          <w:highlight w:val="none"/>
        </w:rPr>
        <w:t>采购代理机构</w:t>
      </w:r>
      <w:r>
        <w:rPr>
          <w:rFonts w:hint="eastAsia" w:asciiTheme="minorEastAsia" w:hAnsiTheme="minorEastAsia" w:eastAsiaTheme="minorEastAsia" w:cstheme="minorEastAsia"/>
          <w:b/>
          <w:bCs/>
          <w:color w:val="auto"/>
          <w:spacing w:val="0"/>
          <w:position w:val="0"/>
          <w:sz w:val="32"/>
          <w:szCs w:val="40"/>
          <w:highlight w:val="none"/>
          <w:lang w:eastAsia="zh-CN"/>
        </w:rPr>
        <w:t>（盖章）</w:t>
      </w:r>
      <w:r>
        <w:rPr>
          <w:rFonts w:hint="eastAsia" w:asciiTheme="minorEastAsia" w:hAnsiTheme="minorEastAsia" w:eastAsiaTheme="minorEastAsia" w:cstheme="minorEastAsia"/>
          <w:b/>
          <w:bCs/>
          <w:color w:val="auto"/>
          <w:spacing w:val="0"/>
          <w:position w:val="0"/>
          <w:sz w:val="32"/>
          <w:szCs w:val="40"/>
          <w:highlight w:val="none"/>
        </w:rPr>
        <w:t>：</w:t>
      </w:r>
      <w:r>
        <w:rPr>
          <w:rFonts w:hint="eastAsia" w:asciiTheme="minorEastAsia" w:hAnsiTheme="minorEastAsia" w:eastAsiaTheme="minorEastAsia" w:cstheme="minorEastAsia"/>
          <w:b/>
          <w:bCs/>
          <w:color w:val="auto"/>
          <w:spacing w:val="0"/>
          <w:position w:val="0"/>
          <w:sz w:val="32"/>
          <w:szCs w:val="40"/>
          <w:highlight w:val="none"/>
          <w:lang w:eastAsia="zh-CN"/>
        </w:rPr>
        <w:t>新疆诚成工程项目管理有限公司</w:t>
      </w:r>
    </w:p>
    <w:p w14:paraId="23D5A93A">
      <w:pPr>
        <w:pStyle w:val="16"/>
        <w:pageBreakBefore w:val="0"/>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b/>
          <w:bCs/>
          <w:color w:val="auto"/>
          <w:spacing w:val="0"/>
          <w:position w:val="0"/>
          <w:sz w:val="32"/>
          <w:szCs w:val="40"/>
          <w:highlight w:val="none"/>
        </w:rPr>
      </w:pPr>
    </w:p>
    <w:p w14:paraId="4F06E60C">
      <w:pPr>
        <w:pStyle w:val="16"/>
        <w:pageBreakBefore w:val="0"/>
        <w:kinsoku/>
        <w:overflowPunct/>
        <w:topLinePunct w:val="0"/>
        <w:bidi w:val="0"/>
        <w:spacing w:line="360" w:lineRule="auto"/>
        <w:ind w:left="0" w:leftChars="0" w:firstLine="0" w:firstLineChars="0"/>
        <w:jc w:val="left"/>
        <w:rPr>
          <w:rFonts w:hint="eastAsia" w:asciiTheme="minorEastAsia" w:hAnsiTheme="minorEastAsia" w:eastAsiaTheme="minorEastAsia" w:cstheme="minorEastAsia"/>
          <w:b/>
          <w:bCs/>
          <w:color w:val="auto"/>
          <w:spacing w:val="0"/>
          <w:position w:val="0"/>
          <w:sz w:val="32"/>
          <w:szCs w:val="40"/>
          <w:highlight w:val="none"/>
        </w:rPr>
      </w:pPr>
      <w:r>
        <w:rPr>
          <w:rFonts w:hint="eastAsia" w:asciiTheme="minorEastAsia" w:hAnsiTheme="minorEastAsia" w:eastAsiaTheme="minorEastAsia" w:cstheme="minorEastAsia"/>
          <w:b/>
          <w:bCs/>
          <w:color w:val="auto"/>
          <w:spacing w:val="0"/>
          <w:position w:val="0"/>
          <w:sz w:val="32"/>
          <w:szCs w:val="40"/>
          <w:highlight w:val="none"/>
        </w:rPr>
        <w:t>日期：</w:t>
      </w:r>
      <w:bookmarkStart w:id="0" w:name="EBad5fb9b79797401bae5ba8a0a3b3cb20"/>
      <w:r>
        <w:rPr>
          <w:rFonts w:hint="eastAsia" w:asciiTheme="minorEastAsia" w:hAnsiTheme="minorEastAsia" w:eastAsiaTheme="minorEastAsia" w:cstheme="minorEastAsia"/>
          <w:b/>
          <w:bCs/>
          <w:color w:val="auto"/>
          <w:spacing w:val="0"/>
          <w:position w:val="0"/>
          <w:sz w:val="32"/>
          <w:szCs w:val="40"/>
          <w:highlight w:val="none"/>
        </w:rPr>
        <w:t>202</w:t>
      </w:r>
      <w:r>
        <w:rPr>
          <w:rFonts w:hint="eastAsia" w:asciiTheme="minorEastAsia" w:hAnsiTheme="minorEastAsia" w:eastAsiaTheme="minorEastAsia" w:cstheme="minorEastAsia"/>
          <w:b/>
          <w:bCs/>
          <w:color w:val="auto"/>
          <w:spacing w:val="0"/>
          <w:position w:val="0"/>
          <w:sz w:val="32"/>
          <w:szCs w:val="40"/>
          <w:highlight w:val="none"/>
          <w:lang w:val="en-US" w:eastAsia="zh-CN"/>
        </w:rPr>
        <w:t>5</w:t>
      </w:r>
      <w:r>
        <w:rPr>
          <w:rFonts w:hint="eastAsia" w:asciiTheme="minorEastAsia" w:hAnsiTheme="minorEastAsia" w:eastAsiaTheme="minorEastAsia" w:cstheme="minorEastAsia"/>
          <w:b/>
          <w:bCs/>
          <w:color w:val="auto"/>
          <w:spacing w:val="0"/>
          <w:position w:val="0"/>
          <w:sz w:val="32"/>
          <w:szCs w:val="40"/>
          <w:highlight w:val="none"/>
        </w:rPr>
        <w:t>年</w:t>
      </w:r>
      <w:r>
        <w:rPr>
          <w:rFonts w:hint="eastAsia" w:asciiTheme="minorEastAsia" w:hAnsiTheme="minorEastAsia" w:eastAsiaTheme="minorEastAsia" w:cstheme="minorEastAsia"/>
          <w:b/>
          <w:bCs/>
          <w:color w:val="auto"/>
          <w:spacing w:val="0"/>
          <w:position w:val="0"/>
          <w:sz w:val="32"/>
          <w:szCs w:val="40"/>
          <w:highlight w:val="none"/>
          <w:lang w:val="en-US" w:eastAsia="zh-CN"/>
        </w:rPr>
        <w:t>04</w:t>
      </w:r>
      <w:r>
        <w:rPr>
          <w:rFonts w:hint="eastAsia" w:asciiTheme="minorEastAsia" w:hAnsiTheme="minorEastAsia" w:eastAsiaTheme="minorEastAsia" w:cstheme="minorEastAsia"/>
          <w:b/>
          <w:bCs/>
          <w:color w:val="auto"/>
          <w:spacing w:val="0"/>
          <w:position w:val="0"/>
          <w:sz w:val="32"/>
          <w:szCs w:val="40"/>
          <w:highlight w:val="none"/>
        </w:rPr>
        <w:t>月</w:t>
      </w:r>
      <w:bookmarkEnd w:id="0"/>
    </w:p>
    <w:p w14:paraId="5F08911A">
      <w:pPr>
        <w:pageBreakBefore w:val="0"/>
        <w:kinsoku/>
        <w:overflowPunct/>
        <w:topLinePunct w:val="0"/>
        <w:bidi w:val="0"/>
        <w:spacing w:line="500" w:lineRule="exact"/>
        <w:jc w:val="both"/>
        <w:rPr>
          <w:rFonts w:hint="eastAsia" w:asciiTheme="minorEastAsia" w:hAnsiTheme="minorEastAsia" w:eastAsiaTheme="minorEastAsia" w:cstheme="minorEastAsia"/>
          <w:b/>
          <w:color w:val="auto"/>
          <w:spacing w:val="0"/>
          <w:position w:val="0"/>
          <w:sz w:val="44"/>
          <w:highlight w:val="none"/>
          <w:lang w:val="zh-CN"/>
        </w:rPr>
      </w:pPr>
    </w:p>
    <w:p w14:paraId="0DC5A24B">
      <w:pPr>
        <w:pageBreakBefore w:val="0"/>
        <w:kinsoku/>
        <w:overflowPunct/>
        <w:topLinePunct w:val="0"/>
        <w:bidi w:val="0"/>
        <w:spacing w:line="500" w:lineRule="exact"/>
        <w:ind w:left="849" w:hanging="853" w:hangingChars="193"/>
        <w:jc w:val="center"/>
        <w:rPr>
          <w:rFonts w:hint="eastAsia" w:asciiTheme="minorEastAsia" w:hAnsiTheme="minorEastAsia" w:eastAsiaTheme="minorEastAsia" w:cstheme="minorEastAsia"/>
          <w:b/>
          <w:color w:val="auto"/>
          <w:spacing w:val="0"/>
          <w:position w:val="0"/>
          <w:sz w:val="44"/>
          <w:highlight w:val="none"/>
          <w:lang w:val="zh-CN"/>
        </w:rPr>
      </w:pPr>
      <w:r>
        <w:rPr>
          <w:rFonts w:hint="eastAsia" w:asciiTheme="minorEastAsia" w:hAnsiTheme="minorEastAsia" w:eastAsiaTheme="minorEastAsia" w:cstheme="minorEastAsia"/>
          <w:b/>
          <w:color w:val="auto"/>
          <w:spacing w:val="0"/>
          <w:position w:val="0"/>
          <w:sz w:val="44"/>
          <w:highlight w:val="none"/>
          <w:lang w:val="zh-CN"/>
        </w:rPr>
        <w:t>目    录</w:t>
      </w:r>
    </w:p>
    <w:p w14:paraId="7B29387F">
      <w:pPr>
        <w:pStyle w:val="24"/>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color w:val="auto"/>
          <w:spacing w:val="0"/>
          <w:position w:val="0"/>
          <w:highlight w:val="none"/>
        </w:rPr>
        <w:instrText xml:space="preserve"> TOC \h \z \u \t "标题 1,1,标题 2,2" </w:instrText>
      </w:r>
      <w:r>
        <w:rPr>
          <w:rFonts w:hint="eastAsia" w:asciiTheme="minorEastAsia" w:hAnsiTheme="minorEastAsia" w:eastAsiaTheme="minorEastAsia" w:cstheme="minorEastAsia"/>
          <w:color w:val="auto"/>
          <w:spacing w:val="0"/>
          <w:position w:val="0"/>
          <w:highlight w:val="none"/>
        </w:rPr>
        <w:fldChar w:fldCharType="separate"/>
      </w:r>
      <w:r>
        <w:rPr>
          <w:rFonts w:hint="eastAsia" w:asciiTheme="minorEastAsia" w:hAnsiTheme="minorEastAsia" w:eastAsiaTheme="minorEastAsia" w:cstheme="minorEastAsia"/>
          <w:color w:val="auto"/>
          <w:spacing w:val="0"/>
          <w:position w:val="0"/>
          <w:highlight w:val="none"/>
        </w:rPr>
        <w:fldChar w:fldCharType="begin"/>
      </w:r>
      <w:r>
        <w:rPr>
          <w:rFonts w:hint="eastAsia" w:asciiTheme="minorEastAsia" w:hAnsiTheme="minorEastAsia" w:eastAsiaTheme="minorEastAsia" w:cstheme="minorEastAsia"/>
          <w:spacing w:val="0"/>
          <w:position w:val="0"/>
          <w:highlight w:val="none"/>
        </w:rPr>
        <w:instrText xml:space="preserve"> HYPERLINK \l _Toc18837 </w:instrText>
      </w:r>
      <w:r>
        <w:rPr>
          <w:rFonts w:hint="eastAsia" w:asciiTheme="minorEastAsia" w:hAnsiTheme="minorEastAsia" w:eastAsiaTheme="minorEastAsia" w:cstheme="minorEastAsia"/>
          <w:spacing w:val="0"/>
          <w:position w:val="0"/>
          <w:highlight w:val="none"/>
        </w:rPr>
        <w:fldChar w:fldCharType="separate"/>
      </w:r>
      <w:r>
        <w:rPr>
          <w:rFonts w:hint="eastAsia" w:asciiTheme="minorEastAsia" w:hAnsiTheme="minorEastAsia" w:eastAsiaTheme="minorEastAsia" w:cstheme="minorEastAsia"/>
          <w:spacing w:val="0"/>
          <w:position w:val="0"/>
          <w:szCs w:val="32"/>
          <w:highlight w:val="none"/>
        </w:rPr>
        <w:t>第一章 竞争性磋商</w:t>
      </w:r>
      <w:r>
        <w:rPr>
          <w:rFonts w:hint="eastAsia" w:asciiTheme="minorEastAsia" w:hAnsiTheme="minorEastAsia" w:eastAsiaTheme="minorEastAsia" w:cstheme="minorEastAsia"/>
          <w:spacing w:val="0"/>
          <w:position w:val="0"/>
          <w:szCs w:val="32"/>
          <w:highlight w:val="none"/>
          <w:lang w:eastAsia="zh-CN"/>
        </w:rPr>
        <w:t>公告</w:t>
      </w:r>
      <w:r>
        <w:rPr>
          <w:highlight w:val="none"/>
        </w:rPr>
        <w:tab/>
      </w:r>
      <w:r>
        <w:rPr>
          <w:highlight w:val="none"/>
        </w:rPr>
        <w:fldChar w:fldCharType="begin"/>
      </w:r>
      <w:r>
        <w:rPr>
          <w:highlight w:val="none"/>
        </w:rPr>
        <w:instrText xml:space="preserve"> PAGEREF _Toc18837 \h </w:instrText>
      </w:r>
      <w:r>
        <w:rPr>
          <w:highlight w:val="none"/>
        </w:rPr>
        <w:fldChar w:fldCharType="separate"/>
      </w:r>
      <w:r>
        <w:rPr>
          <w:highlight w:val="none"/>
        </w:rPr>
        <w:t>2</w:t>
      </w:r>
      <w:r>
        <w:rPr>
          <w:highlight w:val="none"/>
        </w:rPr>
        <w:fldChar w:fldCharType="end"/>
      </w:r>
      <w:r>
        <w:rPr>
          <w:rFonts w:hint="eastAsia" w:asciiTheme="minorEastAsia" w:hAnsiTheme="minorEastAsia" w:eastAsiaTheme="minorEastAsia" w:cstheme="minorEastAsia"/>
          <w:color w:val="auto"/>
          <w:spacing w:val="0"/>
          <w:position w:val="0"/>
          <w:highlight w:val="none"/>
        </w:rPr>
        <w:fldChar w:fldCharType="end"/>
      </w:r>
    </w:p>
    <w:p w14:paraId="6CA49258">
      <w:pPr>
        <w:pStyle w:val="24"/>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_Toc30804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szCs w:val="32"/>
          <w:highlight w:val="none"/>
        </w:rPr>
        <w:t>第二章 供应商须知</w:t>
      </w:r>
      <w:r>
        <w:rPr>
          <w:highlight w:val="none"/>
        </w:rPr>
        <w:tab/>
      </w:r>
      <w:r>
        <w:rPr>
          <w:highlight w:val="none"/>
        </w:rPr>
        <w:fldChar w:fldCharType="begin"/>
      </w:r>
      <w:r>
        <w:rPr>
          <w:highlight w:val="none"/>
        </w:rPr>
        <w:instrText xml:space="preserve"> PAGEREF _Toc30804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017724DF">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_Toc12310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szCs w:val="32"/>
          <w:highlight w:val="none"/>
        </w:rPr>
        <w:t>供应商须知前附表</w:t>
      </w:r>
      <w:r>
        <w:rPr>
          <w:highlight w:val="none"/>
        </w:rPr>
        <w:tab/>
      </w:r>
      <w:r>
        <w:rPr>
          <w:highlight w:val="none"/>
        </w:rPr>
        <w:fldChar w:fldCharType="begin"/>
      </w:r>
      <w:r>
        <w:rPr>
          <w:highlight w:val="none"/>
        </w:rPr>
        <w:instrText xml:space="preserve"> PAGEREF _Toc12310 \h </w:instrText>
      </w:r>
      <w:r>
        <w:rPr>
          <w:highlight w:val="none"/>
        </w:rPr>
        <w:fldChar w:fldCharType="separate"/>
      </w:r>
      <w:r>
        <w:rPr>
          <w:highlight w:val="none"/>
        </w:rPr>
        <w:t>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83652B3">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_Toc16896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一、 说明</w:t>
      </w:r>
      <w:r>
        <w:rPr>
          <w:highlight w:val="none"/>
        </w:rPr>
        <w:tab/>
      </w:r>
      <w:r>
        <w:rPr>
          <w:highlight w:val="none"/>
        </w:rPr>
        <w:fldChar w:fldCharType="begin"/>
      </w:r>
      <w:r>
        <w:rPr>
          <w:highlight w:val="none"/>
        </w:rPr>
        <w:instrText xml:space="preserve"> PAGEREF _Toc16896 \h </w:instrText>
      </w:r>
      <w:r>
        <w:rPr>
          <w:highlight w:val="none"/>
        </w:rPr>
        <w:fldChar w:fldCharType="separate"/>
      </w:r>
      <w:r>
        <w:rPr>
          <w:highlight w:val="none"/>
        </w:rPr>
        <w:t>11</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42EB8D3E">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_Toc4383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二、磋商文件</w:t>
      </w:r>
      <w:r>
        <w:rPr>
          <w:highlight w:val="none"/>
        </w:rPr>
        <w:tab/>
      </w:r>
      <w:r>
        <w:rPr>
          <w:highlight w:val="none"/>
        </w:rPr>
        <w:fldChar w:fldCharType="begin"/>
      </w:r>
      <w:r>
        <w:rPr>
          <w:highlight w:val="none"/>
        </w:rPr>
        <w:instrText xml:space="preserve"> PAGEREF _Toc4383 \h </w:instrText>
      </w:r>
      <w:r>
        <w:rPr>
          <w:highlight w:val="none"/>
        </w:rPr>
        <w:fldChar w:fldCharType="separate"/>
      </w:r>
      <w:r>
        <w:rPr>
          <w:highlight w:val="none"/>
        </w:rPr>
        <w:t>11</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30BFBCA">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_Toc17375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三、响应文件的编制和数量</w:t>
      </w:r>
      <w:r>
        <w:rPr>
          <w:highlight w:val="none"/>
        </w:rPr>
        <w:tab/>
      </w:r>
      <w:r>
        <w:rPr>
          <w:highlight w:val="none"/>
        </w:rPr>
        <w:fldChar w:fldCharType="begin"/>
      </w:r>
      <w:r>
        <w:rPr>
          <w:highlight w:val="none"/>
        </w:rPr>
        <w:instrText xml:space="preserve"> PAGEREF _Toc17375 \h </w:instrText>
      </w:r>
      <w:r>
        <w:rPr>
          <w:highlight w:val="none"/>
        </w:rPr>
        <w:fldChar w:fldCharType="separate"/>
      </w:r>
      <w:r>
        <w:rPr>
          <w:highlight w:val="none"/>
        </w:rPr>
        <w:t>13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968FAE4">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_Toc32568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kern w:val="2"/>
          <w:position w:val="0"/>
          <w:szCs w:val="28"/>
          <w:highlight w:val="none"/>
          <w:lang w:val="en-US" w:eastAsia="zh-CN" w:bidi="ar-SA"/>
        </w:rPr>
        <w:t>四、响应文件的递交</w:t>
      </w:r>
      <w:r>
        <w:rPr>
          <w:highlight w:val="none"/>
        </w:rPr>
        <w:tab/>
      </w:r>
      <w:r>
        <w:rPr>
          <w:highlight w:val="none"/>
        </w:rPr>
        <w:fldChar w:fldCharType="begin"/>
      </w:r>
      <w:r>
        <w:rPr>
          <w:highlight w:val="none"/>
        </w:rPr>
        <w:instrText xml:space="preserve"> PAGEREF _Toc32568 \h </w:instrText>
      </w:r>
      <w:r>
        <w:rPr>
          <w:highlight w:val="none"/>
        </w:rPr>
        <w:fldChar w:fldCharType="separate"/>
      </w:r>
      <w:r>
        <w:rPr>
          <w:highlight w:val="none"/>
        </w:rPr>
        <w:t>16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4BE66AC">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_Toc30347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五、竞争性磋商程序</w:t>
      </w:r>
      <w:r>
        <w:rPr>
          <w:highlight w:val="none"/>
        </w:rPr>
        <w:tab/>
      </w:r>
      <w:r>
        <w:rPr>
          <w:highlight w:val="none"/>
        </w:rPr>
        <w:fldChar w:fldCharType="begin"/>
      </w:r>
      <w:r>
        <w:rPr>
          <w:highlight w:val="none"/>
        </w:rPr>
        <w:instrText xml:space="preserve"> PAGEREF _Toc30347 \h </w:instrText>
      </w:r>
      <w:r>
        <w:rPr>
          <w:highlight w:val="none"/>
        </w:rPr>
        <w:fldChar w:fldCharType="separate"/>
      </w:r>
      <w:r>
        <w:rPr>
          <w:highlight w:val="none"/>
        </w:rPr>
        <w:t>17</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9D440AF">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_Toc26601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六、 授予合同</w:t>
      </w:r>
      <w:r>
        <w:rPr>
          <w:highlight w:val="none"/>
        </w:rPr>
        <w:tab/>
      </w:r>
      <w:r>
        <w:rPr>
          <w:highlight w:val="none"/>
        </w:rPr>
        <w:fldChar w:fldCharType="begin"/>
      </w:r>
      <w:r>
        <w:rPr>
          <w:highlight w:val="none"/>
        </w:rPr>
        <w:instrText xml:space="preserve"> PAGEREF _Toc26601 \h </w:instrText>
      </w:r>
      <w:r>
        <w:rPr>
          <w:highlight w:val="none"/>
        </w:rPr>
        <w:fldChar w:fldCharType="separate"/>
      </w:r>
      <w:r>
        <w:rPr>
          <w:highlight w:val="none"/>
        </w:rPr>
        <w:t>20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475483E">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_Toc21374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七、质疑和投诉</w:t>
      </w:r>
      <w:r>
        <w:rPr>
          <w:highlight w:val="none"/>
        </w:rPr>
        <w:tab/>
      </w:r>
      <w:r>
        <w:rPr>
          <w:highlight w:val="none"/>
        </w:rPr>
        <w:fldChar w:fldCharType="begin"/>
      </w:r>
      <w:r>
        <w:rPr>
          <w:highlight w:val="none"/>
        </w:rPr>
        <w:instrText xml:space="preserve"> PAGEREF _Toc21374 \h </w:instrText>
      </w:r>
      <w:r>
        <w:rPr>
          <w:highlight w:val="none"/>
        </w:rPr>
        <w:fldChar w:fldCharType="separate"/>
      </w:r>
      <w:r>
        <w:rPr>
          <w:highlight w:val="none"/>
        </w:rPr>
        <w:t>21</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4ADD79E">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_Toc16545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八、项目验收</w:t>
      </w:r>
      <w:r>
        <w:rPr>
          <w:highlight w:val="none"/>
        </w:rPr>
        <w:tab/>
      </w:r>
      <w:r>
        <w:rPr>
          <w:highlight w:val="none"/>
        </w:rPr>
        <w:fldChar w:fldCharType="begin"/>
      </w:r>
      <w:r>
        <w:rPr>
          <w:highlight w:val="none"/>
        </w:rPr>
        <w:instrText xml:space="preserve"> PAGEREF _Toc16545 \h </w:instrText>
      </w:r>
      <w:r>
        <w:rPr>
          <w:highlight w:val="none"/>
        </w:rPr>
        <w:fldChar w:fldCharType="separate"/>
      </w:r>
      <w:r>
        <w:rPr>
          <w:highlight w:val="none"/>
        </w:rPr>
        <w:t>23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EE3402C">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_Toc23745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九、适用法律</w:t>
      </w:r>
      <w:r>
        <w:rPr>
          <w:highlight w:val="none"/>
        </w:rPr>
        <w:tab/>
      </w:r>
      <w:r>
        <w:rPr>
          <w:highlight w:val="none"/>
        </w:rPr>
        <w:fldChar w:fldCharType="begin"/>
      </w:r>
      <w:r>
        <w:rPr>
          <w:highlight w:val="none"/>
        </w:rPr>
        <w:instrText xml:space="preserve"> PAGEREF _Toc23745 \h </w:instrText>
      </w:r>
      <w:r>
        <w:rPr>
          <w:highlight w:val="none"/>
        </w:rPr>
        <w:fldChar w:fldCharType="separate"/>
      </w:r>
      <w:r>
        <w:rPr>
          <w:highlight w:val="none"/>
        </w:rPr>
        <w:t>23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8BC3864">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_Toc17467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十、磋商文件的解释权</w:t>
      </w:r>
      <w:r>
        <w:rPr>
          <w:highlight w:val="none"/>
        </w:rPr>
        <w:tab/>
      </w:r>
      <w:r>
        <w:rPr>
          <w:highlight w:val="none"/>
        </w:rPr>
        <w:fldChar w:fldCharType="begin"/>
      </w:r>
      <w:r>
        <w:rPr>
          <w:highlight w:val="none"/>
        </w:rPr>
        <w:instrText xml:space="preserve"> PAGEREF _Toc17467 \h </w:instrText>
      </w:r>
      <w:r>
        <w:rPr>
          <w:highlight w:val="none"/>
        </w:rPr>
        <w:fldChar w:fldCharType="separate"/>
      </w:r>
      <w:r>
        <w:rPr>
          <w:highlight w:val="none"/>
        </w:rPr>
        <w:t>23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66F6D05">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_Toc26347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十一、其他注意事项</w:t>
      </w:r>
      <w:r>
        <w:rPr>
          <w:highlight w:val="none"/>
        </w:rPr>
        <w:tab/>
      </w:r>
      <w:r>
        <w:rPr>
          <w:highlight w:val="none"/>
        </w:rPr>
        <w:fldChar w:fldCharType="begin"/>
      </w:r>
      <w:r>
        <w:rPr>
          <w:highlight w:val="none"/>
        </w:rPr>
        <w:instrText xml:space="preserve"> PAGEREF _Toc26347 \h </w:instrText>
      </w:r>
      <w:r>
        <w:rPr>
          <w:highlight w:val="none"/>
        </w:rPr>
        <w:fldChar w:fldCharType="separate"/>
      </w:r>
      <w:r>
        <w:rPr>
          <w:highlight w:val="none"/>
        </w:rPr>
        <w:t>23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0AB7060">
      <w:pPr>
        <w:pStyle w:val="24"/>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_Toc3441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第三章 采购需求</w:t>
      </w:r>
      <w:r>
        <w:rPr>
          <w:highlight w:val="none"/>
        </w:rPr>
        <w:tab/>
      </w:r>
      <w:r>
        <w:rPr>
          <w:highlight w:val="none"/>
        </w:rPr>
        <w:fldChar w:fldCharType="begin"/>
      </w:r>
      <w:r>
        <w:rPr>
          <w:highlight w:val="none"/>
        </w:rPr>
        <w:instrText xml:space="preserve"> PAGEREF _Toc3441 \h </w:instrText>
      </w:r>
      <w:r>
        <w:rPr>
          <w:highlight w:val="none"/>
        </w:rPr>
        <w:fldChar w:fldCharType="separate"/>
      </w:r>
      <w:r>
        <w:rPr>
          <w:highlight w:val="none"/>
        </w:rPr>
        <w:t>24</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005E828E">
      <w:pPr>
        <w:pStyle w:val="24"/>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_Toc24651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第四章 评审方法</w:t>
      </w:r>
      <w:r>
        <w:rPr>
          <w:highlight w:val="none"/>
        </w:rPr>
        <w:tab/>
      </w:r>
      <w:r>
        <w:rPr>
          <w:highlight w:val="none"/>
        </w:rPr>
        <w:fldChar w:fldCharType="begin"/>
      </w:r>
      <w:r>
        <w:rPr>
          <w:highlight w:val="none"/>
        </w:rPr>
        <w:instrText xml:space="preserve"> PAGEREF _Toc24651 \h </w:instrText>
      </w:r>
      <w:r>
        <w:rPr>
          <w:highlight w:val="none"/>
        </w:rPr>
        <w:fldChar w:fldCharType="separate"/>
      </w:r>
      <w:r>
        <w:rPr>
          <w:highlight w:val="none"/>
        </w:rPr>
        <w:t>40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44F34CC">
      <w:pPr>
        <w:pStyle w:val="24"/>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_Toc32236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第五章 合同格式及合同条款</w:t>
      </w:r>
      <w:r>
        <w:rPr>
          <w:highlight w:val="none"/>
        </w:rPr>
        <w:tab/>
      </w:r>
      <w:r>
        <w:rPr>
          <w:highlight w:val="none"/>
        </w:rPr>
        <w:fldChar w:fldCharType="begin"/>
      </w:r>
      <w:r>
        <w:rPr>
          <w:highlight w:val="none"/>
        </w:rPr>
        <w:instrText xml:space="preserve"> PAGEREF _Toc32236 \h </w:instrText>
      </w:r>
      <w:r>
        <w:rPr>
          <w:highlight w:val="none"/>
        </w:rPr>
        <w:fldChar w:fldCharType="separate"/>
      </w:r>
      <w:r>
        <w:rPr>
          <w:highlight w:val="none"/>
        </w:rPr>
        <w:t>45</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3A8513BD">
      <w:pPr>
        <w:pStyle w:val="24"/>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_Toc26162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第六章 竞争性磋商响应文件格式</w:t>
      </w:r>
      <w:r>
        <w:rPr>
          <w:highlight w:val="none"/>
        </w:rPr>
        <w:tab/>
      </w:r>
      <w:r>
        <w:rPr>
          <w:highlight w:val="none"/>
        </w:rPr>
        <w:fldChar w:fldCharType="begin"/>
      </w:r>
      <w:r>
        <w:rPr>
          <w:highlight w:val="none"/>
        </w:rPr>
        <w:instrText xml:space="preserve"> PAGEREF _Toc26162 \h </w:instrText>
      </w:r>
      <w:r>
        <w:rPr>
          <w:highlight w:val="none"/>
        </w:rPr>
        <w:fldChar w:fldCharType="separate"/>
      </w:r>
      <w:r>
        <w:rPr>
          <w:highlight w:val="none"/>
        </w:rPr>
        <w:t>53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1E66AE7">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_Toc7894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一、</w:t>
      </w:r>
      <w:r>
        <w:rPr>
          <w:rFonts w:hint="eastAsia" w:asciiTheme="minorEastAsia" w:hAnsiTheme="minorEastAsia" w:eastAsiaTheme="minorEastAsia" w:cstheme="minorEastAsia"/>
          <w:spacing w:val="0"/>
          <w:position w:val="0"/>
          <w:highlight w:val="none"/>
          <w:lang w:val="en-US" w:eastAsia="zh-CN"/>
        </w:rPr>
        <w:t>资格审查材料</w:t>
      </w:r>
      <w:r>
        <w:rPr>
          <w:highlight w:val="none"/>
        </w:rPr>
        <w:tab/>
      </w:r>
      <w:r>
        <w:rPr>
          <w:highlight w:val="none"/>
        </w:rPr>
        <w:fldChar w:fldCharType="begin"/>
      </w:r>
      <w:r>
        <w:rPr>
          <w:highlight w:val="none"/>
        </w:rPr>
        <w:instrText xml:space="preserve"> PAGEREF _Toc7894 \h </w:instrText>
      </w:r>
      <w:r>
        <w:rPr>
          <w:highlight w:val="none"/>
        </w:rPr>
        <w:fldChar w:fldCharType="separate"/>
      </w:r>
      <w:r>
        <w:rPr>
          <w:highlight w:val="none"/>
        </w:rPr>
        <w:t>54</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86CBAF9">
      <w:pPr>
        <w:pStyle w:val="27"/>
        <w:tabs>
          <w:tab w:val="right" w:leader="dot" w:pos="8312"/>
          <w:tab w:val="clear" w:pos="822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_Toc16821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二</w:t>
      </w:r>
      <w:r>
        <w:rPr>
          <w:rFonts w:hint="eastAsia" w:asciiTheme="minorEastAsia" w:hAnsiTheme="minorEastAsia" w:eastAsiaTheme="minorEastAsia" w:cstheme="minorEastAsia"/>
          <w:spacing w:val="0"/>
          <w:position w:val="0"/>
          <w:highlight w:val="none"/>
        </w:rPr>
        <w:t>、商务文件组成</w:t>
      </w:r>
      <w:r>
        <w:rPr>
          <w:highlight w:val="none"/>
        </w:rPr>
        <w:tab/>
      </w:r>
      <w:r>
        <w:rPr>
          <w:highlight w:val="none"/>
        </w:rPr>
        <w:fldChar w:fldCharType="begin"/>
      </w:r>
      <w:r>
        <w:rPr>
          <w:highlight w:val="none"/>
        </w:rPr>
        <w:instrText xml:space="preserve"> PAGEREF _Toc16821 \h </w:instrText>
      </w:r>
      <w:r>
        <w:rPr>
          <w:highlight w:val="none"/>
        </w:rPr>
        <w:fldChar w:fldCharType="separate"/>
      </w:r>
      <w:r>
        <w:rPr>
          <w:highlight w:val="none"/>
        </w:rPr>
        <w:t>58</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58359BE">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_Toc20261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1、</w:t>
      </w:r>
      <w:r>
        <w:rPr>
          <w:rFonts w:hint="eastAsia" w:asciiTheme="minorEastAsia" w:hAnsiTheme="minorEastAsia" w:eastAsiaTheme="minorEastAsia" w:cstheme="minorEastAsia"/>
          <w:spacing w:val="0"/>
          <w:position w:val="0"/>
          <w:highlight w:val="none"/>
        </w:rPr>
        <w:t>竞争性磋商函</w:t>
      </w:r>
      <w:r>
        <w:rPr>
          <w:highlight w:val="none"/>
        </w:rPr>
        <w:tab/>
      </w:r>
      <w:r>
        <w:rPr>
          <w:highlight w:val="none"/>
        </w:rPr>
        <w:fldChar w:fldCharType="begin"/>
      </w:r>
      <w:r>
        <w:rPr>
          <w:highlight w:val="none"/>
        </w:rPr>
        <w:instrText xml:space="preserve"> PAGEREF _Toc20261 \h </w:instrText>
      </w:r>
      <w:r>
        <w:rPr>
          <w:highlight w:val="none"/>
        </w:rPr>
        <w:fldChar w:fldCharType="separate"/>
      </w:r>
      <w:r>
        <w:rPr>
          <w:highlight w:val="none"/>
        </w:rPr>
        <w:t>59</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22A69982">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_Toc28516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2、法定授权人委托书</w:t>
      </w:r>
      <w:r>
        <w:rPr>
          <w:highlight w:val="none"/>
        </w:rPr>
        <w:tab/>
      </w:r>
      <w:r>
        <w:rPr>
          <w:highlight w:val="none"/>
        </w:rPr>
        <w:fldChar w:fldCharType="begin"/>
      </w:r>
      <w:r>
        <w:rPr>
          <w:highlight w:val="none"/>
        </w:rPr>
        <w:instrText xml:space="preserve"> PAGEREF _Toc28516 \h </w:instrText>
      </w:r>
      <w:r>
        <w:rPr>
          <w:highlight w:val="none"/>
        </w:rPr>
        <w:fldChar w:fldCharType="separate"/>
      </w:r>
      <w:r>
        <w:rPr>
          <w:highlight w:val="none"/>
        </w:rPr>
        <w:t>60</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226D133F">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_Toc29928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3、开标一览</w:t>
      </w:r>
      <w:r>
        <w:rPr>
          <w:rFonts w:hint="eastAsia" w:asciiTheme="minorEastAsia" w:hAnsiTheme="minorEastAsia" w:eastAsiaTheme="minorEastAsia" w:cstheme="minorEastAsia"/>
          <w:spacing w:val="0"/>
          <w:position w:val="0"/>
          <w:highlight w:val="none"/>
        </w:rPr>
        <w:t>表</w:t>
      </w:r>
      <w:r>
        <w:rPr>
          <w:highlight w:val="none"/>
        </w:rPr>
        <w:tab/>
      </w:r>
      <w:r>
        <w:rPr>
          <w:highlight w:val="none"/>
        </w:rPr>
        <w:fldChar w:fldCharType="begin"/>
      </w:r>
      <w:r>
        <w:rPr>
          <w:highlight w:val="none"/>
        </w:rPr>
        <w:instrText xml:space="preserve"> PAGEREF _Toc29928 \h </w:instrText>
      </w:r>
      <w:r>
        <w:rPr>
          <w:highlight w:val="none"/>
        </w:rPr>
        <w:fldChar w:fldCharType="separate"/>
      </w:r>
      <w:r>
        <w:rPr>
          <w:highlight w:val="none"/>
        </w:rPr>
        <w:t>62</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7101D0E7">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_Toc12739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4、</w:t>
      </w:r>
      <w:r>
        <w:rPr>
          <w:rFonts w:hint="eastAsia" w:asciiTheme="minorEastAsia" w:hAnsiTheme="minorEastAsia" w:eastAsiaTheme="minorEastAsia" w:cstheme="minorEastAsia"/>
          <w:spacing w:val="0"/>
          <w:position w:val="0"/>
          <w:highlight w:val="none"/>
        </w:rPr>
        <w:t>竞争性磋商报价明细表</w:t>
      </w:r>
      <w:r>
        <w:rPr>
          <w:highlight w:val="none"/>
        </w:rPr>
        <w:tab/>
      </w:r>
      <w:r>
        <w:rPr>
          <w:highlight w:val="none"/>
        </w:rPr>
        <w:fldChar w:fldCharType="begin"/>
      </w:r>
      <w:r>
        <w:rPr>
          <w:highlight w:val="none"/>
        </w:rPr>
        <w:instrText xml:space="preserve"> PAGEREF _Toc12739 \h </w:instrText>
      </w:r>
      <w:r>
        <w:rPr>
          <w:highlight w:val="none"/>
        </w:rPr>
        <w:fldChar w:fldCharType="separate"/>
      </w:r>
      <w:r>
        <w:rPr>
          <w:highlight w:val="none"/>
        </w:rPr>
        <w:t>63</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33F96E6F">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_Toc21095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5、</w:t>
      </w:r>
      <w:r>
        <w:rPr>
          <w:rFonts w:hint="eastAsia" w:asciiTheme="minorEastAsia" w:hAnsiTheme="minorEastAsia" w:eastAsiaTheme="minorEastAsia" w:cstheme="minorEastAsia"/>
          <w:spacing w:val="0"/>
          <w:position w:val="0"/>
          <w:highlight w:val="none"/>
        </w:rPr>
        <w:t>商务响应、偏离说明表</w:t>
      </w:r>
      <w:r>
        <w:rPr>
          <w:highlight w:val="none"/>
        </w:rPr>
        <w:tab/>
      </w:r>
      <w:r>
        <w:rPr>
          <w:highlight w:val="none"/>
        </w:rPr>
        <w:fldChar w:fldCharType="begin"/>
      </w:r>
      <w:r>
        <w:rPr>
          <w:highlight w:val="none"/>
        </w:rPr>
        <w:instrText xml:space="preserve"> PAGEREF _Toc21095 \h </w:instrText>
      </w:r>
      <w:r>
        <w:rPr>
          <w:highlight w:val="none"/>
        </w:rPr>
        <w:fldChar w:fldCharType="separate"/>
      </w:r>
      <w:r>
        <w:rPr>
          <w:highlight w:val="none"/>
        </w:rPr>
        <w:t>64</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5AD2C591">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_Toc27790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6、项目管理机构配备情况</w:t>
      </w:r>
      <w:r>
        <w:rPr>
          <w:highlight w:val="none"/>
        </w:rPr>
        <w:tab/>
      </w:r>
      <w:r>
        <w:rPr>
          <w:highlight w:val="none"/>
        </w:rPr>
        <w:fldChar w:fldCharType="begin"/>
      </w:r>
      <w:r>
        <w:rPr>
          <w:highlight w:val="none"/>
        </w:rPr>
        <w:instrText xml:space="preserve"> PAGEREF _Toc27790 \h </w:instrText>
      </w:r>
      <w:r>
        <w:rPr>
          <w:highlight w:val="none"/>
        </w:rPr>
        <w:fldChar w:fldCharType="separate"/>
      </w:r>
      <w:r>
        <w:rPr>
          <w:highlight w:val="none"/>
        </w:rPr>
        <w:t>65</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577D687">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_Toc25810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7、</w:t>
      </w:r>
      <w:r>
        <w:rPr>
          <w:rFonts w:hint="eastAsia" w:asciiTheme="minorEastAsia" w:hAnsiTheme="minorEastAsia" w:eastAsiaTheme="minorEastAsia" w:cstheme="minorEastAsia"/>
          <w:spacing w:val="0"/>
          <w:position w:val="0"/>
          <w:highlight w:val="none"/>
        </w:rPr>
        <w:t>供应商类似项目业绩表</w:t>
      </w:r>
      <w:r>
        <w:rPr>
          <w:highlight w:val="none"/>
        </w:rPr>
        <w:tab/>
      </w:r>
      <w:r>
        <w:rPr>
          <w:highlight w:val="none"/>
        </w:rPr>
        <w:fldChar w:fldCharType="begin"/>
      </w:r>
      <w:r>
        <w:rPr>
          <w:highlight w:val="none"/>
        </w:rPr>
        <w:instrText xml:space="preserve"> PAGEREF _Toc25810 \h </w:instrText>
      </w:r>
      <w:r>
        <w:rPr>
          <w:highlight w:val="none"/>
        </w:rPr>
        <w:fldChar w:fldCharType="separate"/>
      </w:r>
      <w:r>
        <w:rPr>
          <w:highlight w:val="none"/>
        </w:rPr>
        <w:t>66</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26AA94B0">
      <w:pPr>
        <w:pStyle w:val="18"/>
        <w:tabs>
          <w:tab w:val="right" w:leader="dot" w:pos="8312"/>
        </w:tabs>
        <w:rPr>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_Toc14089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lang w:val="en-US" w:eastAsia="zh-CN"/>
        </w:rPr>
        <w:t>8、磋商文件要求提供或供应商认为需提供的其它资料；</w:t>
      </w:r>
      <w:r>
        <w:rPr>
          <w:highlight w:val="none"/>
        </w:rPr>
        <w:tab/>
      </w:r>
      <w:r>
        <w:rPr>
          <w:highlight w:val="none"/>
        </w:rPr>
        <w:fldChar w:fldCharType="begin"/>
      </w:r>
      <w:r>
        <w:rPr>
          <w:highlight w:val="none"/>
        </w:rPr>
        <w:instrText xml:space="preserve"> PAGEREF _Toc14089 \h </w:instrText>
      </w:r>
      <w:r>
        <w:rPr>
          <w:highlight w:val="none"/>
        </w:rPr>
        <w:fldChar w:fldCharType="separate"/>
      </w:r>
      <w:r>
        <w:rPr>
          <w:highlight w:val="none"/>
        </w:rPr>
        <w:t>67</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1EB418F3">
      <w:pPr>
        <w:pStyle w:val="27"/>
        <w:tabs>
          <w:tab w:val="right" w:leader="dot" w:pos="8312"/>
          <w:tab w:val="clear" w:pos="8222"/>
        </w:tabs>
        <w:rPr>
          <w:rFonts w:hint="eastAsia" w:asciiTheme="minorEastAsia" w:hAnsiTheme="minorEastAsia" w:eastAsiaTheme="minorEastAsia" w:cstheme="minorEastAsia"/>
          <w:color w:val="auto"/>
          <w:spacing w:val="0"/>
          <w:position w:val="0"/>
          <w:szCs w:val="20"/>
          <w:highlight w:val="none"/>
        </w:rPr>
      </w:pPr>
      <w:r>
        <w:rPr>
          <w:rFonts w:hint="eastAsia" w:asciiTheme="minorEastAsia" w:hAnsiTheme="minorEastAsia" w:eastAsiaTheme="minorEastAsia" w:cstheme="minorEastAsia"/>
          <w:color w:val="auto"/>
          <w:spacing w:val="0"/>
          <w:position w:val="0"/>
          <w:szCs w:val="20"/>
          <w:highlight w:val="none"/>
        </w:rPr>
        <w:fldChar w:fldCharType="begin"/>
      </w:r>
      <w:r>
        <w:rPr>
          <w:rFonts w:hint="eastAsia" w:asciiTheme="minorEastAsia" w:hAnsiTheme="minorEastAsia" w:eastAsiaTheme="minorEastAsia" w:cstheme="minorEastAsia"/>
          <w:spacing w:val="0"/>
          <w:position w:val="0"/>
          <w:szCs w:val="20"/>
          <w:highlight w:val="none"/>
        </w:rPr>
        <w:instrText xml:space="preserve"> HYPERLINK \l _Toc8655 </w:instrText>
      </w:r>
      <w:r>
        <w:rPr>
          <w:rFonts w:hint="eastAsia" w:asciiTheme="minorEastAsia" w:hAnsiTheme="minorEastAsia" w:eastAsiaTheme="minorEastAsia" w:cstheme="minorEastAsia"/>
          <w:spacing w:val="0"/>
          <w:position w:val="0"/>
          <w:szCs w:val="20"/>
          <w:highlight w:val="none"/>
        </w:rPr>
        <w:fldChar w:fldCharType="separate"/>
      </w:r>
      <w:r>
        <w:rPr>
          <w:rFonts w:hint="eastAsia" w:asciiTheme="minorEastAsia" w:hAnsiTheme="minorEastAsia" w:eastAsiaTheme="minorEastAsia" w:cstheme="minorEastAsia"/>
          <w:spacing w:val="0"/>
          <w:position w:val="0"/>
          <w:highlight w:val="none"/>
        </w:rPr>
        <w:t>二、技术文件组成</w:t>
      </w:r>
      <w:r>
        <w:rPr>
          <w:highlight w:val="none"/>
        </w:rPr>
        <w:tab/>
      </w:r>
      <w:r>
        <w:rPr>
          <w:highlight w:val="none"/>
        </w:rPr>
        <w:fldChar w:fldCharType="begin"/>
      </w:r>
      <w:r>
        <w:rPr>
          <w:highlight w:val="none"/>
        </w:rPr>
        <w:instrText xml:space="preserve"> PAGEREF _Toc8655 \h </w:instrText>
      </w:r>
      <w:r>
        <w:rPr>
          <w:highlight w:val="none"/>
        </w:rPr>
        <w:fldChar w:fldCharType="separate"/>
      </w:r>
      <w:r>
        <w:rPr>
          <w:highlight w:val="none"/>
        </w:rPr>
        <w:t>68</w:t>
      </w:r>
      <w:r>
        <w:rPr>
          <w:highlight w:val="none"/>
        </w:rPr>
        <w:fldChar w:fldCharType="end"/>
      </w:r>
      <w:r>
        <w:rPr>
          <w:rFonts w:hint="eastAsia" w:asciiTheme="minorEastAsia" w:hAnsiTheme="minorEastAsia" w:eastAsiaTheme="minorEastAsia" w:cstheme="minorEastAsia"/>
          <w:color w:val="auto"/>
          <w:spacing w:val="0"/>
          <w:position w:val="0"/>
          <w:szCs w:val="20"/>
          <w:highlight w:val="none"/>
        </w:rPr>
        <w:fldChar w:fldCharType="end"/>
      </w:r>
    </w:p>
    <w:p w14:paraId="6790ACE8">
      <w:pPr>
        <w:rPr>
          <w:rFonts w:hint="eastAsia" w:asciiTheme="minorEastAsia" w:hAnsiTheme="minorEastAsia" w:eastAsiaTheme="minorEastAsia" w:cstheme="minorEastAsia"/>
          <w:color w:val="auto"/>
          <w:spacing w:val="0"/>
          <w:position w:val="0"/>
          <w:szCs w:val="20"/>
          <w:highlight w:val="none"/>
        </w:rPr>
      </w:pPr>
      <w:r>
        <w:rPr>
          <w:rFonts w:hint="eastAsia" w:asciiTheme="minorEastAsia" w:hAnsiTheme="minorEastAsia" w:eastAsiaTheme="minorEastAsia" w:cstheme="minorEastAsia"/>
          <w:color w:val="auto"/>
          <w:spacing w:val="0"/>
          <w:position w:val="0"/>
          <w:szCs w:val="20"/>
          <w:highlight w:val="none"/>
        </w:rPr>
        <w:br w:type="page"/>
      </w:r>
    </w:p>
    <w:p w14:paraId="76805B24">
      <w:pPr>
        <w:rPr>
          <w:highlight w:val="none"/>
        </w:rPr>
      </w:pPr>
    </w:p>
    <w:p w14:paraId="128A8DAB">
      <w:pPr>
        <w:pStyle w:val="2"/>
        <w:pageBreakBefore w:val="0"/>
        <w:numPr>
          <w:ilvl w:val="0"/>
          <w:numId w:val="1"/>
        </w:numPr>
        <w:kinsoku/>
        <w:overflowPunct/>
        <w:topLinePunct w:val="0"/>
        <w:bidi w:val="0"/>
        <w:spacing w:before="0" w:after="0" w:line="360" w:lineRule="auto"/>
        <w:ind w:left="0" w:leftChars="0"/>
        <w:rPr>
          <w:rFonts w:hint="eastAsia" w:asciiTheme="minorEastAsia" w:hAnsiTheme="minorEastAsia" w:eastAsiaTheme="minorEastAsia" w:cstheme="minorEastAsia"/>
          <w:color w:val="auto"/>
          <w:spacing w:val="0"/>
          <w:position w:val="0"/>
          <w:sz w:val="32"/>
          <w:szCs w:val="32"/>
          <w:highlight w:val="none"/>
        </w:rPr>
      </w:pPr>
      <w:r>
        <w:rPr>
          <w:rFonts w:hint="eastAsia" w:asciiTheme="minorEastAsia" w:hAnsiTheme="minorEastAsia" w:eastAsiaTheme="minorEastAsia" w:cstheme="minorEastAsia"/>
          <w:color w:val="auto"/>
          <w:spacing w:val="0"/>
          <w:position w:val="0"/>
          <w:szCs w:val="20"/>
          <w:highlight w:val="none"/>
        </w:rPr>
        <w:fldChar w:fldCharType="end"/>
      </w:r>
      <w:bookmarkStart w:id="1" w:name="_Toc18837"/>
      <w:bookmarkStart w:id="2" w:name="_Toc456718476"/>
      <w:r>
        <w:rPr>
          <w:rFonts w:hint="eastAsia" w:asciiTheme="minorEastAsia" w:hAnsiTheme="minorEastAsia" w:eastAsiaTheme="minorEastAsia" w:cstheme="minorEastAsia"/>
          <w:color w:val="auto"/>
          <w:spacing w:val="0"/>
          <w:position w:val="0"/>
          <w:sz w:val="32"/>
          <w:szCs w:val="32"/>
          <w:highlight w:val="none"/>
        </w:rPr>
        <w:t>竞争性磋商</w:t>
      </w:r>
      <w:r>
        <w:rPr>
          <w:rFonts w:hint="eastAsia" w:asciiTheme="minorEastAsia" w:hAnsiTheme="minorEastAsia" w:eastAsiaTheme="minorEastAsia" w:cstheme="minorEastAsia"/>
          <w:color w:val="auto"/>
          <w:spacing w:val="0"/>
          <w:position w:val="0"/>
          <w:sz w:val="32"/>
          <w:szCs w:val="32"/>
          <w:highlight w:val="none"/>
          <w:lang w:eastAsia="zh-CN"/>
        </w:rPr>
        <w:t>公告</w:t>
      </w:r>
      <w:bookmarkEnd w:id="1"/>
    </w:p>
    <w:p w14:paraId="66B0811D">
      <w:pPr>
        <w:pageBreakBefore w:val="0"/>
        <w:numPr>
          <w:ilvl w:val="0"/>
          <w:numId w:val="0"/>
        </w:numPr>
        <w:kinsoku/>
        <w:overflowPunct/>
        <w:topLinePunct w:val="0"/>
        <w:bidi w:val="0"/>
        <w:rPr>
          <w:rFonts w:hint="eastAsia" w:asciiTheme="minorEastAsia" w:hAnsiTheme="minorEastAsia" w:eastAsiaTheme="minorEastAsia" w:cstheme="minorEastAsia"/>
          <w:color w:val="auto"/>
          <w:spacing w:val="0"/>
          <w:position w:val="0"/>
          <w:sz w:val="24"/>
          <w:highlight w:val="none"/>
        </w:rPr>
      </w:pPr>
    </w:p>
    <w:tbl>
      <w:tblPr>
        <w:tblStyle w:val="34"/>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522"/>
      </w:tblGrid>
      <w:tr w14:paraId="1512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522" w:type="dxa"/>
            <w:tcBorders>
              <w:top w:val="single" w:color="000000" w:sz="4" w:space="0"/>
              <w:left w:val="single" w:color="000000" w:sz="4" w:space="0"/>
              <w:bottom w:val="single" w:color="000000" w:sz="4" w:space="0"/>
              <w:right w:val="single" w:color="000000" w:sz="4" w:space="0"/>
            </w:tcBorders>
            <w:noWrap w:val="0"/>
            <w:vAlign w:val="top"/>
          </w:tcPr>
          <w:p w14:paraId="2F2BC66A">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项目概况</w:t>
            </w:r>
          </w:p>
          <w:p w14:paraId="53A90A1C">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新疆维吾尔自治区残疾人联合会宣传文化培训班项目</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的潜在供应商应在</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lang w:val="en-US" w:eastAsia="zh-CN" w:bidi="ar-SA"/>
              </w:rPr>
              <w:t>政采云线上平台</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获取（下载）磋商文件，并于</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t>2025年 05月09日16：00</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（北京时间）前递交（上传）投标文件。</w:t>
            </w:r>
          </w:p>
        </w:tc>
      </w:tr>
    </w:tbl>
    <w:p w14:paraId="6E8DD88C">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一、项目基本情况</w:t>
      </w:r>
    </w:p>
    <w:p w14:paraId="3DB4FF65">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项目编号：</w:t>
      </w:r>
      <w:r>
        <w:rPr>
          <w:rFonts w:hint="eastAsia" w:asciiTheme="minorEastAsia" w:hAnsiTheme="minorEastAsia" w:eastAsiaTheme="minorEastAsia" w:cstheme="minorEastAsia"/>
          <w:color w:val="auto"/>
          <w:spacing w:val="0"/>
          <w:position w:val="0"/>
          <w:highlight w:val="none"/>
          <w:lang w:eastAsia="zh-CN"/>
        </w:rPr>
        <w:t>XJCC-ZB-2025-045</w:t>
      </w:r>
      <w:r>
        <w:rPr>
          <w:rFonts w:hint="eastAsia" w:asciiTheme="minorEastAsia" w:hAnsiTheme="minorEastAsia" w:eastAsiaTheme="minorEastAsia" w:cstheme="minorEastAsia"/>
          <w:color w:val="auto"/>
          <w:spacing w:val="0"/>
          <w:position w:val="0"/>
          <w:highlight w:val="none"/>
        </w:rPr>
        <w:t> </w:t>
      </w:r>
    </w:p>
    <w:p w14:paraId="3EED435C">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项目名称：</w:t>
      </w:r>
      <w:r>
        <w:rPr>
          <w:rFonts w:hint="eastAsia" w:asciiTheme="minorEastAsia" w:hAnsiTheme="minorEastAsia" w:eastAsiaTheme="minorEastAsia" w:cstheme="minorEastAsia"/>
          <w:color w:val="auto"/>
          <w:spacing w:val="0"/>
          <w:position w:val="0"/>
          <w:highlight w:val="none"/>
          <w:lang w:eastAsia="zh-CN"/>
        </w:rPr>
        <w:t>新疆维吾尔自治区残疾人联合会宣传文化培训班项目</w:t>
      </w:r>
      <w:r>
        <w:rPr>
          <w:rFonts w:hint="eastAsia" w:asciiTheme="minorEastAsia" w:hAnsiTheme="minorEastAsia" w:eastAsiaTheme="minorEastAsia" w:cstheme="minorEastAsia"/>
          <w:color w:val="auto"/>
          <w:spacing w:val="0"/>
          <w:position w:val="0"/>
          <w:highlight w:val="none"/>
        </w:rPr>
        <w:t> </w:t>
      </w:r>
    </w:p>
    <w:p w14:paraId="58984F58">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w:t>
      </w:r>
      <w:r>
        <w:rPr>
          <w:rFonts w:hint="eastAsia" w:cs="宋体"/>
          <w:sz w:val="24"/>
          <w:szCs w:val="24"/>
          <w:highlight w:val="none"/>
          <w:lang w:val="en-US" w:eastAsia="zh-CN"/>
        </w:rPr>
        <w:t>120000.00</w:t>
      </w:r>
      <w:r>
        <w:rPr>
          <w:rFonts w:hint="eastAsia" w:ascii="宋体" w:hAnsi="宋体" w:eastAsia="宋体" w:cs="宋体"/>
          <w:sz w:val="24"/>
          <w:szCs w:val="24"/>
          <w:highlight w:val="none"/>
          <w:lang w:val="en-US" w:eastAsia="zh-CN"/>
        </w:rPr>
        <w:t>元</w:t>
      </w:r>
      <w:r>
        <w:rPr>
          <w:rFonts w:hint="eastAsia" w:asciiTheme="minorEastAsia" w:hAnsiTheme="minorEastAsia" w:eastAsiaTheme="minorEastAsia" w:cstheme="minorEastAsia"/>
          <w:color w:val="auto"/>
          <w:spacing w:val="0"/>
          <w:position w:val="0"/>
          <w:highlight w:val="none"/>
        </w:rPr>
        <w:t xml:space="preserve"> </w:t>
      </w:r>
    </w:p>
    <w:p w14:paraId="5B06C310">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 xml:space="preserve">采购需求：  </w:t>
      </w:r>
    </w:p>
    <w:p w14:paraId="1DBC29F8">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highlight w:val="none"/>
        </w:rPr>
      </w:pPr>
    </w:p>
    <w:p w14:paraId="2C52FBE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left="479" w:leftChars="228" w:firstLine="0" w:firstLineChars="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标项</w:t>
      </w:r>
      <w:r>
        <w:rPr>
          <w:rFonts w:hint="eastAsia" w:asciiTheme="minorEastAsia" w:hAnsiTheme="minorEastAsia" w:eastAsiaTheme="minorEastAsia" w:cstheme="minorEastAsia"/>
          <w:color w:val="auto"/>
          <w:spacing w:val="0"/>
          <w:position w:val="0"/>
          <w:highlight w:val="none"/>
          <w:lang w:val="en-US" w:eastAsia="zh-CN"/>
        </w:rPr>
        <w:t>一</w:t>
      </w:r>
    </w:p>
    <w:p w14:paraId="63E55B4F">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标项名称</w:t>
      </w:r>
      <w:r>
        <w:rPr>
          <w:rFonts w:hint="eastAsia" w:asciiTheme="minorEastAsia" w:hAnsiTheme="minorEastAsia" w:eastAsiaTheme="minorEastAsia" w:cstheme="minorEastAsia"/>
          <w:color w:val="auto"/>
          <w:spacing w:val="0"/>
          <w:position w:val="0"/>
          <w:highlight w:val="none"/>
          <w:lang w:eastAsia="zh-CN"/>
        </w:rPr>
        <w:t>：新疆维吾尔自治区残疾人联合会宣传文化培训班项目</w:t>
      </w:r>
      <w:r>
        <w:rPr>
          <w:rFonts w:hint="eastAsia" w:asciiTheme="minorEastAsia" w:hAnsiTheme="minorEastAsia" w:eastAsiaTheme="minorEastAsia" w:cstheme="minorEastAsia"/>
          <w:color w:val="auto"/>
          <w:spacing w:val="0"/>
          <w:position w:val="0"/>
          <w:highlight w:val="none"/>
        </w:rPr>
        <w:t> </w:t>
      </w:r>
    </w:p>
    <w:p w14:paraId="53954E15">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数量</w:t>
      </w:r>
      <w:r>
        <w:rPr>
          <w:rFonts w:hint="eastAsia" w:asciiTheme="minorEastAsia" w:hAnsiTheme="minorEastAsia" w:eastAsiaTheme="minorEastAsia" w:cstheme="minorEastAsia"/>
          <w:color w:val="auto"/>
          <w:spacing w:val="0"/>
          <w:position w:val="0"/>
          <w:highlight w:val="none"/>
          <w:lang w:eastAsia="zh-CN"/>
        </w:rPr>
        <w:t>：</w:t>
      </w:r>
      <w:r>
        <w:rPr>
          <w:rFonts w:hint="eastAsia" w:asciiTheme="minorEastAsia" w:hAnsiTheme="minorEastAsia" w:eastAsiaTheme="minorEastAsia" w:cstheme="minorEastAsia"/>
          <w:color w:val="auto"/>
          <w:spacing w:val="0"/>
          <w:position w:val="0"/>
          <w:highlight w:val="none"/>
          <w:lang w:val="en-US" w:eastAsia="zh-CN"/>
        </w:rPr>
        <w:t>1项</w:t>
      </w:r>
    </w:p>
    <w:p w14:paraId="1A0A890F">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default"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position w:val="0"/>
          <w:highlight w:val="none"/>
        </w:rPr>
        <w:t>预算金额（元）</w:t>
      </w:r>
      <w:r>
        <w:rPr>
          <w:rFonts w:hint="eastAsia" w:asciiTheme="minorEastAsia" w:hAnsiTheme="minorEastAsia" w:eastAsiaTheme="minorEastAsia" w:cstheme="minorEastAsia"/>
          <w:color w:val="auto"/>
          <w:spacing w:val="0"/>
          <w:position w:val="0"/>
          <w:highlight w:val="none"/>
          <w:lang w:eastAsia="zh-CN"/>
        </w:rPr>
        <w:t>：</w:t>
      </w:r>
      <w:r>
        <w:rPr>
          <w:rFonts w:hint="eastAsia" w:cs="宋体"/>
          <w:sz w:val="24"/>
          <w:szCs w:val="24"/>
          <w:highlight w:val="none"/>
          <w:lang w:val="en-US" w:eastAsia="zh-CN"/>
        </w:rPr>
        <w:t>120000.00</w:t>
      </w:r>
      <w:r>
        <w:rPr>
          <w:rFonts w:hint="eastAsia" w:ascii="宋体" w:hAnsi="宋体" w:eastAsia="宋体" w:cs="宋体"/>
          <w:sz w:val="24"/>
          <w:szCs w:val="24"/>
          <w:highlight w:val="none"/>
          <w:lang w:val="en-US" w:eastAsia="zh-CN"/>
        </w:rPr>
        <w:t>元</w:t>
      </w:r>
    </w:p>
    <w:p w14:paraId="49095E83">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color w:val="auto"/>
          <w:spacing w:val="0"/>
          <w:position w:val="0"/>
          <w:highlight w:val="none"/>
        </w:rPr>
        <w:t>简要规格描述或项目基本概况介绍、用途：具体参数要求详见</w:t>
      </w:r>
      <w:r>
        <w:rPr>
          <w:rFonts w:hint="eastAsia" w:asciiTheme="minorEastAsia" w:hAnsiTheme="minorEastAsia" w:eastAsiaTheme="minorEastAsia" w:cstheme="minorEastAsia"/>
          <w:color w:val="auto"/>
          <w:spacing w:val="0"/>
          <w:position w:val="0"/>
          <w:highlight w:val="none"/>
          <w:lang w:eastAsia="zh-CN"/>
        </w:rPr>
        <w:t>磋商文件。</w:t>
      </w:r>
    </w:p>
    <w:p w14:paraId="0E1BE8BD">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备注：</w:t>
      </w:r>
    </w:p>
    <w:p w14:paraId="7D09473B">
      <w:pPr>
        <w:pStyle w:val="29"/>
        <w:rPr>
          <w:rFonts w:hint="eastAsia"/>
          <w:highlight w:val="none"/>
        </w:rPr>
      </w:pPr>
    </w:p>
    <w:p w14:paraId="02225155">
      <w:pPr>
        <w:pStyle w:val="102"/>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rPr>
      </w:pPr>
    </w:p>
    <w:p w14:paraId="2E59E6EA">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合同履行期限：</w:t>
      </w:r>
      <w:r>
        <w:rPr>
          <w:rFonts w:hint="eastAsia" w:asciiTheme="minorEastAsia" w:hAnsiTheme="minorEastAsia" w:eastAsiaTheme="minorEastAsia" w:cstheme="minorEastAsia"/>
          <w:color w:val="auto"/>
          <w:spacing w:val="0"/>
          <w:position w:val="0"/>
          <w:highlight w:val="none"/>
          <w:lang w:val="en-US" w:eastAsia="zh-CN"/>
        </w:rPr>
        <w:t>以合同约定为准</w:t>
      </w:r>
    </w:p>
    <w:p w14:paraId="4CF972BC">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color w:val="auto"/>
          <w:spacing w:val="0"/>
          <w:position w:val="0"/>
          <w:highlight w:val="none"/>
        </w:rPr>
        <w:t>本项目（否）接受联合体投标。</w:t>
      </w:r>
    </w:p>
    <w:p w14:paraId="0D2CE1E1">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二、申请人的资格要求：</w:t>
      </w:r>
    </w:p>
    <w:p w14:paraId="181869CB">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1.满足《中华人民共和国政府采购法》第二十二条规定；</w:t>
      </w:r>
    </w:p>
    <w:p w14:paraId="278D8CA8">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2.落实政府采购政策需满足的资格要求：</w:t>
      </w:r>
      <w:r>
        <w:rPr>
          <w:rFonts w:hint="eastAsia" w:asciiTheme="minorEastAsia" w:hAnsiTheme="minorEastAsia" w:eastAsiaTheme="minorEastAsia" w:cstheme="minorEastAsia"/>
          <w:color w:val="auto"/>
          <w:spacing w:val="0"/>
          <w:position w:val="0"/>
          <w:sz w:val="24"/>
          <w:szCs w:val="24"/>
          <w:highlight w:val="none"/>
          <w:lang w:eastAsia="zh-CN"/>
        </w:rPr>
        <w:t>本项目专门面向</w:t>
      </w:r>
      <w:r>
        <w:rPr>
          <w:rFonts w:hint="eastAsia" w:asciiTheme="minorEastAsia" w:hAnsiTheme="minorEastAsia" w:eastAsiaTheme="minorEastAsia" w:cstheme="minorEastAsia"/>
          <w:color w:val="auto"/>
          <w:spacing w:val="0"/>
          <w:position w:val="0"/>
          <w:sz w:val="24"/>
          <w:szCs w:val="24"/>
          <w:highlight w:val="none"/>
          <w:lang w:val="en-US" w:eastAsia="zh-CN"/>
        </w:rPr>
        <w:t>小微</w:t>
      </w:r>
      <w:r>
        <w:rPr>
          <w:rFonts w:hint="eastAsia" w:asciiTheme="minorEastAsia" w:hAnsiTheme="minorEastAsia" w:eastAsiaTheme="minorEastAsia" w:cstheme="minorEastAsia"/>
          <w:color w:val="auto"/>
          <w:spacing w:val="0"/>
          <w:position w:val="0"/>
          <w:sz w:val="24"/>
          <w:szCs w:val="24"/>
          <w:highlight w:val="none"/>
          <w:lang w:eastAsia="zh-CN"/>
        </w:rPr>
        <w:t>企业</w:t>
      </w:r>
      <w:r>
        <w:rPr>
          <w:rFonts w:hint="eastAsia" w:asciiTheme="minorEastAsia" w:hAnsiTheme="minorEastAsia" w:eastAsiaTheme="minorEastAsia" w:cstheme="minorEastAsia"/>
          <w:color w:val="auto"/>
          <w:spacing w:val="0"/>
          <w:position w:val="0"/>
          <w:sz w:val="24"/>
          <w:szCs w:val="24"/>
          <w:highlight w:val="none"/>
        </w:rPr>
        <w:t xml:space="preserve"> </w:t>
      </w:r>
    </w:p>
    <w:p w14:paraId="0D153F7D">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kern w:val="0"/>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3.本项目的特定资格要求：</w:t>
      </w:r>
      <w:r>
        <w:rPr>
          <w:rFonts w:hint="eastAsia" w:asciiTheme="minorEastAsia" w:hAnsiTheme="minorEastAsia" w:eastAsiaTheme="minorEastAsia" w:cstheme="minorEastAsia"/>
          <w:color w:val="auto"/>
          <w:spacing w:val="0"/>
          <w:position w:val="0"/>
          <w:sz w:val="24"/>
          <w:szCs w:val="24"/>
          <w:highlight w:val="none"/>
          <w:lang w:eastAsia="zh-CN"/>
        </w:rPr>
        <w:t>无</w:t>
      </w:r>
    </w:p>
    <w:p w14:paraId="5DEDF65C">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三、获取采购文件</w:t>
      </w:r>
    </w:p>
    <w:p w14:paraId="5F8C35A5">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right="0" w:firstLine="480" w:firstLineChars="20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时间：2025年04月24日至2025年04月30日，每天上午00:00至14:00，下午14:00至23:59（北京时间，法定节假日除外）</w:t>
      </w:r>
    </w:p>
    <w:p w14:paraId="167D2E5F">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地点：政采云线上平台</w:t>
      </w:r>
    </w:p>
    <w:p w14:paraId="7BB00A0E">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方式：供应商登录政采云平台https://www.zcygov.cn/在线申请获取采购文件（进入“项目采购”应用，在获取采购文件菜单中选择项目，申请获取采购文件） </w:t>
      </w:r>
    </w:p>
    <w:p w14:paraId="300E44B5">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四、提交投标文件截止时间、开标时间和地点</w:t>
      </w:r>
    </w:p>
    <w:p w14:paraId="70E4FADE">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提交投标文件截止时间：2025年05月09日16:00（北京时间）</w:t>
      </w:r>
    </w:p>
    <w:p w14:paraId="524D43C3">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投标地点：请登录政采云投标客户端投标 </w:t>
      </w:r>
    </w:p>
    <w:p w14:paraId="3C37A9B6">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开标时间：2025年05月09日16:00（北京时间）</w:t>
      </w:r>
    </w:p>
    <w:p w14:paraId="46C23071">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480" w:firstLineChars="20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开标地点：新疆政府采购网（http://www.ccgp-xinjiang.gov.cn）政采云线上平台 </w:t>
      </w:r>
    </w:p>
    <w:p w14:paraId="225CD17E">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五、公告期限</w:t>
      </w:r>
    </w:p>
    <w:p w14:paraId="04CF8BB4">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   自本公告发布之日起5个工作日。</w:t>
      </w:r>
    </w:p>
    <w:p w14:paraId="0F64F95F">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六、其他补充事宜 </w:t>
      </w:r>
    </w:p>
    <w:p w14:paraId="36CB85D8">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1、本公告在新疆政府采购网发布。</w:t>
      </w:r>
    </w:p>
    <w:p w14:paraId="414C1F23">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2、请投标单位随时关注本项目的澄清、答疑、变更事项。</w:t>
      </w:r>
    </w:p>
    <w:p w14:paraId="515E50F0">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3、本项目实行电子招投标，供应商须登录政采云平台申请获取磋商文件，并通过政采云电子投标客户端制作响应文件，同时自行承担与投标有关的一切费用。</w:t>
      </w:r>
    </w:p>
    <w:p w14:paraId="42BB34D2">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7B0DA329">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5、有意向参与新疆区域电子开评标的供应商，可访问新疆数字证书认证中心官方网站（https://www.xjca.com.cn/）或下载“新疆政务通”APP自行进行申领。如需咨询，请联系新疆CA服务热线0991-2819290。</w:t>
      </w:r>
    </w:p>
    <w:p w14:paraId="43CE1B8D">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6、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47BC77FD">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25DCD14D">
      <w:pPr>
        <w:pStyle w:val="101"/>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left="0" w:leftChars="0" w:right="0" w:firstLine="420" w:firstLineChars="0"/>
        <w:jc w:val="both"/>
        <w:textAlignment w:val="baseline"/>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val="0"/>
          <w:bCs w:val="0"/>
          <w:i w:val="0"/>
          <w:caps w:val="0"/>
          <w:color w:val="auto"/>
          <w:spacing w:val="0"/>
          <w:w w:val="100"/>
          <w:kern w:val="2"/>
          <w:position w:val="0"/>
          <w:sz w:val="24"/>
          <w:szCs w:val="24"/>
          <w:highlight w:val="none"/>
          <w:lang w:val="en-US" w:eastAsia="zh-CN" w:bidi="ar-SA"/>
        </w:rPr>
        <w:t>8、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 </w:t>
      </w:r>
    </w:p>
    <w:p w14:paraId="197FC0AA">
      <w:pPr>
        <w:pStyle w:val="101"/>
        <w:keepNext w:val="0"/>
        <w:keepLines w:val="0"/>
        <w:pageBreakBefore w:val="0"/>
        <w:widowControl/>
        <w:kinsoku/>
        <w:wordWrap/>
        <w:overflowPunct/>
        <w:topLinePunct w:val="0"/>
        <w:autoSpaceDE/>
        <w:autoSpaceDN/>
        <w:bidi w:val="0"/>
        <w:snapToGrid w:val="0"/>
        <w:spacing w:before="0" w:beforeAutospacing="0" w:after="0" w:afterAutospacing="0" w:line="440" w:lineRule="exact"/>
        <w:ind w:left="0" w:right="0" w:firstLine="0" w:firstLineChars="0"/>
        <w:jc w:val="both"/>
        <w:textAlignment w:val="baseline"/>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37"/>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七、凡对本次招标提出询问，请按以下方式联系</w:t>
      </w:r>
    </w:p>
    <w:p w14:paraId="30B3C0B4">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1.采购人信息</w:t>
      </w:r>
    </w:p>
    <w:p w14:paraId="3E64EA20">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名称：新疆维吾尔自治区残疾人联合会</w:t>
      </w:r>
    </w:p>
    <w:p w14:paraId="7E95688D">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地址：</w:t>
      </w:r>
      <w:r>
        <w:rPr>
          <w:rFonts w:hint="eastAsia" w:asciiTheme="minorEastAsia" w:hAnsiTheme="minorEastAsia" w:eastAsiaTheme="minorEastAsia" w:cstheme="minorEastAsia"/>
          <w:color w:val="auto"/>
          <w:spacing w:val="0"/>
          <w:position w:val="0"/>
          <w:sz w:val="24"/>
          <w:szCs w:val="24"/>
          <w:highlight w:val="none"/>
          <w:u w:val="none"/>
          <w:lang w:val="en-US" w:eastAsia="zh-CN"/>
        </w:rPr>
        <w:t>乌鲁木齐市沙依巴克区克拉玛依西街135号</w:t>
      </w:r>
    </w:p>
    <w:p w14:paraId="5ADC8999">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联系方式：</w:t>
      </w:r>
      <w:r>
        <w:rPr>
          <w:rFonts w:hint="eastAsia" w:asciiTheme="minorEastAsia" w:hAnsiTheme="minorEastAsia" w:eastAsiaTheme="minorEastAsia" w:cstheme="minorEastAsia"/>
          <w:color w:val="auto"/>
          <w:spacing w:val="0"/>
          <w:position w:val="0"/>
          <w:sz w:val="24"/>
          <w:szCs w:val="24"/>
          <w:highlight w:val="none"/>
          <w:u w:val="none"/>
          <w:lang w:val="en-US" w:eastAsia="zh-CN"/>
        </w:rPr>
        <w:t>周老师 15299271010</w:t>
      </w:r>
    </w:p>
    <w:p w14:paraId="1909080F">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2.采购代理机构信息</w:t>
      </w:r>
    </w:p>
    <w:p w14:paraId="2EC243FA">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名称：</w:t>
      </w:r>
      <w:r>
        <w:rPr>
          <w:rFonts w:hint="eastAsia" w:asciiTheme="minorEastAsia" w:hAnsiTheme="minorEastAsia" w:eastAsiaTheme="minorEastAsia" w:cstheme="minorEastAsia"/>
          <w:color w:val="auto"/>
          <w:spacing w:val="0"/>
          <w:position w:val="0"/>
          <w:sz w:val="24"/>
          <w:szCs w:val="24"/>
          <w:highlight w:val="none"/>
          <w:u w:val="none"/>
          <w:lang w:eastAsia="zh-CN"/>
        </w:rPr>
        <w:t>新疆诚成工程项目管理有限公司</w:t>
      </w:r>
    </w:p>
    <w:p w14:paraId="05FB65ED">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地址：</w:t>
      </w:r>
      <w:r>
        <w:rPr>
          <w:rFonts w:hint="eastAsia" w:asciiTheme="minorEastAsia" w:hAnsiTheme="minorEastAsia" w:eastAsiaTheme="minorEastAsia" w:cstheme="minorEastAsia"/>
          <w:color w:val="auto"/>
          <w:spacing w:val="0"/>
          <w:position w:val="0"/>
          <w:sz w:val="24"/>
          <w:szCs w:val="24"/>
          <w:highlight w:val="none"/>
          <w:u w:val="none"/>
          <w:lang w:eastAsia="zh-CN"/>
        </w:rPr>
        <w:t>乌鲁木齐市水磨沟区红光山路2588号绿地中心101栋1806室</w:t>
      </w:r>
    </w:p>
    <w:p w14:paraId="2D04436F">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rPr>
        <w:t>联系方式：13199858738、</w:t>
      </w:r>
      <w:r>
        <w:rPr>
          <w:rFonts w:hint="eastAsia" w:asciiTheme="minorEastAsia" w:hAnsiTheme="minorEastAsia" w:eastAsiaTheme="minorEastAsia" w:cstheme="minorEastAsia"/>
          <w:color w:val="auto"/>
          <w:spacing w:val="0"/>
          <w:position w:val="0"/>
          <w:sz w:val="24"/>
          <w:szCs w:val="24"/>
          <w:highlight w:val="none"/>
          <w:u w:val="none"/>
          <w:lang w:eastAsia="zh-CN"/>
        </w:rPr>
        <w:t>17767622798</w:t>
      </w:r>
    </w:p>
    <w:p w14:paraId="1A84D991">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3.项目联系方式</w:t>
      </w:r>
    </w:p>
    <w:p w14:paraId="38E5269A">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项目联系人：</w:t>
      </w:r>
      <w:r>
        <w:rPr>
          <w:rFonts w:hint="eastAsia" w:asciiTheme="minorEastAsia" w:hAnsiTheme="minorEastAsia" w:eastAsiaTheme="minorEastAsia" w:cstheme="minorEastAsia"/>
          <w:color w:val="auto"/>
          <w:spacing w:val="0"/>
          <w:position w:val="0"/>
          <w:sz w:val="24"/>
          <w:szCs w:val="24"/>
          <w:highlight w:val="none"/>
          <w:u w:val="none"/>
          <w:lang w:val="en-US" w:eastAsia="zh-CN"/>
        </w:rPr>
        <w:t>赵雅琦</w:t>
      </w:r>
      <w:r>
        <w:rPr>
          <w:rFonts w:hint="eastAsia" w:asciiTheme="minorEastAsia" w:hAnsiTheme="minorEastAsia" w:eastAsiaTheme="minorEastAsia" w:cstheme="minorEastAsia"/>
          <w:color w:val="auto"/>
          <w:spacing w:val="0"/>
          <w:position w:val="0"/>
          <w:sz w:val="24"/>
          <w:szCs w:val="24"/>
          <w:highlight w:val="none"/>
          <w:u w:val="none"/>
          <w:lang w:eastAsia="zh-CN"/>
        </w:rPr>
        <w:t>、马洁 </w:t>
      </w:r>
    </w:p>
    <w:p w14:paraId="38EF3D40">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u w:val="none"/>
          <w:lang w:eastAsia="zh-CN"/>
        </w:rPr>
        <w:t>联系电话：</w:t>
      </w:r>
      <w:r>
        <w:rPr>
          <w:rFonts w:hint="eastAsia" w:asciiTheme="minorEastAsia" w:hAnsiTheme="minorEastAsia" w:eastAsiaTheme="minorEastAsia" w:cstheme="minorEastAsia"/>
          <w:color w:val="auto"/>
          <w:spacing w:val="0"/>
          <w:position w:val="0"/>
          <w:sz w:val="24"/>
          <w:szCs w:val="24"/>
          <w:highlight w:val="none"/>
          <w:u w:val="none"/>
          <w:lang w:val="en-US" w:eastAsia="zh-CN"/>
        </w:rPr>
        <w:t>19990210962</w:t>
      </w:r>
      <w:r>
        <w:rPr>
          <w:rFonts w:hint="eastAsia" w:asciiTheme="minorEastAsia" w:hAnsiTheme="minorEastAsia" w:eastAsiaTheme="minorEastAsia" w:cstheme="minorEastAsia"/>
          <w:color w:val="auto"/>
          <w:spacing w:val="0"/>
          <w:position w:val="0"/>
          <w:sz w:val="24"/>
          <w:szCs w:val="24"/>
          <w:highlight w:val="none"/>
          <w:u w:val="none"/>
          <w:lang w:eastAsia="zh-CN"/>
        </w:rPr>
        <w:t>、17767622798</w:t>
      </w:r>
    </w:p>
    <w:p w14:paraId="218F6C2D">
      <w:pPr>
        <w:pStyle w:val="73"/>
        <w:pageBreakBefore w:val="0"/>
        <w:kinsoku/>
        <w:overflowPunct/>
        <w:topLinePunct w:val="0"/>
        <w:bidi w:val="0"/>
        <w:ind w:firstLine="400"/>
        <w:rPr>
          <w:rFonts w:hint="eastAsia" w:asciiTheme="minorEastAsia" w:hAnsiTheme="minorEastAsia" w:eastAsiaTheme="minorEastAsia" w:cstheme="minorEastAsia"/>
          <w:color w:val="auto"/>
          <w:spacing w:val="0"/>
          <w:position w:val="0"/>
          <w:sz w:val="24"/>
          <w:highlight w:val="none"/>
        </w:rPr>
      </w:pPr>
    </w:p>
    <w:p w14:paraId="4C8D8C2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37CCFE3">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36"/>
          <w:szCs w:val="36"/>
          <w:highlight w:val="none"/>
        </w:rPr>
        <w:sectPr>
          <w:footerReference r:id="rId3" w:type="default"/>
          <w:pgSz w:w="11906" w:h="16838"/>
          <w:pgMar w:top="1440" w:right="1797" w:bottom="1440" w:left="1797" w:header="851" w:footer="992" w:gutter="0"/>
          <w:pgNumType w:fmt="decimal" w:start="1"/>
          <w:cols w:space="425" w:num="1"/>
          <w:docGrid w:linePitch="312" w:charSpace="0"/>
        </w:sectPr>
      </w:pPr>
      <w:r>
        <w:rPr>
          <w:rFonts w:hint="eastAsia" w:asciiTheme="minorEastAsia" w:hAnsiTheme="minorEastAsia" w:eastAsiaTheme="minorEastAsia" w:cstheme="minorEastAsia"/>
          <w:color w:val="auto"/>
          <w:spacing w:val="0"/>
          <w:position w:val="0"/>
          <w:sz w:val="36"/>
          <w:szCs w:val="36"/>
          <w:highlight w:val="none"/>
        </w:rPr>
        <w:br w:type="page"/>
      </w:r>
    </w:p>
    <w:p w14:paraId="6D222174">
      <w:pPr>
        <w:pStyle w:val="2"/>
        <w:keepNext/>
        <w:keepLines/>
        <w:pageBreakBefore w:val="0"/>
        <w:widowControl w:val="0"/>
        <w:numPr>
          <w:ilvl w:val="0"/>
          <w:numId w:val="1"/>
        </w:numPr>
        <w:kinsoku/>
        <w:wordWrap/>
        <w:overflowPunct/>
        <w:topLinePunct w:val="0"/>
        <w:autoSpaceDE/>
        <w:autoSpaceDN/>
        <w:bidi w:val="0"/>
        <w:adjustRightInd w:val="0"/>
        <w:snapToGrid w:val="0"/>
        <w:spacing w:before="0" w:after="0" w:line="360" w:lineRule="auto"/>
        <w:ind w:left="0" w:leftChars="0"/>
        <w:textAlignment w:val="auto"/>
        <w:rPr>
          <w:rFonts w:hint="eastAsia" w:asciiTheme="minorEastAsia" w:hAnsiTheme="minorEastAsia" w:eastAsiaTheme="minorEastAsia" w:cstheme="minorEastAsia"/>
          <w:color w:val="auto"/>
          <w:spacing w:val="0"/>
          <w:position w:val="0"/>
          <w:sz w:val="32"/>
          <w:szCs w:val="32"/>
          <w:highlight w:val="none"/>
        </w:rPr>
      </w:pPr>
      <w:bookmarkStart w:id="3" w:name="_Toc10571"/>
      <w:bookmarkStart w:id="4" w:name="_Toc30804"/>
      <w:r>
        <w:rPr>
          <w:rFonts w:hint="eastAsia" w:asciiTheme="minorEastAsia" w:hAnsiTheme="minorEastAsia" w:eastAsiaTheme="minorEastAsia" w:cstheme="minorEastAsia"/>
          <w:color w:val="auto"/>
          <w:spacing w:val="0"/>
          <w:position w:val="0"/>
          <w:sz w:val="32"/>
          <w:szCs w:val="32"/>
          <w:highlight w:val="none"/>
        </w:rPr>
        <w:t>供应商须知</w:t>
      </w:r>
      <w:bookmarkEnd w:id="3"/>
      <w:bookmarkEnd w:id="4"/>
    </w:p>
    <w:p w14:paraId="7360F6C8">
      <w:pPr>
        <w:pStyle w:val="3"/>
        <w:keepNext/>
        <w:keepLines/>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Theme="minorEastAsia" w:hAnsiTheme="minorEastAsia" w:eastAsiaTheme="minorEastAsia" w:cstheme="minorEastAsia"/>
          <w:color w:val="auto"/>
          <w:spacing w:val="0"/>
          <w:position w:val="0"/>
          <w:sz w:val="32"/>
          <w:szCs w:val="32"/>
          <w:highlight w:val="none"/>
        </w:rPr>
      </w:pPr>
      <w:bookmarkStart w:id="5" w:name="_Toc12310"/>
      <w:bookmarkStart w:id="6" w:name="_Toc21720"/>
      <w:r>
        <w:rPr>
          <w:rFonts w:hint="eastAsia" w:asciiTheme="minorEastAsia" w:hAnsiTheme="minorEastAsia" w:eastAsiaTheme="minorEastAsia" w:cstheme="minorEastAsia"/>
          <w:color w:val="auto"/>
          <w:spacing w:val="0"/>
          <w:position w:val="0"/>
          <w:sz w:val="32"/>
          <w:szCs w:val="32"/>
          <w:highlight w:val="none"/>
        </w:rPr>
        <w:t>供应商须知前附表</w:t>
      </w:r>
      <w:bookmarkEnd w:id="5"/>
      <w:bookmarkEnd w:id="6"/>
    </w:p>
    <w:tbl>
      <w:tblPr>
        <w:tblStyle w:val="34"/>
        <w:tblW w:w="10473"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17"/>
        <w:gridCol w:w="2105"/>
        <w:gridCol w:w="7251"/>
      </w:tblGrid>
      <w:tr w14:paraId="04EE83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17" w:type="dxa"/>
            <w:vAlign w:val="center"/>
          </w:tcPr>
          <w:p w14:paraId="4D45B6E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序列号</w:t>
            </w:r>
          </w:p>
        </w:tc>
        <w:tc>
          <w:tcPr>
            <w:tcW w:w="2105" w:type="dxa"/>
            <w:vAlign w:val="center"/>
          </w:tcPr>
          <w:p w14:paraId="76EE72B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条款名称</w:t>
            </w:r>
          </w:p>
        </w:tc>
        <w:tc>
          <w:tcPr>
            <w:tcW w:w="7251" w:type="dxa"/>
            <w:vAlign w:val="center"/>
          </w:tcPr>
          <w:p w14:paraId="2E385E3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编列内容规定</w:t>
            </w:r>
          </w:p>
        </w:tc>
      </w:tr>
      <w:tr w14:paraId="1A3A3F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17B2C3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1</w:t>
            </w:r>
          </w:p>
        </w:tc>
        <w:tc>
          <w:tcPr>
            <w:tcW w:w="2105" w:type="dxa"/>
            <w:vAlign w:val="center"/>
          </w:tcPr>
          <w:p w14:paraId="5712F6B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项目名称</w:t>
            </w:r>
          </w:p>
        </w:tc>
        <w:tc>
          <w:tcPr>
            <w:tcW w:w="7251" w:type="dxa"/>
            <w:vAlign w:val="center"/>
          </w:tcPr>
          <w:p w14:paraId="37751176">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lang w:val="en-US"/>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none"/>
                <w:lang w:val="en-US" w:eastAsia="zh-CN" w:bidi="ar-SA"/>
              </w:rPr>
              <w:t>新疆维吾尔自治区残疾人联合会宣传文化培训班项目</w:t>
            </w:r>
          </w:p>
        </w:tc>
      </w:tr>
      <w:tr w14:paraId="100879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717" w:hRule="atLeast"/>
          <w:jc w:val="center"/>
        </w:trPr>
        <w:tc>
          <w:tcPr>
            <w:tcW w:w="1117" w:type="dxa"/>
            <w:vAlign w:val="center"/>
          </w:tcPr>
          <w:p w14:paraId="2CEF4AC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2</w:t>
            </w:r>
          </w:p>
        </w:tc>
        <w:tc>
          <w:tcPr>
            <w:tcW w:w="2105" w:type="dxa"/>
            <w:vAlign w:val="center"/>
          </w:tcPr>
          <w:p w14:paraId="0067891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采购人</w:t>
            </w:r>
          </w:p>
        </w:tc>
        <w:tc>
          <w:tcPr>
            <w:tcW w:w="7251" w:type="dxa"/>
            <w:vAlign w:val="center"/>
          </w:tcPr>
          <w:p w14:paraId="322DBA12">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名称：</w:t>
            </w:r>
            <w:r>
              <w:rPr>
                <w:rFonts w:hint="eastAsia" w:asciiTheme="minorEastAsia" w:hAnsiTheme="minorEastAsia" w:eastAsiaTheme="minorEastAsia" w:cstheme="minorEastAsia"/>
                <w:color w:val="auto"/>
                <w:spacing w:val="0"/>
                <w:position w:val="0"/>
                <w:sz w:val="24"/>
                <w:szCs w:val="24"/>
                <w:highlight w:val="none"/>
                <w:u w:val="none"/>
                <w:lang w:eastAsia="zh-CN"/>
              </w:rPr>
              <w:t>新疆维吾尔自治区残疾人联合会</w:t>
            </w:r>
            <w:r>
              <w:rPr>
                <w:rFonts w:hint="eastAsia" w:asciiTheme="minorEastAsia" w:hAnsiTheme="minorEastAsia" w:eastAsiaTheme="minorEastAsia" w:cstheme="minorEastAsia"/>
                <w:color w:val="auto"/>
                <w:spacing w:val="0"/>
                <w:position w:val="0"/>
                <w:sz w:val="24"/>
                <w:szCs w:val="24"/>
                <w:highlight w:val="none"/>
                <w:u w:val="none"/>
              </w:rPr>
              <w:t>　　　　　　　　</w:t>
            </w:r>
          </w:p>
          <w:p w14:paraId="4EAB5B79">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pacing w:val="0"/>
                <w:position w:val="0"/>
                <w:sz w:val="24"/>
                <w:szCs w:val="24"/>
                <w:highlight w:val="none"/>
                <w:u w:val="none"/>
              </w:rPr>
              <w:t>地址：</w:t>
            </w:r>
            <w:r>
              <w:rPr>
                <w:rFonts w:hint="eastAsia" w:asciiTheme="minorEastAsia" w:hAnsiTheme="minorEastAsia" w:eastAsiaTheme="minorEastAsia" w:cstheme="minorEastAsia"/>
                <w:color w:val="auto"/>
                <w:spacing w:val="0"/>
                <w:position w:val="0"/>
                <w:sz w:val="24"/>
                <w:szCs w:val="24"/>
                <w:highlight w:val="none"/>
                <w:u w:val="none"/>
                <w:lang w:val="en-US" w:eastAsia="zh-CN"/>
              </w:rPr>
              <w:t>乌鲁木齐市沙依巴克区克拉玛依西街135号</w:t>
            </w:r>
          </w:p>
          <w:p w14:paraId="518771E1">
            <w:pPr>
              <w:adjustRightInd w:val="0"/>
              <w:snapToGrid w:val="0"/>
              <w:spacing w:line="440" w:lineRule="exac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联系人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周老师</w:t>
            </w:r>
          </w:p>
          <w:p w14:paraId="37D7AFF2">
            <w:pPr>
              <w:adjustRightInd w:val="0"/>
              <w:snapToGrid w:val="0"/>
              <w:spacing w:line="440" w:lineRule="exact"/>
              <w:rPr>
                <w:rFonts w:hint="eastAsia" w:asciiTheme="minorEastAsia" w:hAnsiTheme="minorEastAsia" w:eastAsiaTheme="minorEastAsia" w:cstheme="minorEastAsia"/>
                <w:color w:val="auto"/>
                <w:spacing w:val="0"/>
                <w:position w:val="0"/>
                <w:sz w:val="24"/>
                <w:szCs w:val="24"/>
                <w:highlight w:val="none"/>
                <w:u w:val="none"/>
              </w:rPr>
            </w:pPr>
            <w:r>
              <w:rPr>
                <w:rFonts w:hint="eastAsia" w:asciiTheme="minorEastAsia" w:hAnsiTheme="minorEastAsia" w:eastAsiaTheme="minorEastAsia" w:cstheme="minorEastAsia"/>
                <w:color w:val="auto"/>
                <w:sz w:val="24"/>
                <w:highlight w:val="none"/>
              </w:rPr>
              <w:t>联系</w:t>
            </w:r>
            <w:r>
              <w:rPr>
                <w:rFonts w:hint="eastAsia" w:asciiTheme="minorEastAsia" w:hAnsiTheme="minorEastAsia" w:eastAsiaTheme="minorEastAsia" w:cstheme="minorEastAsia"/>
                <w:color w:val="auto"/>
                <w:sz w:val="24"/>
                <w:highlight w:val="none"/>
                <w:lang w:val="en-US" w:eastAsia="zh-CN"/>
              </w:rPr>
              <w:t>电话</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15299271010</w:t>
            </w:r>
          </w:p>
        </w:tc>
      </w:tr>
      <w:tr w14:paraId="4E449F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B66C9E0">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3</w:t>
            </w:r>
          </w:p>
        </w:tc>
        <w:tc>
          <w:tcPr>
            <w:tcW w:w="2105" w:type="dxa"/>
            <w:vAlign w:val="center"/>
          </w:tcPr>
          <w:p w14:paraId="5E326E6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采购代理机构</w:t>
            </w:r>
          </w:p>
        </w:tc>
        <w:tc>
          <w:tcPr>
            <w:tcW w:w="7251" w:type="dxa"/>
            <w:vAlign w:val="center"/>
          </w:tcPr>
          <w:p w14:paraId="6487C0D3">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采购代理机构名称：新疆诚成工程项目管理有限公司</w:t>
            </w:r>
          </w:p>
          <w:p w14:paraId="1032FC85">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联系人：</w:t>
            </w:r>
            <w:r>
              <w:rPr>
                <w:rFonts w:hint="eastAsia" w:asciiTheme="minorEastAsia" w:hAnsiTheme="minorEastAsia" w:eastAsiaTheme="minorEastAsia" w:cstheme="minorEastAsia"/>
                <w:color w:val="auto"/>
                <w:spacing w:val="0"/>
                <w:position w:val="0"/>
                <w:sz w:val="24"/>
                <w:szCs w:val="24"/>
                <w:highlight w:val="none"/>
                <w:u w:val="none"/>
                <w:lang w:val="en-US" w:eastAsia="zh-CN"/>
              </w:rPr>
              <w:t>赵雅琦</w:t>
            </w:r>
            <w:r>
              <w:rPr>
                <w:rFonts w:hint="eastAsia" w:asciiTheme="minorEastAsia" w:hAnsiTheme="minorEastAsia" w:eastAsiaTheme="minorEastAsia" w:cstheme="minorEastAsia"/>
                <w:color w:val="auto"/>
                <w:spacing w:val="0"/>
                <w:position w:val="0"/>
                <w:sz w:val="24"/>
                <w:szCs w:val="24"/>
                <w:highlight w:val="none"/>
                <w:u w:val="none"/>
                <w:lang w:eastAsia="zh-CN"/>
              </w:rPr>
              <w:t>、马洁 </w:t>
            </w:r>
            <w:r>
              <w:rPr>
                <w:rFonts w:hint="eastAsia" w:asciiTheme="minorEastAsia" w:hAnsiTheme="minorEastAsia" w:eastAsiaTheme="minorEastAsia" w:cstheme="minorEastAsia"/>
                <w:color w:val="auto"/>
                <w:spacing w:val="0"/>
                <w:position w:val="0"/>
                <w:sz w:val="24"/>
                <w:szCs w:val="24"/>
                <w:highlight w:val="none"/>
              </w:rPr>
              <w:t> </w:t>
            </w:r>
          </w:p>
          <w:p w14:paraId="2AADE1A7">
            <w:pPr>
              <w:pStyle w:val="28"/>
              <w:keepNext w:val="0"/>
              <w:keepLines w:val="0"/>
              <w:pageBreakBefore w:val="0"/>
              <w:widowControl/>
              <w:kinsoku/>
              <w:wordWrap/>
              <w:overflowPunct/>
              <w:topLinePunct w:val="0"/>
              <w:autoSpaceDE/>
              <w:autoSpaceDN/>
              <w:bidi w:val="0"/>
              <w:adjustRightInd w:val="0"/>
              <w:snapToGrid w:val="0"/>
              <w:spacing w:before="0" w:beforeAutospacing="0" w:after="0" w:afterAutospacing="0" w:line="440" w:lineRule="exact"/>
              <w:textAlignment w:val="auto"/>
              <w:rPr>
                <w:rFonts w:hint="eastAsia" w:asciiTheme="minorEastAsia" w:hAnsiTheme="minorEastAsia" w:eastAsiaTheme="minorEastAsia" w:cstheme="minorEastAsia"/>
                <w:color w:val="auto"/>
                <w:spacing w:val="0"/>
                <w:position w:val="0"/>
                <w:sz w:val="24"/>
                <w:szCs w:val="24"/>
                <w:highlight w:val="none"/>
                <w:u w:val="none"/>
                <w:lang w:eastAsia="zh-CN"/>
              </w:rPr>
            </w:pPr>
            <w:r>
              <w:rPr>
                <w:rFonts w:hint="eastAsia" w:asciiTheme="minorEastAsia" w:hAnsiTheme="minorEastAsia" w:eastAsiaTheme="minorEastAsia" w:cstheme="minorEastAsia"/>
                <w:color w:val="auto"/>
                <w:spacing w:val="0"/>
                <w:position w:val="0"/>
                <w:sz w:val="24"/>
                <w:szCs w:val="24"/>
                <w:highlight w:val="none"/>
              </w:rPr>
              <w:t>联系电话：</w:t>
            </w:r>
            <w:r>
              <w:rPr>
                <w:rFonts w:hint="eastAsia" w:asciiTheme="minorEastAsia" w:hAnsiTheme="minorEastAsia" w:eastAsiaTheme="minorEastAsia" w:cstheme="minorEastAsia"/>
                <w:color w:val="auto"/>
                <w:spacing w:val="0"/>
                <w:position w:val="0"/>
                <w:sz w:val="24"/>
                <w:szCs w:val="24"/>
                <w:highlight w:val="none"/>
                <w:u w:val="none"/>
                <w:lang w:val="en-US" w:eastAsia="zh-CN"/>
              </w:rPr>
              <w:t>19990210962</w:t>
            </w:r>
            <w:r>
              <w:rPr>
                <w:rFonts w:hint="eastAsia" w:asciiTheme="minorEastAsia" w:hAnsiTheme="minorEastAsia" w:eastAsiaTheme="minorEastAsia" w:cstheme="minorEastAsia"/>
                <w:color w:val="auto"/>
                <w:spacing w:val="0"/>
                <w:position w:val="0"/>
                <w:sz w:val="24"/>
                <w:szCs w:val="24"/>
                <w:highlight w:val="none"/>
                <w:u w:val="none"/>
                <w:lang w:eastAsia="zh-CN"/>
              </w:rPr>
              <w:t>、17767622798</w:t>
            </w:r>
          </w:p>
          <w:p w14:paraId="5A0686DA">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 xml:space="preserve">地址：乌鲁木齐市水磨沟区红光山路2588号绿地中心领海大厦1806       </w:t>
            </w:r>
          </w:p>
        </w:tc>
      </w:tr>
      <w:tr w14:paraId="4EF3A47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6B4967D5">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4</w:t>
            </w:r>
          </w:p>
        </w:tc>
        <w:tc>
          <w:tcPr>
            <w:tcW w:w="2105" w:type="dxa"/>
            <w:vAlign w:val="center"/>
          </w:tcPr>
          <w:p w14:paraId="71DB952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eastAsia="zh-CN"/>
              </w:rPr>
            </w:pPr>
            <w:r>
              <w:rPr>
                <w:rFonts w:hint="eastAsia" w:asciiTheme="minorEastAsia" w:hAnsiTheme="minorEastAsia" w:eastAsiaTheme="minorEastAsia" w:cstheme="minorEastAsia"/>
                <w:b/>
                <w:bCs/>
                <w:color w:val="auto"/>
                <w:spacing w:val="0"/>
                <w:position w:val="0"/>
                <w:sz w:val="24"/>
                <w:szCs w:val="24"/>
                <w:highlight w:val="none"/>
                <w:lang w:eastAsia="zh-CN"/>
              </w:rPr>
              <w:t>磋商范围</w:t>
            </w:r>
          </w:p>
        </w:tc>
        <w:tc>
          <w:tcPr>
            <w:tcW w:w="7251" w:type="dxa"/>
            <w:vAlign w:val="center"/>
          </w:tcPr>
          <w:p w14:paraId="59453081">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具体参数要求详见第三章采购需求。</w:t>
            </w:r>
          </w:p>
        </w:tc>
      </w:tr>
      <w:tr w14:paraId="23C2A6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0505354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5</w:t>
            </w:r>
          </w:p>
        </w:tc>
        <w:tc>
          <w:tcPr>
            <w:tcW w:w="2105" w:type="dxa"/>
            <w:vAlign w:val="center"/>
          </w:tcPr>
          <w:p w14:paraId="531ED47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项目预算</w:t>
            </w:r>
          </w:p>
        </w:tc>
        <w:tc>
          <w:tcPr>
            <w:tcW w:w="7251" w:type="dxa"/>
            <w:vAlign w:val="center"/>
          </w:tcPr>
          <w:p w14:paraId="639A386D">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本项目预算为</w:t>
            </w:r>
            <w:r>
              <w:rPr>
                <w:rFonts w:hint="eastAsia" w:asciiTheme="minorEastAsia" w:hAnsiTheme="minorEastAsia" w:eastAsiaTheme="minorEastAsia" w:cstheme="minorEastAsia"/>
                <w:color w:val="auto"/>
                <w:spacing w:val="0"/>
                <w:position w:val="0"/>
                <w:sz w:val="24"/>
                <w:szCs w:val="24"/>
                <w:highlight w:val="none"/>
                <w:lang w:val="en-US" w:eastAsia="zh-CN"/>
              </w:rPr>
              <w:t>120000</w:t>
            </w:r>
            <w:r>
              <w:rPr>
                <w:rFonts w:hint="eastAsia" w:asciiTheme="minorEastAsia" w:hAnsiTheme="minorEastAsia" w:eastAsiaTheme="minorEastAsia" w:cstheme="minorEastAsia"/>
                <w:color w:val="auto"/>
                <w:spacing w:val="0"/>
                <w:position w:val="0"/>
                <w:sz w:val="24"/>
                <w:szCs w:val="24"/>
                <w:highlight w:val="none"/>
              </w:rPr>
              <w:t>.00</w:t>
            </w:r>
            <w:r>
              <w:rPr>
                <w:rFonts w:hint="eastAsia" w:asciiTheme="minorEastAsia" w:hAnsiTheme="minorEastAsia" w:eastAsiaTheme="minorEastAsia" w:cstheme="minorEastAsia"/>
                <w:color w:val="auto"/>
                <w:spacing w:val="0"/>
                <w:position w:val="0"/>
                <w:sz w:val="24"/>
                <w:szCs w:val="24"/>
                <w:highlight w:val="none"/>
                <w:lang w:val="en-US" w:eastAsia="zh-CN"/>
              </w:rPr>
              <w:t>元</w:t>
            </w:r>
            <w:r>
              <w:rPr>
                <w:rFonts w:hint="eastAsia" w:asciiTheme="minorEastAsia" w:hAnsiTheme="minorEastAsia" w:eastAsiaTheme="minorEastAsia" w:cstheme="minorEastAsia"/>
                <w:color w:val="auto"/>
                <w:spacing w:val="0"/>
                <w:position w:val="0"/>
                <w:sz w:val="24"/>
                <w:szCs w:val="24"/>
                <w:highlight w:val="none"/>
              </w:rPr>
              <w:t>，供应商</w:t>
            </w:r>
            <w:r>
              <w:rPr>
                <w:rFonts w:hint="eastAsia" w:asciiTheme="minorEastAsia" w:hAnsiTheme="minorEastAsia" w:eastAsiaTheme="minorEastAsia" w:cstheme="minorEastAsia"/>
                <w:color w:val="auto"/>
                <w:spacing w:val="0"/>
                <w:position w:val="0"/>
                <w:sz w:val="24"/>
                <w:szCs w:val="24"/>
                <w:highlight w:val="none"/>
                <w:lang w:eastAsia="zh-CN"/>
              </w:rPr>
              <w:t>响应</w:t>
            </w:r>
            <w:r>
              <w:rPr>
                <w:rFonts w:hint="eastAsia" w:asciiTheme="minorEastAsia" w:hAnsiTheme="minorEastAsia" w:eastAsiaTheme="minorEastAsia" w:cstheme="minorEastAsia"/>
                <w:color w:val="auto"/>
                <w:spacing w:val="0"/>
                <w:position w:val="0"/>
                <w:sz w:val="24"/>
                <w:szCs w:val="24"/>
                <w:highlight w:val="none"/>
              </w:rPr>
              <w:t>报价超过项目预算的按无效投标处理。</w:t>
            </w:r>
          </w:p>
        </w:tc>
      </w:tr>
      <w:tr w14:paraId="5124C5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402C2A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6</w:t>
            </w:r>
          </w:p>
        </w:tc>
        <w:tc>
          <w:tcPr>
            <w:tcW w:w="2105" w:type="dxa"/>
            <w:vAlign w:val="center"/>
          </w:tcPr>
          <w:p w14:paraId="63AE97D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供应商资格条件</w:t>
            </w:r>
          </w:p>
        </w:tc>
        <w:tc>
          <w:tcPr>
            <w:tcW w:w="7251" w:type="dxa"/>
            <w:vAlign w:val="center"/>
          </w:tcPr>
          <w:p w14:paraId="23888DC2">
            <w:pPr>
              <w:keepNext w:val="0"/>
              <w:keepLines w:val="0"/>
              <w:pageBreakBefore w:val="0"/>
              <w:widowControl/>
              <w:kinsoku/>
              <w:overflowPunct/>
              <w:topLinePunct w:val="0"/>
              <w:autoSpaceDE/>
              <w:autoSpaceDN/>
              <w:bidi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1.满足《中华人民共和国政府采购法》第二十二条规定；</w:t>
            </w:r>
          </w:p>
          <w:p w14:paraId="5EE94F02">
            <w:pPr>
              <w:keepNext w:val="0"/>
              <w:keepLines w:val="0"/>
              <w:pageBreakBefore w:val="0"/>
              <w:widowControl/>
              <w:kinsoku/>
              <w:overflowPunct/>
              <w:topLinePunct w:val="0"/>
              <w:autoSpaceDE/>
              <w:autoSpaceDN/>
              <w:bidi w:val="0"/>
              <w:spacing w:line="440" w:lineRule="exact"/>
              <w:ind w:left="0" w:firstLine="0" w:firstLineChars="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2.落实政府采购政策需满足的资格要求：</w:t>
            </w:r>
            <w:r>
              <w:rPr>
                <w:rFonts w:hint="eastAsia" w:asciiTheme="minorEastAsia" w:hAnsiTheme="minorEastAsia" w:eastAsiaTheme="minorEastAsia" w:cstheme="minorEastAsia"/>
                <w:color w:val="auto"/>
                <w:spacing w:val="0"/>
                <w:position w:val="0"/>
                <w:sz w:val="24"/>
                <w:szCs w:val="24"/>
                <w:highlight w:val="none"/>
                <w:lang w:eastAsia="zh-CN"/>
              </w:rPr>
              <w:t>本项目专门面向</w:t>
            </w:r>
            <w:r>
              <w:rPr>
                <w:rFonts w:hint="eastAsia" w:asciiTheme="minorEastAsia" w:hAnsiTheme="minorEastAsia" w:eastAsiaTheme="minorEastAsia" w:cstheme="minorEastAsia"/>
                <w:color w:val="auto"/>
                <w:spacing w:val="0"/>
                <w:position w:val="0"/>
                <w:sz w:val="24"/>
                <w:szCs w:val="24"/>
                <w:highlight w:val="none"/>
                <w:lang w:val="en-US" w:eastAsia="zh-CN"/>
              </w:rPr>
              <w:t>小微</w:t>
            </w:r>
            <w:r>
              <w:rPr>
                <w:rFonts w:hint="eastAsia" w:asciiTheme="minorEastAsia" w:hAnsiTheme="minorEastAsia" w:eastAsiaTheme="minorEastAsia" w:cstheme="minorEastAsia"/>
                <w:color w:val="auto"/>
                <w:spacing w:val="0"/>
                <w:position w:val="0"/>
                <w:sz w:val="24"/>
                <w:szCs w:val="24"/>
                <w:highlight w:val="none"/>
                <w:lang w:eastAsia="zh-CN"/>
              </w:rPr>
              <w:t>企业</w:t>
            </w:r>
          </w:p>
          <w:p w14:paraId="2B9B403B">
            <w:pPr>
              <w:keepNext w:val="0"/>
              <w:keepLines w:val="0"/>
              <w:pageBreakBefore w:val="0"/>
              <w:widowControl/>
              <w:kinsoku/>
              <w:wordWrap/>
              <w:overflowPunct/>
              <w:topLinePunct w:val="0"/>
              <w:bidi w:val="0"/>
              <w:adjustRightInd w:val="0"/>
              <w:snapToGrid w:val="0"/>
              <w:spacing w:line="440" w:lineRule="exact"/>
              <w:ind w:left="0" w:firstLine="0" w:firstLineChars="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3.本项目的特定资格要求：</w:t>
            </w:r>
            <w:r>
              <w:rPr>
                <w:rFonts w:hint="eastAsia" w:asciiTheme="minorEastAsia" w:hAnsiTheme="minorEastAsia" w:eastAsiaTheme="minorEastAsia" w:cstheme="minorEastAsia"/>
                <w:color w:val="auto"/>
                <w:spacing w:val="0"/>
                <w:position w:val="0"/>
                <w:sz w:val="24"/>
                <w:szCs w:val="24"/>
                <w:highlight w:val="none"/>
                <w:lang w:eastAsia="zh-CN"/>
              </w:rPr>
              <w:t>无</w:t>
            </w:r>
          </w:p>
        </w:tc>
      </w:tr>
      <w:tr w14:paraId="277DFA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88EB357">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7</w:t>
            </w:r>
          </w:p>
        </w:tc>
        <w:tc>
          <w:tcPr>
            <w:tcW w:w="2105" w:type="dxa"/>
            <w:vAlign w:val="center"/>
          </w:tcPr>
          <w:p w14:paraId="68359DD5">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联合体投标</w:t>
            </w:r>
            <w:r>
              <w:rPr>
                <w:rFonts w:hint="eastAsia" w:asciiTheme="minorEastAsia" w:hAnsiTheme="minorEastAsia" w:eastAsiaTheme="minorEastAsia" w:cstheme="minorEastAsia"/>
                <w:b/>
                <w:bCs/>
                <w:color w:val="auto"/>
                <w:spacing w:val="0"/>
                <w:position w:val="0"/>
                <w:sz w:val="24"/>
                <w:szCs w:val="24"/>
                <w:highlight w:val="none"/>
                <w:lang w:val="en-US" w:eastAsia="zh-CN"/>
              </w:rPr>
              <w:t xml:space="preserve">    </w:t>
            </w:r>
          </w:p>
        </w:tc>
        <w:tc>
          <w:tcPr>
            <w:tcW w:w="7251" w:type="dxa"/>
            <w:vAlign w:val="center"/>
          </w:tcPr>
          <w:p w14:paraId="2B112B26">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rPr>
              <w:t xml:space="preserve">不接受 </w:t>
            </w:r>
          </w:p>
        </w:tc>
      </w:tr>
      <w:tr w14:paraId="2DC917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A7B7FE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8</w:t>
            </w:r>
          </w:p>
        </w:tc>
        <w:tc>
          <w:tcPr>
            <w:tcW w:w="2105" w:type="dxa"/>
            <w:vAlign w:val="center"/>
          </w:tcPr>
          <w:p w14:paraId="33DAE78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备选方案</w:t>
            </w:r>
          </w:p>
        </w:tc>
        <w:tc>
          <w:tcPr>
            <w:tcW w:w="7251" w:type="dxa"/>
            <w:vAlign w:val="center"/>
          </w:tcPr>
          <w:p w14:paraId="79805346">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position w:val="0"/>
                <w:sz w:val="24"/>
                <w:szCs w:val="24"/>
                <w:highlight w:val="none"/>
              </w:rPr>
              <w:t xml:space="preserve">不接受            </w:t>
            </w:r>
          </w:p>
        </w:tc>
      </w:tr>
      <w:tr w14:paraId="51DF0A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EEDAB3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9</w:t>
            </w:r>
          </w:p>
        </w:tc>
        <w:tc>
          <w:tcPr>
            <w:tcW w:w="2105" w:type="dxa"/>
            <w:vAlign w:val="center"/>
          </w:tcPr>
          <w:p w14:paraId="2587C69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信息公告媒体</w:t>
            </w:r>
          </w:p>
        </w:tc>
        <w:tc>
          <w:tcPr>
            <w:tcW w:w="7251" w:type="dxa"/>
            <w:vAlign w:val="center"/>
          </w:tcPr>
          <w:p w14:paraId="1AFEF890">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eastAsia="zh-CN"/>
              </w:rPr>
              <w:t>新疆</w:t>
            </w:r>
            <w:r>
              <w:rPr>
                <w:rFonts w:hint="eastAsia" w:asciiTheme="minorEastAsia" w:hAnsiTheme="minorEastAsia" w:eastAsiaTheme="minorEastAsia" w:cstheme="minorEastAsia"/>
                <w:color w:val="auto"/>
                <w:spacing w:val="0"/>
                <w:kern w:val="0"/>
                <w:position w:val="0"/>
                <w:sz w:val="24"/>
                <w:szCs w:val="24"/>
                <w:highlight w:val="none"/>
                <w:lang w:val="en-US" w:eastAsia="zh-CN"/>
              </w:rPr>
              <w:t>政府采购网</w:t>
            </w:r>
          </w:p>
        </w:tc>
      </w:tr>
      <w:tr w14:paraId="25AC01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6D2564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10</w:t>
            </w:r>
          </w:p>
        </w:tc>
        <w:tc>
          <w:tcPr>
            <w:tcW w:w="2105" w:type="dxa"/>
            <w:vAlign w:val="center"/>
          </w:tcPr>
          <w:p w14:paraId="23B3515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响应文件递交截止时间</w:t>
            </w:r>
          </w:p>
        </w:tc>
        <w:tc>
          <w:tcPr>
            <w:tcW w:w="7251" w:type="dxa"/>
            <w:vAlign w:val="center"/>
          </w:tcPr>
          <w:p w14:paraId="10139058">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u w:val="none"/>
                <w:lang w:val="en-US" w:eastAsia="zh-CN"/>
              </w:rPr>
              <w:t>2025年05</w:t>
            </w:r>
            <w:bookmarkStart w:id="366" w:name="_GoBack"/>
            <w:bookmarkEnd w:id="366"/>
            <w:r>
              <w:rPr>
                <w:rFonts w:hint="eastAsia" w:asciiTheme="minorEastAsia" w:hAnsiTheme="minorEastAsia" w:eastAsiaTheme="minorEastAsia" w:cstheme="minorEastAsia"/>
                <w:color w:val="auto"/>
                <w:spacing w:val="0"/>
                <w:position w:val="0"/>
                <w:sz w:val="24"/>
                <w:szCs w:val="24"/>
                <w:highlight w:val="none"/>
                <w:u w:val="none"/>
                <w:lang w:val="en-US" w:eastAsia="zh-CN"/>
              </w:rPr>
              <w:t>月09日16时00分</w:t>
            </w:r>
            <w:r>
              <w:rPr>
                <w:rFonts w:hint="eastAsia" w:asciiTheme="minorEastAsia" w:hAnsiTheme="minorEastAsia" w:eastAsiaTheme="minorEastAsia" w:cstheme="minorEastAsia"/>
                <w:color w:val="auto"/>
                <w:spacing w:val="0"/>
                <w:position w:val="0"/>
                <w:sz w:val="24"/>
                <w:szCs w:val="24"/>
                <w:highlight w:val="none"/>
                <w:u w:val="none"/>
              </w:rPr>
              <w:t>（北京时间）</w:t>
            </w:r>
          </w:p>
        </w:tc>
      </w:tr>
      <w:tr w14:paraId="516572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1A3015A">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11</w:t>
            </w:r>
          </w:p>
        </w:tc>
        <w:tc>
          <w:tcPr>
            <w:tcW w:w="2105" w:type="dxa"/>
            <w:vAlign w:val="center"/>
          </w:tcPr>
          <w:p w14:paraId="60BAB9F2">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磋商时间、地点</w:t>
            </w:r>
          </w:p>
        </w:tc>
        <w:tc>
          <w:tcPr>
            <w:tcW w:w="7251" w:type="dxa"/>
            <w:vAlign w:val="center"/>
          </w:tcPr>
          <w:p w14:paraId="1A246272">
            <w:pPr>
              <w:pStyle w:val="98"/>
              <w:keepNext w:val="0"/>
              <w:keepLines w:val="0"/>
              <w:pageBreakBefore w:val="0"/>
              <w:kinsoku/>
              <w:overflowPunct/>
              <w:topLinePunct w:val="0"/>
              <w:bidi w:val="0"/>
              <w:spacing w:line="440" w:lineRule="exact"/>
              <w:ind w:left="0" w:firstLine="0" w:firstLineChars="0"/>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☑采用不见面开标</w:t>
            </w:r>
          </w:p>
          <w:p w14:paraId="2EAAB9AE">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磋商时间：</w:t>
            </w:r>
            <w:r>
              <w:rPr>
                <w:rFonts w:hint="eastAsia" w:asciiTheme="minorEastAsia" w:hAnsiTheme="minorEastAsia" w:eastAsiaTheme="minorEastAsia" w:cstheme="minorEastAsia"/>
                <w:color w:val="auto"/>
                <w:spacing w:val="0"/>
                <w:position w:val="0"/>
                <w:sz w:val="24"/>
                <w:szCs w:val="24"/>
                <w:highlight w:val="none"/>
                <w:u w:val="none"/>
                <w:lang w:val="en-US" w:eastAsia="zh-CN"/>
              </w:rPr>
              <w:t>2025年05月09日16时00分</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（北京时间）</w:t>
            </w:r>
          </w:p>
          <w:p w14:paraId="6569FDAF">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u w:val="single"/>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磋商地点：本项目采用不见面开标，供应商需要递交加密的电子响应文件，在磋商截止时间前通过新疆政府采购云平台https://www.zcygov.cn/开标系统上传到指定位置。逾期未上传的或不符合规定的响应文件将被拒绝接收。</w:t>
            </w:r>
          </w:p>
        </w:tc>
      </w:tr>
      <w:tr w14:paraId="08ACC9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CAA4056">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12</w:t>
            </w:r>
          </w:p>
        </w:tc>
        <w:tc>
          <w:tcPr>
            <w:tcW w:w="2105" w:type="dxa"/>
            <w:vAlign w:val="center"/>
          </w:tcPr>
          <w:p w14:paraId="685A806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磋商小组的组建及评审专家的确定方式</w:t>
            </w:r>
          </w:p>
        </w:tc>
        <w:tc>
          <w:tcPr>
            <w:tcW w:w="7251" w:type="dxa"/>
            <w:vAlign w:val="center"/>
          </w:tcPr>
          <w:p w14:paraId="07B3A52F">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磋商小组由采购人代表和评审专家共3人以上单数组成，其中评审专家人数不得少于磋商小组成员总数的2/3。</w:t>
            </w:r>
          </w:p>
          <w:p w14:paraId="27A3805A">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rPr>
              <w:t xml:space="preserve">小组确定方式：计算机随机抽取语音通知方式 </w:t>
            </w:r>
          </w:p>
        </w:tc>
      </w:tr>
      <w:tr w14:paraId="6A147A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DF9C93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13</w:t>
            </w:r>
          </w:p>
        </w:tc>
        <w:tc>
          <w:tcPr>
            <w:tcW w:w="2105" w:type="dxa"/>
            <w:vAlign w:val="center"/>
          </w:tcPr>
          <w:p w14:paraId="07033CC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磋商保证金</w:t>
            </w:r>
          </w:p>
        </w:tc>
        <w:tc>
          <w:tcPr>
            <w:tcW w:w="7251" w:type="dxa"/>
            <w:vAlign w:val="center"/>
          </w:tcPr>
          <w:p w14:paraId="4B8A39C7">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left"/>
              <w:rPr>
                <w:rStyle w:val="76"/>
                <w:rFonts w:hint="default" w:asciiTheme="minorEastAsia" w:hAnsiTheme="minorEastAsia" w:eastAsiaTheme="minorEastAsia" w:cstheme="minorEastAsia"/>
                <w:b w:val="0"/>
                <w:i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olor w:val="auto"/>
                <w:spacing w:val="0"/>
                <w:w w:val="100"/>
                <w:kern w:val="0"/>
                <w:position w:val="0"/>
                <w:sz w:val="24"/>
                <w:szCs w:val="24"/>
                <w:highlight w:val="none"/>
                <w:lang w:val="en-US" w:eastAsia="zh-CN" w:bidi="ar-SA"/>
              </w:rPr>
              <w:t>磋商保证金额为：2400.00元</w:t>
            </w:r>
          </w:p>
          <w:p w14:paraId="2FB909B9">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磋商保证金缴纳方式：银行汇票、银行电汇、转账、本票或者金融机构、担保机构出具的保函等非现金形式提交。</w:t>
            </w:r>
          </w:p>
          <w:p w14:paraId="3E43FF2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1、若采用银行汇票、银行电汇、转账、本票时，磋商保证金于</w:t>
            </w:r>
            <w:r>
              <w:rPr>
                <w:rFonts w:hint="eastAsia" w:asciiTheme="minorEastAsia" w:hAnsiTheme="minorEastAsia" w:eastAsiaTheme="minorEastAsia" w:cstheme="minorEastAsia"/>
                <w:color w:val="auto"/>
                <w:spacing w:val="0"/>
                <w:position w:val="0"/>
                <w:sz w:val="24"/>
                <w:szCs w:val="24"/>
                <w:highlight w:val="none"/>
                <w:u w:val="none"/>
                <w:lang w:val="en-US" w:eastAsia="zh-CN"/>
              </w:rPr>
              <w:t>2025年05月09日16时00分</w:t>
            </w:r>
            <w:r>
              <w:rPr>
                <w:rStyle w:val="76"/>
                <w:rFonts w:hint="eastAsia" w:asciiTheme="minorEastAsia" w:hAnsiTheme="minorEastAsia" w:eastAsiaTheme="minorEastAsia" w:cstheme="minorEastAsia"/>
                <w:b w:val="0"/>
                <w:i w:val="0"/>
                <w:iCs w:val="0"/>
                <w:caps w:val="0"/>
                <w:color w:val="auto"/>
                <w:spacing w:val="0"/>
                <w:w w:val="100"/>
                <w:kern w:val="2"/>
                <w:position w:val="0"/>
                <w:sz w:val="24"/>
                <w:szCs w:val="24"/>
                <w:highlight w:val="none"/>
                <w:lang w:val="en-US" w:eastAsia="zh-CN" w:bidi="ar-SA"/>
              </w:rPr>
              <w:t>（北京时间）</w:t>
            </w: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（以到账时间为准）之前从供应商账户汇至新疆诚成工程项目管理有限公司账户，否则其响应文件将被拒绝评审，供应商提交磋商保证金应充分考虑资金在途时间。</w:t>
            </w:r>
          </w:p>
          <w:p w14:paraId="1BBD075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注：供应商向银行办理磋商保证金汇（转）款时，应在用途栏（备注栏）准确注明"本项目招标编号（例如：XJCC-ZB-2025-</w:t>
            </w:r>
            <w:r>
              <w:rPr>
                <w:rFonts w:hint="eastAsia" w:asciiTheme="minorEastAsia" w:hAnsiTheme="minorEastAsia" w:eastAsiaTheme="minorEastAsia" w:cstheme="minorEastAsia"/>
                <w:bCs/>
                <w:color w:val="auto"/>
                <w:spacing w:val="0"/>
                <w:kern w:val="0"/>
                <w:position w:val="0"/>
                <w:sz w:val="24"/>
                <w:szCs w:val="24"/>
                <w:highlight w:val="none"/>
                <w:u w:val="none"/>
                <w:lang w:val="en-US" w:eastAsia="zh-CN"/>
              </w:rPr>
              <w:t>XX</w:t>
            </w: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磋商保证金）"字样（每个标段应分别汇款），由于未按要求准确注明信息而导致的一切后果由供应商承担。</w:t>
            </w:r>
          </w:p>
          <w:p w14:paraId="0E538BD2">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户名：新疆诚成工程项目管理有限公司</w:t>
            </w:r>
          </w:p>
          <w:p w14:paraId="216FC9B7">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开户行名称：乌鲁木齐银行新华南路支行</w:t>
            </w:r>
          </w:p>
          <w:p w14:paraId="5D8E8EAD">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账号：0000001211121500053685</w:t>
            </w:r>
          </w:p>
          <w:p w14:paraId="52F257CA">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开户行号：313881000176</w:t>
            </w:r>
          </w:p>
          <w:p w14:paraId="626C110C">
            <w:pPr>
              <w:keepNext w:val="0"/>
              <w:keepLines w:val="0"/>
              <w:pageBreakBefore w:val="0"/>
              <w:numPr>
                <w:ilvl w:val="0"/>
                <w:numId w:val="2"/>
              </w:numPr>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若采用金融机构、担保机构出具的保函形式递交时，须出具对本项目（项目名称）的保函，提供原件的扫描件于响应文件中，否则视为无效。保函有效期不少于投标有效期。</w:t>
            </w:r>
          </w:p>
          <w:p w14:paraId="069A8397">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3、如采用电子保函方式缴纳可按照新疆政府采购网-电子保函模块。采用电子保函形式应按以下要求办理：</w:t>
            </w:r>
          </w:p>
          <w:p w14:paraId="3B01315E">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（1）电子保函按照“一分包一保函”的原则。</w:t>
            </w:r>
          </w:p>
          <w:p w14:paraId="3D85E544">
            <w:pPr>
              <w:keepNext w:val="0"/>
              <w:keepLines w:val="0"/>
              <w:pageBreakBefore w:val="0"/>
              <w:kinsoku/>
              <w:wordWrap/>
              <w:overflowPunct/>
              <w:topLinePunct w:val="0"/>
              <w:bidi w:val="0"/>
              <w:adjustRightInd w:val="0"/>
              <w:snapToGrid w:val="0"/>
              <w:spacing w:before="0" w:beforeAutospacing="0" w:after="0" w:afterAutospacing="0" w:line="440" w:lineRule="exact"/>
              <w:ind w:left="0" w:right="0" w:firstLine="0" w:firstLineChars="0"/>
              <w:jc w:val="left"/>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（2）电子保函须在磋商文件规定的投标截止时间前办理完成。</w:t>
            </w:r>
          </w:p>
          <w:p w14:paraId="33C7C346">
            <w:pPr>
              <w:keepNext w:val="0"/>
              <w:keepLines w:val="0"/>
              <w:pageBreakBefore w:val="0"/>
              <w:kinsoku/>
              <w:wordWrap/>
              <w:overflowPunct/>
              <w:topLinePunct w:val="0"/>
              <w:bidi w:val="0"/>
              <w:adjustRightInd w:val="0"/>
              <w:snapToGrid w:val="0"/>
              <w:spacing w:before="0" w:beforeAutospacing="0" w:after="0" w:afterAutospacing="0" w:line="440" w:lineRule="exact"/>
              <w:ind w:left="0" w:leftChars="0" w:right="0" w:rightChars="0" w:firstLine="0" w:firstLineChars="0"/>
              <w:jc w:val="left"/>
              <w:textAlignment w:val="baseline"/>
              <w:rPr>
                <w:rFonts w:hint="eastAsia" w:asciiTheme="minorEastAsia" w:hAnsiTheme="minorEastAsia" w:eastAsiaTheme="minorEastAsia" w:cstheme="minorEastAsia"/>
                <w:b/>
                <w:color w:val="auto"/>
                <w:spacing w:val="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★备注：（1）磋商保证金保证金缴纳截止时间同开标时间一致。（2）供应商未按照采购文件上述要求提交磋商保证金的，投标将被否决。</w:t>
            </w:r>
          </w:p>
        </w:tc>
      </w:tr>
      <w:tr w14:paraId="3332E4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655A561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14</w:t>
            </w:r>
          </w:p>
        </w:tc>
        <w:tc>
          <w:tcPr>
            <w:tcW w:w="2105" w:type="dxa"/>
            <w:vAlign w:val="center"/>
          </w:tcPr>
          <w:p w14:paraId="0E8F402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评审办法</w:t>
            </w:r>
          </w:p>
        </w:tc>
        <w:tc>
          <w:tcPr>
            <w:tcW w:w="7251" w:type="dxa"/>
            <w:vAlign w:val="center"/>
          </w:tcPr>
          <w:p w14:paraId="703C1911">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综合评分法</w:t>
            </w:r>
          </w:p>
        </w:tc>
      </w:tr>
      <w:tr w14:paraId="0B0780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649187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15</w:t>
            </w:r>
          </w:p>
        </w:tc>
        <w:tc>
          <w:tcPr>
            <w:tcW w:w="2105" w:type="dxa"/>
            <w:vAlign w:val="center"/>
          </w:tcPr>
          <w:p w14:paraId="0E8B8B7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rPr>
              <w:t>磋商有效期</w:t>
            </w:r>
          </w:p>
        </w:tc>
        <w:tc>
          <w:tcPr>
            <w:tcW w:w="7251" w:type="dxa"/>
            <w:vAlign w:val="center"/>
          </w:tcPr>
          <w:p w14:paraId="439CFA6E">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w:t>
            </w:r>
            <w:r>
              <w:rPr>
                <w:rFonts w:hint="eastAsia" w:asciiTheme="minorEastAsia" w:hAnsiTheme="minorEastAsia" w:eastAsiaTheme="minorEastAsia" w:cstheme="minorEastAsia"/>
                <w:color w:val="auto"/>
                <w:spacing w:val="0"/>
                <w:position w:val="0"/>
                <w:sz w:val="24"/>
                <w:szCs w:val="24"/>
                <w:highlight w:val="none"/>
                <w:u w:val="single"/>
                <w:lang w:val="en-US" w:eastAsia="zh-CN"/>
              </w:rPr>
              <w:t>90</w:t>
            </w:r>
            <w:r>
              <w:rPr>
                <w:rFonts w:hint="eastAsia" w:asciiTheme="minorEastAsia" w:hAnsiTheme="minorEastAsia" w:eastAsiaTheme="minorEastAsia" w:cstheme="minorEastAsia"/>
                <w:color w:val="auto"/>
                <w:spacing w:val="0"/>
                <w:position w:val="0"/>
                <w:sz w:val="24"/>
                <w:szCs w:val="24"/>
                <w:highlight w:val="none"/>
              </w:rPr>
              <w:t>日（日历日）</w:t>
            </w:r>
          </w:p>
        </w:tc>
      </w:tr>
      <w:tr w14:paraId="5B005F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107F9B0">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16</w:t>
            </w:r>
          </w:p>
        </w:tc>
        <w:tc>
          <w:tcPr>
            <w:tcW w:w="2105" w:type="dxa"/>
            <w:vAlign w:val="center"/>
          </w:tcPr>
          <w:p w14:paraId="4429D1D9">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响应</w:t>
            </w:r>
            <w:r>
              <w:rPr>
                <w:rFonts w:hint="eastAsia" w:asciiTheme="minorEastAsia" w:hAnsiTheme="minorEastAsia" w:eastAsiaTheme="minorEastAsia" w:cstheme="minorEastAsia"/>
                <w:b/>
                <w:bCs/>
                <w:color w:val="auto"/>
                <w:spacing w:val="0"/>
                <w:position w:val="0"/>
                <w:sz w:val="24"/>
                <w:szCs w:val="24"/>
                <w:highlight w:val="none"/>
              </w:rPr>
              <w:t>文件</w:t>
            </w:r>
          </w:p>
        </w:tc>
        <w:tc>
          <w:tcPr>
            <w:tcW w:w="7251" w:type="dxa"/>
            <w:vAlign w:val="center"/>
          </w:tcPr>
          <w:p w14:paraId="0C9DB55C">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1．本项目采用不见面开标、投标人需要递交电子响应文件，加密的电子响应文件，在投标截止时间前通过新疆政府采购云平台：https://www.zcygov.cn/上传到指定位置。无需递交纸质文件。</w:t>
            </w:r>
          </w:p>
          <w:p w14:paraId="7290316A">
            <w:pPr>
              <w:keepNext w:val="0"/>
              <w:keepLines w:val="0"/>
              <w:pageBreakBefore w:val="0"/>
              <w:kinsoku/>
              <w:wordWrap/>
              <w:overflowPunct/>
              <w:topLinePunct w:val="0"/>
              <w:bidi w:val="0"/>
              <w:snapToGrid/>
              <w:spacing w:before="0" w:beforeAutospacing="0" w:after="0" w:afterAutospacing="0" w:line="440" w:lineRule="exact"/>
              <w:ind w:left="0" w:right="0" w:firstLine="0" w:firstLineChars="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2.本项目采用远程不见面交易的模式。开标当日，投标人无需到达开标现场，仅需在任意地点通过新疆政府采购云平台不见面开标系统（登录地址详见网站操作手册）完成远程解密、提疑澄清、开标唱标、结果公布等交互环节。投标人必须使用能正确解密响应文件的“CA锁”在规定的时间内完成远程解密，因投标人原因未能解密、解密失败或解密超时，视为投标人撤销其响应文件，系统内响应文件将被退回；因采购人原因或网上招投标平台发生故障，导致无法按时完成响应文件解密或开、评标工作无法进行的，可根据实际情况相应延迟解密时间或调整开、评标时间（友情提示：若投标人已领取副锁（含多把副锁）请注意正副锁的使用差别，务必使用生成响应文件的那把锁解密）。</w:t>
            </w:r>
          </w:p>
          <w:p w14:paraId="526492C5">
            <w:pPr>
              <w:keepNext w:val="0"/>
              <w:keepLines w:val="0"/>
              <w:pageBreakBefore w:val="0"/>
              <w:widowControl w:val="0"/>
              <w:kinsoku/>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position w:val="0"/>
                <w:sz w:val="24"/>
                <w:szCs w:val="24"/>
                <w:highlight w:val="none"/>
                <w:u w:val="single"/>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3.远程开标前，投标人务必在新疆政府采购云平台：https://www.zcygov.cn/响应文件上传模块中使用“模拟解密”功能，验证本机远程自助解密环境。</w:t>
            </w:r>
          </w:p>
        </w:tc>
      </w:tr>
      <w:tr w14:paraId="707E51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142ACD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17</w:t>
            </w:r>
          </w:p>
        </w:tc>
        <w:tc>
          <w:tcPr>
            <w:tcW w:w="2105" w:type="dxa"/>
            <w:vAlign w:val="center"/>
          </w:tcPr>
          <w:p w14:paraId="1B91DFD2">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是否允许投报进口产品</w:t>
            </w:r>
          </w:p>
        </w:tc>
        <w:tc>
          <w:tcPr>
            <w:tcW w:w="7251" w:type="dxa"/>
            <w:vAlign w:val="center"/>
          </w:tcPr>
          <w:p w14:paraId="40CAE16E">
            <w:pPr>
              <w:keepNext w:val="0"/>
              <w:keepLines w:val="0"/>
              <w:pageBreakBefore w:val="0"/>
              <w:widowControl w:val="0"/>
              <w:kinsoku/>
              <w:overflowPunct/>
              <w:topLinePunct w:val="0"/>
              <w:autoSpaceDE w:val="0"/>
              <w:autoSpaceDN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kern w:val="0"/>
                <w:position w:val="0"/>
                <w:sz w:val="24"/>
                <w:szCs w:val="24"/>
                <w:highlight w:val="none"/>
                <w:u w:val="single"/>
                <w:lang w:val="en-US" w:eastAsia="zh-CN"/>
              </w:rPr>
            </w:pPr>
            <w:r>
              <w:rPr>
                <w:rFonts w:hint="eastAsia" w:asciiTheme="minorEastAsia" w:hAnsiTheme="minorEastAsia" w:eastAsiaTheme="minorEastAsia" w:cstheme="minorEastAsia"/>
                <w:color w:val="auto"/>
                <w:spacing w:val="0"/>
                <w:kern w:val="0"/>
                <w:position w:val="0"/>
                <w:sz w:val="24"/>
                <w:szCs w:val="24"/>
                <w:highlight w:val="none"/>
                <w:lang w:val="en-US" w:eastAsia="zh-CN"/>
              </w:rPr>
              <w:t>否</w:t>
            </w:r>
            <w:r>
              <w:rPr>
                <w:rFonts w:hint="eastAsia" w:asciiTheme="minorEastAsia" w:hAnsiTheme="minorEastAsia" w:eastAsiaTheme="minorEastAsia" w:cstheme="minorEastAsia"/>
                <w:color w:val="auto"/>
                <w:spacing w:val="0"/>
                <w:kern w:val="0"/>
                <w:position w:val="0"/>
                <w:sz w:val="24"/>
                <w:szCs w:val="24"/>
                <w:highlight w:val="none"/>
              </w:rPr>
              <w:t xml:space="preserve">             </w:t>
            </w:r>
          </w:p>
        </w:tc>
      </w:tr>
      <w:tr w14:paraId="1586D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93A32CC">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18</w:t>
            </w:r>
          </w:p>
        </w:tc>
        <w:tc>
          <w:tcPr>
            <w:tcW w:w="2105" w:type="dxa"/>
            <w:vAlign w:val="center"/>
          </w:tcPr>
          <w:p w14:paraId="0BC81B76">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rPr>
              <w:t>踏勘现场</w:t>
            </w:r>
          </w:p>
        </w:tc>
        <w:tc>
          <w:tcPr>
            <w:tcW w:w="7251" w:type="dxa"/>
            <w:vAlign w:val="center"/>
          </w:tcPr>
          <w:p w14:paraId="50BE15EC">
            <w:pPr>
              <w:keepNext w:val="0"/>
              <w:keepLines w:val="0"/>
              <w:pageBreakBefore w:val="0"/>
              <w:widowControl w:val="0"/>
              <w:kinsoku/>
              <w:overflowPunct/>
              <w:topLinePunct w:val="0"/>
              <w:autoSpaceDE w:val="0"/>
              <w:autoSpaceDN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自行踏勘</w:t>
            </w:r>
          </w:p>
        </w:tc>
      </w:tr>
      <w:tr w14:paraId="3C06D1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AAFA078">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19</w:t>
            </w:r>
          </w:p>
        </w:tc>
        <w:tc>
          <w:tcPr>
            <w:tcW w:w="2105" w:type="dxa"/>
            <w:vAlign w:val="center"/>
          </w:tcPr>
          <w:p w14:paraId="6F73C666">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lang w:val="en-US" w:eastAsia="zh-CN"/>
              </w:rPr>
              <w:t>代理</w:t>
            </w:r>
            <w:r>
              <w:rPr>
                <w:rFonts w:hint="eastAsia" w:asciiTheme="minorEastAsia" w:hAnsiTheme="minorEastAsia" w:eastAsiaTheme="minorEastAsia" w:cstheme="minorEastAsia"/>
                <w:b/>
                <w:bCs/>
                <w:color w:val="auto"/>
                <w:spacing w:val="0"/>
                <w:position w:val="0"/>
                <w:sz w:val="24"/>
                <w:szCs w:val="24"/>
                <w:highlight w:val="none"/>
              </w:rPr>
              <w:t>服务费</w:t>
            </w:r>
          </w:p>
        </w:tc>
        <w:tc>
          <w:tcPr>
            <w:tcW w:w="7251" w:type="dxa"/>
            <w:vAlign w:val="center"/>
          </w:tcPr>
          <w:p w14:paraId="41771F25">
            <w:pPr>
              <w:keepNext w:val="0"/>
              <w:keepLines w:val="0"/>
              <w:pageBreakBefore w:val="0"/>
              <w:widowControl w:val="0"/>
              <w:kinsoku/>
              <w:overflowPunct/>
              <w:topLinePunct w:val="0"/>
              <w:bidi w:val="0"/>
              <w:adjustRightInd w:val="0"/>
              <w:snapToGrid w:val="0"/>
              <w:spacing w:line="440" w:lineRule="exact"/>
              <w:ind w:left="0" w:leftChars="0" w:firstLine="0" w:firstLineChars="0"/>
              <w:textAlignment w:val="auto"/>
              <w:rPr>
                <w:rFonts w:hint="eastAsia" w:asciiTheme="minorEastAsia" w:hAnsiTheme="minorEastAsia" w:eastAsiaTheme="minorEastAsia" w:cstheme="minorEastAsia"/>
                <w:color w:val="auto"/>
                <w:spacing w:val="0"/>
                <w:kern w:val="2"/>
                <w:position w:val="0"/>
                <w:sz w:val="24"/>
                <w:szCs w:val="24"/>
                <w:highlight w:val="none"/>
                <w:u w:val="singl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招标代理服务费按照国家发展改革委关于进一步放开建设项目专业服务价格的通知发改价格[2015]299号文，计算方法参照“国家计委关于印发《招标代理服务收费管理暂行办法》的通知”(计价格〔2002〕1980号)文件规定，根据上述文件的规定，本次招标代理服务费以中标价格为基数，由中标人向采购代理机构支付。计算后不足3000元按3000元收取，在领取中标通知书时一次性支付 。本项目最高限价已包含代理服务费，请供应商将该费用考虑在报价之中，招标人将不另行支付。</w:t>
            </w:r>
          </w:p>
        </w:tc>
      </w:tr>
      <w:tr w14:paraId="6E00A9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9975010">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20</w:t>
            </w:r>
          </w:p>
        </w:tc>
        <w:tc>
          <w:tcPr>
            <w:tcW w:w="2105" w:type="dxa"/>
            <w:vAlign w:val="center"/>
          </w:tcPr>
          <w:p w14:paraId="085497CB">
            <w:pPr>
              <w:keepNext w:val="0"/>
              <w:keepLines w:val="0"/>
              <w:pageBreakBefore w:val="0"/>
              <w:kinsoku/>
              <w:wordWrap/>
              <w:overflowPunct/>
              <w:topLinePunct w:val="0"/>
              <w:bidi w:val="0"/>
              <w:snapToGrid/>
              <w:spacing w:before="0" w:beforeAutospacing="0" w:after="0" w:afterAutospacing="0" w:line="440" w:lineRule="exact"/>
              <w:ind w:left="0" w:leftChars="0" w:right="0" w:rightChars="0" w:firstLine="0" w:firstLineChars="0"/>
              <w:jc w:val="center"/>
              <w:textAlignment w:val="baseline"/>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i w:val="0"/>
                <w:caps w:val="0"/>
                <w:color w:val="auto"/>
                <w:spacing w:val="0"/>
                <w:w w:val="100"/>
                <w:kern w:val="0"/>
                <w:position w:val="0"/>
                <w:sz w:val="24"/>
                <w:szCs w:val="24"/>
                <w:highlight w:val="none"/>
                <w:lang w:val="en-US" w:eastAsia="zh-CN" w:bidi="ar-SA"/>
              </w:rPr>
              <w:t>政府采购政策落实</w:t>
            </w:r>
          </w:p>
        </w:tc>
        <w:tc>
          <w:tcPr>
            <w:tcW w:w="7251" w:type="dxa"/>
            <w:vAlign w:val="center"/>
          </w:tcPr>
          <w:p w14:paraId="5030EF70">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20</w:t>
            </w: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.1本项目专门面向小微企业，各供应商须提供《中小企业申明函》，否则视为无效投标。</w:t>
            </w:r>
          </w:p>
          <w:p w14:paraId="188FB003">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highlight w:val="none"/>
                <w:lang w:val="en-US" w:eastAsia="zh-CN"/>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20.2根据工信部等部委发布的《关于印发中小企业划型标准规定的通知》（工信部联企业〔2011〕300号）、财政部、工业和信息化部《政府采购促进中小企业发展管理办法 》（财库[2020]46号文）规定，本次采购标的所属行业为</w:t>
            </w:r>
            <w:r>
              <w:rPr>
                <w:rFonts w:hint="eastAsia" w:ascii="宋体" w:hAnsi="宋体" w:eastAsia="宋体" w:cs="宋体"/>
                <w:b/>
                <w:bCs/>
                <w:i w:val="0"/>
                <w:iCs w:val="0"/>
                <w:caps w:val="0"/>
                <w:color w:val="000000"/>
                <w:spacing w:val="0"/>
                <w:sz w:val="24"/>
                <w:szCs w:val="24"/>
                <w:highlight w:val="none"/>
                <w:u w:val="single"/>
                <w:shd w:val="clear" w:fill="FFFFFF"/>
              </w:rPr>
              <w:t>租赁和商务服务业</w:t>
            </w: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符合以下条件的中小微型企业应按照磋商文件格式要求提供《中小企业声明函》。</w:t>
            </w:r>
          </w:p>
        </w:tc>
      </w:tr>
      <w:tr w14:paraId="6BC9DE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324EC453">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21</w:t>
            </w:r>
          </w:p>
        </w:tc>
        <w:tc>
          <w:tcPr>
            <w:tcW w:w="2105" w:type="dxa"/>
            <w:vAlign w:val="center"/>
          </w:tcPr>
          <w:p w14:paraId="046BF2D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rPr>
              <w:t>服务期限</w:t>
            </w:r>
          </w:p>
        </w:tc>
        <w:tc>
          <w:tcPr>
            <w:tcW w:w="7251" w:type="dxa"/>
            <w:vAlign w:val="center"/>
          </w:tcPr>
          <w:p w14:paraId="2513D094">
            <w:pPr>
              <w:pStyle w:val="28"/>
              <w:keepNext w:val="0"/>
              <w:keepLines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default" w:asciiTheme="minorEastAsia" w:hAnsiTheme="minorEastAsia" w:eastAsiaTheme="minorEastAsia" w:cstheme="minorEastAsia"/>
                <w:color w:val="auto"/>
                <w:spacing w:val="0"/>
                <w:kern w:val="2"/>
                <w:position w:val="0"/>
                <w:sz w:val="24"/>
                <w:szCs w:val="24"/>
                <w:highlight w:val="none"/>
                <w:u w:val="single"/>
                <w:lang w:val="en-US" w:eastAsia="zh-CN" w:bidi="ar-SA"/>
              </w:rPr>
            </w:pPr>
            <w:r>
              <w:rPr>
                <w:rFonts w:hint="default" w:asciiTheme="minorEastAsia" w:hAnsiTheme="minorEastAsia" w:eastAsiaTheme="minorEastAsia" w:cstheme="minorEastAsia"/>
                <w:color w:val="auto"/>
                <w:spacing w:val="0"/>
                <w:kern w:val="2"/>
                <w:position w:val="0"/>
                <w:sz w:val="24"/>
                <w:szCs w:val="24"/>
                <w:highlight w:val="none"/>
                <w:u w:val="single"/>
                <w:lang w:val="en-US" w:eastAsia="zh-CN" w:bidi="ar-SA"/>
              </w:rPr>
              <w:t>培训时间5天</w:t>
            </w:r>
          </w:p>
        </w:tc>
      </w:tr>
      <w:tr w14:paraId="3D30B0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2DB23013">
            <w:pPr>
              <w:keepNext w:val="0"/>
              <w:keepLines w:val="0"/>
              <w:pageBreakBefore w:val="0"/>
              <w:widowControl w:val="0"/>
              <w:tabs>
                <w:tab w:val="left" w:pos="265"/>
              </w:tabs>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22</w:t>
            </w:r>
          </w:p>
        </w:tc>
        <w:tc>
          <w:tcPr>
            <w:tcW w:w="2105" w:type="dxa"/>
            <w:vAlign w:val="center"/>
          </w:tcPr>
          <w:p w14:paraId="1616244B">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lang w:val="en-US" w:eastAsia="zh-CN"/>
              </w:rPr>
              <w:t>付款方式</w:t>
            </w:r>
          </w:p>
        </w:tc>
        <w:tc>
          <w:tcPr>
            <w:tcW w:w="7251" w:type="dxa"/>
            <w:vAlign w:val="center"/>
          </w:tcPr>
          <w:p w14:paraId="1462FE79">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default" w:asciiTheme="minorEastAsia" w:hAnsiTheme="minorEastAsia" w:eastAsiaTheme="minorEastAsia" w:cstheme="minorEastAsia"/>
                <w:color w:val="auto"/>
                <w:spacing w:val="0"/>
                <w:kern w:val="2"/>
                <w:position w:val="0"/>
                <w:sz w:val="24"/>
                <w:szCs w:val="24"/>
                <w:highlight w:val="none"/>
                <w:u w:val="singl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实际</w:t>
            </w:r>
            <w:r>
              <w:rPr>
                <w:rFonts w:hint="eastAsia" w:asciiTheme="minorEastAsia" w:hAnsiTheme="minorEastAsia" w:eastAsiaTheme="minorEastAsia" w:cstheme="minorEastAsia"/>
                <w:color w:val="auto"/>
                <w:spacing w:val="0"/>
                <w:position w:val="0"/>
                <w:sz w:val="24"/>
                <w:szCs w:val="24"/>
                <w:highlight w:val="none"/>
                <w:u w:val="none"/>
                <w:lang w:val="en-US" w:eastAsia="zh-CN"/>
              </w:rPr>
              <w:t>以双方签订合同为准。</w:t>
            </w:r>
          </w:p>
        </w:tc>
      </w:tr>
      <w:tr w14:paraId="6FA261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487721B7">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23</w:t>
            </w:r>
          </w:p>
        </w:tc>
        <w:tc>
          <w:tcPr>
            <w:tcW w:w="2105" w:type="dxa"/>
            <w:vAlign w:val="center"/>
          </w:tcPr>
          <w:p w14:paraId="5FABD1FD">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eastAsia" w:asciiTheme="minorEastAsia" w:hAnsiTheme="minorEastAsia" w:eastAsiaTheme="minorEastAsia" w:cstheme="minorEastAsia"/>
                <w:b/>
                <w:bCs/>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b/>
                <w:bCs/>
                <w:color w:val="auto"/>
                <w:spacing w:val="0"/>
                <w:position w:val="0"/>
                <w:sz w:val="24"/>
                <w:szCs w:val="24"/>
                <w:highlight w:val="none"/>
              </w:rPr>
              <w:t>其他内容</w:t>
            </w:r>
          </w:p>
        </w:tc>
        <w:tc>
          <w:tcPr>
            <w:tcW w:w="7251" w:type="dxa"/>
            <w:vAlign w:val="center"/>
          </w:tcPr>
          <w:p w14:paraId="258FD446">
            <w:pPr>
              <w:keepNext w:val="0"/>
              <w:keepLines w:val="0"/>
              <w:pageBreakBefore w:val="0"/>
              <w:widowControl w:val="0"/>
              <w:kinsoku/>
              <w:wordWrap w:val="0"/>
              <w:overflowPunct/>
              <w:topLinePunct w:val="0"/>
              <w:bidi w:val="0"/>
              <w:adjustRightInd w:val="0"/>
              <w:snapToGrid w:val="0"/>
              <w:spacing w:line="440" w:lineRule="exact"/>
              <w:ind w:left="0" w:leftChars="0" w:firstLine="0" w:firstLineChars="0"/>
              <w:jc w:val="left"/>
              <w:textAlignment w:val="auto"/>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本次招标如有变更、澄清或其他通知将在发布招标公告的网站上公布。</w:t>
            </w:r>
          </w:p>
        </w:tc>
      </w:tr>
      <w:tr w14:paraId="733E9A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5A575C7E">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24</w:t>
            </w:r>
          </w:p>
        </w:tc>
        <w:tc>
          <w:tcPr>
            <w:tcW w:w="2105" w:type="dxa"/>
            <w:vAlign w:val="center"/>
          </w:tcPr>
          <w:p w14:paraId="153D4188">
            <w:pPr>
              <w:keepLines w:val="0"/>
              <w:pageBreakBefore w:val="0"/>
              <w:kinsoku/>
              <w:wordWrap/>
              <w:overflowPunct/>
              <w:topLinePunct w:val="0"/>
              <w:bidi w:val="0"/>
              <w:snapToGrid/>
              <w:spacing w:line="440" w:lineRule="exact"/>
              <w:ind w:right="0" w:rightChars="0"/>
              <w:jc w:val="center"/>
              <w:rPr>
                <w:rFonts w:hint="eastAsia" w:asciiTheme="minorEastAsia" w:hAnsiTheme="minorEastAsia" w:eastAsiaTheme="minorEastAsia" w:cstheme="minorEastAsia"/>
                <w:b/>
                <w:bCs/>
                <w:color w:val="auto"/>
                <w:spacing w:val="0"/>
                <w:position w:val="0"/>
                <w:sz w:val="24"/>
                <w:szCs w:val="24"/>
                <w:highlight w:val="none"/>
              </w:rPr>
            </w:pPr>
            <w:r>
              <w:rPr>
                <w:rFonts w:hint="eastAsia" w:ascii="宋体" w:hAnsi="宋体" w:eastAsia="宋体" w:cs="宋体"/>
                <w:b/>
                <w:bCs/>
                <w:color w:val="auto"/>
                <w:spacing w:val="0"/>
                <w:position w:val="0"/>
                <w:sz w:val="24"/>
                <w:szCs w:val="24"/>
                <w:highlight w:val="none"/>
                <w:u w:val="none"/>
                <w:lang w:val="en-US" w:eastAsia="zh-CN"/>
              </w:rPr>
              <w:t>磋商</w:t>
            </w:r>
            <w:r>
              <w:rPr>
                <w:rFonts w:hint="eastAsia" w:ascii="宋体" w:hAnsi="宋体" w:eastAsia="宋体" w:cs="宋体"/>
                <w:b/>
                <w:bCs/>
                <w:color w:val="auto"/>
                <w:spacing w:val="0"/>
                <w:position w:val="0"/>
                <w:sz w:val="24"/>
                <w:szCs w:val="24"/>
                <w:highlight w:val="none"/>
                <w:u w:val="none"/>
              </w:rPr>
              <w:t>轮数和最后报价的其他要求</w:t>
            </w:r>
          </w:p>
        </w:tc>
        <w:tc>
          <w:tcPr>
            <w:tcW w:w="7251" w:type="dxa"/>
            <w:vAlign w:val="center"/>
          </w:tcPr>
          <w:p w14:paraId="1B9F9CC1">
            <w:pPr>
              <w:keepLines w:val="0"/>
              <w:pageBreakBefore w:val="0"/>
              <w:kinsoku/>
              <w:wordWrap/>
              <w:overflowPunct/>
              <w:topLinePunct w:val="0"/>
              <w:bidi w:val="0"/>
              <w:snapToGrid/>
              <w:spacing w:line="440" w:lineRule="exact"/>
              <w:ind w:right="0"/>
              <w:rPr>
                <w:rFonts w:hint="eastAsia" w:ascii="宋体" w:hAnsi="宋体" w:eastAsia="宋体" w:cs="宋体"/>
                <w:color w:val="auto"/>
                <w:spacing w:val="0"/>
                <w:position w:val="0"/>
                <w:sz w:val="24"/>
                <w:szCs w:val="24"/>
                <w:highlight w:val="none"/>
                <w:u w:val="none"/>
                <w:lang w:val="zh-CN"/>
              </w:rPr>
            </w:pPr>
            <w:r>
              <w:rPr>
                <w:rFonts w:hint="eastAsia" w:ascii="宋体" w:hAnsi="宋体" w:eastAsia="宋体" w:cs="宋体"/>
                <w:color w:val="auto"/>
                <w:spacing w:val="0"/>
                <w:position w:val="0"/>
                <w:sz w:val="24"/>
                <w:szCs w:val="24"/>
                <w:highlight w:val="none"/>
                <w:u w:val="none"/>
                <w:lang w:val="zh-CN"/>
              </w:rPr>
              <w:t>1、</w:t>
            </w:r>
            <w:r>
              <w:rPr>
                <w:rFonts w:hint="eastAsia" w:ascii="宋体" w:hAnsi="宋体" w:eastAsia="宋体" w:cs="宋体"/>
                <w:color w:val="auto"/>
                <w:spacing w:val="0"/>
                <w:position w:val="0"/>
                <w:sz w:val="24"/>
                <w:szCs w:val="24"/>
                <w:highlight w:val="none"/>
                <w:u w:val="none"/>
                <w:lang w:val="en-US" w:eastAsia="zh-CN"/>
              </w:rPr>
              <w:t>磋商</w:t>
            </w:r>
            <w:r>
              <w:rPr>
                <w:rFonts w:hint="eastAsia" w:ascii="宋体" w:hAnsi="宋体" w:eastAsia="宋体" w:cs="宋体"/>
                <w:color w:val="auto"/>
                <w:spacing w:val="0"/>
                <w:position w:val="0"/>
                <w:sz w:val="24"/>
                <w:szCs w:val="24"/>
                <w:highlight w:val="none"/>
                <w:u w:val="none"/>
                <w:lang w:val="zh-CN"/>
              </w:rPr>
              <w:t>轮数：不少于两轮；</w:t>
            </w:r>
          </w:p>
          <w:p w14:paraId="7CD1A78E">
            <w:pPr>
              <w:keepLines w:val="0"/>
              <w:pageBreakBefore w:val="0"/>
              <w:kinsoku/>
              <w:wordWrap/>
              <w:overflowPunct/>
              <w:topLinePunct w:val="0"/>
              <w:bidi w:val="0"/>
              <w:snapToGrid/>
              <w:spacing w:line="440" w:lineRule="exact"/>
              <w:ind w:right="0" w:rightChars="0"/>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pPr>
            <w:r>
              <w:rPr>
                <w:rFonts w:hint="eastAsia" w:ascii="宋体" w:hAnsi="宋体" w:eastAsia="宋体" w:cs="宋体"/>
                <w:color w:val="auto"/>
                <w:spacing w:val="0"/>
                <w:position w:val="0"/>
                <w:sz w:val="24"/>
                <w:szCs w:val="24"/>
                <w:highlight w:val="none"/>
                <w:u w:val="none"/>
                <w:lang w:val="en-US" w:eastAsia="zh-CN"/>
              </w:rPr>
              <w:t>2、其他要求：无</w:t>
            </w:r>
          </w:p>
        </w:tc>
      </w:tr>
      <w:tr w14:paraId="57A329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1B981004">
            <w:pPr>
              <w:keepNext w:val="0"/>
              <w:keepLines w:val="0"/>
              <w:pageBreakBefore w:val="0"/>
              <w:widowControl w:val="0"/>
              <w:kinsoku/>
              <w:overflowPunct/>
              <w:topLinePunct w:val="0"/>
              <w:bidi w:val="0"/>
              <w:adjustRightInd w:val="0"/>
              <w:snapToGrid w:val="0"/>
              <w:spacing w:line="440" w:lineRule="exact"/>
              <w:ind w:left="0" w:leftChars="0" w:firstLine="0" w:firstLineChars="0"/>
              <w:jc w:val="center"/>
              <w:textAlignment w:val="auto"/>
              <w:rPr>
                <w:rFonts w:hint="default"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25</w:t>
            </w:r>
          </w:p>
        </w:tc>
        <w:tc>
          <w:tcPr>
            <w:tcW w:w="2105" w:type="dxa"/>
            <w:vAlign w:val="center"/>
          </w:tcPr>
          <w:p w14:paraId="63F4A6DF">
            <w:pPr>
              <w:keepLines w:val="0"/>
              <w:pageBreakBefore w:val="0"/>
              <w:kinsoku/>
              <w:wordWrap/>
              <w:overflowPunct/>
              <w:topLinePunct w:val="0"/>
              <w:bidi w:val="0"/>
              <w:snapToGrid/>
              <w:spacing w:line="440" w:lineRule="exact"/>
              <w:ind w:right="0" w:rightChars="0"/>
              <w:jc w:val="center"/>
              <w:rPr>
                <w:rFonts w:hint="default" w:ascii="宋体" w:hAnsi="宋体" w:eastAsia="宋体" w:cs="宋体"/>
                <w:b/>
                <w:bCs/>
                <w:color w:val="auto"/>
                <w:spacing w:val="0"/>
                <w:position w:val="0"/>
                <w:sz w:val="24"/>
                <w:szCs w:val="24"/>
                <w:highlight w:val="none"/>
                <w:u w:val="none"/>
                <w:lang w:val="en-US" w:eastAsia="zh-CN"/>
              </w:rPr>
            </w:pPr>
            <w:r>
              <w:rPr>
                <w:rFonts w:hint="eastAsia" w:ascii="宋体" w:hAnsi="宋体" w:cs="宋体"/>
                <w:b/>
                <w:bCs/>
                <w:color w:val="auto"/>
                <w:spacing w:val="0"/>
                <w:position w:val="0"/>
                <w:sz w:val="24"/>
                <w:szCs w:val="24"/>
                <w:highlight w:val="none"/>
                <w:u w:val="none"/>
                <w:lang w:val="en-US" w:eastAsia="zh-CN"/>
              </w:rPr>
              <w:t>其它补充事宜</w:t>
            </w:r>
          </w:p>
        </w:tc>
        <w:tc>
          <w:tcPr>
            <w:tcW w:w="7251" w:type="dxa"/>
            <w:vAlign w:val="center"/>
          </w:tcPr>
          <w:p w14:paraId="03A62509">
            <w:pPr>
              <w:pStyle w:val="109"/>
              <w:spacing w:line="440" w:lineRule="exact"/>
              <w:ind w:left="0" w:leftChars="0" w:firstLine="0" w:firstLineChars="0"/>
              <w:rPr>
                <w:rFonts w:hint="default" w:ascii="宋体" w:hAnsi="宋体" w:eastAsia="宋体" w:cs="宋体"/>
                <w:color w:val="auto"/>
                <w:spacing w:val="0"/>
                <w:position w:val="0"/>
                <w:sz w:val="24"/>
                <w:szCs w:val="24"/>
                <w:highlight w:val="none"/>
                <w:u w:val="none"/>
                <w:lang w:val="en-US" w:eastAsia="zh-CN"/>
              </w:rPr>
            </w:pPr>
            <w:r>
              <w:rPr>
                <w:rFonts w:hint="eastAsia" w:asciiTheme="minorEastAsia" w:hAnsiTheme="minorEastAsia" w:eastAsiaTheme="minorEastAsia" w:cstheme="minorEastAsia"/>
                <w:color w:val="auto"/>
                <w:spacing w:val="0"/>
                <w:kern w:val="2"/>
                <w:position w:val="0"/>
                <w:sz w:val="24"/>
                <w:szCs w:val="24"/>
                <w:highlight w:val="none"/>
                <w:u w:val="none"/>
                <w:lang w:val="en-US" w:eastAsia="zh-CN" w:bidi="ar-SA"/>
              </w:rPr>
              <w:t>/</w:t>
            </w:r>
          </w:p>
        </w:tc>
      </w:tr>
      <w:tr w14:paraId="5DF1B7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17" w:type="dxa"/>
            <w:vAlign w:val="center"/>
          </w:tcPr>
          <w:p w14:paraId="75C9CF30">
            <w:pPr>
              <w:pStyle w:val="11"/>
              <w:keepNext w:val="0"/>
              <w:keepLines w:val="0"/>
              <w:pageBreakBefore w:val="0"/>
              <w:widowControl w:val="0"/>
              <w:kinsoku/>
              <w:overflowPunct/>
              <w:topLinePunct w:val="0"/>
              <w:bidi w:val="0"/>
              <w:adjustRightInd w:val="0"/>
              <w:snapToGrid w:val="0"/>
              <w:spacing w:line="440" w:lineRule="exact"/>
              <w:ind w:left="0" w:leftChars="0" w:firstLine="0" w:firstLineChars="0"/>
              <w:contextualSpacing/>
              <w:jc w:val="center"/>
              <w:textAlignment w:val="auto"/>
              <w:rPr>
                <w:rFonts w:hint="eastAsia" w:asciiTheme="minorEastAsia" w:hAnsiTheme="minorEastAsia" w:eastAsiaTheme="minorEastAsia" w:cstheme="minorEastAsia"/>
                <w:b/>
                <w:bCs/>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注意</w:t>
            </w:r>
          </w:p>
          <w:p w14:paraId="3DB31CF1">
            <w:pPr>
              <w:pStyle w:val="11"/>
              <w:keepNext w:val="0"/>
              <w:keepLines w:val="0"/>
              <w:pageBreakBefore w:val="0"/>
              <w:widowControl w:val="0"/>
              <w:kinsoku/>
              <w:overflowPunct/>
              <w:topLinePunct w:val="0"/>
              <w:bidi w:val="0"/>
              <w:adjustRightInd w:val="0"/>
              <w:snapToGrid w:val="0"/>
              <w:spacing w:line="440" w:lineRule="exact"/>
              <w:ind w:left="0" w:leftChars="0" w:firstLine="0" w:firstLineChars="0"/>
              <w:contextualSpacing/>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b/>
                <w:bCs/>
                <w:color w:val="auto"/>
                <w:spacing w:val="0"/>
                <w:position w:val="0"/>
                <w:sz w:val="24"/>
                <w:szCs w:val="24"/>
                <w:highlight w:val="none"/>
                <w:lang w:val="en-US" w:eastAsia="zh-CN"/>
              </w:rPr>
              <w:t>事项</w:t>
            </w:r>
          </w:p>
        </w:tc>
        <w:tc>
          <w:tcPr>
            <w:tcW w:w="9356" w:type="dxa"/>
            <w:gridSpan w:val="2"/>
            <w:vAlign w:val="center"/>
          </w:tcPr>
          <w:p w14:paraId="37281586">
            <w:pPr>
              <w:pStyle w:val="80"/>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left="0" w:leftChars="0" w:right="0" w:firstLine="0" w:firstLineChars="0"/>
              <w:jc w:val="both"/>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kern w:val="2"/>
                <w:position w:val="0"/>
                <w:sz w:val="24"/>
                <w:szCs w:val="24"/>
                <w:highlight w:val="none"/>
                <w:lang w:val="en-US" w:eastAsia="zh-CN" w:bidi="ar-SA"/>
              </w:rPr>
              <w:t>1、本项目实行网上投标，采用电子响应文件。2、各供应商应在开标前应确保成为新疆政府采购网正式注册入库供应商，并完成CA数字证书（符合国密标准）申领。因未注册入库、未办理CA数字证书等原因造成无法投标或投标失败等后果由供应商自行承担。有意向参与新疆维吾尔自治区区域电子开评标的供应商，可访问新疆数字证书认证中心官方网站（https://www.xjca.com.cn/）或下载“新疆政务通”APP自行进行申领。如需咨询，请联系新疆CA服务热线0991-2819290。3、供应商将政采云电子交易客户端下载、安装完成后，可通过账号密码或CA登录客户端进行响应文件的制作。在使用政采云投标客户端时，建议使用WIN7及以上操作系统。客户端请至新疆政采云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4、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tc>
      </w:tr>
    </w:tbl>
    <w:p w14:paraId="17253450">
      <w:pPr>
        <w:pageBreakBefore w:val="0"/>
        <w:kinsoku/>
        <w:overflowPunct/>
        <w:topLinePunct w:val="0"/>
        <w:bidi w:val="0"/>
        <w:spacing w:line="440" w:lineRule="exact"/>
        <w:rPr>
          <w:rFonts w:hint="eastAsia" w:asciiTheme="minorEastAsia" w:hAnsiTheme="minorEastAsia" w:eastAsiaTheme="minorEastAsia" w:cstheme="minorEastAsia"/>
          <w:color w:val="auto"/>
          <w:spacing w:val="0"/>
          <w:kern w:val="0"/>
          <w:position w:val="0"/>
          <w:sz w:val="28"/>
          <w:szCs w:val="24"/>
          <w:highlight w:val="none"/>
        </w:rPr>
      </w:pPr>
      <w:r>
        <w:rPr>
          <w:rFonts w:hint="eastAsia" w:asciiTheme="minorEastAsia" w:hAnsiTheme="minorEastAsia" w:eastAsiaTheme="minorEastAsia" w:cstheme="minorEastAsia"/>
          <w:b/>
          <w:bCs/>
          <w:color w:val="auto"/>
          <w:spacing w:val="0"/>
          <w:kern w:val="0"/>
          <w:position w:val="0"/>
          <w:sz w:val="28"/>
          <w:szCs w:val="24"/>
          <w:highlight w:val="none"/>
        </w:rPr>
        <w:t>注：</w:t>
      </w:r>
      <w:r>
        <w:rPr>
          <w:rFonts w:hint="eastAsia" w:asciiTheme="minorEastAsia" w:hAnsiTheme="minorEastAsia" w:eastAsiaTheme="minorEastAsia" w:cstheme="minorEastAsia"/>
          <w:color w:val="auto"/>
          <w:spacing w:val="0"/>
          <w:position w:val="0"/>
          <w:sz w:val="28"/>
          <w:szCs w:val="24"/>
          <w:highlight w:val="none"/>
        </w:rPr>
        <w:t>本表内容与</w:t>
      </w:r>
      <w:r>
        <w:rPr>
          <w:rFonts w:hint="eastAsia" w:asciiTheme="minorEastAsia" w:hAnsiTheme="minorEastAsia" w:eastAsiaTheme="minorEastAsia" w:cstheme="minorEastAsia"/>
          <w:color w:val="auto"/>
          <w:spacing w:val="0"/>
          <w:position w:val="0"/>
          <w:sz w:val="28"/>
          <w:szCs w:val="24"/>
          <w:highlight w:val="none"/>
          <w:lang w:eastAsia="zh-CN"/>
        </w:rPr>
        <w:t>磋商文件</w:t>
      </w:r>
      <w:r>
        <w:rPr>
          <w:rFonts w:hint="eastAsia" w:asciiTheme="minorEastAsia" w:hAnsiTheme="minorEastAsia" w:eastAsiaTheme="minorEastAsia" w:cstheme="minorEastAsia"/>
          <w:color w:val="auto"/>
          <w:spacing w:val="0"/>
          <w:position w:val="0"/>
          <w:sz w:val="28"/>
          <w:szCs w:val="24"/>
          <w:highlight w:val="none"/>
        </w:rPr>
        <w:t>其它内容不一致的，应当以本表内容为准。</w:t>
      </w:r>
    </w:p>
    <w:bookmarkEnd w:id="2"/>
    <w:p w14:paraId="3B1B1CE0">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7" w:name="_Toc16938518"/>
      <w:bookmarkEnd w:id="7"/>
      <w:bookmarkStart w:id="8" w:name="_Toc20823274"/>
      <w:bookmarkEnd w:id="8"/>
      <w:bookmarkStart w:id="9" w:name="_Toc120614213"/>
      <w:bookmarkEnd w:id="9"/>
      <w:bookmarkStart w:id="10" w:name="_Toc455227390"/>
      <w:bookmarkEnd w:id="10"/>
      <w:bookmarkStart w:id="11" w:name="_Toc513029202"/>
      <w:bookmarkEnd w:id="11"/>
      <w:bookmarkStart w:id="12" w:name="_Toc16896"/>
      <w:bookmarkStart w:id="13" w:name="_Toc1621"/>
      <w:r>
        <w:rPr>
          <w:rFonts w:hint="eastAsia" w:asciiTheme="minorEastAsia" w:hAnsiTheme="minorEastAsia" w:eastAsiaTheme="minorEastAsia" w:cstheme="minorEastAsia"/>
          <w:color w:val="auto"/>
          <w:spacing w:val="0"/>
          <w:position w:val="0"/>
          <w:highlight w:val="none"/>
        </w:rPr>
        <w:t>一、 说明</w:t>
      </w:r>
      <w:bookmarkEnd w:id="12"/>
      <w:bookmarkEnd w:id="13"/>
    </w:p>
    <w:p w14:paraId="07D450D3">
      <w:pPr>
        <w:pStyle w:val="19"/>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1.1适用范围</w:t>
      </w:r>
    </w:p>
    <w:p w14:paraId="75D5B21A">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 .1本磋商文件仅适用于本磋商邀请函中所述项目的货物及相关服务的采购。</w:t>
      </w:r>
    </w:p>
    <w:p w14:paraId="103184C2">
      <w:pPr>
        <w:pStyle w:val="19"/>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1.2定义</w:t>
      </w:r>
    </w:p>
    <w:p w14:paraId="00FE0463">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1.2.1“采购人”是指：详见供应商须知前附表.</w:t>
      </w:r>
    </w:p>
    <w:p w14:paraId="4B66AA9E">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1.2.2“采购代理机构”是指：详见供应商须知前附表.</w:t>
      </w:r>
    </w:p>
    <w:p w14:paraId="14A8BBE2">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1.2.3“监管部门”是指：详见供应商须知前附表.</w:t>
      </w:r>
    </w:p>
    <w:p w14:paraId="281F196A">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1.2.4 “供应商”是指：响应磋商文件要求并且符合磋商文件规定资格条件和参加竞争性磋商的法人、其他组织或者自然人。</w:t>
      </w:r>
    </w:p>
    <w:p w14:paraId="7AA79BF0">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1.2.5“电子响应文件”是指：利用</w:t>
      </w:r>
      <w:r>
        <w:rPr>
          <w:rFonts w:hint="eastAsia" w:asciiTheme="minorEastAsia" w:hAnsiTheme="minorEastAsia" w:eastAsiaTheme="minorEastAsia" w:cstheme="minorEastAsia"/>
          <w:color w:val="auto"/>
          <w:spacing w:val="0"/>
          <w:position w:val="0"/>
          <w:sz w:val="24"/>
          <w:szCs w:val="24"/>
          <w:highlight w:val="none"/>
          <w:lang w:eastAsia="zh-CN"/>
        </w:rPr>
        <w:t>相应的</w:t>
      </w: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lang w:eastAsia="zh-CN"/>
        </w:rPr>
        <w:t>响应文件</w:t>
      </w:r>
      <w:r>
        <w:rPr>
          <w:rFonts w:hint="eastAsia" w:asciiTheme="minorEastAsia" w:hAnsiTheme="minorEastAsia" w:eastAsiaTheme="minorEastAsia" w:cstheme="minorEastAsia"/>
          <w:color w:val="auto"/>
          <w:spacing w:val="0"/>
          <w:position w:val="0"/>
          <w:sz w:val="24"/>
          <w:szCs w:val="24"/>
          <w:highlight w:val="none"/>
        </w:rPr>
        <w:t>制作工具”编制加密的响应文件。</w:t>
      </w:r>
    </w:p>
    <w:p w14:paraId="2BFEA99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1.2.6“成交供应商”是指: 是指经磋商小组评审，授予合同的供应商。</w:t>
      </w:r>
    </w:p>
    <w:p w14:paraId="593BD1F1">
      <w:pPr>
        <w:pStyle w:val="19"/>
        <w:keepNext w:val="0"/>
        <w:keepLines w:val="0"/>
        <w:pageBreakBefore w:val="0"/>
        <w:widowControl w:val="0"/>
        <w:kinsoku/>
        <w:wordWrap/>
        <w:overflowPunct/>
        <w:topLinePunct w:val="0"/>
        <w:autoSpaceDE/>
        <w:autoSpaceDN/>
        <w:bidi w:val="0"/>
        <w:adjustRightInd w:val="0"/>
        <w:snapToGrid w:val="0"/>
        <w:spacing w:line="360" w:lineRule="auto"/>
        <w:ind w:left="561" w:leftChars="267"/>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1.2.7采购人和采购代理机构统称为招标采购单位。</w:t>
      </w:r>
    </w:p>
    <w:p w14:paraId="2FAD7AF8">
      <w:pPr>
        <w:pStyle w:val="19"/>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1.3、货物和服务</w:t>
      </w:r>
    </w:p>
    <w:p w14:paraId="59F847FF">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1.3.1“货物”是指：供应商制造或组织符合磋商文件要求的货物，包括原材料、燃料、设备、产品等。磋商文件中没有提及招标货物来源地的，根据《政府采购法》的相关规定均应是本国货物，另有规定的除外。</w:t>
      </w:r>
      <w:r>
        <w:rPr>
          <w:rFonts w:hint="eastAsia" w:asciiTheme="minorEastAsia" w:hAnsiTheme="minorEastAsia" w:eastAsiaTheme="minorEastAsia" w:cstheme="minorEastAsia"/>
          <w:snapToGrid w:val="0"/>
          <w:color w:val="auto"/>
          <w:spacing w:val="0"/>
          <w:kern w:val="0"/>
          <w:position w:val="0"/>
          <w:sz w:val="24"/>
          <w:szCs w:val="24"/>
          <w:highlight w:val="none"/>
        </w:rPr>
        <w:t>提供的货物必须是其合法生产的符合国家有关标准要求的货物，并能够按照合同规定的品牌、产地、质量、价格和有效期等履约。</w:t>
      </w:r>
    </w:p>
    <w:p w14:paraId="374339A8">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1.3.2“服务”是指：除货物和工程以外的其他政府采购对象。包括：政府自身需要的服务和政府向社会公众提供的公共服务。</w:t>
      </w:r>
    </w:p>
    <w:p w14:paraId="04BC1F75">
      <w:pPr>
        <w:pStyle w:val="19"/>
        <w:keepNext w:val="0"/>
        <w:keepLines w:val="0"/>
        <w:pageBreakBefore w:val="0"/>
        <w:widowControl w:val="0"/>
        <w:kinsoku/>
        <w:wordWrap/>
        <w:overflowPunct/>
        <w:topLinePunct w:val="0"/>
        <w:autoSpaceDE/>
        <w:autoSpaceDN/>
        <w:bidi w:val="0"/>
        <w:adjustRightInd w:val="0"/>
        <w:snapToGrid w:val="0"/>
        <w:spacing w:line="360" w:lineRule="auto"/>
        <w:ind w:firstLine="484" w:firstLineChars="201"/>
        <w:contextualSpacing/>
        <w:jc w:val="left"/>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1.4、磋商费用</w:t>
      </w:r>
    </w:p>
    <w:p w14:paraId="565ADD08">
      <w:pPr>
        <w:pStyle w:val="11"/>
        <w:keepNext w:val="0"/>
        <w:keepLines w:val="0"/>
        <w:pageBreakBefore w:val="0"/>
        <w:widowControl w:val="0"/>
        <w:kinsoku/>
        <w:wordWrap/>
        <w:overflowPunct/>
        <w:topLinePunct w:val="0"/>
        <w:autoSpaceDE/>
        <w:autoSpaceDN/>
        <w:bidi w:val="0"/>
        <w:adjustRightInd w:val="0"/>
        <w:snapToGrid w:val="0"/>
        <w:spacing w:line="360" w:lineRule="auto"/>
        <w:ind w:firstLine="484" w:firstLineChars="202"/>
        <w:jc w:val="left"/>
        <w:textAlignment w:val="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4"/>
          <w:szCs w:val="24"/>
          <w:highlight w:val="none"/>
        </w:rPr>
        <w:t>1.4.1供应商应承担所有与准备和参加竞争性磋商有关的费用。不论磋商的结果如何，采购单位均无义务和责任承担这些费用。</w:t>
      </w:r>
    </w:p>
    <w:p w14:paraId="7B8F5605">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14" w:name="_Toc446599311"/>
      <w:bookmarkStart w:id="15" w:name="_Toc3092"/>
      <w:bookmarkStart w:id="16" w:name="_Toc4383"/>
      <w:bookmarkStart w:id="17" w:name="_Toc293736011"/>
      <w:bookmarkStart w:id="18" w:name="_Toc293736054"/>
      <w:bookmarkStart w:id="19" w:name="_Toc293738992"/>
      <w:r>
        <w:rPr>
          <w:rFonts w:hint="eastAsia" w:asciiTheme="minorEastAsia" w:hAnsiTheme="minorEastAsia" w:eastAsiaTheme="minorEastAsia" w:cstheme="minorEastAsia"/>
          <w:color w:val="auto"/>
          <w:spacing w:val="0"/>
          <w:position w:val="0"/>
          <w:highlight w:val="none"/>
        </w:rPr>
        <w:t>二、磋商文件</w:t>
      </w:r>
      <w:bookmarkEnd w:id="14"/>
      <w:bookmarkEnd w:id="15"/>
      <w:bookmarkEnd w:id="16"/>
      <w:bookmarkEnd w:id="17"/>
      <w:bookmarkEnd w:id="18"/>
      <w:bookmarkEnd w:id="19"/>
    </w:p>
    <w:p w14:paraId="5321CB31">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2.1.磋商文件的构成</w:t>
      </w:r>
    </w:p>
    <w:p w14:paraId="0F0C690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2.1.1磋商文件由下列文件以及在采购过程中发出的修正和补充文件组成：</w:t>
      </w:r>
    </w:p>
    <w:p w14:paraId="3011D66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(1)磋商邀请函；</w:t>
      </w:r>
    </w:p>
    <w:p w14:paraId="662A076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(2)供应商须知；</w:t>
      </w:r>
    </w:p>
    <w:p w14:paraId="2B40A07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(3)采购项目技术规格、参数及相关服务要求；</w:t>
      </w:r>
    </w:p>
    <w:p w14:paraId="1E155E3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(4)评审方法、步骤、标准；</w:t>
      </w:r>
    </w:p>
    <w:p w14:paraId="278A2C67">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(5)合同格式及合同条款；</w:t>
      </w:r>
    </w:p>
    <w:p w14:paraId="536ECBB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(6)响应文件格式；</w:t>
      </w:r>
    </w:p>
    <w:p w14:paraId="750D133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(7)在磋商过程中由采购单位发出的澄清和补充文件等。</w:t>
      </w:r>
    </w:p>
    <w:p w14:paraId="7445CF4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1BAD2F7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2.2.1供应商应仔细阅读和检查磋商文件的全部内容。供应商若对磋商文件有任何疑问，均应在响应文件递交截止时间5日前</w:t>
      </w:r>
      <w:r>
        <w:rPr>
          <w:rFonts w:hint="eastAsia" w:asciiTheme="minorEastAsia" w:hAnsiTheme="minorEastAsia" w:eastAsiaTheme="minorEastAsia" w:cstheme="minorEastAsia"/>
          <w:color w:val="auto"/>
          <w:spacing w:val="0"/>
          <w:position w:val="0"/>
          <w:sz w:val="24"/>
          <w:szCs w:val="24"/>
          <w:highlight w:val="none"/>
          <w:lang w:eastAsia="zh-CN"/>
        </w:rPr>
        <w:t>向采购人提出</w:t>
      </w:r>
      <w:r>
        <w:rPr>
          <w:rFonts w:hint="eastAsia" w:asciiTheme="minorEastAsia" w:hAnsiTheme="minorEastAsia" w:eastAsiaTheme="minorEastAsia" w:cstheme="minorEastAsia"/>
          <w:color w:val="auto"/>
          <w:spacing w:val="0"/>
          <w:position w:val="0"/>
          <w:sz w:val="24"/>
          <w:szCs w:val="24"/>
          <w:highlight w:val="none"/>
        </w:rPr>
        <w:t>。采购单位对供应商所要求澄清的内容均予以答复（答复中不包括问题的来源）。必要时，采购单位将组织相关专家召开答疑会，并在</w:t>
      </w:r>
      <w:r>
        <w:rPr>
          <w:rFonts w:hint="eastAsia" w:asciiTheme="minorEastAsia" w:hAnsiTheme="minorEastAsia" w:eastAsiaTheme="minorEastAsia" w:cstheme="minorEastAsia"/>
          <w:color w:val="auto"/>
          <w:spacing w:val="0"/>
          <w:position w:val="0"/>
          <w:sz w:val="24"/>
          <w:szCs w:val="24"/>
          <w:highlight w:val="none"/>
          <w:lang w:eastAsia="zh-CN"/>
        </w:rPr>
        <w:t>新疆政采云平台上</w:t>
      </w:r>
      <w:r>
        <w:rPr>
          <w:rFonts w:hint="eastAsia" w:asciiTheme="minorEastAsia" w:hAnsiTheme="minorEastAsia" w:eastAsiaTheme="minorEastAsia" w:cstheme="minorEastAsia"/>
          <w:color w:val="auto"/>
          <w:spacing w:val="0"/>
          <w:position w:val="0"/>
          <w:sz w:val="24"/>
          <w:szCs w:val="24"/>
          <w:highlight w:val="none"/>
        </w:rPr>
        <w:t>向所有供应商公布，供应商可在</w:t>
      </w:r>
      <w:r>
        <w:rPr>
          <w:rFonts w:hint="eastAsia" w:asciiTheme="minorEastAsia" w:hAnsiTheme="minorEastAsia" w:eastAsiaTheme="minorEastAsia" w:cstheme="minorEastAsia"/>
          <w:color w:val="auto"/>
          <w:spacing w:val="0"/>
          <w:position w:val="0"/>
          <w:sz w:val="24"/>
          <w:szCs w:val="24"/>
          <w:highlight w:val="none"/>
          <w:lang w:eastAsia="zh-CN"/>
        </w:rPr>
        <w:t>平台相对应的</w:t>
      </w:r>
      <w:r>
        <w:rPr>
          <w:rFonts w:hint="eastAsia" w:asciiTheme="minorEastAsia" w:hAnsiTheme="minorEastAsia" w:eastAsiaTheme="minorEastAsia" w:cstheme="minorEastAsia"/>
          <w:color w:val="auto"/>
          <w:spacing w:val="0"/>
          <w:position w:val="0"/>
          <w:sz w:val="24"/>
          <w:szCs w:val="24"/>
          <w:highlight w:val="none"/>
        </w:rPr>
        <w:t>栏目下载澄清文件。澄清文件作为磋商文件的组成部分，对供应商具有同等约束作用。</w:t>
      </w:r>
    </w:p>
    <w:p w14:paraId="61AA3887">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2.2.2供应商在本项目响应文件递交截止时间5日前未对磋商文件提出异议的，采购单位将视其为同意。在规定的时间后就磋商文件内容提出的质疑将不予受理。</w:t>
      </w:r>
    </w:p>
    <w:p w14:paraId="6A751479">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2.3. 磋商文件的修改</w:t>
      </w:r>
    </w:p>
    <w:p w14:paraId="006347A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2.3.1采购单位可以对已发出的磋商文件进行必要的澄清或者修改。澄清或者修改的内容可能影响响应文件编制的，采购单位将在响应文件递交截止时间五日前在新疆</w:t>
      </w:r>
      <w:r>
        <w:rPr>
          <w:rFonts w:hint="eastAsia" w:asciiTheme="minorEastAsia" w:hAnsiTheme="minorEastAsia" w:eastAsiaTheme="minorEastAsia" w:cstheme="minorEastAsia"/>
          <w:color w:val="auto"/>
          <w:spacing w:val="0"/>
          <w:position w:val="0"/>
          <w:sz w:val="24"/>
          <w:szCs w:val="24"/>
          <w:highlight w:val="none"/>
          <w:lang w:eastAsia="zh-CN"/>
        </w:rPr>
        <w:t>政采云平台</w:t>
      </w:r>
      <w:r>
        <w:rPr>
          <w:rFonts w:hint="eastAsia" w:asciiTheme="minorEastAsia" w:hAnsiTheme="minorEastAsia" w:eastAsiaTheme="minorEastAsia" w:cstheme="minorEastAsia"/>
          <w:color w:val="auto"/>
          <w:spacing w:val="0"/>
          <w:position w:val="0"/>
          <w:sz w:val="24"/>
          <w:szCs w:val="24"/>
          <w:highlight w:val="none"/>
        </w:rPr>
        <w:t xml:space="preserve">发布更正公告。 </w:t>
      </w:r>
    </w:p>
    <w:p w14:paraId="2BBD7ED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2.3.2澄清或者修改的内容是磋商文件的组成部分，将在新疆</w:t>
      </w:r>
      <w:r>
        <w:rPr>
          <w:rFonts w:hint="eastAsia" w:asciiTheme="minorEastAsia" w:hAnsiTheme="minorEastAsia" w:eastAsiaTheme="minorEastAsia" w:cstheme="minorEastAsia"/>
          <w:color w:val="auto"/>
          <w:spacing w:val="0"/>
          <w:position w:val="0"/>
          <w:sz w:val="24"/>
          <w:szCs w:val="24"/>
          <w:highlight w:val="none"/>
          <w:lang w:eastAsia="zh-CN"/>
        </w:rPr>
        <w:t>政采云平台</w:t>
      </w:r>
      <w:r>
        <w:rPr>
          <w:rFonts w:hint="eastAsia" w:asciiTheme="minorEastAsia" w:hAnsiTheme="minorEastAsia" w:eastAsiaTheme="minorEastAsia" w:cstheme="minorEastAsia"/>
          <w:color w:val="auto"/>
          <w:spacing w:val="0"/>
          <w:position w:val="0"/>
          <w:sz w:val="24"/>
          <w:szCs w:val="24"/>
          <w:highlight w:val="none"/>
        </w:rPr>
        <w:t>上会员专区向所有供应商公布，并对供应商具有约束力。</w:t>
      </w:r>
    </w:p>
    <w:p w14:paraId="3C0EB59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2.3.3为使供应商有充足的时间对磋商文件的修改部分进行研究，采购单位可适当推迟响应文件截止期，并通过在新疆</w:t>
      </w:r>
      <w:r>
        <w:rPr>
          <w:rFonts w:hint="eastAsia" w:asciiTheme="minorEastAsia" w:hAnsiTheme="minorEastAsia" w:eastAsiaTheme="minorEastAsia" w:cstheme="minorEastAsia"/>
          <w:color w:val="auto"/>
          <w:spacing w:val="0"/>
          <w:position w:val="0"/>
          <w:sz w:val="24"/>
          <w:szCs w:val="24"/>
          <w:highlight w:val="none"/>
          <w:lang w:eastAsia="zh-CN"/>
        </w:rPr>
        <w:t>政采云平台</w:t>
      </w:r>
      <w:r>
        <w:rPr>
          <w:rFonts w:hint="eastAsia" w:asciiTheme="minorEastAsia" w:hAnsiTheme="minorEastAsia" w:eastAsiaTheme="minorEastAsia" w:cstheme="minorEastAsia"/>
          <w:color w:val="auto"/>
          <w:spacing w:val="0"/>
          <w:position w:val="0"/>
          <w:sz w:val="24"/>
          <w:szCs w:val="24"/>
          <w:highlight w:val="none"/>
        </w:rPr>
        <w:t>上发布公告方式通知所有下载磋商文件的供应商。</w:t>
      </w:r>
    </w:p>
    <w:p w14:paraId="5A4CD59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4"/>
          <w:szCs w:val="24"/>
          <w:highlight w:val="none"/>
        </w:rPr>
        <w:t>2.3.4供应商应注意及时浏览网上发布的澄清或修改通知并下载，因供应商原因未及时获知澄清、修改或补充内容而导致的任何后果将由供应商自行承担。</w:t>
      </w:r>
    </w:p>
    <w:p w14:paraId="47FB444E">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20" w:name="_Toc17375"/>
      <w:bookmarkStart w:id="21" w:name="_Toc293736012"/>
      <w:bookmarkStart w:id="22" w:name="_Toc446599312"/>
      <w:bookmarkStart w:id="23" w:name="_Toc293738993"/>
      <w:bookmarkStart w:id="24" w:name="_Toc293736055"/>
      <w:bookmarkStart w:id="25" w:name="_Toc13231"/>
      <w:r>
        <w:rPr>
          <w:rFonts w:hint="eastAsia" w:asciiTheme="minorEastAsia" w:hAnsiTheme="minorEastAsia" w:eastAsiaTheme="minorEastAsia" w:cstheme="minorEastAsia"/>
          <w:color w:val="auto"/>
          <w:spacing w:val="0"/>
          <w:position w:val="0"/>
          <w:highlight w:val="none"/>
        </w:rPr>
        <w:t>三、响应文件的编制和数量</w:t>
      </w:r>
      <w:bookmarkEnd w:id="20"/>
      <w:bookmarkEnd w:id="21"/>
      <w:bookmarkEnd w:id="22"/>
      <w:bookmarkEnd w:id="23"/>
      <w:bookmarkEnd w:id="24"/>
      <w:bookmarkEnd w:id="25"/>
    </w:p>
    <w:p w14:paraId="24F8E767">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3.1．响应文件的语言</w:t>
      </w:r>
    </w:p>
    <w:p w14:paraId="472785A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0BD54D98">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3.2响应文件的构成</w:t>
      </w:r>
    </w:p>
    <w:p w14:paraId="5BD15E2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3.2.1供应商编制的响应文件应包括但不少于下列内容：</w:t>
      </w:r>
    </w:p>
    <w:p w14:paraId="1003F325">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（1)商务文件内容（详见第六章商务文件组成）</w:t>
      </w:r>
    </w:p>
    <w:p w14:paraId="3895180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（2)技术文件内容（详见第六章技术文件组成）</w:t>
      </w:r>
    </w:p>
    <w:p w14:paraId="69AB639B">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3.3响应文件编制</w:t>
      </w:r>
    </w:p>
    <w:p w14:paraId="71BAD7C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3.3.1</w:t>
      </w:r>
      <w:r>
        <w:rPr>
          <w:rFonts w:hint="eastAsia" w:asciiTheme="minorEastAsia" w:hAnsiTheme="minorEastAsia" w:eastAsiaTheme="minorEastAsia" w:cstheme="minorEastAsia"/>
          <w:color w:val="auto"/>
          <w:spacing w:val="0"/>
          <w:position w:val="0"/>
          <w:sz w:val="24"/>
          <w:szCs w:val="24"/>
          <w:highlight w:val="none"/>
        </w:rPr>
        <w:t>电子</w:t>
      </w:r>
      <w:r>
        <w:rPr>
          <w:rFonts w:hint="eastAsia" w:asciiTheme="minorEastAsia" w:hAnsiTheme="minorEastAsia" w:eastAsiaTheme="minorEastAsia" w:cstheme="minorEastAsia"/>
          <w:color w:val="auto"/>
          <w:spacing w:val="0"/>
          <w:kern w:val="0"/>
          <w:position w:val="0"/>
          <w:sz w:val="24"/>
          <w:szCs w:val="24"/>
          <w:highlight w:val="none"/>
        </w:rPr>
        <w:t>响应文件制作时，应按照统一的“</w:t>
      </w:r>
      <w:r>
        <w:rPr>
          <w:rFonts w:hint="eastAsia" w:asciiTheme="minorEastAsia" w:hAnsiTheme="minorEastAsia" w:eastAsiaTheme="minorEastAsia" w:cstheme="minorEastAsia"/>
          <w:color w:val="auto"/>
          <w:spacing w:val="0"/>
          <w:kern w:val="0"/>
          <w:position w:val="0"/>
          <w:sz w:val="24"/>
          <w:szCs w:val="24"/>
          <w:highlight w:val="none"/>
          <w:lang w:eastAsia="zh-CN"/>
        </w:rPr>
        <w:t>响应文件</w:t>
      </w:r>
      <w:r>
        <w:rPr>
          <w:rFonts w:hint="eastAsia" w:asciiTheme="minorEastAsia" w:hAnsiTheme="minorEastAsia" w:eastAsiaTheme="minorEastAsia" w:cstheme="minorEastAsia"/>
          <w:color w:val="auto"/>
          <w:spacing w:val="0"/>
          <w:kern w:val="0"/>
          <w:position w:val="0"/>
          <w:sz w:val="24"/>
          <w:szCs w:val="24"/>
          <w:highlight w:val="none"/>
        </w:rPr>
        <w:t>制作工具”和磋商文件中明确的响应文件目录和投标</w:t>
      </w:r>
      <w:r>
        <w:rPr>
          <w:rFonts w:hint="eastAsia" w:asciiTheme="minorEastAsia" w:hAnsiTheme="minorEastAsia" w:eastAsiaTheme="minorEastAsia" w:cstheme="minorEastAsia"/>
          <w:color w:val="auto"/>
          <w:spacing w:val="0"/>
          <w:position w:val="0"/>
          <w:sz w:val="24"/>
          <w:szCs w:val="24"/>
          <w:highlight w:val="none"/>
        </w:rPr>
        <w:t>技术规格、参数及相关要求</w:t>
      </w:r>
      <w:r>
        <w:rPr>
          <w:rFonts w:hint="eastAsia" w:asciiTheme="minorEastAsia" w:hAnsiTheme="minorEastAsia" w:eastAsiaTheme="minorEastAsia" w:cstheme="minorEastAsia"/>
          <w:color w:val="auto"/>
          <w:spacing w:val="0"/>
          <w:kern w:val="0"/>
          <w:position w:val="0"/>
          <w:sz w:val="24"/>
          <w:szCs w:val="24"/>
          <w:highlight w:val="none"/>
        </w:rPr>
        <w:t>格式进行编制，保证目录清晰、内容完整。</w:t>
      </w:r>
    </w:p>
    <w:p w14:paraId="4248EE1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3.3.2供应商应按照供应商须知前附表要求编制响应文件。</w:t>
      </w:r>
    </w:p>
    <w:p w14:paraId="63C2E6E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3</w:t>
      </w:r>
      <w:r>
        <w:rPr>
          <w:rFonts w:hint="eastAsia" w:asciiTheme="minorEastAsia" w:hAnsiTheme="minorEastAsia" w:eastAsiaTheme="minorEastAsia" w:cstheme="minorEastAsia"/>
          <w:color w:val="auto"/>
          <w:spacing w:val="0"/>
          <w:kern w:val="0"/>
          <w:position w:val="0"/>
          <w:sz w:val="24"/>
          <w:szCs w:val="24"/>
          <w:highlight w:val="none"/>
        </w:rPr>
        <w:t xml:space="preserve">供应商因自身原因导致电子响应文件无法导入电子评标系统的，该响应文件视为无效文件。 </w:t>
      </w:r>
    </w:p>
    <w:p w14:paraId="51E98E5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4</w:t>
      </w:r>
      <w:r>
        <w:rPr>
          <w:rFonts w:hint="eastAsia" w:asciiTheme="minorEastAsia" w:hAnsiTheme="minorEastAsia" w:eastAsiaTheme="minorEastAsia" w:cstheme="minorEastAsia"/>
          <w:color w:val="auto"/>
          <w:spacing w:val="0"/>
          <w:kern w:val="0"/>
          <w:position w:val="0"/>
          <w:sz w:val="24"/>
          <w:szCs w:val="24"/>
          <w:highlight w:val="none"/>
        </w:rPr>
        <w:t xml:space="preserve">电子响应文件具有法律效力,与其他形式的响应文件在内容和格式上等同，若响应文件与磋商文件要求不一致，其内容影响成交结果时，责任由供应商自行承担。 </w:t>
      </w:r>
    </w:p>
    <w:p w14:paraId="5B165B57">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5</w:t>
      </w:r>
      <w:r>
        <w:rPr>
          <w:rFonts w:hint="eastAsia" w:asciiTheme="minorEastAsia" w:hAnsiTheme="minorEastAsia" w:eastAsiaTheme="minorEastAsia" w:cstheme="minorEastAsia"/>
          <w:color w:val="auto"/>
          <w:spacing w:val="0"/>
          <w:kern w:val="0"/>
          <w:position w:val="0"/>
          <w:sz w:val="24"/>
          <w:szCs w:val="24"/>
          <w:highlight w:val="none"/>
        </w:rPr>
        <w:t>为了保证</w:t>
      </w:r>
      <w:r>
        <w:rPr>
          <w:rFonts w:hint="eastAsia" w:asciiTheme="minorEastAsia" w:hAnsiTheme="minorEastAsia" w:eastAsiaTheme="minorEastAsia" w:cstheme="minorEastAsia"/>
          <w:color w:val="auto"/>
          <w:spacing w:val="0"/>
          <w:position w:val="0"/>
          <w:sz w:val="24"/>
          <w:szCs w:val="24"/>
          <w:highlight w:val="none"/>
        </w:rPr>
        <w:t>电子</w:t>
      </w:r>
      <w:r>
        <w:rPr>
          <w:rFonts w:hint="eastAsia" w:asciiTheme="minorEastAsia" w:hAnsiTheme="minorEastAsia" w:eastAsiaTheme="minorEastAsia" w:cstheme="minorEastAsia"/>
          <w:color w:val="auto"/>
          <w:spacing w:val="0"/>
          <w:kern w:val="0"/>
          <w:position w:val="0"/>
          <w:sz w:val="24"/>
          <w:szCs w:val="24"/>
          <w:highlight w:val="none"/>
        </w:rPr>
        <w:t>标书的合法性、安全性和完整性，电子响应文件转换完成后，应在规定区域加盖单位和法定代表人CA印章。电子响应文件若无 CA电子签章，则视为无效文件。</w:t>
      </w:r>
    </w:p>
    <w:p w14:paraId="1BB78F2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6</w:t>
      </w:r>
      <w:r>
        <w:rPr>
          <w:rFonts w:hint="eastAsia" w:asciiTheme="minorEastAsia" w:hAnsiTheme="minorEastAsia" w:eastAsiaTheme="minorEastAsia" w:cstheme="minorEastAsia"/>
          <w:color w:val="auto"/>
          <w:spacing w:val="0"/>
          <w:kern w:val="0"/>
          <w:position w:val="0"/>
          <w:sz w:val="24"/>
          <w:szCs w:val="24"/>
          <w:highlight w:val="none"/>
        </w:rPr>
        <w:t>供应商应完整地</w:t>
      </w:r>
      <w:r>
        <w:rPr>
          <w:rFonts w:hint="eastAsia" w:asciiTheme="minorEastAsia" w:hAnsiTheme="minorEastAsia" w:eastAsiaTheme="minorEastAsia" w:cstheme="minorEastAsia"/>
          <w:color w:val="auto"/>
          <w:spacing w:val="0"/>
          <w:position w:val="0"/>
          <w:sz w:val="24"/>
          <w:szCs w:val="24"/>
          <w:highlight w:val="none"/>
        </w:rPr>
        <w:t>填写</w:t>
      </w:r>
      <w:r>
        <w:rPr>
          <w:rFonts w:hint="eastAsia" w:asciiTheme="minorEastAsia" w:hAnsiTheme="minorEastAsia" w:eastAsiaTheme="minorEastAsia" w:cstheme="minorEastAsia"/>
          <w:color w:val="auto"/>
          <w:spacing w:val="0"/>
          <w:kern w:val="0"/>
          <w:position w:val="0"/>
          <w:sz w:val="24"/>
          <w:szCs w:val="24"/>
          <w:highlight w:val="none"/>
        </w:rPr>
        <w:t xml:space="preserve">磋商文件中提供的《竞争性磋商函》、《竞争性磋商报价一览表》、《竞争性磋商报价明细表》等磋商文件中规定的所有内容。 </w:t>
      </w:r>
    </w:p>
    <w:p w14:paraId="477EB38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3.3.</w:t>
      </w:r>
      <w:r>
        <w:rPr>
          <w:rFonts w:hint="eastAsia" w:asciiTheme="minorEastAsia" w:hAnsiTheme="minorEastAsia" w:eastAsiaTheme="minorEastAsia" w:cstheme="minorEastAsia"/>
          <w:color w:val="auto"/>
          <w:spacing w:val="0"/>
          <w:kern w:val="0"/>
          <w:position w:val="0"/>
          <w:sz w:val="24"/>
          <w:szCs w:val="24"/>
          <w:highlight w:val="none"/>
          <w:lang w:val="en-US" w:eastAsia="zh-CN"/>
        </w:rPr>
        <w:t>7</w:t>
      </w:r>
      <w:r>
        <w:rPr>
          <w:rFonts w:hint="eastAsia" w:asciiTheme="minorEastAsia" w:hAnsiTheme="minorEastAsia" w:eastAsiaTheme="minorEastAsia" w:cstheme="minorEastAsia"/>
          <w:color w:val="auto"/>
          <w:spacing w:val="0"/>
          <w:kern w:val="0"/>
          <w:position w:val="0"/>
          <w:sz w:val="24"/>
          <w:szCs w:val="24"/>
          <w:highlight w:val="none"/>
        </w:rPr>
        <w:t xml:space="preserve">供应商必须保证响应文件所提供的全部资料真实可靠，并接受采购单位对其中任何资料进一步核实的要求。 </w:t>
      </w:r>
    </w:p>
    <w:p w14:paraId="7657E1D0">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3.4. 磋商报价要求</w:t>
      </w:r>
    </w:p>
    <w:p w14:paraId="1DDBED4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3.4.1供应商所提供的货物和服务均以人民币报价。</w:t>
      </w:r>
    </w:p>
    <w:p w14:paraId="5CF847E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3.4.2商应按照“第三章 采购需求”规定的货物、服务内容、责任范围以及合同条款进行报价。并按《竞争性磋商报价一览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14:paraId="23D5CB0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3.4.3《竞争性磋商报价明细表》填写时应响应下列要求：</w:t>
      </w:r>
    </w:p>
    <w:p w14:paraId="61AD849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（1）对于报价免费的项目应标明“免费”；</w:t>
      </w:r>
    </w:p>
    <w:p w14:paraId="5578597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（2）所有根据合同或其它原因应由供应商支付的税款和其它应交纳的费用都要包括在供应商提交的磋商总价中；</w:t>
      </w:r>
    </w:p>
    <w:p w14:paraId="5F1D6B25">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（3）应包含货物运至最终目的地的运输、保险和伴随货物服务的有关费用。</w:t>
      </w:r>
    </w:p>
    <w:p w14:paraId="5CFFC83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3.4.5每一种规格的货物、服务只允许有一个报价，否则将被视为无效投标。</w:t>
      </w:r>
    </w:p>
    <w:p w14:paraId="3F3048A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3.4.6供应商所报的总价在合同执行过程中是固定不变的，不得以任何理由予以变更。</w:t>
      </w:r>
    </w:p>
    <w:p w14:paraId="392C7039">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3.4.7供应商的最后磋商报价超过项目采购预算的为无效报价。</w:t>
      </w:r>
    </w:p>
    <w:p w14:paraId="4B24557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3.5备选方案</w:t>
      </w:r>
    </w:p>
    <w:p w14:paraId="7967D07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3.5.1供应商应按照供应商须知前附表要求编制磋商备选方案，否则将被视为无效响应文件。</w:t>
      </w:r>
    </w:p>
    <w:p w14:paraId="0532C72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3.6联合体投标</w:t>
      </w:r>
    </w:p>
    <w:p w14:paraId="44C1942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3.6.1两个以上供应商可以组成一个联合体，以一个供应商的身份共同参与磋商。</w:t>
      </w:r>
    </w:p>
    <w:p w14:paraId="4E095B4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3.6.2采取联合体形式磋商的，联合体各方均应当符合政府采购法第二十二条规定的条件。采购人根据采购项目的特殊要求规定供应商特定条件的，联合体各方中至少有一方符合磋商文件规定的特定条件。</w:t>
      </w:r>
    </w:p>
    <w:p w14:paraId="13A2E8D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3.6.3联合体各方之间必须签订联合磋商协议，明确约定联合体主体及各方承担的工作和相应的责任，其响应文件中必须提供联合磋商协议。</w:t>
      </w:r>
    </w:p>
    <w:p w14:paraId="6AC1D5B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3.6.4以联合体形式参加政府采购活动的，联合体各方不得再单独参加或者与其他供应商另外组成联合体参加同一合同项下的政府采购活动。</w:t>
      </w:r>
    </w:p>
    <w:p w14:paraId="2DE35D3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3.6.5采取联合体形式投标的，其响应文件必须由联合体所有成员或其各自正式书面授权的代表签署（盖章），以便对所有成员作为整体及作为个体均具有法律约束力。</w:t>
      </w:r>
    </w:p>
    <w:p w14:paraId="4EC8AA2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3.6.6联合体成交的，联合体各方应当共同与采购人签订采购合同。</w:t>
      </w:r>
    </w:p>
    <w:p w14:paraId="4A713CC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3.6.7联合体中有同类资质的供应商按照联合体分工承担相同工作的，应当按照资质等级较低的供应商确定资质等级。</w:t>
      </w:r>
    </w:p>
    <w:p w14:paraId="164C280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 供应商资格证明文件</w:t>
      </w:r>
    </w:p>
    <w:p w14:paraId="3CC2875A">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3.7.1供应商应提交证明其有资格参加磋商和成交后有能力履行合同的文件，并作为其响应文件的一部分。</w:t>
      </w:r>
    </w:p>
    <w:p w14:paraId="4CC525B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3.7.2资格证明文件必须真实可靠、不得伪造。</w:t>
      </w:r>
    </w:p>
    <w:p w14:paraId="0096531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3.7.3供应商相关资格证明文件：</w:t>
      </w:r>
    </w:p>
    <w:p w14:paraId="59F91BA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（1）法人或者其他组织的营业执照等证明文件，自然人的身份证明；</w:t>
      </w:r>
    </w:p>
    <w:p w14:paraId="3C040B0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（2）财务状况报告，依法缴纳税收和社会保障资金的相关材料；</w:t>
      </w:r>
    </w:p>
    <w:p w14:paraId="70E40C2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（3）具备履行合同所必需的设备和专业技术能力的证明材料；</w:t>
      </w:r>
    </w:p>
    <w:p w14:paraId="72D1ED8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（4）参加政府采购活动前3年内在经营活动中没有重大违法记录的书面声明；</w:t>
      </w:r>
    </w:p>
    <w:p w14:paraId="51B25D8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（5）具备法律、行政法规规定的其他条件的证明材料；</w:t>
      </w:r>
    </w:p>
    <w:p w14:paraId="02C523E0">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（6）采购项目有特殊要求的，供应商还应当提供其符合特殊要求的证明材料或者情况说明；</w:t>
      </w:r>
    </w:p>
    <w:p w14:paraId="4431C30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（7）信用信息查询记录；</w:t>
      </w:r>
    </w:p>
    <w:p w14:paraId="0DB4EEB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（8）磋商文件要求或供应商认为需提供的其它相关资格证明材料。</w:t>
      </w:r>
    </w:p>
    <w:p w14:paraId="670F35D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3.7.4 证明投标货物、服务的合格性和符合磋商文件规定的文件。</w:t>
      </w:r>
    </w:p>
    <w:p w14:paraId="0BCD299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采取资格预审方式项目的</w:t>
      </w:r>
      <w:r>
        <w:rPr>
          <w:rFonts w:hint="eastAsia" w:asciiTheme="minorEastAsia" w:hAnsiTheme="minorEastAsia" w:eastAsiaTheme="minorEastAsia" w:cstheme="minorEastAsia"/>
          <w:color w:val="auto"/>
          <w:spacing w:val="0"/>
          <w:kern w:val="0"/>
          <w:position w:val="0"/>
          <w:sz w:val="24"/>
          <w:szCs w:val="24"/>
          <w:highlight w:val="none"/>
          <w:lang w:eastAsia="zh-CN"/>
        </w:rPr>
        <w:t>供应商</w:t>
      </w:r>
      <w:r>
        <w:rPr>
          <w:rFonts w:hint="eastAsia" w:asciiTheme="minorEastAsia" w:hAnsiTheme="minorEastAsia" w:eastAsiaTheme="minorEastAsia" w:cstheme="minorEastAsia"/>
          <w:color w:val="auto"/>
          <w:spacing w:val="0"/>
          <w:kern w:val="0"/>
          <w:position w:val="0"/>
          <w:sz w:val="24"/>
          <w:szCs w:val="24"/>
          <w:highlight w:val="none"/>
        </w:rPr>
        <w:t>在递交</w:t>
      </w:r>
      <w:r>
        <w:rPr>
          <w:rFonts w:hint="eastAsia" w:asciiTheme="minorEastAsia" w:hAnsiTheme="minorEastAsia" w:eastAsiaTheme="minorEastAsia" w:cstheme="minorEastAsia"/>
          <w:color w:val="auto"/>
          <w:spacing w:val="0"/>
          <w:kern w:val="0"/>
          <w:position w:val="0"/>
          <w:sz w:val="24"/>
          <w:szCs w:val="24"/>
          <w:highlight w:val="none"/>
          <w:lang w:eastAsia="zh-CN"/>
        </w:rPr>
        <w:t>响应文件</w:t>
      </w:r>
      <w:r>
        <w:rPr>
          <w:rFonts w:hint="eastAsia" w:asciiTheme="minorEastAsia" w:hAnsiTheme="minorEastAsia" w:eastAsiaTheme="minorEastAsia" w:cstheme="minorEastAsia"/>
          <w:color w:val="auto"/>
          <w:spacing w:val="0"/>
          <w:kern w:val="0"/>
          <w:position w:val="0"/>
          <w:sz w:val="24"/>
          <w:szCs w:val="24"/>
          <w:highlight w:val="none"/>
        </w:rPr>
        <w:t>时，其资格条件与资格预审时发生变化的，提交变化后的资料。</w:t>
      </w:r>
    </w:p>
    <w:p w14:paraId="1B2A7830">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3.8. 磋商保证金</w:t>
      </w:r>
    </w:p>
    <w:p w14:paraId="06998855">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3.8.1</w:t>
      </w:r>
      <w:r>
        <w:rPr>
          <w:rFonts w:hint="eastAsia" w:asciiTheme="minorEastAsia" w:hAnsiTheme="minorEastAsia" w:eastAsiaTheme="minorEastAsia" w:cstheme="minorEastAsia"/>
          <w:color w:val="auto"/>
          <w:spacing w:val="0"/>
          <w:kern w:val="0"/>
          <w:position w:val="0"/>
          <w:sz w:val="24"/>
          <w:szCs w:val="24"/>
          <w:highlight w:val="none"/>
        </w:rPr>
        <w:t>供应商</w:t>
      </w:r>
      <w:r>
        <w:rPr>
          <w:rFonts w:hint="eastAsia" w:asciiTheme="minorEastAsia" w:hAnsiTheme="minorEastAsia" w:eastAsiaTheme="minorEastAsia" w:cstheme="minorEastAsia"/>
          <w:color w:val="auto"/>
          <w:spacing w:val="0"/>
          <w:position w:val="0"/>
          <w:sz w:val="24"/>
          <w:szCs w:val="24"/>
          <w:highlight w:val="none"/>
        </w:rPr>
        <w:t>应在响应文件截止时间之前，将所规定数额的保证金以转账或电汇方式缴纳至该项目所</w:t>
      </w:r>
      <w:r>
        <w:rPr>
          <w:rFonts w:hint="eastAsia" w:asciiTheme="minorEastAsia" w:hAnsiTheme="minorEastAsia" w:eastAsiaTheme="minorEastAsia" w:cstheme="minorEastAsia"/>
          <w:color w:val="auto"/>
          <w:spacing w:val="0"/>
          <w:kern w:val="0"/>
          <w:position w:val="0"/>
          <w:sz w:val="24"/>
          <w:szCs w:val="24"/>
          <w:highlight w:val="none"/>
        </w:rPr>
        <w:t>对应的保证金收取账号内（不接受现金缴纳）。保证金缴纳时间以该项目所对应的保证金收取账号中显示的到账时间为准。</w:t>
      </w:r>
    </w:p>
    <w:p w14:paraId="10ECC47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3.8.2对于未能按要求提交保证金的将视为未响应磋商文件的要求，其响应文件无效。</w:t>
      </w:r>
    </w:p>
    <w:p w14:paraId="5DE80A5A">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14:paraId="2BB09D2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3.8.4成交供应商的磋商保证金,在供应商与采购人签订合同，并将合同原件报采购代理机构后5个工作日内，按照保证金的来款渠道原路退还至供应商缴纳保证金的企业银行账户内。</w:t>
      </w:r>
    </w:p>
    <w:p w14:paraId="0C6BBC3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3.8.5有下列情形之一的，保证金将被没收：</w:t>
      </w:r>
    </w:p>
    <w:p w14:paraId="4A597B6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（1）供应商在响应文件中提供虚假资料的；</w:t>
      </w:r>
    </w:p>
    <w:p w14:paraId="19D5D28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（2）除因不可抗力或磋商文件认可的情形以外，成交供应商不与采购人签订合同的；</w:t>
      </w:r>
    </w:p>
    <w:p w14:paraId="7DBBF99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（3）供应商与采购人、其他供应商或者采购代理机构恶意串通的；</w:t>
      </w:r>
    </w:p>
    <w:p w14:paraId="2EF76FC1">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（4）磋商文件规定的其他情形。</w:t>
      </w:r>
    </w:p>
    <w:p w14:paraId="133B4778">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3.9. 磋商的有效期</w:t>
      </w:r>
    </w:p>
    <w:p w14:paraId="423BDA5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3.9.1磋商有效期详见供应商须知前附表。供应商响应文件中有效期不足的将被视为无效文件。</w:t>
      </w:r>
    </w:p>
    <w:p w14:paraId="205737DD">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3.9.2 有效期内供应商未经采购结果确认谈判达成一致不得改变其磋商最后报价及承诺的全部义务。</w:t>
      </w:r>
    </w:p>
    <w:p w14:paraId="2590EC4F">
      <w:pPr>
        <w:pStyle w:val="11"/>
        <w:keepNext w:val="0"/>
        <w:keepLines w:val="0"/>
        <w:pageBreakBefore w:val="0"/>
        <w:widowControl w:val="0"/>
        <w:kinsoku/>
        <w:wordWrap/>
        <w:overflowPunct/>
        <w:topLinePunct w:val="0"/>
        <w:autoSpaceDE/>
        <w:autoSpaceDN/>
        <w:bidi w:val="0"/>
        <w:adjustRightInd w:val="0"/>
        <w:snapToGrid w:val="0"/>
        <w:spacing w:line="360" w:lineRule="auto"/>
        <w:ind w:firstLine="646" w:firstLineChars="202"/>
        <w:jc w:val="center"/>
        <w:textAlignment w:val="auto"/>
        <w:outlineLvl w:val="1"/>
        <w:rPr>
          <w:rFonts w:hint="eastAsia" w:asciiTheme="minorEastAsia" w:hAnsiTheme="minorEastAsia" w:eastAsiaTheme="minorEastAsia" w:cstheme="minorEastAsia"/>
          <w:color w:val="auto"/>
          <w:spacing w:val="0"/>
          <w:kern w:val="2"/>
          <w:position w:val="0"/>
          <w:sz w:val="32"/>
          <w:szCs w:val="28"/>
          <w:highlight w:val="none"/>
          <w:lang w:val="en-US" w:eastAsia="zh-CN" w:bidi="ar-SA"/>
        </w:rPr>
      </w:pPr>
      <w:bookmarkStart w:id="26" w:name="_Toc32568"/>
      <w:bookmarkStart w:id="27" w:name="_Toc293736013"/>
      <w:bookmarkStart w:id="28" w:name="_Toc446599313"/>
      <w:bookmarkStart w:id="29" w:name="_Toc293738994"/>
      <w:bookmarkStart w:id="30" w:name="_Toc293736056"/>
      <w:r>
        <w:rPr>
          <w:rFonts w:hint="eastAsia" w:asciiTheme="minorEastAsia" w:hAnsiTheme="minorEastAsia" w:eastAsiaTheme="minorEastAsia" w:cstheme="minorEastAsia"/>
          <w:color w:val="auto"/>
          <w:spacing w:val="0"/>
          <w:kern w:val="2"/>
          <w:position w:val="0"/>
          <w:sz w:val="32"/>
          <w:szCs w:val="28"/>
          <w:highlight w:val="none"/>
          <w:lang w:val="en-US" w:eastAsia="zh-CN" w:bidi="ar-SA"/>
        </w:rPr>
        <w:t>四、响应文件的递交</w:t>
      </w:r>
      <w:bookmarkEnd w:id="26"/>
      <w:bookmarkEnd w:id="27"/>
      <w:bookmarkEnd w:id="28"/>
      <w:bookmarkEnd w:id="29"/>
      <w:bookmarkEnd w:id="30"/>
    </w:p>
    <w:p w14:paraId="6D4CE4D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4.1 响应文件的密封和标记</w:t>
      </w:r>
    </w:p>
    <w:p w14:paraId="08EC0694">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4.1 .1响应文件的密封和标记。电子响应文件的内容通过数字证书进行加密并签章。未按要求加密和数字证书认证的响应文件，电子评标系统将无法接受,采购单位不予受理。</w:t>
      </w:r>
    </w:p>
    <w:p w14:paraId="754EBF05">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4.2响应文件的递交</w:t>
      </w:r>
    </w:p>
    <w:p w14:paraId="4BFEC77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4.2.1供应商应在磋商文件规定的响应文件递交截止时间前将电子响应文件上传到指定网站的指定栏目。未在响应文件递交截止时间前完成上传的电子响应文件视为逾期送达。逾期上传或未按规定方式上传的电子响应文件，采购单位不予受理。</w:t>
      </w:r>
    </w:p>
    <w:p w14:paraId="6935EB90">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4.3迟交的响应文件</w:t>
      </w:r>
    </w:p>
    <w:p w14:paraId="209AE9A3">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4.3</w:t>
      </w:r>
      <w:r>
        <w:rPr>
          <w:rFonts w:hint="eastAsia" w:asciiTheme="minorEastAsia" w:hAnsiTheme="minorEastAsia" w:eastAsiaTheme="minorEastAsia" w:cstheme="minorEastAsia"/>
          <w:color w:val="auto"/>
          <w:spacing w:val="0"/>
          <w:position w:val="0"/>
          <w:sz w:val="24"/>
          <w:szCs w:val="24"/>
          <w:highlight w:val="none"/>
        </w:rPr>
        <w:t>.1采购</w:t>
      </w:r>
      <w:r>
        <w:rPr>
          <w:rFonts w:hint="eastAsia" w:asciiTheme="minorEastAsia" w:hAnsiTheme="minorEastAsia" w:eastAsiaTheme="minorEastAsia" w:cstheme="minorEastAsia"/>
          <w:color w:val="auto"/>
          <w:spacing w:val="0"/>
          <w:kern w:val="0"/>
          <w:position w:val="0"/>
          <w:sz w:val="24"/>
          <w:szCs w:val="24"/>
          <w:highlight w:val="none"/>
        </w:rPr>
        <w:t>单位将拒绝并原封退回在规定的响应文件递交截止期后送达的任何响应文件。由于对网上招标操作不熟悉或自身电脑、网络的原因导致不能在响应文件递交截止时间之前上传响应文件，</w:t>
      </w:r>
      <w:r>
        <w:rPr>
          <w:rFonts w:hint="eastAsia" w:asciiTheme="minorEastAsia" w:hAnsiTheme="minorEastAsia" w:eastAsiaTheme="minorEastAsia" w:cstheme="minorEastAsia"/>
          <w:color w:val="auto"/>
          <w:spacing w:val="0"/>
          <w:kern w:val="0"/>
          <w:position w:val="0"/>
          <w:sz w:val="24"/>
          <w:szCs w:val="24"/>
          <w:highlight w:val="none"/>
          <w:lang w:eastAsia="zh-CN"/>
        </w:rPr>
        <w:t>采购人</w:t>
      </w:r>
      <w:r>
        <w:rPr>
          <w:rFonts w:hint="eastAsia" w:asciiTheme="minorEastAsia" w:hAnsiTheme="minorEastAsia" w:eastAsiaTheme="minorEastAsia" w:cstheme="minorEastAsia"/>
          <w:color w:val="auto"/>
          <w:spacing w:val="0"/>
          <w:kern w:val="0"/>
          <w:position w:val="0"/>
          <w:sz w:val="24"/>
          <w:szCs w:val="24"/>
          <w:highlight w:val="none"/>
        </w:rPr>
        <w:t>不负任何责任。</w:t>
      </w:r>
    </w:p>
    <w:p w14:paraId="1FA21590">
      <w:pPr>
        <w:pStyle w:val="19"/>
        <w:pageBreakBefore w:val="0"/>
        <w:kinsoku/>
        <w:wordWrap/>
        <w:overflowPunct/>
        <w:topLinePunct w:val="0"/>
        <w:autoSpaceDE/>
        <w:autoSpaceDN/>
        <w:bidi w:val="0"/>
        <w:adjustRightInd w:val="0"/>
        <w:snapToGrid w:val="0"/>
        <w:spacing w:line="360" w:lineRule="auto"/>
        <w:ind w:firstLine="484" w:firstLineChars="201"/>
        <w:contextualSpacing/>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4.4响应文件的修改和撤回</w:t>
      </w:r>
    </w:p>
    <w:p w14:paraId="39C5A9B6">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193518DC">
      <w:pPr>
        <w:pStyle w:val="3"/>
        <w:pageBreakBefore w:val="0"/>
        <w:kinsoku/>
        <w:wordWrap/>
        <w:overflowPunct/>
        <w:topLinePunct w:val="0"/>
        <w:autoSpaceDE/>
        <w:autoSpaceDN/>
        <w:bidi w:val="0"/>
        <w:adjustRightInd w:val="0"/>
        <w:snapToGrid w:val="0"/>
        <w:spacing w:before="0" w:after="0" w:line="360" w:lineRule="auto"/>
        <w:rPr>
          <w:rFonts w:hint="eastAsia" w:asciiTheme="minorEastAsia" w:hAnsiTheme="minorEastAsia" w:eastAsiaTheme="minorEastAsia" w:cstheme="minorEastAsia"/>
          <w:color w:val="auto"/>
          <w:spacing w:val="0"/>
          <w:position w:val="0"/>
          <w:highlight w:val="none"/>
        </w:rPr>
      </w:pPr>
      <w:bookmarkStart w:id="31" w:name="_Toc293736014"/>
      <w:bookmarkStart w:id="32" w:name="_Toc293738995"/>
      <w:bookmarkStart w:id="33" w:name="_Toc446599314"/>
      <w:bookmarkStart w:id="34" w:name="_Toc293736057"/>
      <w:bookmarkStart w:id="35" w:name="_Toc30347"/>
      <w:bookmarkStart w:id="36" w:name="_Toc9220"/>
      <w:r>
        <w:rPr>
          <w:rFonts w:hint="eastAsia" w:asciiTheme="minorEastAsia" w:hAnsiTheme="minorEastAsia" w:eastAsiaTheme="minorEastAsia" w:cstheme="minorEastAsia"/>
          <w:color w:val="auto"/>
          <w:spacing w:val="0"/>
          <w:position w:val="0"/>
          <w:highlight w:val="none"/>
        </w:rPr>
        <w:t>五、</w:t>
      </w:r>
      <w:bookmarkEnd w:id="31"/>
      <w:bookmarkEnd w:id="32"/>
      <w:bookmarkEnd w:id="33"/>
      <w:bookmarkEnd w:id="34"/>
      <w:r>
        <w:rPr>
          <w:rFonts w:hint="eastAsia" w:asciiTheme="minorEastAsia" w:hAnsiTheme="minorEastAsia" w:eastAsiaTheme="minorEastAsia" w:cstheme="minorEastAsia"/>
          <w:color w:val="auto"/>
          <w:spacing w:val="0"/>
          <w:position w:val="0"/>
          <w:highlight w:val="none"/>
        </w:rPr>
        <w:t>竞争性磋商程序</w:t>
      </w:r>
      <w:bookmarkEnd w:id="35"/>
      <w:bookmarkEnd w:id="36"/>
    </w:p>
    <w:p w14:paraId="6FEFE5FE">
      <w:pPr>
        <w:pageBreakBefore w:val="0"/>
        <w:widowControl/>
        <w:kinsoku/>
        <w:wordWrap/>
        <w:overflowPunct/>
        <w:topLinePunct w:val="0"/>
        <w:autoSpaceDE/>
        <w:autoSpaceDN/>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5</w:t>
      </w:r>
      <w:r>
        <w:rPr>
          <w:rFonts w:hint="eastAsia" w:asciiTheme="minorEastAsia" w:hAnsiTheme="minorEastAsia" w:eastAsiaTheme="minorEastAsia" w:cstheme="minorEastAsia"/>
          <w:b/>
          <w:color w:val="auto"/>
          <w:spacing w:val="0"/>
          <w:kern w:val="0"/>
          <w:position w:val="0"/>
          <w:sz w:val="24"/>
          <w:szCs w:val="24"/>
          <w:highlight w:val="none"/>
        </w:rPr>
        <w:t>.</w:t>
      </w:r>
      <w:r>
        <w:rPr>
          <w:rFonts w:hint="eastAsia" w:asciiTheme="minorEastAsia" w:hAnsiTheme="minorEastAsia" w:eastAsiaTheme="minorEastAsia" w:cstheme="minorEastAsia"/>
          <w:b/>
          <w:color w:val="auto"/>
          <w:spacing w:val="0"/>
          <w:position w:val="0"/>
          <w:sz w:val="24"/>
          <w:szCs w:val="24"/>
          <w:highlight w:val="none"/>
        </w:rPr>
        <w:t>1磋商小组的组成</w:t>
      </w:r>
    </w:p>
    <w:p w14:paraId="2A2E0F7D">
      <w:pPr>
        <w:pStyle w:val="11"/>
        <w:pageBreakBefore w:val="0"/>
        <w:kinsoku/>
        <w:wordWrap/>
        <w:overflowPunct/>
        <w:topLinePunct w:val="0"/>
        <w:autoSpaceDE/>
        <w:autoSpaceDN/>
        <w:bidi w:val="0"/>
        <w:adjustRightInd w:val="0"/>
        <w:snapToGrid w:val="0"/>
        <w:spacing w:line="360" w:lineRule="auto"/>
        <w:ind w:left="0" w:leftChars="0" w:firstLine="480" w:firstLineChars="200"/>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5.1.1评审由采购单位依法组建的磋商小组负责。磋商小组由采购人代表和有关技术、经济等方面的专家组成。全面负责对响应文件的审查、评审、磋商、打分等全部评审工作。磋商小组人数以及技术、经济方面的专家组成见</w:t>
      </w:r>
      <w:r>
        <w:rPr>
          <w:rFonts w:hint="eastAsia" w:asciiTheme="minorEastAsia" w:hAnsiTheme="minorEastAsia" w:eastAsiaTheme="minorEastAsia" w:cstheme="minorEastAsia"/>
          <w:color w:val="auto"/>
          <w:spacing w:val="0"/>
          <w:kern w:val="0"/>
          <w:position w:val="0"/>
          <w:sz w:val="24"/>
          <w:szCs w:val="24"/>
          <w:highlight w:val="none"/>
        </w:rPr>
        <w:fldChar w:fldCharType="begin"/>
      </w:r>
      <w:r>
        <w:rPr>
          <w:rFonts w:hint="eastAsia" w:asciiTheme="minorEastAsia" w:hAnsiTheme="minorEastAsia" w:eastAsiaTheme="minorEastAsia" w:cstheme="minorEastAsia"/>
          <w:color w:val="auto"/>
          <w:spacing w:val="0"/>
          <w:kern w:val="0"/>
          <w:position w:val="0"/>
          <w:sz w:val="24"/>
          <w:szCs w:val="24"/>
          <w:highlight w:val="none"/>
        </w:rPr>
        <w:instrText xml:space="preserve"> HYPERLINK "file:///C:\\WordForm\\e944b4b1-01b6-4e42-b170-f783fcf7903a.doc" \l "_评标委员会" </w:instrText>
      </w:r>
      <w:r>
        <w:rPr>
          <w:rFonts w:hint="eastAsia" w:asciiTheme="minorEastAsia" w:hAnsiTheme="minorEastAsia" w:eastAsiaTheme="minorEastAsia" w:cstheme="minorEastAsia"/>
          <w:color w:val="auto"/>
          <w:spacing w:val="0"/>
          <w:kern w:val="0"/>
          <w:position w:val="0"/>
          <w:sz w:val="24"/>
          <w:szCs w:val="24"/>
          <w:highlight w:val="none"/>
        </w:rPr>
        <w:fldChar w:fldCharType="separate"/>
      </w:r>
      <w:r>
        <w:rPr>
          <w:rFonts w:hint="eastAsia" w:asciiTheme="minorEastAsia" w:hAnsiTheme="minorEastAsia" w:eastAsiaTheme="minorEastAsia" w:cstheme="minorEastAsia"/>
          <w:color w:val="auto"/>
          <w:spacing w:val="0"/>
          <w:kern w:val="0"/>
          <w:position w:val="0"/>
          <w:sz w:val="24"/>
          <w:szCs w:val="24"/>
          <w:highlight w:val="none"/>
        </w:rPr>
        <w:t>供应商须知前附表</w:t>
      </w:r>
      <w:r>
        <w:rPr>
          <w:rFonts w:hint="eastAsia" w:asciiTheme="minorEastAsia" w:hAnsiTheme="minorEastAsia" w:eastAsiaTheme="minorEastAsia" w:cstheme="minorEastAsia"/>
          <w:color w:val="auto"/>
          <w:spacing w:val="0"/>
          <w:kern w:val="0"/>
          <w:position w:val="0"/>
          <w:sz w:val="24"/>
          <w:szCs w:val="24"/>
          <w:highlight w:val="none"/>
        </w:rPr>
        <w:fldChar w:fldCharType="end"/>
      </w:r>
      <w:r>
        <w:rPr>
          <w:rFonts w:hint="eastAsia" w:asciiTheme="minorEastAsia" w:hAnsiTheme="minorEastAsia" w:eastAsiaTheme="minorEastAsia" w:cstheme="minorEastAsia"/>
          <w:color w:val="auto"/>
          <w:spacing w:val="0"/>
          <w:kern w:val="0"/>
          <w:position w:val="0"/>
          <w:sz w:val="24"/>
          <w:szCs w:val="24"/>
          <w:highlight w:val="none"/>
        </w:rPr>
        <w:t>。</w:t>
      </w:r>
    </w:p>
    <w:p w14:paraId="2559A84E">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5.2磋商方法</w:t>
      </w:r>
    </w:p>
    <w:p w14:paraId="0FF4D2A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5.2.1磋商小组将按照磋商文件确定的评审方法进行评审。磋商小组对响应文件的评审分为响应文件初审、澄清有关问题、比较与评价响应文件、推荐中标候选人名单。</w:t>
      </w:r>
    </w:p>
    <w:p w14:paraId="5ADE964F">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5.2.1项目评审方法详见磋商文件“第四章 评审方法。</w:t>
      </w:r>
    </w:p>
    <w:p w14:paraId="407A26DC">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5.3响应文件的初审</w:t>
      </w:r>
    </w:p>
    <w:p w14:paraId="1CD3C6EB">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初审分为资格性检查和符合性检查。</w:t>
      </w:r>
    </w:p>
    <w:p w14:paraId="3A487A4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5.3.1资格性检查</w:t>
      </w:r>
    </w:p>
    <w:p w14:paraId="5632EA42">
      <w:pPr>
        <w:pStyle w:val="11"/>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8"/>
          <w:szCs w:val="28"/>
          <w:highlight w:val="none"/>
          <w:lang w:eastAsia="zh-CN"/>
        </w:rPr>
      </w:pPr>
      <w:r>
        <w:rPr>
          <w:rFonts w:hint="eastAsia" w:asciiTheme="minorEastAsia" w:hAnsiTheme="minorEastAsia" w:eastAsiaTheme="minorEastAsia" w:cstheme="minorEastAsia"/>
          <w:color w:val="auto"/>
          <w:spacing w:val="0"/>
          <w:kern w:val="0"/>
          <w:position w:val="0"/>
          <w:sz w:val="24"/>
          <w:szCs w:val="24"/>
          <w:highlight w:val="none"/>
        </w:rPr>
        <w:t>（1）资格性检查指依据法律、法规和磋商文件的规定，</w:t>
      </w:r>
      <w:r>
        <w:rPr>
          <w:rFonts w:hint="eastAsia" w:asciiTheme="minorEastAsia" w:hAnsiTheme="minorEastAsia" w:eastAsiaTheme="minorEastAsia" w:cstheme="minorEastAsia"/>
          <w:color w:val="auto"/>
          <w:spacing w:val="0"/>
          <w:kern w:val="0"/>
          <w:position w:val="0"/>
          <w:sz w:val="24"/>
          <w:szCs w:val="24"/>
          <w:highlight w:val="none"/>
          <w:lang w:eastAsia="zh-CN"/>
        </w:rPr>
        <w:t>由采购人</w:t>
      </w:r>
      <w:r>
        <w:rPr>
          <w:rFonts w:hint="eastAsia" w:asciiTheme="minorEastAsia" w:hAnsiTheme="minorEastAsia" w:eastAsiaTheme="minorEastAsia" w:cstheme="minorEastAsia"/>
          <w:color w:val="auto"/>
          <w:spacing w:val="0"/>
          <w:kern w:val="0"/>
          <w:position w:val="0"/>
          <w:sz w:val="24"/>
          <w:szCs w:val="24"/>
          <w:highlight w:val="none"/>
        </w:rPr>
        <w:t>对响应文件资格证明、磋商保证金等进行审查，以确定供应商是否具备报价资格。</w:t>
      </w:r>
      <w:r>
        <w:rPr>
          <w:rFonts w:hint="eastAsia" w:asciiTheme="minorEastAsia" w:hAnsiTheme="minorEastAsia" w:eastAsiaTheme="minorEastAsia" w:cstheme="minorEastAsia"/>
          <w:color w:val="auto"/>
          <w:spacing w:val="0"/>
          <w:kern w:val="0"/>
          <w:position w:val="0"/>
          <w:sz w:val="24"/>
          <w:szCs w:val="24"/>
          <w:highlight w:val="none"/>
          <w:lang w:eastAsia="zh-CN"/>
        </w:rPr>
        <w:t>见下表：</w:t>
      </w:r>
    </w:p>
    <w:p w14:paraId="755739A6">
      <w:pPr>
        <w:pageBreakBefore w:val="0"/>
        <w:kinsoku/>
        <w:overflowPunct/>
        <w:topLinePunct w:val="0"/>
        <w:bidi w:val="0"/>
        <w:spacing w:line="360" w:lineRule="auto"/>
        <w:ind w:firstLine="495"/>
        <w:jc w:val="center"/>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资格性检查表</w:t>
      </w:r>
    </w:p>
    <w:tbl>
      <w:tblPr>
        <w:tblStyle w:val="34"/>
        <w:tblW w:w="10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240"/>
        <w:gridCol w:w="5760"/>
      </w:tblGrid>
      <w:tr w14:paraId="397A0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09" w:type="dxa"/>
            <w:tcBorders>
              <w:top w:val="single" w:color="auto" w:sz="4" w:space="0"/>
              <w:left w:val="single" w:color="auto" w:sz="4" w:space="0"/>
              <w:bottom w:val="single" w:color="auto" w:sz="4" w:space="0"/>
              <w:right w:val="single" w:color="auto" w:sz="4" w:space="0"/>
            </w:tcBorders>
            <w:noWrap w:val="0"/>
            <w:vAlign w:val="center"/>
          </w:tcPr>
          <w:p w14:paraId="648B495F">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条款号</w:t>
            </w:r>
          </w:p>
        </w:tc>
        <w:tc>
          <w:tcPr>
            <w:tcW w:w="3240" w:type="dxa"/>
            <w:tcBorders>
              <w:top w:val="single" w:color="auto" w:sz="4" w:space="0"/>
              <w:left w:val="single" w:color="auto" w:sz="4" w:space="0"/>
              <w:bottom w:val="single" w:color="auto" w:sz="4" w:space="0"/>
              <w:right w:val="single" w:color="auto" w:sz="4" w:space="0"/>
            </w:tcBorders>
            <w:noWrap w:val="0"/>
            <w:vAlign w:val="center"/>
          </w:tcPr>
          <w:p w14:paraId="04AF29D2">
            <w:pPr>
              <w:pageBreakBefore w:val="0"/>
              <w:kinsoku/>
              <w:overflowPunct/>
              <w:topLinePunct w:val="0"/>
              <w:bidi w:val="0"/>
              <w:spacing w:line="360" w:lineRule="auto"/>
              <w:ind w:firstLine="422"/>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评审因素</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20BE439B">
            <w:pPr>
              <w:pageBreakBefore w:val="0"/>
              <w:kinsoku/>
              <w:overflowPunct/>
              <w:topLinePunct w:val="0"/>
              <w:bidi w:val="0"/>
              <w:spacing w:line="360" w:lineRule="auto"/>
              <w:ind w:firstLine="422"/>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评审标准</w:t>
            </w:r>
          </w:p>
        </w:tc>
      </w:tr>
      <w:tr w14:paraId="141A3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restart"/>
            <w:tcBorders>
              <w:left w:val="single" w:color="auto" w:sz="4" w:space="0"/>
              <w:right w:val="single" w:color="auto" w:sz="4" w:space="0"/>
            </w:tcBorders>
            <w:noWrap w:val="0"/>
            <w:vAlign w:val="center"/>
          </w:tcPr>
          <w:p w14:paraId="076C9100">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5.3.1</w:t>
            </w:r>
          </w:p>
        </w:tc>
        <w:tc>
          <w:tcPr>
            <w:tcW w:w="3240" w:type="dxa"/>
            <w:vMerge w:val="restart"/>
            <w:tcBorders>
              <w:top w:val="single" w:color="auto" w:sz="4" w:space="0"/>
              <w:left w:val="single" w:color="auto" w:sz="4" w:space="0"/>
              <w:right w:val="single" w:color="auto" w:sz="4" w:space="0"/>
            </w:tcBorders>
            <w:noWrap w:val="0"/>
            <w:vAlign w:val="center"/>
          </w:tcPr>
          <w:p w14:paraId="530E1EAF">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中华人民共和国政府采购法第二十二条规定</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C1B3F9B">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具有独立承担民事责任的能力</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41B8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16075D73">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right w:val="single" w:color="auto" w:sz="4" w:space="0"/>
            </w:tcBorders>
            <w:noWrap w:val="0"/>
            <w:vAlign w:val="center"/>
          </w:tcPr>
          <w:p w14:paraId="0832D0B8">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7BAC9E04">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具有良好的商业信誉和健全的财务会计制度</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02F9E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05F67AA9">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right w:val="single" w:color="auto" w:sz="4" w:space="0"/>
            </w:tcBorders>
            <w:noWrap w:val="0"/>
            <w:vAlign w:val="center"/>
          </w:tcPr>
          <w:p w14:paraId="758FFE53">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66E93622">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zh-CN"/>
              </w:rPr>
              <w:t>具有履行合同所必须的设备和专业技术能力，</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77003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69AE5561">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right w:val="single" w:color="auto" w:sz="4" w:space="0"/>
            </w:tcBorders>
            <w:noWrap w:val="0"/>
            <w:vAlign w:val="center"/>
          </w:tcPr>
          <w:p w14:paraId="5D9C903B">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0AD76680">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zh-CN"/>
              </w:rPr>
              <w:t>有依法缴纳税收和社会保障金的良好记录，</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729A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2B8BE2EA">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vMerge w:val="continue"/>
            <w:tcBorders>
              <w:left w:val="single" w:color="auto" w:sz="4" w:space="0"/>
              <w:bottom w:val="single" w:color="auto" w:sz="4" w:space="0"/>
              <w:right w:val="single" w:color="auto" w:sz="4" w:space="0"/>
            </w:tcBorders>
            <w:noWrap w:val="0"/>
            <w:vAlign w:val="center"/>
          </w:tcPr>
          <w:p w14:paraId="55FBF74D">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5760" w:type="dxa"/>
            <w:tcBorders>
              <w:top w:val="single" w:color="auto" w:sz="4" w:space="0"/>
              <w:left w:val="single" w:color="auto" w:sz="4" w:space="0"/>
              <w:bottom w:val="single" w:color="auto" w:sz="4" w:space="0"/>
              <w:right w:val="single" w:color="auto" w:sz="4" w:space="0"/>
            </w:tcBorders>
            <w:noWrap w:val="0"/>
            <w:vAlign w:val="center"/>
          </w:tcPr>
          <w:p w14:paraId="0BBC33B5">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lang w:val="zh-CN"/>
              </w:rPr>
              <w:t>参加政府采购活动近3年内，在经营活动中没有重大违法记录，</w:t>
            </w:r>
            <w:r>
              <w:rPr>
                <w:rFonts w:hint="eastAsia" w:asciiTheme="minorEastAsia" w:hAnsiTheme="minorEastAsia" w:eastAsiaTheme="minorEastAsia" w:cstheme="minorEastAsia"/>
                <w:b w:val="0"/>
                <w:bCs/>
                <w:color w:val="auto"/>
                <w:spacing w:val="0"/>
                <w:position w:val="0"/>
                <w:sz w:val="24"/>
                <w:szCs w:val="24"/>
                <w:highlight w:val="none"/>
              </w:rPr>
              <w:t>须提供相关证明材料</w:t>
            </w:r>
            <w:r>
              <w:rPr>
                <w:rFonts w:hint="eastAsia" w:asciiTheme="minorEastAsia" w:hAnsiTheme="minorEastAsia" w:eastAsiaTheme="minorEastAsia" w:cstheme="minorEastAsia"/>
                <w:b w:val="0"/>
                <w:bCs/>
                <w:color w:val="auto"/>
                <w:spacing w:val="0"/>
                <w:position w:val="0"/>
                <w:sz w:val="24"/>
                <w:szCs w:val="24"/>
                <w:highlight w:val="none"/>
                <w:lang w:eastAsia="zh-CN"/>
              </w:rPr>
              <w:t>，</w:t>
            </w:r>
            <w:r>
              <w:rPr>
                <w:rFonts w:hint="eastAsia" w:asciiTheme="minorEastAsia" w:hAnsiTheme="minorEastAsia" w:eastAsiaTheme="minorEastAsia" w:cstheme="minorEastAsia"/>
                <w:b w:val="0"/>
                <w:bCs/>
                <w:color w:val="auto"/>
                <w:spacing w:val="0"/>
                <w:position w:val="0"/>
                <w:sz w:val="24"/>
                <w:szCs w:val="24"/>
                <w:highlight w:val="none"/>
                <w:lang w:val="en-US" w:eastAsia="zh-CN"/>
              </w:rPr>
              <w:t>详见响应文件格式。</w:t>
            </w:r>
          </w:p>
        </w:tc>
      </w:tr>
      <w:tr w14:paraId="1BCAE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109" w:type="dxa"/>
            <w:vMerge w:val="continue"/>
            <w:tcBorders>
              <w:left w:val="single" w:color="auto" w:sz="4" w:space="0"/>
              <w:right w:val="single" w:color="auto" w:sz="4" w:space="0"/>
            </w:tcBorders>
            <w:noWrap w:val="0"/>
            <w:vAlign w:val="center"/>
          </w:tcPr>
          <w:p w14:paraId="55F7CEB5">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4"/>
                <w:szCs w:val="24"/>
                <w:highlight w:val="none"/>
              </w:rPr>
            </w:pPr>
          </w:p>
        </w:tc>
        <w:tc>
          <w:tcPr>
            <w:tcW w:w="3240" w:type="dxa"/>
            <w:tcBorders>
              <w:left w:val="single" w:color="auto" w:sz="4" w:space="0"/>
              <w:bottom w:val="single" w:color="auto" w:sz="4" w:space="0"/>
              <w:right w:val="single" w:color="auto" w:sz="4" w:space="0"/>
            </w:tcBorders>
            <w:noWrap w:val="0"/>
            <w:vAlign w:val="center"/>
          </w:tcPr>
          <w:p w14:paraId="76CF9027">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en-US" w:eastAsia="zh-CN"/>
              </w:rPr>
              <w:t>供应商为小微企业</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11941BB9">
            <w:pPr>
              <w:keepNext w:val="0"/>
              <w:keepLines w:val="0"/>
              <w:pageBreakBefore w:val="0"/>
              <w:widowControl w:val="0"/>
              <w:kinsoku/>
              <w:wordWrap/>
              <w:overflowPunct/>
              <w:topLinePunct w:val="0"/>
              <w:autoSpaceDE/>
              <w:autoSpaceDN/>
              <w:bidi w:val="0"/>
              <w:adjustRightInd/>
              <w:snapToGrid/>
              <w:spacing w:afterAutospacing="0" w:line="440" w:lineRule="exact"/>
              <w:ind w:firstLine="0" w:firstLineChars="0"/>
              <w:jc w:val="center"/>
              <w:textAlignment w:val="auto"/>
              <w:rPr>
                <w:rFonts w:hint="eastAsia" w:asciiTheme="minorEastAsia" w:hAnsiTheme="minorEastAsia" w:eastAsiaTheme="minorEastAsia" w:cstheme="minorEastAsia"/>
                <w:b w:val="0"/>
                <w:bCs/>
                <w:color w:val="auto"/>
                <w:spacing w:val="0"/>
                <w:position w:val="0"/>
                <w:sz w:val="24"/>
                <w:szCs w:val="24"/>
                <w:highlight w:val="none"/>
                <w:lang w:val="zh-CN"/>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请根据要求单独上传《中小企业声明函》。格式以采购文件要求为准。</w:t>
            </w:r>
          </w:p>
        </w:tc>
      </w:tr>
      <w:tr w14:paraId="4EA2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109" w:type="dxa"/>
            <w:vMerge w:val="continue"/>
            <w:tcBorders>
              <w:left w:val="single" w:color="auto" w:sz="4" w:space="0"/>
              <w:right w:val="single" w:color="auto" w:sz="4" w:space="0"/>
            </w:tcBorders>
            <w:noWrap w:val="0"/>
            <w:vAlign w:val="center"/>
          </w:tcPr>
          <w:p w14:paraId="6B0C12DF">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4"/>
                <w:szCs w:val="24"/>
                <w:highlight w:val="none"/>
              </w:rPr>
            </w:pPr>
          </w:p>
        </w:tc>
        <w:tc>
          <w:tcPr>
            <w:tcW w:w="3240" w:type="dxa"/>
            <w:tcBorders>
              <w:top w:val="single" w:color="auto" w:sz="4" w:space="0"/>
              <w:left w:val="single" w:color="auto" w:sz="4" w:space="0"/>
              <w:bottom w:val="single" w:color="auto" w:sz="4" w:space="0"/>
              <w:right w:val="single" w:color="auto" w:sz="4" w:space="0"/>
            </w:tcBorders>
            <w:noWrap w:val="0"/>
            <w:vAlign w:val="center"/>
          </w:tcPr>
          <w:p w14:paraId="65867D80">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b w:val="0"/>
                <w:bCs/>
                <w:color w:val="auto"/>
                <w:spacing w:val="0"/>
                <w:position w:val="0"/>
                <w:sz w:val="24"/>
                <w:szCs w:val="24"/>
                <w:highlight w:val="none"/>
                <w:lang w:eastAsia="zh-CN"/>
              </w:rPr>
              <w:t>磋商保证金</w:t>
            </w:r>
          </w:p>
        </w:tc>
        <w:tc>
          <w:tcPr>
            <w:tcW w:w="5760" w:type="dxa"/>
            <w:tcBorders>
              <w:top w:val="single" w:color="auto" w:sz="4" w:space="0"/>
              <w:left w:val="single" w:color="auto" w:sz="4" w:space="0"/>
              <w:bottom w:val="single" w:color="auto" w:sz="4" w:space="0"/>
              <w:right w:val="single" w:color="auto" w:sz="4" w:space="0"/>
            </w:tcBorders>
            <w:noWrap w:val="0"/>
            <w:vAlign w:val="center"/>
          </w:tcPr>
          <w:p w14:paraId="31D608CA">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val="0"/>
                <w:bCs/>
                <w:color w:val="auto"/>
                <w:spacing w:val="0"/>
                <w:position w:val="0"/>
                <w:sz w:val="24"/>
                <w:szCs w:val="24"/>
                <w:highlight w:val="none"/>
              </w:rPr>
              <w:t>符合本</w:t>
            </w:r>
            <w:r>
              <w:rPr>
                <w:rFonts w:hint="eastAsia" w:asciiTheme="minorEastAsia" w:hAnsiTheme="minorEastAsia" w:eastAsiaTheme="minorEastAsia" w:cstheme="minorEastAsia"/>
                <w:b w:val="0"/>
                <w:bCs/>
                <w:color w:val="auto"/>
                <w:spacing w:val="0"/>
                <w:position w:val="0"/>
                <w:sz w:val="24"/>
                <w:szCs w:val="24"/>
                <w:highlight w:val="none"/>
                <w:lang w:eastAsia="zh-CN"/>
              </w:rPr>
              <w:t>磋商文件</w:t>
            </w:r>
            <w:r>
              <w:rPr>
                <w:rFonts w:hint="eastAsia" w:asciiTheme="minorEastAsia" w:hAnsiTheme="minorEastAsia" w:eastAsiaTheme="minorEastAsia" w:cstheme="minorEastAsia"/>
                <w:b w:val="0"/>
                <w:bCs/>
                <w:color w:val="auto"/>
                <w:spacing w:val="0"/>
                <w:position w:val="0"/>
                <w:sz w:val="24"/>
                <w:szCs w:val="24"/>
                <w:highlight w:val="none"/>
              </w:rPr>
              <w:t>关于</w:t>
            </w:r>
            <w:r>
              <w:rPr>
                <w:rFonts w:hint="eastAsia" w:asciiTheme="minorEastAsia" w:hAnsiTheme="minorEastAsia" w:eastAsiaTheme="minorEastAsia" w:cstheme="minorEastAsia"/>
                <w:b w:val="0"/>
                <w:bCs/>
                <w:color w:val="auto"/>
                <w:spacing w:val="0"/>
                <w:position w:val="0"/>
                <w:sz w:val="24"/>
                <w:szCs w:val="24"/>
                <w:highlight w:val="none"/>
                <w:lang w:eastAsia="zh-CN"/>
              </w:rPr>
              <w:t>磋商保证金</w:t>
            </w:r>
            <w:r>
              <w:rPr>
                <w:rFonts w:hint="eastAsia" w:asciiTheme="minorEastAsia" w:hAnsiTheme="minorEastAsia" w:eastAsiaTheme="minorEastAsia" w:cstheme="minorEastAsia"/>
                <w:b w:val="0"/>
                <w:bCs/>
                <w:color w:val="auto"/>
                <w:spacing w:val="0"/>
                <w:position w:val="0"/>
                <w:sz w:val="24"/>
                <w:szCs w:val="24"/>
                <w:highlight w:val="none"/>
              </w:rPr>
              <w:t>的</w:t>
            </w:r>
            <w:r>
              <w:rPr>
                <w:rFonts w:hint="eastAsia" w:asciiTheme="minorEastAsia" w:hAnsiTheme="minorEastAsia" w:eastAsiaTheme="minorEastAsia" w:cstheme="minorEastAsia"/>
                <w:b w:val="0"/>
                <w:bCs/>
                <w:color w:val="auto"/>
                <w:spacing w:val="0"/>
                <w:position w:val="0"/>
                <w:sz w:val="24"/>
                <w:szCs w:val="24"/>
                <w:highlight w:val="none"/>
                <w:lang w:val="zh-CN"/>
              </w:rPr>
              <w:t>规定</w:t>
            </w:r>
          </w:p>
        </w:tc>
      </w:tr>
    </w:tbl>
    <w:p w14:paraId="5D6C235C">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w:t>
      </w:r>
      <w:r>
        <w:rPr>
          <w:rFonts w:hint="eastAsia" w:asciiTheme="minorEastAsia" w:hAnsiTheme="minorEastAsia" w:eastAsiaTheme="minorEastAsia" w:cstheme="minorEastAsia"/>
          <w:color w:val="auto"/>
          <w:spacing w:val="0"/>
          <w:kern w:val="0"/>
          <w:position w:val="0"/>
          <w:sz w:val="24"/>
          <w:szCs w:val="24"/>
          <w:highlight w:val="none"/>
          <w:lang w:val="en-US" w:eastAsia="zh-CN"/>
        </w:rPr>
        <w:t>2</w:t>
      </w:r>
      <w:r>
        <w:rPr>
          <w:rFonts w:hint="eastAsia" w:asciiTheme="minorEastAsia" w:hAnsiTheme="minorEastAsia" w:eastAsiaTheme="minorEastAsia" w:cstheme="minorEastAsia"/>
          <w:color w:val="auto"/>
          <w:spacing w:val="0"/>
          <w:kern w:val="0"/>
          <w:position w:val="0"/>
          <w:sz w:val="24"/>
          <w:szCs w:val="24"/>
          <w:highlight w:val="none"/>
        </w:rPr>
        <w:t>）通过全部资格性检查条件合格的供应商才能通过资格检查，其响应文件方可进入下一个检查阶段。</w:t>
      </w:r>
    </w:p>
    <w:p w14:paraId="761E754D">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5.3.2符合性检查</w:t>
      </w:r>
    </w:p>
    <w:p w14:paraId="4EF061F0">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磋商小组根据评审办法前附表规定的评审因素和评审标准，对供应商的响应文件进行符合性检查。符合性检查不合格的供应商的响应文件作无效文件处理。</w:t>
      </w:r>
    </w:p>
    <w:p w14:paraId="26452F57">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 xml:space="preserve">5.4违法违规行为 </w:t>
      </w:r>
    </w:p>
    <w:p w14:paraId="5D39F4C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5.4.1在评审过程中，磋商小组发现供应商有下列情形之一的，作无效文件处理：</w:t>
      </w:r>
    </w:p>
    <w:p w14:paraId="3C371D3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（1）属于同一集团、协会、商会等组织成员的供应商按照该组织要求协同投标；</w:t>
      </w:r>
    </w:p>
    <w:p w14:paraId="705DB5D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（2）不同供应商的响应文件由同一单位或者个人编制；</w:t>
      </w:r>
    </w:p>
    <w:p w14:paraId="3AA2B1A7">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（3）不同供应商委托同一单位或者个人办理投标事宜；</w:t>
      </w:r>
    </w:p>
    <w:p w14:paraId="249D90DC">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（4）不同供应商的响应文件载明的项目管理成员为同一人；</w:t>
      </w:r>
    </w:p>
    <w:p w14:paraId="039515DB">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（5）不同供应商的响应文件异常一致或者投标报价呈规律性差异；</w:t>
      </w:r>
    </w:p>
    <w:p w14:paraId="19FE74E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（6）不同供应商的响应文件相互混装；</w:t>
      </w:r>
    </w:p>
    <w:p w14:paraId="4B244248">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（7）不同供应商的</w:t>
      </w:r>
      <w:r>
        <w:rPr>
          <w:rFonts w:hint="eastAsia" w:asciiTheme="minorEastAsia" w:hAnsiTheme="minorEastAsia" w:eastAsiaTheme="minorEastAsia" w:cstheme="minorEastAsia"/>
          <w:color w:val="auto"/>
          <w:spacing w:val="0"/>
          <w:kern w:val="0"/>
          <w:position w:val="0"/>
          <w:sz w:val="24"/>
          <w:szCs w:val="24"/>
          <w:highlight w:val="none"/>
          <w:lang w:eastAsia="zh-CN"/>
        </w:rPr>
        <w:t>磋商保证金</w:t>
      </w:r>
      <w:r>
        <w:rPr>
          <w:rFonts w:hint="eastAsia" w:asciiTheme="minorEastAsia" w:hAnsiTheme="minorEastAsia" w:eastAsiaTheme="minorEastAsia" w:cstheme="minorEastAsia"/>
          <w:color w:val="auto"/>
          <w:spacing w:val="0"/>
          <w:kern w:val="0"/>
          <w:position w:val="0"/>
          <w:sz w:val="24"/>
          <w:szCs w:val="24"/>
          <w:highlight w:val="none"/>
        </w:rPr>
        <w:t>从同一单位或者个人的账户转出；</w:t>
      </w:r>
    </w:p>
    <w:p w14:paraId="141421A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（8）使用伪造、变造的行政许可证件；</w:t>
      </w:r>
    </w:p>
    <w:p w14:paraId="135EA641">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（9）提供虚假的财务状况或者业绩；</w:t>
      </w:r>
    </w:p>
    <w:p w14:paraId="34AB521E">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（10）提供虚假的项目负责人或者主要技术人员简历、劳动关系证明；</w:t>
      </w:r>
    </w:p>
    <w:p w14:paraId="1EA6A017">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（11）提供虚假的信用状况；</w:t>
      </w:r>
    </w:p>
    <w:p w14:paraId="5DDD3DD0">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（12）其他弄虚作假的行为。</w:t>
      </w:r>
    </w:p>
    <w:p w14:paraId="18164273">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 磋商小组审查响应文件是否完整、有无计算上的错误等。</w:t>
      </w:r>
    </w:p>
    <w:p w14:paraId="18F032B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5.5.1 响应文件的修正及澄清</w:t>
      </w:r>
    </w:p>
    <w:p w14:paraId="45662DCF">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（1）磋商小组对确定为实质上响应磋商文件要求的响应文件进行校核，看其是否有计算或表达上的错误，算术错误将按以下方法更正：</w:t>
      </w:r>
    </w:p>
    <w:p w14:paraId="61AFF419">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7B20577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14:paraId="158DD8C4">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5.5.3实质上没有响应磋商文件要求的响应文件将被视为无效文件。供应商不得通过修正或撤销不合要求的偏离从而使其成为实质上响应的文件。</w:t>
      </w:r>
    </w:p>
    <w:p w14:paraId="176CCE4C">
      <w:pPr>
        <w:pStyle w:val="19"/>
        <w:keepNext w:val="0"/>
        <w:keepLines w:val="0"/>
        <w:pageBreakBefore w:val="0"/>
        <w:kinsoku/>
        <w:wordWrap/>
        <w:overflowPunct/>
        <w:topLinePunct w:val="0"/>
        <w:autoSpaceDE/>
        <w:autoSpaceDN/>
        <w:bidi w:val="0"/>
        <w:adjustRightInd w:val="0"/>
        <w:snapToGrid w:val="0"/>
        <w:spacing w:line="360" w:lineRule="auto"/>
        <w:ind w:firstLine="482" w:firstLineChars="201"/>
        <w:contextualSpacing/>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14:paraId="1E0A8110">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5.5.5供应商的澄清文件是其响应文件</w:t>
      </w:r>
      <w:r>
        <w:rPr>
          <w:rFonts w:hint="eastAsia" w:asciiTheme="minorEastAsia" w:hAnsiTheme="minorEastAsia" w:eastAsiaTheme="minorEastAsia" w:cstheme="minorEastAsia"/>
          <w:color w:val="auto"/>
          <w:spacing w:val="0"/>
          <w:position w:val="0"/>
          <w:sz w:val="24"/>
          <w:szCs w:val="24"/>
          <w:highlight w:val="none"/>
        </w:rPr>
        <w:t>的组成部分。</w:t>
      </w:r>
    </w:p>
    <w:p w14:paraId="3F97C368">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5.6磋商</w:t>
      </w:r>
    </w:p>
    <w:p w14:paraId="0E39FA4B">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5.6.1磋商小组所有成员应当集中与单一供应商分别进行磋商，并给予所有参加磋商的供应商平等的磋商机会。</w:t>
      </w:r>
    </w:p>
    <w:p w14:paraId="0F039592">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5.6.2在磋商过程中，磋商小组可以根据磋商文件和磋商情况实质性变动采购需求中的技术、服务要求以及合同草案条款，但不得变动磋商文件中的其他内容。实质性变动的内容，须经采购人代表确认。</w:t>
      </w:r>
    </w:p>
    <w:p w14:paraId="5B67A9CA">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5.6.3对磋商文件作出的实质性变动是磋商文件的有效组成部分，磋商小组应当及时以书面形式同时通知所有参加磋商的供应商。</w:t>
      </w:r>
    </w:p>
    <w:p w14:paraId="7A9712F2">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EF0FBA9">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5.6.5磋商文件能够详细列明采购标的的技术、服务要求的，磋商结束后，磋商小组应当要求所有实质性响应的供应商在规定时间内提交最后报价，提交最后报价的供应商不得少于2家。</w:t>
      </w:r>
    </w:p>
    <w:p w14:paraId="275F916A">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5.5.6磋商文件不能详细列明采购标的的技术、服务要求，需经磋商由供应商提供最终设计方案或解决方案的，磋商结束后，磋商小组应当按照少数服从多数的原则投票推荐2家以上供应商的设计方案或者解决方案，并要求其在规定时间内提交最后报价。</w:t>
      </w:r>
    </w:p>
    <w:p w14:paraId="48E747BD">
      <w:pPr>
        <w:pStyle w:val="11"/>
        <w:keepNext w:val="0"/>
        <w:keepLines w:val="0"/>
        <w:pageBreakBefore w:val="0"/>
        <w:kinsoku/>
        <w:wordWrap/>
        <w:overflowPunct/>
        <w:topLinePunct w:val="0"/>
        <w:autoSpaceDE/>
        <w:autoSpaceDN/>
        <w:bidi w:val="0"/>
        <w:adjustRightInd w:val="0"/>
        <w:snapToGrid w:val="0"/>
        <w:spacing w:line="360" w:lineRule="auto"/>
        <w:ind w:firstLine="484" w:firstLineChars="202"/>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5.6.7已提交响应文件的供应商，在提交最后报价之前，可以根据磋商情况退出磋商。其磋商保证金将予以退还。</w:t>
      </w:r>
    </w:p>
    <w:p w14:paraId="5B87E5E1">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baseline"/>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5.6.8最后报价是供应商响应文件的有效组成部分。符合本办法第三条第四项情形的，提交最后报价的供应商可以为2家。</w:t>
      </w:r>
    </w:p>
    <w:p w14:paraId="45A31A9D">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5.6.9经磋商确定最终采购需求和提交最后报价的供应商后，由磋商小组采用综合评分法对提交最后报价的供应商的响应文件和最后报价进行综合评分。</w:t>
      </w:r>
    </w:p>
    <w:p w14:paraId="3B6FED41">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5.6.10采购结果确认</w:t>
      </w:r>
    </w:p>
    <w:p w14:paraId="1AB46DE3">
      <w:pPr>
        <w:pStyle w:val="11"/>
        <w:keepNext w:val="0"/>
        <w:keepLines w:val="0"/>
        <w:pageBreakBefore w:val="0"/>
        <w:kinsoku/>
        <w:wordWrap/>
        <w:overflowPunct/>
        <w:topLinePunct w:val="0"/>
        <w:autoSpaceDE/>
        <w:autoSpaceDN/>
        <w:bidi w:val="0"/>
        <w:adjustRightInd w:val="0"/>
        <w:snapToGrid w:val="0"/>
        <w:spacing w:line="360" w:lineRule="auto"/>
        <w:ind w:firstLine="56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14:paraId="7FD545E4">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5.7.公示或公告</w:t>
      </w:r>
    </w:p>
    <w:p w14:paraId="0BC42C98">
      <w:pPr>
        <w:keepNext w:val="0"/>
        <w:keepLines w:val="0"/>
        <w:pageBreakBefore w:val="0"/>
        <w:tabs>
          <w:tab w:val="left" w:pos="1875"/>
        </w:tabs>
        <w:kinsoku/>
        <w:wordWrap/>
        <w:overflowPunct/>
        <w:topLinePunct w:val="0"/>
        <w:autoSpaceDE/>
        <w:autoSpaceDN/>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5.7.1成交供应商确定后，采购代理机构将在政府采购监管部门指定的媒体上发布成交公告，同时向成交供应商发出《成交通知书》。《成交通知书》是合同的组成部分,对成交供应商和采购人具有同等法律效力。</w:t>
      </w:r>
    </w:p>
    <w:p w14:paraId="61D411B7">
      <w:pPr>
        <w:pStyle w:val="3"/>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szCs w:val="28"/>
          <w:highlight w:val="none"/>
        </w:rPr>
      </w:pPr>
      <w:bookmarkStart w:id="37" w:name="_Toc293738996"/>
      <w:bookmarkStart w:id="38" w:name="_Toc293736058"/>
      <w:bookmarkStart w:id="39" w:name="_Toc10373"/>
      <w:bookmarkStart w:id="40" w:name="_Toc26601"/>
      <w:bookmarkStart w:id="41" w:name="_Toc446599315"/>
      <w:bookmarkStart w:id="42" w:name="_Toc293736015"/>
      <w:r>
        <w:rPr>
          <w:rFonts w:hint="eastAsia" w:asciiTheme="minorEastAsia" w:hAnsiTheme="minorEastAsia" w:eastAsiaTheme="minorEastAsia" w:cstheme="minorEastAsia"/>
          <w:color w:val="auto"/>
          <w:spacing w:val="0"/>
          <w:position w:val="0"/>
          <w:highlight w:val="none"/>
        </w:rPr>
        <w:t>六、 授予合同</w:t>
      </w:r>
      <w:bookmarkEnd w:id="37"/>
      <w:bookmarkEnd w:id="38"/>
      <w:bookmarkEnd w:id="39"/>
      <w:bookmarkEnd w:id="40"/>
      <w:bookmarkEnd w:id="41"/>
      <w:bookmarkEnd w:id="42"/>
    </w:p>
    <w:p w14:paraId="013D5BE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 签订合同</w:t>
      </w:r>
    </w:p>
    <w:p w14:paraId="223A53E8">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6.1.1采购人应在成交通知书发出后30日内，根据成交结果和磋商文件、响应文件及有关补遗文件和确认谈判备忘录拟定的合同文本与成采购人签订合同。</w:t>
      </w:r>
    </w:p>
    <w:p w14:paraId="5AC9BF5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6.1.2采购人应按磋商文件要求和中标人的响应文件承诺订立书面合同，不得超出磋商文件和中标人响应文件的范围，也不得再另行订立背离合同实质性内容的其他协议。</w:t>
      </w:r>
    </w:p>
    <w:p w14:paraId="0BED2BF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6.1.3采购人应在《成交通知书》发出之日起30天内与中标人签订政府采购合同。签订政府采购合同后7个工作日内，采购人应将政府采购合同副本报政府采购监管部门和政府采购代理机构备案。</w:t>
      </w:r>
    </w:p>
    <w:p w14:paraId="17E3932C">
      <w:pPr>
        <w:pStyle w:val="3"/>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highlight w:val="none"/>
        </w:rPr>
      </w:pPr>
      <w:bookmarkStart w:id="43" w:name="_Toc446599316"/>
      <w:bookmarkStart w:id="44" w:name="_Toc293736016"/>
      <w:bookmarkStart w:id="45" w:name="_Toc293738997"/>
      <w:bookmarkStart w:id="46" w:name="_Toc293736059"/>
      <w:bookmarkStart w:id="47" w:name="_Toc14775"/>
      <w:bookmarkStart w:id="48" w:name="_Toc21374"/>
      <w:r>
        <w:rPr>
          <w:rFonts w:hint="eastAsia" w:asciiTheme="minorEastAsia" w:hAnsiTheme="minorEastAsia" w:eastAsiaTheme="minorEastAsia" w:cstheme="minorEastAsia"/>
          <w:color w:val="auto"/>
          <w:spacing w:val="0"/>
          <w:position w:val="0"/>
          <w:highlight w:val="none"/>
        </w:rPr>
        <w:t>七、质疑</w:t>
      </w:r>
      <w:bookmarkEnd w:id="43"/>
      <w:bookmarkEnd w:id="44"/>
      <w:bookmarkEnd w:id="45"/>
      <w:bookmarkEnd w:id="46"/>
      <w:r>
        <w:rPr>
          <w:rFonts w:hint="eastAsia" w:asciiTheme="minorEastAsia" w:hAnsiTheme="minorEastAsia" w:eastAsiaTheme="minorEastAsia" w:cstheme="minorEastAsia"/>
          <w:color w:val="auto"/>
          <w:spacing w:val="0"/>
          <w:position w:val="0"/>
          <w:highlight w:val="none"/>
        </w:rPr>
        <w:t>和投诉</w:t>
      </w:r>
      <w:bookmarkEnd w:id="47"/>
      <w:bookmarkEnd w:id="48"/>
    </w:p>
    <w:p w14:paraId="1088CD0A">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bookmarkStart w:id="49" w:name="_Toc294515577"/>
      <w:bookmarkStart w:id="50" w:name="_Toc293736060"/>
      <w:bookmarkStart w:id="51" w:name="_Toc446599317"/>
      <w:bookmarkStart w:id="52" w:name="_Toc293738998"/>
      <w:bookmarkStart w:id="53" w:name="_Toc293736017"/>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7.1质疑</w:t>
      </w:r>
    </w:p>
    <w:p w14:paraId="1DE9BC8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7.1.1供应商提出质疑应当符合以下条件：</w:t>
      </w:r>
    </w:p>
    <w:p w14:paraId="7A5450B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如果供应商对此次采购活动有疑问，可依据《政府采购法》等相关规定，在规定的时间内以书面形式向采购人或代理机构提出质疑。质疑书应当包括下列主要内容：</w:t>
      </w:r>
    </w:p>
    <w:p w14:paraId="4151867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（1）质疑人的名称、地址、电话等；</w:t>
      </w:r>
    </w:p>
    <w:p w14:paraId="1087767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（2）质疑人法人签章和单位公章；</w:t>
      </w:r>
    </w:p>
    <w:p w14:paraId="44DEE87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（3）具体的质疑事项及事实依据；</w:t>
      </w:r>
    </w:p>
    <w:p w14:paraId="2C41D3C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（4）明确的请求和必要（合法来源）的证明材料；</w:t>
      </w:r>
    </w:p>
    <w:p w14:paraId="75B5EBD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（5）以联合体形式参与资格预审的，则必须联合体各方共同签署、盖章；</w:t>
      </w:r>
    </w:p>
    <w:p w14:paraId="1DE7E4A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（6）提起质疑的日期。</w:t>
      </w:r>
    </w:p>
    <w:p w14:paraId="22DCEE3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特注：未按上述程序规定的必备内容进行质疑的，采购人或代理机构将不予以受理。</w:t>
      </w:r>
    </w:p>
    <w:p w14:paraId="6C8A9E6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7.1.2质疑人为自然人的，应当由本人签字并附有效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73C30BE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7.1.3质疑人可以委托代理人办理质疑事项，代理人办理质疑事项时，除提交质疑书外，还应当提交质疑人的授权委托书及代理人的有效身份证明，授权委托书应当载明委托代理的具体权限和事项。</w:t>
      </w:r>
    </w:p>
    <w:p w14:paraId="17ED23C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7.1.4被质疑人应当在受理质疑后7个工作日内作出答复，并以书面形式通知质疑人和其他有关供应商，答复内容仅限于供应商所质疑的内容，不得涉及国家秘密和商业秘密。</w:t>
      </w:r>
    </w:p>
    <w:p w14:paraId="473ED01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bookmarkStart w:id="54" w:name="_Toc450546725"/>
      <w:bookmarkStart w:id="55" w:name="_Toc9365"/>
      <w:bookmarkStart w:id="56" w:name="_Toc483174929"/>
      <w:bookmarkStart w:id="57" w:name="_Toc456336161"/>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7.2投诉</w:t>
      </w:r>
      <w:bookmarkEnd w:id="54"/>
      <w:bookmarkEnd w:id="55"/>
      <w:bookmarkEnd w:id="56"/>
      <w:bookmarkEnd w:id="57"/>
    </w:p>
    <w:p w14:paraId="5957A57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7.2.1质疑人如对被质疑人的质疑回复不满意或在规定时间内未做出回复的，可在答复期满后15个工作日内向本项目管辖内的政府采购监督部门提起投诉。供应商投诉应当有明确的请求和必要的证明材料。</w:t>
      </w:r>
    </w:p>
    <w:p w14:paraId="54F0BFD6">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7.2.2投诉人提起投诉应符合以下条件：</w:t>
      </w:r>
    </w:p>
    <w:p w14:paraId="25DD715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(1)投诉人应是参与项目的供应商；</w:t>
      </w:r>
    </w:p>
    <w:p w14:paraId="4FAC191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(2)投诉前已依法进行质疑；</w:t>
      </w:r>
    </w:p>
    <w:p w14:paraId="3905E3A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(3)投诉书内容符合中华人民共和国财政部94号令《政府采购质疑和投诉办法》的规定；</w:t>
      </w:r>
    </w:p>
    <w:p w14:paraId="2A6FD9CC">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(4)在投诉有效期内；</w:t>
      </w:r>
    </w:p>
    <w:p w14:paraId="27F4C06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(5)同一投诉事项未经处理的；</w:t>
      </w:r>
    </w:p>
    <w:p w14:paraId="0EC9489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GB" w:eastAsia="zh-CN" w:bidi="ar-SA"/>
        </w:rPr>
        <w:t>(6)</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相关法律、法规和省级以上人民政府财政部门规定的其他条件。</w:t>
      </w:r>
    </w:p>
    <w:p w14:paraId="4ED07F1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7.2.3供应商投诉时，应当当面提交投诉书，投诉书应当包括下列主要内容：</w:t>
      </w:r>
    </w:p>
    <w:p w14:paraId="2170F5A5">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(1)投诉人的姓名或者名称、住所、联系方式及相关证明；</w:t>
      </w:r>
    </w:p>
    <w:p w14:paraId="26424B2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(2)被投诉人的名称、住所、联系方式；</w:t>
      </w:r>
    </w:p>
    <w:p w14:paraId="7B0A1D0D">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(3)具体的投诉事项、事实根据和法律依据；</w:t>
      </w:r>
    </w:p>
    <w:p w14:paraId="4416C3EB">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(4)质疑和质疑答复情况及相关证明材料；</w:t>
      </w:r>
    </w:p>
    <w:p w14:paraId="17C483A9">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(5)提起投诉的日期。</w:t>
      </w:r>
    </w:p>
    <w:p w14:paraId="14EDC80A">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投诉人为自然人的，应当由本人签字。投诉人为法人的，应当由其法定代表人签字并加盖单位公章。投诉人为其他组织的，应当由其主要负责人签字盖章并加盖单位公章。</w:t>
      </w:r>
    </w:p>
    <w:p w14:paraId="46292261">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7.2.4投诉人可以授权代理人办理投诉事务。代理人办理投诉事务时，除提交投诉书外，还应当向监督部门提交投诉人的授权委托书，授权委托书应当载明委托代理的具体权限和事项。</w:t>
      </w:r>
    </w:p>
    <w:p w14:paraId="177459B3">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7.2.5投诉人不符合上述规定提起的投诉，政府采购监督部门不予受理。</w:t>
      </w:r>
    </w:p>
    <w:p w14:paraId="01586C15">
      <w:pPr>
        <w:pStyle w:val="3"/>
        <w:pageBreakBefore w:val="0"/>
        <w:kinsoku/>
        <w:overflowPunct/>
        <w:topLinePunct w:val="0"/>
        <w:bidi w:val="0"/>
        <w:rPr>
          <w:rFonts w:hint="eastAsia" w:asciiTheme="minorEastAsia" w:hAnsiTheme="minorEastAsia" w:eastAsiaTheme="minorEastAsia" w:cstheme="minorEastAsia"/>
          <w:color w:val="auto"/>
          <w:spacing w:val="0"/>
          <w:kern w:val="0"/>
          <w:position w:val="0"/>
          <w:highlight w:val="none"/>
        </w:rPr>
      </w:pPr>
      <w:bookmarkStart w:id="58" w:name="_Toc3182"/>
      <w:bookmarkStart w:id="59" w:name="_Toc16545"/>
      <w:r>
        <w:rPr>
          <w:rFonts w:hint="eastAsia" w:asciiTheme="minorEastAsia" w:hAnsiTheme="minorEastAsia" w:eastAsiaTheme="minorEastAsia" w:cstheme="minorEastAsia"/>
          <w:color w:val="auto"/>
          <w:spacing w:val="0"/>
          <w:position w:val="0"/>
          <w:highlight w:val="none"/>
        </w:rPr>
        <w:t>八、项目验收</w:t>
      </w:r>
      <w:bookmarkEnd w:id="49"/>
      <w:bookmarkEnd w:id="50"/>
      <w:bookmarkEnd w:id="51"/>
      <w:bookmarkEnd w:id="52"/>
      <w:bookmarkEnd w:id="53"/>
      <w:bookmarkEnd w:id="58"/>
      <w:bookmarkEnd w:id="59"/>
    </w:p>
    <w:p w14:paraId="775F5888">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8.1采购单位按照政府采购合同规定的技术、服务、安全标准对供应商履约情况进行验收，并出具验收书。验收书包括每一项技术、服务、安全标准的履约情况。</w:t>
      </w:r>
    </w:p>
    <w:p w14:paraId="73B8CC7E">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8.2验收标准:磋商文件、响应文件、政府采购合同规定的标准。</w:t>
      </w:r>
    </w:p>
    <w:p w14:paraId="26987744">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0" w:name="_Toc6671"/>
      <w:bookmarkStart w:id="61" w:name="_Toc23745"/>
      <w:bookmarkStart w:id="62" w:name="_Toc293736018"/>
      <w:bookmarkStart w:id="63" w:name="_Toc293738999"/>
      <w:bookmarkStart w:id="64" w:name="_Toc446599318"/>
      <w:bookmarkStart w:id="65" w:name="_Toc293736061"/>
      <w:r>
        <w:rPr>
          <w:rFonts w:hint="eastAsia" w:asciiTheme="minorEastAsia" w:hAnsiTheme="minorEastAsia" w:eastAsiaTheme="minorEastAsia" w:cstheme="minorEastAsia"/>
          <w:color w:val="auto"/>
          <w:spacing w:val="0"/>
          <w:position w:val="0"/>
          <w:highlight w:val="none"/>
        </w:rPr>
        <w:t>九、适用法律</w:t>
      </w:r>
      <w:bookmarkEnd w:id="60"/>
      <w:bookmarkEnd w:id="61"/>
      <w:bookmarkEnd w:id="62"/>
      <w:bookmarkEnd w:id="63"/>
      <w:bookmarkEnd w:id="64"/>
      <w:bookmarkEnd w:id="65"/>
    </w:p>
    <w:p w14:paraId="36761B76">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9.1招标采购单位和供应商的一切招标投标活动均适用于《政府采购法》、《政府采购实施条例》、《政府采购竞争性磋商采购方式管理办法》等相关规定。</w:t>
      </w:r>
    </w:p>
    <w:p w14:paraId="6B2988C1">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66" w:name="_Toc278891599"/>
      <w:bookmarkStart w:id="67" w:name="_Toc446599319"/>
      <w:bookmarkStart w:id="68" w:name="_Toc272247702"/>
      <w:bookmarkStart w:id="69" w:name="_Toc437611460"/>
      <w:bookmarkStart w:id="70" w:name="_Toc17467"/>
      <w:bookmarkStart w:id="71" w:name="_Toc21968"/>
      <w:r>
        <w:rPr>
          <w:rFonts w:hint="eastAsia" w:asciiTheme="minorEastAsia" w:hAnsiTheme="minorEastAsia" w:eastAsiaTheme="minorEastAsia" w:cstheme="minorEastAsia"/>
          <w:color w:val="auto"/>
          <w:spacing w:val="0"/>
          <w:position w:val="0"/>
          <w:highlight w:val="none"/>
        </w:rPr>
        <w:t>十、磋商文件的解释权</w:t>
      </w:r>
      <w:bookmarkEnd w:id="66"/>
      <w:bookmarkEnd w:id="67"/>
      <w:bookmarkEnd w:id="68"/>
      <w:bookmarkEnd w:id="69"/>
      <w:bookmarkEnd w:id="70"/>
      <w:bookmarkEnd w:id="71"/>
    </w:p>
    <w:p w14:paraId="6B3A02F3">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10.1本项目磋商文件的最终解释权为采购单位所有。</w:t>
      </w:r>
    </w:p>
    <w:p w14:paraId="6CB26E01">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72" w:name="_Toc446599320"/>
      <w:bookmarkStart w:id="73" w:name="_Toc21207"/>
      <w:bookmarkStart w:id="74" w:name="_Toc26347"/>
      <w:bookmarkStart w:id="75" w:name="_Toc437611461"/>
      <w:r>
        <w:rPr>
          <w:rFonts w:hint="eastAsia" w:asciiTheme="minorEastAsia" w:hAnsiTheme="minorEastAsia" w:eastAsiaTheme="minorEastAsia" w:cstheme="minorEastAsia"/>
          <w:color w:val="auto"/>
          <w:spacing w:val="0"/>
          <w:position w:val="0"/>
          <w:highlight w:val="none"/>
        </w:rPr>
        <w:t>十一、其他注意事项</w:t>
      </w:r>
      <w:bookmarkEnd w:id="72"/>
      <w:bookmarkEnd w:id="73"/>
      <w:bookmarkEnd w:id="74"/>
      <w:bookmarkEnd w:id="75"/>
    </w:p>
    <w:p w14:paraId="6D501B6E">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11.1单位负责人为同一人或者存在直接控股、管理关系的不同供应商，不得参加同一合同项下的政府采购活动。</w:t>
      </w:r>
    </w:p>
    <w:p w14:paraId="4ABC19FE">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11.2供应商为采购项目提供整体设计、规范编制或者项目管理、监理、检测等服务的供应商，不得再参加该采购项目的其他采购活动。</w:t>
      </w:r>
    </w:p>
    <w:p w14:paraId="7543FA8A">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11.3政府采购法第二十二条第一款第五项所称重大违法记录，是指供应商因违法经营受到刑事处罚或者责令停产停业、吊销许可证或者执照、较大数额罚款等行政处罚。</w:t>
      </w:r>
    </w:p>
    <w:p w14:paraId="1EB591E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11.4按照财政部《关于规范政府采购行政处罚有关问题的通知》的规定，各级人民政府财政部门依法对参加政府采购活动的供应商作出的禁止参加政府采购活动等行政处罚决定在全国范围内生效。</w:t>
      </w:r>
    </w:p>
    <w:p w14:paraId="6BEB26E7">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11.5供应商在参加政府采购活动前3年内因违法经营被禁止在一定期限内参加政府采购活动，期限届满的，可以参加政府采购活动。</w:t>
      </w:r>
    </w:p>
    <w:p w14:paraId="2B6D7FD2">
      <w:pPr>
        <w:pageBreakBefore w:val="0"/>
        <w:tabs>
          <w:tab w:val="left" w:pos="1875"/>
        </w:tabs>
        <w:kinsoku/>
        <w:overflowPunct/>
        <w:topLinePunct w:val="0"/>
        <w:bidi w:val="0"/>
        <w:adjustRightInd w:val="0"/>
        <w:snapToGrid w:val="0"/>
        <w:spacing w:line="360" w:lineRule="auto"/>
        <w:ind w:firstLine="480" w:firstLineChars="200"/>
        <w:jc w:val="left"/>
        <w:rPr>
          <w:rFonts w:hint="eastAsia" w:asciiTheme="minorEastAsia" w:hAnsiTheme="minorEastAsia" w:eastAsiaTheme="minorEastAsia" w:cstheme="minorEastAsia"/>
          <w:color w:val="auto"/>
          <w:spacing w:val="0"/>
          <w:kern w:val="2"/>
          <w:position w:val="0"/>
          <w:sz w:val="24"/>
          <w:szCs w:val="24"/>
          <w:highlight w:val="none"/>
          <w:lang w:val="en-US" w:eastAsia="zh-CN" w:bidi="ar-SA"/>
        </w:rPr>
        <w:sectPr>
          <w:pgSz w:w="11906" w:h="16838"/>
          <w:pgMar w:top="1440" w:right="1797" w:bottom="1440" w:left="1797" w:header="851" w:footer="992" w:gutter="0"/>
          <w:pgNumType w:fmt="decimal"/>
          <w:cols w:space="425" w:num="1"/>
          <w:docGrid w:linePitch="312" w:charSpace="0"/>
        </w:sectPr>
      </w:pPr>
    </w:p>
    <w:p w14:paraId="5BB5DED1">
      <w:pPr>
        <w:pStyle w:val="2"/>
        <w:pageBreakBefore w:val="0"/>
        <w:widowControl w:val="0"/>
        <w:numPr>
          <w:ilvl w:val="0"/>
          <w:numId w:val="1"/>
        </w:numPr>
        <w:kinsoku/>
        <w:wordWrap/>
        <w:overflowPunct/>
        <w:topLinePunct w:val="0"/>
        <w:autoSpaceDE/>
        <w:autoSpaceDN/>
        <w:bidi w:val="0"/>
        <w:adjustRightInd/>
        <w:snapToGrid/>
        <w:spacing w:before="0" w:after="0" w:line="560" w:lineRule="exact"/>
        <w:ind w:left="0" w:leftChars="0"/>
        <w:textAlignment w:val="auto"/>
        <w:rPr>
          <w:rFonts w:hint="eastAsia" w:asciiTheme="minorEastAsia" w:hAnsiTheme="minorEastAsia" w:eastAsiaTheme="minorEastAsia" w:cstheme="minorEastAsia"/>
          <w:color w:val="auto"/>
          <w:spacing w:val="0"/>
          <w:position w:val="0"/>
          <w:highlight w:val="none"/>
        </w:rPr>
      </w:pPr>
      <w:bookmarkStart w:id="76" w:name="_Toc293736019"/>
      <w:bookmarkStart w:id="77" w:name="_Toc293739000"/>
      <w:bookmarkStart w:id="78" w:name="_Toc293736062"/>
      <w:bookmarkStart w:id="79" w:name="_Toc446599321"/>
      <w:bookmarkStart w:id="80" w:name="_Toc28752"/>
      <w:bookmarkStart w:id="81" w:name="_Toc3441"/>
      <w:bookmarkStart w:id="82" w:name="_Toc293736063"/>
      <w:bookmarkStart w:id="83" w:name="_Toc446599322"/>
      <w:bookmarkStart w:id="84" w:name="_Toc293736020"/>
      <w:bookmarkStart w:id="85" w:name="_Toc293739001"/>
      <w:r>
        <w:rPr>
          <w:rFonts w:hint="eastAsia" w:asciiTheme="minorEastAsia" w:hAnsiTheme="minorEastAsia" w:eastAsiaTheme="minorEastAsia" w:cstheme="minorEastAsia"/>
          <w:color w:val="auto"/>
          <w:spacing w:val="0"/>
          <w:position w:val="0"/>
          <w:highlight w:val="none"/>
        </w:rPr>
        <w:t>采购</w:t>
      </w:r>
      <w:bookmarkEnd w:id="76"/>
      <w:bookmarkEnd w:id="77"/>
      <w:bookmarkEnd w:id="78"/>
      <w:bookmarkStart w:id="86" w:name="_Toc294515580"/>
      <w:r>
        <w:rPr>
          <w:rFonts w:hint="eastAsia" w:asciiTheme="minorEastAsia" w:hAnsiTheme="minorEastAsia" w:eastAsiaTheme="minorEastAsia" w:cstheme="minorEastAsia"/>
          <w:color w:val="auto"/>
          <w:spacing w:val="0"/>
          <w:position w:val="0"/>
          <w:highlight w:val="none"/>
        </w:rPr>
        <w:t>需求</w:t>
      </w:r>
      <w:bookmarkEnd w:id="79"/>
      <w:bookmarkEnd w:id="80"/>
      <w:bookmarkEnd w:id="81"/>
    </w:p>
    <w:bookmarkEnd w:id="86"/>
    <w:p w14:paraId="00CEC772">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一、项目依据</w:t>
      </w:r>
    </w:p>
    <w:p w14:paraId="176AC5B4">
      <w:pPr>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关于印发新疆维吾尔自治区残疾人联合会机关主要职责、内设机构和人员编制方案的通知》中宣文部职责“组织制定并实施残疾人事业的宣传和文体工作计划，宣传国家、自治区发展残疾人事业的方针、政策”。</w:t>
      </w:r>
    </w:p>
    <w:p w14:paraId="7119C5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二、工作任务描述</w:t>
      </w:r>
    </w:p>
    <w:p w14:paraId="64AAB00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根据宣文部工作职责及宣传二十大会议相关精神贯彻落实涉疆对外斗争等国家、自治区发展残疾人事业方针、政策，引导残联系统宣传文化干部不断提高政治判断力、政治领悟力、政治执行力，不折不扣把习近平文化思想和党中央关于宣传思想文化工作的重要决策部署贯彻落实到位，拟对全区残联系统宣传文化干部（预计120人）开展教育培训和业务指导，举办全区残联系统宣传文化干部专题培训班。</w:t>
      </w:r>
    </w:p>
    <w:p w14:paraId="66D95FF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cs="宋体"/>
          <w:sz w:val="28"/>
          <w:szCs w:val="36"/>
          <w:lang w:val="en-US" w:eastAsia="zh-CN"/>
        </w:rPr>
        <w:t>三</w:t>
      </w:r>
      <w:r>
        <w:rPr>
          <w:rFonts w:hint="eastAsia" w:ascii="宋体" w:hAnsi="宋体" w:eastAsia="宋体" w:cs="宋体"/>
          <w:sz w:val="28"/>
          <w:szCs w:val="36"/>
        </w:rPr>
        <w:t>、采购内容及服务要求</w:t>
      </w:r>
    </w:p>
    <w:p w14:paraId="759D8A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（一）培训对象</w:t>
      </w:r>
    </w:p>
    <w:p w14:paraId="70FD156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全区残联系统宣传文化干部约120人（含不同类别残疾人工作者，需确保无障碍环境支持）。</w:t>
      </w:r>
    </w:p>
    <w:p w14:paraId="35E6CFD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（二）培训内容及要求</w:t>
      </w:r>
    </w:p>
    <w:p w14:paraId="238375AB">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 xml:space="preserve">  1. 政治理论学习模块</w:t>
      </w:r>
    </w:p>
    <w:p w14:paraId="20E6EE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内容：系统学习习近平文化思想、宣传思想文化工作重要论述，结合残联工作解读政策导向。</w:t>
      </w:r>
    </w:p>
    <w:p w14:paraId="09C3A09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形式：专家讲座+案例研讨，提供学习资料汇编。</w:t>
      </w:r>
    </w:p>
    <w:p w14:paraId="00E5606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要求：授课专家需具备相关领域高级职称或官方认证资质。</w:t>
      </w:r>
    </w:p>
    <w:p w14:paraId="36B3A512">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 xml:space="preserve">  2. 业务技能培训模块</w:t>
      </w:r>
    </w:p>
    <w:p w14:paraId="0F2EC568">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（1）短视频制作与宣传</w:t>
      </w:r>
    </w:p>
    <w:p w14:paraId="3BFAE457">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 xml:space="preserve"> 内容：短视频策划、拍摄、剪辑技巧，结合残疾人主题创作实战。</w:t>
      </w:r>
    </w:p>
    <w:p w14:paraId="6A1B9DC1">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 xml:space="preserve"> 形式：理论授课+分组实操</w:t>
      </w:r>
    </w:p>
    <w:p w14:paraId="1C115274">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要求：学员完成1条主题短视频作品。</w:t>
      </w:r>
    </w:p>
    <w:p w14:paraId="1EC04B82">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 xml:space="preserve"> （2）公文写作与宣传文案</w:t>
      </w:r>
    </w:p>
    <w:p w14:paraId="053105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内容：公文规范、新媒体文案写作技巧，残疾人事业典型案例撰写。</w:t>
      </w:r>
    </w:p>
    <w:p w14:paraId="51A06B0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rPr>
      </w:pPr>
      <w:r>
        <w:rPr>
          <w:rFonts w:hint="eastAsia" w:ascii="宋体" w:hAnsi="宋体" w:eastAsia="宋体" w:cs="宋体"/>
          <w:sz w:val="28"/>
          <w:szCs w:val="36"/>
        </w:rPr>
        <w:t>形式：模板解析+模拟写作，配备范文库。</w:t>
      </w:r>
    </w:p>
    <w:p w14:paraId="0550F0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cs="宋体"/>
          <w:sz w:val="28"/>
          <w:szCs w:val="36"/>
          <w:lang w:eastAsia="zh-CN"/>
        </w:rPr>
        <w:t>（</w:t>
      </w:r>
      <w:r>
        <w:rPr>
          <w:rFonts w:hint="eastAsia" w:ascii="宋体" w:hAnsi="宋体" w:cs="宋体"/>
          <w:sz w:val="28"/>
          <w:szCs w:val="36"/>
          <w:lang w:val="en-US" w:eastAsia="zh-CN"/>
        </w:rPr>
        <w:t>3</w:t>
      </w:r>
      <w:r>
        <w:rPr>
          <w:rFonts w:hint="eastAsia" w:ascii="宋体" w:hAnsi="宋体" w:cs="宋体"/>
          <w:sz w:val="28"/>
          <w:szCs w:val="36"/>
          <w:lang w:eastAsia="zh-CN"/>
        </w:rPr>
        <w:t>）</w:t>
      </w:r>
      <w:r>
        <w:rPr>
          <w:rFonts w:hint="eastAsia" w:ascii="宋体" w:hAnsi="宋体" w:eastAsia="宋体" w:cs="宋体"/>
          <w:sz w:val="28"/>
          <w:szCs w:val="36"/>
        </w:rPr>
        <w:t>素材采集与选题策划</w:t>
      </w:r>
    </w:p>
    <w:p w14:paraId="3C3C7C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cs="宋体"/>
          <w:sz w:val="28"/>
          <w:szCs w:val="36"/>
          <w:lang w:val="en-US" w:eastAsia="zh-CN"/>
        </w:rPr>
        <w:t xml:space="preserve"> </w:t>
      </w:r>
      <w:r>
        <w:rPr>
          <w:rFonts w:hint="eastAsia" w:ascii="宋体" w:hAnsi="宋体" w:eastAsia="宋体" w:cs="宋体"/>
          <w:sz w:val="28"/>
          <w:szCs w:val="36"/>
        </w:rPr>
        <w:t>内容：摄影摄像基础、残疾人题材选题挖掘、版权合规。</w:t>
      </w:r>
    </w:p>
    <w:p w14:paraId="27AA65C7">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形式：现场教学+外景采风。</w:t>
      </w:r>
    </w:p>
    <w:p w14:paraId="3C45549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3. 新媒体与意识形态模块</w:t>
      </w:r>
    </w:p>
    <w:p w14:paraId="71CA4BE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cs="宋体"/>
          <w:sz w:val="28"/>
          <w:szCs w:val="36"/>
          <w:lang w:val="en-US" w:eastAsia="zh-CN"/>
        </w:rPr>
        <w:t xml:space="preserve"> </w:t>
      </w:r>
      <w:r>
        <w:rPr>
          <w:rFonts w:hint="eastAsia" w:ascii="宋体" w:hAnsi="宋体" w:eastAsia="宋体" w:cs="宋体"/>
          <w:sz w:val="28"/>
          <w:szCs w:val="36"/>
        </w:rPr>
        <w:t>内容：网络意识形态安全、新媒体传播规律、舆情监测与应对。</w:t>
      </w:r>
    </w:p>
    <w:p w14:paraId="49EAB9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cs="宋体"/>
          <w:sz w:val="28"/>
          <w:szCs w:val="36"/>
          <w:lang w:val="en-US" w:eastAsia="zh-CN"/>
        </w:rPr>
        <w:t xml:space="preserve"> </w:t>
      </w:r>
      <w:r>
        <w:rPr>
          <w:rFonts w:hint="eastAsia" w:ascii="宋体" w:hAnsi="宋体" w:eastAsia="宋体" w:cs="宋体"/>
          <w:sz w:val="28"/>
          <w:szCs w:val="36"/>
        </w:rPr>
        <w:t>形式：情景模拟+舆情引导案例分析。</w:t>
      </w:r>
    </w:p>
    <w:p w14:paraId="0DF6A94F">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要求：提供舆情应急预案模板。</w:t>
      </w:r>
    </w:p>
    <w:p w14:paraId="28385C1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4. 全媒体技术实操模块</w:t>
      </w:r>
    </w:p>
    <w:p w14:paraId="18430F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w:t>
      </w:r>
      <w:r>
        <w:rPr>
          <w:rFonts w:hint="eastAsia" w:ascii="宋体" w:hAnsi="宋体" w:cs="宋体"/>
          <w:sz w:val="28"/>
          <w:szCs w:val="36"/>
          <w:lang w:val="en-US" w:eastAsia="zh-CN"/>
        </w:rPr>
        <w:t xml:space="preserve"> </w:t>
      </w:r>
      <w:r>
        <w:rPr>
          <w:rFonts w:hint="eastAsia" w:ascii="宋体" w:hAnsi="宋体" w:eastAsia="宋体" w:cs="宋体"/>
          <w:sz w:val="28"/>
          <w:szCs w:val="36"/>
        </w:rPr>
        <w:t>内容：政务会议拍摄布光、多平台视频剪辑技巧（含字幕、特效）。</w:t>
      </w:r>
    </w:p>
    <w:p w14:paraId="21F733AD">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形式：设备操作演示+学员动手实践。</w:t>
      </w:r>
    </w:p>
    <w:p w14:paraId="21C41EB3">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要求：提供软件安装包及操作手册。</w:t>
      </w:r>
    </w:p>
    <w:p w14:paraId="32BA17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5. 全民阅读与文化服务</w:t>
      </w:r>
    </w:p>
    <w:p w14:paraId="61CD1C16">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内容：阅读活动设计、残疾人文化服务资源整合、心理关怀沟通技巧。</w:t>
      </w:r>
    </w:p>
    <w:p w14:paraId="097313E9">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形式：工作坊+角色扮演。</w:t>
      </w:r>
    </w:p>
    <w:p w14:paraId="543060B5">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6.人工智能应用培训</w:t>
      </w:r>
    </w:p>
    <w:p w14:paraId="2C7EF7E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宋体" w:hAnsi="宋体" w:eastAsia="宋体" w:cs="宋体"/>
          <w:sz w:val="28"/>
          <w:szCs w:val="36"/>
          <w:lang w:eastAsia="zh-CN"/>
        </w:rPr>
      </w:pPr>
      <w:r>
        <w:rPr>
          <w:rFonts w:hint="eastAsia" w:ascii="宋体" w:hAnsi="宋体" w:cs="宋体"/>
          <w:sz w:val="28"/>
          <w:szCs w:val="36"/>
          <w:lang w:eastAsia="zh-CN"/>
        </w:rPr>
        <w:t>形式：</w:t>
      </w:r>
      <w:r>
        <w:rPr>
          <w:rFonts w:hint="eastAsia" w:ascii="宋体" w:hAnsi="宋体" w:eastAsia="宋体" w:cs="宋体"/>
          <w:sz w:val="28"/>
          <w:szCs w:val="36"/>
        </w:rPr>
        <w:t>理论授课+实操</w:t>
      </w:r>
    </w:p>
    <w:p w14:paraId="268395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（三）培训形式</w:t>
      </w:r>
    </w:p>
    <w:p w14:paraId="41414B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线下</w:t>
      </w:r>
      <w:r>
        <w:rPr>
          <w:rFonts w:hint="eastAsia" w:ascii="宋体" w:hAnsi="宋体" w:cs="宋体"/>
          <w:sz w:val="28"/>
          <w:szCs w:val="36"/>
          <w:lang w:val="en-US" w:eastAsia="zh-CN"/>
        </w:rPr>
        <w:t>集</w:t>
      </w:r>
      <w:r>
        <w:rPr>
          <w:rFonts w:hint="eastAsia" w:ascii="宋体" w:hAnsi="宋体" w:eastAsia="宋体" w:cs="宋体"/>
          <w:sz w:val="28"/>
          <w:szCs w:val="36"/>
        </w:rPr>
        <w:t>中培训</w:t>
      </w:r>
    </w:p>
    <w:p w14:paraId="51FA0EB6">
      <w:pPr>
        <w:keepNext w:val="0"/>
        <w:keepLines w:val="0"/>
        <w:pageBreakBefore w:val="0"/>
        <w:widowControl w:val="0"/>
        <w:kinsoku/>
        <w:wordWrap/>
        <w:overflowPunct/>
        <w:topLinePunct w:val="0"/>
        <w:autoSpaceDE/>
        <w:autoSpaceDN/>
        <w:bidi w:val="0"/>
        <w:adjustRightInd/>
        <w:snapToGrid/>
        <w:spacing w:line="560" w:lineRule="exact"/>
        <w:ind w:firstLine="280" w:firstLineChars="100"/>
        <w:textAlignment w:val="auto"/>
        <w:rPr>
          <w:rFonts w:hint="eastAsia" w:ascii="宋体" w:hAnsi="宋体" w:eastAsia="宋体" w:cs="宋体"/>
          <w:sz w:val="28"/>
          <w:szCs w:val="36"/>
        </w:rPr>
      </w:pPr>
      <w:r>
        <w:rPr>
          <w:rFonts w:hint="eastAsia" w:ascii="宋体" w:hAnsi="宋体" w:eastAsia="宋体" w:cs="宋体"/>
          <w:sz w:val="28"/>
          <w:szCs w:val="36"/>
        </w:rPr>
        <w:t>考核评估：学员满意度调查。</w:t>
      </w:r>
    </w:p>
    <w:p w14:paraId="49E26E5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（四）服务团队要求</w:t>
      </w:r>
    </w:p>
    <w:p w14:paraId="229629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rPr>
      </w:pPr>
      <w:r>
        <w:rPr>
          <w:rFonts w:hint="eastAsia" w:ascii="宋体" w:hAnsi="宋体" w:eastAsia="宋体" w:cs="宋体"/>
          <w:sz w:val="28"/>
          <w:szCs w:val="36"/>
        </w:rPr>
        <w:t xml:space="preserve"> 服务团队：配备后勤保障人员。</w:t>
      </w:r>
    </w:p>
    <w:p w14:paraId="3FDC95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8"/>
          <w:szCs w:val="36"/>
          <w:lang w:val="en-US" w:eastAsia="zh-CN"/>
        </w:rPr>
      </w:pPr>
      <w:r>
        <w:rPr>
          <w:rFonts w:hint="eastAsia" w:ascii="宋体" w:hAnsi="宋体" w:cs="宋体"/>
          <w:sz w:val="28"/>
          <w:szCs w:val="36"/>
          <w:lang w:val="en-US" w:eastAsia="zh-CN"/>
        </w:rPr>
        <w:t>（五）其他</w:t>
      </w:r>
      <w:r>
        <w:rPr>
          <w:rFonts w:hint="eastAsia" w:ascii="宋体" w:hAnsi="宋体" w:eastAsia="宋体" w:cs="宋体"/>
          <w:sz w:val="28"/>
          <w:szCs w:val="36"/>
          <w:lang w:val="en-US" w:eastAsia="zh-CN"/>
        </w:rPr>
        <w:t>要求</w:t>
      </w:r>
    </w:p>
    <w:p w14:paraId="3DDF72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8"/>
          <w:szCs w:val="36"/>
          <w:lang w:val="en-US" w:eastAsia="zh-CN"/>
        </w:rPr>
      </w:pPr>
      <w:r>
        <w:rPr>
          <w:rFonts w:hint="eastAsia" w:ascii="宋体" w:hAnsi="宋体" w:eastAsia="宋体" w:cs="宋体"/>
          <w:sz w:val="28"/>
          <w:szCs w:val="36"/>
          <w:lang w:val="en-US" w:eastAsia="zh-CN"/>
        </w:rPr>
        <w:t>1、</w:t>
      </w:r>
      <w:r>
        <w:rPr>
          <w:rFonts w:hint="eastAsia" w:ascii="宋体" w:hAnsi="宋体" w:cs="宋体"/>
          <w:sz w:val="28"/>
          <w:szCs w:val="36"/>
          <w:lang w:val="en-US" w:eastAsia="zh-CN"/>
        </w:rPr>
        <w:t>本项目培训班中标单位需做好对残疾人的生活保障，按需配备无障碍设施，保障残疾人平等、充分、便捷地参与和融入本次活动。</w:t>
      </w:r>
    </w:p>
    <w:p w14:paraId="4FE94A6A">
      <w:pPr>
        <w:pageBreakBefore w:val="0"/>
        <w:widowControl w:val="0"/>
        <w:kinsoku/>
        <w:wordWrap/>
        <w:overflowPunct/>
        <w:topLinePunct w:val="0"/>
        <w:autoSpaceDE/>
        <w:autoSpaceDN/>
        <w:bidi w:val="0"/>
        <w:adjustRightInd/>
        <w:snapToGrid/>
        <w:spacing w:line="560" w:lineRule="exact"/>
        <w:textAlignment w:val="auto"/>
        <w:rPr>
          <w:rFonts w:hint="eastAsia" w:ascii="宋体" w:hAnsi="宋体" w:cs="宋体"/>
          <w:sz w:val="28"/>
          <w:szCs w:val="36"/>
          <w:lang w:val="en-US" w:eastAsia="zh-CN"/>
        </w:rPr>
      </w:pPr>
      <w:r>
        <w:rPr>
          <w:rFonts w:hint="eastAsia" w:ascii="宋体" w:hAnsi="宋体" w:cs="宋体"/>
          <w:sz w:val="28"/>
          <w:szCs w:val="36"/>
          <w:lang w:val="en-US" w:eastAsia="zh-CN"/>
        </w:rPr>
        <w:br w:type="page"/>
      </w:r>
    </w:p>
    <w:p w14:paraId="2B136C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s="宋体"/>
          <w:sz w:val="28"/>
          <w:szCs w:val="36"/>
          <w:lang w:val="en-US" w:eastAsia="zh-CN"/>
        </w:rPr>
      </w:pPr>
    </w:p>
    <w:p w14:paraId="6F81E967">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87" w:name="_Toc24651"/>
      <w:bookmarkStart w:id="88" w:name="_Toc10724"/>
      <w:r>
        <w:rPr>
          <w:rFonts w:hint="eastAsia" w:asciiTheme="minorEastAsia" w:hAnsiTheme="minorEastAsia" w:eastAsiaTheme="minorEastAsia" w:cstheme="minorEastAsia"/>
          <w:color w:val="auto"/>
          <w:spacing w:val="0"/>
          <w:position w:val="0"/>
          <w:highlight w:val="none"/>
        </w:rPr>
        <w:t>评审方法</w:t>
      </w:r>
      <w:bookmarkEnd w:id="82"/>
      <w:bookmarkEnd w:id="83"/>
      <w:bookmarkEnd w:id="84"/>
      <w:bookmarkEnd w:id="85"/>
      <w:bookmarkEnd w:id="87"/>
      <w:bookmarkEnd w:id="88"/>
    </w:p>
    <w:p w14:paraId="73F69ED1">
      <w:pPr>
        <w:keepNext w:val="0"/>
        <w:keepLines w:val="0"/>
        <w:pageBreakBefore w:val="0"/>
        <w:widowControl w:val="0"/>
        <w:tabs>
          <w:tab w:val="left" w:pos="420"/>
          <w:tab w:val="left" w:pos="7560"/>
          <w:tab w:val="left" w:pos="7740"/>
          <w:tab w:val="left" w:pos="7920"/>
        </w:tabs>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color w:val="auto"/>
          <w:spacing w:val="0"/>
          <w:position w:val="0"/>
          <w:sz w:val="24"/>
          <w:szCs w:val="24"/>
          <w:highlight w:val="none"/>
        </w:rPr>
      </w:pPr>
      <w:bookmarkStart w:id="89" w:name="_Toc293736067"/>
      <w:bookmarkStart w:id="90" w:name="_Toc446599330"/>
      <w:bookmarkStart w:id="91" w:name="_Toc293736024"/>
      <w:bookmarkStart w:id="92" w:name="_Toc293739005"/>
      <w:r>
        <w:rPr>
          <w:rFonts w:hint="eastAsia" w:asciiTheme="minorEastAsia" w:hAnsiTheme="minorEastAsia" w:eastAsiaTheme="minorEastAsia" w:cstheme="minorEastAsia"/>
          <w:b/>
          <w:color w:val="auto"/>
          <w:spacing w:val="0"/>
          <w:position w:val="0"/>
          <w:sz w:val="24"/>
          <w:szCs w:val="24"/>
          <w:highlight w:val="none"/>
          <w:lang w:val="en-US" w:eastAsia="zh-CN"/>
        </w:rPr>
        <w:t>一、</w:t>
      </w:r>
      <w:r>
        <w:rPr>
          <w:rFonts w:hint="eastAsia" w:asciiTheme="minorEastAsia" w:hAnsiTheme="minorEastAsia" w:eastAsiaTheme="minorEastAsia" w:cstheme="minorEastAsia"/>
          <w:b/>
          <w:color w:val="auto"/>
          <w:spacing w:val="0"/>
          <w:position w:val="0"/>
          <w:sz w:val="24"/>
          <w:szCs w:val="24"/>
          <w:highlight w:val="none"/>
        </w:rPr>
        <w:t>综合评分</w:t>
      </w:r>
    </w:p>
    <w:p w14:paraId="47BC0B2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经磋商确定最终采购需求和提交最后报价的供应商后，由磋商小组采用综合评分法对提交最后报价的供应商的响应文件和最后报价进行综合评分。</w:t>
      </w:r>
    </w:p>
    <w:p w14:paraId="47615A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综合评分法，是指响应文件满足磋商文件全部实质性要求且按评审因素的量化指标评审得分最高的供应商为成交候选供应商的评审方法。</w:t>
      </w:r>
    </w:p>
    <w:p w14:paraId="354DE6F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评审时，磋商小组各成员应当独立对每个有效响应的文件进行评价、打分，然后汇总每个供应商每项评分因素的得分。</w:t>
      </w:r>
    </w:p>
    <w:p w14:paraId="0693497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3</w:t>
      </w:r>
      <w:r>
        <w:rPr>
          <w:rFonts w:hint="eastAsia" w:asciiTheme="minorEastAsia" w:hAnsiTheme="minorEastAsia" w:eastAsiaTheme="minorEastAsia" w:cstheme="minorEastAsia"/>
          <w:color w:val="auto"/>
          <w:spacing w:val="0"/>
          <w:position w:val="0"/>
          <w:sz w:val="24"/>
          <w:szCs w:val="24"/>
          <w:highlight w:val="none"/>
          <w:lang w:eastAsia="zh-CN"/>
        </w:rPr>
        <w:t>.</w:t>
      </w:r>
      <w:r>
        <w:rPr>
          <w:rFonts w:hint="eastAsia" w:asciiTheme="minorEastAsia" w:hAnsiTheme="minorEastAsia" w:eastAsiaTheme="minorEastAsia" w:cstheme="minorEastAsia"/>
          <w:color w:val="auto"/>
          <w:spacing w:val="0"/>
          <w:position w:val="0"/>
          <w:sz w:val="24"/>
          <w:szCs w:val="24"/>
          <w:highlight w:val="none"/>
        </w:rPr>
        <w:t>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50C60B0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二</w:t>
      </w:r>
      <w:r>
        <w:rPr>
          <w:rFonts w:hint="eastAsia" w:asciiTheme="minorEastAsia" w:hAnsiTheme="minorEastAsia" w:eastAsiaTheme="minorEastAsia" w:cstheme="minorEastAsia"/>
          <w:b/>
          <w:bCs/>
          <w:color w:val="auto"/>
          <w:spacing w:val="0"/>
          <w:position w:val="0"/>
          <w:sz w:val="24"/>
          <w:szCs w:val="24"/>
          <w:highlight w:val="none"/>
          <w:lang w:eastAsia="zh-CN"/>
        </w:rPr>
        <w:t>、</w:t>
      </w:r>
      <w:r>
        <w:rPr>
          <w:rFonts w:hint="eastAsia" w:asciiTheme="minorEastAsia" w:hAnsiTheme="minorEastAsia" w:eastAsiaTheme="minorEastAsia" w:cstheme="minorEastAsia"/>
          <w:b/>
          <w:bCs/>
          <w:color w:val="auto"/>
          <w:spacing w:val="0"/>
          <w:position w:val="0"/>
          <w:sz w:val="24"/>
          <w:szCs w:val="24"/>
          <w:highlight w:val="none"/>
        </w:rPr>
        <w:t>综合评分</w:t>
      </w:r>
      <w:r>
        <w:rPr>
          <w:rFonts w:hint="eastAsia" w:asciiTheme="minorEastAsia" w:hAnsiTheme="minorEastAsia" w:eastAsiaTheme="minorEastAsia" w:cstheme="minorEastAsia"/>
          <w:b/>
          <w:bCs/>
          <w:color w:val="auto"/>
          <w:spacing w:val="0"/>
          <w:position w:val="0"/>
          <w:sz w:val="24"/>
          <w:szCs w:val="24"/>
          <w:highlight w:val="none"/>
          <w:lang w:val="en-US" w:eastAsia="zh-CN"/>
        </w:rPr>
        <w:t>细则</w:t>
      </w:r>
      <w:r>
        <w:rPr>
          <w:rFonts w:hint="eastAsia" w:asciiTheme="minorEastAsia" w:hAnsiTheme="minorEastAsia" w:eastAsiaTheme="minorEastAsia" w:cstheme="minorEastAsia"/>
          <w:b/>
          <w:bCs/>
          <w:color w:val="auto"/>
          <w:spacing w:val="0"/>
          <w:position w:val="0"/>
          <w:sz w:val="24"/>
          <w:szCs w:val="24"/>
          <w:highlight w:val="none"/>
        </w:rPr>
        <w:t>表</w:t>
      </w:r>
    </w:p>
    <w:tbl>
      <w:tblPr>
        <w:tblStyle w:val="34"/>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2"/>
        <w:gridCol w:w="898"/>
        <w:gridCol w:w="1400"/>
        <w:gridCol w:w="5429"/>
        <w:gridCol w:w="833"/>
        <w:gridCol w:w="689"/>
      </w:tblGrid>
      <w:tr w14:paraId="7FC6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790" w:type="dxa"/>
            <w:gridSpan w:val="2"/>
            <w:vMerge w:val="restart"/>
            <w:vAlign w:val="center"/>
          </w:tcPr>
          <w:p w14:paraId="54C7206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评分因素</w:t>
            </w:r>
          </w:p>
        </w:tc>
        <w:tc>
          <w:tcPr>
            <w:tcW w:w="1400" w:type="dxa"/>
            <w:vMerge w:val="restart"/>
            <w:vAlign w:val="center"/>
          </w:tcPr>
          <w:p w14:paraId="5CB5211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评分点</w:t>
            </w:r>
          </w:p>
        </w:tc>
        <w:tc>
          <w:tcPr>
            <w:tcW w:w="5429" w:type="dxa"/>
            <w:vMerge w:val="restart"/>
            <w:vAlign w:val="center"/>
          </w:tcPr>
          <w:p w14:paraId="04E4F16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评分标准</w:t>
            </w:r>
          </w:p>
        </w:tc>
        <w:tc>
          <w:tcPr>
            <w:tcW w:w="1522" w:type="dxa"/>
            <w:gridSpan w:val="2"/>
            <w:vAlign w:val="top"/>
          </w:tcPr>
          <w:p w14:paraId="7A16C71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评审意见</w:t>
            </w:r>
          </w:p>
        </w:tc>
      </w:tr>
      <w:tr w14:paraId="16E8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8" w:hRule="atLeast"/>
          <w:jc w:val="center"/>
        </w:trPr>
        <w:tc>
          <w:tcPr>
            <w:tcW w:w="1790" w:type="dxa"/>
            <w:gridSpan w:val="2"/>
            <w:vMerge w:val="continue"/>
            <w:vAlign w:val="top"/>
          </w:tcPr>
          <w:p w14:paraId="319F18F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p>
        </w:tc>
        <w:tc>
          <w:tcPr>
            <w:tcW w:w="1400" w:type="dxa"/>
            <w:vMerge w:val="continue"/>
            <w:vAlign w:val="center"/>
          </w:tcPr>
          <w:p w14:paraId="543627F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p>
        </w:tc>
        <w:tc>
          <w:tcPr>
            <w:tcW w:w="5429" w:type="dxa"/>
            <w:vMerge w:val="continue"/>
            <w:vAlign w:val="center"/>
          </w:tcPr>
          <w:p w14:paraId="08F0D1A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p>
        </w:tc>
        <w:tc>
          <w:tcPr>
            <w:tcW w:w="833" w:type="dxa"/>
            <w:vAlign w:val="top"/>
          </w:tcPr>
          <w:p w14:paraId="0F05952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是</w:t>
            </w:r>
          </w:p>
        </w:tc>
        <w:tc>
          <w:tcPr>
            <w:tcW w:w="689" w:type="dxa"/>
            <w:vAlign w:val="top"/>
          </w:tcPr>
          <w:p w14:paraId="0FAF748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否</w:t>
            </w:r>
          </w:p>
        </w:tc>
      </w:tr>
      <w:tr w14:paraId="63F79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restart"/>
            <w:vAlign w:val="center"/>
          </w:tcPr>
          <w:p w14:paraId="1F6A22E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初步评审</w:t>
            </w:r>
          </w:p>
        </w:tc>
        <w:tc>
          <w:tcPr>
            <w:tcW w:w="898" w:type="dxa"/>
            <w:vMerge w:val="restart"/>
            <w:vAlign w:val="center"/>
          </w:tcPr>
          <w:p w14:paraId="081EFFF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符合性检查</w:t>
            </w:r>
          </w:p>
        </w:tc>
        <w:tc>
          <w:tcPr>
            <w:tcW w:w="1400" w:type="dxa"/>
            <w:vAlign w:val="center"/>
          </w:tcPr>
          <w:p w14:paraId="44FCE6AC">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b/>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供应商</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名称</w:t>
            </w:r>
          </w:p>
        </w:tc>
        <w:tc>
          <w:tcPr>
            <w:tcW w:w="5429" w:type="dxa"/>
            <w:vAlign w:val="center"/>
          </w:tcPr>
          <w:p w14:paraId="35ECABD1">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是否与营业执照一致</w:t>
            </w:r>
          </w:p>
        </w:tc>
        <w:tc>
          <w:tcPr>
            <w:tcW w:w="833" w:type="dxa"/>
            <w:vAlign w:val="top"/>
          </w:tcPr>
          <w:p w14:paraId="1615A96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34A92C0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34815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2540898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7250556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667C943A">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文件签章</w:t>
            </w:r>
          </w:p>
        </w:tc>
        <w:tc>
          <w:tcPr>
            <w:tcW w:w="5429" w:type="dxa"/>
            <w:vAlign w:val="center"/>
          </w:tcPr>
          <w:p w14:paraId="29E32BC3">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是否按照规定在应由企业法人或法人授权代表在所有规定签字处逐一签章及加盖单位公章</w:t>
            </w:r>
          </w:p>
        </w:tc>
        <w:tc>
          <w:tcPr>
            <w:tcW w:w="833" w:type="dxa"/>
            <w:vAlign w:val="top"/>
          </w:tcPr>
          <w:p w14:paraId="774CDD2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6591F8DF">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7A8C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305C174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2030CA7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3EDAE1A3">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投标报价</w:t>
            </w:r>
          </w:p>
        </w:tc>
        <w:tc>
          <w:tcPr>
            <w:tcW w:w="5429" w:type="dxa"/>
            <w:vAlign w:val="center"/>
          </w:tcPr>
          <w:p w14:paraId="1F649C2B">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针对同一种货物</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或服务</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出现了两个或两个以上的报价；报价超过项目/包预算或最高限价或经评标委员会认定低于成本的</w:t>
            </w:r>
          </w:p>
        </w:tc>
        <w:tc>
          <w:tcPr>
            <w:tcW w:w="833" w:type="dxa"/>
            <w:vAlign w:val="top"/>
          </w:tcPr>
          <w:p w14:paraId="42F4C8A9">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006A4DF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298DE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1382D0E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621E53A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5963CEE3">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内容</w:t>
            </w:r>
          </w:p>
        </w:tc>
        <w:tc>
          <w:tcPr>
            <w:tcW w:w="5429" w:type="dxa"/>
            <w:vAlign w:val="center"/>
          </w:tcPr>
          <w:p w14:paraId="168BE7FC">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响应文件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按照</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规定的内容填写</w:t>
            </w:r>
          </w:p>
        </w:tc>
        <w:tc>
          <w:tcPr>
            <w:tcW w:w="833" w:type="dxa"/>
            <w:vAlign w:val="top"/>
          </w:tcPr>
          <w:p w14:paraId="5D03E65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0A30929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5EA91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42287AE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4B94043D">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26F28279">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投标有效期</w:t>
            </w:r>
          </w:p>
        </w:tc>
        <w:tc>
          <w:tcPr>
            <w:tcW w:w="5429" w:type="dxa"/>
            <w:vAlign w:val="center"/>
          </w:tcPr>
          <w:p w14:paraId="138BCFB6">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投标有效期满足</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要求</w:t>
            </w:r>
          </w:p>
        </w:tc>
        <w:tc>
          <w:tcPr>
            <w:tcW w:w="833" w:type="dxa"/>
            <w:vAlign w:val="top"/>
          </w:tcPr>
          <w:p w14:paraId="76775D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6EAA592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0C783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892" w:type="dxa"/>
            <w:vMerge w:val="continue"/>
            <w:vAlign w:val="top"/>
          </w:tcPr>
          <w:p w14:paraId="734C622F">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3BC4FC5E">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26D979A9">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服务期限</w:t>
            </w:r>
          </w:p>
        </w:tc>
        <w:tc>
          <w:tcPr>
            <w:tcW w:w="5429" w:type="dxa"/>
            <w:vAlign w:val="center"/>
          </w:tcPr>
          <w:p w14:paraId="7CC53C0F">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服务期限</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是否满足</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要求</w:t>
            </w:r>
          </w:p>
        </w:tc>
        <w:tc>
          <w:tcPr>
            <w:tcW w:w="833" w:type="dxa"/>
            <w:vAlign w:val="top"/>
          </w:tcPr>
          <w:p w14:paraId="483DC25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5A21C5F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0F315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17079382">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4D27B868">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2D423469">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center"/>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其他</w:t>
            </w:r>
          </w:p>
        </w:tc>
        <w:tc>
          <w:tcPr>
            <w:tcW w:w="5429" w:type="dxa"/>
            <w:vAlign w:val="center"/>
          </w:tcPr>
          <w:p w14:paraId="03633450">
            <w:pPr>
              <w:pStyle w:val="99"/>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0" w:firstLineChars="0"/>
              <w:jc w:val="left"/>
              <w:textAlignment w:val="baseline"/>
              <w:rPr>
                <w:rFonts w:hint="eastAsia" w:asciiTheme="minorEastAsia" w:hAnsiTheme="minorEastAsia" w:eastAsiaTheme="minorEastAsia" w:cstheme="minorEastAsia"/>
                <w:color w:val="auto"/>
                <w:spacing w:val="0"/>
                <w:position w:val="0"/>
                <w:sz w:val="24"/>
                <w:szCs w:val="24"/>
                <w:highlight w:val="none"/>
              </w:rPr>
            </w:pP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违反国家法律、法规和</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eastAsia="zh-CN" w:bidi="ar-SA"/>
              </w:rPr>
              <w:t>磋商文件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规定的其他无效情形</w:t>
            </w:r>
          </w:p>
        </w:tc>
        <w:tc>
          <w:tcPr>
            <w:tcW w:w="833" w:type="dxa"/>
            <w:vAlign w:val="top"/>
          </w:tcPr>
          <w:p w14:paraId="03451C3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689" w:type="dxa"/>
            <w:vAlign w:val="center"/>
          </w:tcPr>
          <w:p w14:paraId="3803109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r>
      <w:tr w14:paraId="4447F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7" w:hRule="atLeast"/>
          <w:jc w:val="center"/>
        </w:trPr>
        <w:tc>
          <w:tcPr>
            <w:tcW w:w="1790" w:type="dxa"/>
            <w:gridSpan w:val="2"/>
            <w:vAlign w:val="top"/>
          </w:tcPr>
          <w:p w14:paraId="3DD4DAA8">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245"/>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评分因素</w:t>
            </w:r>
          </w:p>
        </w:tc>
        <w:tc>
          <w:tcPr>
            <w:tcW w:w="1400" w:type="dxa"/>
            <w:vAlign w:val="center"/>
          </w:tcPr>
          <w:p w14:paraId="007C4ED4">
            <w:pPr>
              <w:keepNext w:val="0"/>
              <w:keepLines w:val="0"/>
              <w:pageBreakBefore w:val="0"/>
              <w:widowControl w:val="0"/>
              <w:kinsoku/>
              <w:wordWrap/>
              <w:overflowPunct/>
              <w:topLinePunct w:val="0"/>
              <w:autoSpaceDE/>
              <w:autoSpaceDN/>
              <w:bidi w:val="0"/>
              <w:adjustRightInd w:val="0"/>
              <w:snapToGrid w:val="0"/>
              <w:spacing w:line="440" w:lineRule="exact"/>
              <w:ind w:firstLine="602" w:firstLineChars="250"/>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评分点</w:t>
            </w:r>
          </w:p>
        </w:tc>
        <w:tc>
          <w:tcPr>
            <w:tcW w:w="5429" w:type="dxa"/>
            <w:vAlign w:val="center"/>
          </w:tcPr>
          <w:p w14:paraId="40D7DD4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评分标准</w:t>
            </w:r>
          </w:p>
        </w:tc>
        <w:tc>
          <w:tcPr>
            <w:tcW w:w="1522" w:type="dxa"/>
            <w:gridSpan w:val="2"/>
            <w:vAlign w:val="top"/>
          </w:tcPr>
          <w:p w14:paraId="1FF1B11C">
            <w:pPr>
              <w:keepNext w:val="0"/>
              <w:keepLines w:val="0"/>
              <w:pageBreakBefore w:val="0"/>
              <w:widowControl w:val="0"/>
              <w:kinsoku/>
              <w:wordWrap/>
              <w:overflowPunct/>
              <w:topLinePunct w:val="0"/>
              <w:autoSpaceDE/>
              <w:autoSpaceDN/>
              <w:bidi w:val="0"/>
              <w:adjustRightInd w:val="0"/>
              <w:snapToGrid w:val="0"/>
              <w:spacing w:line="440" w:lineRule="exact"/>
              <w:ind w:firstLine="354" w:firstLineChars="147"/>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b/>
                <w:color w:val="auto"/>
                <w:spacing w:val="0"/>
                <w:position w:val="0"/>
                <w:sz w:val="24"/>
                <w:szCs w:val="24"/>
                <w:highlight w:val="none"/>
                <w:lang w:eastAsia="zh-CN"/>
              </w:rPr>
              <w:t>分值</w:t>
            </w:r>
          </w:p>
        </w:tc>
      </w:tr>
      <w:tr w14:paraId="2A77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91" w:hRule="atLeast"/>
          <w:jc w:val="center"/>
        </w:trPr>
        <w:tc>
          <w:tcPr>
            <w:tcW w:w="892" w:type="dxa"/>
            <w:vMerge w:val="restart"/>
            <w:vAlign w:val="top"/>
          </w:tcPr>
          <w:p w14:paraId="788256C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p w14:paraId="08E3AF0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p w14:paraId="2D58A7E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p w14:paraId="1ACFA46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p w14:paraId="44AE4AB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p w14:paraId="19DD12F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p w14:paraId="34A3BF2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详细评审</w:t>
            </w:r>
          </w:p>
        </w:tc>
        <w:tc>
          <w:tcPr>
            <w:tcW w:w="898" w:type="dxa"/>
            <w:vAlign w:val="center"/>
          </w:tcPr>
          <w:p w14:paraId="359D48C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价格评审</w:t>
            </w:r>
          </w:p>
        </w:tc>
        <w:tc>
          <w:tcPr>
            <w:tcW w:w="1400" w:type="dxa"/>
            <w:vAlign w:val="center"/>
          </w:tcPr>
          <w:p w14:paraId="40757759">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投标报价</w:t>
            </w:r>
          </w:p>
        </w:tc>
        <w:tc>
          <w:tcPr>
            <w:tcW w:w="6262" w:type="dxa"/>
            <w:gridSpan w:val="2"/>
            <w:vAlign w:val="center"/>
          </w:tcPr>
          <w:p w14:paraId="69DE989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磋商小组只对符合性检查合格的响应文件进行价格评议，报价分采用低价优先法计算，即满足磋商文件要求且最终报价最低为评审基准价，其价格分为满分。其他供应商的价格分按照下列公式计算：磋商报价得分=(</w:t>
            </w:r>
            <w:r>
              <w:rPr>
                <w:rFonts w:hint="eastAsia" w:asciiTheme="minorEastAsia" w:hAnsiTheme="minorEastAsia" w:eastAsiaTheme="minorEastAsia" w:cstheme="minorEastAsia"/>
                <w:bCs/>
                <w:color w:val="auto"/>
                <w:spacing w:val="0"/>
                <w:position w:val="0"/>
                <w:sz w:val="24"/>
                <w:szCs w:val="24"/>
                <w:highlight w:val="none"/>
                <w:lang w:val="en-US" w:eastAsia="zh-CN"/>
              </w:rPr>
              <w:t>磋商</w:t>
            </w:r>
            <w:r>
              <w:rPr>
                <w:rFonts w:hint="eastAsia" w:asciiTheme="minorEastAsia" w:hAnsiTheme="minorEastAsia" w:eastAsiaTheme="minorEastAsia" w:cstheme="minorEastAsia"/>
                <w:bCs/>
                <w:color w:val="auto"/>
                <w:spacing w:val="0"/>
                <w:position w:val="0"/>
                <w:sz w:val="24"/>
                <w:szCs w:val="24"/>
                <w:highlight w:val="none"/>
              </w:rPr>
              <w:t>基准价／</w:t>
            </w:r>
            <w:r>
              <w:rPr>
                <w:rFonts w:hint="eastAsia" w:asciiTheme="minorEastAsia" w:hAnsiTheme="minorEastAsia" w:eastAsiaTheme="minorEastAsia" w:cstheme="minorEastAsia"/>
                <w:bCs/>
                <w:color w:val="auto"/>
                <w:spacing w:val="0"/>
                <w:position w:val="0"/>
                <w:sz w:val="24"/>
                <w:szCs w:val="24"/>
                <w:highlight w:val="none"/>
                <w:lang w:val="en-US" w:eastAsia="zh-CN"/>
              </w:rPr>
              <w:t>最后磋商</w:t>
            </w:r>
            <w:r>
              <w:rPr>
                <w:rFonts w:hint="eastAsia" w:asciiTheme="minorEastAsia" w:hAnsiTheme="minorEastAsia" w:eastAsiaTheme="minorEastAsia" w:cstheme="minorEastAsia"/>
                <w:bCs/>
                <w:color w:val="auto"/>
                <w:spacing w:val="0"/>
                <w:position w:val="0"/>
                <w:sz w:val="24"/>
                <w:szCs w:val="24"/>
                <w:highlight w:val="none"/>
              </w:rPr>
              <w:t>报价)×</w:t>
            </w:r>
            <w:r>
              <w:rPr>
                <w:rFonts w:hint="eastAsia" w:asciiTheme="minorEastAsia" w:hAnsiTheme="minorEastAsia" w:eastAsiaTheme="minorEastAsia" w:cstheme="minorEastAsia"/>
                <w:bCs/>
                <w:color w:val="auto"/>
                <w:spacing w:val="0"/>
                <w:position w:val="0"/>
                <w:sz w:val="24"/>
                <w:szCs w:val="24"/>
                <w:highlight w:val="none"/>
                <w:lang w:val="en-US" w:eastAsia="zh-CN"/>
              </w:rPr>
              <w:t>10</w:t>
            </w:r>
            <w:r>
              <w:rPr>
                <w:rFonts w:hint="eastAsia" w:asciiTheme="minorEastAsia" w:hAnsiTheme="minorEastAsia" w:eastAsiaTheme="minorEastAsia" w:cstheme="minorEastAsia"/>
                <w:bCs/>
                <w:color w:val="auto"/>
                <w:spacing w:val="0"/>
                <w:position w:val="0"/>
                <w:sz w:val="24"/>
                <w:szCs w:val="24"/>
                <w:highlight w:val="none"/>
              </w:rPr>
              <w:t>。</w:t>
            </w:r>
          </w:p>
        </w:tc>
        <w:tc>
          <w:tcPr>
            <w:tcW w:w="689" w:type="dxa"/>
            <w:vAlign w:val="center"/>
          </w:tcPr>
          <w:p w14:paraId="2E77EB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10分</w:t>
            </w:r>
          </w:p>
        </w:tc>
      </w:tr>
      <w:tr w14:paraId="4401C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67" w:hRule="atLeast"/>
          <w:jc w:val="center"/>
        </w:trPr>
        <w:tc>
          <w:tcPr>
            <w:tcW w:w="892" w:type="dxa"/>
            <w:vMerge w:val="continue"/>
            <w:vAlign w:val="top"/>
          </w:tcPr>
          <w:p w14:paraId="15F3B645">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restart"/>
            <w:vAlign w:val="center"/>
          </w:tcPr>
          <w:p w14:paraId="0AFA10D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商务标评审</w:t>
            </w:r>
          </w:p>
        </w:tc>
        <w:tc>
          <w:tcPr>
            <w:tcW w:w="1400" w:type="dxa"/>
            <w:vAlign w:val="center"/>
          </w:tcPr>
          <w:p w14:paraId="364CBF45">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t>业绩情况</w:t>
            </w:r>
          </w:p>
        </w:tc>
        <w:tc>
          <w:tcPr>
            <w:tcW w:w="6262" w:type="dxa"/>
            <w:gridSpan w:val="2"/>
            <w:vAlign w:val="center"/>
          </w:tcPr>
          <w:p w14:paraId="564951A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lang w:val="en-US" w:eastAsia="zh-CN"/>
              </w:rPr>
              <w:t>投标人提供近三年来完成的类似项目业绩（须提供成交通知书或合同或业主证明材料，每提供 1 项得 2 分，最多得 10 分。注：</w:t>
            </w:r>
            <w:r>
              <w:rPr>
                <w:rFonts w:hint="eastAsia" w:asciiTheme="minorEastAsia" w:hAnsiTheme="minorEastAsia" w:eastAsiaTheme="minorEastAsia" w:cstheme="minorEastAsia"/>
                <w:bCs/>
                <w:color w:val="auto"/>
                <w:spacing w:val="0"/>
                <w:position w:val="0"/>
                <w:sz w:val="24"/>
                <w:szCs w:val="24"/>
                <w:highlight w:val="none"/>
              </w:rPr>
              <w:t>在标书中附清晰且完整的复印件，否则不得分。</w:t>
            </w:r>
          </w:p>
        </w:tc>
        <w:tc>
          <w:tcPr>
            <w:tcW w:w="689" w:type="dxa"/>
            <w:vAlign w:val="center"/>
          </w:tcPr>
          <w:p w14:paraId="5B3BD62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10分</w:t>
            </w:r>
          </w:p>
        </w:tc>
      </w:tr>
      <w:tr w14:paraId="18C4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50" w:hRule="atLeast"/>
          <w:jc w:val="center"/>
        </w:trPr>
        <w:tc>
          <w:tcPr>
            <w:tcW w:w="892" w:type="dxa"/>
            <w:vMerge w:val="continue"/>
            <w:vAlign w:val="top"/>
          </w:tcPr>
          <w:p w14:paraId="0A48B1C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128C052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7FCA4134">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项目负责人</w:t>
            </w:r>
          </w:p>
        </w:tc>
        <w:tc>
          <w:tcPr>
            <w:tcW w:w="6262" w:type="dxa"/>
            <w:gridSpan w:val="2"/>
            <w:vAlign w:val="top"/>
          </w:tcPr>
          <w:p w14:paraId="6A0AD5E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lang w:val="en-US" w:eastAsia="zh-CN"/>
              </w:rPr>
              <w:t>拟投入本项目的项目负责人（跟班辅助教师），负责配合协助培训讲师完成课堂教学及考核任务，需具备相关工作经验，</w:t>
            </w:r>
          </w:p>
          <w:p w14:paraId="09D4B886">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提供近三年来完成的类似项目业绩，每提供 1 项得 2分，最多得4分。</w:t>
            </w:r>
          </w:p>
          <w:p w14:paraId="50C0192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注：需提供近劳动合同、近三个月的社保缴纳证明材料、相应证书复印件、业绩证明文件（业绩证明文件需体现负责人姓名）等证明材料加盖公章。</w:t>
            </w:r>
          </w:p>
        </w:tc>
        <w:tc>
          <w:tcPr>
            <w:tcW w:w="689" w:type="dxa"/>
            <w:vAlign w:val="center"/>
          </w:tcPr>
          <w:p w14:paraId="0B0F83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4分</w:t>
            </w:r>
          </w:p>
        </w:tc>
      </w:tr>
      <w:tr w14:paraId="7E23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97" w:hRule="atLeast"/>
          <w:jc w:val="center"/>
        </w:trPr>
        <w:tc>
          <w:tcPr>
            <w:tcW w:w="892" w:type="dxa"/>
            <w:vMerge w:val="continue"/>
            <w:vAlign w:val="top"/>
          </w:tcPr>
          <w:p w14:paraId="10B8D90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2AB07D7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7A461E17">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师资团队</w:t>
            </w:r>
          </w:p>
        </w:tc>
        <w:tc>
          <w:tcPr>
            <w:tcW w:w="6262" w:type="dxa"/>
            <w:gridSpan w:val="2"/>
            <w:vAlign w:val="top"/>
          </w:tcPr>
          <w:p w14:paraId="283B0FC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拟投入本项目相关专业的教师团队人员，每提供1名副高级职称的得2分，每提供1名正高级职称的得3分，满分15分。未提供不得分。</w:t>
            </w:r>
          </w:p>
          <w:p w14:paraId="5E82AF7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注：需提供近劳动合同、近三个月的社保缴纳证明材料、相应证书复印件等证明材料加盖公章。</w:t>
            </w:r>
          </w:p>
        </w:tc>
        <w:tc>
          <w:tcPr>
            <w:tcW w:w="689" w:type="dxa"/>
            <w:vAlign w:val="center"/>
          </w:tcPr>
          <w:p w14:paraId="5F4BF1F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15分</w:t>
            </w:r>
          </w:p>
        </w:tc>
      </w:tr>
      <w:tr w14:paraId="026A3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69" w:hRule="atLeast"/>
          <w:jc w:val="center"/>
        </w:trPr>
        <w:tc>
          <w:tcPr>
            <w:tcW w:w="892" w:type="dxa"/>
            <w:vMerge w:val="continue"/>
            <w:vAlign w:val="top"/>
          </w:tcPr>
          <w:p w14:paraId="41C6362D">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4345BE26">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061FBEB0">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服务团队</w:t>
            </w:r>
          </w:p>
        </w:tc>
        <w:tc>
          <w:tcPr>
            <w:tcW w:w="6262" w:type="dxa"/>
            <w:gridSpan w:val="2"/>
            <w:vAlign w:val="top"/>
          </w:tcPr>
          <w:p w14:paraId="2DFA85A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拟投入本项目的服务团队人员，每提供1名后勤保障人员，得1分，满分5分。未提供不得分。</w:t>
            </w:r>
          </w:p>
          <w:p w14:paraId="409E8F7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注：需提供近劳动合同、近三个月的社保缴纳证明材料、相应证书复印件等证明材料加盖公章。</w:t>
            </w:r>
          </w:p>
        </w:tc>
        <w:tc>
          <w:tcPr>
            <w:tcW w:w="689" w:type="dxa"/>
            <w:vAlign w:val="center"/>
          </w:tcPr>
          <w:p w14:paraId="2F32CAB6">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5分</w:t>
            </w:r>
          </w:p>
        </w:tc>
      </w:tr>
      <w:tr w14:paraId="75DA8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892" w:type="dxa"/>
            <w:vMerge w:val="continue"/>
            <w:vAlign w:val="top"/>
          </w:tcPr>
          <w:p w14:paraId="17AEC0C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restart"/>
            <w:vAlign w:val="center"/>
          </w:tcPr>
          <w:p w14:paraId="6BCBA113">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技术标评审</w:t>
            </w:r>
          </w:p>
        </w:tc>
        <w:tc>
          <w:tcPr>
            <w:tcW w:w="1400" w:type="dxa"/>
            <w:vAlign w:val="center"/>
          </w:tcPr>
          <w:p w14:paraId="7F075D61">
            <w:pPr>
              <w:keepNext w:val="0"/>
              <w:keepLines w:val="0"/>
              <w:pageBreakBefore w:val="0"/>
              <w:widowControl/>
              <w:suppressLineNumbers w:val="0"/>
              <w:kinsoku/>
              <w:wordWrap/>
              <w:overflowPunct/>
              <w:topLinePunct w:val="0"/>
              <w:bidi w:val="0"/>
              <w:spacing w:line="288" w:lineRule="auto"/>
              <w:jc w:val="center"/>
              <w:textAlignment w:val="auto"/>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宋体" w:hAnsi="宋体" w:cs="宋体"/>
                <w:color w:val="000000"/>
                <w:kern w:val="0"/>
                <w:sz w:val="24"/>
                <w:szCs w:val="24"/>
                <w:highlight w:val="none"/>
                <w:lang w:val="en-US" w:eastAsia="zh-CN"/>
              </w:rPr>
              <w:t>培训</w:t>
            </w:r>
            <w:r>
              <w:rPr>
                <w:rFonts w:hint="eastAsia" w:ascii="宋体" w:hAnsi="宋体" w:cs="宋体"/>
                <w:color w:val="000000"/>
                <w:kern w:val="0"/>
                <w:sz w:val="24"/>
                <w:szCs w:val="24"/>
                <w:highlight w:val="none"/>
              </w:rPr>
              <w:t>方案</w:t>
            </w:r>
          </w:p>
        </w:tc>
        <w:tc>
          <w:tcPr>
            <w:tcW w:w="6262" w:type="dxa"/>
            <w:gridSpan w:val="2"/>
            <w:vAlign w:val="center"/>
          </w:tcPr>
          <w:p w14:paraId="7176C280">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供应商提供的方案，包括但不限于以下内容：</w:t>
            </w:r>
          </w:p>
          <w:p w14:paraId="2E795557">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①教学大纲； </w:t>
            </w:r>
          </w:p>
          <w:p w14:paraId="03DF909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②教学设备情况； </w:t>
            </w:r>
          </w:p>
          <w:p w14:paraId="5BB4B65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③培训程序安排； </w:t>
            </w:r>
          </w:p>
          <w:p w14:paraId="4CDA0D53">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④教学计划要求； </w:t>
            </w:r>
          </w:p>
          <w:p w14:paraId="2EDE930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⑤培训教材； </w:t>
            </w:r>
          </w:p>
          <w:p w14:paraId="6A8CE9BF">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⑥培训目标； </w:t>
            </w:r>
          </w:p>
          <w:p w14:paraId="4E3A6741">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⑦培训对象的技能达标要求； </w:t>
            </w:r>
          </w:p>
          <w:p w14:paraId="7940792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⑧考核情况。</w:t>
            </w:r>
          </w:p>
          <w:p w14:paraId="778E0C1C">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每提供一项得3分，满分24分。每项中每有一处具有缺陷(缺陷是指：存在不适用项目实际情况的情形、凭空编造、内容前后不一致、前后逻辑错误、涉及的规范及标准错误、地点区域错误、内容缺失、不符合采购需求等) 的扣1.5分，扣完为止。</w:t>
            </w:r>
          </w:p>
        </w:tc>
        <w:tc>
          <w:tcPr>
            <w:tcW w:w="689" w:type="dxa"/>
            <w:vAlign w:val="center"/>
          </w:tcPr>
          <w:p w14:paraId="5CF32AC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24分</w:t>
            </w:r>
          </w:p>
        </w:tc>
      </w:tr>
      <w:tr w14:paraId="6AB0C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892" w:type="dxa"/>
            <w:vMerge w:val="continue"/>
            <w:vAlign w:val="top"/>
          </w:tcPr>
          <w:p w14:paraId="50EFA9B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70F09642">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2B001283">
            <w:pPr>
              <w:keepNext w:val="0"/>
              <w:keepLines w:val="0"/>
              <w:pageBreakBefore w:val="0"/>
              <w:widowControl/>
              <w:suppressLineNumbers w:val="0"/>
              <w:kinsoku/>
              <w:wordWrap/>
              <w:overflowPunct/>
              <w:topLinePunct w:val="0"/>
              <w:bidi w:val="0"/>
              <w:spacing w:line="288" w:lineRule="auto"/>
              <w:jc w:val="center"/>
              <w:textAlignment w:val="auto"/>
              <w:rPr>
                <w:rFonts w:hint="eastAsia" w:ascii="宋体" w:hAnsi="宋体" w:cs="宋体"/>
                <w:color w:val="000000"/>
                <w:kern w:val="0"/>
                <w:sz w:val="24"/>
                <w:szCs w:val="24"/>
                <w:highlight w:val="none"/>
              </w:rPr>
            </w:pPr>
            <w:r>
              <w:rPr>
                <w:rFonts w:hint="eastAsia" w:ascii="宋体" w:hAnsi="宋体" w:cs="宋体"/>
                <w:color w:val="000000"/>
                <w:kern w:val="0"/>
                <w:sz w:val="24"/>
                <w:szCs w:val="24"/>
                <w:highlight w:val="none"/>
                <w:lang w:val="en-US" w:eastAsia="zh-CN" w:bidi="ar-SA"/>
              </w:rPr>
              <w:t>教学制度</w:t>
            </w:r>
          </w:p>
        </w:tc>
        <w:tc>
          <w:tcPr>
            <w:tcW w:w="6262" w:type="dxa"/>
            <w:gridSpan w:val="2"/>
            <w:vAlign w:val="center"/>
          </w:tcPr>
          <w:p w14:paraId="7AE8AFED">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highlight w:val="none"/>
                <w:lang w:val="en-US" w:eastAsia="zh-CN"/>
              </w:rPr>
            </w:pPr>
            <w:r>
              <w:rPr>
                <w:rFonts w:hint="eastAsia" w:ascii="宋体" w:hAnsi="宋体" w:cs="宋体"/>
                <w:color w:val="000000"/>
                <w:kern w:val="0"/>
                <w:sz w:val="24"/>
                <w:szCs w:val="24"/>
                <w:highlight w:val="none"/>
                <w:lang w:val="en-US" w:eastAsia="zh-CN" w:bidi="ar-SA"/>
              </w:rPr>
              <w:t>供应商提供的</w:t>
            </w:r>
            <w:r>
              <w:rPr>
                <w:rFonts w:hint="eastAsia" w:ascii="宋体" w:hAnsi="宋体" w:eastAsia="宋体" w:cs="宋体"/>
                <w:color w:val="000000"/>
                <w:kern w:val="0"/>
                <w:sz w:val="24"/>
                <w:szCs w:val="24"/>
                <w:highlight w:val="none"/>
                <w:lang w:val="en-US" w:eastAsia="zh-CN" w:bidi="ar-SA"/>
              </w:rPr>
              <w:t>方案</w:t>
            </w:r>
            <w:r>
              <w:rPr>
                <w:rFonts w:hint="eastAsia" w:ascii="宋体" w:hAnsi="宋体" w:cs="宋体"/>
                <w:color w:val="000000"/>
                <w:kern w:val="0"/>
                <w:sz w:val="24"/>
                <w:szCs w:val="24"/>
                <w:highlight w:val="none"/>
                <w:lang w:val="en-US" w:eastAsia="zh-CN" w:bidi="ar-SA"/>
              </w:rPr>
              <w:t>，包括但不限于以下内容：</w:t>
            </w:r>
          </w:p>
          <w:p w14:paraId="1F6E0015">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①教学章程； </w:t>
            </w:r>
          </w:p>
          <w:p w14:paraId="5F6296D7">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②教学管理制度； </w:t>
            </w:r>
          </w:p>
          <w:p w14:paraId="09800996">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③教师管理制度； </w:t>
            </w:r>
          </w:p>
          <w:p w14:paraId="6DCF2CD4">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④学生管理制度； </w:t>
            </w:r>
          </w:p>
          <w:p w14:paraId="6D4C7806">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 xml:space="preserve">⑤设备管理制度； </w:t>
            </w:r>
          </w:p>
          <w:p w14:paraId="7353BA4B">
            <w:pPr>
              <w:keepNext w:val="0"/>
              <w:keepLines w:val="0"/>
              <w:pageBreakBefore w:val="0"/>
              <w:widowControl/>
              <w:numPr>
                <w:ilvl w:val="0"/>
                <w:numId w:val="0"/>
              </w:numPr>
              <w:kinsoku/>
              <w:wordWrap/>
              <w:overflowPunct/>
              <w:topLinePunct w:val="0"/>
              <w:bidi w:val="0"/>
              <w:spacing w:line="288" w:lineRule="auto"/>
              <w:ind w:left="0" w:right="0" w:firstLine="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⑥培训经费管理制度。</w:t>
            </w:r>
          </w:p>
          <w:p w14:paraId="61EAE8F4">
            <w:pPr>
              <w:pStyle w:val="41"/>
              <w:keepNext w:val="0"/>
              <w:keepLines w:val="0"/>
              <w:pageBreakBefore w:val="0"/>
              <w:kinsoku/>
              <w:wordWrap/>
              <w:overflowPunct/>
              <w:topLinePunct w:val="0"/>
              <w:bidi w:val="0"/>
              <w:spacing w:line="288" w:lineRule="auto"/>
              <w:textAlignment w:val="auto"/>
              <w:rPr>
                <w:rFonts w:hint="eastAsia"/>
                <w:highlight w:val="none"/>
                <w:lang w:val="en-US" w:eastAsia="zh-CN"/>
              </w:rPr>
            </w:pPr>
            <w:r>
              <w:rPr>
                <w:rFonts w:hint="eastAsia" w:ascii="宋体" w:hAnsi="宋体" w:eastAsia="宋体" w:cs="宋体"/>
                <w:color w:val="000000"/>
                <w:kern w:val="0"/>
                <w:sz w:val="24"/>
                <w:szCs w:val="24"/>
                <w:highlight w:val="none"/>
                <w:lang w:val="en-US" w:eastAsia="zh-CN" w:bidi="ar"/>
              </w:rPr>
              <w:t>每提供一项得</w:t>
            </w:r>
            <w:r>
              <w:rPr>
                <w:rFonts w:hint="eastAsia"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分，满分</w:t>
            </w:r>
            <w:r>
              <w:rPr>
                <w:rFonts w:hint="eastAsia" w:cs="宋体"/>
                <w:color w:val="000000"/>
                <w:kern w:val="0"/>
                <w:sz w:val="24"/>
                <w:szCs w:val="24"/>
                <w:highlight w:val="none"/>
                <w:lang w:val="en-US" w:eastAsia="zh-CN" w:bidi="ar"/>
              </w:rPr>
              <w:t>12</w:t>
            </w:r>
            <w:r>
              <w:rPr>
                <w:rFonts w:hint="eastAsia" w:ascii="宋体" w:hAnsi="宋体" w:eastAsia="宋体" w:cs="宋体"/>
                <w:color w:val="000000"/>
                <w:kern w:val="0"/>
                <w:sz w:val="24"/>
                <w:szCs w:val="24"/>
                <w:highlight w:val="none"/>
                <w:lang w:val="en-US" w:eastAsia="zh-CN" w:bidi="ar"/>
              </w:rPr>
              <w:t>分。每项中每有一处具有缺陷(缺陷是指：存在不适用项目实际情况的情形、凭空编造、内容前后不一致、前后逻辑错误、涉及的规范及标准错误、地点区域错误、内容缺失、不符合采购需求等) 的扣</w:t>
            </w:r>
            <w:r>
              <w:rPr>
                <w:rFonts w:hint="eastAsia" w:cs="宋体"/>
                <w:color w:val="000000"/>
                <w:kern w:val="0"/>
                <w:sz w:val="24"/>
                <w:szCs w:val="24"/>
                <w:highlight w:val="none"/>
                <w:lang w:val="en-US" w:eastAsia="zh-CN" w:bidi="ar"/>
              </w:rPr>
              <w:t>1.5</w:t>
            </w:r>
            <w:r>
              <w:rPr>
                <w:rFonts w:hint="eastAsia" w:ascii="宋体" w:hAnsi="宋体" w:eastAsia="宋体" w:cs="宋体"/>
                <w:color w:val="000000"/>
                <w:kern w:val="0"/>
                <w:sz w:val="24"/>
                <w:szCs w:val="24"/>
                <w:highlight w:val="none"/>
                <w:lang w:val="en-US" w:eastAsia="zh-CN" w:bidi="ar"/>
              </w:rPr>
              <w:t>分，扣完为止。</w:t>
            </w:r>
          </w:p>
        </w:tc>
        <w:tc>
          <w:tcPr>
            <w:tcW w:w="689" w:type="dxa"/>
            <w:vAlign w:val="center"/>
          </w:tcPr>
          <w:p w14:paraId="7ED8DC84">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12分</w:t>
            </w:r>
          </w:p>
        </w:tc>
      </w:tr>
      <w:tr w14:paraId="6AA5B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892" w:type="dxa"/>
            <w:vMerge w:val="continue"/>
            <w:vAlign w:val="top"/>
          </w:tcPr>
          <w:p w14:paraId="27DB0DAE">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2DCA524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7BCC926B">
            <w:pPr>
              <w:keepNext w:val="0"/>
              <w:keepLines w:val="0"/>
              <w:pageBreakBefore w:val="0"/>
              <w:widowControl/>
              <w:suppressLineNumbers w:val="0"/>
              <w:kinsoku/>
              <w:wordWrap/>
              <w:overflowPunct/>
              <w:topLinePunct w:val="0"/>
              <w:bidi w:val="0"/>
              <w:adjustRightInd w:val="0"/>
              <w:snapToGrid w:val="0"/>
              <w:spacing w:line="288" w:lineRule="auto"/>
              <w:jc w:val="center"/>
              <w:textAlignment w:val="auto"/>
              <w:rPr>
                <w:highlight w:val="none"/>
              </w:rPr>
            </w:pPr>
            <w:r>
              <w:rPr>
                <w:rFonts w:hint="eastAsia" w:ascii="宋体" w:hAnsi="宋体" w:eastAsia="宋体" w:cs="宋体"/>
                <w:color w:val="000000"/>
                <w:kern w:val="0"/>
                <w:sz w:val="24"/>
                <w:szCs w:val="24"/>
                <w:highlight w:val="none"/>
                <w:lang w:val="en-US" w:eastAsia="zh-CN" w:bidi="ar"/>
              </w:rPr>
              <w:t>应急方案</w:t>
            </w:r>
          </w:p>
          <w:p w14:paraId="55E8A4DE">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p>
        </w:tc>
        <w:tc>
          <w:tcPr>
            <w:tcW w:w="6262" w:type="dxa"/>
            <w:gridSpan w:val="2"/>
            <w:vAlign w:val="center"/>
          </w:tcPr>
          <w:p w14:paraId="165F90C9">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供应商提供的方案，包括但不限于以下内容：</w:t>
            </w:r>
          </w:p>
          <w:p w14:paraId="7D9F374D">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①公共安全保障措施； </w:t>
            </w:r>
          </w:p>
          <w:p w14:paraId="24C191E4">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②消防安全与疏散方案； </w:t>
            </w:r>
          </w:p>
          <w:p w14:paraId="2A76F880">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③应急保障措施及医疗保障措施； </w:t>
            </w:r>
          </w:p>
          <w:p w14:paraId="56948499">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 xml:space="preserve">④食品安全与场地消杀等卫生处理措施； </w:t>
            </w:r>
          </w:p>
          <w:p w14:paraId="5B0FE9FF">
            <w:pPr>
              <w:keepNext w:val="0"/>
              <w:keepLines w:val="0"/>
              <w:pageBreakBefore w:val="0"/>
              <w:widowControl/>
              <w:suppressLineNumbers w:val="0"/>
              <w:kinsoku/>
              <w:wordWrap/>
              <w:overflowPunct/>
              <w:topLinePunct w:val="0"/>
              <w:bidi w:val="0"/>
              <w:adjustRightInd w:val="0"/>
              <w:snapToGrid w:val="0"/>
              <w:spacing w:line="288" w:lineRule="auto"/>
              <w:jc w:val="left"/>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宋体" w:hAnsi="宋体" w:eastAsia="宋体" w:cs="宋体"/>
                <w:color w:val="000000"/>
                <w:kern w:val="0"/>
                <w:sz w:val="24"/>
                <w:szCs w:val="24"/>
                <w:highlight w:val="none"/>
                <w:lang w:val="en-US" w:eastAsia="zh-CN" w:bidi="ar"/>
              </w:rPr>
              <w:t>每提供一项得</w:t>
            </w:r>
            <w:r>
              <w:rPr>
                <w:rFonts w:hint="eastAsia"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分，满分8分。每项中每有一处具有缺陷(缺陷是指：存在不适用项目实际情况的情形、凭空编造、内容前后不一致、前后逻辑错误、涉及的规范及标准错误、地点区域错误、内容缺失、不符合采购需求等) 的扣</w:t>
            </w: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分，扣完为止。</w:t>
            </w:r>
          </w:p>
        </w:tc>
        <w:tc>
          <w:tcPr>
            <w:tcW w:w="689" w:type="dxa"/>
            <w:vAlign w:val="center"/>
          </w:tcPr>
          <w:p w14:paraId="25CFF220">
            <w:pPr>
              <w:keepNext w:val="0"/>
              <w:keepLines w:val="0"/>
              <w:pageBreakBefore w:val="0"/>
              <w:widowControl w:val="0"/>
              <w:kinsoku/>
              <w:wordWrap/>
              <w:overflowPunct/>
              <w:topLinePunct w:val="0"/>
              <w:bidi w:val="0"/>
              <w:adjustRightInd w:val="0"/>
              <w:snapToGrid w:val="0"/>
              <w:spacing w:line="312" w:lineRule="auto"/>
              <w:jc w:val="center"/>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宋体" w:hAnsi="宋体" w:cs="宋体"/>
                <w:b w:val="0"/>
                <w:bCs/>
                <w:smallCaps w:val="0"/>
                <w:color w:val="auto"/>
                <w:spacing w:val="0"/>
                <w:position w:val="0"/>
                <w:sz w:val="24"/>
                <w:szCs w:val="24"/>
                <w:highlight w:val="none"/>
                <w:lang w:val="en-US" w:eastAsia="zh-CN"/>
              </w:rPr>
              <w:t>8分</w:t>
            </w:r>
          </w:p>
        </w:tc>
      </w:tr>
      <w:tr w14:paraId="5A269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892" w:type="dxa"/>
            <w:vMerge w:val="continue"/>
            <w:vAlign w:val="top"/>
          </w:tcPr>
          <w:p w14:paraId="5F4AD1C7">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792F6960">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1FCBA638">
            <w:pPr>
              <w:keepNext w:val="0"/>
              <w:keepLines w:val="0"/>
              <w:pageBreakBefore w:val="0"/>
              <w:widowControl w:val="0"/>
              <w:kinsoku/>
              <w:wordWrap/>
              <w:overflowPunct/>
              <w:topLinePunct w:val="0"/>
              <w:bidi w:val="0"/>
              <w:adjustRightInd w:val="0"/>
              <w:snapToGrid w:val="0"/>
              <w:spacing w:line="288" w:lineRule="auto"/>
              <w:jc w:val="center"/>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教学推广</w:t>
            </w:r>
          </w:p>
        </w:tc>
        <w:tc>
          <w:tcPr>
            <w:tcW w:w="6262" w:type="dxa"/>
            <w:gridSpan w:val="2"/>
            <w:vAlign w:val="center"/>
          </w:tcPr>
          <w:p w14:paraId="5B90D9C5">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供应商提供的方案，包括但不限于以下内容：</w:t>
            </w:r>
          </w:p>
          <w:p w14:paraId="760024B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①课程直播方案；</w:t>
            </w:r>
          </w:p>
          <w:p w14:paraId="0B482B2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②课程录制并上传云端，平台须覆盖腾讯视频、优酷视频、爱奇艺、微信公众号。</w:t>
            </w:r>
          </w:p>
          <w:p w14:paraId="21ACA61B">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每提供一项得</w:t>
            </w:r>
            <w:r>
              <w:rPr>
                <w:rFonts w:hint="eastAsia"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分，满分8分。每项中每有一处具有缺陷(缺陷是指：存在不适用项目实际情况的情形、凭空编造、内容前后不一致、前后逻辑错误、涉及的规范及标准错误、地点区域错误、内容缺失、不符合采购需求等) 的扣</w:t>
            </w:r>
            <w:r>
              <w:rPr>
                <w:rFonts w:hint="eastAsia"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分，扣完为止。</w:t>
            </w:r>
          </w:p>
        </w:tc>
        <w:tc>
          <w:tcPr>
            <w:tcW w:w="689" w:type="dxa"/>
            <w:vAlign w:val="center"/>
          </w:tcPr>
          <w:p w14:paraId="16C2A562">
            <w:pPr>
              <w:keepNext w:val="0"/>
              <w:keepLines w:val="0"/>
              <w:pageBreakBefore w:val="0"/>
              <w:widowControl w:val="0"/>
              <w:kinsoku/>
              <w:wordWrap/>
              <w:overflowPunct/>
              <w:topLinePunct w:val="0"/>
              <w:bidi w:val="0"/>
              <w:adjustRightInd w:val="0"/>
              <w:snapToGrid w:val="0"/>
              <w:spacing w:line="312" w:lineRule="auto"/>
              <w:jc w:val="center"/>
              <w:textAlignment w:val="auto"/>
              <w:rPr>
                <w:rFonts w:hint="default" w:ascii="宋体" w:hAnsi="宋体" w:cs="宋体"/>
                <w:b w:val="0"/>
                <w:bCs/>
                <w:smallCaps w:val="0"/>
                <w:color w:val="auto"/>
                <w:spacing w:val="0"/>
                <w:position w:val="0"/>
                <w:sz w:val="24"/>
                <w:szCs w:val="24"/>
                <w:highlight w:val="none"/>
                <w:lang w:val="en-US" w:eastAsia="zh-CN"/>
              </w:rPr>
            </w:pPr>
            <w:r>
              <w:rPr>
                <w:rFonts w:hint="eastAsia" w:ascii="宋体" w:hAnsi="宋体" w:cs="宋体"/>
                <w:b w:val="0"/>
                <w:bCs/>
                <w:smallCaps w:val="0"/>
                <w:color w:val="auto"/>
                <w:spacing w:val="0"/>
                <w:position w:val="0"/>
                <w:sz w:val="24"/>
                <w:szCs w:val="24"/>
                <w:highlight w:val="none"/>
                <w:lang w:val="en-US" w:eastAsia="zh-CN"/>
              </w:rPr>
              <w:t>8分</w:t>
            </w:r>
          </w:p>
        </w:tc>
      </w:tr>
      <w:tr w14:paraId="2F47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jc w:val="center"/>
        </w:trPr>
        <w:tc>
          <w:tcPr>
            <w:tcW w:w="892" w:type="dxa"/>
            <w:vMerge w:val="continue"/>
            <w:vAlign w:val="top"/>
          </w:tcPr>
          <w:p w14:paraId="147DC2B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Merge w:val="continue"/>
            <w:vAlign w:val="center"/>
          </w:tcPr>
          <w:p w14:paraId="2483EFE1">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1400" w:type="dxa"/>
            <w:vAlign w:val="center"/>
          </w:tcPr>
          <w:p w14:paraId="29EE3E88">
            <w:pPr>
              <w:keepNext w:val="0"/>
              <w:keepLines w:val="0"/>
              <w:pageBreakBefore w:val="0"/>
              <w:widowControl/>
              <w:suppressLineNumbers w:val="0"/>
              <w:kinsoku/>
              <w:wordWrap/>
              <w:overflowPunct/>
              <w:topLinePunct w:val="0"/>
              <w:bidi w:val="0"/>
              <w:adjustRightInd w:val="0"/>
              <w:snapToGrid w:val="0"/>
              <w:spacing w:line="288" w:lineRule="auto"/>
              <w:jc w:val="center"/>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后续服务</w:t>
            </w:r>
          </w:p>
          <w:p w14:paraId="1C36A206">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p>
        </w:tc>
        <w:tc>
          <w:tcPr>
            <w:tcW w:w="6262" w:type="dxa"/>
            <w:gridSpan w:val="2"/>
            <w:vAlign w:val="center"/>
          </w:tcPr>
          <w:p w14:paraId="23B8795D">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供应商提供的方案，包括但不限于以下内容：</w:t>
            </w:r>
          </w:p>
          <w:p w14:paraId="12D2AED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①后续人员配备；</w:t>
            </w:r>
          </w:p>
          <w:p w14:paraId="72086CFA">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②后续服务电话及后续服务人员回访； </w:t>
            </w:r>
          </w:p>
          <w:p w14:paraId="3BC75468">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③响应时间及响应次数； </w:t>
            </w:r>
          </w:p>
          <w:p w14:paraId="576A2EF2">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 xml:space="preserve">④后续技术支持； </w:t>
            </w:r>
          </w:p>
          <w:p w14:paraId="695362DE">
            <w:pPr>
              <w:keepNext w:val="0"/>
              <w:keepLines w:val="0"/>
              <w:pageBreakBefore w:val="0"/>
              <w:widowControl w:val="0"/>
              <w:kinsoku/>
              <w:wordWrap/>
              <w:overflowPunct/>
              <w:topLinePunct w:val="0"/>
              <w:autoSpaceDE/>
              <w:autoSpaceDN/>
              <w:bidi w:val="0"/>
              <w:adjustRightInd w:val="0"/>
              <w:snapToGrid w:val="0"/>
              <w:spacing w:line="288" w:lineRule="auto"/>
              <w:textAlignment w:val="auto"/>
              <w:rPr>
                <w:rFonts w:hint="eastAsia"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每提供一项得1分，满分4分。每项中每有一处具有缺陷(缺陷是指：存在不适用项目实际情况的情形、凭空编造、内容前后不一致、前后逻辑错误、涉及的规范及标准错误、地点区域错误、内容缺失、不符合采购需求等) 的扣1分，扣完为止。</w:t>
            </w:r>
          </w:p>
        </w:tc>
        <w:tc>
          <w:tcPr>
            <w:tcW w:w="689" w:type="dxa"/>
            <w:vAlign w:val="center"/>
          </w:tcPr>
          <w:p w14:paraId="2F10EE5C">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heme="minorEastAsia" w:hAnsiTheme="minorEastAsia" w:eastAsiaTheme="minorEastAsia" w:cstheme="minorEastAsia"/>
                <w:bCs/>
                <w:color w:val="auto"/>
                <w:spacing w:val="0"/>
                <w:position w:val="0"/>
                <w:sz w:val="24"/>
                <w:szCs w:val="24"/>
                <w:highlight w:val="none"/>
                <w:lang w:val="en-US" w:eastAsia="zh-CN"/>
              </w:rPr>
            </w:pPr>
            <w:r>
              <w:rPr>
                <w:rFonts w:hint="eastAsia" w:asciiTheme="minorEastAsia" w:hAnsiTheme="minorEastAsia" w:eastAsiaTheme="minorEastAsia" w:cstheme="minorEastAsia"/>
                <w:bCs/>
                <w:color w:val="auto"/>
                <w:spacing w:val="0"/>
                <w:position w:val="0"/>
                <w:sz w:val="24"/>
                <w:szCs w:val="24"/>
                <w:highlight w:val="none"/>
                <w:lang w:val="en-US" w:eastAsia="zh-CN"/>
              </w:rPr>
              <w:t>4分</w:t>
            </w:r>
          </w:p>
        </w:tc>
      </w:tr>
      <w:tr w14:paraId="0809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restart"/>
            <w:vAlign w:val="top"/>
          </w:tcPr>
          <w:p w14:paraId="559F5E3B">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p>
        </w:tc>
        <w:tc>
          <w:tcPr>
            <w:tcW w:w="898" w:type="dxa"/>
            <w:vAlign w:val="center"/>
          </w:tcPr>
          <w:p w14:paraId="74C194CC">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合计</w:t>
            </w:r>
          </w:p>
        </w:tc>
        <w:tc>
          <w:tcPr>
            <w:tcW w:w="8351" w:type="dxa"/>
            <w:gridSpan w:val="4"/>
            <w:vAlign w:val="center"/>
          </w:tcPr>
          <w:p w14:paraId="6A28C1DA">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rPr>
              <w:t>100</w:t>
            </w:r>
            <w:r>
              <w:rPr>
                <w:rFonts w:hint="eastAsia" w:asciiTheme="minorEastAsia" w:hAnsiTheme="minorEastAsia" w:eastAsiaTheme="minorEastAsia" w:cstheme="minorEastAsia"/>
                <w:color w:val="auto"/>
                <w:spacing w:val="0"/>
                <w:position w:val="0"/>
                <w:sz w:val="24"/>
                <w:szCs w:val="24"/>
                <w:highlight w:val="none"/>
                <w:lang w:eastAsia="zh-CN"/>
              </w:rPr>
              <w:t>分</w:t>
            </w:r>
          </w:p>
        </w:tc>
      </w:tr>
      <w:tr w14:paraId="73DF3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892" w:type="dxa"/>
            <w:vMerge w:val="continue"/>
            <w:vAlign w:val="top"/>
          </w:tcPr>
          <w:p w14:paraId="4047914C">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p>
        </w:tc>
        <w:tc>
          <w:tcPr>
            <w:tcW w:w="9249" w:type="dxa"/>
            <w:gridSpan w:val="5"/>
            <w:vAlign w:val="top"/>
          </w:tcPr>
          <w:p w14:paraId="597CB5CE">
            <w:pPr>
              <w:keepNext w:val="0"/>
              <w:keepLines w:val="0"/>
              <w:pageBreakBefore w:val="0"/>
              <w:widowControl w:val="0"/>
              <w:kinsoku/>
              <w:wordWrap/>
              <w:overflowPunct/>
              <w:topLinePunct w:val="0"/>
              <w:autoSpaceDE/>
              <w:autoSpaceDN/>
              <w:bidi w:val="0"/>
              <w:adjustRightInd w:val="0"/>
              <w:snapToGrid w:val="0"/>
              <w:spacing w:line="440" w:lineRule="exact"/>
              <w:jc w:val="both"/>
              <w:textAlignment w:val="auto"/>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position w:val="0"/>
                <w:sz w:val="24"/>
                <w:szCs w:val="24"/>
                <w:highlight w:val="none"/>
              </w:rPr>
              <w:t>注：</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xml:space="preserve"> 1、计算过程中，算术平均值保留2位小数（百分比亦取2位小数），第三位小数四舍五入。</w:t>
            </w:r>
          </w:p>
          <w:p w14:paraId="42785851">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2、供应商的最终得分为：所有评委对其评分的算术平均值。</w:t>
            </w:r>
          </w:p>
        </w:tc>
      </w:tr>
    </w:tbl>
    <w:p w14:paraId="3C8114B3"/>
    <w:p w14:paraId="0A0D7E9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三</w:t>
      </w:r>
      <w:r>
        <w:rPr>
          <w:rFonts w:hint="eastAsia" w:asciiTheme="minorEastAsia" w:hAnsiTheme="minorEastAsia" w:eastAsiaTheme="minorEastAsia" w:cstheme="minorEastAsia"/>
          <w:b/>
          <w:bCs/>
          <w:color w:val="auto"/>
          <w:spacing w:val="0"/>
          <w:position w:val="0"/>
          <w:sz w:val="24"/>
          <w:szCs w:val="24"/>
          <w:highlight w:val="none"/>
        </w:rPr>
        <w:t>.推荐成交供应商</w:t>
      </w:r>
    </w:p>
    <w:p w14:paraId="6E2382B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的，按照最后报价由低到高的顺序推荐。评审得分且最后报价相同的，按照技术指标优劣顺序推荐。</w:t>
      </w:r>
    </w:p>
    <w:p w14:paraId="57A6D24A">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评分计算方法解释</w:t>
      </w:r>
    </w:p>
    <w:p w14:paraId="24F47B3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（1）供应商的评审得分是指所有磋商小组成员对其评分的算术平均值。</w:t>
      </w:r>
    </w:p>
    <w:p w14:paraId="3B6BFF6D">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（2）计算过程中，算术平均值保留2位小数（百分比亦取2位小数），第三位小数四舍五入。</w:t>
      </w:r>
    </w:p>
    <w:p w14:paraId="0C538D3D">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b/>
          <w:bCs/>
          <w:color w:val="auto"/>
          <w:spacing w:val="0"/>
          <w:position w:val="0"/>
          <w:sz w:val="24"/>
          <w:szCs w:val="24"/>
          <w:highlight w:val="none"/>
        </w:rPr>
      </w:pPr>
      <w:r>
        <w:rPr>
          <w:rFonts w:hint="eastAsia" w:asciiTheme="minorEastAsia" w:hAnsiTheme="minorEastAsia" w:eastAsiaTheme="minorEastAsia" w:cstheme="minorEastAsia"/>
          <w:b/>
          <w:bCs/>
          <w:color w:val="auto"/>
          <w:spacing w:val="0"/>
          <w:position w:val="0"/>
          <w:sz w:val="24"/>
          <w:szCs w:val="24"/>
          <w:highlight w:val="none"/>
          <w:lang w:val="en-US" w:eastAsia="zh-CN"/>
        </w:rPr>
        <w:t>四</w:t>
      </w:r>
      <w:r>
        <w:rPr>
          <w:rFonts w:hint="eastAsia" w:asciiTheme="minorEastAsia" w:hAnsiTheme="minorEastAsia" w:eastAsiaTheme="minorEastAsia" w:cstheme="minorEastAsia"/>
          <w:b/>
          <w:bCs/>
          <w:color w:val="auto"/>
          <w:spacing w:val="0"/>
          <w:position w:val="0"/>
          <w:sz w:val="24"/>
          <w:szCs w:val="24"/>
          <w:highlight w:val="none"/>
        </w:rPr>
        <w:t>.确定成交供应商</w:t>
      </w:r>
    </w:p>
    <w:p w14:paraId="1328DFC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1</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采购代理机构应当在评审结束后2个工作日内将评审报告送采购人确认。</w:t>
      </w:r>
    </w:p>
    <w:p w14:paraId="5B578469">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Cs/>
          <w:color w:val="auto"/>
          <w:spacing w:val="0"/>
          <w:position w:val="0"/>
          <w:sz w:val="24"/>
          <w:szCs w:val="24"/>
          <w:highlight w:val="none"/>
        </w:rPr>
      </w:pPr>
      <w:r>
        <w:rPr>
          <w:rFonts w:hint="eastAsia" w:asciiTheme="minorEastAsia" w:hAnsiTheme="minorEastAsia" w:eastAsiaTheme="minorEastAsia" w:cstheme="minorEastAsia"/>
          <w:bCs/>
          <w:color w:val="auto"/>
          <w:spacing w:val="0"/>
          <w:position w:val="0"/>
          <w:sz w:val="24"/>
          <w:szCs w:val="24"/>
          <w:highlight w:val="none"/>
        </w:rPr>
        <w:t>2</w:t>
      </w:r>
      <w:r>
        <w:rPr>
          <w:rFonts w:hint="eastAsia" w:asciiTheme="minorEastAsia" w:hAnsiTheme="minorEastAsia" w:eastAsiaTheme="minorEastAsia" w:cstheme="minorEastAsia"/>
          <w:bCs/>
          <w:color w:val="auto"/>
          <w:spacing w:val="0"/>
          <w:position w:val="0"/>
          <w:sz w:val="24"/>
          <w:szCs w:val="24"/>
          <w:highlight w:val="none"/>
          <w:lang w:eastAsia="zh-CN"/>
        </w:rPr>
        <w:t>.</w:t>
      </w:r>
      <w:r>
        <w:rPr>
          <w:rFonts w:hint="eastAsia" w:asciiTheme="minorEastAsia" w:hAnsiTheme="minorEastAsia" w:eastAsiaTheme="minorEastAsia" w:cstheme="minorEastAsia"/>
          <w:bCs/>
          <w:color w:val="auto"/>
          <w:spacing w:val="0"/>
          <w:position w:val="0"/>
          <w:sz w:val="24"/>
          <w:szCs w:val="24"/>
          <w:highlight w:val="none"/>
        </w:rPr>
        <w:t>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FEF3B56">
      <w:pPr>
        <w:pageBreakBefore w:val="0"/>
        <w:kinsoku/>
        <w:overflowPunct/>
        <w:topLinePunct w:val="0"/>
        <w:bidi w:val="0"/>
        <w:rPr>
          <w:rFonts w:hint="eastAsia" w:asciiTheme="minorEastAsia" w:hAnsiTheme="minorEastAsia" w:eastAsiaTheme="minorEastAsia" w:cstheme="minorEastAsia"/>
          <w:color w:val="auto"/>
          <w:spacing w:val="0"/>
          <w:position w:val="0"/>
          <w:sz w:val="28"/>
          <w:highlight w:val="none"/>
        </w:rPr>
      </w:pPr>
      <w:r>
        <w:rPr>
          <w:rFonts w:hint="eastAsia" w:asciiTheme="minorEastAsia" w:hAnsiTheme="minorEastAsia" w:eastAsiaTheme="minorEastAsia" w:cstheme="minorEastAsia"/>
          <w:color w:val="auto"/>
          <w:spacing w:val="0"/>
          <w:position w:val="0"/>
          <w:sz w:val="28"/>
          <w:highlight w:val="none"/>
        </w:rPr>
        <w:br w:type="page"/>
      </w:r>
    </w:p>
    <w:p w14:paraId="3E8B45CA">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93" w:name="_Toc6170"/>
      <w:bookmarkStart w:id="94" w:name="_Toc32236"/>
      <w:r>
        <w:rPr>
          <w:rFonts w:hint="eastAsia" w:asciiTheme="minorEastAsia" w:hAnsiTheme="minorEastAsia" w:eastAsiaTheme="minorEastAsia" w:cstheme="minorEastAsia"/>
          <w:color w:val="auto"/>
          <w:spacing w:val="0"/>
          <w:position w:val="0"/>
          <w:highlight w:val="none"/>
        </w:rPr>
        <w:t>合同格式及合同条款</w:t>
      </w:r>
      <w:bookmarkEnd w:id="89"/>
      <w:bookmarkEnd w:id="90"/>
      <w:bookmarkEnd w:id="91"/>
      <w:bookmarkEnd w:id="92"/>
      <w:bookmarkEnd w:id="93"/>
      <w:bookmarkEnd w:id="94"/>
    </w:p>
    <w:p w14:paraId="04F49709">
      <w:pPr>
        <w:pageBreakBefore w:val="0"/>
        <w:widowControl/>
        <w:kinsoku/>
        <w:overflowPunct/>
        <w:topLinePunct w:val="0"/>
        <w:bidi w:val="0"/>
        <w:jc w:val="left"/>
        <w:rPr>
          <w:rFonts w:hint="eastAsia" w:asciiTheme="minorEastAsia" w:hAnsiTheme="minorEastAsia" w:eastAsiaTheme="minorEastAsia" w:cstheme="minorEastAsia"/>
          <w:bCs/>
          <w:color w:val="auto"/>
          <w:spacing w:val="0"/>
          <w:position w:val="0"/>
          <w:sz w:val="28"/>
          <w:szCs w:val="28"/>
          <w:highlight w:val="none"/>
          <w:shd w:val="clear" w:color="auto" w:fill="00B050"/>
        </w:rPr>
      </w:pPr>
    </w:p>
    <w:p w14:paraId="7C64516F">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u w:val="single"/>
        </w:rPr>
      </w:pPr>
      <w:r>
        <w:rPr>
          <w:rFonts w:hint="eastAsia" w:asciiTheme="minorEastAsia" w:hAnsiTheme="minorEastAsia" w:eastAsiaTheme="minorEastAsia" w:cstheme="minorEastAsia"/>
          <w:color w:val="auto"/>
          <w:spacing w:val="0"/>
          <w:position w:val="0"/>
          <w:sz w:val="24"/>
          <w:highlight w:val="none"/>
        </w:rPr>
        <w:t>合同编号：</w:t>
      </w:r>
      <w:r>
        <w:rPr>
          <w:rFonts w:hint="eastAsia" w:asciiTheme="minorEastAsia" w:hAnsiTheme="minorEastAsia" w:eastAsiaTheme="minorEastAsia" w:cstheme="minorEastAsia"/>
          <w:color w:val="auto"/>
          <w:spacing w:val="0"/>
          <w:position w:val="0"/>
          <w:sz w:val="24"/>
          <w:highlight w:val="none"/>
          <w:u w:val="single"/>
        </w:rPr>
        <w:t xml:space="preserve">           </w:t>
      </w:r>
    </w:p>
    <w:p w14:paraId="57113C77">
      <w:pPr>
        <w:pageBreakBefore w:val="0"/>
        <w:kinsoku/>
        <w:overflowPunct/>
        <w:topLinePunct w:val="0"/>
        <w:bidi w:val="0"/>
        <w:spacing w:line="480" w:lineRule="auto"/>
        <w:jc w:val="center"/>
        <w:rPr>
          <w:rFonts w:hint="eastAsia" w:asciiTheme="minorEastAsia" w:hAnsiTheme="minorEastAsia" w:eastAsiaTheme="minorEastAsia" w:cstheme="minorEastAsia"/>
          <w:b/>
          <w:color w:val="auto"/>
          <w:spacing w:val="0"/>
          <w:position w:val="0"/>
          <w:sz w:val="28"/>
          <w:szCs w:val="28"/>
          <w:highlight w:val="none"/>
        </w:rPr>
      </w:pPr>
    </w:p>
    <w:p w14:paraId="3B9640BA">
      <w:pPr>
        <w:pageBreakBefore w:val="0"/>
        <w:kinsoku/>
        <w:overflowPunct/>
        <w:topLinePunct w:val="0"/>
        <w:bidi w:val="0"/>
        <w:spacing w:line="480" w:lineRule="auto"/>
        <w:jc w:val="center"/>
        <w:rPr>
          <w:rFonts w:hint="eastAsia" w:asciiTheme="minorEastAsia" w:hAnsiTheme="minorEastAsia" w:eastAsiaTheme="minorEastAsia" w:cstheme="minorEastAsia"/>
          <w:b/>
          <w:color w:val="auto"/>
          <w:spacing w:val="0"/>
          <w:position w:val="0"/>
          <w:sz w:val="28"/>
          <w:szCs w:val="28"/>
          <w:highlight w:val="none"/>
        </w:rPr>
      </w:pPr>
    </w:p>
    <w:p w14:paraId="48453124">
      <w:pPr>
        <w:pageBreakBefore w:val="0"/>
        <w:kinsoku/>
        <w:overflowPunct/>
        <w:topLinePunct w:val="0"/>
        <w:bidi w:val="0"/>
        <w:spacing w:line="480" w:lineRule="auto"/>
        <w:jc w:val="center"/>
        <w:rPr>
          <w:rFonts w:hint="eastAsia" w:asciiTheme="minorEastAsia" w:hAnsiTheme="minorEastAsia" w:eastAsiaTheme="minorEastAsia" w:cstheme="minorEastAsia"/>
          <w:b/>
          <w:color w:val="auto"/>
          <w:spacing w:val="0"/>
          <w:position w:val="0"/>
          <w:sz w:val="28"/>
          <w:szCs w:val="28"/>
          <w:highlight w:val="none"/>
        </w:rPr>
      </w:pPr>
    </w:p>
    <w:p w14:paraId="75C7B6DB">
      <w:pPr>
        <w:pageBreakBefore w:val="0"/>
        <w:kinsoku/>
        <w:overflowPunct/>
        <w:topLinePunct w:val="0"/>
        <w:bidi w:val="0"/>
        <w:spacing w:line="480" w:lineRule="auto"/>
        <w:jc w:val="center"/>
        <w:rPr>
          <w:rFonts w:hint="eastAsia" w:asciiTheme="minorEastAsia" w:hAnsiTheme="minorEastAsia" w:eastAsiaTheme="minorEastAsia" w:cstheme="minorEastAsia"/>
          <w:b/>
          <w:color w:val="auto"/>
          <w:spacing w:val="0"/>
          <w:position w:val="0"/>
          <w:sz w:val="44"/>
          <w:szCs w:val="44"/>
          <w:highlight w:val="none"/>
        </w:rPr>
      </w:pPr>
      <w:r>
        <w:rPr>
          <w:rFonts w:hint="eastAsia" w:asciiTheme="minorEastAsia" w:hAnsiTheme="minorEastAsia" w:eastAsiaTheme="minorEastAsia" w:cstheme="minorEastAsia"/>
          <w:b/>
          <w:color w:val="auto"/>
          <w:spacing w:val="0"/>
          <w:position w:val="0"/>
          <w:sz w:val="44"/>
          <w:szCs w:val="44"/>
          <w:highlight w:val="none"/>
        </w:rPr>
        <w:t>政府采购合同参考范本</w:t>
      </w:r>
    </w:p>
    <w:p w14:paraId="3419B328">
      <w:pPr>
        <w:pageBreakBefore w:val="0"/>
        <w:kinsoku/>
        <w:overflowPunct/>
        <w:topLinePunct w:val="0"/>
        <w:bidi w:val="0"/>
        <w:spacing w:line="480" w:lineRule="auto"/>
        <w:jc w:val="center"/>
        <w:rPr>
          <w:rFonts w:hint="eastAsia" w:asciiTheme="minorEastAsia" w:hAnsiTheme="minorEastAsia" w:eastAsiaTheme="minorEastAsia" w:cstheme="minorEastAsia"/>
          <w:b/>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（服务类）</w:t>
      </w:r>
    </w:p>
    <w:p w14:paraId="79EB5EF7">
      <w:pPr>
        <w:pStyle w:val="105"/>
        <w:pageBreakBefore w:val="0"/>
        <w:kinsoku/>
        <w:overflowPunct/>
        <w:topLinePunct w:val="0"/>
        <w:bidi w:val="0"/>
        <w:ind w:firstLine="0"/>
        <w:rPr>
          <w:rFonts w:hint="eastAsia" w:asciiTheme="minorEastAsia" w:hAnsiTheme="minorEastAsia" w:eastAsiaTheme="minorEastAsia" w:cstheme="minorEastAsia"/>
          <w:color w:val="auto"/>
          <w:spacing w:val="0"/>
          <w:position w:val="0"/>
          <w:szCs w:val="24"/>
          <w:highlight w:val="none"/>
        </w:rPr>
      </w:pPr>
    </w:p>
    <w:p w14:paraId="476FFEE2">
      <w:pPr>
        <w:pStyle w:val="105"/>
        <w:pageBreakBefore w:val="0"/>
        <w:kinsoku/>
        <w:overflowPunct/>
        <w:topLinePunct w:val="0"/>
        <w:bidi w:val="0"/>
        <w:ind w:firstLine="0"/>
        <w:rPr>
          <w:rFonts w:hint="eastAsia" w:asciiTheme="minorEastAsia" w:hAnsiTheme="minorEastAsia" w:eastAsiaTheme="minorEastAsia" w:cstheme="minorEastAsia"/>
          <w:color w:val="auto"/>
          <w:spacing w:val="0"/>
          <w:position w:val="0"/>
          <w:szCs w:val="24"/>
          <w:highlight w:val="none"/>
        </w:rPr>
      </w:pPr>
    </w:p>
    <w:p w14:paraId="5A085C83">
      <w:pPr>
        <w:pStyle w:val="105"/>
        <w:pageBreakBefore w:val="0"/>
        <w:kinsoku/>
        <w:overflowPunct/>
        <w:topLinePunct w:val="0"/>
        <w:bidi w:val="0"/>
        <w:ind w:firstLine="0"/>
        <w:rPr>
          <w:rFonts w:hint="eastAsia" w:asciiTheme="minorEastAsia" w:hAnsiTheme="minorEastAsia" w:eastAsiaTheme="minorEastAsia" w:cstheme="minorEastAsia"/>
          <w:color w:val="auto"/>
          <w:spacing w:val="0"/>
          <w:position w:val="0"/>
          <w:szCs w:val="24"/>
          <w:highlight w:val="none"/>
        </w:rPr>
      </w:pPr>
    </w:p>
    <w:p w14:paraId="2D58610E">
      <w:pPr>
        <w:pStyle w:val="105"/>
        <w:pageBreakBefore w:val="0"/>
        <w:kinsoku/>
        <w:overflowPunct/>
        <w:topLinePunct w:val="0"/>
        <w:bidi w:val="0"/>
        <w:ind w:firstLine="0"/>
        <w:rPr>
          <w:rFonts w:hint="eastAsia" w:asciiTheme="minorEastAsia" w:hAnsiTheme="minorEastAsia" w:eastAsiaTheme="minorEastAsia" w:cstheme="minorEastAsia"/>
          <w:color w:val="auto"/>
          <w:spacing w:val="0"/>
          <w:position w:val="0"/>
          <w:szCs w:val="24"/>
          <w:highlight w:val="none"/>
        </w:rPr>
      </w:pPr>
    </w:p>
    <w:p w14:paraId="57BCD08F">
      <w:pPr>
        <w:pStyle w:val="105"/>
        <w:pageBreakBefore w:val="0"/>
        <w:kinsoku/>
        <w:overflowPunct/>
        <w:topLinePunct w:val="0"/>
        <w:bidi w:val="0"/>
        <w:ind w:firstLine="0"/>
        <w:rPr>
          <w:rFonts w:hint="eastAsia" w:asciiTheme="minorEastAsia" w:hAnsiTheme="minorEastAsia" w:eastAsiaTheme="minorEastAsia" w:cstheme="minorEastAsia"/>
          <w:color w:val="auto"/>
          <w:spacing w:val="0"/>
          <w:position w:val="0"/>
          <w:szCs w:val="24"/>
          <w:highlight w:val="none"/>
        </w:rPr>
      </w:pPr>
    </w:p>
    <w:p w14:paraId="06C98CD2">
      <w:pPr>
        <w:pageBreakBefore w:val="0"/>
        <w:kinsoku/>
        <w:overflowPunct/>
        <w:topLinePunct w:val="0"/>
        <w:bidi w:val="0"/>
        <w:spacing w:before="120" w:line="22" w:lineRule="atLeast"/>
        <w:rPr>
          <w:rFonts w:hint="eastAsia" w:asciiTheme="minorEastAsia" w:hAnsiTheme="minorEastAsia" w:eastAsiaTheme="minorEastAsia" w:cstheme="minorEastAsia"/>
          <w:color w:val="auto"/>
          <w:spacing w:val="0"/>
          <w:position w:val="0"/>
          <w:sz w:val="24"/>
          <w:highlight w:val="none"/>
        </w:rPr>
      </w:pPr>
    </w:p>
    <w:p w14:paraId="55727B3C">
      <w:pPr>
        <w:pageBreakBefore w:val="0"/>
        <w:kinsoku/>
        <w:overflowPunct/>
        <w:topLinePunct w:val="0"/>
        <w:bidi w:val="0"/>
        <w:spacing w:before="120" w:line="22" w:lineRule="atLeast"/>
        <w:ind w:left="960"/>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color w:val="auto"/>
          <w:spacing w:val="0"/>
          <w:position w:val="0"/>
          <w:sz w:val="24"/>
          <w:highlight w:val="none"/>
        </w:rPr>
        <w:t>项目名称：</w:t>
      </w:r>
      <w:r>
        <w:rPr>
          <w:rFonts w:hint="eastAsia" w:asciiTheme="minorEastAsia" w:hAnsiTheme="minorEastAsia" w:eastAsiaTheme="minorEastAsia" w:cstheme="minorEastAsia"/>
          <w:color w:val="auto"/>
          <w:spacing w:val="0"/>
          <w:position w:val="0"/>
          <w:sz w:val="24"/>
          <w:highlight w:val="none"/>
          <w:u w:val="single"/>
        </w:rPr>
        <w:t xml:space="preserve">                                   </w:t>
      </w:r>
    </w:p>
    <w:p w14:paraId="5EC6D12F">
      <w:pPr>
        <w:pStyle w:val="106"/>
        <w:pageBreakBefore w:val="0"/>
        <w:kinsoku/>
        <w:overflowPunct/>
        <w:topLinePunct w:val="0"/>
        <w:bidi w:val="0"/>
        <w:spacing w:before="120" w:line="22" w:lineRule="atLeast"/>
        <w:rPr>
          <w:rFonts w:hint="eastAsia" w:asciiTheme="minorEastAsia" w:hAnsiTheme="minorEastAsia" w:eastAsiaTheme="minorEastAsia" w:cstheme="minorEastAsia"/>
          <w:color w:val="auto"/>
          <w:spacing w:val="0"/>
          <w:position w:val="0"/>
          <w:szCs w:val="24"/>
          <w:highlight w:val="none"/>
        </w:rPr>
      </w:pPr>
    </w:p>
    <w:p w14:paraId="2C748910">
      <w:pPr>
        <w:pStyle w:val="106"/>
        <w:pageBreakBefore w:val="0"/>
        <w:kinsoku/>
        <w:overflowPunct/>
        <w:topLinePunct w:val="0"/>
        <w:bidi w:val="0"/>
        <w:spacing w:before="120" w:line="22" w:lineRule="atLeast"/>
        <w:rPr>
          <w:rFonts w:hint="eastAsia" w:asciiTheme="minorEastAsia" w:hAnsiTheme="minorEastAsia" w:eastAsiaTheme="minorEastAsia" w:cstheme="minorEastAsia"/>
          <w:color w:val="auto"/>
          <w:spacing w:val="0"/>
          <w:position w:val="0"/>
          <w:szCs w:val="24"/>
          <w:highlight w:val="none"/>
        </w:rPr>
      </w:pPr>
    </w:p>
    <w:p w14:paraId="7BD242A4">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79F9992">
      <w:pPr>
        <w:pageBreakBefore w:val="0"/>
        <w:kinsoku/>
        <w:overflowPunct/>
        <w:topLinePunct w:val="0"/>
        <w:bidi w:val="0"/>
        <w:spacing w:before="120" w:line="22" w:lineRule="atLeast"/>
        <w:ind w:left="960"/>
        <w:rPr>
          <w:rFonts w:hint="eastAsia" w:asciiTheme="minorEastAsia" w:hAnsiTheme="minorEastAsia" w:eastAsiaTheme="minorEastAsia" w:cstheme="minorEastAsia"/>
          <w:color w:val="auto"/>
          <w:spacing w:val="0"/>
          <w:position w:val="0"/>
          <w:sz w:val="24"/>
          <w:highlight w:val="none"/>
          <w:u w:val="single"/>
        </w:rPr>
      </w:pPr>
      <w:r>
        <w:rPr>
          <w:rFonts w:hint="eastAsia" w:asciiTheme="minorEastAsia" w:hAnsiTheme="minorEastAsia" w:eastAsiaTheme="minorEastAsia" w:cstheme="minorEastAsia"/>
          <w:color w:val="auto"/>
          <w:spacing w:val="0"/>
          <w:position w:val="0"/>
          <w:sz w:val="24"/>
          <w:highlight w:val="none"/>
        </w:rPr>
        <w:t>甲方：</w:t>
      </w:r>
      <w:r>
        <w:rPr>
          <w:rFonts w:hint="eastAsia" w:asciiTheme="minorEastAsia" w:hAnsiTheme="minorEastAsia" w:eastAsiaTheme="minorEastAsia" w:cstheme="minorEastAsia"/>
          <w:color w:val="auto"/>
          <w:spacing w:val="0"/>
          <w:position w:val="0"/>
          <w:sz w:val="24"/>
          <w:highlight w:val="none"/>
          <w:u w:val="single"/>
        </w:rPr>
        <w:t xml:space="preserve">                                       </w:t>
      </w:r>
    </w:p>
    <w:p w14:paraId="5289F7BA">
      <w:pPr>
        <w:pageBreakBefore w:val="0"/>
        <w:kinsoku/>
        <w:overflowPunct/>
        <w:topLinePunct w:val="0"/>
        <w:bidi w:val="0"/>
        <w:spacing w:before="120" w:line="22" w:lineRule="atLeast"/>
        <w:rPr>
          <w:rFonts w:hint="eastAsia" w:asciiTheme="minorEastAsia" w:hAnsiTheme="minorEastAsia" w:eastAsiaTheme="minorEastAsia" w:cstheme="minorEastAsia"/>
          <w:color w:val="auto"/>
          <w:spacing w:val="0"/>
          <w:position w:val="0"/>
          <w:sz w:val="24"/>
          <w:highlight w:val="none"/>
        </w:rPr>
      </w:pPr>
    </w:p>
    <w:p w14:paraId="2532490B">
      <w:pPr>
        <w:pageBreakBefore w:val="0"/>
        <w:kinsoku/>
        <w:overflowPunct/>
        <w:topLinePunct w:val="0"/>
        <w:bidi w:val="0"/>
        <w:spacing w:before="120" w:line="22" w:lineRule="atLeast"/>
        <w:ind w:left="960"/>
        <w:rPr>
          <w:rFonts w:hint="eastAsia" w:asciiTheme="minorEastAsia" w:hAnsiTheme="minorEastAsia" w:eastAsiaTheme="minorEastAsia" w:cstheme="minorEastAsia"/>
          <w:color w:val="auto"/>
          <w:spacing w:val="0"/>
          <w:position w:val="0"/>
          <w:sz w:val="24"/>
          <w:highlight w:val="none"/>
          <w:u w:val="single"/>
        </w:rPr>
      </w:pPr>
      <w:r>
        <w:rPr>
          <w:rFonts w:hint="eastAsia" w:asciiTheme="minorEastAsia" w:hAnsiTheme="minorEastAsia" w:eastAsiaTheme="minorEastAsia" w:cstheme="minorEastAsia"/>
          <w:color w:val="auto"/>
          <w:spacing w:val="0"/>
          <w:position w:val="0"/>
          <w:sz w:val="24"/>
          <w:highlight w:val="none"/>
        </w:rPr>
        <w:t>乙方：</w:t>
      </w:r>
      <w:r>
        <w:rPr>
          <w:rFonts w:hint="eastAsia" w:asciiTheme="minorEastAsia" w:hAnsiTheme="minorEastAsia" w:eastAsiaTheme="minorEastAsia" w:cstheme="minorEastAsia"/>
          <w:color w:val="auto"/>
          <w:spacing w:val="0"/>
          <w:position w:val="0"/>
          <w:sz w:val="24"/>
          <w:highlight w:val="none"/>
          <w:u w:val="single"/>
        </w:rPr>
        <w:t xml:space="preserve">                                       </w:t>
      </w:r>
    </w:p>
    <w:p w14:paraId="6E461F54">
      <w:pPr>
        <w:pageBreakBefore w:val="0"/>
        <w:kinsoku/>
        <w:overflowPunct/>
        <w:topLinePunct w:val="0"/>
        <w:bidi w:val="0"/>
        <w:spacing w:before="120" w:line="22" w:lineRule="atLeast"/>
        <w:rPr>
          <w:rFonts w:hint="eastAsia" w:asciiTheme="minorEastAsia" w:hAnsiTheme="minorEastAsia" w:eastAsiaTheme="minorEastAsia" w:cstheme="minorEastAsia"/>
          <w:color w:val="auto"/>
          <w:spacing w:val="0"/>
          <w:position w:val="0"/>
          <w:sz w:val="24"/>
          <w:highlight w:val="none"/>
        </w:rPr>
      </w:pPr>
    </w:p>
    <w:p w14:paraId="594C8F03">
      <w:pPr>
        <w:pageBreakBefore w:val="0"/>
        <w:kinsoku/>
        <w:overflowPunct/>
        <w:topLinePunct w:val="0"/>
        <w:bidi w:val="0"/>
        <w:spacing w:before="120" w:line="22" w:lineRule="atLeast"/>
        <w:ind w:firstLine="960" w:firstLineChars="400"/>
        <w:rPr>
          <w:rFonts w:hint="eastAsia" w:asciiTheme="minorEastAsia" w:hAnsiTheme="minorEastAsia" w:eastAsiaTheme="minorEastAsia" w:cstheme="minorEastAsia"/>
          <w:color w:val="auto"/>
          <w:spacing w:val="0"/>
          <w:position w:val="0"/>
          <w:sz w:val="24"/>
          <w:highlight w:val="none"/>
          <w:u w:val="single"/>
        </w:rPr>
      </w:pPr>
      <w:r>
        <w:rPr>
          <w:rFonts w:hint="eastAsia" w:asciiTheme="minorEastAsia" w:hAnsiTheme="minorEastAsia" w:eastAsiaTheme="minorEastAsia" w:cstheme="minorEastAsia"/>
          <w:color w:val="auto"/>
          <w:spacing w:val="0"/>
          <w:position w:val="0"/>
          <w:sz w:val="24"/>
          <w:highlight w:val="none"/>
        </w:rPr>
        <w:t>签订地：</w:t>
      </w:r>
      <w:r>
        <w:rPr>
          <w:rFonts w:hint="eastAsia" w:asciiTheme="minorEastAsia" w:hAnsiTheme="minorEastAsia" w:eastAsiaTheme="minorEastAsia" w:cstheme="minorEastAsia"/>
          <w:color w:val="auto"/>
          <w:spacing w:val="0"/>
          <w:position w:val="0"/>
          <w:sz w:val="24"/>
          <w:highlight w:val="none"/>
          <w:u w:val="single"/>
        </w:rPr>
        <w:t xml:space="preserve">                                     </w:t>
      </w:r>
    </w:p>
    <w:p w14:paraId="2ADD78AF">
      <w:pPr>
        <w:pageBreakBefore w:val="0"/>
        <w:kinsoku/>
        <w:overflowPunct/>
        <w:topLinePunct w:val="0"/>
        <w:bidi w:val="0"/>
        <w:spacing w:before="120" w:line="22" w:lineRule="atLeast"/>
        <w:rPr>
          <w:rFonts w:hint="eastAsia" w:asciiTheme="minorEastAsia" w:hAnsiTheme="minorEastAsia" w:eastAsiaTheme="minorEastAsia" w:cstheme="minorEastAsia"/>
          <w:color w:val="auto"/>
          <w:spacing w:val="0"/>
          <w:position w:val="0"/>
          <w:sz w:val="24"/>
          <w:highlight w:val="none"/>
        </w:rPr>
      </w:pPr>
    </w:p>
    <w:p w14:paraId="3CEDFD15">
      <w:pPr>
        <w:pageBreakBefore w:val="0"/>
        <w:kinsoku/>
        <w:overflowPunct/>
        <w:topLinePunct w:val="0"/>
        <w:bidi w:val="0"/>
        <w:spacing w:before="120" w:line="22" w:lineRule="atLeast"/>
        <w:ind w:firstLine="960" w:firstLineChars="400"/>
        <w:rPr>
          <w:rFonts w:hint="eastAsia" w:asciiTheme="minorEastAsia" w:hAnsiTheme="minorEastAsia" w:eastAsiaTheme="minorEastAsia" w:cstheme="minorEastAsia"/>
          <w:color w:val="auto"/>
          <w:spacing w:val="0"/>
          <w:position w:val="0"/>
          <w:sz w:val="24"/>
          <w:highlight w:val="none"/>
          <w:u w:val="single"/>
        </w:rPr>
      </w:pPr>
      <w:r>
        <w:rPr>
          <w:rFonts w:hint="eastAsia" w:asciiTheme="minorEastAsia" w:hAnsiTheme="minorEastAsia" w:eastAsiaTheme="minorEastAsia" w:cstheme="minorEastAsia"/>
          <w:color w:val="auto"/>
          <w:spacing w:val="0"/>
          <w:position w:val="0"/>
          <w:sz w:val="24"/>
          <w:highlight w:val="none"/>
        </w:rPr>
        <w:t>签订日期：</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年</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月</w:t>
      </w:r>
      <w:r>
        <w:rPr>
          <w:rFonts w:hint="eastAsia" w:asciiTheme="minorEastAsia" w:hAnsiTheme="minorEastAsia" w:eastAsiaTheme="minorEastAsia" w:cstheme="minorEastAsia"/>
          <w:color w:val="auto"/>
          <w:spacing w:val="0"/>
          <w:position w:val="0"/>
          <w:sz w:val="24"/>
          <w:highlight w:val="none"/>
          <w:u w:val="single"/>
        </w:rPr>
        <w:t xml:space="preserve">       </w:t>
      </w:r>
      <w:r>
        <w:rPr>
          <w:rFonts w:hint="eastAsia" w:asciiTheme="minorEastAsia" w:hAnsiTheme="minorEastAsia" w:eastAsiaTheme="minorEastAsia" w:cstheme="minorEastAsia"/>
          <w:color w:val="auto"/>
          <w:spacing w:val="0"/>
          <w:position w:val="0"/>
          <w:sz w:val="24"/>
          <w:highlight w:val="none"/>
        </w:rPr>
        <w:t>日</w:t>
      </w:r>
    </w:p>
    <w:p w14:paraId="1138AB25">
      <w:pPr>
        <w:pageBreakBefore w:val="0"/>
        <w:kinsoku/>
        <w:overflowPunct/>
        <w:topLinePunct w:val="0"/>
        <w:autoSpaceDE w:val="0"/>
        <w:autoSpaceDN w:val="0"/>
        <w:bidi w:val="0"/>
        <w:adjustRightInd w:val="0"/>
        <w:spacing w:line="600" w:lineRule="exact"/>
        <w:ind w:firstLine="640"/>
        <w:jc w:val="center"/>
        <w:rPr>
          <w:rFonts w:hint="eastAsia" w:asciiTheme="minorEastAsia" w:hAnsiTheme="minorEastAsia" w:eastAsiaTheme="minorEastAsia" w:cstheme="minorEastAsia"/>
          <w:color w:val="auto"/>
          <w:spacing w:val="0"/>
          <w:position w:val="0"/>
          <w:sz w:val="24"/>
          <w:highlight w:val="none"/>
        </w:rPr>
        <w:sectPr>
          <w:footerReference r:id="rId4" w:type="default"/>
          <w:pgSz w:w="11907" w:h="16840"/>
          <w:pgMar w:top="1474" w:right="1814" w:bottom="1474" w:left="1814" w:header="851" w:footer="851" w:gutter="0"/>
          <w:pgNumType w:start="1"/>
          <w:cols w:space="720" w:num="1"/>
          <w:docGrid w:linePitch="462" w:charSpace="0"/>
        </w:sectPr>
      </w:pPr>
    </w:p>
    <w:p w14:paraId="72E1D9C8">
      <w:pPr>
        <w:pStyle w:val="105"/>
        <w:pageBreakBefore w:val="0"/>
        <w:kinsoku/>
        <w:overflowPunct/>
        <w:topLinePunct w:val="0"/>
        <w:bidi w:val="0"/>
        <w:ind w:firstLine="0"/>
        <w:jc w:val="center"/>
        <w:rPr>
          <w:rFonts w:hint="eastAsia" w:asciiTheme="minorEastAsia" w:hAnsiTheme="minorEastAsia" w:eastAsiaTheme="minorEastAsia" w:cstheme="minorEastAsia"/>
          <w:b/>
          <w:color w:val="auto"/>
          <w:spacing w:val="0"/>
          <w:position w:val="0"/>
          <w:szCs w:val="24"/>
          <w:highlight w:val="none"/>
        </w:rPr>
      </w:pPr>
      <w:r>
        <w:rPr>
          <w:rFonts w:hint="eastAsia" w:asciiTheme="minorEastAsia" w:hAnsiTheme="minorEastAsia" w:eastAsiaTheme="minorEastAsia" w:cstheme="minorEastAsia"/>
          <w:b/>
          <w:color w:val="auto"/>
          <w:spacing w:val="0"/>
          <w:position w:val="0"/>
          <w:szCs w:val="24"/>
          <w:highlight w:val="none"/>
        </w:rPr>
        <w:t>第一部分 合同书</w:t>
      </w:r>
    </w:p>
    <w:p w14:paraId="34A4BC0F">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lang w:val="zh-CN"/>
        </w:rPr>
        <w:t xml:space="preserve">        </w:t>
      </w:r>
      <w:r>
        <w:rPr>
          <w:rFonts w:hint="eastAsia" w:asciiTheme="minorEastAsia" w:hAnsiTheme="minorEastAsia" w:eastAsiaTheme="minorEastAsia" w:cstheme="minorEastAsia"/>
          <w:color w:val="auto"/>
          <w:spacing w:val="0"/>
          <w:position w:val="0"/>
          <w:sz w:val="24"/>
          <w:szCs w:val="24"/>
          <w:highlight w:val="none"/>
          <w:lang w:val="zh-CN"/>
        </w:rPr>
        <w:t>年</w:t>
      </w:r>
      <w:r>
        <w:rPr>
          <w:rFonts w:hint="eastAsia" w:asciiTheme="minorEastAsia" w:hAnsiTheme="minorEastAsia" w:eastAsiaTheme="minorEastAsia" w:cstheme="minorEastAsia"/>
          <w:color w:val="auto"/>
          <w:spacing w:val="0"/>
          <w:position w:val="0"/>
          <w:sz w:val="24"/>
          <w:szCs w:val="24"/>
          <w:highlight w:val="none"/>
          <w:u w:val="single"/>
          <w:lang w:val="zh-CN"/>
        </w:rPr>
        <w:t xml:space="preserve">    </w:t>
      </w:r>
      <w:r>
        <w:rPr>
          <w:rFonts w:hint="eastAsia" w:asciiTheme="minorEastAsia" w:hAnsiTheme="minorEastAsia" w:eastAsiaTheme="minorEastAsia" w:cstheme="minorEastAsia"/>
          <w:color w:val="auto"/>
          <w:spacing w:val="0"/>
          <w:position w:val="0"/>
          <w:sz w:val="24"/>
          <w:szCs w:val="24"/>
          <w:highlight w:val="none"/>
          <w:lang w:val="zh-CN"/>
        </w:rPr>
        <w:t>月</w:t>
      </w:r>
      <w:r>
        <w:rPr>
          <w:rFonts w:hint="eastAsia" w:asciiTheme="minorEastAsia" w:hAnsiTheme="minorEastAsia" w:eastAsiaTheme="minorEastAsia" w:cstheme="minorEastAsia"/>
          <w:color w:val="auto"/>
          <w:spacing w:val="0"/>
          <w:position w:val="0"/>
          <w:sz w:val="24"/>
          <w:szCs w:val="24"/>
          <w:highlight w:val="none"/>
          <w:u w:val="single"/>
          <w:lang w:val="zh-CN"/>
        </w:rPr>
        <w:t xml:space="preserve">    </w:t>
      </w:r>
      <w:r>
        <w:rPr>
          <w:rFonts w:hint="eastAsia" w:asciiTheme="minorEastAsia" w:hAnsiTheme="minorEastAsia" w:eastAsiaTheme="minorEastAsia" w:cstheme="minorEastAsia"/>
          <w:color w:val="auto"/>
          <w:spacing w:val="0"/>
          <w:position w:val="0"/>
          <w:sz w:val="24"/>
          <w:szCs w:val="24"/>
          <w:highlight w:val="none"/>
          <w:lang w:val="zh-CN"/>
        </w:rPr>
        <w:t>日</w:t>
      </w: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u w:val="single"/>
        </w:rPr>
        <w:t xml:space="preserve">   （采购人名称）   </w:t>
      </w:r>
      <w:r>
        <w:rPr>
          <w:rFonts w:hint="eastAsia" w:asciiTheme="minorEastAsia" w:hAnsiTheme="minorEastAsia" w:eastAsiaTheme="minorEastAsia" w:cstheme="minorEastAsia"/>
          <w:color w:val="auto"/>
          <w:spacing w:val="0"/>
          <w:position w:val="0"/>
          <w:sz w:val="24"/>
          <w:szCs w:val="24"/>
          <w:highlight w:val="none"/>
        </w:rPr>
        <w:t>以</w:t>
      </w:r>
      <w:r>
        <w:rPr>
          <w:rFonts w:hint="eastAsia" w:asciiTheme="minorEastAsia" w:hAnsiTheme="minorEastAsia" w:eastAsiaTheme="minorEastAsia" w:cstheme="minorEastAsia"/>
          <w:color w:val="auto"/>
          <w:spacing w:val="0"/>
          <w:position w:val="0"/>
          <w:sz w:val="24"/>
          <w:szCs w:val="24"/>
          <w:highlight w:val="none"/>
          <w:u w:val="single"/>
        </w:rPr>
        <w:t xml:space="preserve">   （政府采购方式）  </w:t>
      </w:r>
      <w:r>
        <w:rPr>
          <w:rFonts w:hint="eastAsia" w:asciiTheme="minorEastAsia" w:hAnsiTheme="minorEastAsia" w:eastAsiaTheme="minorEastAsia" w:cstheme="minorEastAsia"/>
          <w:color w:val="auto"/>
          <w:spacing w:val="0"/>
          <w:position w:val="0"/>
          <w:sz w:val="24"/>
          <w:szCs w:val="24"/>
          <w:highlight w:val="none"/>
        </w:rPr>
        <w:t>对</w:t>
      </w:r>
      <w:r>
        <w:rPr>
          <w:rFonts w:hint="eastAsia" w:asciiTheme="minorEastAsia" w:hAnsiTheme="minorEastAsia" w:eastAsiaTheme="minorEastAsia" w:cstheme="minorEastAsia"/>
          <w:color w:val="auto"/>
          <w:spacing w:val="0"/>
          <w:position w:val="0"/>
          <w:sz w:val="24"/>
          <w:szCs w:val="24"/>
          <w:highlight w:val="none"/>
          <w:u w:val="single"/>
        </w:rPr>
        <w:t xml:space="preserve">   （同前页项目名称）   </w:t>
      </w:r>
      <w:r>
        <w:rPr>
          <w:rFonts w:hint="eastAsia" w:asciiTheme="minorEastAsia" w:hAnsiTheme="minorEastAsia" w:eastAsiaTheme="minorEastAsia" w:cstheme="minorEastAsia"/>
          <w:color w:val="auto"/>
          <w:spacing w:val="0"/>
          <w:position w:val="0"/>
          <w:sz w:val="24"/>
          <w:szCs w:val="24"/>
          <w:highlight w:val="none"/>
        </w:rPr>
        <w:t>项目进行了采购。经</w:t>
      </w:r>
      <w:r>
        <w:rPr>
          <w:rFonts w:hint="eastAsia" w:asciiTheme="minorEastAsia" w:hAnsiTheme="minorEastAsia" w:eastAsiaTheme="minorEastAsia" w:cstheme="minorEastAsia"/>
          <w:color w:val="auto"/>
          <w:spacing w:val="0"/>
          <w:position w:val="0"/>
          <w:sz w:val="24"/>
          <w:szCs w:val="24"/>
          <w:highlight w:val="none"/>
          <w:u w:val="single"/>
        </w:rPr>
        <w:t xml:space="preserve">   （相关评定主体名称）   </w:t>
      </w:r>
      <w:r>
        <w:rPr>
          <w:rFonts w:hint="eastAsia" w:asciiTheme="minorEastAsia" w:hAnsiTheme="minorEastAsia" w:eastAsiaTheme="minorEastAsia" w:cstheme="minorEastAsia"/>
          <w:color w:val="auto"/>
          <w:spacing w:val="0"/>
          <w:position w:val="0"/>
          <w:sz w:val="24"/>
          <w:szCs w:val="24"/>
          <w:highlight w:val="none"/>
        </w:rPr>
        <w:t>评定，</w:t>
      </w:r>
      <w:r>
        <w:rPr>
          <w:rFonts w:hint="eastAsia" w:asciiTheme="minorEastAsia" w:hAnsiTheme="minorEastAsia" w:eastAsiaTheme="minorEastAsia" w:cstheme="minorEastAsia"/>
          <w:color w:val="auto"/>
          <w:spacing w:val="0"/>
          <w:position w:val="0"/>
          <w:sz w:val="24"/>
          <w:szCs w:val="24"/>
          <w:highlight w:val="none"/>
          <w:u w:val="single"/>
        </w:rPr>
        <w:t xml:space="preserve">   （中标</w:t>
      </w:r>
      <w:r>
        <w:rPr>
          <w:rFonts w:hint="eastAsia" w:asciiTheme="minorEastAsia" w:hAnsiTheme="minorEastAsia" w:eastAsiaTheme="minorEastAsia" w:cstheme="minorEastAsia"/>
          <w:color w:val="auto"/>
          <w:spacing w:val="0"/>
          <w:position w:val="0"/>
          <w:sz w:val="24"/>
          <w:szCs w:val="24"/>
          <w:highlight w:val="none"/>
          <w:u w:val="single"/>
          <w:lang w:eastAsia="zh-CN"/>
        </w:rPr>
        <w:t>投标人</w:t>
      </w:r>
      <w:r>
        <w:rPr>
          <w:rFonts w:hint="eastAsia" w:asciiTheme="minorEastAsia" w:hAnsiTheme="minorEastAsia" w:eastAsiaTheme="minorEastAsia" w:cstheme="minorEastAsia"/>
          <w:color w:val="auto"/>
          <w:spacing w:val="0"/>
          <w:position w:val="0"/>
          <w:sz w:val="24"/>
          <w:szCs w:val="24"/>
          <w:highlight w:val="none"/>
          <w:u w:val="single"/>
        </w:rPr>
        <w:t xml:space="preserve">名称） </w:t>
      </w:r>
      <w:r>
        <w:rPr>
          <w:rFonts w:hint="eastAsia" w:asciiTheme="minorEastAsia" w:hAnsiTheme="minorEastAsia" w:eastAsiaTheme="minorEastAsia" w:cstheme="minorEastAsia"/>
          <w:color w:val="auto"/>
          <w:spacing w:val="0"/>
          <w:position w:val="0"/>
          <w:sz w:val="24"/>
          <w:szCs w:val="24"/>
          <w:highlight w:val="none"/>
        </w:rPr>
        <w:t>为该项目中标</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。现于中标通知书发出之日起三十日内，按照采购文件确定的事项签订本合同。</w:t>
      </w:r>
    </w:p>
    <w:p w14:paraId="2240A029">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zh-CN"/>
        </w:rPr>
        <w:t>根据《中华人民共和国合同法》、《中华人民共和国政府采购法》等相关法律法规之规定，按照平等、自愿、公平和诚实信用的原则，经</w:t>
      </w:r>
      <w:r>
        <w:rPr>
          <w:rFonts w:hint="eastAsia" w:asciiTheme="minorEastAsia" w:hAnsiTheme="minorEastAsia" w:eastAsiaTheme="minorEastAsia" w:cstheme="minorEastAsia"/>
          <w:color w:val="auto"/>
          <w:spacing w:val="0"/>
          <w:position w:val="0"/>
          <w:sz w:val="24"/>
          <w:szCs w:val="24"/>
          <w:highlight w:val="none"/>
          <w:u w:val="single"/>
        </w:rPr>
        <w:t xml:space="preserve">   （采购人名称）   </w:t>
      </w:r>
      <w:r>
        <w:rPr>
          <w:rFonts w:hint="eastAsia" w:asciiTheme="minorEastAsia" w:hAnsiTheme="minorEastAsia" w:eastAsiaTheme="minorEastAsia" w:cstheme="minorEastAsia"/>
          <w:color w:val="auto"/>
          <w:spacing w:val="0"/>
          <w:position w:val="0"/>
          <w:sz w:val="24"/>
          <w:szCs w:val="24"/>
          <w:highlight w:val="none"/>
          <w:lang w:val="zh-CN"/>
        </w:rPr>
        <w:t>(以下简称：甲方)和</w:t>
      </w:r>
      <w:r>
        <w:rPr>
          <w:rFonts w:hint="eastAsia" w:asciiTheme="minorEastAsia" w:hAnsiTheme="minorEastAsia" w:eastAsiaTheme="minorEastAsia" w:cstheme="minorEastAsia"/>
          <w:color w:val="auto"/>
          <w:spacing w:val="0"/>
          <w:position w:val="0"/>
          <w:sz w:val="24"/>
          <w:szCs w:val="24"/>
          <w:highlight w:val="none"/>
          <w:u w:val="single"/>
        </w:rPr>
        <w:t xml:space="preserve">   （中标</w:t>
      </w:r>
      <w:r>
        <w:rPr>
          <w:rFonts w:hint="eastAsia" w:asciiTheme="minorEastAsia" w:hAnsiTheme="minorEastAsia" w:eastAsiaTheme="minorEastAsia" w:cstheme="minorEastAsia"/>
          <w:color w:val="auto"/>
          <w:spacing w:val="0"/>
          <w:position w:val="0"/>
          <w:sz w:val="24"/>
          <w:szCs w:val="24"/>
          <w:highlight w:val="none"/>
          <w:u w:val="single"/>
          <w:lang w:eastAsia="zh-CN"/>
        </w:rPr>
        <w:t>投标人</w:t>
      </w:r>
      <w:r>
        <w:rPr>
          <w:rFonts w:hint="eastAsia" w:asciiTheme="minorEastAsia" w:hAnsiTheme="minorEastAsia" w:eastAsiaTheme="minorEastAsia" w:cstheme="minorEastAsia"/>
          <w:color w:val="auto"/>
          <w:spacing w:val="0"/>
          <w:position w:val="0"/>
          <w:sz w:val="24"/>
          <w:szCs w:val="24"/>
          <w:highlight w:val="none"/>
          <w:u w:val="single"/>
        </w:rPr>
        <w:t xml:space="preserve">名称）   </w:t>
      </w:r>
      <w:r>
        <w:rPr>
          <w:rFonts w:hint="eastAsia" w:asciiTheme="minorEastAsia" w:hAnsiTheme="minorEastAsia" w:eastAsiaTheme="minorEastAsia" w:cstheme="minorEastAsia"/>
          <w:color w:val="auto"/>
          <w:spacing w:val="0"/>
          <w:position w:val="0"/>
          <w:sz w:val="24"/>
          <w:szCs w:val="24"/>
          <w:highlight w:val="none"/>
          <w:lang w:val="zh-CN"/>
        </w:rPr>
        <w:t>(以下简称：乙方)协商一致，约定以下合同</w:t>
      </w:r>
      <w:r>
        <w:rPr>
          <w:rFonts w:hint="eastAsia" w:asciiTheme="minorEastAsia" w:hAnsiTheme="minorEastAsia" w:eastAsiaTheme="minorEastAsia" w:cstheme="minorEastAsia"/>
          <w:color w:val="auto"/>
          <w:spacing w:val="0"/>
          <w:position w:val="0"/>
          <w:sz w:val="24"/>
          <w:szCs w:val="24"/>
          <w:highlight w:val="none"/>
        </w:rPr>
        <w:t>条款，以兹共同遵守、全面履行。</w:t>
      </w:r>
    </w:p>
    <w:p w14:paraId="592B5F07">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color w:val="auto"/>
          <w:spacing w:val="0"/>
          <w:position w:val="0"/>
          <w:sz w:val="24"/>
          <w:szCs w:val="24"/>
          <w:highlight w:val="none"/>
        </w:rPr>
      </w:pPr>
      <w:bookmarkStart w:id="95" w:name="_Toc31100"/>
      <w:bookmarkStart w:id="96" w:name="_Toc15367"/>
      <w:bookmarkStart w:id="97" w:name="_Toc20421"/>
      <w:bookmarkStart w:id="98" w:name="_Toc19273"/>
      <w:bookmarkStart w:id="99" w:name="_Toc22967"/>
      <w:bookmarkStart w:id="100" w:name="_Toc19670"/>
      <w:bookmarkStart w:id="101" w:name="_Toc28855"/>
      <w:r>
        <w:rPr>
          <w:rFonts w:hint="eastAsia" w:asciiTheme="minorEastAsia" w:hAnsiTheme="minorEastAsia" w:eastAsiaTheme="minorEastAsia" w:cstheme="minorEastAsia"/>
          <w:b/>
          <w:color w:val="auto"/>
          <w:spacing w:val="0"/>
          <w:position w:val="0"/>
          <w:sz w:val="24"/>
          <w:szCs w:val="24"/>
          <w:highlight w:val="none"/>
        </w:rPr>
        <w:t>1.1 合同组成部分</w:t>
      </w:r>
      <w:bookmarkEnd w:id="95"/>
      <w:bookmarkEnd w:id="96"/>
      <w:bookmarkEnd w:id="97"/>
      <w:bookmarkEnd w:id="98"/>
      <w:bookmarkEnd w:id="99"/>
      <w:bookmarkEnd w:id="100"/>
      <w:bookmarkEnd w:id="101"/>
    </w:p>
    <w:p w14:paraId="2C832374">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13C0C483">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1.1.1 本合同及其补充合同、变更协议；</w:t>
      </w:r>
    </w:p>
    <w:p w14:paraId="6425A174">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1.1.2 中标通知书；</w:t>
      </w:r>
    </w:p>
    <w:p w14:paraId="1FF108C8">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1.1.3 投标文件（含澄清或者说明文件）；</w:t>
      </w:r>
    </w:p>
    <w:p w14:paraId="1AE810E0">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1.1.4 </w:t>
      </w:r>
      <w:r>
        <w:rPr>
          <w:rFonts w:hint="eastAsia" w:asciiTheme="minorEastAsia" w:hAnsiTheme="minorEastAsia" w:eastAsiaTheme="minorEastAsia" w:cstheme="minorEastAsia"/>
          <w:color w:val="auto"/>
          <w:spacing w:val="0"/>
          <w:position w:val="0"/>
          <w:sz w:val="24"/>
          <w:szCs w:val="24"/>
          <w:highlight w:val="none"/>
          <w:lang w:eastAsia="zh-CN"/>
        </w:rPr>
        <w:t>磋商文件</w:t>
      </w:r>
      <w:r>
        <w:rPr>
          <w:rFonts w:hint="eastAsia" w:asciiTheme="minorEastAsia" w:hAnsiTheme="minorEastAsia" w:eastAsiaTheme="minorEastAsia" w:cstheme="minorEastAsia"/>
          <w:color w:val="auto"/>
          <w:spacing w:val="0"/>
          <w:position w:val="0"/>
          <w:sz w:val="24"/>
          <w:szCs w:val="24"/>
          <w:highlight w:val="none"/>
        </w:rPr>
        <w:t>（含澄清或者修改文件）；</w:t>
      </w:r>
    </w:p>
    <w:p w14:paraId="22E2F1D5">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1.1.5 其他相关采购文件。</w:t>
      </w:r>
    </w:p>
    <w:p w14:paraId="0B0F6855">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02" w:name="_Toc5421"/>
      <w:bookmarkStart w:id="103" w:name="_Toc18585"/>
      <w:bookmarkStart w:id="104" w:name="_Toc26280"/>
      <w:bookmarkStart w:id="105" w:name="_Toc6311"/>
      <w:bookmarkStart w:id="106" w:name="_Toc22185"/>
      <w:bookmarkStart w:id="107" w:name="_Toc6773"/>
      <w:bookmarkStart w:id="108" w:name="_Toc2918"/>
      <w:r>
        <w:rPr>
          <w:rFonts w:hint="eastAsia" w:asciiTheme="minorEastAsia" w:hAnsiTheme="minorEastAsia" w:eastAsiaTheme="minorEastAsia" w:cstheme="minorEastAsia"/>
          <w:b/>
          <w:color w:val="auto"/>
          <w:spacing w:val="0"/>
          <w:position w:val="0"/>
          <w:sz w:val="24"/>
          <w:szCs w:val="24"/>
          <w:highlight w:val="none"/>
        </w:rPr>
        <w:t>1.2 标的</w:t>
      </w:r>
      <w:bookmarkEnd w:id="102"/>
      <w:bookmarkEnd w:id="103"/>
      <w:bookmarkEnd w:id="104"/>
      <w:bookmarkEnd w:id="105"/>
      <w:bookmarkEnd w:id="106"/>
      <w:bookmarkEnd w:id="107"/>
      <w:bookmarkEnd w:id="108"/>
    </w:p>
    <w:p w14:paraId="4A6F6F6B">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1.2.1 标的名称：</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0138E404">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1.2.2 标的数量：</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28F42ED7">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1.2.3 标的质量：</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1C8FB358">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09" w:name="_Toc1386"/>
      <w:bookmarkStart w:id="110" w:name="_Toc4929"/>
      <w:bookmarkStart w:id="111" w:name="_Toc21943"/>
      <w:bookmarkStart w:id="112" w:name="_Toc13918"/>
      <w:bookmarkStart w:id="113" w:name="_Toc21124"/>
      <w:bookmarkStart w:id="114" w:name="_Toc16905"/>
      <w:bookmarkStart w:id="115" w:name="_Toc5635"/>
      <w:r>
        <w:rPr>
          <w:rFonts w:hint="eastAsia" w:asciiTheme="minorEastAsia" w:hAnsiTheme="minorEastAsia" w:eastAsiaTheme="minorEastAsia" w:cstheme="minorEastAsia"/>
          <w:b/>
          <w:color w:val="auto"/>
          <w:spacing w:val="0"/>
          <w:position w:val="0"/>
          <w:sz w:val="24"/>
          <w:szCs w:val="24"/>
          <w:highlight w:val="none"/>
        </w:rPr>
        <w:t>1.3 价款</w:t>
      </w:r>
      <w:bookmarkEnd w:id="109"/>
      <w:bookmarkEnd w:id="110"/>
      <w:bookmarkEnd w:id="111"/>
      <w:bookmarkEnd w:id="112"/>
      <w:bookmarkEnd w:id="113"/>
      <w:bookmarkEnd w:id="114"/>
      <w:bookmarkEnd w:id="115"/>
    </w:p>
    <w:p w14:paraId="0890BFCD">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本合同总价为：￥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元（大写：</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元人民币）。</w:t>
      </w:r>
    </w:p>
    <w:p w14:paraId="42425DE7">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分项价格：</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899"/>
        <w:gridCol w:w="2924"/>
      </w:tblGrid>
      <w:tr w14:paraId="3DAB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75" w:type="dxa"/>
            <w:noWrap w:val="0"/>
            <w:vAlign w:val="center"/>
          </w:tcPr>
          <w:p w14:paraId="35D809EB">
            <w:pPr>
              <w:pStyle w:val="107"/>
              <w:keepNext w:val="0"/>
              <w:keepLines w:val="0"/>
              <w:pageBreakBefore w:val="0"/>
              <w:kinsoku/>
              <w:wordWrap/>
              <w:overflowPunct/>
              <w:topLinePunct w:val="0"/>
              <w:bidi w:val="0"/>
              <w:snapToGrid/>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序号</w:t>
            </w:r>
          </w:p>
        </w:tc>
        <w:tc>
          <w:tcPr>
            <w:tcW w:w="3899" w:type="dxa"/>
            <w:noWrap w:val="0"/>
            <w:vAlign w:val="center"/>
          </w:tcPr>
          <w:p w14:paraId="0C9EBE7F">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分项名称</w:t>
            </w:r>
          </w:p>
        </w:tc>
        <w:tc>
          <w:tcPr>
            <w:tcW w:w="2924" w:type="dxa"/>
            <w:noWrap w:val="0"/>
            <w:vAlign w:val="center"/>
          </w:tcPr>
          <w:p w14:paraId="22CE9529">
            <w:pPr>
              <w:pStyle w:val="107"/>
              <w:keepNext w:val="0"/>
              <w:keepLines w:val="0"/>
              <w:pageBreakBefore w:val="0"/>
              <w:kinsoku/>
              <w:wordWrap/>
              <w:overflowPunct/>
              <w:topLinePunct w:val="0"/>
              <w:bidi w:val="0"/>
              <w:snapToGrid/>
              <w:spacing w:line="440" w:lineRule="exact"/>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分项价格</w:t>
            </w:r>
          </w:p>
        </w:tc>
      </w:tr>
      <w:tr w14:paraId="1A910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75" w:type="dxa"/>
            <w:noWrap w:val="0"/>
            <w:vAlign w:val="center"/>
          </w:tcPr>
          <w:p w14:paraId="68347D6F">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3899" w:type="dxa"/>
            <w:noWrap w:val="0"/>
            <w:vAlign w:val="center"/>
          </w:tcPr>
          <w:p w14:paraId="72DF7557">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2924" w:type="dxa"/>
            <w:noWrap w:val="0"/>
            <w:vAlign w:val="center"/>
          </w:tcPr>
          <w:p w14:paraId="10834B79">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r>
      <w:tr w14:paraId="5AEA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75" w:type="dxa"/>
            <w:noWrap w:val="0"/>
            <w:vAlign w:val="center"/>
          </w:tcPr>
          <w:p w14:paraId="1A079072">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3899" w:type="dxa"/>
            <w:noWrap w:val="0"/>
            <w:vAlign w:val="center"/>
          </w:tcPr>
          <w:p w14:paraId="410860D3">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2924" w:type="dxa"/>
            <w:noWrap w:val="0"/>
            <w:vAlign w:val="center"/>
          </w:tcPr>
          <w:p w14:paraId="7B9191AA">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r>
      <w:tr w14:paraId="246B7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75" w:type="dxa"/>
            <w:noWrap w:val="0"/>
            <w:vAlign w:val="center"/>
          </w:tcPr>
          <w:p w14:paraId="676056DB">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3899" w:type="dxa"/>
            <w:noWrap w:val="0"/>
            <w:vAlign w:val="center"/>
          </w:tcPr>
          <w:p w14:paraId="7A017272">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2924" w:type="dxa"/>
            <w:noWrap w:val="0"/>
            <w:vAlign w:val="center"/>
          </w:tcPr>
          <w:p w14:paraId="73364FBF">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r>
      <w:tr w14:paraId="6C7E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375" w:type="dxa"/>
            <w:noWrap w:val="0"/>
            <w:vAlign w:val="center"/>
          </w:tcPr>
          <w:p w14:paraId="5EAEF5B7">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3899" w:type="dxa"/>
            <w:noWrap w:val="0"/>
            <w:vAlign w:val="center"/>
          </w:tcPr>
          <w:p w14:paraId="354821FA">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c>
          <w:tcPr>
            <w:tcW w:w="2924" w:type="dxa"/>
            <w:noWrap w:val="0"/>
            <w:vAlign w:val="center"/>
          </w:tcPr>
          <w:p w14:paraId="10EB83F5">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r>
      <w:tr w14:paraId="5547C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5274" w:type="dxa"/>
            <w:gridSpan w:val="2"/>
            <w:noWrap w:val="0"/>
            <w:vAlign w:val="center"/>
          </w:tcPr>
          <w:p w14:paraId="7B685B7B">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r>
              <w:rPr>
                <w:rFonts w:hint="eastAsia" w:asciiTheme="minorEastAsia" w:hAnsiTheme="minorEastAsia" w:eastAsiaTheme="minorEastAsia" w:cstheme="minorEastAsia"/>
                <w:color w:val="auto"/>
                <w:spacing w:val="0"/>
                <w:position w:val="0"/>
                <w:sz w:val="24"/>
                <w:szCs w:val="24"/>
                <w:highlight w:val="none"/>
                <w:lang w:val="en-US" w:eastAsia="zh-CN"/>
              </w:rPr>
              <w:t>总价</w:t>
            </w:r>
          </w:p>
        </w:tc>
        <w:tc>
          <w:tcPr>
            <w:tcW w:w="2924" w:type="dxa"/>
            <w:noWrap w:val="0"/>
            <w:vAlign w:val="center"/>
          </w:tcPr>
          <w:p w14:paraId="56823FA0">
            <w:pPr>
              <w:pStyle w:val="107"/>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color w:val="auto"/>
                <w:spacing w:val="0"/>
                <w:position w:val="0"/>
                <w:sz w:val="24"/>
                <w:szCs w:val="24"/>
                <w:highlight w:val="none"/>
                <w:lang w:val="en-US" w:eastAsia="zh-CN"/>
              </w:rPr>
            </w:pPr>
          </w:p>
        </w:tc>
      </w:tr>
    </w:tbl>
    <w:p w14:paraId="75B1AFBD">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16" w:name="_Toc3226"/>
      <w:bookmarkStart w:id="117" w:name="_Toc12326"/>
      <w:bookmarkStart w:id="118" w:name="_Toc14993"/>
      <w:bookmarkStart w:id="119" w:name="_Toc30158"/>
      <w:bookmarkStart w:id="120" w:name="_Toc3654"/>
      <w:bookmarkStart w:id="121" w:name="_Toc30506"/>
      <w:bookmarkStart w:id="122" w:name="_Toc26916"/>
      <w:r>
        <w:rPr>
          <w:rFonts w:hint="eastAsia" w:asciiTheme="minorEastAsia" w:hAnsiTheme="minorEastAsia" w:eastAsiaTheme="minorEastAsia" w:cstheme="minorEastAsia"/>
          <w:b/>
          <w:color w:val="auto"/>
          <w:spacing w:val="0"/>
          <w:position w:val="0"/>
          <w:sz w:val="24"/>
          <w:szCs w:val="24"/>
          <w:highlight w:val="none"/>
        </w:rPr>
        <w:t>1.4 付款方式和发票开具方式</w:t>
      </w:r>
      <w:bookmarkEnd w:id="116"/>
      <w:bookmarkEnd w:id="117"/>
      <w:bookmarkEnd w:id="118"/>
      <w:bookmarkEnd w:id="119"/>
      <w:bookmarkEnd w:id="120"/>
      <w:bookmarkEnd w:id="121"/>
      <w:bookmarkEnd w:id="122"/>
    </w:p>
    <w:p w14:paraId="2BA10F97">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1.4.1付款方式：</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7EDCB65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1.4.2 发票开具方式：</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0DC1699F">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23" w:name="_Toc31421"/>
      <w:bookmarkStart w:id="124" w:name="_Toc4760"/>
      <w:bookmarkStart w:id="125" w:name="_Toc27202"/>
      <w:bookmarkStart w:id="126" w:name="_Toc3625"/>
      <w:bookmarkStart w:id="127" w:name="_Toc11108"/>
      <w:bookmarkStart w:id="128" w:name="_Toc28381"/>
      <w:bookmarkStart w:id="129" w:name="_Toc8772"/>
      <w:r>
        <w:rPr>
          <w:rFonts w:hint="eastAsia" w:asciiTheme="minorEastAsia" w:hAnsiTheme="minorEastAsia" w:eastAsiaTheme="minorEastAsia" w:cstheme="minorEastAsia"/>
          <w:b/>
          <w:color w:val="auto"/>
          <w:spacing w:val="0"/>
          <w:position w:val="0"/>
          <w:sz w:val="24"/>
          <w:szCs w:val="24"/>
          <w:highlight w:val="none"/>
        </w:rPr>
        <w:t>1.5 履行期限、地点和方式</w:t>
      </w:r>
      <w:bookmarkEnd w:id="123"/>
      <w:bookmarkEnd w:id="124"/>
      <w:bookmarkEnd w:id="125"/>
      <w:bookmarkEnd w:id="126"/>
      <w:bookmarkEnd w:id="127"/>
      <w:bookmarkEnd w:id="128"/>
      <w:bookmarkEnd w:id="129"/>
    </w:p>
    <w:p w14:paraId="201C706E">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u w:val="single"/>
        </w:rPr>
      </w:pPr>
      <w:r>
        <w:rPr>
          <w:rFonts w:hint="eastAsia" w:asciiTheme="minorEastAsia" w:hAnsiTheme="minorEastAsia" w:eastAsiaTheme="minorEastAsia" w:cstheme="minorEastAsia"/>
          <w:color w:val="auto"/>
          <w:spacing w:val="0"/>
          <w:position w:val="0"/>
          <w:sz w:val="24"/>
          <w:szCs w:val="24"/>
          <w:highlight w:val="none"/>
        </w:rPr>
        <w:t>1.5.1 履行期限：</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37AB9F4A">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1.5.2 履行地点：</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0F5B330C">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1.5.3 履行方式：</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w:t>
      </w:r>
    </w:p>
    <w:p w14:paraId="6FBF8168">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color w:val="auto"/>
          <w:spacing w:val="0"/>
          <w:position w:val="0"/>
          <w:sz w:val="24"/>
          <w:szCs w:val="24"/>
          <w:highlight w:val="none"/>
          <w:u w:val="single"/>
        </w:rPr>
      </w:pPr>
      <w:bookmarkStart w:id="130" w:name="_Toc8586"/>
      <w:bookmarkStart w:id="131" w:name="_Toc2375"/>
      <w:bookmarkStart w:id="132" w:name="_Toc5698"/>
      <w:bookmarkStart w:id="133" w:name="_Toc24329"/>
      <w:bookmarkStart w:id="134" w:name="_Toc8705"/>
      <w:bookmarkStart w:id="135" w:name="_Toc3079"/>
      <w:bookmarkStart w:id="136" w:name="_Toc24662"/>
      <w:r>
        <w:rPr>
          <w:rFonts w:hint="eastAsia" w:asciiTheme="minorEastAsia" w:hAnsiTheme="minorEastAsia" w:eastAsiaTheme="minorEastAsia" w:cstheme="minorEastAsia"/>
          <w:b/>
          <w:color w:val="auto"/>
          <w:spacing w:val="0"/>
          <w:position w:val="0"/>
          <w:sz w:val="24"/>
          <w:szCs w:val="24"/>
          <w:highlight w:val="none"/>
        </w:rPr>
        <w:t>1.6 违约责任</w:t>
      </w:r>
      <w:bookmarkEnd w:id="130"/>
      <w:bookmarkEnd w:id="131"/>
      <w:bookmarkEnd w:id="132"/>
      <w:bookmarkEnd w:id="133"/>
      <w:bookmarkEnd w:id="134"/>
      <w:bookmarkEnd w:id="135"/>
      <w:bookmarkEnd w:id="136"/>
    </w:p>
    <w:p w14:paraId="14A4C5C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1.6.1 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%计算，最高限额为本合同总价的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%；迟延履行的违约金计算数额达到前述最高限额之日起，甲方有权在要求乙方支付违约金的同时，书面通知乙方解除本合同；</w:t>
      </w:r>
    </w:p>
    <w:p w14:paraId="0B961259">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1.6.2 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%计算，最高限额为本合同总价的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%；迟延付款的违约金计算数额达到前述最高限额之日起，乙方有权在要求甲方支付违约金的同时，书面通知甲方解除本合同；</w:t>
      </w:r>
    </w:p>
    <w:p w14:paraId="51F37C3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2A316445">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834E328">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4CFDDD9">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EE73E73">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37" w:name="_Toc28352"/>
      <w:bookmarkStart w:id="138" w:name="_Toc9497"/>
      <w:bookmarkStart w:id="139" w:name="_Toc18683"/>
      <w:bookmarkStart w:id="140" w:name="_Toc26807"/>
      <w:bookmarkStart w:id="141" w:name="_Toc32454"/>
      <w:bookmarkStart w:id="142" w:name="_Toc17937"/>
      <w:bookmarkStart w:id="143" w:name="_Toc30329"/>
      <w:r>
        <w:rPr>
          <w:rFonts w:hint="eastAsia" w:asciiTheme="minorEastAsia" w:hAnsiTheme="minorEastAsia" w:eastAsiaTheme="minorEastAsia" w:cstheme="minorEastAsia"/>
          <w:b/>
          <w:color w:val="auto"/>
          <w:spacing w:val="0"/>
          <w:position w:val="0"/>
          <w:sz w:val="24"/>
          <w:szCs w:val="24"/>
          <w:highlight w:val="none"/>
        </w:rPr>
        <w:t>1.7 合同争议的解决</w:t>
      </w:r>
      <w:bookmarkEnd w:id="137"/>
      <w:bookmarkEnd w:id="138"/>
      <w:bookmarkEnd w:id="139"/>
      <w:bookmarkEnd w:id="140"/>
      <w:bookmarkEnd w:id="141"/>
      <w:bookmarkEnd w:id="142"/>
      <w:bookmarkEnd w:id="143"/>
    </w:p>
    <w:p w14:paraId="5585DB9D">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种方式解决：</w:t>
      </w:r>
    </w:p>
    <w:p w14:paraId="6FA6A4B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1.7.1 将争议提交</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仲裁委员会依申请仲裁时其现行有效的仲裁规则裁决；</w:t>
      </w:r>
    </w:p>
    <w:p w14:paraId="715E40AF">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1.7.2 向</w:t>
      </w:r>
      <w:r>
        <w:rPr>
          <w:rFonts w:hint="eastAsia" w:asciiTheme="minorEastAsia" w:hAnsiTheme="minorEastAsia" w:eastAsiaTheme="minorEastAsia" w:cstheme="minorEastAsia"/>
          <w:color w:val="auto"/>
          <w:spacing w:val="0"/>
          <w:position w:val="0"/>
          <w:sz w:val="24"/>
          <w:szCs w:val="24"/>
          <w:highlight w:val="none"/>
          <w:u w:val="single"/>
        </w:rPr>
        <w:t xml:space="preserve">   （被告住所地、合同履行地、合同签订地、原告住所地、标的物所在地等与争议有实际联系的地点中选出的人民法院名称）    </w:t>
      </w:r>
      <w:r>
        <w:rPr>
          <w:rFonts w:hint="eastAsia" w:asciiTheme="minorEastAsia" w:hAnsiTheme="minorEastAsia" w:eastAsiaTheme="minorEastAsia" w:cstheme="minorEastAsia"/>
          <w:color w:val="auto"/>
          <w:spacing w:val="0"/>
          <w:position w:val="0"/>
          <w:sz w:val="24"/>
          <w:szCs w:val="24"/>
          <w:highlight w:val="none"/>
        </w:rPr>
        <w:t>人民法院起诉。</w:t>
      </w:r>
    </w:p>
    <w:p w14:paraId="2CCDAE45">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44" w:name="_Toc23784"/>
      <w:bookmarkStart w:id="145" w:name="_Toc16417"/>
      <w:bookmarkStart w:id="146" w:name="_Toc12273"/>
      <w:bookmarkStart w:id="147" w:name="_Toc14897"/>
      <w:bookmarkStart w:id="148" w:name="_Toc26227"/>
      <w:bookmarkStart w:id="149" w:name="_Toc15827"/>
      <w:bookmarkStart w:id="150" w:name="_Toc29909"/>
      <w:r>
        <w:rPr>
          <w:rFonts w:hint="eastAsia" w:asciiTheme="minorEastAsia" w:hAnsiTheme="minorEastAsia" w:eastAsiaTheme="minorEastAsia" w:cstheme="minorEastAsia"/>
          <w:b/>
          <w:color w:val="auto"/>
          <w:spacing w:val="0"/>
          <w:position w:val="0"/>
          <w:sz w:val="24"/>
          <w:szCs w:val="24"/>
          <w:highlight w:val="none"/>
        </w:rPr>
        <w:t>1.8 合同生效</w:t>
      </w:r>
      <w:bookmarkEnd w:id="144"/>
      <w:bookmarkEnd w:id="145"/>
      <w:bookmarkEnd w:id="146"/>
      <w:bookmarkEnd w:id="147"/>
      <w:bookmarkEnd w:id="148"/>
      <w:bookmarkEnd w:id="149"/>
      <w:bookmarkEnd w:id="150"/>
    </w:p>
    <w:p w14:paraId="46ED757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本合同自双方当事人盖章或者签字时生效。</w:t>
      </w:r>
    </w:p>
    <w:p w14:paraId="5B244682">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p>
    <w:p w14:paraId="0DF6439B">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b/>
          <w:color w:val="auto"/>
          <w:spacing w:val="0"/>
          <w:position w:val="0"/>
          <w:sz w:val="24"/>
          <w:szCs w:val="24"/>
          <w:highlight w:val="none"/>
          <w:lang w:val="zh-CN"/>
        </w:rPr>
        <w:t>甲方</w:t>
      </w:r>
      <w:r>
        <w:rPr>
          <w:rFonts w:hint="eastAsia" w:asciiTheme="minorEastAsia" w:hAnsiTheme="minorEastAsia" w:eastAsiaTheme="minorEastAsia" w:cstheme="minorEastAsia"/>
          <w:color w:val="auto"/>
          <w:spacing w:val="0"/>
          <w:position w:val="0"/>
          <w:sz w:val="24"/>
          <w:szCs w:val="24"/>
          <w:highlight w:val="none"/>
          <w:lang w:val="zh-CN"/>
        </w:rPr>
        <w:t xml:space="preserve">：                             </w:t>
      </w:r>
      <w:r>
        <w:rPr>
          <w:rFonts w:hint="eastAsia" w:asciiTheme="minorEastAsia" w:hAnsiTheme="minorEastAsia" w:eastAsiaTheme="minorEastAsia" w:cstheme="minorEastAsia"/>
          <w:b/>
          <w:color w:val="auto"/>
          <w:spacing w:val="0"/>
          <w:position w:val="0"/>
          <w:sz w:val="24"/>
          <w:szCs w:val="24"/>
          <w:highlight w:val="none"/>
          <w:lang w:val="zh-CN"/>
        </w:rPr>
        <w:t xml:space="preserve">      乙方</w:t>
      </w:r>
      <w:r>
        <w:rPr>
          <w:rFonts w:hint="eastAsia" w:asciiTheme="minorEastAsia" w:hAnsiTheme="minorEastAsia" w:eastAsiaTheme="minorEastAsia" w:cstheme="minorEastAsia"/>
          <w:color w:val="auto"/>
          <w:spacing w:val="0"/>
          <w:position w:val="0"/>
          <w:sz w:val="24"/>
          <w:szCs w:val="24"/>
          <w:highlight w:val="none"/>
          <w:lang w:val="zh-CN"/>
        </w:rPr>
        <w:t>：</w:t>
      </w:r>
    </w:p>
    <w:p w14:paraId="7A988EAD">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统一社会信用代码：                        统一社会信用代码或身份证号码：</w:t>
      </w:r>
    </w:p>
    <w:p w14:paraId="33371939">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p>
    <w:p w14:paraId="5C5190CD">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住所：                                   住所：</w:t>
      </w:r>
    </w:p>
    <w:p w14:paraId="2FFB1CBB">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法定代表人或                             法定代表人</w:t>
      </w:r>
    </w:p>
    <w:p w14:paraId="4B6E24C8">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 xml:space="preserve">授权代表（签字）：                        或授权代表（签字）: </w:t>
      </w:r>
    </w:p>
    <w:p w14:paraId="4945A8B2">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联系人：                                 联系人：</w:t>
      </w:r>
    </w:p>
    <w:p w14:paraId="704DDF64">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约定送达地址：                           约定送达地址：</w:t>
      </w:r>
    </w:p>
    <w:p w14:paraId="41EC3201">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邮政编码：                               邮政编码：</w:t>
      </w:r>
    </w:p>
    <w:p w14:paraId="6CC147DA">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 xml:space="preserve">电话:                                    电话: </w:t>
      </w:r>
    </w:p>
    <w:p w14:paraId="3B8B8105">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lang w:val="zh-CN"/>
        </w:rPr>
      </w:pPr>
      <w:r>
        <w:rPr>
          <w:rFonts w:hint="eastAsia" w:asciiTheme="minorEastAsia" w:hAnsiTheme="minorEastAsia" w:eastAsiaTheme="minorEastAsia" w:cstheme="minorEastAsia"/>
          <w:color w:val="auto"/>
          <w:spacing w:val="0"/>
          <w:position w:val="0"/>
          <w:sz w:val="24"/>
          <w:szCs w:val="24"/>
          <w:highlight w:val="none"/>
          <w:lang w:val="zh-CN"/>
        </w:rPr>
        <w:t>传真:                                    传真:</w:t>
      </w:r>
    </w:p>
    <w:p w14:paraId="046E8283">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lang w:val="zh-CN"/>
        </w:rPr>
        <w:t>电子邮箱：                               电子邮箱：</w:t>
      </w:r>
    </w:p>
    <w:p w14:paraId="61FE182A">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开户银行：                               开户银行： </w:t>
      </w:r>
    </w:p>
    <w:p w14:paraId="70D9878E">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开户名称：                               开户名称： </w:t>
      </w:r>
    </w:p>
    <w:p w14:paraId="10451B8C">
      <w:pPr>
        <w:keepNext w:val="0"/>
        <w:keepLines w:val="0"/>
        <w:pageBreakBefore w:val="0"/>
        <w:kinsoku/>
        <w:wordWrap/>
        <w:overflowPunct/>
        <w:topLinePunct w:val="0"/>
        <w:autoSpaceDE w:val="0"/>
        <w:autoSpaceDN w:val="0"/>
        <w:bidi w:val="0"/>
        <w:adjustRightInd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开户账号：</w:t>
      </w:r>
      <w:r>
        <w:rPr>
          <w:rFonts w:hint="eastAsia" w:asciiTheme="minorEastAsia" w:hAnsiTheme="minorEastAsia" w:eastAsiaTheme="minorEastAsia" w:cstheme="minorEastAsia"/>
          <w:color w:val="auto"/>
          <w:spacing w:val="0"/>
          <w:position w:val="0"/>
          <w:sz w:val="24"/>
          <w:szCs w:val="24"/>
          <w:highlight w:val="none"/>
          <w:lang w:val="zh-CN"/>
        </w:rPr>
        <w:t xml:space="preserve">                               </w:t>
      </w:r>
      <w:r>
        <w:rPr>
          <w:rFonts w:hint="eastAsia" w:asciiTheme="minorEastAsia" w:hAnsiTheme="minorEastAsia" w:eastAsiaTheme="minorEastAsia" w:cstheme="minorEastAsia"/>
          <w:color w:val="auto"/>
          <w:spacing w:val="0"/>
          <w:position w:val="0"/>
          <w:sz w:val="24"/>
          <w:szCs w:val="24"/>
          <w:highlight w:val="none"/>
        </w:rPr>
        <w:t>开户账号：</w:t>
      </w:r>
    </w:p>
    <w:p w14:paraId="41D9A30D">
      <w:pPr>
        <w:pStyle w:val="105"/>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b/>
          <w:color w:val="auto"/>
          <w:spacing w:val="0"/>
          <w:position w:val="0"/>
          <w:sz w:val="24"/>
          <w:szCs w:val="24"/>
          <w:highlight w:val="none"/>
        </w:rPr>
      </w:pPr>
      <w:bookmarkStart w:id="151" w:name="_Toc331685783"/>
    </w:p>
    <w:p w14:paraId="377F6274">
      <w:pPr>
        <w:pStyle w:val="105"/>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b/>
          <w:color w:val="auto"/>
          <w:spacing w:val="0"/>
          <w:position w:val="0"/>
          <w:sz w:val="24"/>
          <w:szCs w:val="24"/>
          <w:highlight w:val="none"/>
        </w:rPr>
      </w:pPr>
    </w:p>
    <w:p w14:paraId="2B72E45B">
      <w:pPr>
        <w:pStyle w:val="105"/>
        <w:keepNext w:val="0"/>
        <w:keepLines w:val="0"/>
        <w:pageBreakBefore w:val="0"/>
        <w:kinsoku/>
        <w:wordWrap/>
        <w:overflowPunct/>
        <w:topLinePunct w:val="0"/>
        <w:bidi w:val="0"/>
        <w:snapToGrid/>
        <w:spacing w:line="440" w:lineRule="exact"/>
        <w:ind w:firstLine="200"/>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第二部分 合同一般条款</w:t>
      </w:r>
      <w:bookmarkEnd w:id="151"/>
    </w:p>
    <w:p w14:paraId="65D26409">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52" w:name="_Ref467379094"/>
      <w:bookmarkStart w:id="153" w:name="_Ref467378463"/>
      <w:bookmarkStart w:id="154" w:name="_Toc24871"/>
      <w:bookmarkStart w:id="155" w:name="_Ref467379101"/>
      <w:bookmarkStart w:id="156" w:name="_Ref467379214"/>
      <w:bookmarkStart w:id="157" w:name="_Toc25079"/>
      <w:bookmarkStart w:id="158" w:name="_Ref467378404"/>
      <w:bookmarkStart w:id="159" w:name="_Toc259093669"/>
      <w:bookmarkStart w:id="160" w:name="_Toc487900349"/>
      <w:bookmarkStart w:id="161" w:name="_Ref467379225"/>
      <w:bookmarkStart w:id="162" w:name="_Toc14021"/>
      <w:bookmarkStart w:id="163" w:name="_Ref467378499"/>
      <w:bookmarkStart w:id="164" w:name="_Toc19680"/>
      <w:bookmarkStart w:id="165" w:name="_Toc5228"/>
      <w:bookmarkStart w:id="166" w:name="_Toc31297"/>
      <w:bookmarkStart w:id="167" w:name="_Ref467379109"/>
      <w:bookmarkStart w:id="168" w:name="_Ref467379205"/>
      <w:bookmarkStart w:id="169" w:name="_Ref467379195"/>
      <w:bookmarkStart w:id="170" w:name="_Toc22083"/>
      <w:bookmarkStart w:id="171" w:name="_Toc279701240"/>
      <w:r>
        <w:rPr>
          <w:rFonts w:hint="eastAsia" w:asciiTheme="minorEastAsia" w:hAnsiTheme="minorEastAsia" w:eastAsiaTheme="minorEastAsia" w:cstheme="minorEastAsia"/>
          <w:b/>
          <w:color w:val="auto"/>
          <w:spacing w:val="0"/>
          <w:position w:val="0"/>
          <w:sz w:val="24"/>
          <w:szCs w:val="24"/>
          <w:highlight w:val="none"/>
        </w:rPr>
        <w:t>2.1 定义</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60F4635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本合同中的下列词语应按以下内容进行解释：</w:t>
      </w:r>
    </w:p>
    <w:p w14:paraId="4248B21F">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 “合同”系指采购人和中标</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签订的载明双方当事人所达成的协议，并包括所有的附件、附录和构成合同的其他文件。</w:t>
      </w:r>
    </w:p>
    <w:p w14:paraId="3FA3C8EA">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2.1.2 “合同价”系指根据合同约定，中标</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在完全履行合同义务后，采购人应支付给中标</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的价格。</w:t>
      </w:r>
    </w:p>
    <w:p w14:paraId="382CBCB1">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2.1.3 “服务”系指中标</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根据合同约定应向采购人履行的除货物和工程以外的其他政府采购对象，包括采购人自身需要的服务和向社会公众提供的公共服务。</w:t>
      </w:r>
    </w:p>
    <w:p w14:paraId="7C7CCC83">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bookmarkStart w:id="172" w:name="_Ref467378840"/>
      <w:r>
        <w:rPr>
          <w:rFonts w:hint="eastAsia" w:asciiTheme="minorEastAsia" w:hAnsiTheme="minorEastAsia" w:eastAsiaTheme="minorEastAsia" w:cstheme="minorEastAsia"/>
          <w:color w:val="auto"/>
          <w:spacing w:val="0"/>
          <w:position w:val="0"/>
          <w:sz w:val="24"/>
          <w:szCs w:val="24"/>
          <w:highlight w:val="none"/>
        </w:rPr>
        <w:t>2.1.4 “甲方”系指与中标</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签署合同的采购人</w:t>
      </w:r>
      <w:bookmarkEnd w:id="172"/>
      <w:r>
        <w:rPr>
          <w:rFonts w:hint="eastAsia" w:asciiTheme="minorEastAsia" w:hAnsiTheme="minorEastAsia" w:eastAsiaTheme="minorEastAsia" w:cstheme="minorEastAsia"/>
          <w:color w:val="auto"/>
          <w:spacing w:val="0"/>
          <w:position w:val="0"/>
          <w:sz w:val="24"/>
          <w:szCs w:val="24"/>
          <w:highlight w:val="none"/>
        </w:rPr>
        <w:t>；采购人委托采购代理机构代表其与乙方签订合同的，采购人的授权委托书作为合同附件。</w:t>
      </w:r>
    </w:p>
    <w:p w14:paraId="2DE9B0DA">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bookmarkStart w:id="173" w:name="_Ref467379400"/>
      <w:r>
        <w:rPr>
          <w:rFonts w:hint="eastAsia" w:asciiTheme="minorEastAsia" w:hAnsiTheme="minorEastAsia" w:eastAsiaTheme="minorEastAsia" w:cstheme="minorEastAsia"/>
          <w:color w:val="auto"/>
          <w:spacing w:val="0"/>
          <w:position w:val="0"/>
          <w:sz w:val="24"/>
          <w:szCs w:val="24"/>
          <w:highlight w:val="none"/>
        </w:rPr>
        <w:t>2.1.5 “乙方”系指根据合同约定提供服务的中标</w:t>
      </w:r>
      <w:bookmarkEnd w:id="173"/>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；两个以上的自然人、法人或者其他组织组成一个联合体，以一个</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的身份共同参加政府采购的，联合体各方均应为乙方或者与乙方相同地位的合同当事人，并就合同约定的事项对甲方承担连带责任。</w:t>
      </w:r>
    </w:p>
    <w:p w14:paraId="1901F77B">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bookmarkStart w:id="174" w:name="_Ref467379436"/>
      <w:r>
        <w:rPr>
          <w:rFonts w:hint="eastAsia" w:asciiTheme="minorEastAsia" w:hAnsiTheme="minorEastAsia" w:eastAsiaTheme="minorEastAsia" w:cstheme="minorEastAsia"/>
          <w:color w:val="auto"/>
          <w:spacing w:val="0"/>
          <w:position w:val="0"/>
          <w:sz w:val="24"/>
          <w:szCs w:val="24"/>
          <w:highlight w:val="none"/>
        </w:rPr>
        <w:t>2.1.6 “现场”系指合同约定提供服务的地点。</w:t>
      </w:r>
      <w:bookmarkEnd w:id="174"/>
    </w:p>
    <w:p w14:paraId="13D2CD45">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75" w:name="_Toc3769"/>
      <w:bookmarkStart w:id="176" w:name="_Toc19539"/>
      <w:bookmarkStart w:id="177" w:name="_Toc3211"/>
      <w:bookmarkStart w:id="178" w:name="_Toc487900350"/>
      <w:bookmarkStart w:id="179" w:name="_Toc16752"/>
      <w:bookmarkStart w:id="180" w:name="_Toc259093670"/>
      <w:bookmarkStart w:id="181" w:name="_Toc279701241"/>
      <w:bookmarkStart w:id="182" w:name="_Toc23289"/>
      <w:bookmarkStart w:id="183" w:name="_Toc1478"/>
      <w:bookmarkStart w:id="184" w:name="_Toc31402"/>
      <w:r>
        <w:rPr>
          <w:rFonts w:hint="eastAsia" w:asciiTheme="minorEastAsia" w:hAnsiTheme="minorEastAsia" w:eastAsiaTheme="minorEastAsia" w:cstheme="minorEastAsia"/>
          <w:b/>
          <w:color w:val="auto"/>
          <w:spacing w:val="0"/>
          <w:position w:val="0"/>
          <w:sz w:val="24"/>
          <w:szCs w:val="24"/>
          <w:highlight w:val="none"/>
        </w:rPr>
        <w:t>2.2 技术规范</w:t>
      </w:r>
      <w:bookmarkEnd w:id="175"/>
      <w:bookmarkEnd w:id="176"/>
      <w:bookmarkEnd w:id="177"/>
      <w:bookmarkEnd w:id="178"/>
      <w:bookmarkEnd w:id="179"/>
      <w:bookmarkEnd w:id="180"/>
      <w:bookmarkEnd w:id="181"/>
      <w:bookmarkEnd w:id="182"/>
      <w:bookmarkEnd w:id="183"/>
      <w:bookmarkEnd w:id="184"/>
    </w:p>
    <w:p w14:paraId="4C78B8C3">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541A505F">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185" w:name="_Toc27945"/>
      <w:bookmarkStart w:id="186" w:name="_Toc13673"/>
      <w:bookmarkStart w:id="187" w:name="_Toc279701242"/>
      <w:bookmarkStart w:id="188" w:name="_Toc259093671"/>
      <w:bookmarkStart w:id="189" w:name="_Toc4133"/>
      <w:bookmarkStart w:id="190" w:name="_Toc487900351"/>
      <w:bookmarkStart w:id="191" w:name="_Toc9161"/>
      <w:bookmarkStart w:id="192" w:name="_Toc31014"/>
      <w:bookmarkStart w:id="193" w:name="_Toc8408"/>
      <w:bookmarkStart w:id="194" w:name="_Toc12412"/>
      <w:r>
        <w:rPr>
          <w:rFonts w:hint="eastAsia" w:asciiTheme="minorEastAsia" w:hAnsiTheme="minorEastAsia" w:eastAsiaTheme="minorEastAsia" w:cstheme="minorEastAsia"/>
          <w:b/>
          <w:color w:val="auto"/>
          <w:spacing w:val="0"/>
          <w:position w:val="0"/>
          <w:sz w:val="24"/>
          <w:szCs w:val="24"/>
          <w:highlight w:val="none"/>
        </w:rPr>
        <w:t>2.3 知识产权</w:t>
      </w:r>
      <w:bookmarkEnd w:id="185"/>
      <w:bookmarkEnd w:id="186"/>
      <w:bookmarkEnd w:id="187"/>
      <w:bookmarkEnd w:id="188"/>
      <w:bookmarkEnd w:id="189"/>
      <w:bookmarkEnd w:id="190"/>
      <w:bookmarkEnd w:id="191"/>
      <w:bookmarkEnd w:id="192"/>
      <w:bookmarkEnd w:id="193"/>
      <w:bookmarkEnd w:id="194"/>
    </w:p>
    <w:p w14:paraId="481218D8">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3740F7A">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2.3.2 合同涉及技术成果的归属和收益的分成办法的，详见</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i w:val="0"/>
          <w:iCs/>
          <w:color w:val="auto"/>
          <w:spacing w:val="0"/>
          <w:position w:val="0"/>
          <w:sz w:val="24"/>
          <w:szCs w:val="24"/>
          <w:highlight w:val="none"/>
        </w:rPr>
        <w:t>。</w:t>
      </w:r>
    </w:p>
    <w:p w14:paraId="5BBF0908">
      <w:pPr>
        <w:keepNext w:val="0"/>
        <w:keepLines w:val="0"/>
        <w:pageBreakBefore w:val="0"/>
        <w:kinsoku/>
        <w:wordWrap/>
        <w:overflowPunct/>
        <w:topLinePunct w:val="0"/>
        <w:bidi w:val="0"/>
        <w:snapToGrid/>
        <w:spacing w:line="440" w:lineRule="exact"/>
        <w:ind w:firstLine="482" w:firstLineChars="200"/>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2.4 履约检查和问题反馈</w:t>
      </w:r>
    </w:p>
    <w:p w14:paraId="6D2E8FA0">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bookmarkStart w:id="195" w:name="_Ref467379657"/>
      <w:r>
        <w:rPr>
          <w:rFonts w:hint="eastAsia" w:asciiTheme="minorEastAsia" w:hAnsiTheme="minorEastAsia" w:eastAsiaTheme="minorEastAsia" w:cstheme="minorEastAsia"/>
          <w:color w:val="auto"/>
          <w:spacing w:val="0"/>
          <w:position w:val="0"/>
          <w:sz w:val="24"/>
          <w:szCs w:val="24"/>
          <w:highlight w:val="none"/>
        </w:rPr>
        <w:t>2.4.1</w:t>
      </w:r>
      <w:bookmarkEnd w:id="195"/>
      <w:bookmarkStart w:id="196" w:name="_Toc186431854"/>
      <w:bookmarkStart w:id="197" w:name="_Toc487900357"/>
      <w:bookmarkStart w:id="198" w:name="_Ref467379793"/>
      <w:bookmarkStart w:id="199" w:name="_Ref467379807"/>
      <w:bookmarkStart w:id="200" w:name="_Toc259093676"/>
      <w:bookmarkStart w:id="201" w:name="_Toc279701247"/>
      <w:r>
        <w:rPr>
          <w:rFonts w:hint="eastAsia" w:asciiTheme="minorEastAsia" w:hAnsiTheme="minorEastAsia" w:eastAsiaTheme="minorEastAsia" w:cstheme="minorEastAsia"/>
          <w:color w:val="auto"/>
          <w:spacing w:val="0"/>
          <w:position w:val="0"/>
          <w:sz w:val="24"/>
          <w:szCs w:val="24"/>
          <w:highlight w:val="none"/>
        </w:rPr>
        <w:t>甲方有权在其认为必要时，对乙方是否能够按照合同约定提供服务进行履约检查，以确保乙方所提供的服务能够依约满足甲方之项目需求，但不得因履约检查妨碍乙方的正常工作，乙方应予积极配合；</w:t>
      </w:r>
    </w:p>
    <w:p w14:paraId="5F9A317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2.4.2 合同履行期间，甲方有权将履行过程中出现的问题反馈给乙方，双方当事人应以书面形式约定需要完善和改进的内容</w:t>
      </w:r>
      <w:bookmarkEnd w:id="196"/>
      <w:bookmarkStart w:id="202" w:name="_Toc186431855"/>
      <w:r>
        <w:rPr>
          <w:rFonts w:hint="eastAsia" w:asciiTheme="minorEastAsia" w:hAnsiTheme="minorEastAsia" w:eastAsiaTheme="minorEastAsia" w:cstheme="minorEastAsia"/>
          <w:color w:val="auto"/>
          <w:spacing w:val="0"/>
          <w:position w:val="0"/>
          <w:sz w:val="24"/>
          <w:szCs w:val="24"/>
          <w:highlight w:val="none"/>
        </w:rPr>
        <w:t>。</w:t>
      </w:r>
    </w:p>
    <w:bookmarkEnd w:id="202"/>
    <w:p w14:paraId="399CE458">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03" w:name="_Toc26555"/>
      <w:bookmarkStart w:id="204" w:name="_Toc14382"/>
      <w:bookmarkStart w:id="205" w:name="_Toc15447"/>
      <w:bookmarkStart w:id="206" w:name="_Toc22011"/>
      <w:bookmarkStart w:id="207" w:name="_Toc32670"/>
      <w:bookmarkStart w:id="208" w:name="_Toc31233"/>
      <w:bookmarkStart w:id="209" w:name="_Toc9157"/>
      <w:r>
        <w:rPr>
          <w:rFonts w:hint="eastAsia" w:asciiTheme="minorEastAsia" w:hAnsiTheme="minorEastAsia" w:eastAsiaTheme="minorEastAsia" w:cstheme="minorEastAsia"/>
          <w:b/>
          <w:color w:val="auto"/>
          <w:spacing w:val="0"/>
          <w:position w:val="0"/>
          <w:sz w:val="24"/>
          <w:szCs w:val="24"/>
          <w:highlight w:val="none"/>
        </w:rPr>
        <w:t>2.5 结算方式和付款条件</w:t>
      </w:r>
      <w:bookmarkEnd w:id="197"/>
      <w:bookmarkEnd w:id="198"/>
      <w:bookmarkEnd w:id="199"/>
      <w:bookmarkEnd w:id="200"/>
      <w:bookmarkEnd w:id="201"/>
      <w:bookmarkEnd w:id="203"/>
      <w:bookmarkEnd w:id="204"/>
      <w:bookmarkEnd w:id="205"/>
      <w:bookmarkEnd w:id="206"/>
      <w:bookmarkEnd w:id="207"/>
      <w:bookmarkEnd w:id="208"/>
      <w:bookmarkEnd w:id="209"/>
    </w:p>
    <w:p w14:paraId="09A74223">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详见</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i w:val="0"/>
          <w:iCs/>
          <w:color w:val="auto"/>
          <w:spacing w:val="0"/>
          <w:position w:val="0"/>
          <w:sz w:val="24"/>
          <w:szCs w:val="24"/>
          <w:highlight w:val="none"/>
        </w:rPr>
        <w:t>。</w:t>
      </w:r>
    </w:p>
    <w:p w14:paraId="0593C4F4">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10" w:name="_Ref467379923"/>
      <w:bookmarkStart w:id="211" w:name="_Ref467379852"/>
      <w:bookmarkStart w:id="212" w:name="_Toc279701248"/>
      <w:bookmarkStart w:id="213" w:name="_Ref467379863"/>
      <w:bookmarkStart w:id="214" w:name="_Toc487900358"/>
      <w:bookmarkStart w:id="215" w:name="_Toc259093677"/>
      <w:bookmarkStart w:id="216" w:name="_Toc4547"/>
      <w:bookmarkStart w:id="217" w:name="_Toc30507"/>
      <w:bookmarkStart w:id="218" w:name="_Toc13467"/>
      <w:bookmarkStart w:id="219" w:name="_Toc13154"/>
      <w:bookmarkStart w:id="220" w:name="_Toc18990"/>
      <w:bookmarkStart w:id="221" w:name="_Toc16163"/>
      <w:bookmarkStart w:id="222" w:name="_Toc4864"/>
      <w:r>
        <w:rPr>
          <w:rFonts w:hint="eastAsia" w:asciiTheme="minorEastAsia" w:hAnsiTheme="minorEastAsia" w:eastAsiaTheme="minorEastAsia" w:cstheme="minorEastAsia"/>
          <w:b/>
          <w:color w:val="auto"/>
          <w:spacing w:val="0"/>
          <w:position w:val="0"/>
          <w:sz w:val="24"/>
          <w:szCs w:val="24"/>
          <w:highlight w:val="none"/>
        </w:rPr>
        <w:t>2.6 技术资料</w:t>
      </w:r>
      <w:bookmarkEnd w:id="210"/>
      <w:bookmarkEnd w:id="211"/>
      <w:bookmarkEnd w:id="212"/>
      <w:bookmarkEnd w:id="213"/>
      <w:bookmarkEnd w:id="214"/>
      <w:bookmarkEnd w:id="215"/>
      <w:r>
        <w:rPr>
          <w:rFonts w:hint="eastAsia" w:asciiTheme="minorEastAsia" w:hAnsiTheme="minorEastAsia" w:eastAsiaTheme="minorEastAsia" w:cstheme="minorEastAsia"/>
          <w:b/>
          <w:color w:val="auto"/>
          <w:spacing w:val="0"/>
          <w:position w:val="0"/>
          <w:sz w:val="24"/>
          <w:szCs w:val="24"/>
          <w:highlight w:val="none"/>
        </w:rPr>
        <w:t>和保密义务</w:t>
      </w:r>
      <w:bookmarkEnd w:id="216"/>
      <w:bookmarkEnd w:id="217"/>
      <w:bookmarkEnd w:id="218"/>
      <w:bookmarkEnd w:id="219"/>
      <w:bookmarkEnd w:id="220"/>
      <w:bookmarkEnd w:id="221"/>
      <w:bookmarkEnd w:id="222"/>
    </w:p>
    <w:p w14:paraId="1EC1DD7B">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2.6.1 乙方有权依据合同约定和项目需要，向甲方了解有关情况，调阅有关资料等，甲方应予积极配合；</w:t>
      </w:r>
    </w:p>
    <w:p w14:paraId="3F25D92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2.6.2 乙方有义务妥善保管和保护由甲方提供的前款信息和资料等；</w:t>
      </w:r>
    </w:p>
    <w:p w14:paraId="7E005668">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26A4465E">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23" w:name="_Toc18919"/>
      <w:bookmarkStart w:id="224" w:name="_Toc19069"/>
      <w:bookmarkStart w:id="225" w:name="_Toc1911"/>
      <w:bookmarkStart w:id="226" w:name="_Toc279701252"/>
      <w:bookmarkStart w:id="227" w:name="_Toc259093681"/>
      <w:bookmarkStart w:id="228" w:name="_Toc487900362"/>
      <w:r>
        <w:rPr>
          <w:rFonts w:hint="eastAsia" w:asciiTheme="minorEastAsia" w:hAnsiTheme="minorEastAsia" w:eastAsiaTheme="minorEastAsia" w:cstheme="minorEastAsia"/>
          <w:b/>
          <w:color w:val="auto"/>
          <w:spacing w:val="0"/>
          <w:position w:val="0"/>
          <w:sz w:val="24"/>
          <w:szCs w:val="24"/>
          <w:highlight w:val="none"/>
        </w:rPr>
        <w:t>2.7 质量保证</w:t>
      </w:r>
      <w:bookmarkEnd w:id="223"/>
      <w:bookmarkEnd w:id="224"/>
      <w:bookmarkEnd w:id="225"/>
    </w:p>
    <w:p w14:paraId="1AF3CC0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2.7.1 乙方应建立和完善履行合同的内部质量保证体系，并提供相关内部规章制度给甲方，以便甲方进行监督检查；</w:t>
      </w:r>
    </w:p>
    <w:p w14:paraId="516074C0">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2.7.2 乙方应保证履行合同的人员数量和素质、软件和硬件设备的配置、场地、环境和设施等满足全面履行合同的要求，并应接受甲方的监督检查。</w:t>
      </w:r>
    </w:p>
    <w:p w14:paraId="3667BB6A">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29" w:name="_Toc10200"/>
      <w:bookmarkStart w:id="230" w:name="_Toc22267"/>
      <w:bookmarkStart w:id="231" w:name="_Toc30011"/>
      <w:r>
        <w:rPr>
          <w:rFonts w:hint="eastAsia" w:asciiTheme="minorEastAsia" w:hAnsiTheme="minorEastAsia" w:eastAsiaTheme="minorEastAsia" w:cstheme="minorEastAsia"/>
          <w:b/>
          <w:color w:val="auto"/>
          <w:spacing w:val="0"/>
          <w:position w:val="0"/>
          <w:sz w:val="24"/>
          <w:szCs w:val="24"/>
          <w:highlight w:val="none"/>
        </w:rPr>
        <w:t>2.8 延迟</w:t>
      </w:r>
      <w:bookmarkEnd w:id="226"/>
      <w:bookmarkEnd w:id="227"/>
      <w:bookmarkEnd w:id="228"/>
      <w:r>
        <w:rPr>
          <w:rFonts w:hint="eastAsia" w:asciiTheme="minorEastAsia" w:hAnsiTheme="minorEastAsia" w:eastAsiaTheme="minorEastAsia" w:cstheme="minorEastAsia"/>
          <w:b/>
          <w:color w:val="auto"/>
          <w:spacing w:val="0"/>
          <w:position w:val="0"/>
          <w:sz w:val="24"/>
          <w:szCs w:val="24"/>
          <w:highlight w:val="none"/>
        </w:rPr>
        <w:t>履行</w:t>
      </w:r>
      <w:bookmarkEnd w:id="229"/>
      <w:bookmarkEnd w:id="230"/>
      <w:bookmarkEnd w:id="231"/>
    </w:p>
    <w:p w14:paraId="31E5818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6D8E6C14">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32" w:name="_Toc10611"/>
      <w:bookmarkStart w:id="233" w:name="_Toc31913"/>
      <w:bookmarkStart w:id="234" w:name="_Toc5339"/>
      <w:bookmarkStart w:id="235" w:name="_Ref467378121"/>
      <w:bookmarkStart w:id="236" w:name="_Toc259093683"/>
      <w:bookmarkStart w:id="237" w:name="_Toc279701254"/>
      <w:bookmarkStart w:id="238" w:name="_Toc487900364"/>
      <w:r>
        <w:rPr>
          <w:rFonts w:hint="eastAsia" w:asciiTheme="minorEastAsia" w:hAnsiTheme="minorEastAsia" w:eastAsiaTheme="minorEastAsia" w:cstheme="minorEastAsia"/>
          <w:b/>
          <w:color w:val="auto"/>
          <w:spacing w:val="0"/>
          <w:position w:val="0"/>
          <w:sz w:val="24"/>
          <w:szCs w:val="24"/>
          <w:highlight w:val="none"/>
        </w:rPr>
        <w:t>2.9 合同变更</w:t>
      </w:r>
      <w:bookmarkEnd w:id="232"/>
      <w:bookmarkEnd w:id="233"/>
      <w:bookmarkEnd w:id="234"/>
    </w:p>
    <w:p w14:paraId="76D0D5A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2.9.1 双方当事人协商一致，可以签订书面补充合同的形式变更合同，但不得违背采购文件确定的事项，且如果系追加与合同标的相同的服务的，那么所有补充合同的采购金额不得超过原合同价的10%；</w:t>
      </w:r>
    </w:p>
    <w:p w14:paraId="2FBA132D">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2.9.2 合同继续履行将损害国家利益和社会公共利益的，双方当事人应当以书面形式变更合同。有过错的一方应当承担赔偿责任，双方当事人都有过错的，各自承担相应的责任。</w:t>
      </w:r>
      <w:bookmarkStart w:id="239" w:name="_Toc279701259"/>
      <w:bookmarkStart w:id="240" w:name="_Toc487900369"/>
      <w:bookmarkStart w:id="241" w:name="_Toc259093688"/>
    </w:p>
    <w:p w14:paraId="123908EC">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42" w:name="_Toc23368"/>
      <w:bookmarkStart w:id="243" w:name="_Toc42"/>
      <w:bookmarkStart w:id="244" w:name="_Toc26689"/>
      <w:bookmarkStart w:id="245" w:name="_Toc10663"/>
      <w:bookmarkStart w:id="246" w:name="_Toc21830"/>
      <w:bookmarkStart w:id="247" w:name="_Toc7579"/>
      <w:bookmarkStart w:id="248" w:name="_Toc11134"/>
      <w:r>
        <w:rPr>
          <w:rFonts w:hint="eastAsia" w:asciiTheme="minorEastAsia" w:hAnsiTheme="minorEastAsia" w:eastAsiaTheme="minorEastAsia" w:cstheme="minorEastAsia"/>
          <w:b/>
          <w:color w:val="auto"/>
          <w:spacing w:val="0"/>
          <w:position w:val="0"/>
          <w:sz w:val="24"/>
          <w:szCs w:val="24"/>
          <w:highlight w:val="none"/>
        </w:rPr>
        <w:t>2.10 合同转让</w:t>
      </w:r>
      <w:bookmarkEnd w:id="239"/>
      <w:bookmarkEnd w:id="240"/>
      <w:bookmarkEnd w:id="241"/>
      <w:r>
        <w:rPr>
          <w:rFonts w:hint="eastAsia" w:asciiTheme="minorEastAsia" w:hAnsiTheme="minorEastAsia" w:eastAsiaTheme="minorEastAsia" w:cstheme="minorEastAsia"/>
          <w:b/>
          <w:color w:val="auto"/>
          <w:spacing w:val="0"/>
          <w:position w:val="0"/>
          <w:sz w:val="24"/>
          <w:szCs w:val="24"/>
          <w:highlight w:val="none"/>
        </w:rPr>
        <w:t>和分包</w:t>
      </w:r>
      <w:bookmarkEnd w:id="242"/>
      <w:bookmarkEnd w:id="243"/>
      <w:bookmarkEnd w:id="244"/>
      <w:bookmarkEnd w:id="245"/>
      <w:bookmarkEnd w:id="246"/>
      <w:bookmarkEnd w:id="247"/>
      <w:bookmarkEnd w:id="248"/>
    </w:p>
    <w:p w14:paraId="0FB6F1AE">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Theme="minorEastAsia" w:hAnsiTheme="minorEastAsia" w:eastAsiaTheme="minorEastAsia" w:cstheme="minorEastAsia"/>
          <w:color w:val="auto"/>
          <w:spacing w:val="0"/>
          <w:position w:val="0"/>
          <w:sz w:val="24"/>
          <w:szCs w:val="24"/>
          <w:highlight w:val="none"/>
          <w:lang w:eastAsia="zh-CN"/>
        </w:rPr>
        <w:t>投标人</w:t>
      </w:r>
      <w:r>
        <w:rPr>
          <w:rFonts w:hint="eastAsia" w:asciiTheme="minorEastAsia" w:hAnsiTheme="minorEastAsia" w:eastAsiaTheme="minorEastAsia" w:cstheme="minorEastAsia"/>
          <w:color w:val="auto"/>
          <w:spacing w:val="0"/>
          <w:position w:val="0"/>
          <w:sz w:val="24"/>
          <w:szCs w:val="24"/>
          <w:highlight w:val="none"/>
        </w:rPr>
        <w:t>就分包项目向甲方承担连带责任。</w:t>
      </w:r>
    </w:p>
    <w:p w14:paraId="03BE3599">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49" w:name="_Toc14371"/>
      <w:bookmarkStart w:id="250" w:name="_Toc14338"/>
      <w:bookmarkStart w:id="251" w:name="_Toc4720"/>
      <w:bookmarkStart w:id="252" w:name="_Toc25571"/>
      <w:bookmarkStart w:id="253" w:name="_Toc22718"/>
      <w:bookmarkStart w:id="254" w:name="_Toc26633"/>
      <w:bookmarkStart w:id="255" w:name="_Toc32494"/>
      <w:r>
        <w:rPr>
          <w:rFonts w:hint="eastAsia" w:asciiTheme="minorEastAsia" w:hAnsiTheme="minorEastAsia" w:eastAsiaTheme="minorEastAsia" w:cstheme="minorEastAsia"/>
          <w:b/>
          <w:color w:val="auto"/>
          <w:spacing w:val="0"/>
          <w:position w:val="0"/>
          <w:sz w:val="24"/>
          <w:szCs w:val="24"/>
          <w:highlight w:val="none"/>
        </w:rPr>
        <w:t>2.11 不可抗力</w:t>
      </w:r>
      <w:bookmarkEnd w:id="249"/>
      <w:bookmarkEnd w:id="250"/>
      <w:bookmarkEnd w:id="251"/>
      <w:bookmarkEnd w:id="252"/>
      <w:bookmarkEnd w:id="253"/>
      <w:bookmarkEnd w:id="254"/>
      <w:bookmarkEnd w:id="255"/>
    </w:p>
    <w:p w14:paraId="08DDF73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2.11.1如果任何一方遭遇法律规定的不可抗力，致使合同履行受阻时，履行合同的期限应予延长，延长的期限应相当于不可抗力所影响的时间；</w:t>
      </w:r>
    </w:p>
    <w:p w14:paraId="2A834783">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2.11.2 因不可抗力致使不能实现合同目的的，当事人可以解除合同；</w:t>
      </w:r>
    </w:p>
    <w:p w14:paraId="4C216EA4">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2.11.3 因不可抗力致使合同有变更必要的，双方当事人应在</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color w:val="auto"/>
          <w:spacing w:val="0"/>
          <w:position w:val="0"/>
          <w:sz w:val="24"/>
          <w:szCs w:val="24"/>
          <w:highlight w:val="none"/>
        </w:rPr>
        <w:t>约定时间内以书面形式变更合同；</w:t>
      </w:r>
    </w:p>
    <w:p w14:paraId="2A8EFAB4">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2.11.4受不可抗力影响的一方在不可抗力发生后，应在</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i w:val="0"/>
          <w:iCs/>
          <w:color w:val="auto"/>
          <w:spacing w:val="0"/>
          <w:position w:val="0"/>
          <w:sz w:val="24"/>
          <w:szCs w:val="24"/>
          <w:highlight w:val="none"/>
        </w:rPr>
        <w:t>约</w:t>
      </w:r>
      <w:r>
        <w:rPr>
          <w:rFonts w:hint="eastAsia" w:asciiTheme="minorEastAsia" w:hAnsiTheme="minorEastAsia" w:eastAsiaTheme="minorEastAsia" w:cstheme="minorEastAsia"/>
          <w:color w:val="auto"/>
          <w:spacing w:val="0"/>
          <w:position w:val="0"/>
          <w:sz w:val="24"/>
          <w:szCs w:val="24"/>
          <w:highlight w:val="none"/>
        </w:rPr>
        <w:t>定时间内以书面形式通知对方当事人，并在</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color w:val="auto"/>
          <w:spacing w:val="0"/>
          <w:position w:val="0"/>
          <w:sz w:val="24"/>
          <w:szCs w:val="24"/>
          <w:highlight w:val="none"/>
        </w:rPr>
        <w:t>约定时间内，将有关部门出具的证明文件送达对方当事人。</w:t>
      </w:r>
    </w:p>
    <w:p w14:paraId="532233A1">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56" w:name="_Toc279701255"/>
      <w:bookmarkStart w:id="257" w:name="_Toc23854"/>
      <w:bookmarkStart w:id="258" w:name="_Toc14115"/>
      <w:bookmarkStart w:id="259" w:name="_Toc3638"/>
      <w:bookmarkStart w:id="260" w:name="_Toc16988"/>
      <w:bookmarkStart w:id="261" w:name="_Toc259093684"/>
      <w:bookmarkStart w:id="262" w:name="_Toc24465"/>
      <w:bookmarkStart w:id="263" w:name="_Toc487900365"/>
      <w:bookmarkStart w:id="264" w:name="_Toc9438"/>
      <w:bookmarkStart w:id="265" w:name="_Toc25783"/>
      <w:r>
        <w:rPr>
          <w:rFonts w:hint="eastAsia" w:asciiTheme="minorEastAsia" w:hAnsiTheme="minorEastAsia" w:eastAsiaTheme="minorEastAsia" w:cstheme="minorEastAsia"/>
          <w:b/>
          <w:color w:val="auto"/>
          <w:spacing w:val="0"/>
          <w:position w:val="0"/>
          <w:sz w:val="24"/>
          <w:szCs w:val="24"/>
          <w:highlight w:val="none"/>
        </w:rPr>
        <w:t>2.12 税费</w:t>
      </w:r>
      <w:bookmarkEnd w:id="256"/>
      <w:bookmarkEnd w:id="257"/>
      <w:bookmarkEnd w:id="258"/>
      <w:bookmarkEnd w:id="259"/>
      <w:bookmarkEnd w:id="260"/>
      <w:bookmarkEnd w:id="261"/>
      <w:bookmarkEnd w:id="262"/>
      <w:bookmarkEnd w:id="263"/>
      <w:bookmarkEnd w:id="264"/>
      <w:bookmarkEnd w:id="265"/>
    </w:p>
    <w:p w14:paraId="309E1755">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与合同有关的一切税费，均按照中华人民共和国法律的相关规定缴纳。</w:t>
      </w:r>
    </w:p>
    <w:p w14:paraId="1F2A46AB">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66" w:name="_Toc23553"/>
      <w:bookmarkStart w:id="267" w:name="_Toc487900368"/>
      <w:bookmarkStart w:id="268" w:name="_Toc5536"/>
      <w:bookmarkStart w:id="269" w:name="_Toc279701258"/>
      <w:bookmarkStart w:id="270" w:name="_Toc26883"/>
      <w:bookmarkStart w:id="271" w:name="_Toc25525"/>
      <w:bookmarkStart w:id="272" w:name="_Toc14814"/>
      <w:bookmarkStart w:id="273" w:name="_Toc30105"/>
      <w:bookmarkStart w:id="274" w:name="_Toc7315"/>
      <w:bookmarkStart w:id="275" w:name="_Toc259093687"/>
      <w:r>
        <w:rPr>
          <w:rFonts w:hint="eastAsia" w:asciiTheme="minorEastAsia" w:hAnsiTheme="minorEastAsia" w:eastAsiaTheme="minorEastAsia" w:cstheme="minorEastAsia"/>
          <w:b/>
          <w:color w:val="auto"/>
          <w:spacing w:val="0"/>
          <w:position w:val="0"/>
          <w:sz w:val="24"/>
          <w:szCs w:val="24"/>
          <w:highlight w:val="none"/>
        </w:rPr>
        <w:t>2.13 乙方破产</w:t>
      </w:r>
      <w:bookmarkEnd w:id="266"/>
      <w:bookmarkEnd w:id="267"/>
      <w:bookmarkEnd w:id="268"/>
      <w:bookmarkEnd w:id="269"/>
      <w:bookmarkEnd w:id="270"/>
      <w:bookmarkEnd w:id="271"/>
      <w:bookmarkEnd w:id="272"/>
      <w:bookmarkEnd w:id="273"/>
      <w:bookmarkEnd w:id="274"/>
      <w:bookmarkEnd w:id="275"/>
    </w:p>
    <w:p w14:paraId="42F564EA">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EE30DE2">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76" w:name="_Toc2016"/>
      <w:bookmarkStart w:id="277" w:name="_Toc2029"/>
      <w:bookmarkStart w:id="278" w:name="_Toc23323"/>
      <w:bookmarkStart w:id="279" w:name="_Toc1123"/>
      <w:bookmarkStart w:id="280" w:name="_Toc24229"/>
      <w:r>
        <w:rPr>
          <w:rFonts w:hint="eastAsia" w:asciiTheme="minorEastAsia" w:hAnsiTheme="minorEastAsia" w:eastAsiaTheme="minorEastAsia" w:cstheme="minorEastAsia"/>
          <w:b/>
          <w:color w:val="auto"/>
          <w:spacing w:val="0"/>
          <w:position w:val="0"/>
          <w:sz w:val="24"/>
          <w:szCs w:val="24"/>
          <w:highlight w:val="none"/>
        </w:rPr>
        <w:t>2.14 合同中止、终止</w:t>
      </w:r>
      <w:bookmarkEnd w:id="276"/>
      <w:bookmarkEnd w:id="277"/>
      <w:bookmarkEnd w:id="278"/>
      <w:bookmarkEnd w:id="279"/>
      <w:bookmarkEnd w:id="280"/>
    </w:p>
    <w:p w14:paraId="581B500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2.14.1 双方当事人不得擅自中止或者终止合同；</w:t>
      </w:r>
    </w:p>
    <w:p w14:paraId="1105583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2.14.2合同继续履行将损害国家利益和社会公共利益的，双方当事人应当中止或者终止合同。有过错的一方应当承担赔偿责任，双方当事人都有过错的，各自承担相应的责任。</w:t>
      </w:r>
    </w:p>
    <w:p w14:paraId="64E8126E">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81" w:name="_Toc14525"/>
      <w:bookmarkStart w:id="282" w:name="_Toc22373"/>
      <w:bookmarkStart w:id="283" w:name="_Toc15106"/>
      <w:bookmarkStart w:id="284" w:name="_Toc1969"/>
      <w:bookmarkStart w:id="285" w:name="_Toc17363"/>
      <w:r>
        <w:rPr>
          <w:rFonts w:hint="eastAsia" w:asciiTheme="minorEastAsia" w:hAnsiTheme="minorEastAsia" w:eastAsiaTheme="minorEastAsia" w:cstheme="minorEastAsia"/>
          <w:b/>
          <w:color w:val="auto"/>
          <w:spacing w:val="0"/>
          <w:position w:val="0"/>
          <w:sz w:val="24"/>
          <w:szCs w:val="24"/>
          <w:highlight w:val="none"/>
        </w:rPr>
        <w:t>2.15 检验和验收</w:t>
      </w:r>
      <w:bookmarkEnd w:id="281"/>
      <w:bookmarkEnd w:id="282"/>
      <w:bookmarkEnd w:id="283"/>
      <w:bookmarkEnd w:id="284"/>
      <w:bookmarkEnd w:id="285"/>
    </w:p>
    <w:p w14:paraId="57420157">
      <w:pPr>
        <w:keepNext w:val="0"/>
        <w:keepLines w:val="0"/>
        <w:pageBreakBefore w:val="0"/>
        <w:tabs>
          <w:tab w:val="left" w:pos="360"/>
          <w:tab w:val="left" w:pos="540"/>
          <w:tab w:val="left" w:pos="108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2.15.1 乙方按照</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color w:val="auto"/>
          <w:spacing w:val="0"/>
          <w:position w:val="0"/>
          <w:sz w:val="24"/>
          <w:szCs w:val="24"/>
          <w:highlight w:val="none"/>
        </w:rPr>
        <w:t>的约定，定期提交服务报告，甲方按照</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i w:val="0"/>
          <w:iCs/>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rPr>
        <w:t>约定进行定期验收；</w:t>
      </w:r>
    </w:p>
    <w:p w14:paraId="2D5BCDBB">
      <w:pPr>
        <w:keepNext w:val="0"/>
        <w:keepLines w:val="0"/>
        <w:pageBreakBefore w:val="0"/>
        <w:tabs>
          <w:tab w:val="left" w:pos="360"/>
          <w:tab w:val="left" w:pos="540"/>
          <w:tab w:val="left" w:pos="108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9B1988A">
      <w:pPr>
        <w:keepNext w:val="0"/>
        <w:keepLines w:val="0"/>
        <w:pageBreakBefore w:val="0"/>
        <w:tabs>
          <w:tab w:val="left" w:pos="360"/>
          <w:tab w:val="left" w:pos="540"/>
          <w:tab w:val="left" w:pos="1080"/>
        </w:tabs>
        <w:kinsoku/>
        <w:wordWrap/>
        <w:overflowPunct/>
        <w:topLinePunct w:val="0"/>
        <w:bidi w:val="0"/>
        <w:snapToGrid/>
        <w:spacing w:line="440" w:lineRule="exact"/>
        <w:ind w:firstLine="480" w:firstLineChars="200"/>
        <w:rPr>
          <w:rFonts w:hint="eastAsia" w:asciiTheme="minorEastAsia" w:hAnsiTheme="minorEastAsia" w:eastAsiaTheme="minorEastAsia" w:cstheme="minorEastAsia"/>
          <w:i w:val="0"/>
          <w:iCs/>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2.15.3 检验和验收标准、程序等具体内容以及前述验收书的效力详见</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i w:val="0"/>
          <w:iCs/>
          <w:color w:val="auto"/>
          <w:spacing w:val="0"/>
          <w:position w:val="0"/>
          <w:sz w:val="24"/>
          <w:szCs w:val="24"/>
          <w:highlight w:val="none"/>
        </w:rPr>
        <w:t>。</w:t>
      </w:r>
    </w:p>
    <w:bookmarkEnd w:id="235"/>
    <w:bookmarkEnd w:id="236"/>
    <w:bookmarkEnd w:id="237"/>
    <w:bookmarkEnd w:id="238"/>
    <w:p w14:paraId="729FD447">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286" w:name="_Toc487900371"/>
      <w:bookmarkStart w:id="287" w:name="_Toc279701261"/>
      <w:bookmarkStart w:id="288" w:name="_Toc259093690"/>
      <w:bookmarkStart w:id="289" w:name="_Toc2308"/>
      <w:bookmarkStart w:id="290" w:name="_Toc12666"/>
      <w:bookmarkStart w:id="291" w:name="_Toc30161"/>
      <w:bookmarkStart w:id="292" w:name="_Toc9148"/>
      <w:bookmarkStart w:id="293" w:name="_Toc9808"/>
      <w:bookmarkStart w:id="294" w:name="_Toc31892"/>
      <w:bookmarkStart w:id="295" w:name="_Toc25198"/>
      <w:r>
        <w:rPr>
          <w:rFonts w:hint="eastAsia" w:asciiTheme="minorEastAsia" w:hAnsiTheme="minorEastAsia" w:eastAsiaTheme="minorEastAsia" w:cstheme="minorEastAsia"/>
          <w:b/>
          <w:color w:val="auto"/>
          <w:spacing w:val="0"/>
          <w:position w:val="0"/>
          <w:sz w:val="24"/>
          <w:szCs w:val="24"/>
          <w:highlight w:val="none"/>
        </w:rPr>
        <w:t>2.16 通知</w:t>
      </w:r>
      <w:bookmarkEnd w:id="286"/>
      <w:bookmarkEnd w:id="287"/>
      <w:bookmarkEnd w:id="288"/>
      <w:r>
        <w:rPr>
          <w:rFonts w:hint="eastAsia" w:asciiTheme="minorEastAsia" w:hAnsiTheme="minorEastAsia" w:eastAsiaTheme="minorEastAsia" w:cstheme="minorEastAsia"/>
          <w:b/>
          <w:color w:val="auto"/>
          <w:spacing w:val="0"/>
          <w:position w:val="0"/>
          <w:sz w:val="24"/>
          <w:szCs w:val="24"/>
          <w:highlight w:val="none"/>
        </w:rPr>
        <w:t>和送达</w:t>
      </w:r>
      <w:bookmarkEnd w:id="289"/>
      <w:bookmarkEnd w:id="290"/>
      <w:bookmarkEnd w:id="291"/>
      <w:bookmarkEnd w:id="292"/>
      <w:bookmarkEnd w:id="293"/>
      <w:bookmarkEnd w:id="294"/>
      <w:bookmarkEnd w:id="295"/>
    </w:p>
    <w:p w14:paraId="2C17ED6D">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bookmarkStart w:id="296" w:name="_Toc29220"/>
      <w:bookmarkStart w:id="297" w:name="_Toc7073"/>
      <w:bookmarkStart w:id="298" w:name="_Toc259093691"/>
      <w:bookmarkStart w:id="299" w:name="_Toc279701262"/>
      <w:bookmarkStart w:id="300" w:name="_Toc487900372"/>
      <w:r>
        <w:rPr>
          <w:rFonts w:hint="eastAsia" w:asciiTheme="minorEastAsia" w:hAnsiTheme="minorEastAsia" w:eastAsiaTheme="minorEastAsia" w:cstheme="minorEastAsia"/>
          <w:color w:val="auto"/>
          <w:spacing w:val="0"/>
          <w:position w:val="0"/>
          <w:sz w:val="24"/>
          <w:szCs w:val="24"/>
          <w:highlight w:val="none"/>
        </w:rPr>
        <w:t>2.16.1 任何一方因履行合同而以合同第一部分尾部所列明的</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发出的所有通知、文件、材料，均视为已向对方当事人送达；任何一方变更上述送达方式或者地址的，应于</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个工作日内书面通知对方当事人，在对方当事人收到有关变更通知之前，变更前的约定送达方式或者地址仍视为有效。</w:t>
      </w:r>
      <w:bookmarkEnd w:id="296"/>
      <w:bookmarkEnd w:id="297"/>
    </w:p>
    <w:p w14:paraId="60D1596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bookmarkStart w:id="301" w:name="_Toc27674"/>
      <w:bookmarkStart w:id="302" w:name="_Toc18401"/>
      <w:r>
        <w:rPr>
          <w:rFonts w:hint="eastAsia" w:asciiTheme="minorEastAsia" w:hAnsiTheme="minorEastAsia" w:eastAsiaTheme="minorEastAsia" w:cstheme="minorEastAsia"/>
          <w:color w:val="auto"/>
          <w:spacing w:val="0"/>
          <w:position w:val="0"/>
          <w:sz w:val="24"/>
          <w:szCs w:val="24"/>
          <w:highlight w:val="none"/>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01"/>
      <w:bookmarkEnd w:id="302"/>
    </w:p>
    <w:bookmarkEnd w:id="298"/>
    <w:bookmarkEnd w:id="299"/>
    <w:bookmarkEnd w:id="300"/>
    <w:p w14:paraId="42E5C1C6">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303" w:name="_Toc259093692"/>
      <w:bookmarkStart w:id="304" w:name="_Toc5063"/>
      <w:bookmarkStart w:id="305" w:name="_Toc11048"/>
      <w:bookmarkStart w:id="306" w:name="_Toc20808"/>
      <w:bookmarkStart w:id="307" w:name="_Toc12304"/>
      <w:bookmarkStart w:id="308" w:name="_Toc27644"/>
      <w:bookmarkStart w:id="309" w:name="_Toc12254"/>
      <w:bookmarkStart w:id="310" w:name="_Toc279701263"/>
      <w:bookmarkStart w:id="311" w:name="_Toc28906"/>
      <w:bookmarkStart w:id="312" w:name="_Toc487900373"/>
      <w:r>
        <w:rPr>
          <w:rFonts w:hint="eastAsia" w:asciiTheme="minorEastAsia" w:hAnsiTheme="minorEastAsia" w:eastAsiaTheme="minorEastAsia" w:cstheme="minorEastAsia"/>
          <w:b/>
          <w:color w:val="auto"/>
          <w:spacing w:val="0"/>
          <w:position w:val="0"/>
          <w:sz w:val="24"/>
          <w:szCs w:val="24"/>
          <w:highlight w:val="none"/>
        </w:rPr>
        <w:t>2.17 合同使用的文字和适用的法律</w:t>
      </w:r>
      <w:bookmarkEnd w:id="303"/>
      <w:bookmarkEnd w:id="304"/>
      <w:bookmarkEnd w:id="305"/>
      <w:bookmarkEnd w:id="306"/>
      <w:bookmarkEnd w:id="307"/>
      <w:bookmarkEnd w:id="308"/>
      <w:bookmarkEnd w:id="309"/>
      <w:bookmarkEnd w:id="310"/>
      <w:bookmarkEnd w:id="311"/>
      <w:bookmarkEnd w:id="312"/>
    </w:p>
    <w:p w14:paraId="19C50D04">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2.17.1 合同使用汉语书就、变更和解释；</w:t>
      </w:r>
    </w:p>
    <w:p w14:paraId="11C90486">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2.17.2 合同适用中华人民共和国法律。</w:t>
      </w:r>
    </w:p>
    <w:p w14:paraId="185A563A">
      <w:pPr>
        <w:keepNext w:val="0"/>
        <w:keepLines w:val="0"/>
        <w:pageBreakBefore w:val="0"/>
        <w:kinsoku/>
        <w:wordWrap/>
        <w:overflowPunct/>
        <w:topLinePunct w:val="0"/>
        <w:bidi w:val="0"/>
        <w:snapToGrid/>
        <w:spacing w:line="440" w:lineRule="exact"/>
        <w:ind w:firstLine="482" w:firstLineChars="200"/>
        <w:outlineLvl w:val="0"/>
        <w:rPr>
          <w:rFonts w:hint="eastAsia" w:asciiTheme="minorEastAsia" w:hAnsiTheme="minorEastAsia" w:eastAsiaTheme="minorEastAsia" w:cstheme="minorEastAsia"/>
          <w:b/>
          <w:color w:val="auto"/>
          <w:spacing w:val="0"/>
          <w:position w:val="0"/>
          <w:sz w:val="24"/>
          <w:szCs w:val="24"/>
          <w:highlight w:val="none"/>
        </w:rPr>
      </w:pPr>
      <w:bookmarkStart w:id="313" w:name="_Toc1492"/>
      <w:bookmarkStart w:id="314" w:name="_Toc29031"/>
      <w:bookmarkStart w:id="315" w:name="_Toc27403"/>
      <w:bookmarkStart w:id="316" w:name="_Toc22266"/>
      <w:bookmarkStart w:id="317" w:name="_Toc27127"/>
      <w:bookmarkStart w:id="318" w:name="_Toc14270"/>
      <w:bookmarkStart w:id="319" w:name="_Toc30096"/>
      <w:bookmarkStart w:id="320" w:name="_Toc279701264"/>
      <w:bookmarkStart w:id="321" w:name="_Toc259093693"/>
      <w:bookmarkStart w:id="322" w:name="_Toc487900374"/>
      <w:r>
        <w:rPr>
          <w:rFonts w:hint="eastAsia" w:asciiTheme="minorEastAsia" w:hAnsiTheme="minorEastAsia" w:eastAsiaTheme="minorEastAsia" w:cstheme="minorEastAsia"/>
          <w:b/>
          <w:color w:val="auto"/>
          <w:spacing w:val="0"/>
          <w:position w:val="0"/>
          <w:sz w:val="24"/>
          <w:szCs w:val="24"/>
          <w:highlight w:val="none"/>
        </w:rPr>
        <w:t>2.18 履约保证金</w:t>
      </w:r>
      <w:bookmarkEnd w:id="313"/>
      <w:bookmarkEnd w:id="314"/>
      <w:bookmarkEnd w:id="315"/>
      <w:bookmarkEnd w:id="316"/>
      <w:bookmarkEnd w:id="317"/>
      <w:bookmarkEnd w:id="318"/>
      <w:bookmarkEnd w:id="319"/>
      <w:bookmarkEnd w:id="320"/>
      <w:bookmarkEnd w:id="321"/>
    </w:p>
    <w:p w14:paraId="4807EC72">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2.18.1 采购文件要求乙方提交履约保证金的，乙方应按</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i w:val="0"/>
          <w:iCs/>
          <w:color w:val="auto"/>
          <w:spacing w:val="0"/>
          <w:position w:val="0"/>
          <w:sz w:val="24"/>
          <w:szCs w:val="24"/>
          <w:highlight w:val="none"/>
        </w:rPr>
        <w:t>约</w:t>
      </w:r>
      <w:r>
        <w:rPr>
          <w:rFonts w:hint="eastAsia" w:asciiTheme="minorEastAsia" w:hAnsiTheme="minorEastAsia" w:eastAsiaTheme="minorEastAsia" w:cstheme="minorEastAsia"/>
          <w:color w:val="auto"/>
          <w:spacing w:val="0"/>
          <w:position w:val="0"/>
          <w:sz w:val="24"/>
          <w:szCs w:val="24"/>
          <w:highlight w:val="none"/>
        </w:rPr>
        <w:t>定的方式，以支票、汇票、本票或者金融机构、担保机构出具的保函等非现金形式，提交不超过合同价10%的履约保证金；</w:t>
      </w:r>
    </w:p>
    <w:p w14:paraId="20B8AA00">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2.18.2 履约保证金在</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color w:val="auto"/>
          <w:spacing w:val="0"/>
          <w:position w:val="0"/>
          <w:sz w:val="24"/>
          <w:szCs w:val="24"/>
          <w:highlight w:val="none"/>
        </w:rPr>
        <w:t>约定期间内不予退还或者应完全有效，前述约定期间届满之日起</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个工作日内，甲方应将履约保证金退还乙方；</w:t>
      </w:r>
    </w:p>
    <w:p w14:paraId="2EE0A3B1">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22"/>
    <w:p w14:paraId="32D27718">
      <w:pPr>
        <w:keepNext w:val="0"/>
        <w:keepLines w:val="0"/>
        <w:pageBreakBefore w:val="0"/>
        <w:kinsoku/>
        <w:wordWrap/>
        <w:overflowPunct/>
        <w:topLinePunct w:val="0"/>
        <w:bidi w:val="0"/>
        <w:snapToGrid/>
        <w:spacing w:line="440" w:lineRule="exact"/>
        <w:ind w:firstLine="482" w:firstLineChars="200"/>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2.19 合同份数</w:t>
      </w:r>
    </w:p>
    <w:p w14:paraId="69B23D37">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合同份数按</w:t>
      </w:r>
      <w:r>
        <w:rPr>
          <w:rFonts w:hint="eastAsia" w:asciiTheme="minorEastAsia" w:hAnsiTheme="minorEastAsia" w:eastAsiaTheme="minorEastAsia" w:cstheme="minorEastAsia"/>
          <w:b/>
          <w:i w:val="0"/>
          <w:iCs/>
          <w:color w:val="auto"/>
          <w:spacing w:val="0"/>
          <w:position w:val="0"/>
          <w:sz w:val="24"/>
          <w:szCs w:val="24"/>
          <w:highlight w:val="none"/>
          <w:u w:val="single"/>
        </w:rPr>
        <w:t>合同专用条款</w:t>
      </w:r>
      <w:r>
        <w:rPr>
          <w:rFonts w:hint="eastAsia" w:asciiTheme="minorEastAsia" w:hAnsiTheme="minorEastAsia" w:eastAsiaTheme="minorEastAsia" w:cstheme="minorEastAsia"/>
          <w:color w:val="auto"/>
          <w:spacing w:val="0"/>
          <w:position w:val="0"/>
          <w:sz w:val="24"/>
          <w:szCs w:val="24"/>
          <w:highlight w:val="none"/>
        </w:rPr>
        <w:t>规定，每份均具有同等法律效力。</w:t>
      </w:r>
    </w:p>
    <w:p w14:paraId="19533EFE">
      <w:pPr>
        <w:pStyle w:val="105"/>
        <w:keepNext w:val="0"/>
        <w:keepLines w:val="0"/>
        <w:pageBreakBefore w:val="0"/>
        <w:kinsoku/>
        <w:wordWrap/>
        <w:overflowPunct/>
        <w:topLinePunct w:val="0"/>
        <w:bidi w:val="0"/>
        <w:snapToGrid/>
        <w:spacing w:line="440" w:lineRule="exact"/>
        <w:ind w:firstLine="0"/>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br w:type="page"/>
      </w:r>
      <w:bookmarkStart w:id="323" w:name="_Toc331685784"/>
      <w:r>
        <w:rPr>
          <w:rFonts w:hint="eastAsia" w:asciiTheme="minorEastAsia" w:hAnsiTheme="minorEastAsia" w:eastAsiaTheme="minorEastAsia" w:cstheme="minorEastAsia"/>
          <w:b/>
          <w:color w:val="auto"/>
          <w:spacing w:val="0"/>
          <w:position w:val="0"/>
          <w:sz w:val="24"/>
          <w:szCs w:val="24"/>
          <w:highlight w:val="none"/>
        </w:rPr>
        <w:t>第三部分  合同专用条款</w:t>
      </w:r>
      <w:bookmarkEnd w:id="323"/>
    </w:p>
    <w:p w14:paraId="12B4614D">
      <w:pPr>
        <w:keepNext w:val="0"/>
        <w:keepLines w:val="0"/>
        <w:pageBreakBefore w:val="0"/>
        <w:kinsoku/>
        <w:wordWrap/>
        <w:overflowPunct/>
        <w:topLinePunct w:val="0"/>
        <w:bidi w:val="0"/>
        <w:snapToGrid/>
        <w:spacing w:line="440" w:lineRule="exact"/>
        <w:ind w:firstLine="480" w:firstLineChars="20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4"/>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0FEBFA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3EDDE770">
            <w:pPr>
              <w:keepNext w:val="0"/>
              <w:keepLines w:val="0"/>
              <w:pageBreakBefore w:val="0"/>
              <w:kinsoku/>
              <w:wordWrap/>
              <w:overflowPunct/>
              <w:topLinePunct w:val="0"/>
              <w:bidi w:val="0"/>
              <w:snapToGrid/>
              <w:spacing w:line="440" w:lineRule="exact"/>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条款号</w:t>
            </w:r>
          </w:p>
        </w:tc>
        <w:tc>
          <w:tcPr>
            <w:tcW w:w="7633" w:type="dxa"/>
            <w:noWrap w:val="0"/>
            <w:vAlign w:val="center"/>
          </w:tcPr>
          <w:p w14:paraId="3B25901B">
            <w:pPr>
              <w:keepNext w:val="0"/>
              <w:keepLines w:val="0"/>
              <w:pageBreakBefore w:val="0"/>
              <w:kinsoku/>
              <w:wordWrap/>
              <w:overflowPunct/>
              <w:topLinePunct w:val="0"/>
              <w:bidi w:val="0"/>
              <w:snapToGrid/>
              <w:spacing w:line="440" w:lineRule="exact"/>
              <w:jc w:val="center"/>
              <w:rPr>
                <w:rFonts w:hint="eastAsia" w:asciiTheme="minorEastAsia" w:hAnsiTheme="minorEastAsia" w:eastAsiaTheme="minorEastAsia" w:cstheme="minorEastAsia"/>
                <w:b/>
                <w:color w:val="auto"/>
                <w:spacing w:val="0"/>
                <w:position w:val="0"/>
                <w:sz w:val="24"/>
                <w:szCs w:val="24"/>
                <w:highlight w:val="none"/>
              </w:rPr>
            </w:pPr>
            <w:r>
              <w:rPr>
                <w:rFonts w:hint="eastAsia" w:asciiTheme="minorEastAsia" w:hAnsiTheme="minorEastAsia" w:eastAsiaTheme="minorEastAsia" w:cstheme="minorEastAsia"/>
                <w:b/>
                <w:color w:val="auto"/>
                <w:spacing w:val="0"/>
                <w:position w:val="0"/>
                <w:sz w:val="24"/>
                <w:szCs w:val="24"/>
                <w:highlight w:val="none"/>
              </w:rPr>
              <w:t>约定内容</w:t>
            </w:r>
          </w:p>
        </w:tc>
      </w:tr>
      <w:tr w14:paraId="18F59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43B573B5">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616AC8C4">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4283D1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629A84F">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105C51FA">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16A03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C6FAC4B">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38B6DCC5">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0839F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7F042B0F">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327DA386">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0DC3F1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F092DF4">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09CF19F4">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u w:val="single"/>
              </w:rPr>
            </w:pPr>
          </w:p>
        </w:tc>
      </w:tr>
      <w:tr w14:paraId="6481D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1EEABC0">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73E0D5E2">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6E6C5F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65F9AFB1">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1C50643C">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u w:val="single"/>
              </w:rPr>
            </w:pPr>
          </w:p>
        </w:tc>
      </w:tr>
      <w:tr w14:paraId="16CC16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012A1778">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0AEEE926">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651025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1D0BB4A">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482FE7A8">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6A59F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5C324B2C">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noWrap w:val="0"/>
            <w:vAlign w:val="center"/>
          </w:tcPr>
          <w:p w14:paraId="4060DE66">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2C4EC8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09B97573">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02A3FB4A">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r w14:paraId="7D59EC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top w:val="single" w:color="auto" w:sz="6" w:space="0"/>
              <w:left w:val="single" w:color="auto" w:sz="4" w:space="0"/>
              <w:bottom w:val="single" w:color="auto" w:sz="6" w:space="0"/>
              <w:right w:val="single" w:color="auto" w:sz="6" w:space="0"/>
            </w:tcBorders>
            <w:noWrap w:val="0"/>
            <w:vAlign w:val="center"/>
          </w:tcPr>
          <w:p w14:paraId="2F736E07">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14:paraId="77AC9036">
            <w:pPr>
              <w:keepNext w:val="0"/>
              <w:keepLines w:val="0"/>
              <w:pageBreakBefore w:val="0"/>
              <w:kinsoku/>
              <w:wordWrap/>
              <w:overflowPunct/>
              <w:topLinePunct w:val="0"/>
              <w:bidi w:val="0"/>
              <w:snapToGrid/>
              <w:spacing w:line="440" w:lineRule="exact"/>
              <w:rPr>
                <w:rFonts w:hint="eastAsia" w:asciiTheme="minorEastAsia" w:hAnsiTheme="minorEastAsia" w:eastAsiaTheme="minorEastAsia" w:cstheme="minorEastAsia"/>
                <w:color w:val="auto"/>
                <w:spacing w:val="0"/>
                <w:position w:val="0"/>
                <w:sz w:val="24"/>
                <w:szCs w:val="24"/>
                <w:highlight w:val="none"/>
              </w:rPr>
            </w:pPr>
          </w:p>
        </w:tc>
      </w:tr>
    </w:tbl>
    <w:p w14:paraId="310D9810">
      <w:pPr>
        <w:pageBreakBefore w:val="0"/>
        <w:widowControl/>
        <w:kinsoku/>
        <w:overflowPunct/>
        <w:topLinePunct w:val="0"/>
        <w:bidi w:val="0"/>
        <w:jc w:val="left"/>
        <w:rPr>
          <w:rFonts w:hint="eastAsia" w:asciiTheme="minorEastAsia" w:hAnsiTheme="minorEastAsia" w:eastAsiaTheme="minorEastAsia" w:cstheme="minorEastAsia"/>
          <w:bCs/>
          <w:color w:val="auto"/>
          <w:spacing w:val="0"/>
          <w:position w:val="0"/>
          <w:sz w:val="28"/>
          <w:szCs w:val="28"/>
          <w:highlight w:val="none"/>
        </w:rPr>
      </w:pPr>
    </w:p>
    <w:p w14:paraId="76B25FAD">
      <w:pPr>
        <w:pageBreakBefore w:val="0"/>
        <w:widowControl/>
        <w:kinsoku/>
        <w:overflowPunct/>
        <w:topLinePunct w:val="0"/>
        <w:bidi w:val="0"/>
        <w:jc w:val="left"/>
        <w:rPr>
          <w:rFonts w:hint="eastAsia" w:asciiTheme="minorEastAsia" w:hAnsiTheme="minorEastAsia" w:eastAsiaTheme="minorEastAsia" w:cstheme="minorEastAsia"/>
          <w:bCs/>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br w:type="page"/>
      </w:r>
    </w:p>
    <w:p w14:paraId="21FDD57A">
      <w:pPr>
        <w:pStyle w:val="2"/>
        <w:pageBreakBefore w:val="0"/>
        <w:numPr>
          <w:ilvl w:val="0"/>
          <w:numId w:val="1"/>
        </w:numPr>
        <w:kinsoku/>
        <w:overflowPunct/>
        <w:topLinePunct w:val="0"/>
        <w:bidi w:val="0"/>
        <w:spacing w:before="0" w:after="0" w:line="240" w:lineRule="auto"/>
        <w:ind w:left="0" w:leftChars="0"/>
        <w:rPr>
          <w:rFonts w:hint="eastAsia" w:asciiTheme="minorEastAsia" w:hAnsiTheme="minorEastAsia" w:eastAsiaTheme="minorEastAsia" w:cstheme="minorEastAsia"/>
          <w:color w:val="auto"/>
          <w:spacing w:val="0"/>
          <w:position w:val="0"/>
          <w:highlight w:val="none"/>
        </w:rPr>
      </w:pPr>
      <w:bookmarkStart w:id="324" w:name="_Toc18901"/>
      <w:bookmarkStart w:id="325" w:name="_Toc26162"/>
      <w:bookmarkStart w:id="326" w:name="_Toc257633148"/>
      <w:r>
        <w:rPr>
          <w:rFonts w:hint="eastAsia" w:asciiTheme="minorEastAsia" w:hAnsiTheme="minorEastAsia" w:eastAsiaTheme="minorEastAsia" w:cstheme="minorEastAsia"/>
          <w:color w:val="auto"/>
          <w:spacing w:val="0"/>
          <w:position w:val="0"/>
          <w:highlight w:val="none"/>
        </w:rPr>
        <w:t>竞争性磋商响应文件格式</w:t>
      </w:r>
      <w:bookmarkEnd w:id="324"/>
      <w:bookmarkEnd w:id="325"/>
    </w:p>
    <w:p w14:paraId="2EEDCFCB">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6311C84">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highlight w:val="none"/>
        </w:rPr>
      </w:pPr>
      <w:r>
        <w:rPr>
          <w:rFonts w:hint="eastAsia" w:asciiTheme="minorEastAsia" w:hAnsiTheme="minorEastAsia" w:eastAsiaTheme="minorEastAsia" w:cstheme="minorEastAsia"/>
          <w:b/>
          <w:color w:val="auto"/>
          <w:spacing w:val="0"/>
          <w:position w:val="0"/>
          <w:sz w:val="28"/>
          <w:highlight w:val="none"/>
        </w:rPr>
        <w:t>一、封面</w:t>
      </w:r>
    </w:p>
    <w:p w14:paraId="1F018EDE">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highlight w:val="none"/>
        </w:rPr>
      </w:pPr>
      <w:r>
        <w:rPr>
          <w:rFonts w:hint="eastAsia" w:asciiTheme="minorEastAsia" w:hAnsiTheme="minorEastAsia" w:eastAsiaTheme="minorEastAsia" w:cstheme="minorEastAsia"/>
          <w:b/>
          <w:color w:val="auto"/>
          <w:spacing w:val="0"/>
          <w:position w:val="0"/>
          <w:sz w:val="28"/>
          <w:highlight w:val="none"/>
        </w:rPr>
        <w:t>（一）</w:t>
      </w:r>
      <w:r>
        <w:rPr>
          <w:rFonts w:hint="eastAsia" w:asciiTheme="minorEastAsia" w:hAnsiTheme="minorEastAsia" w:eastAsiaTheme="minorEastAsia" w:cstheme="minorEastAsia"/>
          <w:b/>
          <w:color w:val="auto"/>
          <w:spacing w:val="0"/>
          <w:position w:val="0"/>
          <w:sz w:val="28"/>
          <w:highlight w:val="none"/>
          <w:lang w:eastAsia="zh-CN"/>
        </w:rPr>
        <w:t>响应文件</w:t>
      </w:r>
      <w:r>
        <w:rPr>
          <w:rFonts w:hint="eastAsia" w:asciiTheme="minorEastAsia" w:hAnsiTheme="minorEastAsia" w:eastAsiaTheme="minorEastAsia" w:cstheme="minorEastAsia"/>
          <w:b/>
          <w:color w:val="auto"/>
          <w:spacing w:val="0"/>
          <w:position w:val="0"/>
          <w:sz w:val="28"/>
          <w:highlight w:val="none"/>
        </w:rPr>
        <w:t>封面</w:t>
      </w:r>
    </w:p>
    <w:p w14:paraId="701CEF94">
      <w:pPr>
        <w:pageBreakBefore w:val="0"/>
        <w:kinsoku/>
        <w:overflowPunct/>
        <w:topLinePunct w:val="0"/>
        <w:bidi w:val="0"/>
        <w:spacing w:line="360" w:lineRule="auto"/>
        <w:rPr>
          <w:rFonts w:hint="eastAsia" w:asciiTheme="minorEastAsia" w:hAnsiTheme="minorEastAsia" w:eastAsiaTheme="minorEastAsia" w:cstheme="minorEastAsia"/>
          <w:b/>
          <w:color w:val="auto"/>
          <w:spacing w:val="0"/>
          <w:position w:val="0"/>
          <w:sz w:val="28"/>
          <w:highlight w:val="none"/>
        </w:rPr>
      </w:pPr>
    </w:p>
    <w:p w14:paraId="2777F9AB">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0B14EC5B">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（项目名称）</w:t>
      </w:r>
    </w:p>
    <w:p w14:paraId="29C538D0">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14:paraId="2F67F984">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（项目编号）</w:t>
      </w:r>
    </w:p>
    <w:p w14:paraId="6BAAE24F">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p>
    <w:p w14:paraId="39472190">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768CD7B9">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31522817">
      <w:pPr>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72"/>
          <w:szCs w:val="72"/>
          <w:highlight w:val="none"/>
        </w:rPr>
      </w:pPr>
      <w:r>
        <w:rPr>
          <w:rFonts w:hint="eastAsia" w:asciiTheme="minorEastAsia" w:hAnsiTheme="minorEastAsia" w:eastAsiaTheme="minorEastAsia" w:cstheme="minorEastAsia"/>
          <w:b/>
          <w:color w:val="auto"/>
          <w:spacing w:val="0"/>
          <w:position w:val="0"/>
          <w:sz w:val="72"/>
          <w:szCs w:val="72"/>
          <w:highlight w:val="none"/>
          <w:lang w:val="en-US" w:eastAsia="zh-CN"/>
        </w:rPr>
        <w:t>响应</w:t>
      </w:r>
      <w:r>
        <w:rPr>
          <w:rFonts w:hint="eastAsia" w:asciiTheme="minorEastAsia" w:hAnsiTheme="minorEastAsia" w:eastAsiaTheme="minorEastAsia" w:cstheme="minorEastAsia"/>
          <w:b/>
          <w:color w:val="auto"/>
          <w:spacing w:val="0"/>
          <w:position w:val="0"/>
          <w:sz w:val="72"/>
          <w:szCs w:val="72"/>
          <w:highlight w:val="none"/>
        </w:rPr>
        <w:t>文件</w:t>
      </w:r>
    </w:p>
    <w:p w14:paraId="62989C23">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highlight w:val="none"/>
        </w:rPr>
      </w:pPr>
    </w:p>
    <w:p w14:paraId="6AF5F34C">
      <w:pPr>
        <w:pageBreakBefore w:val="0"/>
        <w:kinsoku/>
        <w:overflowPunct/>
        <w:topLinePunct w:val="0"/>
        <w:bidi w:val="0"/>
        <w:spacing w:line="360" w:lineRule="auto"/>
        <w:jc w:val="both"/>
        <w:rPr>
          <w:rFonts w:hint="eastAsia" w:asciiTheme="minorEastAsia" w:hAnsiTheme="minorEastAsia" w:eastAsiaTheme="minorEastAsia" w:cstheme="minorEastAsia"/>
          <w:b/>
          <w:color w:val="auto"/>
          <w:spacing w:val="0"/>
          <w:position w:val="0"/>
          <w:sz w:val="28"/>
          <w:highlight w:val="none"/>
        </w:rPr>
      </w:pPr>
    </w:p>
    <w:p w14:paraId="502EE0C2">
      <w:pPr>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8"/>
          <w:highlight w:val="none"/>
        </w:rPr>
      </w:pPr>
    </w:p>
    <w:p w14:paraId="537233F2">
      <w:pPr>
        <w:pageBreakBefore w:val="0"/>
        <w:kinsoku/>
        <w:overflowPunct/>
        <w:topLinePunct w:val="0"/>
        <w:bidi w:val="0"/>
        <w:spacing w:line="360" w:lineRule="auto"/>
        <w:jc w:val="center"/>
        <w:rPr>
          <w:rFonts w:hint="eastAsia" w:asciiTheme="minorEastAsia" w:hAnsiTheme="minorEastAsia" w:eastAsiaTheme="minorEastAsia" w:cstheme="minorEastAsia"/>
          <w:b/>
          <w:color w:val="auto"/>
          <w:spacing w:val="0"/>
          <w:position w:val="0"/>
          <w:sz w:val="28"/>
          <w:highlight w:val="none"/>
        </w:rPr>
      </w:pPr>
    </w:p>
    <w:p w14:paraId="2619E9A8">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电子公章）</w:t>
      </w:r>
    </w:p>
    <w:p w14:paraId="2D6FEEA9">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法定代表人</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（电子签章）</w:t>
      </w:r>
    </w:p>
    <w:p w14:paraId="63140E0D">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（年/月/日）</w:t>
      </w:r>
    </w:p>
    <w:p w14:paraId="1E66454A">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3E49D049">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327" w:name="_Toc7894"/>
      <w:bookmarkStart w:id="328" w:name="_Toc6145"/>
      <w:r>
        <w:rPr>
          <w:rFonts w:hint="eastAsia" w:asciiTheme="minorEastAsia" w:hAnsiTheme="minorEastAsia" w:eastAsiaTheme="minorEastAsia" w:cstheme="minorEastAsia"/>
          <w:color w:val="auto"/>
          <w:spacing w:val="0"/>
          <w:position w:val="0"/>
          <w:highlight w:val="none"/>
        </w:rPr>
        <w:t>一、</w:t>
      </w:r>
      <w:r>
        <w:rPr>
          <w:rFonts w:hint="eastAsia" w:asciiTheme="minorEastAsia" w:hAnsiTheme="minorEastAsia" w:eastAsiaTheme="minorEastAsia" w:cstheme="minorEastAsia"/>
          <w:color w:val="auto"/>
          <w:spacing w:val="0"/>
          <w:position w:val="0"/>
          <w:highlight w:val="none"/>
          <w:lang w:val="en-US" w:eastAsia="zh-CN"/>
        </w:rPr>
        <w:t>资格审查材料</w:t>
      </w:r>
      <w:bookmarkEnd w:id="327"/>
      <w:bookmarkEnd w:id="328"/>
    </w:p>
    <w:p w14:paraId="4B0801E5">
      <w:pPr>
        <w:pStyle w:val="89"/>
        <w:pageBreakBefore w:val="0"/>
        <w:widowControl/>
        <w:kinsoku/>
        <w:wordWrap/>
        <w:overflowPunct/>
        <w:topLinePunct w:val="0"/>
        <w:bidi w:val="0"/>
        <w:snapToGrid/>
        <w:spacing w:before="0" w:beforeAutospacing="0" w:after="0" w:afterAutospacing="0" w:line="240" w:lineRule="auto"/>
        <w:jc w:val="both"/>
        <w:textAlignment w:val="baseline"/>
        <w:rPr>
          <w:rStyle w:val="76"/>
          <w:rFonts w:hint="eastAsia" w:asciiTheme="minorEastAsia" w:hAnsiTheme="minorEastAsia" w:eastAsiaTheme="minorEastAsia" w:cstheme="minorEastAsia"/>
          <w:b/>
          <w:i w:val="0"/>
          <w:caps w:val="0"/>
          <w:color w:val="auto"/>
          <w:spacing w:val="0"/>
          <w:w w:val="100"/>
          <w:position w:val="0"/>
          <w:sz w:val="32"/>
          <w:szCs w:val="24"/>
          <w:highlight w:val="none"/>
          <w:lang w:bidi="ar-SA"/>
        </w:rPr>
      </w:pPr>
      <w:r>
        <w:rPr>
          <w:rStyle w:val="76"/>
          <w:rFonts w:hint="eastAsia" w:asciiTheme="minorEastAsia" w:hAnsiTheme="minorEastAsia" w:eastAsiaTheme="minorEastAsia" w:cstheme="minorEastAsia"/>
          <w:b/>
          <w:i w:val="0"/>
          <w:caps w:val="0"/>
          <w:color w:val="auto"/>
          <w:spacing w:val="0"/>
          <w:w w:val="100"/>
          <w:position w:val="0"/>
          <w:sz w:val="32"/>
          <w:szCs w:val="24"/>
          <w:highlight w:val="none"/>
          <w:lang w:val="en-US" w:eastAsia="zh-CN" w:bidi="ar-SA"/>
        </w:rPr>
        <w:t>1、</w:t>
      </w:r>
      <w:r>
        <w:rPr>
          <w:rStyle w:val="76"/>
          <w:rFonts w:hint="eastAsia" w:asciiTheme="minorEastAsia" w:hAnsiTheme="minorEastAsia" w:eastAsiaTheme="minorEastAsia" w:cstheme="minorEastAsia"/>
          <w:b/>
          <w:i w:val="0"/>
          <w:caps w:val="0"/>
          <w:color w:val="auto"/>
          <w:spacing w:val="0"/>
          <w:w w:val="100"/>
          <w:position w:val="0"/>
          <w:sz w:val="32"/>
          <w:szCs w:val="24"/>
          <w:highlight w:val="none"/>
          <w:lang w:bidi="ar-SA"/>
        </w:rPr>
        <w:t>《中华人民共和国政府采购法》第二十二条应当具备的条件；</w:t>
      </w:r>
    </w:p>
    <w:p w14:paraId="39D7FB09">
      <w:pPr>
        <w:pStyle w:val="90"/>
        <w:pageBreakBefore w:val="0"/>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①具有独立承担民事责任的能力；</w:t>
      </w:r>
    </w:p>
    <w:p w14:paraId="39A38B12">
      <w:pPr>
        <w:pStyle w:val="90"/>
        <w:pageBreakBefore w:val="0"/>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②具有良好的商业信誉和健全的财务会计制度；</w:t>
      </w:r>
    </w:p>
    <w:p w14:paraId="67C6C032">
      <w:pPr>
        <w:pStyle w:val="90"/>
        <w:pageBreakBefore w:val="0"/>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③具有履行合同所必需的设备和专业技术能力；</w:t>
      </w:r>
    </w:p>
    <w:p w14:paraId="7433C800">
      <w:pPr>
        <w:pStyle w:val="90"/>
        <w:pageBreakBefore w:val="0"/>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④有依法缴纳税收和社会保障资金的良好记录；</w:t>
      </w:r>
    </w:p>
    <w:p w14:paraId="567B8FDB">
      <w:pPr>
        <w:pStyle w:val="90"/>
        <w:pageBreakBefore w:val="0"/>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⑤参加政府采购活动前三年内，在经营活动中没有重大违法记录；</w:t>
      </w:r>
    </w:p>
    <w:p w14:paraId="01C14F46">
      <w:pPr>
        <w:pStyle w:val="90"/>
        <w:pageBreakBefore w:val="0"/>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⑥</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法律、行政法规规定的其他条件;</w:t>
      </w:r>
    </w:p>
    <w:p w14:paraId="3EF757CA">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须提供以下资料：</w:t>
      </w:r>
    </w:p>
    <w:p w14:paraId="768A247F">
      <w:pPr>
        <w:pStyle w:val="93"/>
        <w:pageBreakBefore w:val="0"/>
        <w:widowControl/>
        <w:kinsoku/>
        <w:wordWrap/>
        <w:overflowPunct/>
        <w:topLinePunct w:val="0"/>
        <w:bidi w:val="0"/>
        <w:snapToGrid/>
        <w:spacing w:before="0" w:beforeAutospacing="0" w:after="0" w:afterAutospacing="0" w:line="440" w:lineRule="exact"/>
        <w:jc w:val="both"/>
        <w:textAlignment w:val="baseline"/>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1.1、具有独立承担民事责任的能力；须提供相关证明材料，其中：</w:t>
      </w:r>
    </w:p>
    <w:p w14:paraId="7781CCEB">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供应商是企业（包括合伙企业）的，</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须提供其在工商部门注册的有效“营业执照”的复印件（如 “三证合一”须提供工商行政管理部门核发加载统一社会信用代码的营业执照；如未“三证合一”则须提供供应商的营业执照、税务登记证书及组织机构代码证）；</w:t>
      </w:r>
    </w:p>
    <w:p w14:paraId="2E9D3C04">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供应商是事业单位的</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，须提供其有效的“事业单位法人证书”复印件；</w:t>
      </w:r>
    </w:p>
    <w:p w14:paraId="42B30EE6">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供应商是非企业专业服务机构的，</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须提供其有效的执业许可证复印件；</w:t>
      </w:r>
    </w:p>
    <w:p w14:paraId="63BE7829">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供应商是个体工商户的，</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须提供其有效的“个体工商户营业执照” 复印件；</w:t>
      </w:r>
    </w:p>
    <w:p w14:paraId="2CB12CED">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以上复印件须加盖供应商公章。</w:t>
      </w:r>
    </w:p>
    <w:p w14:paraId="335956C2">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供应商是自然人的，</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应提供其有效的自然人身份证明；</w:t>
      </w:r>
    </w:p>
    <w:p w14:paraId="4D850D9E">
      <w:pPr>
        <w:pStyle w:val="93"/>
        <w:pageBreakBefore w:val="0"/>
        <w:widowControl/>
        <w:kinsoku/>
        <w:wordWrap/>
        <w:overflowPunct/>
        <w:topLinePunct w:val="0"/>
        <w:bidi w:val="0"/>
        <w:snapToGrid/>
        <w:spacing w:before="0" w:beforeAutospacing="0" w:after="0" w:afterAutospacing="0" w:line="440" w:lineRule="exact"/>
        <w:jc w:val="both"/>
        <w:textAlignment w:val="baseline"/>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1.2、具有良好的商业信誉和健全的财务会计制度；须提供相关证明材料，其中：</w:t>
      </w:r>
    </w:p>
    <w:p w14:paraId="18BBB89F">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供应商是法人的，</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须提供近两年度（任意一年）经审计的财务审计报告复印件（报告中须包括资产负债表、利润表、现金流量表等），或其基本银行在开标日期前三个月内开具的资信证明</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15AB238C">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供应商是其他组织或自然人的，</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须提供银行出具的资信证明原件；</w:t>
      </w:r>
    </w:p>
    <w:p w14:paraId="062FE170">
      <w:pPr>
        <w:pStyle w:val="93"/>
        <w:pageBreakBefore w:val="0"/>
        <w:widowControl/>
        <w:kinsoku/>
        <w:wordWrap/>
        <w:overflowPunct/>
        <w:topLinePunct w:val="0"/>
        <w:bidi w:val="0"/>
        <w:snapToGrid/>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银行资信证明无收受人和项目的限制，银行资信证明可以是复印件，评标委员会保留审核原件的权利。资信证明的开具银行明确规定复印无效的，须提交原件；</w:t>
      </w:r>
    </w:p>
    <w:p w14:paraId="38BEE1D2">
      <w:pPr>
        <w:pStyle w:val="94"/>
        <w:pageBreakBefore w:val="0"/>
        <w:widowControl/>
        <w:kinsoku/>
        <w:wordWrap/>
        <w:overflowPunct/>
        <w:topLinePunct w:val="0"/>
        <w:bidi w:val="0"/>
        <w:snapToGrid w:val="0"/>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2C6743D2">
      <w:pPr>
        <w:pStyle w:val="94"/>
        <w:pageBreakBefore w:val="0"/>
        <w:widowControl/>
        <w:kinsoku/>
        <w:wordWrap/>
        <w:overflowPunct/>
        <w:topLinePunct w:val="0"/>
        <w:bidi w:val="0"/>
        <w:snapToGrid w:val="0"/>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1.3、具有履行合同所必需的设备和专业技术能力；须附相关证明材料或书面声明</w:t>
      </w:r>
    </w:p>
    <w:p w14:paraId="38DA2CFC">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48FE3143">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书面声明格式：</w:t>
      </w:r>
    </w:p>
    <w:p w14:paraId="1717D701">
      <w:pPr>
        <w:pStyle w:val="95"/>
        <w:pageBreakBefore w:val="0"/>
        <w:kinsoku/>
        <w:wordWrap/>
        <w:overflowPunct/>
        <w:topLinePunct w:val="0"/>
        <w:bidi w:val="0"/>
        <w:snapToGrid/>
        <w:spacing w:before="0" w:beforeAutospacing="0" w:after="0" w:afterAutospacing="0" w:line="24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1"/>
          <w:szCs w:val="22"/>
          <w:highlight w:val="none"/>
          <w:lang w:val="en-US" w:eastAsia="zh-CN" w:bidi="ar-SA"/>
        </w:rPr>
        <w:t xml:space="preserve"> </w:t>
      </w:r>
    </w:p>
    <w:p w14:paraId="02052FCC">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本供应商郑重声明：</w:t>
      </w:r>
    </w:p>
    <w:p w14:paraId="23F5F3EC">
      <w:pPr>
        <w:pStyle w:val="92"/>
        <w:pageBreakBefore w:val="0"/>
        <w:widowControl/>
        <w:kinsoku/>
        <w:wordWrap/>
        <w:overflowPunct/>
        <w:topLinePunct w:val="0"/>
        <w:bidi w:val="0"/>
        <w:snapToGrid/>
        <w:spacing w:before="0" w:beforeAutospacing="0" w:after="0" w:afterAutospacing="0" w:line="240" w:lineRule="auto"/>
        <w:ind w:firstLine="480" w:firstLineChars="200"/>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本公司（或单位）具备本项目履行合同所必需的设备和专业技术能力，特此声明。</w:t>
      </w:r>
    </w:p>
    <w:p w14:paraId="64CB8BB1">
      <w:pPr>
        <w:pStyle w:val="93"/>
        <w:pageBreakBefore w:val="0"/>
        <w:widowControl/>
        <w:kinsoku/>
        <w:wordWrap/>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671873F3">
      <w:pPr>
        <w:pStyle w:val="93"/>
        <w:pageBreakBefore w:val="0"/>
        <w:widowControl/>
        <w:kinsoku/>
        <w:wordWrap/>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5D8F4CF8">
      <w:pPr>
        <w:pStyle w:val="94"/>
        <w:pageBreakBefore w:val="0"/>
        <w:widowControl/>
        <w:kinsoku/>
        <w:wordWrap/>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日期：   年   月   日</w:t>
      </w:r>
    </w:p>
    <w:p w14:paraId="5841CA3C">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25B3D137">
      <w:pPr>
        <w:pStyle w:val="94"/>
        <w:pageBreakBefore w:val="0"/>
        <w:widowControl/>
        <w:kinsoku/>
        <w:wordWrap/>
        <w:overflowPunct/>
        <w:topLinePunct w:val="0"/>
        <w:bidi w:val="0"/>
        <w:snapToGrid w:val="0"/>
        <w:spacing w:before="0" w:beforeAutospacing="0" w:after="0" w:afterAutospacing="0" w:line="440" w:lineRule="exact"/>
        <w:jc w:val="left"/>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1.4、有依法缴纳税收和社会保障资金的良好记录；须提供</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val="en-US" w:eastAsia="zh-CN" w:bidi="ar-SA"/>
        </w:rPr>
        <w:t>依法缴纳税收和社会保障资金的证明材料，须提供开标前六个月内任意一个月的依法缴税凭据和缴纳社会保险的凭据复印件</w:t>
      </w:r>
      <w:r>
        <w:rPr>
          <w:rStyle w:val="76"/>
          <w:rFonts w:hint="eastAsia" w:asciiTheme="minorEastAsia" w:hAnsiTheme="minorEastAsia" w:eastAsiaTheme="minorEastAsia" w:cstheme="minorEastAsia"/>
          <w:b w:val="0"/>
          <w:bCs/>
          <w:i w:val="0"/>
          <w:caps w:val="0"/>
          <w:color w:val="auto"/>
          <w:spacing w:val="0"/>
          <w:w w:val="100"/>
          <w:position w:val="0"/>
          <w:sz w:val="24"/>
          <w:szCs w:val="24"/>
          <w:highlight w:val="none"/>
          <w:lang w:bidi="ar-SA"/>
        </w:rPr>
        <w:t>（依法免税的应提供相应文件说明）</w:t>
      </w: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w:t>
      </w:r>
    </w:p>
    <w:p w14:paraId="05088BD4">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550566C6">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t xml:space="preserve"> </w:t>
      </w:r>
    </w:p>
    <w:p w14:paraId="5345F0FE">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4"/>
          <w:szCs w:val="24"/>
          <w:highlight w:val="none"/>
          <w:lang w:val="en-US" w:eastAsia="zh-CN" w:bidi="ar-SA"/>
        </w:rPr>
        <w:t>1.</w:t>
      </w:r>
      <w:r>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5、参加政府采购活动前三年内，在经营活动中没有重大违法记录；须提供书面声明</w:t>
      </w:r>
    </w:p>
    <w:p w14:paraId="07595BCB">
      <w:pPr>
        <w:pStyle w:val="92"/>
        <w:pageBreakBefore w:val="0"/>
        <w:widowControl/>
        <w:kinsoku/>
        <w:wordWrap/>
        <w:overflowPunct/>
        <w:topLinePunct w:val="0"/>
        <w:bidi w:val="0"/>
        <w:snapToGrid/>
        <w:spacing w:before="0" w:beforeAutospacing="0" w:after="0" w:afterAutospacing="0" w:line="240" w:lineRule="auto"/>
        <w:jc w:val="left"/>
        <w:textAlignment w:val="baseline"/>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t xml:space="preserve"> </w:t>
      </w:r>
    </w:p>
    <w:p w14:paraId="34351521">
      <w:pPr>
        <w:pStyle w:val="93"/>
        <w:pageBreakBefore w:val="0"/>
        <w:widowControl/>
        <w:kinsoku/>
        <w:wordWrap/>
        <w:overflowPunct/>
        <w:topLinePunct w:val="0"/>
        <w:bidi w:val="0"/>
        <w:snapToGrid/>
        <w:spacing w:before="0" w:beforeAutospacing="0" w:after="0" w:afterAutospacing="0" w:line="360" w:lineRule="auto"/>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我单位郑重声明： </w:t>
      </w:r>
    </w:p>
    <w:p w14:paraId="4DF63B8E">
      <w:pPr>
        <w:pStyle w:val="93"/>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44AC6775">
      <w:pPr>
        <w:pStyle w:val="93"/>
        <w:pageBreakBefore w:val="0"/>
        <w:widowControl/>
        <w:kinsoku/>
        <w:wordWrap/>
        <w:overflowPunct/>
        <w:topLinePunct w:val="0"/>
        <w:bidi w:val="0"/>
        <w:snapToGrid/>
        <w:spacing w:before="0" w:beforeAutospacing="0" w:after="0" w:afterAutospacing="0" w:line="360" w:lineRule="auto"/>
        <w:ind w:firstLine="480" w:firstLineChars="200"/>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 xml:space="preserve">如我公司声明与实际不符，我公司将承担因此引起的一切后果。 </w:t>
      </w:r>
    </w:p>
    <w:p w14:paraId="31B5CE17">
      <w:pPr>
        <w:pStyle w:val="94"/>
        <w:pageBreakBefore w:val="0"/>
        <w:widowControl/>
        <w:kinsoku/>
        <w:wordWrap/>
        <w:overflowPunct/>
        <w:topLinePunct w:val="0"/>
        <w:bidi w:val="0"/>
        <w:snapToGrid w:val="0"/>
        <w:spacing w:before="0" w:beforeAutospacing="0" w:after="0" w:afterAutospacing="0" w:line="440" w:lineRule="exact"/>
        <w:ind w:firstLine="480" w:firstLineChars="200"/>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 xml:space="preserve"> </w:t>
      </w:r>
    </w:p>
    <w:p w14:paraId="760978A3">
      <w:pPr>
        <w:pStyle w:val="93"/>
        <w:pageBreakBefore w:val="0"/>
        <w:widowControl/>
        <w:kinsoku/>
        <w:wordWrap/>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供应商法定代表人（或法定代表人授权代表）签字：</w:t>
      </w:r>
    </w:p>
    <w:p w14:paraId="67589717">
      <w:pPr>
        <w:pStyle w:val="93"/>
        <w:pageBreakBefore w:val="0"/>
        <w:widowControl/>
        <w:kinsoku/>
        <w:wordWrap/>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u w:val="single" w:color="000000"/>
          <w:lang w:val="en-US" w:eastAsia="zh-CN" w:bidi="ar-SA"/>
        </w:rPr>
      </w:pPr>
      <w:r>
        <w:rPr>
          <w:rStyle w:val="76"/>
          <w:rFonts w:hint="eastAsia" w:asciiTheme="minorEastAsia" w:hAnsiTheme="minorEastAsia" w:eastAsiaTheme="minorEastAsia" w:cstheme="minorEastAsia"/>
          <w:b w:val="0"/>
          <w:i w:val="0"/>
          <w:caps w:val="0"/>
          <w:color w:val="auto"/>
          <w:spacing w:val="0"/>
          <w:w w:val="100"/>
          <w:kern w:val="2"/>
          <w:position w:val="0"/>
          <w:sz w:val="24"/>
          <w:szCs w:val="24"/>
          <w:highlight w:val="none"/>
          <w:lang w:val="en-US" w:eastAsia="zh-CN" w:bidi="ar-SA"/>
        </w:rPr>
        <w:t>供应商名称（加盖公章）：</w:t>
      </w:r>
    </w:p>
    <w:p w14:paraId="776D56DB">
      <w:pPr>
        <w:pStyle w:val="94"/>
        <w:pageBreakBefore w:val="0"/>
        <w:widowControl/>
        <w:kinsoku/>
        <w:wordWrap/>
        <w:overflowPunct/>
        <w:topLinePunct w:val="0"/>
        <w:bidi w:val="0"/>
        <w:snapToGrid w:val="0"/>
        <w:spacing w:before="0" w:beforeAutospacing="0" w:after="0" w:afterAutospacing="0" w:line="440" w:lineRule="exact"/>
        <w:jc w:val="both"/>
        <w:textAlignment w:val="baseline"/>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val="0"/>
          <w:i w:val="0"/>
          <w:caps w:val="0"/>
          <w:color w:val="auto"/>
          <w:spacing w:val="0"/>
          <w:w w:val="100"/>
          <w:kern w:val="0"/>
          <w:position w:val="0"/>
          <w:sz w:val="24"/>
          <w:szCs w:val="24"/>
          <w:highlight w:val="none"/>
          <w:lang w:val="en-US" w:eastAsia="zh-CN" w:bidi="ar-SA"/>
        </w:rPr>
        <w:t>日期：   年   月   日</w:t>
      </w:r>
    </w:p>
    <w:p w14:paraId="2BAE8D83">
      <w:pPr>
        <w:pStyle w:val="96"/>
        <w:pageBreakBefore w:val="0"/>
        <w:widowControl/>
        <w:kinsoku/>
        <w:wordWrap/>
        <w:overflowPunct/>
        <w:topLinePunct w:val="0"/>
        <w:bidi w:val="0"/>
        <w:snapToGrid/>
        <w:spacing w:before="0" w:beforeAutospacing="0" w:after="0" w:afterAutospacing="0" w:line="440" w:lineRule="exact"/>
        <w:jc w:val="both"/>
        <w:textAlignment w:val="baseline"/>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411DD225">
      <w:pPr>
        <w:pStyle w:val="9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baseline"/>
        <w:rPr>
          <w:rStyle w:val="76"/>
          <w:rFonts w:hint="eastAsia" w:asciiTheme="minorEastAsia" w:hAnsiTheme="minorEastAsia" w:eastAsiaTheme="minorEastAsia" w:cstheme="minorEastAsia"/>
          <w:b/>
          <w:bCs/>
          <w:i w:val="0"/>
          <w:caps w:val="0"/>
          <w:color w:val="auto"/>
          <w:spacing w:val="0"/>
          <w:w w:val="100"/>
          <w:kern w:val="0"/>
          <w:position w:val="0"/>
          <w:sz w:val="24"/>
          <w:szCs w:val="24"/>
          <w:highlight w:val="none"/>
          <w:lang w:val="en-US" w:eastAsia="zh-CN" w:bidi="ar-SA"/>
        </w:rPr>
      </w:pPr>
    </w:p>
    <w:p w14:paraId="73D4564B">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p>
    <w:p w14:paraId="3EA098AF">
      <w:pPr>
        <w:pStyle w:val="97"/>
        <w:keepNext w:val="0"/>
        <w:keepLines w:val="0"/>
        <w:pageBreakBefore w:val="0"/>
        <w:widowControl/>
        <w:kinsoku/>
        <w:wordWrap/>
        <w:overflowPunct/>
        <w:topLinePunct w:val="0"/>
        <w:autoSpaceDE/>
        <w:autoSpaceDN/>
        <w:bidi w:val="0"/>
        <w:adjustRightInd/>
        <w:snapToGrid/>
        <w:spacing w:before="0" w:beforeAutospacing="0" w:after="0" w:afterAutospacing="0" w:line="440" w:lineRule="exact"/>
        <w:ind w:firstLine="480" w:firstLineChars="200"/>
        <w:jc w:val="both"/>
        <w:textAlignment w:val="baseline"/>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p>
    <w:p w14:paraId="5EF5DBA9">
      <w:pPr>
        <w:pStyle w:val="74"/>
        <w:pageBreakBefore w:val="0"/>
        <w:kinsoku/>
        <w:overflowPunct/>
        <w:topLinePunct w:val="0"/>
        <w:bidi w:val="0"/>
        <w:ind w:firstLine="482" w:firstLineChars="200"/>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r>
        <w:rPr>
          <w:rStyle w:val="76"/>
          <w:rFonts w:hint="eastAsia" w:asciiTheme="minorEastAsia" w:hAnsiTheme="minorEastAsia" w:eastAsiaTheme="minorEastAsia" w:cstheme="minorEastAsia"/>
          <w:b/>
          <w:i w:val="0"/>
          <w:caps w:val="0"/>
          <w:color w:val="auto"/>
          <w:spacing w:val="0"/>
          <w:w w:val="100"/>
          <w:position w:val="0"/>
          <w:sz w:val="24"/>
          <w:szCs w:val="21"/>
          <w:highlight w:val="none"/>
          <w:lang w:bidi="ar-SA"/>
        </w:rPr>
        <w:t>上述供应商须提供的资格证明文件均应为有效文件并加盖本单位公章且给定内容及格式的，不得更改格式及内容，否则视为不响应。上述文件为供应商必须达到的资格要求，如有任意一条未明确响应将按无效投标处理。</w:t>
      </w:r>
    </w:p>
    <w:p w14:paraId="00EC8807">
      <w:pPr>
        <w:pStyle w:val="74"/>
        <w:pageBreakBefore w:val="0"/>
        <w:kinsoku/>
        <w:overflowPunct/>
        <w:topLinePunct w:val="0"/>
        <w:bidi w:val="0"/>
        <w:ind w:firstLine="480" w:firstLineChars="200"/>
        <w:rPr>
          <w:rStyle w:val="76"/>
          <w:rFonts w:hint="eastAsia" w:asciiTheme="minorEastAsia" w:hAnsiTheme="minorEastAsia" w:eastAsiaTheme="minorEastAsia" w:cstheme="minorEastAsia"/>
          <w:b w:val="0"/>
          <w:bCs w:val="0"/>
          <w:i w:val="0"/>
          <w:caps w:val="0"/>
          <w:color w:val="auto"/>
          <w:spacing w:val="0"/>
          <w:w w:val="100"/>
          <w:kern w:val="0"/>
          <w:position w:val="0"/>
          <w:sz w:val="24"/>
          <w:szCs w:val="24"/>
          <w:highlight w:val="none"/>
          <w:lang w:val="en-US" w:eastAsia="zh-CN" w:bidi="ar-SA"/>
        </w:rPr>
      </w:pPr>
    </w:p>
    <w:p w14:paraId="3CB9FCEC">
      <w:pPr>
        <w:pStyle w:val="14"/>
        <w:pageBreakBefore w:val="0"/>
        <w:tabs>
          <w:tab w:val="left" w:pos="8786"/>
        </w:tabs>
        <w:kinsoku/>
        <w:overflowPunct/>
        <w:topLinePunct w:val="0"/>
        <w:bidi w:val="0"/>
        <w:spacing w:after="0" w:line="360" w:lineRule="auto"/>
        <w:outlineLvl w:val="9"/>
        <w:rPr>
          <w:rFonts w:hint="eastAsia" w:asciiTheme="minorEastAsia" w:hAnsiTheme="minorEastAsia" w:eastAsiaTheme="minorEastAsia" w:cstheme="minorEastAsia"/>
          <w:b/>
          <w:color w:val="auto"/>
          <w:spacing w:val="0"/>
          <w:kern w:val="0"/>
          <w:position w:val="0"/>
          <w:sz w:val="24"/>
          <w:highlight w:val="none"/>
          <w:lang w:val="en-US" w:eastAsia="zh-CN"/>
        </w:rPr>
      </w:pPr>
    </w:p>
    <w:p w14:paraId="7DCCA958">
      <w:pPr>
        <w:pageBreakBefore w:val="0"/>
        <w:shd w:val="clear" w:color="auto" w:fill="FFFFFF"/>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highlight w:val="none"/>
          <w:lang w:val="en-US" w:eastAsia="zh-CN"/>
        </w:rPr>
      </w:pPr>
      <w:r>
        <w:rPr>
          <w:rFonts w:hint="eastAsia" w:asciiTheme="minorEastAsia" w:hAnsiTheme="minorEastAsia" w:eastAsiaTheme="minorEastAsia" w:cstheme="minorEastAsia"/>
          <w:b/>
          <w:color w:val="auto"/>
          <w:spacing w:val="0"/>
          <w:kern w:val="0"/>
          <w:position w:val="0"/>
          <w:sz w:val="24"/>
          <w:highlight w:val="none"/>
          <w:lang w:val="en-US" w:eastAsia="zh-CN"/>
        </w:rPr>
        <w:t>2.磋商保证金</w:t>
      </w:r>
    </w:p>
    <w:p w14:paraId="01C7838E">
      <w:pPr>
        <w:pStyle w:val="14"/>
        <w:pageBreakBefore w:val="0"/>
        <w:tabs>
          <w:tab w:val="left" w:pos="8786"/>
        </w:tabs>
        <w:kinsoku/>
        <w:overflowPunct/>
        <w:topLinePunct w:val="0"/>
        <w:bidi w:val="0"/>
        <w:spacing w:after="0" w:line="360" w:lineRule="auto"/>
        <w:rPr>
          <w:rFonts w:hint="eastAsia" w:asciiTheme="minorEastAsia" w:hAnsiTheme="minorEastAsia" w:eastAsiaTheme="minorEastAsia" w:cstheme="minorEastAsia"/>
          <w:color w:val="auto"/>
          <w:spacing w:val="0"/>
          <w:position w:val="0"/>
          <w:sz w:val="24"/>
          <w:highlight w:val="none"/>
        </w:rPr>
      </w:pPr>
      <w:r>
        <w:rPr>
          <w:rFonts w:hint="eastAsia" w:asciiTheme="minorEastAsia" w:hAnsiTheme="minorEastAsia" w:eastAsiaTheme="minorEastAsia" w:cstheme="minorEastAsia"/>
          <w:b/>
          <w:color w:val="auto"/>
          <w:spacing w:val="0"/>
          <w:position w:val="0"/>
          <w:sz w:val="24"/>
          <w:highlight w:val="none"/>
        </w:rPr>
        <w:t xml:space="preserve">   </w:t>
      </w:r>
      <w:r>
        <w:rPr>
          <w:rFonts w:hint="eastAsia" w:asciiTheme="minorEastAsia" w:hAnsiTheme="minorEastAsia" w:eastAsiaTheme="minorEastAsia" w:cstheme="minorEastAsia"/>
          <w:color w:val="auto"/>
          <w:spacing w:val="0"/>
          <w:position w:val="0"/>
          <w:sz w:val="24"/>
          <w:highlight w:val="none"/>
        </w:rPr>
        <w:t>说明：此处上传</w:t>
      </w:r>
      <w:r>
        <w:rPr>
          <w:rFonts w:hint="eastAsia" w:asciiTheme="minorEastAsia" w:hAnsiTheme="minorEastAsia" w:eastAsiaTheme="minorEastAsia" w:cstheme="minorEastAsia"/>
          <w:color w:val="auto"/>
          <w:spacing w:val="0"/>
          <w:position w:val="0"/>
          <w:sz w:val="24"/>
          <w:highlight w:val="none"/>
          <w:lang w:eastAsia="zh-CN"/>
        </w:rPr>
        <w:t>磋商保证金</w:t>
      </w:r>
      <w:r>
        <w:rPr>
          <w:rFonts w:hint="eastAsia" w:asciiTheme="minorEastAsia" w:hAnsiTheme="minorEastAsia" w:eastAsiaTheme="minorEastAsia" w:cstheme="minorEastAsia"/>
          <w:color w:val="auto"/>
          <w:spacing w:val="0"/>
          <w:position w:val="0"/>
          <w:sz w:val="24"/>
          <w:highlight w:val="none"/>
        </w:rPr>
        <w:t>缴纳证明文件；</w:t>
      </w:r>
    </w:p>
    <w:p w14:paraId="3F1528BF">
      <w:pPr>
        <w:pStyle w:val="20"/>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BAFBC09">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1F76998">
      <w:pPr>
        <w:pStyle w:val="3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B087611">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2E6642BC">
      <w:pPr>
        <w:pStyle w:val="3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4CA9FF8B">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2A1DABA5">
      <w:pPr>
        <w:pStyle w:val="3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3619E03">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0F64B2A">
      <w:pPr>
        <w:pStyle w:val="3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C978A1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88DF90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02C2133">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207A03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A7E2387">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D49523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A371DE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234294A">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B737D5F">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F155C65">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2D2B7B9A">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0E96E9BC">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4E5F4B4">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F8CC89D">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120EE4D9">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380C39D0">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F94CC3E">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712FF3B">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04DBB6F">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68C955A">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756E2D9">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C9C48E7">
      <w:pPr>
        <w:pStyle w:val="3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692F05D3">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559F1883">
      <w:pPr>
        <w:pStyle w:val="32"/>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CAF91F6">
      <w:pPr>
        <w:pageBreakBefore w:val="0"/>
        <w:kinsoku/>
        <w:overflowPunct/>
        <w:topLinePunct w:val="0"/>
        <w:bidi w:val="0"/>
        <w:rPr>
          <w:rFonts w:hint="eastAsia" w:asciiTheme="minorEastAsia" w:hAnsiTheme="minorEastAsia" w:eastAsiaTheme="minorEastAsia" w:cstheme="minorEastAsia"/>
          <w:color w:val="auto"/>
          <w:spacing w:val="0"/>
          <w:position w:val="0"/>
          <w:sz w:val="24"/>
          <w:highlight w:val="none"/>
        </w:rPr>
      </w:pPr>
    </w:p>
    <w:p w14:paraId="7FC85AF4">
      <w:pPr>
        <w:pStyle w:val="1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14:paraId="11299B6E">
      <w:pPr>
        <w:pageBreakBefore w:val="0"/>
        <w:shd w:val="clear" w:color="auto" w:fill="FFFFFF"/>
        <w:kinsoku/>
        <w:overflowPunct/>
        <w:topLinePunct w:val="0"/>
        <w:bidi w:val="0"/>
        <w:spacing w:line="440" w:lineRule="exact"/>
        <w:jc w:val="both"/>
        <w:rPr>
          <w:rFonts w:hint="eastAsia" w:asciiTheme="minorEastAsia" w:hAnsiTheme="minorEastAsia" w:eastAsiaTheme="minorEastAsia" w:cstheme="minorEastAsia"/>
          <w:b/>
          <w:color w:val="auto"/>
          <w:spacing w:val="0"/>
          <w:kern w:val="0"/>
          <w:position w:val="0"/>
          <w:sz w:val="24"/>
          <w:highlight w:val="none"/>
          <w:lang w:val="en-US" w:eastAsia="zh-CN"/>
        </w:rPr>
      </w:pPr>
      <w:r>
        <w:rPr>
          <w:rFonts w:hint="eastAsia" w:asciiTheme="minorEastAsia" w:hAnsiTheme="minorEastAsia" w:eastAsiaTheme="minorEastAsia" w:cstheme="minorEastAsia"/>
          <w:b/>
          <w:color w:val="auto"/>
          <w:spacing w:val="0"/>
          <w:kern w:val="0"/>
          <w:position w:val="0"/>
          <w:sz w:val="24"/>
          <w:highlight w:val="none"/>
          <w:lang w:val="en-US" w:eastAsia="zh-CN"/>
        </w:rPr>
        <w:t>3.中小企业声明函</w:t>
      </w:r>
    </w:p>
    <w:p w14:paraId="65A19A29">
      <w:pPr>
        <w:pageBreakBefore w:val="0"/>
        <w:shd w:val="clear" w:color="auto" w:fill="FFFFFF"/>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
          <w:bCs/>
          <w:color w:val="auto"/>
          <w:spacing w:val="0"/>
          <w:position w:val="0"/>
          <w:sz w:val="28"/>
          <w:szCs w:val="28"/>
          <w:highlight w:val="none"/>
        </w:rPr>
        <w:t>中小企业声明函（工程、服务）</w:t>
      </w:r>
    </w:p>
    <w:p w14:paraId="428BA0CC">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1"/>
          <w:szCs w:val="21"/>
          <w:highlight w:val="none"/>
        </w:rPr>
      </w:pPr>
    </w:p>
    <w:p w14:paraId="2F4064D3">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pacing w:val="0"/>
          <w:position w:val="0"/>
          <w:sz w:val="24"/>
          <w:szCs w:val="24"/>
          <w:highlight w:val="none"/>
          <w:u w:val="single"/>
        </w:rPr>
        <w:t xml:space="preserve">  （单位名称）  </w:t>
      </w:r>
      <w:r>
        <w:rPr>
          <w:rFonts w:hint="eastAsia" w:asciiTheme="minorEastAsia" w:hAnsiTheme="minorEastAsia" w:eastAsiaTheme="minorEastAsia" w:cstheme="minorEastAsia"/>
          <w:color w:val="auto"/>
          <w:spacing w:val="0"/>
          <w:position w:val="0"/>
          <w:sz w:val="24"/>
          <w:szCs w:val="24"/>
          <w:highlight w:val="none"/>
        </w:rPr>
        <w:t>的</w:t>
      </w:r>
      <w:r>
        <w:rPr>
          <w:rFonts w:hint="eastAsia" w:asciiTheme="minorEastAsia" w:hAnsiTheme="minorEastAsia" w:eastAsiaTheme="minorEastAsia" w:cstheme="minorEastAsia"/>
          <w:color w:val="auto"/>
          <w:spacing w:val="0"/>
          <w:position w:val="0"/>
          <w:sz w:val="24"/>
          <w:szCs w:val="24"/>
          <w:highlight w:val="none"/>
          <w:u w:val="single"/>
        </w:rPr>
        <w:t xml:space="preserve">      （项目名称） </w:t>
      </w:r>
      <w:r>
        <w:rPr>
          <w:rFonts w:hint="eastAsia" w:asciiTheme="minorEastAsia" w:hAnsiTheme="minorEastAsia" w:eastAsiaTheme="minorEastAsia" w:cstheme="minorEastAsia"/>
          <w:color w:val="auto"/>
          <w:spacing w:val="0"/>
          <w:position w:val="0"/>
          <w:sz w:val="24"/>
          <w:szCs w:val="24"/>
          <w:highlight w:val="none"/>
        </w:rPr>
        <w:t>采购活动，工程的施工单位全部符合政策要求的中小企业（或者：服务全部由符合要求的中小企业承接）。相关企业（含联合体中的中小企业、签订分包意向协议的中小企业）的具体情况如下：</w:t>
      </w:r>
    </w:p>
    <w:p w14:paraId="1CC718A0">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1、   （标的名称）  </w:t>
      </w:r>
      <w:r>
        <w:rPr>
          <w:rFonts w:hint="eastAsia" w:asciiTheme="minorEastAsia" w:hAnsiTheme="minorEastAsia" w:eastAsiaTheme="minorEastAsia" w:cstheme="minorEastAsia"/>
          <w:color w:val="auto"/>
          <w:spacing w:val="0"/>
          <w:position w:val="0"/>
          <w:sz w:val="24"/>
          <w:szCs w:val="24"/>
          <w:highlight w:val="none"/>
        </w:rPr>
        <w:t>，属于（</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rPr>
        <w:t>）；承建（承接）企业为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p>
    <w:p w14:paraId="60C4FFAF">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u w:val="single"/>
        </w:rPr>
        <w:t xml:space="preserve">2、   （标的名称）  </w:t>
      </w:r>
      <w:r>
        <w:rPr>
          <w:rFonts w:hint="eastAsia" w:asciiTheme="minorEastAsia" w:hAnsiTheme="minorEastAsia" w:eastAsiaTheme="minorEastAsia" w:cstheme="minorEastAsia"/>
          <w:color w:val="auto"/>
          <w:spacing w:val="0"/>
          <w:position w:val="0"/>
          <w:sz w:val="24"/>
          <w:szCs w:val="24"/>
          <w:highlight w:val="none"/>
        </w:rPr>
        <w:t>，属于（</w:t>
      </w:r>
      <w:r>
        <w:rPr>
          <w:rFonts w:hint="eastAsia" w:asciiTheme="minorEastAsia" w:hAnsiTheme="minorEastAsia" w:eastAsiaTheme="minorEastAsia" w:cstheme="minorEastAsia"/>
          <w:color w:val="auto"/>
          <w:spacing w:val="0"/>
          <w:position w:val="0"/>
          <w:sz w:val="24"/>
          <w:szCs w:val="24"/>
          <w:highlight w:val="none"/>
          <w:u w:val="single"/>
        </w:rPr>
        <w:t>采购文件中明确的所属行业</w:t>
      </w:r>
      <w:r>
        <w:rPr>
          <w:rFonts w:hint="eastAsia" w:asciiTheme="minorEastAsia" w:hAnsiTheme="minorEastAsia" w:eastAsiaTheme="minorEastAsia" w:cstheme="minorEastAsia"/>
          <w:color w:val="auto"/>
          <w:spacing w:val="0"/>
          <w:position w:val="0"/>
          <w:sz w:val="24"/>
          <w:szCs w:val="24"/>
          <w:highlight w:val="none"/>
        </w:rPr>
        <w:t>）；承建（承接）企业为</w:t>
      </w:r>
      <w:r>
        <w:rPr>
          <w:rFonts w:hint="eastAsia" w:asciiTheme="minorEastAsia" w:hAnsiTheme="minorEastAsia" w:eastAsiaTheme="minorEastAsia" w:cstheme="minorEastAsia"/>
          <w:color w:val="auto"/>
          <w:spacing w:val="0"/>
          <w:position w:val="0"/>
          <w:sz w:val="24"/>
          <w:szCs w:val="24"/>
          <w:highlight w:val="none"/>
          <w:u w:val="single"/>
        </w:rPr>
        <w:t>（企业名称）</w:t>
      </w:r>
      <w:r>
        <w:rPr>
          <w:rFonts w:hint="eastAsia" w:asciiTheme="minorEastAsia" w:hAnsiTheme="minorEastAsia" w:eastAsiaTheme="minorEastAsia" w:cstheme="minorEastAsia"/>
          <w:color w:val="auto"/>
          <w:spacing w:val="0"/>
          <w:position w:val="0"/>
          <w:sz w:val="24"/>
          <w:szCs w:val="24"/>
          <w:highlight w:val="none"/>
        </w:rPr>
        <w:t>，从业人员</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人，营业收入为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万元，资产总额为</w:t>
      </w:r>
      <w:r>
        <w:rPr>
          <w:rFonts w:hint="eastAsia" w:asciiTheme="minorEastAsia" w:hAnsiTheme="minorEastAsia" w:eastAsiaTheme="minorEastAsia" w:cstheme="minorEastAsia"/>
          <w:color w:val="auto"/>
          <w:spacing w:val="0"/>
          <w:position w:val="0"/>
          <w:sz w:val="24"/>
          <w:szCs w:val="24"/>
          <w:highlight w:val="none"/>
          <w:u w:val="single"/>
        </w:rPr>
        <w:t xml:space="preserve">   </w:t>
      </w:r>
      <w:r>
        <w:rPr>
          <w:rFonts w:hint="eastAsia" w:asciiTheme="minorEastAsia" w:hAnsiTheme="minorEastAsia" w:eastAsiaTheme="minorEastAsia" w:cstheme="minorEastAsia"/>
          <w:color w:val="auto"/>
          <w:spacing w:val="0"/>
          <w:position w:val="0"/>
          <w:sz w:val="24"/>
          <w:szCs w:val="24"/>
          <w:highlight w:val="none"/>
        </w:rPr>
        <w:t>万元，属于</w:t>
      </w:r>
      <w:r>
        <w:rPr>
          <w:rFonts w:hint="eastAsia" w:asciiTheme="minorEastAsia" w:hAnsiTheme="minorEastAsia" w:eastAsiaTheme="minorEastAsia" w:cstheme="minorEastAsia"/>
          <w:color w:val="auto"/>
          <w:spacing w:val="0"/>
          <w:position w:val="0"/>
          <w:sz w:val="24"/>
          <w:szCs w:val="24"/>
          <w:highlight w:val="none"/>
          <w:u w:val="single"/>
        </w:rPr>
        <w:t xml:space="preserve"> （中型企业、小型企业、微型企业）；</w:t>
      </w:r>
    </w:p>
    <w:p w14:paraId="7F35F687">
      <w:pPr>
        <w:pStyle w:val="81"/>
        <w:pageBreakBefore w:val="0"/>
        <w:tabs>
          <w:tab w:val="left" w:pos="-120"/>
        </w:tabs>
        <w:kinsoku/>
        <w:overflowPunct/>
        <w:topLinePunct w:val="0"/>
        <w:bidi w:val="0"/>
        <w:spacing w:line="440" w:lineRule="exact"/>
        <w:ind w:firstLine="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p>
    <w:p w14:paraId="12ED2E48">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以上企业，不属于大企业的分支机构，不存在控股股东为大企业的情形，也不存在与大企业的负责人为同一人的情形。</w:t>
      </w:r>
    </w:p>
    <w:p w14:paraId="4A9E6C07">
      <w:pPr>
        <w:pageBreakBefore w:val="0"/>
        <w:widowControl/>
        <w:kinsoku/>
        <w:overflowPunct/>
        <w:topLinePunct w:val="0"/>
        <w:bidi w:val="0"/>
        <w:spacing w:line="440" w:lineRule="exact"/>
        <w:ind w:firstLine="480" w:firstLineChars="200"/>
        <w:jc w:val="lef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本企业对上述声明的真实性负责。如有虚假，将依法承担相应责任。</w:t>
      </w:r>
    </w:p>
    <w:p w14:paraId="18392281">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rPr>
      </w:pPr>
    </w:p>
    <w:p w14:paraId="2027988A">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position w:val="0"/>
          <w:sz w:val="24"/>
          <w:szCs w:val="24"/>
          <w:highlight w:val="none"/>
        </w:rPr>
      </w:pPr>
    </w:p>
    <w:p w14:paraId="1C566445">
      <w:pPr>
        <w:pStyle w:val="85"/>
        <w:pageBreakBefore w:val="0"/>
        <w:kinsoku/>
        <w:overflowPunct/>
        <w:topLinePunct w:val="0"/>
        <w:bidi w:val="0"/>
        <w:spacing w:line="440" w:lineRule="exact"/>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供应商名称：</w:t>
      </w:r>
      <w:r>
        <w:rPr>
          <w:rFonts w:hint="eastAsia" w:asciiTheme="minorEastAsia" w:hAnsiTheme="minorEastAsia" w:eastAsiaTheme="minorEastAsia" w:cstheme="minorEastAsia"/>
          <w:color w:val="auto"/>
          <w:spacing w:val="0"/>
          <w:position w:val="0"/>
          <w:sz w:val="24"/>
          <w:szCs w:val="24"/>
          <w:highlight w:val="none"/>
          <w:u w:val="single"/>
        </w:rPr>
        <w:t xml:space="preserve">       （盖章）       </w:t>
      </w:r>
    </w:p>
    <w:p w14:paraId="74EEF79D">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p>
    <w:p w14:paraId="6D48D654">
      <w:pPr>
        <w:pageBreakBefore w:val="0"/>
        <w:widowControl/>
        <w:kinsoku/>
        <w:overflowPunct/>
        <w:topLinePunct w:val="0"/>
        <w:bidi w:val="0"/>
        <w:spacing w:line="440" w:lineRule="exact"/>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 xml:space="preserve">                          日   期：  年   月   日</w:t>
      </w:r>
    </w:p>
    <w:p w14:paraId="13DEE07D">
      <w:pPr>
        <w:pStyle w:val="81"/>
        <w:pageBreakBefore w:val="0"/>
        <w:tabs>
          <w:tab w:val="left" w:pos="-120"/>
        </w:tabs>
        <w:kinsoku/>
        <w:overflowPunct/>
        <w:topLinePunct w:val="0"/>
        <w:bidi w:val="0"/>
        <w:spacing w:line="440" w:lineRule="exact"/>
        <w:ind w:firstLine="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说明：</w:t>
      </w:r>
    </w:p>
    <w:p w14:paraId="721D77EB">
      <w:pPr>
        <w:pStyle w:val="81"/>
        <w:pageBreakBefore w:val="0"/>
        <w:tabs>
          <w:tab w:val="left" w:pos="-120"/>
        </w:tabs>
        <w:kinsoku/>
        <w:overflowPunct/>
        <w:topLinePunct w:val="0"/>
        <w:bidi w:val="0"/>
        <w:spacing w:line="440" w:lineRule="exact"/>
        <w:ind w:firstLine="0"/>
        <w:textAlignment w:val="baseline"/>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1、从业人员、营业收入、资产总额填报上一年度数据，无上一年度数据的新成立企业可不填报。</w:t>
      </w:r>
    </w:p>
    <w:p w14:paraId="26108D13">
      <w:pPr>
        <w:pageBreakBefore w:val="0"/>
        <w:widowControl/>
        <w:kinsoku/>
        <w:overflowPunct/>
        <w:topLinePunct w:val="0"/>
        <w:bidi w:val="0"/>
        <w:spacing w:line="440" w:lineRule="exact"/>
        <w:jc w:val="left"/>
        <w:rPr>
          <w:rFonts w:hint="eastAsia" w:asciiTheme="minorEastAsia" w:hAnsiTheme="minorEastAsia" w:eastAsiaTheme="minorEastAsia" w:cstheme="minorEastAsia"/>
          <w:color w:val="auto"/>
          <w:spacing w:val="0"/>
          <w:kern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2、</w:t>
      </w:r>
      <w:r>
        <w:rPr>
          <w:rFonts w:hint="eastAsia" w:asciiTheme="minorEastAsia" w:hAnsiTheme="minorEastAsia" w:eastAsiaTheme="minorEastAsia" w:cstheme="minorEastAsia"/>
          <w:color w:val="auto"/>
          <w:spacing w:val="0"/>
          <w:kern w:val="0"/>
          <w:position w:val="0"/>
          <w:sz w:val="24"/>
          <w:szCs w:val="24"/>
          <w:highlight w:val="none"/>
        </w:rPr>
        <w:t>若为监狱企业或残疾人企业，须提供监狱企业或残疾人企业声明函（格式自拟）</w:t>
      </w:r>
    </w:p>
    <w:p w14:paraId="29C9EC00">
      <w:pPr>
        <w:pStyle w:val="81"/>
        <w:pageBreakBefore w:val="0"/>
        <w:tabs>
          <w:tab w:val="left" w:pos="-120"/>
        </w:tabs>
        <w:kinsoku/>
        <w:overflowPunct/>
        <w:topLinePunct w:val="0"/>
        <w:bidi w:val="0"/>
        <w:spacing w:line="440" w:lineRule="exact"/>
        <w:ind w:firstLine="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kern w:val="0"/>
          <w:position w:val="0"/>
          <w:sz w:val="24"/>
          <w:szCs w:val="24"/>
          <w:highlight w:val="none"/>
        </w:rPr>
        <w:t>3、中标的供应商的《中小微企业声明函》将作为中标结果公告一并公示。</w:t>
      </w:r>
    </w:p>
    <w:p w14:paraId="7ACAB343">
      <w:pPr>
        <w:pStyle w:val="87"/>
        <w:pageBreakBefore w:val="0"/>
        <w:tabs>
          <w:tab w:val="left" w:pos="8786"/>
        </w:tabs>
        <w:kinsoku/>
        <w:overflowPunct/>
        <w:topLinePunct w:val="0"/>
        <w:bidi w:val="0"/>
        <w:spacing w:after="0" w:line="440" w:lineRule="exact"/>
        <w:rPr>
          <w:rStyle w:val="76"/>
          <w:rFonts w:hint="eastAsia" w:asciiTheme="minorEastAsia" w:hAnsiTheme="minorEastAsia" w:eastAsiaTheme="minorEastAsia" w:cstheme="minorEastAsia"/>
          <w:b/>
          <w:color w:val="auto"/>
          <w:spacing w:val="0"/>
          <w:position w:val="0"/>
          <w:sz w:val="21"/>
          <w:szCs w:val="21"/>
          <w:highlight w:val="none"/>
        </w:rPr>
      </w:pPr>
    </w:p>
    <w:p w14:paraId="1AFB6B0D">
      <w:pPr>
        <w:pageBreakBefore w:val="0"/>
        <w:kinsoku/>
        <w:overflowPunct/>
        <w:topLinePunct w:val="0"/>
        <w:bidi w:val="0"/>
        <w:spacing w:line="36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050C53A0">
      <w:pPr>
        <w:pStyle w:val="3"/>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329" w:name="_Toc446599332"/>
      <w:bookmarkStart w:id="330" w:name="_Toc293736071"/>
      <w:bookmarkStart w:id="331" w:name="_Toc485895990"/>
      <w:bookmarkStart w:id="332" w:name="_Toc29905"/>
      <w:bookmarkStart w:id="333" w:name="_Toc293736028"/>
      <w:bookmarkStart w:id="334" w:name="_Toc16821"/>
      <w:bookmarkStart w:id="335" w:name="_Toc293739009"/>
      <w:r>
        <w:rPr>
          <w:rFonts w:hint="eastAsia" w:asciiTheme="minorEastAsia" w:hAnsiTheme="minorEastAsia" w:eastAsiaTheme="minorEastAsia" w:cstheme="minorEastAsia"/>
          <w:color w:val="auto"/>
          <w:spacing w:val="0"/>
          <w:position w:val="0"/>
          <w:highlight w:val="none"/>
          <w:lang w:val="en-US" w:eastAsia="zh-CN"/>
        </w:rPr>
        <w:t>二</w:t>
      </w:r>
      <w:r>
        <w:rPr>
          <w:rFonts w:hint="eastAsia" w:asciiTheme="minorEastAsia" w:hAnsiTheme="minorEastAsia" w:eastAsiaTheme="minorEastAsia" w:cstheme="minorEastAsia"/>
          <w:color w:val="auto"/>
          <w:spacing w:val="0"/>
          <w:position w:val="0"/>
          <w:highlight w:val="none"/>
        </w:rPr>
        <w:t>、商务文件组成</w:t>
      </w:r>
      <w:bookmarkEnd w:id="326"/>
      <w:bookmarkEnd w:id="329"/>
      <w:bookmarkEnd w:id="330"/>
      <w:bookmarkEnd w:id="331"/>
      <w:bookmarkEnd w:id="332"/>
      <w:bookmarkEnd w:id="333"/>
      <w:bookmarkEnd w:id="334"/>
      <w:bookmarkEnd w:id="335"/>
    </w:p>
    <w:p w14:paraId="6E103302">
      <w:pPr>
        <w:pageBreakBefore w:val="0"/>
        <w:kinsoku/>
        <w:overflowPunct/>
        <w:topLinePunct w:val="0"/>
        <w:autoSpaceDE w:val="0"/>
        <w:autoSpaceDN w:val="0"/>
        <w:bidi w:val="0"/>
        <w:adjustRightInd w:val="0"/>
        <w:spacing w:line="500" w:lineRule="exact"/>
        <w:ind w:firstLine="140" w:firstLineChars="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商务文件目录</w:t>
      </w:r>
    </w:p>
    <w:p w14:paraId="2EAB009E">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1、竞争性磋商响应函；</w:t>
      </w:r>
    </w:p>
    <w:p w14:paraId="393CABDA">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2、法定授权人委托书。</w:t>
      </w:r>
    </w:p>
    <w:p w14:paraId="47441148">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3、开标一览表；</w:t>
      </w:r>
    </w:p>
    <w:p w14:paraId="56BAF141">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4、竞争性磋商报价明细表</w:t>
      </w:r>
    </w:p>
    <w:p w14:paraId="4548A385">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5、投标服务清单</w:t>
      </w:r>
    </w:p>
    <w:p w14:paraId="29D77AA5">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6、商务响应、偏离说明表</w:t>
      </w:r>
    </w:p>
    <w:p w14:paraId="57574414">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lang w:val="en-US" w:eastAsia="zh-CN"/>
        </w:rPr>
        <w:t>7、项目管理机构配备情况</w:t>
      </w:r>
      <w:r>
        <w:rPr>
          <w:rFonts w:hint="eastAsia" w:asciiTheme="minorEastAsia" w:hAnsiTheme="minorEastAsia" w:eastAsiaTheme="minorEastAsia" w:cstheme="minorEastAsia"/>
          <w:color w:val="auto"/>
          <w:spacing w:val="0"/>
          <w:kern w:val="0"/>
          <w:position w:val="0"/>
          <w:sz w:val="28"/>
          <w:szCs w:val="28"/>
          <w:highlight w:val="none"/>
        </w:rPr>
        <w:t>；</w:t>
      </w:r>
    </w:p>
    <w:p w14:paraId="1FB048D2">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lang w:val="en-US" w:eastAsia="zh-CN"/>
        </w:rPr>
        <w:t>8</w:t>
      </w:r>
      <w:r>
        <w:rPr>
          <w:rFonts w:hint="eastAsia" w:asciiTheme="minorEastAsia" w:hAnsiTheme="minorEastAsia" w:eastAsiaTheme="minorEastAsia" w:cstheme="minorEastAsia"/>
          <w:color w:val="auto"/>
          <w:spacing w:val="0"/>
          <w:kern w:val="0"/>
          <w:position w:val="0"/>
          <w:sz w:val="28"/>
          <w:szCs w:val="28"/>
          <w:highlight w:val="none"/>
        </w:rPr>
        <w:t>、供应商类似项目业绩表；</w:t>
      </w:r>
    </w:p>
    <w:p w14:paraId="77C68CFA">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10、商务条款响应、偏离说明表；</w:t>
      </w:r>
    </w:p>
    <w:p w14:paraId="56C714F2">
      <w:pPr>
        <w:pageBreakBefore w:val="0"/>
        <w:kinsoku/>
        <w:overflowPunct/>
        <w:topLinePunct w:val="0"/>
        <w:autoSpaceDE w:val="0"/>
        <w:autoSpaceDN w:val="0"/>
        <w:bidi w:val="0"/>
        <w:adjustRightInd w:val="0"/>
        <w:spacing w:line="500" w:lineRule="exact"/>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11、磋商文件要求提供或供应商认为需提供的其它资料；</w:t>
      </w:r>
    </w:p>
    <w:p w14:paraId="377267D0">
      <w:pPr>
        <w:pageBreakBefore w:val="0"/>
        <w:kinsoku/>
        <w:overflowPunct/>
        <w:topLinePunct w:val="0"/>
        <w:autoSpaceDE w:val="0"/>
        <w:autoSpaceDN w:val="0"/>
        <w:bidi w:val="0"/>
        <w:adjustRightInd w:val="0"/>
        <w:spacing w:line="500" w:lineRule="exact"/>
        <w:ind w:firstLine="141" w:firstLineChars="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b/>
          <w:color w:val="auto"/>
          <w:spacing w:val="0"/>
          <w:kern w:val="0"/>
          <w:position w:val="0"/>
          <w:sz w:val="28"/>
          <w:szCs w:val="28"/>
          <w:highlight w:val="none"/>
        </w:rPr>
        <w:br w:type="page"/>
      </w:r>
    </w:p>
    <w:p w14:paraId="4E1AD024">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336" w:name="_Toc13369"/>
      <w:bookmarkStart w:id="337" w:name="_Toc485895991"/>
      <w:bookmarkStart w:id="338" w:name="_Toc20261"/>
      <w:r>
        <w:rPr>
          <w:rFonts w:hint="eastAsia" w:asciiTheme="minorEastAsia" w:hAnsiTheme="minorEastAsia" w:eastAsiaTheme="minorEastAsia" w:cstheme="minorEastAsia"/>
          <w:color w:val="auto"/>
          <w:spacing w:val="0"/>
          <w:position w:val="0"/>
          <w:highlight w:val="none"/>
          <w:lang w:val="en-US" w:eastAsia="zh-CN"/>
        </w:rPr>
        <w:t>1、</w:t>
      </w:r>
      <w:r>
        <w:rPr>
          <w:rFonts w:hint="eastAsia" w:asciiTheme="minorEastAsia" w:hAnsiTheme="minorEastAsia" w:eastAsiaTheme="minorEastAsia" w:cstheme="minorEastAsia"/>
          <w:color w:val="auto"/>
          <w:spacing w:val="0"/>
          <w:position w:val="0"/>
          <w:highlight w:val="none"/>
        </w:rPr>
        <w:t>竞争性磋商函</w:t>
      </w:r>
      <w:bookmarkEnd w:id="336"/>
      <w:bookmarkEnd w:id="337"/>
      <w:bookmarkEnd w:id="338"/>
    </w:p>
    <w:p w14:paraId="6A1A7981">
      <w:pPr>
        <w:pageBreakBefore w:val="0"/>
        <w:kinsoku/>
        <w:overflowPunct/>
        <w:topLinePunct w:val="0"/>
        <w:bidi w:val="0"/>
        <w:adjustRightInd w:val="0"/>
        <w:snapToGrid w:val="0"/>
        <w:spacing w:line="400" w:lineRule="exact"/>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u w:val="single"/>
        </w:rPr>
        <w:t>（代理机构名称）</w:t>
      </w:r>
      <w:r>
        <w:rPr>
          <w:rFonts w:hint="eastAsia" w:asciiTheme="minorEastAsia" w:hAnsiTheme="minorEastAsia" w:eastAsiaTheme="minorEastAsia" w:cstheme="minorEastAsia"/>
          <w:color w:val="auto"/>
          <w:spacing w:val="0"/>
          <w:position w:val="0"/>
          <w:sz w:val="28"/>
          <w:szCs w:val="28"/>
          <w:highlight w:val="none"/>
        </w:rPr>
        <w:t>：</w:t>
      </w:r>
    </w:p>
    <w:p w14:paraId="5A501A37">
      <w:pPr>
        <w:pageBreakBefore w:val="0"/>
        <w:kinsoku/>
        <w:overflowPunct/>
        <w:topLinePunct w:val="0"/>
        <w:autoSpaceDE w:val="0"/>
        <w:autoSpaceDN w:val="0"/>
        <w:bidi w:val="0"/>
        <w:adjustRightInd w:val="0"/>
        <w:spacing w:line="400" w:lineRule="exact"/>
        <w:ind w:right="26" w:firstLine="560" w:firstLineChars="200"/>
        <w:jc w:val="left"/>
        <w:rPr>
          <w:rFonts w:hint="eastAsia" w:asciiTheme="minorEastAsia" w:hAnsiTheme="minorEastAsia" w:eastAsiaTheme="minorEastAsia" w:cstheme="minorEastAsia"/>
          <w:color w:val="auto"/>
          <w:spacing w:val="0"/>
          <w:kern w:val="0"/>
          <w:position w:val="0"/>
          <w:sz w:val="28"/>
          <w:szCs w:val="28"/>
          <w:highlight w:val="none"/>
          <w:lang w:eastAsia="zh-CN"/>
        </w:rPr>
      </w:pPr>
      <w:r>
        <w:rPr>
          <w:rFonts w:hint="eastAsia" w:asciiTheme="minorEastAsia" w:hAnsiTheme="minorEastAsia" w:eastAsiaTheme="minorEastAsia" w:cstheme="minorEastAsia"/>
          <w:color w:val="auto"/>
          <w:spacing w:val="0"/>
          <w:kern w:val="0"/>
          <w:position w:val="0"/>
          <w:sz w:val="28"/>
          <w:szCs w:val="28"/>
          <w:highlight w:val="none"/>
        </w:rPr>
        <w:t>依据贵方</w:t>
      </w:r>
      <w:r>
        <w:rPr>
          <w:rFonts w:hint="eastAsia" w:asciiTheme="minorEastAsia" w:hAnsiTheme="minorEastAsia" w:eastAsiaTheme="minorEastAsia" w:cstheme="minorEastAsia"/>
          <w:color w:val="auto"/>
          <w:spacing w:val="0"/>
          <w:position w:val="0"/>
          <w:sz w:val="28"/>
          <w:szCs w:val="28"/>
          <w:highlight w:val="none"/>
          <w:u w:val="single"/>
        </w:rPr>
        <w:t xml:space="preserve"> (采购项目名称/采购项目编号) </w:t>
      </w:r>
      <w:r>
        <w:rPr>
          <w:rFonts w:hint="eastAsia" w:asciiTheme="minorEastAsia" w:hAnsiTheme="minorEastAsia" w:eastAsiaTheme="minorEastAsia" w:cstheme="minorEastAsia"/>
          <w:color w:val="auto"/>
          <w:spacing w:val="0"/>
          <w:kern w:val="0"/>
          <w:position w:val="0"/>
          <w:sz w:val="28"/>
          <w:szCs w:val="28"/>
          <w:highlight w:val="none"/>
        </w:rPr>
        <w:t>项目招标采购服务的磋商邀请，我方代表</w:t>
      </w:r>
      <w:r>
        <w:rPr>
          <w:rFonts w:hint="eastAsia" w:asciiTheme="minorEastAsia" w:hAnsiTheme="minorEastAsia" w:eastAsiaTheme="minorEastAsia" w:cstheme="minorEastAsia"/>
          <w:color w:val="auto"/>
          <w:spacing w:val="0"/>
          <w:position w:val="0"/>
          <w:sz w:val="28"/>
          <w:szCs w:val="28"/>
          <w:highlight w:val="none"/>
          <w:u w:val="single"/>
        </w:rPr>
        <w:t>（姓名、职务）</w:t>
      </w:r>
      <w:r>
        <w:rPr>
          <w:rFonts w:hint="eastAsia" w:asciiTheme="minorEastAsia" w:hAnsiTheme="minorEastAsia" w:eastAsiaTheme="minorEastAsia" w:cstheme="minorEastAsia"/>
          <w:color w:val="auto"/>
          <w:spacing w:val="0"/>
          <w:kern w:val="0"/>
          <w:position w:val="0"/>
          <w:sz w:val="28"/>
          <w:szCs w:val="28"/>
          <w:highlight w:val="none"/>
        </w:rPr>
        <w:t>经正式授权并代表供应商</w:t>
      </w:r>
      <w:r>
        <w:rPr>
          <w:rFonts w:hint="eastAsia" w:asciiTheme="minorEastAsia" w:hAnsiTheme="minorEastAsia" w:eastAsiaTheme="minorEastAsia" w:cstheme="minorEastAsia"/>
          <w:color w:val="auto"/>
          <w:spacing w:val="0"/>
          <w:position w:val="0"/>
          <w:sz w:val="28"/>
          <w:szCs w:val="28"/>
          <w:highlight w:val="none"/>
          <w:u w:val="single"/>
        </w:rPr>
        <w:t>（供应商名称、地址）</w:t>
      </w:r>
      <w:r>
        <w:rPr>
          <w:rFonts w:hint="eastAsia" w:asciiTheme="minorEastAsia" w:hAnsiTheme="minorEastAsia" w:eastAsiaTheme="minorEastAsia" w:cstheme="minorEastAsia"/>
          <w:color w:val="auto"/>
          <w:spacing w:val="0"/>
          <w:kern w:val="0"/>
          <w:position w:val="0"/>
          <w:sz w:val="28"/>
          <w:szCs w:val="28"/>
          <w:highlight w:val="none"/>
        </w:rPr>
        <w:t>提交在项目所属电子交易平台上传电子响应文件。</w:t>
      </w:r>
      <w:r>
        <w:rPr>
          <w:rFonts w:hint="eastAsia" w:asciiTheme="minorEastAsia" w:hAnsiTheme="minorEastAsia" w:eastAsiaTheme="minorEastAsia" w:cstheme="minorEastAsia"/>
          <w:color w:val="auto"/>
          <w:spacing w:val="0"/>
          <w:kern w:val="0"/>
          <w:position w:val="0"/>
          <w:sz w:val="28"/>
          <w:szCs w:val="28"/>
          <w:highlight w:val="none"/>
          <w:lang w:eastAsia="zh-CN"/>
        </w:rPr>
        <w:t>包含内容如下：</w:t>
      </w:r>
    </w:p>
    <w:p w14:paraId="74ACB397">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1．磋商报价表；</w:t>
      </w:r>
    </w:p>
    <w:p w14:paraId="1F653E8C">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2．磋商报价明细表；</w:t>
      </w:r>
    </w:p>
    <w:p w14:paraId="04B2C488">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3．所投服务清单；</w:t>
      </w:r>
    </w:p>
    <w:p w14:paraId="54EFCC8E">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4．按磋商文件供应商须知和技术规格要求提供的有关文件；</w:t>
      </w:r>
    </w:p>
    <w:p w14:paraId="4CF94532">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5．资格证明文件；</w:t>
      </w:r>
    </w:p>
    <w:p w14:paraId="16932AA7">
      <w:pPr>
        <w:pageBreakBefore w:val="0"/>
        <w:kinsoku/>
        <w:overflowPunct/>
        <w:topLinePunct w:val="0"/>
        <w:autoSpaceDE w:val="0"/>
        <w:autoSpaceDN w:val="0"/>
        <w:bidi w:val="0"/>
        <w:adjustRightInd w:val="0"/>
        <w:spacing w:line="288" w:lineRule="auto"/>
        <w:ind w:right="32"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6．按磋商文件的规定递交的磋商保证金。</w:t>
      </w:r>
    </w:p>
    <w:p w14:paraId="49DFFB86">
      <w:pPr>
        <w:pageBreakBefore w:val="0"/>
        <w:kinsoku/>
        <w:overflowPunct/>
        <w:topLinePunct w:val="0"/>
        <w:autoSpaceDE w:val="0"/>
        <w:autoSpaceDN w:val="0"/>
        <w:bidi w:val="0"/>
        <w:adjustRightInd w:val="0"/>
        <w:spacing w:line="288" w:lineRule="auto"/>
        <w:ind w:right="246"/>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在此，我方宣布同意如下：</w:t>
      </w:r>
    </w:p>
    <w:p w14:paraId="0A48F19F">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1．所附《磋商报价表》中规定的应提交和交付的</w:t>
      </w:r>
      <w:r>
        <w:rPr>
          <w:rFonts w:hint="eastAsia" w:asciiTheme="minorEastAsia" w:hAnsiTheme="minorEastAsia" w:eastAsiaTheme="minorEastAsia" w:cstheme="minorEastAsia"/>
          <w:color w:val="auto"/>
          <w:spacing w:val="0"/>
          <w:kern w:val="0"/>
          <w:position w:val="0"/>
          <w:sz w:val="28"/>
          <w:szCs w:val="28"/>
          <w:highlight w:val="none"/>
          <w:u w:val="single"/>
        </w:rPr>
        <w:t xml:space="preserve">  （包号） </w:t>
      </w:r>
      <w:r>
        <w:rPr>
          <w:rFonts w:hint="eastAsia" w:asciiTheme="minorEastAsia" w:hAnsiTheme="minorEastAsia" w:eastAsiaTheme="minorEastAsia" w:cstheme="minorEastAsia"/>
          <w:color w:val="auto"/>
          <w:spacing w:val="0"/>
          <w:kern w:val="0"/>
          <w:position w:val="0"/>
          <w:sz w:val="28"/>
          <w:szCs w:val="28"/>
          <w:highlight w:val="none"/>
        </w:rPr>
        <w:t>货物投标总价为</w:t>
      </w:r>
      <w:r>
        <w:rPr>
          <w:rFonts w:hint="eastAsia" w:asciiTheme="minorEastAsia" w:hAnsiTheme="minorEastAsia" w:eastAsiaTheme="minorEastAsia" w:cstheme="minorEastAsia"/>
          <w:color w:val="auto"/>
          <w:spacing w:val="0"/>
          <w:kern w:val="0"/>
          <w:position w:val="0"/>
          <w:sz w:val="28"/>
          <w:szCs w:val="28"/>
          <w:highlight w:val="none"/>
          <w:u w:val="single"/>
        </w:rPr>
        <w:t>（注明币种，并用文字和数字表示的投标总价）</w:t>
      </w:r>
      <w:r>
        <w:rPr>
          <w:rFonts w:hint="eastAsia" w:asciiTheme="minorEastAsia" w:hAnsiTheme="minorEastAsia" w:eastAsiaTheme="minorEastAsia" w:cstheme="minorEastAsia"/>
          <w:color w:val="auto"/>
          <w:spacing w:val="0"/>
          <w:kern w:val="0"/>
          <w:position w:val="0"/>
          <w:sz w:val="28"/>
          <w:szCs w:val="28"/>
          <w:highlight w:val="none"/>
        </w:rPr>
        <w:t>。</w:t>
      </w:r>
    </w:p>
    <w:p w14:paraId="0DDBA1F2">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2．将按磋商文件的约定履行合同责任和义务。</w:t>
      </w:r>
    </w:p>
    <w:p w14:paraId="41869CD5">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3．已详细审查全部磋商文件，包括</w:t>
      </w:r>
      <w:r>
        <w:rPr>
          <w:rFonts w:hint="eastAsia" w:asciiTheme="minorEastAsia" w:hAnsiTheme="minorEastAsia" w:eastAsiaTheme="minorEastAsia" w:cstheme="minorEastAsia"/>
          <w:color w:val="auto"/>
          <w:spacing w:val="0"/>
          <w:kern w:val="0"/>
          <w:position w:val="0"/>
          <w:sz w:val="28"/>
          <w:szCs w:val="28"/>
          <w:highlight w:val="none"/>
          <w:u w:val="single"/>
        </w:rPr>
        <w:t>（修正或补充文件）</w:t>
      </w:r>
      <w:r>
        <w:rPr>
          <w:rFonts w:hint="eastAsia" w:asciiTheme="minorEastAsia" w:hAnsiTheme="minorEastAsia" w:eastAsiaTheme="minorEastAsia" w:cstheme="minorEastAsia"/>
          <w:color w:val="auto"/>
          <w:spacing w:val="0"/>
          <w:kern w:val="0"/>
          <w:position w:val="0"/>
          <w:sz w:val="28"/>
          <w:szCs w:val="28"/>
          <w:highlight w:val="none"/>
        </w:rPr>
        <w:t>（如有），对此无异议。</w:t>
      </w:r>
    </w:p>
    <w:p w14:paraId="6D884745">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4．本投标有效期为自开标日起，共</w:t>
      </w:r>
      <w:r>
        <w:rPr>
          <w:rFonts w:hint="eastAsia" w:asciiTheme="minorEastAsia" w:hAnsiTheme="minorEastAsia" w:eastAsiaTheme="minorEastAsia" w:cstheme="minorEastAsia"/>
          <w:color w:val="auto"/>
          <w:spacing w:val="0"/>
          <w:kern w:val="0"/>
          <w:position w:val="0"/>
          <w:sz w:val="28"/>
          <w:szCs w:val="28"/>
          <w:highlight w:val="none"/>
          <w:u w:val="single"/>
          <w:lang w:val="en-US" w:eastAsia="zh-CN"/>
        </w:rPr>
        <w:t xml:space="preserve">   </w:t>
      </w:r>
      <w:r>
        <w:rPr>
          <w:rFonts w:hint="eastAsia" w:asciiTheme="minorEastAsia" w:hAnsiTheme="minorEastAsia" w:eastAsiaTheme="minorEastAsia" w:cstheme="minorEastAsia"/>
          <w:color w:val="auto"/>
          <w:spacing w:val="0"/>
          <w:kern w:val="0"/>
          <w:position w:val="0"/>
          <w:sz w:val="28"/>
          <w:szCs w:val="28"/>
          <w:highlight w:val="none"/>
        </w:rPr>
        <w:t>个日历日。</w:t>
      </w:r>
    </w:p>
    <w:p w14:paraId="33302EBC">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5．接受磋商文件所列须知中关于没收</w:t>
      </w:r>
      <w:r>
        <w:rPr>
          <w:rFonts w:hint="eastAsia" w:asciiTheme="minorEastAsia" w:hAnsiTheme="minorEastAsia" w:eastAsiaTheme="minorEastAsia" w:cstheme="minorEastAsia"/>
          <w:color w:val="auto"/>
          <w:spacing w:val="0"/>
          <w:kern w:val="0"/>
          <w:position w:val="0"/>
          <w:sz w:val="28"/>
          <w:szCs w:val="28"/>
          <w:highlight w:val="none"/>
          <w:lang w:eastAsia="zh-CN"/>
        </w:rPr>
        <w:t>磋商保证金</w:t>
      </w:r>
      <w:r>
        <w:rPr>
          <w:rFonts w:hint="eastAsia" w:asciiTheme="minorEastAsia" w:hAnsiTheme="minorEastAsia" w:eastAsiaTheme="minorEastAsia" w:cstheme="minorEastAsia"/>
          <w:color w:val="auto"/>
          <w:spacing w:val="0"/>
          <w:kern w:val="0"/>
          <w:position w:val="0"/>
          <w:sz w:val="28"/>
          <w:szCs w:val="28"/>
          <w:highlight w:val="none"/>
        </w:rPr>
        <w:t>的约定。</w:t>
      </w:r>
    </w:p>
    <w:p w14:paraId="407CFD7F">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6．同意提供按照贵方可能要求的与其投标有关的一切数据或资料。</w:t>
      </w:r>
    </w:p>
    <w:p w14:paraId="556C15D9">
      <w:pPr>
        <w:pageBreakBefore w:val="0"/>
        <w:kinsoku/>
        <w:overflowPunct/>
        <w:topLinePunct w:val="0"/>
        <w:autoSpaceDE w:val="0"/>
        <w:autoSpaceDN w:val="0"/>
        <w:bidi w:val="0"/>
        <w:adjustRightInd w:val="0"/>
        <w:spacing w:line="288" w:lineRule="auto"/>
        <w:ind w:right="246" w:firstLine="560" w:firstLineChars="20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7.与本投标有关的一切正式往来信函请寄：。</w:t>
      </w:r>
    </w:p>
    <w:p w14:paraId="502E1745">
      <w:pPr>
        <w:pageBreakBefore w:val="0"/>
        <w:kinsoku/>
        <w:overflowPunct/>
        <w:topLinePunct w:val="0"/>
        <w:bidi w:val="0"/>
        <w:adjustRightInd w:val="0"/>
        <w:snapToGrid w:val="0"/>
        <w:spacing w:line="400" w:lineRule="exact"/>
        <w:ind w:firstLine="560" w:firstLineChars="20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8.其他：</w:t>
      </w:r>
    </w:p>
    <w:p w14:paraId="4B4A6CE5">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 xml:space="preserve">供应商名称(公章)： </w:t>
      </w:r>
    </w:p>
    <w:p w14:paraId="3CA50FE9">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法定代表人签章：</w:t>
      </w:r>
    </w:p>
    <w:p w14:paraId="35D72287">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地    址：</w:t>
      </w:r>
    </w:p>
    <w:p w14:paraId="3AD1435D">
      <w:pPr>
        <w:pageBreakBefore w:val="0"/>
        <w:kinsoku/>
        <w:overflowPunct/>
        <w:topLinePunct w:val="0"/>
        <w:autoSpaceDE w:val="0"/>
        <w:autoSpaceDN w:val="0"/>
        <w:bidi w:val="0"/>
        <w:adjustRightInd w:val="0"/>
        <w:spacing w:line="400" w:lineRule="exact"/>
        <w:ind w:right="33" w:firstLine="420" w:firstLineChars="1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电    话：</w:t>
      </w:r>
    </w:p>
    <w:p w14:paraId="2D373D8D">
      <w:pPr>
        <w:pageBreakBefore w:val="0"/>
        <w:kinsoku/>
        <w:overflowPunct/>
        <w:topLinePunct w:val="0"/>
        <w:autoSpaceDE w:val="0"/>
        <w:autoSpaceDN w:val="0"/>
        <w:bidi w:val="0"/>
        <w:adjustRightInd w:val="0"/>
        <w:spacing w:line="400" w:lineRule="exact"/>
        <w:ind w:right="246" w:firstLine="420" w:firstLineChars="150"/>
        <w:jc w:val="left"/>
        <w:rPr>
          <w:rFonts w:hint="eastAsia" w:asciiTheme="minorEastAsia" w:hAnsiTheme="minorEastAsia" w:eastAsiaTheme="minorEastAsia" w:cstheme="minorEastAsia"/>
          <w:color w:val="auto"/>
          <w:spacing w:val="0"/>
          <w:kern w:val="0"/>
          <w:position w:val="0"/>
          <w:sz w:val="28"/>
          <w:szCs w:val="28"/>
          <w:highlight w:val="none"/>
        </w:rPr>
      </w:pPr>
      <w:r>
        <w:rPr>
          <w:rFonts w:hint="eastAsia" w:asciiTheme="minorEastAsia" w:hAnsiTheme="minorEastAsia" w:eastAsiaTheme="minorEastAsia" w:cstheme="minorEastAsia"/>
          <w:color w:val="auto"/>
          <w:spacing w:val="0"/>
          <w:kern w:val="0"/>
          <w:position w:val="0"/>
          <w:sz w:val="28"/>
          <w:szCs w:val="28"/>
          <w:highlight w:val="none"/>
        </w:rPr>
        <w:t>电子函件：</w:t>
      </w:r>
    </w:p>
    <w:p w14:paraId="26A36BB0">
      <w:pPr>
        <w:pageBreakBefore w:val="0"/>
        <w:kinsoku/>
        <w:overflowPunct/>
        <w:topLinePunct w:val="0"/>
        <w:bidi w:val="0"/>
        <w:adjustRightInd w:val="0"/>
        <w:snapToGrid w:val="0"/>
        <w:spacing w:line="400" w:lineRule="exact"/>
        <w:ind w:firstLine="420" w:firstLineChars="150"/>
        <w:jc w:val="lef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w:t>
      </w:r>
    </w:p>
    <w:p w14:paraId="593140CF">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rPr>
        <w:br w:type="page"/>
      </w:r>
    </w:p>
    <w:p w14:paraId="6AC4F64C">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bookmarkStart w:id="339" w:name="_Toc28516"/>
      <w:bookmarkStart w:id="340" w:name="_Toc485895992"/>
      <w:bookmarkStart w:id="341" w:name="_Toc13846"/>
      <w:r>
        <w:rPr>
          <w:rFonts w:hint="eastAsia" w:asciiTheme="minorEastAsia" w:hAnsiTheme="minorEastAsia" w:eastAsiaTheme="minorEastAsia" w:cstheme="minorEastAsia"/>
          <w:color w:val="auto"/>
          <w:spacing w:val="0"/>
          <w:position w:val="0"/>
          <w:highlight w:val="none"/>
          <w:lang w:val="en-US" w:eastAsia="zh-CN"/>
        </w:rPr>
        <w:t>2、法定授权人委托书</w:t>
      </w:r>
      <w:bookmarkEnd w:id="339"/>
    </w:p>
    <w:p w14:paraId="66C39973">
      <w:pPr>
        <w:pageBreakBefore w:val="0"/>
        <w:kinsoku/>
        <w:overflowPunct/>
        <w:topLinePunct w:val="0"/>
        <w:bidi w:val="0"/>
        <w:adjustRightInd w:val="0"/>
        <w:snapToGrid w:val="0"/>
        <w:spacing w:line="360" w:lineRule="auto"/>
        <w:ind w:left="562" w:hanging="560" w:hangingChars="200"/>
        <w:rPr>
          <w:rFonts w:hint="eastAsia" w:asciiTheme="minorEastAsia" w:hAnsiTheme="minorEastAsia" w:eastAsiaTheme="minorEastAsia" w:cstheme="minorEastAsia"/>
          <w:color w:val="auto"/>
          <w:spacing w:val="0"/>
          <w:position w:val="0"/>
          <w:sz w:val="28"/>
          <w:szCs w:val="28"/>
          <w:highlight w:val="none"/>
          <w:lang w:val="en-US" w:eastAsia="zh-CN"/>
        </w:rPr>
      </w:pPr>
    </w:p>
    <w:p w14:paraId="698ACB00">
      <w:pPr>
        <w:pStyle w:val="19"/>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32"/>
          <w:highlight w:val="none"/>
        </w:rPr>
      </w:pPr>
      <w:r>
        <w:rPr>
          <w:rFonts w:hint="eastAsia" w:asciiTheme="minorEastAsia" w:hAnsiTheme="minorEastAsia" w:eastAsiaTheme="minorEastAsia" w:cstheme="minorEastAsia"/>
          <w:color w:val="auto"/>
          <w:spacing w:val="0"/>
          <w:position w:val="0"/>
          <w:sz w:val="28"/>
          <w:szCs w:val="28"/>
          <w:highlight w:val="none"/>
        </w:rPr>
        <w:t xml:space="preserve">本授权书声明：注册于 </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住址）的</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名称）的在下面电子签章的</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（法定代表人姓名、职务）代表本公司授权</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（授权代理人的姓名、职务）为本公司的合法代理人，就贵方组织</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（项目名称）项目（项目编号、包号：</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），以本公司名义处理一切与之有关的事宜。</w:t>
      </w:r>
      <w:r>
        <w:rPr>
          <w:rFonts w:hint="eastAsia" w:asciiTheme="minorEastAsia" w:hAnsiTheme="minorEastAsia" w:eastAsiaTheme="minorEastAsia" w:cstheme="minorEastAsia"/>
          <w:color w:val="auto"/>
          <w:spacing w:val="0"/>
          <w:position w:val="0"/>
          <w:sz w:val="28"/>
          <w:szCs w:val="32"/>
          <w:highlight w:val="none"/>
          <w:lang w:eastAsia="zh-CN"/>
        </w:rPr>
        <w:t>供应商</w:t>
      </w:r>
      <w:r>
        <w:rPr>
          <w:rFonts w:hint="eastAsia" w:asciiTheme="minorEastAsia" w:hAnsiTheme="minorEastAsia" w:eastAsiaTheme="minorEastAsia" w:cstheme="minorEastAsia"/>
          <w:color w:val="auto"/>
          <w:spacing w:val="0"/>
          <w:position w:val="0"/>
          <w:sz w:val="28"/>
          <w:szCs w:val="32"/>
          <w:highlight w:val="none"/>
        </w:rPr>
        <w:t>授权代理人在投标过程中所签署的一切文件和处理与之有关的一切事务，本公司均予以认可并对此承担责任。</w:t>
      </w:r>
    </w:p>
    <w:p w14:paraId="48275F47">
      <w:pPr>
        <w:pStyle w:val="19"/>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32"/>
          <w:highlight w:val="none"/>
          <w:lang w:eastAsia="zh-CN"/>
        </w:rPr>
        <w:t>供应商</w:t>
      </w:r>
      <w:r>
        <w:rPr>
          <w:rFonts w:hint="eastAsia" w:asciiTheme="minorEastAsia" w:hAnsiTheme="minorEastAsia" w:eastAsiaTheme="minorEastAsia" w:cstheme="minorEastAsia"/>
          <w:color w:val="auto"/>
          <w:spacing w:val="0"/>
          <w:position w:val="0"/>
          <w:sz w:val="28"/>
          <w:szCs w:val="32"/>
          <w:highlight w:val="none"/>
        </w:rPr>
        <w:t>授权代理人无转委托权。特此授权。</w:t>
      </w:r>
      <w:r>
        <w:rPr>
          <w:rFonts w:hint="eastAsia" w:asciiTheme="minorEastAsia" w:hAnsiTheme="minorEastAsia" w:eastAsiaTheme="minorEastAsia" w:cstheme="minorEastAsia"/>
          <w:color w:val="auto"/>
          <w:spacing w:val="0"/>
          <w:position w:val="0"/>
          <w:sz w:val="28"/>
          <w:szCs w:val="28"/>
          <w:highlight w:val="none"/>
        </w:rPr>
        <w:cr/>
      </w:r>
      <w:r>
        <w:rPr>
          <w:rFonts w:hint="eastAsia" w:asciiTheme="minorEastAsia" w:hAnsiTheme="minorEastAsia" w:eastAsiaTheme="minorEastAsia" w:cstheme="minorEastAsia"/>
          <w:color w:val="auto"/>
          <w:spacing w:val="0"/>
          <w:position w:val="0"/>
          <w:sz w:val="28"/>
          <w:szCs w:val="28"/>
          <w:highlight w:val="none"/>
        </w:rPr>
        <w:t>　　</w:t>
      </w:r>
    </w:p>
    <w:p w14:paraId="5F2689FF">
      <w:pPr>
        <w:pStyle w:val="19"/>
        <w:pageBreakBefore w:val="0"/>
        <w:tabs>
          <w:tab w:val="left" w:pos="5580"/>
        </w:tabs>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本授权书于__________年_____月______日生效，特此声明。</w:t>
      </w:r>
      <w:r>
        <w:rPr>
          <w:rFonts w:hint="eastAsia" w:asciiTheme="minorEastAsia" w:hAnsiTheme="minorEastAsia" w:eastAsiaTheme="minorEastAsia" w:cstheme="minorEastAsia"/>
          <w:color w:val="auto"/>
          <w:spacing w:val="0"/>
          <w:position w:val="0"/>
          <w:sz w:val="28"/>
          <w:szCs w:val="28"/>
          <w:highlight w:val="none"/>
        </w:rPr>
        <w:cr/>
      </w:r>
    </w:p>
    <w:p w14:paraId="3FC2F915">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36146ECB">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62CA2567">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76002BB8">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8"/>
          <w:szCs w:val="28"/>
          <w:highlight w:val="none"/>
        </w:rPr>
        <w:t xml:space="preserve">                         （附授权代理人身份证正反两面扫描件）</w:t>
      </w:r>
    </w:p>
    <w:p w14:paraId="71B16E6C">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0AB5EFB7">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7FAB0D0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r>
        <w:rPr>
          <w:rFonts w:hint="eastAsia" w:asciiTheme="minorEastAsia" w:hAnsiTheme="minorEastAsia" w:eastAsiaTheme="minorEastAsia" w:cstheme="minorEastAsia"/>
          <w:color w:val="auto"/>
          <w:spacing w:val="0"/>
          <w:position w:val="0"/>
          <w:sz w:val="28"/>
          <w:szCs w:val="24"/>
          <w:highlight w:val="none"/>
          <w:lang w:eastAsia="zh-CN"/>
        </w:rPr>
        <w:t>供应商</w:t>
      </w:r>
      <w:r>
        <w:rPr>
          <w:rFonts w:hint="eastAsia" w:asciiTheme="minorEastAsia" w:hAnsiTheme="minorEastAsia" w:eastAsiaTheme="minorEastAsia" w:cstheme="minorEastAsia"/>
          <w:color w:val="auto"/>
          <w:spacing w:val="0"/>
          <w:position w:val="0"/>
          <w:sz w:val="28"/>
          <w:szCs w:val="24"/>
          <w:highlight w:val="none"/>
        </w:rPr>
        <w:t>法定代表人电子签章：</w:t>
      </w:r>
    </w:p>
    <w:p w14:paraId="3AE28E6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p>
    <w:p w14:paraId="12AAD69D">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r>
        <w:rPr>
          <w:rFonts w:hint="eastAsia" w:asciiTheme="minorEastAsia" w:hAnsiTheme="minorEastAsia" w:eastAsiaTheme="minorEastAsia" w:cstheme="minorEastAsia"/>
          <w:color w:val="auto"/>
          <w:spacing w:val="0"/>
          <w:position w:val="0"/>
          <w:sz w:val="28"/>
          <w:szCs w:val="24"/>
          <w:highlight w:val="none"/>
          <w:lang w:eastAsia="zh-CN"/>
        </w:rPr>
        <w:t>供应商</w:t>
      </w:r>
      <w:r>
        <w:rPr>
          <w:rFonts w:hint="eastAsia" w:asciiTheme="minorEastAsia" w:hAnsiTheme="minorEastAsia" w:eastAsiaTheme="minorEastAsia" w:cstheme="minorEastAsia"/>
          <w:color w:val="auto"/>
          <w:spacing w:val="0"/>
          <w:position w:val="0"/>
          <w:sz w:val="28"/>
          <w:szCs w:val="24"/>
          <w:highlight w:val="none"/>
        </w:rPr>
        <w:t>电子公章：</w:t>
      </w:r>
    </w:p>
    <w:p w14:paraId="5A3D33A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p>
    <w:p w14:paraId="79760414">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4"/>
          <w:highlight w:val="none"/>
        </w:rPr>
      </w:pPr>
      <w:r>
        <w:rPr>
          <w:rFonts w:hint="eastAsia" w:asciiTheme="minorEastAsia" w:hAnsiTheme="minorEastAsia" w:eastAsiaTheme="minorEastAsia" w:cstheme="minorEastAsia"/>
          <w:color w:val="auto"/>
          <w:spacing w:val="0"/>
          <w:position w:val="0"/>
          <w:sz w:val="28"/>
          <w:szCs w:val="24"/>
          <w:highlight w:val="none"/>
        </w:rPr>
        <w:t>日   期：</w:t>
      </w:r>
      <w:r>
        <w:rPr>
          <w:rFonts w:hint="eastAsia" w:asciiTheme="minorEastAsia" w:hAnsiTheme="minorEastAsia" w:eastAsiaTheme="minorEastAsia" w:cstheme="minorEastAsia"/>
          <w:color w:val="auto"/>
          <w:spacing w:val="0"/>
          <w:position w:val="0"/>
          <w:sz w:val="28"/>
          <w:szCs w:val="24"/>
          <w:highlight w:val="none"/>
          <w:u w:val="single"/>
        </w:rPr>
        <w:t xml:space="preserve">         </w:t>
      </w:r>
      <w:r>
        <w:rPr>
          <w:rFonts w:hint="eastAsia" w:asciiTheme="minorEastAsia" w:hAnsiTheme="minorEastAsia" w:eastAsiaTheme="minorEastAsia" w:cstheme="minorEastAsia"/>
          <w:color w:val="auto"/>
          <w:spacing w:val="0"/>
          <w:position w:val="0"/>
          <w:sz w:val="28"/>
          <w:szCs w:val="24"/>
          <w:highlight w:val="none"/>
        </w:rPr>
        <w:t>年</w:t>
      </w:r>
      <w:r>
        <w:rPr>
          <w:rFonts w:hint="eastAsia" w:asciiTheme="minorEastAsia" w:hAnsiTheme="minorEastAsia" w:eastAsiaTheme="minorEastAsia" w:cstheme="minorEastAsia"/>
          <w:color w:val="auto"/>
          <w:spacing w:val="0"/>
          <w:position w:val="0"/>
          <w:sz w:val="28"/>
          <w:szCs w:val="24"/>
          <w:highlight w:val="none"/>
          <w:u w:val="single"/>
        </w:rPr>
        <w:t xml:space="preserve">     </w:t>
      </w:r>
      <w:r>
        <w:rPr>
          <w:rFonts w:hint="eastAsia" w:asciiTheme="minorEastAsia" w:hAnsiTheme="minorEastAsia" w:eastAsiaTheme="minorEastAsia" w:cstheme="minorEastAsia"/>
          <w:color w:val="auto"/>
          <w:spacing w:val="0"/>
          <w:position w:val="0"/>
          <w:sz w:val="28"/>
          <w:szCs w:val="24"/>
          <w:highlight w:val="none"/>
        </w:rPr>
        <w:t>月</w:t>
      </w:r>
      <w:r>
        <w:rPr>
          <w:rFonts w:hint="eastAsia" w:asciiTheme="minorEastAsia" w:hAnsiTheme="minorEastAsia" w:eastAsiaTheme="minorEastAsia" w:cstheme="minorEastAsia"/>
          <w:color w:val="auto"/>
          <w:spacing w:val="0"/>
          <w:position w:val="0"/>
          <w:sz w:val="28"/>
          <w:szCs w:val="24"/>
          <w:highlight w:val="none"/>
          <w:u w:val="single"/>
        </w:rPr>
        <w:t xml:space="preserve">     </w:t>
      </w:r>
      <w:r>
        <w:rPr>
          <w:rFonts w:hint="eastAsia" w:asciiTheme="minorEastAsia" w:hAnsiTheme="minorEastAsia" w:eastAsiaTheme="minorEastAsia" w:cstheme="minorEastAsia"/>
          <w:color w:val="auto"/>
          <w:spacing w:val="0"/>
          <w:position w:val="0"/>
          <w:sz w:val="28"/>
          <w:szCs w:val="24"/>
          <w:highlight w:val="none"/>
        </w:rPr>
        <w:t>日</w:t>
      </w:r>
    </w:p>
    <w:p w14:paraId="40AA95D5">
      <w:pPr>
        <w:pStyle w:val="19"/>
        <w:pageBreakBefore w:val="0"/>
        <w:kinsoku/>
        <w:overflowPunct/>
        <w:topLinePunct w:val="0"/>
        <w:bidi w:val="0"/>
        <w:snapToGrid w:val="0"/>
        <w:spacing w:line="360" w:lineRule="auto"/>
        <w:jc w:val="left"/>
        <w:rPr>
          <w:rFonts w:hint="eastAsia" w:asciiTheme="minorEastAsia" w:hAnsiTheme="minorEastAsia" w:eastAsiaTheme="minorEastAsia" w:cstheme="minorEastAsia"/>
          <w:b/>
          <w:color w:val="auto"/>
          <w:spacing w:val="0"/>
          <w:position w:val="0"/>
          <w:sz w:val="24"/>
          <w:szCs w:val="24"/>
          <w:highlight w:val="none"/>
        </w:rPr>
      </w:pPr>
    </w:p>
    <w:p w14:paraId="2033ABB5">
      <w:pPr>
        <w:pStyle w:val="20"/>
        <w:pageBreakBefore w:val="0"/>
        <w:widowControl/>
        <w:kinsoku/>
        <w:overflowPunct/>
        <w:topLinePunct w:val="0"/>
        <w:bidi w:val="0"/>
        <w:spacing w:line="360" w:lineRule="auto"/>
        <w:ind w:left="0" w:leftChars="0"/>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b/>
          <w:color w:val="auto"/>
          <w:spacing w:val="0"/>
          <w:position w:val="0"/>
          <w:sz w:val="24"/>
          <w:highlight w:val="none"/>
        </w:rPr>
        <w:br w:type="page"/>
      </w:r>
      <w:r>
        <w:rPr>
          <w:rFonts w:hint="eastAsia" w:asciiTheme="minorEastAsia" w:hAnsiTheme="minorEastAsia" w:eastAsiaTheme="minorEastAsia" w:cstheme="minorEastAsia"/>
          <w:b/>
          <w:color w:val="auto"/>
          <w:spacing w:val="0"/>
          <w:position w:val="0"/>
          <w:sz w:val="28"/>
          <w:szCs w:val="28"/>
          <w:highlight w:val="none"/>
        </w:rPr>
        <w:t>附：法定代表人身份证明书</w:t>
      </w:r>
    </w:p>
    <w:p w14:paraId="19E7FBE2">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63F84B05">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单位名称：</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3CBACEB9">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单位类型：</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151410D3">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住    所：</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7E4B78AB">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成立日期：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月</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日</w:t>
      </w:r>
    </w:p>
    <w:p w14:paraId="01237DA8">
      <w:pPr>
        <w:pageBreakBefore w:val="0"/>
        <w:kinsoku/>
        <w:overflowPunct/>
        <w:topLinePunct w:val="0"/>
        <w:bidi w:val="0"/>
        <w:spacing w:line="360" w:lineRule="auto"/>
        <w:ind w:firstLine="465"/>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营业期限：</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1486319D">
      <w:pPr>
        <w:pageBreakBefore w:val="0"/>
        <w:kinsoku/>
        <w:overflowPunct/>
        <w:topLinePunct w:val="0"/>
        <w:bidi w:val="0"/>
        <w:spacing w:line="360" w:lineRule="auto"/>
        <w:ind w:firstLine="465"/>
        <w:rPr>
          <w:rFonts w:hint="eastAsia" w:asciiTheme="minorEastAsia" w:hAnsiTheme="minorEastAsia" w:eastAsiaTheme="minorEastAsia" w:cstheme="minorEastAsia"/>
          <w:color w:val="auto"/>
          <w:spacing w:val="0"/>
          <w:position w:val="0"/>
          <w:sz w:val="28"/>
          <w:szCs w:val="28"/>
          <w:highlight w:val="none"/>
        </w:rPr>
      </w:pPr>
    </w:p>
    <w:p w14:paraId="76B3A079">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姓    名：</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性别：</w:t>
      </w:r>
      <w:r>
        <w:rPr>
          <w:rFonts w:hint="eastAsia" w:asciiTheme="minorEastAsia" w:hAnsiTheme="minorEastAsia" w:eastAsiaTheme="minorEastAsia" w:cstheme="minorEastAsia"/>
          <w:color w:val="auto"/>
          <w:spacing w:val="0"/>
          <w:position w:val="0"/>
          <w:sz w:val="28"/>
          <w:szCs w:val="28"/>
          <w:highlight w:val="none"/>
          <w:u w:val="single"/>
        </w:rPr>
        <w:t xml:space="preserve">           </w:t>
      </w:r>
    </w:p>
    <w:p w14:paraId="2A1887F8">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系</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u w:val="single"/>
          <w:lang w:eastAsia="zh-CN"/>
        </w:rPr>
        <w:t>供应商</w:t>
      </w:r>
      <w:r>
        <w:rPr>
          <w:rFonts w:hint="eastAsia" w:asciiTheme="minorEastAsia" w:hAnsiTheme="minorEastAsia" w:eastAsiaTheme="minorEastAsia" w:cstheme="minorEastAsia"/>
          <w:color w:val="auto"/>
          <w:spacing w:val="0"/>
          <w:position w:val="0"/>
          <w:sz w:val="28"/>
          <w:szCs w:val="28"/>
          <w:highlight w:val="none"/>
          <w:u w:val="single"/>
        </w:rPr>
        <w:t xml:space="preserve">名称）   </w:t>
      </w:r>
      <w:r>
        <w:rPr>
          <w:rFonts w:hint="eastAsia" w:asciiTheme="minorEastAsia" w:hAnsiTheme="minorEastAsia" w:eastAsiaTheme="minorEastAsia" w:cstheme="minorEastAsia"/>
          <w:color w:val="auto"/>
          <w:spacing w:val="0"/>
          <w:position w:val="0"/>
          <w:sz w:val="28"/>
          <w:szCs w:val="28"/>
          <w:highlight w:val="none"/>
        </w:rPr>
        <w:t>的法定代表人。</w:t>
      </w:r>
    </w:p>
    <w:p w14:paraId="65590063">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p>
    <w:p w14:paraId="4C2ABC98">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特此证明。</w:t>
      </w:r>
    </w:p>
    <w:p w14:paraId="25D56563">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p>
    <w:p w14:paraId="3A822178">
      <w:pPr>
        <w:pStyle w:val="19"/>
        <w:pageBreakBefore w:val="0"/>
        <w:tabs>
          <w:tab w:val="left" w:pos="5580"/>
        </w:tabs>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（附法定代表人身份证正反两面扫描件）</w:t>
      </w:r>
    </w:p>
    <w:p w14:paraId="161F7D02">
      <w:pPr>
        <w:pageBreakBefore w:val="0"/>
        <w:kinsoku/>
        <w:overflowPunct/>
        <w:topLinePunct w:val="0"/>
        <w:bidi w:val="0"/>
        <w:spacing w:line="360" w:lineRule="auto"/>
        <w:ind w:firstLine="480"/>
        <w:rPr>
          <w:rFonts w:hint="eastAsia" w:asciiTheme="minorEastAsia" w:hAnsiTheme="minorEastAsia" w:eastAsiaTheme="minorEastAsia" w:cstheme="minorEastAsia"/>
          <w:color w:val="auto"/>
          <w:spacing w:val="0"/>
          <w:position w:val="0"/>
          <w:sz w:val="28"/>
          <w:szCs w:val="28"/>
          <w:highlight w:val="none"/>
        </w:rPr>
      </w:pPr>
    </w:p>
    <w:p w14:paraId="634CE78F">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5576F3D0">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电子公章：</w:t>
      </w:r>
    </w:p>
    <w:p w14:paraId="6D0B4F0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p>
    <w:p w14:paraId="585AA578">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日   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月</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日</w:t>
      </w:r>
    </w:p>
    <w:p w14:paraId="324D77C2">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769F6287">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lang w:val="en-US" w:eastAsia="zh-CN"/>
        </w:rPr>
        <w:sectPr>
          <w:headerReference r:id="rId5" w:type="default"/>
          <w:footerReference r:id="rId6" w:type="default"/>
          <w:pgSz w:w="11906" w:h="16838"/>
          <w:pgMar w:top="1440" w:right="1797" w:bottom="1440" w:left="1797" w:header="851" w:footer="992" w:gutter="0"/>
          <w:pgNumType w:fmt="decimal"/>
          <w:cols w:space="425" w:num="1"/>
          <w:docGrid w:linePitch="312" w:charSpace="0"/>
        </w:sectPr>
      </w:pPr>
      <w:r>
        <w:rPr>
          <w:rFonts w:hint="eastAsia" w:asciiTheme="minorEastAsia" w:hAnsiTheme="minorEastAsia" w:eastAsiaTheme="minorEastAsia" w:cstheme="minorEastAsia"/>
          <w:color w:val="auto"/>
          <w:spacing w:val="0"/>
          <w:position w:val="0"/>
          <w:sz w:val="28"/>
          <w:szCs w:val="28"/>
          <w:highlight w:val="none"/>
        </w:rPr>
        <w:t>注：1、本项目只允许有唯一的</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授权代理人，且必须为</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在职员工。2、</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法定代表人参加投标的，可以不提供法定代表人授权委托书，但必须提供上述法定代表人身份证明书，否则将按无效投标处理。</w:t>
      </w:r>
    </w:p>
    <w:p w14:paraId="17143E07">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p>
    <w:p w14:paraId="523CE78C">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342" w:name="_Toc29928"/>
      <w:r>
        <w:rPr>
          <w:rFonts w:hint="eastAsia" w:asciiTheme="minorEastAsia" w:hAnsiTheme="minorEastAsia" w:eastAsiaTheme="minorEastAsia" w:cstheme="minorEastAsia"/>
          <w:color w:val="auto"/>
          <w:spacing w:val="0"/>
          <w:position w:val="0"/>
          <w:highlight w:val="none"/>
          <w:lang w:val="en-US" w:eastAsia="zh-CN"/>
        </w:rPr>
        <w:t>3、开标一览</w:t>
      </w:r>
      <w:r>
        <w:rPr>
          <w:rFonts w:hint="eastAsia" w:asciiTheme="minorEastAsia" w:hAnsiTheme="minorEastAsia" w:eastAsiaTheme="minorEastAsia" w:cstheme="minorEastAsia"/>
          <w:color w:val="auto"/>
          <w:spacing w:val="0"/>
          <w:position w:val="0"/>
          <w:highlight w:val="none"/>
        </w:rPr>
        <w:t>表</w:t>
      </w:r>
      <w:bookmarkEnd w:id="340"/>
      <w:bookmarkEnd w:id="341"/>
      <w:bookmarkEnd w:id="342"/>
    </w:p>
    <w:p w14:paraId="2BE617B8">
      <w:pPr>
        <w:pStyle w:val="16"/>
        <w:pageBreakBefore w:val="0"/>
        <w:kinsoku/>
        <w:overflowPunct/>
        <w:topLinePunct w:val="0"/>
        <w:bidi w:val="0"/>
        <w:spacing w:line="360" w:lineRule="auto"/>
        <w:ind w:left="0" w:leftChars="0" w:firstLine="0" w:firstLineChars="0"/>
        <w:rPr>
          <w:rFonts w:hint="eastAsia" w:asciiTheme="minorEastAsia" w:hAnsiTheme="minorEastAsia" w:eastAsiaTheme="minorEastAsia" w:cstheme="minorEastAsia"/>
          <w:color w:val="auto"/>
          <w:spacing w:val="0"/>
          <w:position w:val="0"/>
          <w:sz w:val="28"/>
          <w:szCs w:val="28"/>
          <w:highlight w:val="none"/>
        </w:rPr>
      </w:pPr>
      <w:bookmarkStart w:id="343" w:name="_Toc485895993"/>
      <w:r>
        <w:rPr>
          <w:rFonts w:hint="eastAsia" w:asciiTheme="minorEastAsia" w:hAnsiTheme="minorEastAsia" w:eastAsiaTheme="minorEastAsia" w:cstheme="minorEastAsia"/>
          <w:color w:val="auto"/>
          <w:spacing w:val="0"/>
          <w:position w:val="0"/>
          <w:sz w:val="28"/>
          <w:szCs w:val="28"/>
          <w:highlight w:val="none"/>
        </w:rPr>
        <w:t>项目编号、包号：</w:t>
      </w:r>
      <w:r>
        <w:rPr>
          <w:rFonts w:hint="eastAsia" w:asciiTheme="minorEastAsia" w:hAnsiTheme="minorEastAsia" w:eastAsiaTheme="minorEastAsia" w:cstheme="minorEastAsia"/>
          <w:color w:val="auto"/>
          <w:spacing w:val="0"/>
          <w:position w:val="0"/>
          <w:sz w:val="28"/>
          <w:szCs w:val="28"/>
          <w:highlight w:val="none"/>
          <w:u w:val="single"/>
        </w:rPr>
        <w:t xml:space="preserve">                     </w:t>
      </w:r>
    </w:p>
    <w:tbl>
      <w:tblPr>
        <w:tblStyle w:val="34"/>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105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2410" w:type="dxa"/>
            <w:tcBorders>
              <w:bottom w:val="single" w:color="auto" w:sz="4" w:space="0"/>
            </w:tcBorders>
            <w:vAlign w:val="center"/>
          </w:tcPr>
          <w:p w14:paraId="4DD489CD">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项目名称</w:t>
            </w:r>
          </w:p>
        </w:tc>
        <w:tc>
          <w:tcPr>
            <w:tcW w:w="6770" w:type="dxa"/>
            <w:tcBorders>
              <w:bottom w:val="single" w:color="auto" w:sz="4" w:space="0"/>
            </w:tcBorders>
            <w:vAlign w:val="center"/>
          </w:tcPr>
          <w:p w14:paraId="526CFEA1">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bCs/>
                <w:color w:val="auto"/>
                <w:spacing w:val="0"/>
                <w:position w:val="0"/>
                <w:sz w:val="28"/>
                <w:szCs w:val="28"/>
                <w:highlight w:val="none"/>
              </w:rPr>
            </w:pPr>
          </w:p>
        </w:tc>
      </w:tr>
      <w:tr w14:paraId="5592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0" w:hRule="atLeast"/>
          <w:jc w:val="center"/>
        </w:trPr>
        <w:tc>
          <w:tcPr>
            <w:tcW w:w="2410" w:type="dxa"/>
            <w:vAlign w:val="center"/>
          </w:tcPr>
          <w:p w14:paraId="4CFC3AB0">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投 标 报 价</w:t>
            </w:r>
          </w:p>
        </w:tc>
        <w:tc>
          <w:tcPr>
            <w:tcW w:w="6770" w:type="dxa"/>
            <w:vAlign w:val="top"/>
          </w:tcPr>
          <w:p w14:paraId="1F907966">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auto"/>
                <w:spacing w:val="0"/>
                <w:position w:val="0"/>
                <w:sz w:val="28"/>
                <w:szCs w:val="28"/>
                <w:highlight w:val="none"/>
              </w:rPr>
            </w:pPr>
          </w:p>
          <w:p w14:paraId="7DDA67FE">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小写：</w:t>
            </w:r>
            <w:r>
              <w:rPr>
                <w:rFonts w:hint="eastAsia" w:asciiTheme="minorEastAsia" w:hAnsiTheme="minorEastAsia" w:eastAsiaTheme="minorEastAsia" w:cstheme="minorEastAsia"/>
                <w:bCs/>
                <w:color w:val="auto"/>
                <w:spacing w:val="0"/>
                <w:position w:val="0"/>
                <w:sz w:val="28"/>
                <w:szCs w:val="28"/>
                <w:highlight w:val="none"/>
                <w:u w:val="single"/>
              </w:rPr>
              <w:t xml:space="preserve">                               </w:t>
            </w:r>
          </w:p>
          <w:p w14:paraId="1B6EF717">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bCs/>
                <w:color w:val="auto"/>
                <w:spacing w:val="0"/>
                <w:position w:val="0"/>
                <w:sz w:val="28"/>
                <w:szCs w:val="28"/>
                <w:highlight w:val="none"/>
              </w:rPr>
            </w:pPr>
          </w:p>
          <w:p w14:paraId="0AEC8742">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大写：</w:t>
            </w:r>
            <w:r>
              <w:rPr>
                <w:rFonts w:hint="eastAsia" w:asciiTheme="minorEastAsia" w:hAnsiTheme="minorEastAsia" w:eastAsiaTheme="minorEastAsia" w:cstheme="minorEastAsia"/>
                <w:bCs/>
                <w:color w:val="auto"/>
                <w:spacing w:val="0"/>
                <w:position w:val="0"/>
                <w:sz w:val="28"/>
                <w:szCs w:val="28"/>
                <w:highlight w:val="none"/>
                <w:u w:val="single"/>
              </w:rPr>
              <w:t xml:space="preserve">                               </w:t>
            </w:r>
          </w:p>
        </w:tc>
      </w:tr>
      <w:tr w14:paraId="14A3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2410" w:type="dxa"/>
            <w:vAlign w:val="center"/>
          </w:tcPr>
          <w:p w14:paraId="146C1E43">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bCs/>
                <w:color w:val="auto"/>
                <w:spacing w:val="0"/>
                <w:position w:val="0"/>
                <w:sz w:val="28"/>
                <w:szCs w:val="28"/>
                <w:highlight w:val="none"/>
                <w:lang w:eastAsia="zh-CN"/>
              </w:rPr>
              <w:t>服务期限</w:t>
            </w:r>
          </w:p>
        </w:tc>
        <w:tc>
          <w:tcPr>
            <w:tcW w:w="6770" w:type="dxa"/>
            <w:vAlign w:val="center"/>
          </w:tcPr>
          <w:p w14:paraId="086F8283">
            <w:pPr>
              <w:pageBreakBefore w:val="0"/>
              <w:tabs>
                <w:tab w:val="left" w:pos="1337"/>
              </w:tabs>
              <w:kinsoku/>
              <w:overflowPunct/>
              <w:topLinePunct w:val="0"/>
              <w:bidi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78CEE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6" w:hRule="atLeast"/>
          <w:jc w:val="center"/>
        </w:trPr>
        <w:tc>
          <w:tcPr>
            <w:tcW w:w="9180" w:type="dxa"/>
            <w:gridSpan w:val="2"/>
            <w:vAlign w:val="top"/>
          </w:tcPr>
          <w:p w14:paraId="39E7D2B2">
            <w:pPr>
              <w:pageBreakBefore w:val="0"/>
              <w:tabs>
                <w:tab w:val="left" w:pos="1337"/>
              </w:tabs>
              <w:kinsoku/>
              <w:overflowPunct/>
              <w:topLinePunct w:val="0"/>
              <w:bidi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bCs/>
                <w:color w:val="auto"/>
                <w:spacing w:val="0"/>
                <w:position w:val="0"/>
                <w:sz w:val="28"/>
                <w:szCs w:val="28"/>
                <w:highlight w:val="none"/>
              </w:rPr>
              <w:t>备注：</w:t>
            </w:r>
          </w:p>
        </w:tc>
      </w:tr>
    </w:tbl>
    <w:p w14:paraId="65BDB851">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说明：1、</w:t>
      </w: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严格按照规定的格式填写。投标报价为优惠后报价，并作为评审及定标的依据。</w:t>
      </w:r>
    </w:p>
    <w:p w14:paraId="6DFEEDE4">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      2、任何有选择或有条件的投标报价或表中某一包填写多个报价，均将导致投标被拒绝。</w:t>
      </w:r>
    </w:p>
    <w:p w14:paraId="3498BAF1">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p>
    <w:p w14:paraId="785A9DF2">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u w:val="single"/>
        </w:rPr>
      </w:pPr>
    </w:p>
    <w:p w14:paraId="163F8F4B">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lang w:eastAsia="zh-CN"/>
        </w:rPr>
        <w:t>供应商</w:t>
      </w:r>
      <w:r>
        <w:rPr>
          <w:rFonts w:hint="eastAsia" w:asciiTheme="minorEastAsia" w:hAnsiTheme="minorEastAsia" w:eastAsiaTheme="minorEastAsia" w:cstheme="minorEastAsia"/>
          <w:color w:val="auto"/>
          <w:spacing w:val="0"/>
          <w:position w:val="0"/>
          <w:sz w:val="28"/>
          <w:szCs w:val="28"/>
          <w:highlight w:val="none"/>
        </w:rPr>
        <w:t>电子公章：</w:t>
      </w:r>
    </w:p>
    <w:p w14:paraId="6775C4D0">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p>
    <w:p w14:paraId="735F2B11">
      <w:pPr>
        <w:pageBreakBefore w:val="0"/>
        <w:kinsoku/>
        <w:overflowPunct/>
        <w:topLinePunct w:val="0"/>
        <w:bidi w:val="0"/>
        <w:spacing w:line="360" w:lineRule="auto"/>
        <w:ind w:firstLine="560" w:firstLineChars="2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日   期：</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年</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月</w:t>
      </w:r>
      <w:r>
        <w:rPr>
          <w:rFonts w:hint="eastAsia" w:asciiTheme="minorEastAsia" w:hAnsiTheme="minorEastAsia" w:eastAsiaTheme="minorEastAsia" w:cstheme="minorEastAsia"/>
          <w:color w:val="auto"/>
          <w:spacing w:val="0"/>
          <w:position w:val="0"/>
          <w:sz w:val="28"/>
          <w:szCs w:val="28"/>
          <w:highlight w:val="none"/>
          <w:u w:val="single"/>
        </w:rPr>
        <w:t xml:space="preserve">       </w:t>
      </w:r>
      <w:r>
        <w:rPr>
          <w:rFonts w:hint="eastAsia" w:asciiTheme="minorEastAsia" w:hAnsiTheme="minorEastAsia" w:eastAsiaTheme="minorEastAsia" w:cstheme="minorEastAsia"/>
          <w:color w:val="auto"/>
          <w:spacing w:val="0"/>
          <w:position w:val="0"/>
          <w:sz w:val="28"/>
          <w:szCs w:val="28"/>
          <w:highlight w:val="none"/>
        </w:rPr>
        <w:t>日</w:t>
      </w:r>
    </w:p>
    <w:p w14:paraId="05E92F61">
      <w:pPr>
        <w:pageBreakBefore w:val="0"/>
        <w:kinsoku/>
        <w:overflowPunct/>
        <w:topLinePunct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p>
    <w:p w14:paraId="3DE9B8A6">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eastAsia="zh-CN"/>
        </w:rPr>
      </w:pPr>
      <w:r>
        <w:rPr>
          <w:rFonts w:hint="eastAsia" w:asciiTheme="minorEastAsia" w:hAnsiTheme="minorEastAsia" w:eastAsiaTheme="minorEastAsia" w:cstheme="minorEastAsia"/>
          <w:b w:val="0"/>
          <w:color w:val="auto"/>
          <w:spacing w:val="0"/>
          <w:position w:val="0"/>
          <w:sz w:val="28"/>
          <w:highlight w:val="none"/>
        </w:rPr>
        <w:br w:type="page"/>
      </w:r>
      <w:bookmarkStart w:id="344" w:name="_Toc12739"/>
      <w:bookmarkStart w:id="345" w:name="_Toc11120"/>
      <w:r>
        <w:rPr>
          <w:rFonts w:hint="eastAsia" w:asciiTheme="minorEastAsia" w:hAnsiTheme="minorEastAsia" w:eastAsiaTheme="minorEastAsia" w:cstheme="minorEastAsia"/>
          <w:color w:val="auto"/>
          <w:spacing w:val="0"/>
          <w:position w:val="0"/>
          <w:highlight w:val="none"/>
          <w:lang w:val="en-US" w:eastAsia="zh-CN"/>
        </w:rPr>
        <w:t>4、</w:t>
      </w:r>
      <w:r>
        <w:rPr>
          <w:rFonts w:hint="eastAsia" w:asciiTheme="minorEastAsia" w:hAnsiTheme="minorEastAsia" w:eastAsiaTheme="minorEastAsia" w:cstheme="minorEastAsia"/>
          <w:color w:val="auto"/>
          <w:spacing w:val="0"/>
          <w:position w:val="0"/>
          <w:highlight w:val="none"/>
        </w:rPr>
        <w:t>竞争性磋商报价明细表</w:t>
      </w:r>
      <w:bookmarkEnd w:id="343"/>
      <w:bookmarkEnd w:id="344"/>
      <w:bookmarkEnd w:id="345"/>
    </w:p>
    <w:p w14:paraId="08A22AFB">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采购项目编号：</w:t>
      </w:r>
    </w:p>
    <w:p w14:paraId="4E9149B7">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采购项目名称：</w:t>
      </w:r>
    </w:p>
    <w:tbl>
      <w:tblPr>
        <w:tblStyle w:val="34"/>
        <w:tblW w:w="1014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33"/>
        <w:gridCol w:w="1587"/>
        <w:gridCol w:w="2723"/>
        <w:gridCol w:w="1898"/>
        <w:gridCol w:w="1066"/>
        <w:gridCol w:w="1069"/>
        <w:gridCol w:w="1069"/>
      </w:tblGrid>
      <w:tr w14:paraId="17DC4DD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3" w:hRule="atLeast"/>
          <w:jc w:val="center"/>
        </w:trPr>
        <w:tc>
          <w:tcPr>
            <w:tcW w:w="733" w:type="dxa"/>
            <w:tcBorders>
              <w:top w:val="single" w:color="auto" w:sz="4" w:space="0"/>
              <w:left w:val="single" w:color="auto" w:sz="4" w:space="0"/>
              <w:bottom w:val="single" w:color="auto" w:sz="6" w:space="0"/>
              <w:right w:val="single" w:color="auto" w:sz="6" w:space="0"/>
            </w:tcBorders>
            <w:vAlign w:val="center"/>
          </w:tcPr>
          <w:p w14:paraId="6B7382E6">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序号</w:t>
            </w:r>
          </w:p>
        </w:tc>
        <w:tc>
          <w:tcPr>
            <w:tcW w:w="1587" w:type="dxa"/>
            <w:tcBorders>
              <w:top w:val="single" w:color="auto" w:sz="4" w:space="0"/>
              <w:left w:val="single" w:color="auto" w:sz="6" w:space="0"/>
              <w:bottom w:val="single" w:color="auto" w:sz="6" w:space="0"/>
              <w:right w:val="single" w:color="auto" w:sz="6" w:space="0"/>
            </w:tcBorders>
            <w:vAlign w:val="center"/>
          </w:tcPr>
          <w:p w14:paraId="0D592359">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rPr>
              <w:t>明细</w:t>
            </w:r>
            <w:r>
              <w:rPr>
                <w:rFonts w:hint="eastAsia" w:asciiTheme="minorEastAsia" w:hAnsiTheme="minorEastAsia" w:eastAsiaTheme="minorEastAsia" w:cstheme="minorEastAsia"/>
                <w:color w:val="auto"/>
                <w:spacing w:val="0"/>
                <w:position w:val="0"/>
                <w:sz w:val="28"/>
                <w:szCs w:val="28"/>
                <w:highlight w:val="none"/>
              </w:rPr>
              <w:t>名称</w:t>
            </w:r>
          </w:p>
        </w:tc>
        <w:tc>
          <w:tcPr>
            <w:tcW w:w="2723" w:type="dxa"/>
            <w:tcBorders>
              <w:top w:val="single" w:color="auto" w:sz="4" w:space="0"/>
              <w:left w:val="single" w:color="auto" w:sz="6" w:space="0"/>
              <w:bottom w:val="single" w:color="auto" w:sz="6" w:space="0"/>
              <w:right w:val="single" w:color="auto" w:sz="4" w:space="0"/>
            </w:tcBorders>
            <w:vAlign w:val="center"/>
          </w:tcPr>
          <w:p w14:paraId="3047D64B">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内容</w:t>
            </w:r>
          </w:p>
        </w:tc>
        <w:tc>
          <w:tcPr>
            <w:tcW w:w="1898" w:type="dxa"/>
            <w:tcBorders>
              <w:top w:val="single" w:color="auto" w:sz="4" w:space="0"/>
              <w:left w:val="single" w:color="auto" w:sz="4" w:space="0"/>
              <w:bottom w:val="single" w:color="auto" w:sz="6" w:space="0"/>
              <w:right w:val="single" w:color="auto" w:sz="4" w:space="0"/>
            </w:tcBorders>
            <w:vAlign w:val="center"/>
          </w:tcPr>
          <w:p w14:paraId="284D892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数量</w:t>
            </w:r>
          </w:p>
        </w:tc>
        <w:tc>
          <w:tcPr>
            <w:tcW w:w="1066" w:type="dxa"/>
            <w:tcBorders>
              <w:top w:val="single" w:color="auto" w:sz="4" w:space="0"/>
              <w:left w:val="single" w:color="auto" w:sz="4" w:space="0"/>
              <w:bottom w:val="single" w:color="auto" w:sz="6" w:space="0"/>
              <w:right w:val="single" w:color="auto" w:sz="4" w:space="0"/>
            </w:tcBorders>
            <w:vAlign w:val="center"/>
          </w:tcPr>
          <w:p w14:paraId="792BA6F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单价</w:t>
            </w:r>
          </w:p>
        </w:tc>
        <w:tc>
          <w:tcPr>
            <w:tcW w:w="1069" w:type="dxa"/>
            <w:tcBorders>
              <w:top w:val="single" w:color="auto" w:sz="4" w:space="0"/>
              <w:left w:val="single" w:color="auto" w:sz="4" w:space="0"/>
              <w:bottom w:val="single" w:color="auto" w:sz="6" w:space="0"/>
              <w:right w:val="single" w:color="auto" w:sz="4" w:space="0"/>
            </w:tcBorders>
            <w:vAlign w:val="center"/>
          </w:tcPr>
          <w:p w14:paraId="4FAB485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lang w:eastAsia="zh-CN"/>
              </w:rPr>
            </w:pPr>
            <w:r>
              <w:rPr>
                <w:rFonts w:hint="eastAsia" w:asciiTheme="minorEastAsia" w:hAnsiTheme="minorEastAsia" w:eastAsiaTheme="minorEastAsia" w:cstheme="minorEastAsia"/>
                <w:color w:val="auto"/>
                <w:spacing w:val="0"/>
                <w:position w:val="0"/>
                <w:sz w:val="28"/>
                <w:szCs w:val="28"/>
                <w:highlight w:val="none"/>
                <w:lang w:eastAsia="zh-CN"/>
              </w:rPr>
              <w:t>总价</w:t>
            </w:r>
          </w:p>
        </w:tc>
        <w:tc>
          <w:tcPr>
            <w:tcW w:w="1069" w:type="dxa"/>
            <w:tcBorders>
              <w:top w:val="single" w:color="auto" w:sz="4" w:space="0"/>
              <w:left w:val="single" w:color="auto" w:sz="4" w:space="0"/>
              <w:bottom w:val="single" w:color="auto" w:sz="6" w:space="0"/>
              <w:right w:val="single" w:color="auto" w:sz="4" w:space="0"/>
            </w:tcBorders>
            <w:vAlign w:val="center"/>
          </w:tcPr>
          <w:p w14:paraId="37B3712E">
            <w:pPr>
              <w:pageBreakBefore w:val="0"/>
              <w:kinsoku/>
              <w:overflowPunct/>
              <w:topLinePunct w:val="0"/>
              <w:bidi w:val="0"/>
              <w:adjustRightInd w:val="0"/>
              <w:snapToGrid w:val="0"/>
              <w:spacing w:line="240" w:lineRule="auto"/>
              <w:jc w:val="center"/>
              <w:rPr>
                <w:rFonts w:hint="default"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其他</w:t>
            </w:r>
          </w:p>
        </w:tc>
      </w:tr>
      <w:tr w14:paraId="0BE744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4B24AC9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1</w:t>
            </w:r>
          </w:p>
        </w:tc>
        <w:tc>
          <w:tcPr>
            <w:tcW w:w="1587" w:type="dxa"/>
            <w:tcBorders>
              <w:top w:val="single" w:color="auto" w:sz="6" w:space="0"/>
              <w:left w:val="single" w:color="auto" w:sz="6" w:space="0"/>
              <w:bottom w:val="single" w:color="auto" w:sz="6" w:space="0"/>
              <w:right w:val="single" w:color="auto" w:sz="6" w:space="0"/>
            </w:tcBorders>
            <w:vAlign w:val="center"/>
          </w:tcPr>
          <w:p w14:paraId="553E93B7">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700693B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2599C01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1927791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03DD4AC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54DE8D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3C9B44E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7BF13185">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w:t>
            </w:r>
          </w:p>
        </w:tc>
        <w:tc>
          <w:tcPr>
            <w:tcW w:w="1587" w:type="dxa"/>
            <w:tcBorders>
              <w:top w:val="single" w:color="auto" w:sz="6" w:space="0"/>
              <w:left w:val="single" w:color="auto" w:sz="6" w:space="0"/>
              <w:bottom w:val="single" w:color="auto" w:sz="6" w:space="0"/>
              <w:right w:val="single" w:color="auto" w:sz="6" w:space="0"/>
            </w:tcBorders>
            <w:vAlign w:val="center"/>
          </w:tcPr>
          <w:p w14:paraId="6F491C91">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5193DDAA">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41718F5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19486C1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1913B0F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428EA0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1236E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34"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0A40214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3</w:t>
            </w:r>
          </w:p>
        </w:tc>
        <w:tc>
          <w:tcPr>
            <w:tcW w:w="1587" w:type="dxa"/>
            <w:tcBorders>
              <w:top w:val="single" w:color="auto" w:sz="6" w:space="0"/>
              <w:left w:val="single" w:color="auto" w:sz="6" w:space="0"/>
              <w:bottom w:val="single" w:color="auto" w:sz="6" w:space="0"/>
              <w:right w:val="single" w:color="auto" w:sz="6" w:space="0"/>
            </w:tcBorders>
            <w:vAlign w:val="center"/>
          </w:tcPr>
          <w:p w14:paraId="5DE49EA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C54A8C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7AF6AD5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64C2503B">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5A0273C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74E36B1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7044B4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2ECF0DC9">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4</w:t>
            </w:r>
          </w:p>
        </w:tc>
        <w:tc>
          <w:tcPr>
            <w:tcW w:w="1587" w:type="dxa"/>
            <w:tcBorders>
              <w:top w:val="single" w:color="auto" w:sz="6" w:space="0"/>
              <w:left w:val="single" w:color="auto" w:sz="6" w:space="0"/>
              <w:bottom w:val="single" w:color="auto" w:sz="6" w:space="0"/>
              <w:right w:val="single" w:color="auto" w:sz="6" w:space="0"/>
            </w:tcBorders>
            <w:vAlign w:val="center"/>
          </w:tcPr>
          <w:p w14:paraId="7B62C2F0">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2F4B65C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503D4F83">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6846408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08C341C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5EBCBFF">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20277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61690C73">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5</w:t>
            </w:r>
          </w:p>
        </w:tc>
        <w:tc>
          <w:tcPr>
            <w:tcW w:w="1587" w:type="dxa"/>
            <w:tcBorders>
              <w:top w:val="single" w:color="auto" w:sz="6" w:space="0"/>
              <w:left w:val="single" w:color="auto" w:sz="6" w:space="0"/>
              <w:bottom w:val="single" w:color="auto" w:sz="6" w:space="0"/>
              <w:right w:val="single" w:color="auto" w:sz="6" w:space="0"/>
            </w:tcBorders>
            <w:vAlign w:val="center"/>
          </w:tcPr>
          <w:p w14:paraId="15BEF642">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5DEB8B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622ECC1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3B375E5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4A17C8AF">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665FC481">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E46BF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152DF5A6">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6</w:t>
            </w:r>
          </w:p>
        </w:tc>
        <w:tc>
          <w:tcPr>
            <w:tcW w:w="1587" w:type="dxa"/>
            <w:tcBorders>
              <w:top w:val="single" w:color="auto" w:sz="6" w:space="0"/>
              <w:left w:val="single" w:color="auto" w:sz="6" w:space="0"/>
              <w:bottom w:val="single" w:color="auto" w:sz="6" w:space="0"/>
              <w:right w:val="single" w:color="auto" w:sz="6" w:space="0"/>
            </w:tcBorders>
            <w:vAlign w:val="center"/>
          </w:tcPr>
          <w:p w14:paraId="0E554FC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B1EBCC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705E04E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2382965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25C364A">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BBFE78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2E12FDF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13F8171C">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7</w:t>
            </w:r>
          </w:p>
        </w:tc>
        <w:tc>
          <w:tcPr>
            <w:tcW w:w="1587" w:type="dxa"/>
            <w:tcBorders>
              <w:top w:val="single" w:color="auto" w:sz="6" w:space="0"/>
              <w:left w:val="single" w:color="auto" w:sz="6" w:space="0"/>
              <w:bottom w:val="single" w:color="auto" w:sz="6" w:space="0"/>
              <w:right w:val="single" w:color="auto" w:sz="6" w:space="0"/>
            </w:tcBorders>
            <w:vAlign w:val="center"/>
          </w:tcPr>
          <w:p w14:paraId="5E8DD8DB">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097E39F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739D103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23BF9820">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0C89E31D">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2DBB2E2">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059CDBA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5FA73628">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8</w:t>
            </w:r>
          </w:p>
        </w:tc>
        <w:tc>
          <w:tcPr>
            <w:tcW w:w="1587" w:type="dxa"/>
            <w:tcBorders>
              <w:top w:val="single" w:color="auto" w:sz="6" w:space="0"/>
              <w:left w:val="single" w:color="auto" w:sz="6" w:space="0"/>
              <w:bottom w:val="single" w:color="auto" w:sz="6" w:space="0"/>
              <w:right w:val="single" w:color="auto" w:sz="6" w:space="0"/>
            </w:tcBorders>
            <w:vAlign w:val="center"/>
          </w:tcPr>
          <w:p w14:paraId="55664F77">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56CB3F0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17D9890B">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34BC8E7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A78DD4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2C1B0452">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6E37DF0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2"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0AF1259E">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9</w:t>
            </w:r>
          </w:p>
        </w:tc>
        <w:tc>
          <w:tcPr>
            <w:tcW w:w="1587" w:type="dxa"/>
            <w:tcBorders>
              <w:top w:val="single" w:color="auto" w:sz="6" w:space="0"/>
              <w:left w:val="single" w:color="auto" w:sz="6" w:space="0"/>
              <w:bottom w:val="single" w:color="auto" w:sz="6" w:space="0"/>
              <w:right w:val="single" w:color="auto" w:sz="6" w:space="0"/>
            </w:tcBorders>
            <w:vAlign w:val="center"/>
          </w:tcPr>
          <w:p w14:paraId="5DA1339A">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position w:val="0"/>
                <w:sz w:val="24"/>
                <w:szCs w:val="24"/>
                <w:highlight w:val="none"/>
              </w:rPr>
            </w:pPr>
          </w:p>
        </w:tc>
        <w:tc>
          <w:tcPr>
            <w:tcW w:w="2723" w:type="dxa"/>
            <w:tcBorders>
              <w:top w:val="single" w:color="auto" w:sz="6" w:space="0"/>
              <w:left w:val="single" w:color="auto" w:sz="6" w:space="0"/>
              <w:bottom w:val="single" w:color="auto" w:sz="6" w:space="0"/>
              <w:right w:val="single" w:color="auto" w:sz="4" w:space="0"/>
            </w:tcBorders>
            <w:vAlign w:val="center"/>
          </w:tcPr>
          <w:p w14:paraId="71D04B93">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15EA8869">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75963C8E">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3CBD8AF6">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78C7726C">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1D3F5B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33" w:type="dxa"/>
            <w:tcBorders>
              <w:top w:val="single" w:color="auto" w:sz="6" w:space="0"/>
              <w:left w:val="single" w:color="auto" w:sz="4" w:space="0"/>
              <w:bottom w:val="single" w:color="auto" w:sz="6" w:space="0"/>
              <w:right w:val="single" w:color="auto" w:sz="6" w:space="0"/>
            </w:tcBorders>
            <w:vAlign w:val="center"/>
          </w:tcPr>
          <w:p w14:paraId="0493C24F">
            <w:pPr>
              <w:pageBreakBefore w:val="0"/>
              <w:kinsoku/>
              <w:overflowPunct/>
              <w:topLinePunct w:val="0"/>
              <w:bidi w:val="0"/>
              <w:adjustRightInd w:val="0"/>
              <w:snapToGrid w:val="0"/>
              <w:spacing w:line="240" w:lineRule="auto"/>
              <w:ind w:left="-88" w:leftChars="-42"/>
              <w:jc w:val="center"/>
              <w:rPr>
                <w:rFonts w:hint="eastAsia" w:asciiTheme="minorEastAsia" w:hAnsiTheme="minorEastAsia" w:eastAsiaTheme="minorEastAsia" w:cstheme="minorEastAsia"/>
                <w:color w:val="auto"/>
                <w:spacing w:val="0"/>
                <w:kern w:val="2"/>
                <w:position w:val="0"/>
                <w:sz w:val="28"/>
                <w:szCs w:val="28"/>
                <w:highlight w:val="none"/>
                <w:lang w:val="en-US" w:eastAsia="zh-CN" w:bidi="ar-SA"/>
              </w:rPr>
            </w:pPr>
            <w:r>
              <w:rPr>
                <w:rFonts w:hint="eastAsia" w:asciiTheme="minorEastAsia" w:hAnsiTheme="minorEastAsia" w:eastAsiaTheme="minorEastAsia" w:cstheme="minorEastAsia"/>
                <w:color w:val="auto"/>
                <w:spacing w:val="0"/>
                <w:position w:val="0"/>
                <w:sz w:val="28"/>
                <w:szCs w:val="28"/>
                <w:highlight w:val="none"/>
              </w:rPr>
              <w:t>…</w:t>
            </w:r>
          </w:p>
        </w:tc>
        <w:tc>
          <w:tcPr>
            <w:tcW w:w="1587" w:type="dxa"/>
            <w:tcBorders>
              <w:top w:val="single" w:color="auto" w:sz="6" w:space="0"/>
              <w:left w:val="single" w:color="auto" w:sz="6" w:space="0"/>
              <w:bottom w:val="single" w:color="auto" w:sz="6" w:space="0"/>
              <w:right w:val="single" w:color="auto" w:sz="6" w:space="0"/>
            </w:tcBorders>
            <w:vAlign w:val="center"/>
          </w:tcPr>
          <w:p w14:paraId="1412AA39">
            <w:pPr>
              <w:pageBreakBefore w:val="0"/>
              <w:kinsoku/>
              <w:overflowPunct/>
              <w:topLinePunct w:val="0"/>
              <w:bidi w:val="0"/>
              <w:adjustRightInd w:val="0"/>
              <w:snapToGrid w:val="0"/>
              <w:spacing w:line="240" w:lineRule="auto"/>
              <w:ind w:left="-88" w:leftChars="-42" w:firstLine="700" w:firstLineChars="250"/>
              <w:rPr>
                <w:rFonts w:hint="eastAsia" w:asciiTheme="minorEastAsia" w:hAnsiTheme="minorEastAsia" w:eastAsiaTheme="minorEastAsia" w:cstheme="minorEastAsia"/>
                <w:color w:val="auto"/>
                <w:spacing w:val="0"/>
                <w:kern w:val="2"/>
                <w:position w:val="0"/>
                <w:sz w:val="28"/>
                <w:szCs w:val="28"/>
                <w:highlight w:val="none"/>
                <w:lang w:val="en-US" w:eastAsia="zh-CN" w:bidi="ar-SA"/>
              </w:rPr>
            </w:pPr>
            <w:r>
              <w:rPr>
                <w:rFonts w:hint="eastAsia" w:asciiTheme="minorEastAsia" w:hAnsiTheme="minorEastAsia" w:eastAsiaTheme="minorEastAsia" w:cstheme="minorEastAsia"/>
                <w:color w:val="auto"/>
                <w:spacing w:val="0"/>
                <w:position w:val="0"/>
                <w:sz w:val="28"/>
                <w:szCs w:val="28"/>
                <w:highlight w:val="none"/>
              </w:rPr>
              <w:t>…</w:t>
            </w:r>
          </w:p>
        </w:tc>
        <w:tc>
          <w:tcPr>
            <w:tcW w:w="2723" w:type="dxa"/>
            <w:tcBorders>
              <w:top w:val="single" w:color="auto" w:sz="6" w:space="0"/>
              <w:left w:val="single" w:color="auto" w:sz="6" w:space="0"/>
              <w:bottom w:val="single" w:color="auto" w:sz="6" w:space="0"/>
              <w:right w:val="single" w:color="auto" w:sz="4" w:space="0"/>
            </w:tcBorders>
            <w:vAlign w:val="center"/>
          </w:tcPr>
          <w:p w14:paraId="1E124B1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898" w:type="dxa"/>
            <w:tcBorders>
              <w:top w:val="single" w:color="auto" w:sz="6" w:space="0"/>
              <w:left w:val="single" w:color="auto" w:sz="4" w:space="0"/>
              <w:bottom w:val="single" w:color="auto" w:sz="6" w:space="0"/>
              <w:right w:val="single" w:color="auto" w:sz="4" w:space="0"/>
            </w:tcBorders>
            <w:vAlign w:val="center"/>
          </w:tcPr>
          <w:p w14:paraId="626EB6E3">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6" w:type="dxa"/>
            <w:tcBorders>
              <w:top w:val="single" w:color="auto" w:sz="6" w:space="0"/>
              <w:left w:val="single" w:color="auto" w:sz="4" w:space="0"/>
              <w:bottom w:val="single" w:color="auto" w:sz="6" w:space="0"/>
              <w:right w:val="single" w:color="auto" w:sz="4" w:space="0"/>
            </w:tcBorders>
            <w:vAlign w:val="center"/>
          </w:tcPr>
          <w:p w14:paraId="36222937">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5044A244">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c>
          <w:tcPr>
            <w:tcW w:w="1069" w:type="dxa"/>
            <w:tcBorders>
              <w:top w:val="single" w:color="auto" w:sz="6" w:space="0"/>
              <w:left w:val="single" w:color="auto" w:sz="4" w:space="0"/>
              <w:bottom w:val="single" w:color="auto" w:sz="6" w:space="0"/>
              <w:right w:val="single" w:color="auto" w:sz="4" w:space="0"/>
            </w:tcBorders>
            <w:vAlign w:val="center"/>
          </w:tcPr>
          <w:p w14:paraId="7E485938">
            <w:pPr>
              <w:pageBreakBefore w:val="0"/>
              <w:kinsoku/>
              <w:overflowPunct/>
              <w:topLinePunct w:val="0"/>
              <w:bidi w:val="0"/>
              <w:adjustRightInd w:val="0"/>
              <w:snapToGrid w:val="0"/>
              <w:spacing w:line="240" w:lineRule="auto"/>
              <w:jc w:val="center"/>
              <w:rPr>
                <w:rFonts w:hint="eastAsia" w:asciiTheme="minorEastAsia" w:hAnsiTheme="minorEastAsia" w:eastAsiaTheme="minorEastAsia" w:cstheme="minorEastAsia"/>
                <w:color w:val="auto"/>
                <w:spacing w:val="0"/>
                <w:position w:val="0"/>
                <w:sz w:val="28"/>
                <w:szCs w:val="28"/>
                <w:highlight w:val="none"/>
              </w:rPr>
            </w:pPr>
          </w:p>
        </w:tc>
      </w:tr>
      <w:tr w14:paraId="1C16718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6941" w:type="dxa"/>
            <w:gridSpan w:val="4"/>
            <w:tcBorders>
              <w:top w:val="single" w:color="auto" w:sz="6" w:space="0"/>
              <w:left w:val="single" w:color="auto" w:sz="4" w:space="0"/>
              <w:bottom w:val="single" w:color="auto" w:sz="4" w:space="0"/>
              <w:right w:val="single" w:color="auto" w:sz="6" w:space="0"/>
            </w:tcBorders>
            <w:vAlign w:val="center"/>
          </w:tcPr>
          <w:p w14:paraId="19F7B83B">
            <w:pPr>
              <w:pageBreakBefore w:val="0"/>
              <w:kinsoku/>
              <w:overflowPunct/>
              <w:topLinePunct w:val="0"/>
              <w:bidi w:val="0"/>
              <w:adjustRightInd w:val="0"/>
              <w:snapToGrid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 xml:space="preserve">总 计：                                                                                 </w:t>
            </w:r>
          </w:p>
        </w:tc>
        <w:tc>
          <w:tcPr>
            <w:tcW w:w="2135" w:type="dxa"/>
            <w:gridSpan w:val="2"/>
            <w:tcBorders>
              <w:top w:val="single" w:color="auto" w:sz="6" w:space="0"/>
              <w:left w:val="single" w:color="auto" w:sz="6" w:space="0"/>
              <w:bottom w:val="single" w:color="auto" w:sz="4" w:space="0"/>
              <w:right w:val="single" w:color="auto" w:sz="4" w:space="0"/>
            </w:tcBorders>
            <w:vAlign w:val="center"/>
          </w:tcPr>
          <w:p w14:paraId="45CD38EA">
            <w:pPr>
              <w:pageBreakBefore w:val="0"/>
              <w:kinsoku/>
              <w:overflowPunct/>
              <w:topLinePunct w:val="0"/>
              <w:bidi w:val="0"/>
              <w:adjustRightInd w:val="0"/>
              <w:snapToGrid w:val="0"/>
              <w:spacing w:line="24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w:t>
            </w:r>
          </w:p>
        </w:tc>
        <w:tc>
          <w:tcPr>
            <w:tcW w:w="1069" w:type="dxa"/>
            <w:tcBorders>
              <w:top w:val="single" w:color="auto" w:sz="6" w:space="0"/>
              <w:left w:val="single" w:color="auto" w:sz="6" w:space="0"/>
              <w:bottom w:val="single" w:color="auto" w:sz="4" w:space="0"/>
              <w:right w:val="single" w:color="auto" w:sz="4" w:space="0"/>
            </w:tcBorders>
            <w:vAlign w:val="center"/>
          </w:tcPr>
          <w:p w14:paraId="197FE57E">
            <w:pPr>
              <w:pageBreakBefore w:val="0"/>
              <w:kinsoku/>
              <w:overflowPunct/>
              <w:topLinePunct w:val="0"/>
              <w:bidi w:val="0"/>
              <w:adjustRightInd w:val="0"/>
              <w:snapToGrid w:val="0"/>
              <w:spacing w:line="240" w:lineRule="auto"/>
              <w:rPr>
                <w:rFonts w:hint="eastAsia" w:asciiTheme="minorEastAsia" w:hAnsiTheme="minorEastAsia" w:eastAsiaTheme="minorEastAsia" w:cstheme="minorEastAsia"/>
                <w:color w:val="auto"/>
                <w:spacing w:val="0"/>
                <w:position w:val="0"/>
                <w:sz w:val="28"/>
                <w:szCs w:val="28"/>
                <w:highlight w:val="none"/>
              </w:rPr>
            </w:pPr>
          </w:p>
        </w:tc>
      </w:tr>
    </w:tbl>
    <w:p w14:paraId="68E57533">
      <w:pPr>
        <w:pageBreakBefore w:val="0"/>
        <w:kinsoku/>
        <w:overflowPunct/>
        <w:topLinePunct w:val="0"/>
        <w:bidi w:val="0"/>
        <w:adjustRightInd w:val="0"/>
        <w:snapToGrid w:val="0"/>
        <w:spacing w:line="500" w:lineRule="exact"/>
        <w:ind w:left="-88" w:leftChars="-42"/>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说明：1．所有价格均用人民币表示，单位为元。</w:t>
      </w:r>
    </w:p>
    <w:p w14:paraId="30EF7D55">
      <w:pPr>
        <w:pageBreakBefore w:val="0"/>
        <w:kinsoku/>
        <w:overflowPunct/>
        <w:topLinePunct w:val="0"/>
        <w:bidi w:val="0"/>
        <w:adjustRightInd w:val="0"/>
        <w:snapToGrid w:val="0"/>
        <w:spacing w:line="500" w:lineRule="exact"/>
        <w:ind w:left="-88" w:leftChars="-42" w:firstLine="840" w:firstLineChars="3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 分项报价总计价格必须与《</w:t>
      </w:r>
      <w:r>
        <w:rPr>
          <w:rFonts w:hint="eastAsia" w:asciiTheme="minorEastAsia" w:hAnsiTheme="minorEastAsia" w:eastAsiaTheme="minorEastAsia" w:cstheme="minorEastAsia"/>
          <w:color w:val="auto"/>
          <w:spacing w:val="0"/>
          <w:position w:val="0"/>
          <w:sz w:val="28"/>
          <w:szCs w:val="28"/>
          <w:highlight w:val="none"/>
          <w:lang w:val="en-US" w:eastAsia="zh-CN"/>
        </w:rPr>
        <w:t>开标一览</w:t>
      </w:r>
      <w:r>
        <w:rPr>
          <w:rFonts w:hint="eastAsia" w:asciiTheme="minorEastAsia" w:hAnsiTheme="minorEastAsia" w:eastAsiaTheme="minorEastAsia" w:cstheme="minorEastAsia"/>
          <w:color w:val="auto"/>
          <w:spacing w:val="0"/>
          <w:position w:val="0"/>
          <w:sz w:val="28"/>
          <w:szCs w:val="28"/>
          <w:highlight w:val="none"/>
        </w:rPr>
        <w:t>表》报价一致。</w:t>
      </w:r>
    </w:p>
    <w:p w14:paraId="004F5DF6">
      <w:pPr>
        <w:pageBreakBefore w:val="0"/>
        <w:kinsoku/>
        <w:overflowPunct/>
        <w:topLinePunct w:val="0"/>
        <w:bidi w:val="0"/>
        <w:adjustRightInd w:val="0"/>
        <w:snapToGrid w:val="0"/>
        <w:spacing w:line="500" w:lineRule="exact"/>
        <w:ind w:left="1079" w:leftChars="358" w:hanging="327" w:hangingChars="117"/>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3. 如果不提供详细的投标分项报价表将被视为没有实质性响应磋商文件。</w:t>
      </w:r>
    </w:p>
    <w:p w14:paraId="4463E13F">
      <w:pPr>
        <w:pageBreakBefore w:val="0"/>
        <w:kinsoku/>
        <w:overflowPunct/>
        <w:topLinePunct w:val="0"/>
        <w:bidi w:val="0"/>
        <w:adjustRightInd w:val="0"/>
        <w:snapToGrid w:val="0"/>
        <w:spacing w:line="500" w:lineRule="exact"/>
        <w:ind w:left="1079" w:leftChars="358" w:hanging="327" w:hangingChars="117"/>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4．供应商必须按此表格式中的对应栏目内容填写，若需增加栏目，请在栏目“其它”中填写，并作详细说明。</w:t>
      </w:r>
    </w:p>
    <w:p w14:paraId="6F7EB9BC">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7458CF9C">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430FC2F6">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供应商法定代表人（签章）：</w:t>
      </w:r>
    </w:p>
    <w:p w14:paraId="1E5B96E4">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供应商名称（签章）：</w:t>
      </w:r>
    </w:p>
    <w:p w14:paraId="4C065DA9">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日期：年 月 日</w:t>
      </w:r>
    </w:p>
    <w:p w14:paraId="6D5A6534">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034EF7F9">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346" w:name="_Toc485895995"/>
      <w:bookmarkStart w:id="347" w:name="_Toc21095"/>
      <w:bookmarkStart w:id="348" w:name="_Toc27689"/>
      <w:r>
        <w:rPr>
          <w:rFonts w:hint="eastAsia" w:asciiTheme="minorEastAsia" w:hAnsiTheme="minorEastAsia" w:eastAsiaTheme="minorEastAsia" w:cstheme="minorEastAsia"/>
          <w:color w:val="auto"/>
          <w:spacing w:val="0"/>
          <w:position w:val="0"/>
          <w:highlight w:val="none"/>
          <w:lang w:val="en-US" w:eastAsia="zh-CN"/>
        </w:rPr>
        <w:t>5、</w:t>
      </w:r>
      <w:r>
        <w:rPr>
          <w:rFonts w:hint="eastAsia" w:asciiTheme="minorEastAsia" w:hAnsiTheme="minorEastAsia" w:eastAsiaTheme="minorEastAsia" w:cstheme="minorEastAsia"/>
          <w:color w:val="auto"/>
          <w:spacing w:val="0"/>
          <w:position w:val="0"/>
          <w:highlight w:val="none"/>
        </w:rPr>
        <w:t>商务响应、偏离说明表</w:t>
      </w:r>
      <w:bookmarkEnd w:id="346"/>
      <w:bookmarkEnd w:id="347"/>
      <w:bookmarkEnd w:id="348"/>
    </w:p>
    <w:p w14:paraId="4E8AD092">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采购项目编号：</w:t>
      </w:r>
    </w:p>
    <w:p w14:paraId="6F78C402">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采购项目名称：</w:t>
      </w:r>
    </w:p>
    <w:tbl>
      <w:tblPr>
        <w:tblStyle w:val="34"/>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2712"/>
        <w:gridCol w:w="2589"/>
        <w:gridCol w:w="2702"/>
      </w:tblGrid>
      <w:tr w14:paraId="5165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trPr>
        <w:tc>
          <w:tcPr>
            <w:tcW w:w="525" w:type="dxa"/>
            <w:tcBorders>
              <w:top w:val="single" w:color="auto" w:sz="4" w:space="0"/>
              <w:left w:val="single" w:color="auto" w:sz="4" w:space="0"/>
              <w:bottom w:val="single" w:color="auto" w:sz="4" w:space="0"/>
              <w:right w:val="single" w:color="auto" w:sz="4" w:space="0"/>
            </w:tcBorders>
            <w:vAlign w:val="center"/>
          </w:tcPr>
          <w:p w14:paraId="5ED78FA4">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5D452FE7">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磋商文件要求部分</w:t>
            </w:r>
          </w:p>
        </w:tc>
        <w:tc>
          <w:tcPr>
            <w:tcW w:w="2589" w:type="dxa"/>
            <w:tcBorders>
              <w:top w:val="single" w:color="auto" w:sz="4" w:space="0"/>
              <w:left w:val="single" w:color="auto" w:sz="4" w:space="0"/>
              <w:bottom w:val="single" w:color="auto" w:sz="4" w:space="0"/>
              <w:right w:val="single" w:color="auto" w:sz="4" w:space="0"/>
            </w:tcBorders>
            <w:vAlign w:val="center"/>
          </w:tcPr>
          <w:p w14:paraId="0B9BFA42">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投标服务</w:t>
            </w:r>
          </w:p>
          <w:p w14:paraId="268D4640">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响应部分</w:t>
            </w:r>
          </w:p>
        </w:tc>
        <w:tc>
          <w:tcPr>
            <w:tcW w:w="2702" w:type="dxa"/>
            <w:tcBorders>
              <w:top w:val="single" w:color="auto" w:sz="4" w:space="0"/>
              <w:left w:val="single" w:color="auto" w:sz="4" w:space="0"/>
              <w:bottom w:val="single" w:color="auto" w:sz="4" w:space="0"/>
              <w:right w:val="single" w:color="auto" w:sz="4" w:space="0"/>
            </w:tcBorders>
            <w:vAlign w:val="center"/>
          </w:tcPr>
          <w:p w14:paraId="1B424B6B">
            <w:pPr>
              <w:pageBreakBefore w:val="0"/>
              <w:kinsoku/>
              <w:overflowPunct/>
              <w:topLinePunct w:val="0"/>
              <w:bidi w:val="0"/>
              <w:spacing w:line="500" w:lineRule="exact"/>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偏离说明</w:t>
            </w:r>
          </w:p>
        </w:tc>
      </w:tr>
      <w:tr w14:paraId="65E6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F522B0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1</w:t>
            </w:r>
          </w:p>
        </w:tc>
        <w:tc>
          <w:tcPr>
            <w:tcW w:w="2712" w:type="dxa"/>
            <w:tcBorders>
              <w:top w:val="single" w:color="auto" w:sz="4" w:space="0"/>
              <w:left w:val="single" w:color="auto" w:sz="4" w:space="0"/>
              <w:bottom w:val="single" w:color="auto" w:sz="4" w:space="0"/>
              <w:right w:val="single" w:color="auto" w:sz="4" w:space="0"/>
            </w:tcBorders>
            <w:vAlign w:val="center"/>
          </w:tcPr>
          <w:p w14:paraId="7CCAC79A">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D418049">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032777D">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1F51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223F07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w:t>
            </w:r>
          </w:p>
        </w:tc>
        <w:tc>
          <w:tcPr>
            <w:tcW w:w="2712" w:type="dxa"/>
            <w:tcBorders>
              <w:top w:val="single" w:color="auto" w:sz="4" w:space="0"/>
              <w:left w:val="single" w:color="auto" w:sz="4" w:space="0"/>
              <w:bottom w:val="single" w:color="auto" w:sz="4" w:space="0"/>
              <w:right w:val="single" w:color="auto" w:sz="4" w:space="0"/>
            </w:tcBorders>
            <w:vAlign w:val="center"/>
          </w:tcPr>
          <w:p w14:paraId="2454C662">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D394471">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223665E">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11E3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4C47241F">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3</w:t>
            </w:r>
          </w:p>
        </w:tc>
        <w:tc>
          <w:tcPr>
            <w:tcW w:w="2712" w:type="dxa"/>
            <w:tcBorders>
              <w:top w:val="single" w:color="auto" w:sz="4" w:space="0"/>
              <w:left w:val="single" w:color="auto" w:sz="4" w:space="0"/>
              <w:bottom w:val="single" w:color="auto" w:sz="4" w:space="0"/>
              <w:right w:val="single" w:color="auto" w:sz="4" w:space="0"/>
            </w:tcBorders>
            <w:vAlign w:val="center"/>
          </w:tcPr>
          <w:p w14:paraId="7EE2880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D2690E8">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7A1390FD">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6B84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71922A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4</w:t>
            </w:r>
          </w:p>
        </w:tc>
        <w:tc>
          <w:tcPr>
            <w:tcW w:w="2712" w:type="dxa"/>
            <w:tcBorders>
              <w:top w:val="single" w:color="auto" w:sz="4" w:space="0"/>
              <w:left w:val="single" w:color="auto" w:sz="4" w:space="0"/>
              <w:bottom w:val="single" w:color="auto" w:sz="4" w:space="0"/>
              <w:right w:val="single" w:color="auto" w:sz="4" w:space="0"/>
            </w:tcBorders>
            <w:vAlign w:val="center"/>
          </w:tcPr>
          <w:p w14:paraId="0DD62562">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876C0D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5155FAEC">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5919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9FA947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5</w:t>
            </w:r>
          </w:p>
        </w:tc>
        <w:tc>
          <w:tcPr>
            <w:tcW w:w="2712" w:type="dxa"/>
            <w:tcBorders>
              <w:top w:val="single" w:color="auto" w:sz="4" w:space="0"/>
              <w:left w:val="single" w:color="auto" w:sz="4" w:space="0"/>
              <w:bottom w:val="single" w:color="auto" w:sz="4" w:space="0"/>
              <w:right w:val="single" w:color="auto" w:sz="4" w:space="0"/>
            </w:tcBorders>
            <w:vAlign w:val="center"/>
          </w:tcPr>
          <w:p w14:paraId="381D3D88">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2BFE205">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08EF84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4E800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98B6EF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6</w:t>
            </w:r>
          </w:p>
        </w:tc>
        <w:tc>
          <w:tcPr>
            <w:tcW w:w="2712" w:type="dxa"/>
            <w:tcBorders>
              <w:top w:val="single" w:color="auto" w:sz="4" w:space="0"/>
              <w:left w:val="single" w:color="auto" w:sz="4" w:space="0"/>
              <w:bottom w:val="single" w:color="auto" w:sz="4" w:space="0"/>
              <w:right w:val="single" w:color="auto" w:sz="4" w:space="0"/>
            </w:tcBorders>
            <w:vAlign w:val="center"/>
          </w:tcPr>
          <w:p w14:paraId="2C795F0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036A415D">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0D5C3259">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02016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0C819F68">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7</w:t>
            </w:r>
          </w:p>
        </w:tc>
        <w:tc>
          <w:tcPr>
            <w:tcW w:w="2712" w:type="dxa"/>
            <w:tcBorders>
              <w:top w:val="single" w:color="auto" w:sz="4" w:space="0"/>
              <w:left w:val="single" w:color="auto" w:sz="4" w:space="0"/>
              <w:bottom w:val="single" w:color="auto" w:sz="4" w:space="0"/>
              <w:right w:val="single" w:color="auto" w:sz="4" w:space="0"/>
            </w:tcBorders>
            <w:vAlign w:val="center"/>
          </w:tcPr>
          <w:p w14:paraId="26457D6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20A41B3">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21731645">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2BA93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30C6614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8</w:t>
            </w:r>
          </w:p>
        </w:tc>
        <w:tc>
          <w:tcPr>
            <w:tcW w:w="2712" w:type="dxa"/>
            <w:tcBorders>
              <w:top w:val="single" w:color="auto" w:sz="4" w:space="0"/>
              <w:left w:val="single" w:color="auto" w:sz="4" w:space="0"/>
              <w:bottom w:val="single" w:color="auto" w:sz="4" w:space="0"/>
              <w:right w:val="single" w:color="auto" w:sz="4" w:space="0"/>
            </w:tcBorders>
            <w:vAlign w:val="center"/>
          </w:tcPr>
          <w:p w14:paraId="50CD7E5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5B317F71">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3B1BD37F">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1910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56F82B9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9</w:t>
            </w:r>
          </w:p>
        </w:tc>
        <w:tc>
          <w:tcPr>
            <w:tcW w:w="2712" w:type="dxa"/>
            <w:tcBorders>
              <w:top w:val="single" w:color="auto" w:sz="4" w:space="0"/>
              <w:left w:val="single" w:color="auto" w:sz="4" w:space="0"/>
              <w:bottom w:val="single" w:color="auto" w:sz="4" w:space="0"/>
              <w:right w:val="single" w:color="auto" w:sz="4" w:space="0"/>
            </w:tcBorders>
            <w:vAlign w:val="center"/>
          </w:tcPr>
          <w:p w14:paraId="735E1DD1">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778E4D57">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11D9FA0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r w14:paraId="491E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525" w:type="dxa"/>
            <w:tcBorders>
              <w:top w:val="single" w:color="auto" w:sz="4" w:space="0"/>
              <w:left w:val="single" w:color="auto" w:sz="4" w:space="0"/>
              <w:bottom w:val="single" w:color="auto" w:sz="4" w:space="0"/>
              <w:right w:val="single" w:color="auto" w:sz="4" w:space="0"/>
            </w:tcBorders>
            <w:vAlign w:val="center"/>
          </w:tcPr>
          <w:p w14:paraId="2DA2253B">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w:t>
            </w:r>
          </w:p>
        </w:tc>
        <w:tc>
          <w:tcPr>
            <w:tcW w:w="2712" w:type="dxa"/>
            <w:tcBorders>
              <w:top w:val="single" w:color="auto" w:sz="4" w:space="0"/>
              <w:left w:val="single" w:color="auto" w:sz="4" w:space="0"/>
              <w:bottom w:val="single" w:color="auto" w:sz="4" w:space="0"/>
              <w:right w:val="single" w:color="auto" w:sz="4" w:space="0"/>
            </w:tcBorders>
            <w:vAlign w:val="center"/>
          </w:tcPr>
          <w:p w14:paraId="39E37610">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589" w:type="dxa"/>
            <w:tcBorders>
              <w:top w:val="single" w:color="auto" w:sz="4" w:space="0"/>
              <w:left w:val="single" w:color="auto" w:sz="4" w:space="0"/>
              <w:bottom w:val="single" w:color="auto" w:sz="4" w:space="0"/>
              <w:right w:val="single" w:color="auto" w:sz="4" w:space="0"/>
            </w:tcBorders>
            <w:vAlign w:val="center"/>
          </w:tcPr>
          <w:p w14:paraId="3ADD50A6">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c>
          <w:tcPr>
            <w:tcW w:w="2702" w:type="dxa"/>
            <w:tcBorders>
              <w:top w:val="single" w:color="auto" w:sz="4" w:space="0"/>
              <w:left w:val="single" w:color="auto" w:sz="4" w:space="0"/>
              <w:bottom w:val="single" w:color="auto" w:sz="4" w:space="0"/>
              <w:right w:val="single" w:color="auto" w:sz="4" w:space="0"/>
            </w:tcBorders>
            <w:vAlign w:val="center"/>
          </w:tcPr>
          <w:p w14:paraId="0721C68A">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tc>
      </w:tr>
    </w:tbl>
    <w:p w14:paraId="10A3B087">
      <w:pPr>
        <w:keepNext w:val="0"/>
        <w:keepLines w:val="0"/>
        <w:pageBreakBefore w:val="0"/>
        <w:widowControl/>
        <w:kinsoku/>
        <w:wordWrap/>
        <w:overflowPunct/>
        <w:topLinePunct w:val="0"/>
        <w:autoSpaceDE/>
        <w:autoSpaceDN/>
        <w:bidi w:val="0"/>
        <w:adjustRightInd/>
        <w:snapToGrid/>
        <w:spacing w:afterAutospacing="0" w:line="360" w:lineRule="auto"/>
        <w:ind w:right="79"/>
        <w:textAlignment w:val="baseline"/>
        <w:rPr>
          <w:rFonts w:hint="eastAsia" w:ascii="宋体" w:hAnsi="宋体" w:eastAsia="宋体" w:cs="宋体"/>
          <w:color w:val="auto"/>
          <w:spacing w:val="0"/>
          <w:position w:val="0"/>
          <w:sz w:val="28"/>
          <w:szCs w:val="28"/>
          <w:highlight w:val="none"/>
        </w:rPr>
      </w:pPr>
      <w:r>
        <w:rPr>
          <w:rFonts w:hint="eastAsia" w:ascii="宋体" w:hAnsi="宋体" w:eastAsia="宋体" w:cs="宋体"/>
          <w:color w:val="auto"/>
          <w:spacing w:val="0"/>
          <w:position w:val="0"/>
          <w:sz w:val="28"/>
          <w:szCs w:val="28"/>
          <w:highlight w:val="none"/>
          <w:lang w:eastAsia="zh-CN"/>
        </w:rPr>
        <w:t>供应商名称（加盖公章）：</w:t>
      </w:r>
    </w:p>
    <w:p w14:paraId="12FA27F0">
      <w:pPr>
        <w:keepNext w:val="0"/>
        <w:keepLines w:val="0"/>
        <w:pageBreakBefore w:val="0"/>
        <w:widowControl/>
        <w:kinsoku/>
        <w:wordWrap/>
        <w:overflowPunct/>
        <w:topLinePunct w:val="0"/>
        <w:autoSpaceDE/>
        <w:autoSpaceDN/>
        <w:bidi w:val="0"/>
        <w:adjustRightInd/>
        <w:snapToGrid/>
        <w:spacing w:afterAutospacing="0" w:line="360" w:lineRule="auto"/>
        <w:ind w:right="79"/>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eastAsia="zh-CN"/>
        </w:rPr>
        <w:t>供应商法定代表人（或法定代表人授权代表）签字或盖章：</w:t>
      </w:r>
    </w:p>
    <w:p w14:paraId="5825122A">
      <w:pPr>
        <w:keepNext w:val="0"/>
        <w:keepLines w:val="0"/>
        <w:pageBreakBefore w:val="0"/>
        <w:widowControl/>
        <w:kinsoku/>
        <w:wordWrap/>
        <w:overflowPunct/>
        <w:topLinePunct w:val="0"/>
        <w:autoSpaceDE/>
        <w:autoSpaceDN/>
        <w:bidi w:val="0"/>
        <w:adjustRightInd/>
        <w:snapToGrid/>
        <w:spacing w:afterAutospacing="0" w:line="360" w:lineRule="auto"/>
        <w:ind w:right="79"/>
        <w:textAlignment w:val="baseline"/>
        <w:rPr>
          <w:rFonts w:hint="eastAsia" w:ascii="宋体" w:hAnsi="宋体" w:eastAsia="宋体" w:cs="宋体"/>
          <w:color w:val="auto"/>
          <w:spacing w:val="0"/>
          <w:position w:val="0"/>
          <w:sz w:val="28"/>
          <w:szCs w:val="28"/>
          <w:highlight w:val="none"/>
          <w:lang w:eastAsia="zh-CN"/>
        </w:rPr>
      </w:pPr>
      <w:r>
        <w:rPr>
          <w:rFonts w:hint="eastAsia" w:ascii="宋体" w:hAnsi="宋体" w:eastAsia="宋体" w:cs="宋体"/>
          <w:color w:val="auto"/>
          <w:spacing w:val="0"/>
          <w:position w:val="0"/>
          <w:sz w:val="28"/>
          <w:szCs w:val="28"/>
          <w:highlight w:val="none"/>
          <w:lang w:eastAsia="zh-CN"/>
        </w:rPr>
        <w:t>日期：   年   月   日</w:t>
      </w:r>
    </w:p>
    <w:p w14:paraId="3E67A025">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191799D7">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b/>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6FD8EB7F">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bookmarkStart w:id="349" w:name="_Toc27790"/>
      <w:r>
        <w:rPr>
          <w:rFonts w:hint="eastAsia" w:asciiTheme="minorEastAsia" w:hAnsiTheme="minorEastAsia" w:eastAsiaTheme="minorEastAsia" w:cstheme="minorEastAsia"/>
          <w:color w:val="auto"/>
          <w:spacing w:val="0"/>
          <w:position w:val="0"/>
          <w:highlight w:val="none"/>
          <w:lang w:val="en-US" w:eastAsia="zh-CN"/>
        </w:rPr>
        <w:t>6、项目管理机构配备情况</w:t>
      </w:r>
      <w:bookmarkEnd w:id="349"/>
    </w:p>
    <w:p w14:paraId="3D37AEE6">
      <w:pPr>
        <w:pageBreakBefore w:val="0"/>
        <w:kinsoku/>
        <w:overflowPunct/>
        <w:topLinePunct w:val="0"/>
        <w:bidi w:val="0"/>
        <w:spacing w:line="364" w:lineRule="exact"/>
        <w:ind w:left="219" w:right="-2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lang w:val="en-US" w:eastAsia="zh-CN"/>
        </w:rPr>
        <w:t>1</w:t>
      </w:r>
      <w:r>
        <w:rPr>
          <w:rFonts w:hint="eastAsia" w:asciiTheme="minorEastAsia" w:hAnsiTheme="minorEastAsia" w:eastAsiaTheme="minorEastAsia" w:cstheme="minorEastAsia"/>
          <w:color w:val="auto"/>
          <w:spacing w:val="0"/>
          <w:position w:val="0"/>
          <w:sz w:val="24"/>
          <w:szCs w:val="24"/>
          <w:highlight w:val="none"/>
        </w:rPr>
        <w:t>）项目经理简历表</w:t>
      </w:r>
    </w:p>
    <w:p w14:paraId="7773FC7F">
      <w:pPr>
        <w:pageBreakBefore w:val="0"/>
        <w:kinsoku/>
        <w:overflowPunct/>
        <w:topLinePunct w:val="0"/>
        <w:bidi w:val="0"/>
        <w:spacing w:before="7" w:line="40" w:lineRule="exact"/>
        <w:rPr>
          <w:rFonts w:hint="eastAsia" w:asciiTheme="minorEastAsia" w:hAnsiTheme="minorEastAsia" w:eastAsiaTheme="minorEastAsia" w:cstheme="minorEastAsia"/>
          <w:color w:val="auto"/>
          <w:spacing w:val="0"/>
          <w:position w:val="0"/>
          <w:sz w:val="4"/>
          <w:szCs w:val="4"/>
          <w:highlight w:val="none"/>
        </w:rPr>
      </w:pPr>
    </w:p>
    <w:tbl>
      <w:tblPr>
        <w:tblStyle w:val="34"/>
        <w:tblW w:w="0" w:type="auto"/>
        <w:jc w:val="center"/>
        <w:tblLayout w:type="fixed"/>
        <w:tblCellMar>
          <w:top w:w="0" w:type="dxa"/>
          <w:left w:w="0" w:type="dxa"/>
          <w:bottom w:w="0" w:type="dxa"/>
          <w:right w:w="0" w:type="dxa"/>
        </w:tblCellMar>
      </w:tblPr>
      <w:tblGrid>
        <w:gridCol w:w="1548"/>
        <w:gridCol w:w="773"/>
        <w:gridCol w:w="776"/>
        <w:gridCol w:w="1548"/>
        <w:gridCol w:w="1546"/>
        <w:gridCol w:w="775"/>
        <w:gridCol w:w="774"/>
        <w:gridCol w:w="1548"/>
      </w:tblGrid>
      <w:tr w14:paraId="6D18FB7B">
        <w:tblPrEx>
          <w:tblCellMar>
            <w:top w:w="0" w:type="dxa"/>
            <w:left w:w="0" w:type="dxa"/>
            <w:bottom w:w="0" w:type="dxa"/>
            <w:right w:w="0" w:type="dxa"/>
          </w:tblCellMar>
        </w:tblPrEx>
        <w:trPr>
          <w:trHeight w:val="593"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14:paraId="2D2DD89B">
            <w:pPr>
              <w:pageBreakBefore w:val="0"/>
              <w:kinsoku/>
              <w:overflowPunct/>
              <w:topLinePunct w:val="0"/>
              <w:bidi w:val="0"/>
              <w:spacing w:before="55"/>
              <w:ind w:left="489" w:right="471"/>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58D6A98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0DD478BC">
            <w:pPr>
              <w:pageBreakBefore w:val="0"/>
              <w:kinsoku/>
              <w:overflowPunct/>
              <w:topLinePunct w:val="0"/>
              <w:bidi w:val="0"/>
              <w:spacing w:before="55"/>
              <w:ind w:left="487" w:right="474"/>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14:paraId="73996C3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5AF2D67F">
            <w:pPr>
              <w:pageBreakBefore w:val="0"/>
              <w:kinsoku/>
              <w:overflowPunct/>
              <w:topLinePunct w:val="0"/>
              <w:bidi w:val="0"/>
              <w:spacing w:before="55"/>
              <w:ind w:left="489" w:right="47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年龄</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54F6F4CF">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579159D0">
        <w:tblPrEx>
          <w:tblCellMar>
            <w:top w:w="0" w:type="dxa"/>
            <w:left w:w="0" w:type="dxa"/>
            <w:bottom w:w="0" w:type="dxa"/>
            <w:right w:w="0" w:type="dxa"/>
          </w:tblCellMar>
        </w:tblPrEx>
        <w:trPr>
          <w:trHeight w:val="595"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top"/>
          </w:tcPr>
          <w:p w14:paraId="7D3ECD5E">
            <w:pPr>
              <w:pageBreakBefore w:val="0"/>
              <w:kinsoku/>
              <w:overflowPunct/>
              <w:topLinePunct w:val="0"/>
              <w:bidi w:val="0"/>
              <w:spacing w:before="58"/>
              <w:ind w:left="489" w:right="471"/>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职务</w:t>
            </w: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4F4F6C41">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011F8635">
            <w:pPr>
              <w:pageBreakBefore w:val="0"/>
              <w:kinsoku/>
              <w:overflowPunct/>
              <w:topLinePunct w:val="0"/>
              <w:bidi w:val="0"/>
              <w:spacing w:before="58"/>
              <w:ind w:left="487" w:right="474"/>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546" w:type="dxa"/>
            <w:tcBorders>
              <w:top w:val="single" w:color="000000" w:sz="4" w:space="0"/>
              <w:left w:val="single" w:color="000000" w:sz="4" w:space="0"/>
              <w:bottom w:val="single" w:color="000000" w:sz="4" w:space="0"/>
              <w:right w:val="single" w:color="000000" w:sz="4" w:space="0"/>
            </w:tcBorders>
            <w:noWrap w:val="0"/>
            <w:vAlign w:val="top"/>
          </w:tcPr>
          <w:p w14:paraId="041F1775">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1549" w:type="dxa"/>
            <w:gridSpan w:val="2"/>
            <w:tcBorders>
              <w:top w:val="single" w:color="000000" w:sz="4" w:space="0"/>
              <w:left w:val="single" w:color="000000" w:sz="4" w:space="0"/>
              <w:bottom w:val="single" w:color="000000" w:sz="4" w:space="0"/>
              <w:right w:val="single" w:color="000000" w:sz="4" w:space="0"/>
            </w:tcBorders>
            <w:noWrap w:val="0"/>
            <w:vAlign w:val="top"/>
          </w:tcPr>
          <w:p w14:paraId="36249405">
            <w:pPr>
              <w:pageBreakBefore w:val="0"/>
              <w:kinsoku/>
              <w:overflowPunct/>
              <w:topLinePunct w:val="0"/>
              <w:bidi w:val="0"/>
              <w:spacing w:before="58"/>
              <w:ind w:left="489" w:right="472"/>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学历</w:t>
            </w:r>
          </w:p>
        </w:tc>
        <w:tc>
          <w:tcPr>
            <w:tcW w:w="1548" w:type="dxa"/>
            <w:tcBorders>
              <w:top w:val="single" w:color="000000" w:sz="4" w:space="0"/>
              <w:left w:val="single" w:color="000000" w:sz="4" w:space="0"/>
              <w:bottom w:val="single" w:color="000000" w:sz="4" w:space="0"/>
              <w:right w:val="single" w:color="000000" w:sz="4" w:space="0"/>
            </w:tcBorders>
            <w:noWrap w:val="0"/>
            <w:vAlign w:val="top"/>
          </w:tcPr>
          <w:p w14:paraId="45BDC619">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46F18BED">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44819272">
            <w:pPr>
              <w:pageBreakBefore w:val="0"/>
              <w:kinsoku/>
              <w:overflowPunct/>
              <w:topLinePunct w:val="0"/>
              <w:bidi w:val="0"/>
              <w:spacing w:before="55"/>
              <w:ind w:left="433"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参加工作时间</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1B97C9B8">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6FCC7D1C">
            <w:pPr>
              <w:pageBreakBefore w:val="0"/>
              <w:kinsoku/>
              <w:overflowPunct/>
              <w:topLinePunct w:val="0"/>
              <w:bidi w:val="0"/>
              <w:spacing w:before="55"/>
              <w:ind w:left="191"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担任项目经理年限</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00E4B27B">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3B46B3AC">
        <w:tblPrEx>
          <w:tblCellMar>
            <w:top w:w="0" w:type="dxa"/>
            <w:left w:w="0" w:type="dxa"/>
            <w:bottom w:w="0" w:type="dxa"/>
            <w:right w:w="0" w:type="dxa"/>
          </w:tblCellMar>
        </w:tblPrEx>
        <w:trPr>
          <w:trHeight w:val="595" w:hRule="exact"/>
          <w:jc w:val="center"/>
        </w:trPr>
        <w:tc>
          <w:tcPr>
            <w:tcW w:w="9287" w:type="dxa"/>
            <w:gridSpan w:val="8"/>
            <w:tcBorders>
              <w:top w:val="single" w:color="000000" w:sz="4" w:space="0"/>
              <w:left w:val="single" w:color="000000" w:sz="4" w:space="0"/>
              <w:bottom w:val="single" w:color="000000" w:sz="4" w:space="0"/>
              <w:right w:val="single" w:color="000000" w:sz="4" w:space="0"/>
            </w:tcBorders>
            <w:noWrap w:val="0"/>
            <w:vAlign w:val="top"/>
          </w:tcPr>
          <w:p w14:paraId="0F91C2DA">
            <w:pPr>
              <w:pageBreakBefore w:val="0"/>
              <w:kinsoku/>
              <w:overflowPunct/>
              <w:topLinePunct w:val="0"/>
              <w:bidi w:val="0"/>
              <w:spacing w:before="58"/>
              <w:ind w:left="3878" w:right="3861"/>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承担项目情况</w:t>
            </w:r>
          </w:p>
        </w:tc>
      </w:tr>
      <w:tr w14:paraId="136C9590">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05976F0E">
            <w:pPr>
              <w:pageBreakBefore w:val="0"/>
              <w:kinsoku/>
              <w:overflowPunct/>
              <w:topLinePunct w:val="0"/>
              <w:bidi w:val="0"/>
              <w:spacing w:before="55"/>
              <w:ind w:left="673"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建设单位</w:t>
            </w: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742A74DF">
            <w:pPr>
              <w:pageBreakBefore w:val="0"/>
              <w:kinsoku/>
              <w:overflowPunct/>
              <w:topLinePunct w:val="0"/>
              <w:bidi w:val="0"/>
              <w:spacing w:before="55"/>
              <w:ind w:left="676"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项目名称</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26217F23">
            <w:pPr>
              <w:pageBreakBefore w:val="0"/>
              <w:kinsoku/>
              <w:overflowPunct/>
              <w:topLinePunct w:val="0"/>
              <w:bidi w:val="0"/>
              <w:spacing w:before="55"/>
              <w:ind w:left="671"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建设规模</w:t>
            </w: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095E6CBD">
            <w:pPr>
              <w:pageBreakBefore w:val="0"/>
              <w:kinsoku/>
              <w:overflowPunct/>
              <w:topLinePunct w:val="0"/>
              <w:bidi w:val="0"/>
              <w:spacing w:before="55"/>
              <w:ind w:left="674" w:right="-20"/>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销售情况</w:t>
            </w:r>
          </w:p>
        </w:tc>
      </w:tr>
      <w:tr w14:paraId="56A3B785">
        <w:tblPrEx>
          <w:tblCellMar>
            <w:top w:w="0" w:type="dxa"/>
            <w:left w:w="0" w:type="dxa"/>
            <w:bottom w:w="0" w:type="dxa"/>
            <w:right w:w="0" w:type="dxa"/>
          </w:tblCellMar>
        </w:tblPrEx>
        <w:trPr>
          <w:trHeight w:val="596"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17BBFAF9">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2D164C35">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2C169FDD">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5163FF51">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r w14:paraId="4FCF21AC">
        <w:tblPrEx>
          <w:tblCellMar>
            <w:top w:w="0" w:type="dxa"/>
            <w:left w:w="0" w:type="dxa"/>
            <w:bottom w:w="0" w:type="dxa"/>
            <w:right w:w="0" w:type="dxa"/>
          </w:tblCellMar>
        </w:tblPrEx>
        <w:trPr>
          <w:trHeight w:val="593" w:hRule="exact"/>
          <w:jc w:val="center"/>
        </w:trPr>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1B73C96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4" w:type="dxa"/>
            <w:gridSpan w:val="2"/>
            <w:tcBorders>
              <w:top w:val="single" w:color="000000" w:sz="4" w:space="0"/>
              <w:left w:val="single" w:color="000000" w:sz="4" w:space="0"/>
              <w:bottom w:val="single" w:color="000000" w:sz="4" w:space="0"/>
              <w:right w:val="single" w:color="000000" w:sz="4" w:space="0"/>
            </w:tcBorders>
            <w:noWrap w:val="0"/>
            <w:vAlign w:val="top"/>
          </w:tcPr>
          <w:p w14:paraId="0F2DF1A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458A0BFC">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c>
          <w:tcPr>
            <w:tcW w:w="2321" w:type="dxa"/>
            <w:gridSpan w:val="2"/>
            <w:tcBorders>
              <w:top w:val="single" w:color="000000" w:sz="4" w:space="0"/>
              <w:left w:val="single" w:color="000000" w:sz="4" w:space="0"/>
              <w:bottom w:val="single" w:color="000000" w:sz="4" w:space="0"/>
              <w:right w:val="single" w:color="000000" w:sz="4" w:space="0"/>
            </w:tcBorders>
            <w:noWrap w:val="0"/>
            <w:vAlign w:val="top"/>
          </w:tcPr>
          <w:p w14:paraId="7EAA6AEE">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tc>
      </w:tr>
    </w:tbl>
    <w:p w14:paraId="06857549">
      <w:pPr>
        <w:pageBreakBefore w:val="0"/>
        <w:kinsoku/>
        <w:overflowPunct/>
        <w:topLinePunct w:val="0"/>
        <w:bidi w:val="0"/>
        <w:spacing w:line="364" w:lineRule="exact"/>
        <w:ind w:right="-2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t>注：后附相关证件（书）</w:t>
      </w:r>
    </w:p>
    <w:p w14:paraId="304B2FE3">
      <w:pPr>
        <w:pageBreakBefore w:val="0"/>
        <w:kinsoku/>
        <w:overflowPunct/>
        <w:topLinePunct w:val="0"/>
        <w:bidi w:val="0"/>
        <w:spacing w:line="364" w:lineRule="exact"/>
        <w:ind w:right="-2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w:t>
      </w:r>
      <w:r>
        <w:rPr>
          <w:rFonts w:hint="eastAsia" w:asciiTheme="minorEastAsia" w:hAnsiTheme="minorEastAsia" w:eastAsiaTheme="minorEastAsia" w:cstheme="minorEastAsia"/>
          <w:color w:val="auto"/>
          <w:spacing w:val="0"/>
          <w:position w:val="0"/>
          <w:sz w:val="24"/>
          <w:szCs w:val="24"/>
          <w:highlight w:val="none"/>
          <w:lang w:val="en-US" w:eastAsia="zh-CN"/>
        </w:rPr>
        <w:t>2</w:t>
      </w:r>
      <w:r>
        <w:rPr>
          <w:rFonts w:hint="eastAsia" w:asciiTheme="minorEastAsia" w:hAnsiTheme="minorEastAsia" w:eastAsiaTheme="minorEastAsia" w:cstheme="minorEastAsia"/>
          <w:color w:val="auto"/>
          <w:spacing w:val="0"/>
          <w:position w:val="0"/>
          <w:sz w:val="24"/>
          <w:szCs w:val="24"/>
          <w:highlight w:val="none"/>
        </w:rPr>
        <w:t>） 拟投入项目组成人员简历表</w:t>
      </w:r>
    </w:p>
    <w:p w14:paraId="68071892">
      <w:pPr>
        <w:pageBreakBefore w:val="0"/>
        <w:kinsoku/>
        <w:overflowPunct/>
        <w:topLinePunct w:val="0"/>
        <w:bidi w:val="0"/>
        <w:spacing w:before="7" w:line="40" w:lineRule="exact"/>
        <w:rPr>
          <w:rFonts w:hint="eastAsia" w:asciiTheme="minorEastAsia" w:hAnsiTheme="minorEastAsia" w:eastAsiaTheme="minorEastAsia" w:cstheme="minorEastAsia"/>
          <w:color w:val="auto"/>
          <w:spacing w:val="0"/>
          <w:position w:val="0"/>
          <w:sz w:val="4"/>
          <w:szCs w:val="4"/>
          <w:highlight w:val="none"/>
        </w:rPr>
      </w:pP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175"/>
        <w:gridCol w:w="1147"/>
        <w:gridCol w:w="1176"/>
        <w:gridCol w:w="1176"/>
        <w:gridCol w:w="1150"/>
        <w:gridCol w:w="1176"/>
        <w:gridCol w:w="1144"/>
      </w:tblGrid>
      <w:tr w14:paraId="63371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173" w:type="dxa"/>
            <w:noWrap w:val="0"/>
            <w:vAlign w:val="center"/>
          </w:tcPr>
          <w:p w14:paraId="442D9E6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姓名</w:t>
            </w:r>
          </w:p>
        </w:tc>
        <w:tc>
          <w:tcPr>
            <w:tcW w:w="1175" w:type="dxa"/>
            <w:noWrap w:val="0"/>
            <w:vAlign w:val="center"/>
          </w:tcPr>
          <w:p w14:paraId="4BF7873B">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身份证号码</w:t>
            </w:r>
          </w:p>
        </w:tc>
        <w:tc>
          <w:tcPr>
            <w:tcW w:w="1147" w:type="dxa"/>
            <w:noWrap w:val="0"/>
            <w:vAlign w:val="center"/>
          </w:tcPr>
          <w:p w14:paraId="336DDF3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性别</w:t>
            </w:r>
          </w:p>
        </w:tc>
        <w:tc>
          <w:tcPr>
            <w:tcW w:w="1176" w:type="dxa"/>
            <w:noWrap w:val="0"/>
            <w:vAlign w:val="center"/>
          </w:tcPr>
          <w:p w14:paraId="6E61888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职称</w:t>
            </w:r>
          </w:p>
        </w:tc>
        <w:tc>
          <w:tcPr>
            <w:tcW w:w="1176" w:type="dxa"/>
            <w:noWrap w:val="0"/>
            <w:vAlign w:val="center"/>
          </w:tcPr>
          <w:p w14:paraId="34062B99">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学历</w:t>
            </w:r>
          </w:p>
        </w:tc>
        <w:tc>
          <w:tcPr>
            <w:tcW w:w="1150" w:type="dxa"/>
            <w:noWrap w:val="0"/>
            <w:vAlign w:val="center"/>
          </w:tcPr>
          <w:p w14:paraId="2943A927">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专业</w:t>
            </w:r>
          </w:p>
        </w:tc>
        <w:tc>
          <w:tcPr>
            <w:tcW w:w="1176" w:type="dxa"/>
            <w:noWrap w:val="0"/>
            <w:vAlign w:val="center"/>
          </w:tcPr>
          <w:p w14:paraId="682397B4">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从事工作年限</w:t>
            </w:r>
          </w:p>
        </w:tc>
        <w:tc>
          <w:tcPr>
            <w:tcW w:w="1144" w:type="dxa"/>
            <w:noWrap w:val="0"/>
            <w:vAlign w:val="top"/>
          </w:tcPr>
          <w:p w14:paraId="5B5681FA">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4"/>
                <w:szCs w:val="24"/>
                <w:highlight w:val="none"/>
              </w:rPr>
            </w:pPr>
            <w:r>
              <w:rPr>
                <w:rFonts w:hint="eastAsia" w:asciiTheme="minorEastAsia" w:hAnsiTheme="minorEastAsia" w:eastAsiaTheme="minorEastAsia" w:cstheme="minorEastAsia"/>
                <w:color w:val="auto"/>
                <w:spacing w:val="0"/>
                <w:position w:val="0"/>
                <w:sz w:val="24"/>
                <w:szCs w:val="24"/>
                <w:highlight w:val="none"/>
              </w:rPr>
              <w:t>备注</w:t>
            </w:r>
          </w:p>
        </w:tc>
      </w:tr>
      <w:tr w14:paraId="20DA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431A2B5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5D15F5E0">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4CCFC28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5873C9B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1AE58C4">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4EC0605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323F640B">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322C0EA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7F34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5BE2F86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2FCB3AE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16C3983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C2CA90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D00FB50">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14CB23A7">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3DF7A8F">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1E83303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2E37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3044D6CA">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004CC39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44C35C4C">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5736FDB1">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6D775E2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42BE24C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71DC58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485A774B">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1F450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24A52FD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69316D3F">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2C55C42A">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3799556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0FF5EF9C">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60A4B326">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33E7104A">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0AD756B4">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2857C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226F0721">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423CF96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11B1C52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1EAACC9B">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7D2C53D3">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0AFAE56E">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6C5D54A6">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7B0CA0F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4D3D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73" w:type="dxa"/>
            <w:noWrap w:val="0"/>
            <w:vAlign w:val="top"/>
          </w:tcPr>
          <w:p w14:paraId="1B835FE0">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1670C6C1">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402DCB2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72D695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0BA1DB4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1857602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46B0C45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481E0DF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r w14:paraId="709B4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173" w:type="dxa"/>
            <w:noWrap w:val="0"/>
            <w:vAlign w:val="top"/>
          </w:tcPr>
          <w:p w14:paraId="779BBBD2">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5" w:type="dxa"/>
            <w:noWrap w:val="0"/>
            <w:vAlign w:val="top"/>
          </w:tcPr>
          <w:p w14:paraId="59695627">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7" w:type="dxa"/>
            <w:noWrap w:val="0"/>
            <w:vAlign w:val="top"/>
          </w:tcPr>
          <w:p w14:paraId="6645C0E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5A003499">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189ADD06">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50" w:type="dxa"/>
            <w:noWrap w:val="0"/>
            <w:vAlign w:val="top"/>
          </w:tcPr>
          <w:p w14:paraId="569F1268">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76" w:type="dxa"/>
            <w:noWrap w:val="0"/>
            <w:vAlign w:val="top"/>
          </w:tcPr>
          <w:p w14:paraId="27F5353D">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c>
          <w:tcPr>
            <w:tcW w:w="1144" w:type="dxa"/>
            <w:noWrap w:val="0"/>
            <w:vAlign w:val="top"/>
          </w:tcPr>
          <w:p w14:paraId="2D79CBE5">
            <w:pPr>
              <w:pageBreakBefore w:val="0"/>
              <w:kinsoku/>
              <w:overflowPunct/>
              <w:topLinePunct w:val="0"/>
              <w:bidi w:val="0"/>
              <w:rPr>
                <w:rFonts w:hint="eastAsia" w:asciiTheme="minorEastAsia" w:hAnsiTheme="minorEastAsia" w:eastAsiaTheme="minorEastAsia" w:cstheme="minorEastAsia"/>
                <w:color w:val="auto"/>
                <w:spacing w:val="0"/>
                <w:position w:val="0"/>
                <w:sz w:val="24"/>
                <w:szCs w:val="24"/>
                <w:highlight w:val="none"/>
              </w:rPr>
            </w:pPr>
          </w:p>
        </w:tc>
      </w:tr>
    </w:tbl>
    <w:p w14:paraId="5F192CEA">
      <w:pPr>
        <w:pageBreakBefore w:val="0"/>
        <w:kinsoku/>
        <w:overflowPunct/>
        <w:topLinePunct w:val="0"/>
        <w:bidi w:val="0"/>
        <w:spacing w:line="364" w:lineRule="exact"/>
        <w:ind w:right="-20"/>
        <w:jc w:val="left"/>
        <w:rPr>
          <w:rFonts w:hint="eastAsia" w:asciiTheme="minorEastAsia" w:hAnsiTheme="minorEastAsia" w:eastAsiaTheme="minorEastAsia" w:cstheme="minorEastAsia"/>
          <w:color w:val="auto"/>
          <w:spacing w:val="0"/>
          <w:position w:val="0"/>
          <w:sz w:val="24"/>
          <w:szCs w:val="24"/>
          <w:highlight w:val="none"/>
          <w:lang w:eastAsia="zh-CN"/>
        </w:rPr>
      </w:pPr>
      <w:r>
        <w:rPr>
          <w:rFonts w:hint="eastAsia" w:asciiTheme="minorEastAsia" w:hAnsiTheme="minorEastAsia" w:eastAsiaTheme="minorEastAsia" w:cstheme="minorEastAsia"/>
          <w:color w:val="auto"/>
          <w:spacing w:val="0"/>
          <w:position w:val="0"/>
          <w:sz w:val="24"/>
          <w:szCs w:val="24"/>
          <w:highlight w:val="none"/>
          <w:lang w:eastAsia="zh-CN"/>
        </w:rPr>
        <w:t>注：后附相关证件（书）</w:t>
      </w:r>
    </w:p>
    <w:p w14:paraId="31236843">
      <w:pPr>
        <w:pageBreakBefore w:val="0"/>
        <w:kinsoku/>
        <w:overflowPunct/>
        <w:topLinePunct w:val="0"/>
        <w:autoSpaceDE w:val="0"/>
        <w:autoSpaceDN w:val="0"/>
        <w:bidi w:val="0"/>
        <w:spacing w:line="500" w:lineRule="exact"/>
        <w:ind w:firstLine="480"/>
        <w:rPr>
          <w:rFonts w:hint="eastAsia" w:asciiTheme="minorEastAsia" w:hAnsiTheme="minorEastAsia" w:eastAsiaTheme="minorEastAsia" w:cstheme="minorEastAsia"/>
          <w:color w:val="auto"/>
          <w:spacing w:val="0"/>
          <w:position w:val="0"/>
          <w:sz w:val="28"/>
          <w:szCs w:val="28"/>
          <w:highlight w:val="none"/>
        </w:rPr>
      </w:pPr>
    </w:p>
    <w:p w14:paraId="2E2B6E6E">
      <w:pPr>
        <w:pageBreakBefore w:val="0"/>
        <w:kinsoku/>
        <w:overflowPunct/>
        <w:topLinePunct w:val="0"/>
        <w:autoSpaceDE w:val="0"/>
        <w:autoSpaceDN w:val="0"/>
        <w:bidi w:val="0"/>
        <w:spacing w:line="500" w:lineRule="exact"/>
        <w:ind w:firstLine="480"/>
        <w:rPr>
          <w:rFonts w:hint="eastAsia" w:asciiTheme="minorEastAsia" w:hAnsiTheme="minorEastAsia" w:eastAsiaTheme="minorEastAsia" w:cstheme="minorEastAsia"/>
          <w:color w:val="auto"/>
          <w:spacing w:val="0"/>
          <w:position w:val="0"/>
          <w:sz w:val="28"/>
          <w:szCs w:val="28"/>
          <w:highlight w:val="none"/>
        </w:rPr>
      </w:pPr>
    </w:p>
    <w:p w14:paraId="04E7CF0A">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28"/>
          <w:szCs w:val="28"/>
          <w:highlight w:val="none"/>
        </w:rPr>
      </w:pPr>
    </w:p>
    <w:p w14:paraId="73344E08">
      <w:pPr>
        <w:pStyle w:val="19"/>
        <w:pageBreakBefore w:val="0"/>
        <w:kinsoku/>
        <w:overflowPunct/>
        <w:topLinePunct w:val="0"/>
        <w:bidi w:val="0"/>
        <w:spacing w:line="360" w:lineRule="auto"/>
        <w:jc w:val="left"/>
        <w:rPr>
          <w:rFonts w:hint="eastAsia" w:asciiTheme="minorEastAsia" w:hAnsiTheme="minorEastAsia" w:eastAsiaTheme="minorEastAsia" w:cstheme="minorEastAsia"/>
          <w:color w:val="auto"/>
          <w:spacing w:val="0"/>
          <w:position w:val="0"/>
          <w:sz w:val="28"/>
          <w:szCs w:val="28"/>
          <w:highlight w:val="none"/>
        </w:rPr>
      </w:pPr>
    </w:p>
    <w:p w14:paraId="0BE22515">
      <w:pPr>
        <w:pageBreakBefore w:val="0"/>
        <w:tabs>
          <w:tab w:val="left" w:pos="750"/>
        </w:tabs>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p>
    <w:p w14:paraId="4FE4E4E1">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1FF6F93B">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bookmarkStart w:id="350" w:name="_Toc236473312"/>
      <w:bookmarkStart w:id="351" w:name="_Toc12618"/>
      <w:bookmarkStart w:id="352" w:name="_Toc25810"/>
      <w:bookmarkStart w:id="353" w:name="_Toc485896002"/>
      <w:bookmarkStart w:id="354" w:name="_Toc238276256"/>
      <w:bookmarkStart w:id="355" w:name="_Toc437611485"/>
      <w:r>
        <w:rPr>
          <w:rFonts w:hint="eastAsia" w:asciiTheme="minorEastAsia" w:hAnsiTheme="minorEastAsia" w:eastAsiaTheme="minorEastAsia" w:cstheme="minorEastAsia"/>
          <w:color w:val="auto"/>
          <w:spacing w:val="0"/>
          <w:position w:val="0"/>
          <w:highlight w:val="none"/>
          <w:lang w:val="en-US" w:eastAsia="zh-CN"/>
        </w:rPr>
        <w:t>7、</w:t>
      </w:r>
      <w:r>
        <w:rPr>
          <w:rFonts w:hint="eastAsia" w:asciiTheme="minorEastAsia" w:hAnsiTheme="minorEastAsia" w:eastAsiaTheme="minorEastAsia" w:cstheme="minorEastAsia"/>
          <w:color w:val="auto"/>
          <w:spacing w:val="0"/>
          <w:position w:val="0"/>
          <w:highlight w:val="none"/>
        </w:rPr>
        <w:t>供应商类似项目业绩表</w:t>
      </w:r>
      <w:bookmarkEnd w:id="350"/>
      <w:bookmarkEnd w:id="351"/>
      <w:bookmarkEnd w:id="352"/>
      <w:bookmarkEnd w:id="353"/>
      <w:bookmarkEnd w:id="354"/>
      <w:bookmarkEnd w:id="355"/>
    </w:p>
    <w:p w14:paraId="66D5E98C">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采购项目编号：</w:t>
      </w:r>
    </w:p>
    <w:p w14:paraId="4D6BBB2A">
      <w:pPr>
        <w:pageBreakBefore w:val="0"/>
        <w:kinsoku/>
        <w:overflowPunct/>
        <w:topLinePunct w:val="0"/>
        <w:bidi w:val="0"/>
        <w:adjustRightInd w:val="0"/>
        <w:snapToGrid w:val="0"/>
        <w:spacing w:line="500" w:lineRule="exact"/>
        <w:rPr>
          <w:rFonts w:hint="eastAsia" w:asciiTheme="minorEastAsia" w:hAnsiTheme="minorEastAsia" w:eastAsiaTheme="minorEastAsia" w:cstheme="minorEastAsia"/>
          <w:color w:val="auto"/>
          <w:spacing w:val="0"/>
          <w:position w:val="0"/>
          <w:sz w:val="28"/>
          <w:szCs w:val="28"/>
          <w:highlight w:val="none"/>
          <w:u w:val="single"/>
        </w:rPr>
      </w:pPr>
      <w:r>
        <w:rPr>
          <w:rFonts w:hint="eastAsia" w:asciiTheme="minorEastAsia" w:hAnsiTheme="minorEastAsia" w:eastAsiaTheme="minorEastAsia" w:cstheme="minorEastAsia"/>
          <w:color w:val="auto"/>
          <w:spacing w:val="0"/>
          <w:position w:val="0"/>
          <w:sz w:val="28"/>
          <w:szCs w:val="28"/>
          <w:highlight w:val="none"/>
        </w:rPr>
        <w:t>采购项目名称：</w:t>
      </w:r>
    </w:p>
    <w:p w14:paraId="6570E75E">
      <w:pPr>
        <w:pStyle w:val="11"/>
        <w:pageBreakBefore w:val="0"/>
        <w:kinsoku/>
        <w:overflowPunct/>
        <w:topLinePunct w:val="0"/>
        <w:bidi w:val="0"/>
        <w:ind w:firstLine="560"/>
        <w:rPr>
          <w:rFonts w:hint="eastAsia" w:asciiTheme="minorEastAsia" w:hAnsiTheme="minorEastAsia" w:eastAsiaTheme="minorEastAsia" w:cstheme="minorEastAsia"/>
          <w:color w:val="auto"/>
          <w:spacing w:val="0"/>
          <w:position w:val="0"/>
          <w:sz w:val="28"/>
          <w:szCs w:val="28"/>
          <w:highlight w:val="none"/>
        </w:rPr>
      </w:pPr>
    </w:p>
    <w:tbl>
      <w:tblPr>
        <w:tblStyle w:val="34"/>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200"/>
      </w:tblGrid>
      <w:tr w14:paraId="4494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1908" w:type="dxa"/>
            <w:shd w:val="clear" w:color="auto" w:fill="auto"/>
            <w:vAlign w:val="center"/>
          </w:tcPr>
          <w:p w14:paraId="3B3EE93E">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项目名称</w:t>
            </w:r>
          </w:p>
        </w:tc>
        <w:tc>
          <w:tcPr>
            <w:tcW w:w="7200" w:type="dxa"/>
            <w:shd w:val="clear" w:color="auto" w:fill="auto"/>
          </w:tcPr>
          <w:p w14:paraId="438D7050">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14C7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14:paraId="4829A3F4">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项目单位名称</w:t>
            </w:r>
          </w:p>
        </w:tc>
        <w:tc>
          <w:tcPr>
            <w:tcW w:w="7200" w:type="dxa"/>
            <w:shd w:val="clear" w:color="auto" w:fill="auto"/>
          </w:tcPr>
          <w:p w14:paraId="6B884578">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73EF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908" w:type="dxa"/>
            <w:shd w:val="clear" w:color="auto" w:fill="auto"/>
            <w:vAlign w:val="center"/>
          </w:tcPr>
          <w:p w14:paraId="055E0EC7">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项目单位联系人姓名及联系方式</w:t>
            </w:r>
          </w:p>
        </w:tc>
        <w:tc>
          <w:tcPr>
            <w:tcW w:w="7200" w:type="dxa"/>
            <w:shd w:val="clear" w:color="auto" w:fill="auto"/>
          </w:tcPr>
          <w:p w14:paraId="1528DE3B">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21436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908" w:type="dxa"/>
            <w:shd w:val="clear" w:color="auto" w:fill="auto"/>
            <w:vAlign w:val="center"/>
          </w:tcPr>
          <w:p w14:paraId="20F09785">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合同金额</w:t>
            </w:r>
          </w:p>
        </w:tc>
        <w:tc>
          <w:tcPr>
            <w:tcW w:w="7200" w:type="dxa"/>
            <w:shd w:val="clear" w:color="auto" w:fill="auto"/>
          </w:tcPr>
          <w:p w14:paraId="4FBF27CE">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1BEAF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908" w:type="dxa"/>
            <w:shd w:val="clear" w:color="auto" w:fill="auto"/>
            <w:vAlign w:val="center"/>
          </w:tcPr>
          <w:p w14:paraId="4395A58F">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项目负责人</w:t>
            </w:r>
          </w:p>
          <w:p w14:paraId="4231D91C">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姓名</w:t>
            </w:r>
          </w:p>
        </w:tc>
        <w:tc>
          <w:tcPr>
            <w:tcW w:w="7200" w:type="dxa"/>
            <w:shd w:val="clear" w:color="auto" w:fill="auto"/>
          </w:tcPr>
          <w:p w14:paraId="78AD5E80">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5D97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908" w:type="dxa"/>
            <w:shd w:val="clear" w:color="auto" w:fill="auto"/>
            <w:vAlign w:val="center"/>
          </w:tcPr>
          <w:p w14:paraId="3F7EC216">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项目实施时间</w:t>
            </w:r>
          </w:p>
        </w:tc>
        <w:tc>
          <w:tcPr>
            <w:tcW w:w="7200" w:type="dxa"/>
            <w:shd w:val="clear" w:color="auto" w:fill="auto"/>
          </w:tcPr>
          <w:p w14:paraId="4501A15B">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r w14:paraId="383BC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1908" w:type="dxa"/>
            <w:shd w:val="clear" w:color="auto" w:fill="auto"/>
            <w:vAlign w:val="center"/>
          </w:tcPr>
          <w:p w14:paraId="34AF6F67">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项目内容说明</w:t>
            </w:r>
          </w:p>
        </w:tc>
        <w:tc>
          <w:tcPr>
            <w:tcW w:w="7200" w:type="dxa"/>
            <w:shd w:val="clear" w:color="auto" w:fill="auto"/>
          </w:tcPr>
          <w:p w14:paraId="343935B2">
            <w:pPr>
              <w:pageBreakBefore w:val="0"/>
              <w:kinsoku/>
              <w:overflowPunct/>
              <w:topLinePunct w:val="0"/>
              <w:bidi w:val="0"/>
              <w:jc w:val="center"/>
              <w:rPr>
                <w:rFonts w:hint="eastAsia" w:asciiTheme="minorEastAsia" w:hAnsiTheme="minorEastAsia" w:eastAsiaTheme="minorEastAsia" w:cstheme="minorEastAsia"/>
                <w:color w:val="auto"/>
                <w:spacing w:val="0"/>
                <w:position w:val="0"/>
                <w:sz w:val="28"/>
                <w:szCs w:val="28"/>
                <w:highlight w:val="none"/>
              </w:rPr>
            </w:pPr>
          </w:p>
        </w:tc>
      </w:tr>
    </w:tbl>
    <w:p w14:paraId="68A242F4">
      <w:pPr>
        <w:pageBreakBefore w:val="0"/>
        <w:kinsoku/>
        <w:overflowPunct/>
        <w:topLinePunct w:val="0"/>
        <w:autoSpaceDE w:val="0"/>
        <w:autoSpaceDN w:val="0"/>
        <w:bidi w:val="0"/>
        <w:spacing w:line="360" w:lineRule="auto"/>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说明：1．每个合同须单独附表，并附上相关证明材料，否则专家在评审时将不予采信；</w:t>
      </w:r>
    </w:p>
    <w:p w14:paraId="3817EA5A">
      <w:pPr>
        <w:pageBreakBefore w:val="0"/>
        <w:kinsoku/>
        <w:overflowPunct/>
        <w:topLinePunct w:val="0"/>
        <w:bidi w:val="0"/>
        <w:spacing w:line="360" w:lineRule="auto"/>
        <w:ind w:firstLine="840" w:firstLineChars="300"/>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2．项目内容请详细说明所承担的具体工作内容；</w:t>
      </w:r>
    </w:p>
    <w:p w14:paraId="147298DC">
      <w:pPr>
        <w:pageBreakBefore w:val="0"/>
        <w:kinsoku/>
        <w:overflowPunct/>
        <w:topLinePunct w:val="0"/>
        <w:bidi w:val="0"/>
        <w:spacing w:line="500" w:lineRule="exac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bookmarkStart w:id="356" w:name="_Toc437611486"/>
    </w:p>
    <w:p w14:paraId="39CDB529">
      <w:pPr>
        <w:pStyle w:val="4"/>
        <w:pageBreakBefore w:val="0"/>
        <w:kinsoku/>
        <w:overflowPunct/>
        <w:topLinePunct w:val="0"/>
        <w:bidi w:val="0"/>
        <w:rPr>
          <w:rFonts w:hint="eastAsia" w:asciiTheme="minorEastAsia" w:hAnsiTheme="minorEastAsia" w:eastAsiaTheme="minorEastAsia" w:cstheme="minorEastAsia"/>
          <w:color w:val="auto"/>
          <w:spacing w:val="0"/>
          <w:position w:val="0"/>
          <w:highlight w:val="none"/>
          <w:lang w:val="en-US" w:eastAsia="zh-CN"/>
        </w:rPr>
      </w:pPr>
      <w:bookmarkStart w:id="357" w:name="_Toc14089"/>
      <w:r>
        <w:rPr>
          <w:rFonts w:hint="eastAsia" w:asciiTheme="minorEastAsia" w:hAnsiTheme="minorEastAsia" w:eastAsiaTheme="minorEastAsia" w:cstheme="minorEastAsia"/>
          <w:color w:val="auto"/>
          <w:spacing w:val="0"/>
          <w:position w:val="0"/>
          <w:highlight w:val="none"/>
          <w:lang w:val="en-US" w:eastAsia="zh-CN"/>
        </w:rPr>
        <w:t>8、磋商文件要求提供或供应商认为需提供的其它资料；</w:t>
      </w:r>
      <w:bookmarkEnd w:id="357"/>
    </w:p>
    <w:p w14:paraId="22FFA610">
      <w:pPr>
        <w:pageBreakBefore w:val="0"/>
        <w:kinsoku/>
        <w:overflowPunct/>
        <w:topLinePunct w:val="0"/>
        <w:bidi w:val="0"/>
        <w:rPr>
          <w:rFonts w:hint="eastAsia" w:asciiTheme="minorEastAsia" w:hAnsiTheme="minorEastAsia" w:eastAsiaTheme="minorEastAsia" w:cstheme="minorEastAsia"/>
          <w:color w:val="auto"/>
          <w:spacing w:val="0"/>
          <w:position w:val="0"/>
          <w:sz w:val="28"/>
          <w:szCs w:val="28"/>
          <w:highlight w:val="none"/>
        </w:rPr>
      </w:pPr>
    </w:p>
    <w:p w14:paraId="1ECD8A30">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652C75F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27069F2D">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98EA252">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EEA5F0C">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3F26EEA">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C8427A5">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B1FD472">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D23FB38">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08FF972">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E4C66DF">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6010256">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7AF765A">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79217C3">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1362CEB1">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534AFF8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A1833F5">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65A8B66">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0E535444">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99F7E34">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5CA6D7E0">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218681D">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36AC4595">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26A0400">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541E0144">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7E2A7F0D">
      <w:pPr>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p w14:paraId="49FDFCFA">
      <w:pPr>
        <w:pStyle w:val="32"/>
        <w:pageBreakBefore w:val="0"/>
        <w:kinsoku/>
        <w:overflowPunct/>
        <w:topLinePunct w:val="0"/>
        <w:bidi w:val="0"/>
        <w:rPr>
          <w:rFonts w:hint="eastAsia" w:asciiTheme="minorEastAsia" w:hAnsiTheme="minorEastAsia" w:eastAsiaTheme="minorEastAsia" w:cstheme="minorEastAsia"/>
          <w:color w:val="auto"/>
          <w:spacing w:val="0"/>
          <w:position w:val="0"/>
          <w:highlight w:val="none"/>
        </w:rPr>
      </w:pPr>
    </w:p>
    <w:bookmarkEnd w:id="356"/>
    <w:p w14:paraId="0C007EEB">
      <w:pPr>
        <w:pStyle w:val="3"/>
        <w:pageBreakBefore w:val="0"/>
        <w:kinsoku/>
        <w:overflowPunct/>
        <w:topLinePunct w:val="0"/>
        <w:bidi w:val="0"/>
        <w:ind w:left="0" w:leftChars="0" w:firstLine="0" w:firstLineChars="0"/>
        <w:jc w:val="center"/>
        <w:rPr>
          <w:rFonts w:hint="eastAsia" w:asciiTheme="minorEastAsia" w:hAnsiTheme="minorEastAsia" w:eastAsiaTheme="minorEastAsia" w:cstheme="minorEastAsia"/>
          <w:color w:val="auto"/>
          <w:spacing w:val="0"/>
          <w:position w:val="0"/>
          <w:highlight w:val="none"/>
        </w:rPr>
      </w:pPr>
      <w:bookmarkStart w:id="358" w:name="_Toc293736072"/>
      <w:bookmarkStart w:id="359" w:name="_Toc446599333"/>
      <w:bookmarkStart w:id="360" w:name="_Toc485896007"/>
      <w:bookmarkStart w:id="361" w:name="_Toc293736029"/>
      <w:bookmarkStart w:id="362" w:name="_Toc8655"/>
      <w:bookmarkStart w:id="363" w:name="_Toc20323"/>
      <w:bookmarkStart w:id="364" w:name="_Toc293739010"/>
      <w:r>
        <w:rPr>
          <w:rFonts w:hint="eastAsia" w:asciiTheme="minorEastAsia" w:hAnsiTheme="minorEastAsia" w:eastAsiaTheme="minorEastAsia" w:cstheme="minorEastAsia"/>
          <w:color w:val="auto"/>
          <w:spacing w:val="0"/>
          <w:position w:val="0"/>
          <w:highlight w:val="none"/>
        </w:rPr>
        <w:t>二、</w:t>
      </w:r>
      <w:bookmarkStart w:id="365" w:name="_Toc257633149"/>
      <w:r>
        <w:rPr>
          <w:rFonts w:hint="eastAsia" w:asciiTheme="minorEastAsia" w:hAnsiTheme="minorEastAsia" w:eastAsiaTheme="minorEastAsia" w:cstheme="minorEastAsia"/>
          <w:color w:val="auto"/>
          <w:spacing w:val="0"/>
          <w:position w:val="0"/>
          <w:highlight w:val="none"/>
        </w:rPr>
        <w:t>技术文件组成</w:t>
      </w:r>
      <w:bookmarkEnd w:id="358"/>
      <w:bookmarkEnd w:id="359"/>
      <w:bookmarkEnd w:id="360"/>
      <w:bookmarkEnd w:id="361"/>
      <w:bookmarkEnd w:id="362"/>
      <w:bookmarkEnd w:id="363"/>
      <w:bookmarkEnd w:id="364"/>
      <w:bookmarkEnd w:id="365"/>
    </w:p>
    <w:p w14:paraId="503DF0F1">
      <w:pPr>
        <w:pStyle w:val="112"/>
        <w:keepNext w:val="0"/>
        <w:keepLines w:val="0"/>
        <w:pageBreakBefore w:val="0"/>
        <w:tabs>
          <w:tab w:val="left" w:pos="5580"/>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i w:val="0"/>
          <w:caps w:val="0"/>
          <w:color w:val="auto"/>
          <w:spacing w:val="0"/>
          <w:w w:val="100"/>
          <w:kern w:val="2"/>
          <w:position w:val="0"/>
          <w:sz w:val="32"/>
          <w:szCs w:val="32"/>
          <w:highlight w:val="none"/>
          <w:lang w:val="en-US" w:eastAsia="zh-CN" w:bidi="ar-SA"/>
        </w:rPr>
      </w:pPr>
      <w:r>
        <w:rPr>
          <w:rStyle w:val="76"/>
          <w:rFonts w:hint="eastAsia" w:ascii="宋体" w:hAnsi="宋体" w:eastAsia="宋体" w:cs="宋体"/>
          <w:b/>
          <w:i w:val="0"/>
          <w:caps w:val="0"/>
          <w:color w:val="auto"/>
          <w:spacing w:val="0"/>
          <w:w w:val="100"/>
          <w:kern w:val="2"/>
          <w:position w:val="0"/>
          <w:sz w:val="32"/>
          <w:szCs w:val="32"/>
          <w:highlight w:val="none"/>
          <w:lang w:val="en-US" w:eastAsia="zh-CN" w:bidi="ar-SA"/>
        </w:rPr>
        <w:t>技术响应、偏离说明表</w:t>
      </w:r>
    </w:p>
    <w:p w14:paraId="2E06FED1">
      <w:pPr>
        <w:keepNext w:val="0"/>
        <w:keepLines w:val="0"/>
        <w:pageBreakBefore w:val="0"/>
        <w:kinsoku/>
        <w:wordWrap/>
        <w:overflowPunct/>
        <w:topLinePunct w:val="0"/>
        <w:bidi w:val="0"/>
        <w:snapToGrid w:val="0"/>
        <w:spacing w:before="0" w:beforeAutospacing="0" w:after="0" w:afterAutospacing="0" w:line="440" w:lineRule="exact"/>
        <w:ind w:left="0" w:right="0"/>
        <w:jc w:val="both"/>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76"/>
          <w:rFonts w:hint="eastAsia" w:ascii="宋体" w:hAnsi="宋体" w:eastAsia="宋体" w:cs="宋体"/>
          <w:b w:val="0"/>
          <w:i w:val="0"/>
          <w:caps w:val="0"/>
          <w:color w:val="auto"/>
          <w:spacing w:val="0"/>
          <w:w w:val="100"/>
          <w:kern w:val="2"/>
          <w:position w:val="0"/>
          <w:sz w:val="24"/>
          <w:szCs w:val="24"/>
          <w:highlight w:val="none"/>
          <w:lang w:val="en-US" w:eastAsia="zh-CN"/>
        </w:rPr>
        <w:t>项目编号：</w:t>
      </w:r>
    </w:p>
    <w:p w14:paraId="63735173">
      <w:pPr>
        <w:keepNext w:val="0"/>
        <w:keepLines w:val="0"/>
        <w:pageBreakBefore w:val="0"/>
        <w:kinsoku/>
        <w:wordWrap/>
        <w:overflowPunct/>
        <w:topLinePunct w:val="0"/>
        <w:bidi w:val="0"/>
        <w:snapToGrid w:val="0"/>
        <w:spacing w:before="0" w:beforeAutospacing="0" w:after="0" w:afterAutospacing="0" w:line="440" w:lineRule="exact"/>
        <w:ind w:left="0" w:right="0"/>
        <w:jc w:val="both"/>
        <w:textAlignment w:val="baseline"/>
        <w:rPr>
          <w:rStyle w:val="76"/>
          <w:rFonts w:hint="eastAsia" w:ascii="宋体" w:hAnsi="宋体" w:eastAsia="宋体" w:cs="宋体"/>
          <w:b w:val="0"/>
          <w:i w:val="0"/>
          <w:caps w:val="0"/>
          <w:color w:val="auto"/>
          <w:spacing w:val="0"/>
          <w:w w:val="100"/>
          <w:kern w:val="2"/>
          <w:position w:val="0"/>
          <w:sz w:val="24"/>
          <w:szCs w:val="24"/>
          <w:highlight w:val="none"/>
          <w:u w:val="single" w:color="000000"/>
          <w:lang w:val="en-US" w:eastAsia="zh-CN" w:bidi="ar-SA"/>
        </w:rPr>
      </w:pPr>
      <w:r>
        <w:rPr>
          <w:rStyle w:val="76"/>
          <w:rFonts w:hint="eastAsia" w:ascii="宋体" w:hAnsi="宋体" w:eastAsia="宋体" w:cs="宋体"/>
          <w:b w:val="0"/>
          <w:i w:val="0"/>
          <w:caps w:val="0"/>
          <w:color w:val="auto"/>
          <w:spacing w:val="0"/>
          <w:w w:val="100"/>
          <w:kern w:val="2"/>
          <w:position w:val="0"/>
          <w:sz w:val="24"/>
          <w:szCs w:val="24"/>
          <w:highlight w:val="none"/>
          <w:lang w:val="en-US" w:eastAsia="zh-CN"/>
        </w:rPr>
        <w:t>项目名称：</w:t>
      </w:r>
    </w:p>
    <w:p w14:paraId="54C5C47A">
      <w:pPr>
        <w:pStyle w:val="113"/>
        <w:keepNext w:val="0"/>
        <w:keepLines w:val="0"/>
        <w:pageBreakBefore w:val="0"/>
        <w:widowControl/>
        <w:kinsoku/>
        <w:wordWrap/>
        <w:overflowPunct/>
        <w:topLinePunct w:val="0"/>
        <w:bidi w:val="0"/>
        <w:snapToGrid/>
        <w:spacing w:before="0" w:beforeAutospacing="0" w:after="0" w:afterAutospacing="0" w:line="440" w:lineRule="exact"/>
        <w:ind w:left="0" w:leftChars="0" w:firstLine="433" w:firstLineChars="0"/>
        <w:jc w:val="both"/>
        <w:textAlignment w:val="baseline"/>
        <w:rPr>
          <w:rStyle w:val="76"/>
          <w:rFonts w:hint="eastAsia" w:ascii="宋体" w:hAnsi="宋体" w:eastAsia="宋体" w:cs="宋体"/>
          <w:b w:val="0"/>
          <w:i w:val="0"/>
          <w:caps w:val="0"/>
          <w:color w:val="auto"/>
          <w:spacing w:val="0"/>
          <w:w w:val="100"/>
          <w:kern w:val="0"/>
          <w:position w:val="0"/>
          <w:sz w:val="24"/>
          <w:szCs w:val="24"/>
          <w:highlight w:val="none"/>
          <w:lang w:val="en-US" w:eastAsia="zh-CN" w:bidi="ar-SA"/>
        </w:rPr>
      </w:pPr>
      <w:r>
        <w:rPr>
          <w:rStyle w:val="76"/>
          <w:rFonts w:hint="eastAsia" w:ascii="宋体" w:hAnsi="宋体" w:eastAsia="宋体" w:cs="宋体"/>
          <w:b w:val="0"/>
          <w:i w:val="0"/>
          <w:caps w:val="0"/>
          <w:color w:val="auto"/>
          <w:spacing w:val="0"/>
          <w:w w:val="100"/>
          <w:kern w:val="0"/>
          <w:position w:val="0"/>
          <w:sz w:val="24"/>
          <w:szCs w:val="24"/>
          <w:highlight w:val="none"/>
          <w:u w:val="single" w:color="000000"/>
          <w:lang w:val="en-US" w:eastAsia="zh-CN" w:bidi="ar-SA"/>
        </w:rPr>
        <w:t xml:space="preserve">                     </w:t>
      </w:r>
    </w:p>
    <w:tbl>
      <w:tblPr>
        <w:tblStyle w:val="34"/>
        <w:tblW w:w="81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8"/>
        <w:gridCol w:w="2570"/>
        <w:gridCol w:w="2209"/>
        <w:gridCol w:w="1132"/>
        <w:gridCol w:w="1063"/>
      </w:tblGrid>
      <w:tr w14:paraId="08B60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3" w:hRule="atLeast"/>
          <w:jc w:val="center"/>
        </w:trPr>
        <w:tc>
          <w:tcPr>
            <w:tcW w:w="1168" w:type="dxa"/>
            <w:tcBorders>
              <w:top w:val="single" w:color="000000" w:sz="12" w:space="0"/>
              <w:left w:val="single" w:color="000000" w:sz="12" w:space="0"/>
              <w:bottom w:val="single" w:color="000000" w:sz="4" w:space="0"/>
              <w:right w:val="single" w:color="000000" w:sz="4" w:space="0"/>
            </w:tcBorders>
            <w:vAlign w:val="center"/>
          </w:tcPr>
          <w:p w14:paraId="1BDB8AEE">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t>序号</w:t>
            </w:r>
          </w:p>
        </w:tc>
        <w:tc>
          <w:tcPr>
            <w:tcW w:w="2570" w:type="dxa"/>
            <w:tcBorders>
              <w:top w:val="single" w:color="000000" w:sz="12" w:space="0"/>
              <w:left w:val="single" w:color="000000" w:sz="4" w:space="0"/>
              <w:bottom w:val="single" w:color="000000" w:sz="4" w:space="0"/>
              <w:right w:val="single" w:color="000000" w:sz="4" w:space="0"/>
            </w:tcBorders>
            <w:vAlign w:val="center"/>
          </w:tcPr>
          <w:p w14:paraId="17C47343">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Fonts w:hint="eastAsia" w:ascii="宋体" w:hAnsi="宋体" w:cs="宋体"/>
                <w:color w:val="auto"/>
                <w:spacing w:val="0"/>
                <w:position w:val="0"/>
                <w:sz w:val="24"/>
                <w:szCs w:val="24"/>
                <w:highlight w:val="none"/>
                <w:lang w:val="en-US" w:eastAsia="zh-CN"/>
              </w:rPr>
              <w:t>磋商</w:t>
            </w:r>
            <w:r>
              <w:rPr>
                <w:rFonts w:hint="eastAsia" w:ascii="宋体" w:hAnsi="宋体" w:eastAsia="宋体" w:cs="宋体"/>
                <w:color w:val="auto"/>
                <w:spacing w:val="0"/>
                <w:position w:val="0"/>
                <w:sz w:val="24"/>
                <w:szCs w:val="24"/>
                <w:highlight w:val="none"/>
              </w:rPr>
              <w:t>文件技术规范、要求</w:t>
            </w:r>
          </w:p>
        </w:tc>
        <w:tc>
          <w:tcPr>
            <w:tcW w:w="2209" w:type="dxa"/>
            <w:tcBorders>
              <w:top w:val="single" w:color="000000" w:sz="12" w:space="0"/>
              <w:left w:val="single" w:color="000000" w:sz="4" w:space="0"/>
              <w:bottom w:val="single" w:color="000000" w:sz="4" w:space="0"/>
              <w:right w:val="single" w:color="000000" w:sz="4" w:space="0"/>
            </w:tcBorders>
            <w:vAlign w:val="center"/>
          </w:tcPr>
          <w:p w14:paraId="1289E485">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Fonts w:hint="eastAsia" w:ascii="宋体" w:hAnsi="宋体" w:cs="宋体"/>
                <w:color w:val="auto"/>
                <w:spacing w:val="0"/>
                <w:position w:val="0"/>
                <w:sz w:val="24"/>
                <w:szCs w:val="24"/>
                <w:highlight w:val="none"/>
                <w:lang w:val="en-US" w:eastAsia="zh-CN"/>
              </w:rPr>
              <w:t>响应</w:t>
            </w:r>
            <w:r>
              <w:rPr>
                <w:rFonts w:hint="eastAsia" w:ascii="宋体" w:hAnsi="宋体" w:eastAsia="宋体" w:cs="宋体"/>
                <w:color w:val="auto"/>
                <w:spacing w:val="0"/>
                <w:position w:val="0"/>
                <w:sz w:val="24"/>
                <w:szCs w:val="24"/>
                <w:highlight w:val="none"/>
              </w:rPr>
              <w:t>文件对应规范</w:t>
            </w:r>
          </w:p>
        </w:tc>
        <w:tc>
          <w:tcPr>
            <w:tcW w:w="1132" w:type="dxa"/>
            <w:tcBorders>
              <w:top w:val="single" w:color="000000" w:sz="12" w:space="0"/>
              <w:left w:val="single" w:color="000000" w:sz="4" w:space="0"/>
              <w:bottom w:val="single" w:color="000000" w:sz="4" w:space="0"/>
              <w:right w:val="single" w:color="000000" w:sz="4" w:space="0"/>
            </w:tcBorders>
            <w:vAlign w:val="center"/>
          </w:tcPr>
          <w:p w14:paraId="09CA27BF">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t>偏差</w:t>
            </w:r>
          </w:p>
        </w:tc>
        <w:tc>
          <w:tcPr>
            <w:tcW w:w="1063" w:type="dxa"/>
            <w:tcBorders>
              <w:top w:val="single" w:color="000000" w:sz="12" w:space="0"/>
              <w:left w:val="single" w:color="000000" w:sz="4" w:space="0"/>
              <w:bottom w:val="single" w:color="000000" w:sz="4" w:space="0"/>
              <w:right w:val="single" w:color="000000" w:sz="12" w:space="0"/>
            </w:tcBorders>
            <w:vAlign w:val="center"/>
          </w:tcPr>
          <w:p w14:paraId="210C00A7">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pPr>
            <w:r>
              <w:rPr>
                <w:rStyle w:val="76"/>
                <w:rFonts w:hint="eastAsia" w:ascii="宋体" w:hAnsi="宋体" w:eastAsia="宋体" w:cs="宋体"/>
                <w:b w:val="0"/>
                <w:bCs/>
                <w:i w:val="0"/>
                <w:caps w:val="0"/>
                <w:color w:val="auto"/>
                <w:spacing w:val="0"/>
                <w:w w:val="100"/>
                <w:kern w:val="2"/>
                <w:position w:val="0"/>
                <w:sz w:val="24"/>
                <w:szCs w:val="24"/>
                <w:highlight w:val="none"/>
                <w:lang w:val="en-US" w:eastAsia="zh-CN" w:bidi="ar-SA"/>
              </w:rPr>
              <w:t>备注</w:t>
            </w:r>
          </w:p>
        </w:tc>
      </w:tr>
      <w:tr w14:paraId="5E447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68" w:type="dxa"/>
            <w:tcBorders>
              <w:top w:val="single" w:color="000000" w:sz="4" w:space="0"/>
              <w:left w:val="single" w:color="000000" w:sz="12" w:space="0"/>
              <w:bottom w:val="single" w:color="000000" w:sz="4" w:space="0"/>
              <w:right w:val="single" w:color="000000" w:sz="4" w:space="0"/>
            </w:tcBorders>
            <w:vAlign w:val="center"/>
          </w:tcPr>
          <w:p w14:paraId="3956C2A9">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12EE5CE4">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4310CEA1">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86631BD">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12" w:space="0"/>
            </w:tcBorders>
            <w:vAlign w:val="center"/>
          </w:tcPr>
          <w:p w14:paraId="370443AA">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r w14:paraId="19A6B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68" w:type="dxa"/>
            <w:tcBorders>
              <w:top w:val="single" w:color="000000" w:sz="4" w:space="0"/>
              <w:left w:val="single" w:color="000000" w:sz="12" w:space="0"/>
              <w:bottom w:val="single" w:color="000000" w:sz="4" w:space="0"/>
              <w:right w:val="single" w:color="000000" w:sz="4" w:space="0"/>
            </w:tcBorders>
            <w:vAlign w:val="center"/>
          </w:tcPr>
          <w:p w14:paraId="6E953896">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4BEC6F1D">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45148349">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1D5C4F8E">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12" w:space="0"/>
            </w:tcBorders>
            <w:vAlign w:val="center"/>
          </w:tcPr>
          <w:p w14:paraId="018CB2D6">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r w14:paraId="273C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168" w:type="dxa"/>
            <w:tcBorders>
              <w:top w:val="single" w:color="000000" w:sz="4" w:space="0"/>
              <w:left w:val="single" w:color="000000" w:sz="12" w:space="0"/>
              <w:bottom w:val="single" w:color="000000" w:sz="4" w:space="0"/>
              <w:right w:val="single" w:color="000000" w:sz="4" w:space="0"/>
            </w:tcBorders>
            <w:vAlign w:val="center"/>
          </w:tcPr>
          <w:p w14:paraId="321D9F64">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4" w:space="0"/>
              <w:right w:val="single" w:color="000000" w:sz="4" w:space="0"/>
            </w:tcBorders>
            <w:vAlign w:val="center"/>
          </w:tcPr>
          <w:p w14:paraId="106508AF">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4" w:space="0"/>
              <w:right w:val="single" w:color="000000" w:sz="4" w:space="0"/>
            </w:tcBorders>
            <w:vAlign w:val="center"/>
          </w:tcPr>
          <w:p w14:paraId="3D014156">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4" w:space="0"/>
              <w:right w:val="single" w:color="000000" w:sz="4" w:space="0"/>
            </w:tcBorders>
            <w:vAlign w:val="center"/>
          </w:tcPr>
          <w:p w14:paraId="4176FD29">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4" w:space="0"/>
              <w:right w:val="single" w:color="000000" w:sz="12" w:space="0"/>
            </w:tcBorders>
            <w:vAlign w:val="center"/>
          </w:tcPr>
          <w:p w14:paraId="1510C5ED">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r w14:paraId="43C67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jc w:val="center"/>
        </w:trPr>
        <w:tc>
          <w:tcPr>
            <w:tcW w:w="1168" w:type="dxa"/>
            <w:tcBorders>
              <w:top w:val="single" w:color="000000" w:sz="4" w:space="0"/>
              <w:left w:val="single" w:color="000000" w:sz="12" w:space="0"/>
              <w:bottom w:val="single" w:color="000000" w:sz="12" w:space="0"/>
              <w:right w:val="single" w:color="000000" w:sz="4" w:space="0"/>
            </w:tcBorders>
            <w:vAlign w:val="center"/>
          </w:tcPr>
          <w:p w14:paraId="50979F09">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570" w:type="dxa"/>
            <w:tcBorders>
              <w:top w:val="single" w:color="000000" w:sz="4" w:space="0"/>
              <w:left w:val="single" w:color="000000" w:sz="4" w:space="0"/>
              <w:bottom w:val="single" w:color="000000" w:sz="12" w:space="0"/>
              <w:right w:val="single" w:color="000000" w:sz="4" w:space="0"/>
            </w:tcBorders>
            <w:vAlign w:val="center"/>
          </w:tcPr>
          <w:p w14:paraId="0A454231">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2209" w:type="dxa"/>
            <w:tcBorders>
              <w:top w:val="single" w:color="000000" w:sz="4" w:space="0"/>
              <w:left w:val="single" w:color="000000" w:sz="4" w:space="0"/>
              <w:bottom w:val="single" w:color="000000" w:sz="12" w:space="0"/>
              <w:right w:val="single" w:color="000000" w:sz="4" w:space="0"/>
            </w:tcBorders>
            <w:vAlign w:val="center"/>
          </w:tcPr>
          <w:p w14:paraId="73677A3B">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132" w:type="dxa"/>
            <w:tcBorders>
              <w:top w:val="single" w:color="000000" w:sz="4" w:space="0"/>
              <w:left w:val="single" w:color="000000" w:sz="4" w:space="0"/>
              <w:bottom w:val="single" w:color="000000" w:sz="12" w:space="0"/>
              <w:right w:val="single" w:color="000000" w:sz="4" w:space="0"/>
            </w:tcBorders>
            <w:vAlign w:val="center"/>
          </w:tcPr>
          <w:p w14:paraId="48760B28">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c>
          <w:tcPr>
            <w:tcW w:w="1063" w:type="dxa"/>
            <w:tcBorders>
              <w:top w:val="single" w:color="000000" w:sz="4" w:space="0"/>
              <w:left w:val="single" w:color="000000" w:sz="4" w:space="0"/>
              <w:bottom w:val="single" w:color="000000" w:sz="12" w:space="0"/>
              <w:right w:val="single" w:color="000000" w:sz="12" w:space="0"/>
            </w:tcBorders>
            <w:vAlign w:val="center"/>
          </w:tcPr>
          <w:p w14:paraId="003F8ECE">
            <w:pPr>
              <w:pStyle w:val="112"/>
              <w:keepNext w:val="0"/>
              <w:keepLines w:val="0"/>
              <w:pageBreakBefore w:val="0"/>
              <w:tabs>
                <w:tab w:val="left" w:pos="1337"/>
              </w:tabs>
              <w:kinsoku/>
              <w:wordWrap/>
              <w:overflowPunct/>
              <w:topLinePunct w:val="0"/>
              <w:bidi w:val="0"/>
              <w:snapToGrid/>
              <w:spacing w:before="0" w:beforeAutospacing="0" w:after="0" w:afterAutospacing="0" w:line="440" w:lineRule="exact"/>
              <w:jc w:val="center"/>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p>
        </w:tc>
      </w:tr>
    </w:tbl>
    <w:p w14:paraId="19ECDD8E">
      <w:pPr>
        <w:pStyle w:val="112"/>
        <w:keepNext w:val="0"/>
        <w:keepLines w:val="0"/>
        <w:pageBreakBefore w:val="0"/>
        <w:kinsoku/>
        <w:wordWrap/>
        <w:overflowPunct/>
        <w:topLinePunct w:val="0"/>
        <w:bidi w:val="0"/>
        <w:snapToGrid/>
        <w:spacing w:before="0" w:beforeAutospacing="0" w:after="0" w:afterAutospacing="0" w:line="440" w:lineRule="exact"/>
        <w:ind w:left="2"/>
        <w:jc w:val="both"/>
        <w:textAlignment w:val="baseline"/>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pPr>
      <w:r>
        <w:rPr>
          <w:rStyle w:val="76"/>
          <w:rFonts w:hint="eastAsia" w:ascii="宋体" w:hAnsi="宋体" w:eastAsia="宋体" w:cs="宋体"/>
          <w:b w:val="0"/>
          <w:i w:val="0"/>
          <w:caps w:val="0"/>
          <w:color w:val="auto"/>
          <w:spacing w:val="0"/>
          <w:w w:val="100"/>
          <w:kern w:val="2"/>
          <w:position w:val="0"/>
          <w:sz w:val="24"/>
          <w:szCs w:val="24"/>
          <w:highlight w:val="none"/>
          <w:lang w:val="en-US" w:eastAsia="zh-CN" w:bidi="ar-SA"/>
        </w:rPr>
        <w:t>说明：如供应商提交的技术规范与招标文件的要求存在偏离，需逐项填写《技术规范偏离表》。</w:t>
      </w:r>
    </w:p>
    <w:p w14:paraId="4DB3A2FE">
      <w:pPr>
        <w:pStyle w:val="114"/>
        <w:keepNext w:val="0"/>
        <w:keepLines w:val="0"/>
        <w:pageBreakBefore w:val="0"/>
        <w:widowControl/>
        <w:kinsoku/>
        <w:wordWrap/>
        <w:overflowPunct/>
        <w:topLinePunct w:val="0"/>
        <w:bidi w:val="0"/>
        <w:snapToGrid/>
        <w:spacing w:before="0" w:beforeAutospacing="0" w:after="0" w:afterAutospacing="0" w:line="440" w:lineRule="exact"/>
        <w:ind w:right="960"/>
        <w:jc w:val="both"/>
        <w:textAlignment w:val="baseline"/>
        <w:rPr>
          <w:rStyle w:val="76"/>
          <w:rFonts w:hint="eastAsia" w:ascii="宋体" w:hAnsi="宋体" w:eastAsia="宋体" w:cs="宋体"/>
          <w:b w:val="0"/>
          <w:i w:val="0"/>
          <w:caps w:val="0"/>
          <w:color w:val="auto"/>
          <w:spacing w:val="0"/>
          <w:w w:val="100"/>
          <w:kern w:val="2"/>
          <w:position w:val="0"/>
          <w:sz w:val="24"/>
          <w:szCs w:val="24"/>
          <w:highlight w:val="none"/>
        </w:rPr>
      </w:pPr>
    </w:p>
    <w:p w14:paraId="7C346278">
      <w:pPr>
        <w:pStyle w:val="114"/>
        <w:keepNext w:val="0"/>
        <w:keepLines w:val="0"/>
        <w:pageBreakBefore w:val="0"/>
        <w:widowControl/>
        <w:kinsoku/>
        <w:wordWrap/>
        <w:overflowPunct/>
        <w:topLinePunct w:val="0"/>
        <w:bidi w:val="0"/>
        <w:snapToGrid/>
        <w:spacing w:before="0" w:beforeAutospacing="0" w:after="0" w:afterAutospacing="0" w:line="440" w:lineRule="exact"/>
        <w:ind w:right="17"/>
        <w:jc w:val="right"/>
        <w:textAlignment w:val="baseline"/>
        <w:rPr>
          <w:rStyle w:val="76"/>
          <w:rFonts w:hint="eastAsia" w:ascii="宋体" w:hAnsi="宋体" w:eastAsia="宋体" w:cs="宋体"/>
          <w:b w:val="0"/>
          <w:i w:val="0"/>
          <w:caps w:val="0"/>
          <w:color w:val="auto"/>
          <w:spacing w:val="0"/>
          <w:w w:val="100"/>
          <w:kern w:val="2"/>
          <w:position w:val="0"/>
          <w:sz w:val="24"/>
          <w:szCs w:val="24"/>
          <w:highlight w:val="none"/>
        </w:rPr>
      </w:pPr>
      <w:r>
        <w:rPr>
          <w:rStyle w:val="76"/>
          <w:rFonts w:hint="eastAsia" w:ascii="宋体" w:hAnsi="宋体" w:eastAsia="宋体" w:cs="宋体"/>
          <w:b w:val="0"/>
          <w:i w:val="0"/>
          <w:caps w:val="0"/>
          <w:color w:val="auto"/>
          <w:spacing w:val="0"/>
          <w:w w:val="100"/>
          <w:kern w:val="2"/>
          <w:position w:val="0"/>
          <w:sz w:val="24"/>
          <w:szCs w:val="24"/>
          <w:highlight w:val="none"/>
        </w:rPr>
        <w:t>年  月  日</w:t>
      </w:r>
    </w:p>
    <w:p w14:paraId="423E410A">
      <w:pPr>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492A50C0">
      <w:pPr>
        <w:pageBreakBefore w:val="0"/>
        <w:tabs>
          <w:tab w:val="left" w:pos="1365"/>
        </w:tabs>
        <w:kinsoku/>
        <w:overflowPunct/>
        <w:topLinePunct w:val="0"/>
        <w:bidi w:val="0"/>
        <w:spacing w:line="360" w:lineRule="auto"/>
        <w:ind w:firstLine="560" w:firstLineChars="20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由各供应商根据参考格式要求自行编写。目录清晰、内容详尽、易于理解和评审并富有建设性的技术方案将在评审时具有优势。具体内容应包括但不限于：</w:t>
      </w:r>
    </w:p>
    <w:p w14:paraId="4F5DF0D9">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rPr>
        <w:t>1</w:t>
      </w:r>
      <w:r>
        <w:rPr>
          <w:rFonts w:hint="eastAsia" w:asciiTheme="minorEastAsia" w:hAnsiTheme="minorEastAsia" w:eastAsiaTheme="minorEastAsia" w:cstheme="minorEastAsia"/>
          <w:color w:val="auto"/>
          <w:spacing w:val="0"/>
          <w:position w:val="0"/>
          <w:sz w:val="28"/>
          <w:szCs w:val="28"/>
          <w:highlight w:val="none"/>
        </w:rPr>
        <w:t>、</w:t>
      </w:r>
      <w:r>
        <w:rPr>
          <w:rFonts w:hint="eastAsia" w:asciiTheme="minorEastAsia" w:hAnsiTheme="minorEastAsia" w:eastAsiaTheme="minorEastAsia" w:cstheme="minorEastAsia"/>
          <w:color w:val="auto"/>
          <w:spacing w:val="0"/>
          <w:position w:val="0"/>
          <w:sz w:val="28"/>
          <w:szCs w:val="28"/>
          <w:highlight w:val="none"/>
          <w:lang w:eastAsia="zh-CN"/>
        </w:rPr>
        <w:t>项目实施</w:t>
      </w:r>
      <w:r>
        <w:rPr>
          <w:rFonts w:hint="eastAsia" w:asciiTheme="minorEastAsia" w:hAnsiTheme="minorEastAsia" w:eastAsiaTheme="minorEastAsia" w:cstheme="minorEastAsia"/>
          <w:color w:val="auto"/>
          <w:spacing w:val="0"/>
          <w:position w:val="0"/>
          <w:sz w:val="28"/>
          <w:szCs w:val="28"/>
          <w:highlight w:val="none"/>
        </w:rPr>
        <w:t>方案；</w:t>
      </w:r>
    </w:p>
    <w:p w14:paraId="0DC689EC">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auto"/>
          <w:spacing w:val="0"/>
          <w:position w:val="0"/>
          <w:sz w:val="28"/>
          <w:szCs w:val="28"/>
          <w:highlight w:val="none"/>
          <w:lang w:val="en-US" w:eastAsia="zh-CN"/>
        </w:rPr>
      </w:pPr>
      <w:r>
        <w:rPr>
          <w:rFonts w:hint="eastAsia" w:asciiTheme="minorEastAsia" w:hAnsiTheme="minorEastAsia" w:eastAsiaTheme="minorEastAsia" w:cstheme="minorEastAsia"/>
          <w:color w:val="auto"/>
          <w:spacing w:val="0"/>
          <w:position w:val="0"/>
          <w:sz w:val="28"/>
          <w:szCs w:val="28"/>
          <w:highlight w:val="none"/>
          <w:lang w:val="en-US" w:eastAsia="zh-CN"/>
        </w:rPr>
        <w:t>2、服务承诺；</w:t>
      </w:r>
    </w:p>
    <w:p w14:paraId="231006C0">
      <w:pPr>
        <w:pageBreakBefore w:val="0"/>
        <w:tabs>
          <w:tab w:val="left" w:pos="1365"/>
        </w:tabs>
        <w:kinsoku/>
        <w:overflowPunct/>
        <w:topLinePunct w:val="0"/>
        <w:bidi w:val="0"/>
        <w:spacing w:line="360" w:lineRule="auto"/>
        <w:ind w:firstLine="565" w:firstLineChars="202"/>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lang w:val="en-US" w:eastAsia="zh-CN"/>
        </w:rPr>
        <w:t>3、</w:t>
      </w:r>
      <w:r>
        <w:rPr>
          <w:rFonts w:hint="eastAsia" w:asciiTheme="minorEastAsia" w:hAnsiTheme="minorEastAsia" w:eastAsiaTheme="minorEastAsia" w:cstheme="minorEastAsia"/>
          <w:color w:val="auto"/>
          <w:spacing w:val="0"/>
          <w:position w:val="0"/>
          <w:sz w:val="28"/>
          <w:szCs w:val="28"/>
          <w:highlight w:val="none"/>
        </w:rPr>
        <w:t>磋商文件要求提供或供应商认为需提供的其它资料。</w:t>
      </w:r>
    </w:p>
    <w:p w14:paraId="45C696D2">
      <w:pPr>
        <w:pageBreakBefore w:val="0"/>
        <w:tabs>
          <w:tab w:val="left" w:pos="1365"/>
        </w:tabs>
        <w:kinsoku/>
        <w:overflowPunct/>
        <w:topLinePunct w:val="0"/>
        <w:bidi w:val="0"/>
        <w:spacing w:line="360" w:lineRule="auto"/>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t>说明：响应文件技术服务文件的编制原则，一是按文件要求，提供相应说明、资料、表格以证明所投服务是否响应磋商文件要求；二是对应项目评审标准，充分体现所投服务对于评分标准的响应程度和优势。注明：各供应商根据项目的需要参照以上内容制作响应文件。</w:t>
      </w:r>
    </w:p>
    <w:p w14:paraId="6780A126">
      <w:pPr>
        <w:pageBreakBefore w:val="0"/>
        <w:widowControl/>
        <w:kinsoku/>
        <w:overflowPunct/>
        <w:topLinePunct w:val="0"/>
        <w:bidi w:val="0"/>
        <w:jc w:val="left"/>
        <w:rPr>
          <w:rFonts w:hint="eastAsia" w:asciiTheme="minorEastAsia" w:hAnsiTheme="minorEastAsia" w:eastAsiaTheme="minorEastAsia" w:cstheme="minorEastAsia"/>
          <w:color w:val="auto"/>
          <w:spacing w:val="0"/>
          <w:position w:val="0"/>
          <w:sz w:val="28"/>
          <w:szCs w:val="28"/>
          <w:highlight w:val="none"/>
        </w:rPr>
      </w:pPr>
      <w:r>
        <w:rPr>
          <w:rFonts w:hint="eastAsia" w:asciiTheme="minorEastAsia" w:hAnsiTheme="minorEastAsia" w:eastAsiaTheme="minorEastAsia" w:cstheme="minorEastAsia"/>
          <w:color w:val="auto"/>
          <w:spacing w:val="0"/>
          <w:position w:val="0"/>
          <w:sz w:val="28"/>
          <w:szCs w:val="28"/>
          <w:highlight w:val="none"/>
        </w:rPr>
        <w:br w:type="page"/>
      </w:r>
    </w:p>
    <w:p w14:paraId="50D4303B">
      <w:pPr>
        <w:pageBreakBefore w:val="0"/>
        <w:kinsoku/>
        <w:overflowPunct/>
        <w:topLinePunct w:val="0"/>
        <w:bidi w:val="0"/>
        <w:jc w:val="center"/>
        <w:rPr>
          <w:rStyle w:val="76"/>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pPr>
      <w:r>
        <w:rPr>
          <w:rStyle w:val="76"/>
          <w:rFonts w:hint="eastAsia" w:asciiTheme="minorEastAsia" w:hAnsiTheme="minorEastAsia" w:eastAsiaTheme="minorEastAsia" w:cstheme="minorEastAsia"/>
          <w:b/>
          <w:bCs/>
          <w:i w:val="0"/>
          <w:caps w:val="0"/>
          <w:color w:val="auto"/>
          <w:spacing w:val="0"/>
          <w:w w:val="100"/>
          <w:kern w:val="2"/>
          <w:position w:val="0"/>
          <w:sz w:val="28"/>
          <w:szCs w:val="28"/>
          <w:highlight w:val="none"/>
          <w:lang w:val="en-US" w:eastAsia="zh-CN" w:bidi="ar-SA"/>
        </w:rPr>
        <w:t>磋商文件补充材料</w:t>
      </w:r>
    </w:p>
    <w:p w14:paraId="1A525A52">
      <w:pPr>
        <w:keepNext w:val="0"/>
        <w:keepLines w:val="0"/>
        <w:pageBreakBefore w:val="0"/>
        <w:widowControl/>
        <w:suppressLineNumbers w:val="0"/>
        <w:kinsoku/>
        <w:overflowPunct/>
        <w:topLinePunct w:val="0"/>
        <w:bidi w:val="0"/>
        <w:jc w:val="left"/>
        <w:rPr>
          <w:rFonts w:hint="eastAsia" w:asciiTheme="minorEastAsia" w:hAnsiTheme="minorEastAsia" w:eastAsiaTheme="minorEastAsia" w:cstheme="minorEastAsia"/>
          <w:color w:val="auto"/>
          <w:spacing w:val="0"/>
          <w:position w:val="0"/>
          <w:highlight w:val="none"/>
        </w:rPr>
      </w:pPr>
      <w:r>
        <w:rPr>
          <w:rFonts w:hint="eastAsia" w:asciiTheme="minorEastAsia" w:hAnsiTheme="minorEastAsia" w:eastAsiaTheme="minorEastAsia" w:cstheme="minorEastAsia"/>
          <w:b/>
          <w:bCs/>
          <w:color w:val="auto"/>
          <w:spacing w:val="0"/>
          <w:kern w:val="0"/>
          <w:position w:val="0"/>
          <w:sz w:val="24"/>
          <w:szCs w:val="24"/>
          <w:highlight w:val="none"/>
          <w:lang w:val="en-US" w:eastAsia="zh-CN" w:bidi="ar"/>
        </w:rPr>
        <w:t>1、关于印发中小企业划型标准规定的通知（不属于响应文件格式，仅作为判断中小企业的依据）</w:t>
      </w:r>
    </w:p>
    <w:p w14:paraId="08946AC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Style w:val="37"/>
          <w:rFonts w:hint="eastAsia" w:asciiTheme="minorEastAsia" w:hAnsiTheme="minorEastAsia" w:eastAsiaTheme="minorEastAsia" w:cstheme="minorEastAsia"/>
          <w:i w:val="0"/>
          <w:iCs w:val="0"/>
          <w:caps w:val="0"/>
          <w:color w:val="auto"/>
          <w:spacing w:val="0"/>
          <w:position w:val="0"/>
          <w:sz w:val="36"/>
          <w:szCs w:val="36"/>
          <w:highlight w:val="none"/>
          <w:lang w:eastAsia="zh-CN"/>
        </w:rPr>
      </w:pPr>
      <w:r>
        <w:rPr>
          <w:rStyle w:val="37"/>
          <w:rFonts w:hint="eastAsia" w:asciiTheme="minorEastAsia" w:hAnsiTheme="minorEastAsia" w:eastAsiaTheme="minorEastAsia" w:cstheme="minorEastAsia"/>
          <w:i w:val="0"/>
          <w:iCs w:val="0"/>
          <w:caps w:val="0"/>
          <w:color w:val="auto"/>
          <w:spacing w:val="0"/>
          <w:position w:val="0"/>
          <w:sz w:val="36"/>
          <w:szCs w:val="36"/>
          <w:highlight w:val="none"/>
        </w:rPr>
        <w:t>关于印发中小企业划型标准规定的通知</w:t>
      </w:r>
    </w:p>
    <w:p w14:paraId="2088A0A2">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工信部联企业〔2011〕300号</w:t>
      </w:r>
    </w:p>
    <w:p w14:paraId="56C591F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各省、自治区、直辖市人民政府，国务院各部委、各直属机构及有关单位：</w:t>
      </w:r>
    </w:p>
    <w:p w14:paraId="075178D1">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01D856">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工业和信息化部　国家统计局</w:t>
      </w:r>
    </w:p>
    <w:p w14:paraId="20A6D2A9">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国家发展和改革委员会　财政部</w:t>
      </w:r>
    </w:p>
    <w:p w14:paraId="187AF4E7">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二○一一年六月十八日</w:t>
      </w:r>
    </w:p>
    <w:p w14:paraId="0D2C9A4F">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Fonts w:hint="eastAsia" w:asciiTheme="minorEastAsia" w:hAnsiTheme="minorEastAsia" w:eastAsiaTheme="minorEastAsia" w:cstheme="minorEastAsia"/>
          <w:i w:val="0"/>
          <w:iCs w:val="0"/>
          <w:caps w:val="0"/>
          <w:color w:val="auto"/>
          <w:spacing w:val="0"/>
          <w:position w:val="0"/>
          <w:sz w:val="21"/>
          <w:szCs w:val="21"/>
          <w:highlight w:val="none"/>
        </w:rPr>
        <w:t> </w:t>
      </w:r>
    </w:p>
    <w:p w14:paraId="0F39648B">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bidi w:val="0"/>
        <w:spacing w:before="0" w:beforeAutospacing="0" w:after="0" w:afterAutospacing="0"/>
        <w:ind w:left="0" w:right="0" w:firstLine="0"/>
        <w:jc w:val="center"/>
        <w:textAlignment w:val="center"/>
        <w:rPr>
          <w:rFonts w:hint="eastAsia" w:asciiTheme="minorEastAsia" w:hAnsiTheme="minorEastAsia" w:eastAsiaTheme="minorEastAsia" w:cstheme="minorEastAsia"/>
          <w:i w:val="0"/>
          <w:iCs w:val="0"/>
          <w:caps w:val="0"/>
          <w:color w:val="auto"/>
          <w:spacing w:val="0"/>
          <w:position w:val="0"/>
          <w:sz w:val="21"/>
          <w:szCs w:val="21"/>
          <w:highlight w:val="none"/>
        </w:rPr>
      </w:pPr>
      <w:r>
        <w:rPr>
          <w:rStyle w:val="37"/>
          <w:rFonts w:hint="eastAsia" w:asciiTheme="minorEastAsia" w:hAnsiTheme="minorEastAsia" w:eastAsiaTheme="minorEastAsia" w:cstheme="minorEastAsia"/>
          <w:i w:val="0"/>
          <w:iCs w:val="0"/>
          <w:caps w:val="0"/>
          <w:color w:val="auto"/>
          <w:spacing w:val="0"/>
          <w:position w:val="0"/>
          <w:sz w:val="36"/>
          <w:szCs w:val="36"/>
          <w:highlight w:val="none"/>
        </w:rPr>
        <w:t>中小企业划型标准规定</w:t>
      </w:r>
    </w:p>
    <w:p w14:paraId="5CC90875">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i w:val="0"/>
          <w:iCs w:val="0"/>
          <w:caps w:val="0"/>
          <w:color w:val="auto"/>
          <w:spacing w:val="0"/>
          <w:position w:val="0"/>
          <w:sz w:val="21"/>
          <w:szCs w:val="21"/>
          <w:highlight w:val="none"/>
        </w:rPr>
        <w:t>　　</w:t>
      </w: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一、根据《中华人民共和国中小企业促进法》和《国务院关于进一步促进中小企业发展的若干意见》(国发〔2009〕36号)，制定本规定。</w:t>
      </w:r>
    </w:p>
    <w:p w14:paraId="6A858EBA">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二、中小企业划分为中型、小型、微型三种类型，具体标准根据企业从业人员、营业收入、资产总额等指标，结合行业特点制定。</w:t>
      </w:r>
    </w:p>
    <w:p w14:paraId="04365E74">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678740EB">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四、各行业划型标准为：</w:t>
      </w:r>
    </w:p>
    <w:p w14:paraId="1EE0B738">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0F5F51D">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389EB72">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E358880">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EFE62A0">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8F81D8A">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E3398B5">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784046F">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E8A6100">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A1832D">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01592FD">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D45DF13">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F6652D5">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441E0EF">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3C8953E">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0E65C26">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7154217C">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五、企业类型的划分以统计部门的统计数据为依据。</w:t>
      </w:r>
    </w:p>
    <w:p w14:paraId="2AC72486">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六、本规定适用于在中华人民共和国境内依法设立的各类所有制和各种组织形式的企业。个体工商户和本规定以外的行业，参照本规定进行划型。</w:t>
      </w:r>
    </w:p>
    <w:p w14:paraId="380F7D45">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33EC6114">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八、本规定由工业和信息化部、国家统计局会同有关部门根据《国民经济行业分类》修订情况和企业发展变化情况适时修订。</w:t>
      </w:r>
    </w:p>
    <w:p w14:paraId="48D33A0D">
      <w:pPr>
        <w:pStyle w:val="32"/>
        <w:pageBreakBefore w:val="0"/>
        <w:kinsoku/>
        <w:overflowPunct/>
        <w:topLinePunct w:val="0"/>
        <w:bidi w:val="0"/>
        <w:rPr>
          <w:rFonts w:hint="eastAsia" w:asciiTheme="minorEastAsia" w:hAnsiTheme="minorEastAsia" w:eastAsiaTheme="minorEastAsia" w:cstheme="minorEastAsia"/>
          <w:color w:val="auto"/>
          <w:spacing w:val="0"/>
          <w:kern w:val="2"/>
          <w:position w:val="0"/>
          <w:sz w:val="24"/>
          <w:szCs w:val="24"/>
          <w:highlight w:val="none"/>
          <w:lang w:val="en-US" w:eastAsia="zh-CN" w:bidi="ar-SA"/>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九、本规定由工业和信息化部、国家统计局会同有关部门负责解释。</w:t>
      </w:r>
    </w:p>
    <w:p w14:paraId="24704296">
      <w:pPr>
        <w:pStyle w:val="33"/>
        <w:pageBreakBefore w:val="0"/>
        <w:kinsoku/>
        <w:overflowPunct/>
        <w:topLinePunct w:val="0"/>
        <w:bidi w:val="0"/>
        <w:ind w:left="0" w:leftChars="0" w:firstLine="0" w:firstLineChars="0"/>
        <w:rPr>
          <w:rFonts w:hint="eastAsia" w:asciiTheme="minorEastAsia" w:hAnsiTheme="minorEastAsia" w:eastAsiaTheme="minorEastAsia" w:cstheme="minorEastAsia"/>
          <w:color w:val="auto"/>
          <w:spacing w:val="0"/>
          <w:position w:val="0"/>
          <w:highlight w:val="none"/>
          <w:lang w:val="en-US" w:eastAsia="zh-CN"/>
        </w:rPr>
      </w:pPr>
      <w:r>
        <w:rPr>
          <w:rFonts w:hint="eastAsia" w:asciiTheme="minorEastAsia" w:hAnsiTheme="minorEastAsia" w:eastAsiaTheme="minorEastAsia" w:cstheme="minorEastAsia"/>
          <w:color w:val="auto"/>
          <w:spacing w:val="0"/>
          <w:kern w:val="2"/>
          <w:position w:val="0"/>
          <w:sz w:val="24"/>
          <w:szCs w:val="24"/>
          <w:highlight w:val="none"/>
          <w:lang w:val="en-US" w:eastAsia="zh-CN" w:bidi="ar-SA"/>
        </w:rPr>
        <w:t>　　十、本规定自发布之日起执行，原国家经贸委、原国家计委、财政部和国家统计局2003年颁布的《中小企业标准暂行规定》同时废止。</w:t>
      </w:r>
    </w:p>
    <w:sectPr>
      <w:headerReference r:id="rId7" w:type="default"/>
      <w:pgSz w:w="11906" w:h="16838"/>
      <w:pgMar w:top="1440" w:right="1797" w:bottom="1440" w:left="1797"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5874">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E4AAE5">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14:paraId="08E4AAE5">
                    <w:pPr>
                      <w:pStyle w:val="2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96FE">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C13DD50">
                          <w:pPr>
                            <w:pStyle w:val="22"/>
                            <w:jc w:val="center"/>
                          </w:pPr>
                          <w:r>
                            <w:fldChar w:fldCharType="begin"/>
                          </w:r>
                          <w:r>
                            <w:instrText xml:space="preserve">PAGE   \* MERGEFORMAT</w:instrText>
                          </w:r>
                          <w:r>
                            <w:fldChar w:fldCharType="separate"/>
                          </w:r>
                          <w:r>
                            <w:rPr>
                              <w:lang w:val="zh-CN"/>
                            </w:rPr>
                            <w:t>46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PTBtM4BAACnAwAADgAAAGRycy9lMm9Eb2MueG1srVPNjtMwEL4j8Q6W&#10;7zRpV0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Aj0wbTOAQAApwMAAA4AAAAAAAAAAQAgAAAAHgEAAGRycy9l&#10;Mm9Eb2MueG1sUEsFBgAAAAAGAAYAWQEAAF4FAAAAAA==&#10;">
              <v:fill on="f" focussize="0,0"/>
              <v:stroke on="f"/>
              <v:imagedata o:title=""/>
              <o:lock v:ext="edit" aspectratio="f"/>
              <v:textbox inset="0mm,0mm,0mm,0mm" style="mso-fit-shape-to-text:t;">
                <w:txbxContent>
                  <w:p w14:paraId="0C13DD50">
                    <w:pPr>
                      <w:pStyle w:val="22"/>
                      <w:jc w:val="center"/>
                    </w:pPr>
                    <w:r>
                      <w:fldChar w:fldCharType="begin"/>
                    </w:r>
                    <w:r>
                      <w:instrText xml:space="preserve">PAGE   \* MERGEFORMAT</w:instrText>
                    </w:r>
                    <w:r>
                      <w:fldChar w:fldCharType="separate"/>
                    </w:r>
                    <w:r>
                      <w:rPr>
                        <w:lang w:val="zh-CN"/>
                      </w:rPr>
                      <w:t>46</w:t>
                    </w:r>
                    <w:r>
                      <w:rPr>
                        <w:lang w:val="zh-CN"/>
                      </w:rPr>
                      <w:fldChar w:fldCharType="end"/>
                    </w:r>
                  </w:p>
                </w:txbxContent>
              </v:textbox>
            </v:shape>
          </w:pict>
        </mc:Fallback>
      </mc:AlternateContent>
    </w:r>
  </w:p>
  <w:p w14:paraId="506C768F">
    <w:pPr>
      <w:pStyle w:val="2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4218B">
    <w:pPr>
      <w:pStyle w:val="2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7FA0C7C">
                          <w:pPr>
                            <w:pStyle w:val="22"/>
                            <w:jc w:val="center"/>
                          </w:pPr>
                          <w:r>
                            <w:fldChar w:fldCharType="begin"/>
                          </w:r>
                          <w:r>
                            <w:instrText xml:space="preserve">PAGE   \* MERGEFORMAT</w:instrText>
                          </w:r>
                          <w:r>
                            <w:fldChar w:fldCharType="separate"/>
                          </w:r>
                          <w:r>
                            <w:rPr>
                              <w:lang w:val="zh-CN"/>
                            </w:rPr>
                            <w:t>46</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77FA0C7C">
                    <w:pPr>
                      <w:pStyle w:val="22"/>
                      <w:jc w:val="center"/>
                    </w:pPr>
                    <w:r>
                      <w:fldChar w:fldCharType="begin"/>
                    </w:r>
                    <w:r>
                      <w:instrText xml:space="preserve">PAGE   \* MERGEFORMAT</w:instrText>
                    </w:r>
                    <w:r>
                      <w:fldChar w:fldCharType="separate"/>
                    </w:r>
                    <w:r>
                      <w:rPr>
                        <w:lang w:val="zh-CN"/>
                      </w:rPr>
                      <w:t>46</w:t>
                    </w:r>
                    <w:r>
                      <w:rPr>
                        <w:lang w:val="zh-CN"/>
                      </w:rPr>
                      <w:fldChar w:fldCharType="end"/>
                    </w:r>
                  </w:p>
                </w:txbxContent>
              </v:textbox>
            </v:shape>
          </w:pict>
        </mc:Fallback>
      </mc:AlternateContent>
    </w:r>
  </w:p>
  <w:p w14:paraId="384780D0">
    <w:pPr>
      <w:pStyle w:val="2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199B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31D46">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FAF43"/>
    <w:multiLevelType w:val="singleLevel"/>
    <w:tmpl w:val="98DFAF43"/>
    <w:lvl w:ilvl="0" w:tentative="0">
      <w:start w:val="2"/>
      <w:numFmt w:val="decimal"/>
      <w:suff w:val="nothing"/>
      <w:lvlText w:val="%1、"/>
      <w:lvlJc w:val="left"/>
    </w:lvl>
  </w:abstractNum>
  <w:abstractNum w:abstractNumId="1">
    <w:nsid w:val="B321F74E"/>
    <w:multiLevelType w:val="singleLevel"/>
    <w:tmpl w:val="B321F74E"/>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3MjZhOTBlMThhODA4YWFhZjJjMjdhOTJmZTUwYzcifQ=="/>
  </w:docVars>
  <w:rsids>
    <w:rsidRoot w:val="0052125D"/>
    <w:rsid w:val="0000015D"/>
    <w:rsid w:val="00002BF7"/>
    <w:rsid w:val="000036A4"/>
    <w:rsid w:val="00004DE9"/>
    <w:rsid w:val="00010132"/>
    <w:rsid w:val="000109F5"/>
    <w:rsid w:val="00011B28"/>
    <w:rsid w:val="00012450"/>
    <w:rsid w:val="000140B4"/>
    <w:rsid w:val="00014BFE"/>
    <w:rsid w:val="00016204"/>
    <w:rsid w:val="00016689"/>
    <w:rsid w:val="00017020"/>
    <w:rsid w:val="00017062"/>
    <w:rsid w:val="000170FE"/>
    <w:rsid w:val="00017E4B"/>
    <w:rsid w:val="00020140"/>
    <w:rsid w:val="000206CA"/>
    <w:rsid w:val="00020C1A"/>
    <w:rsid w:val="00020CC8"/>
    <w:rsid w:val="00021142"/>
    <w:rsid w:val="000211BC"/>
    <w:rsid w:val="00022A17"/>
    <w:rsid w:val="0002355F"/>
    <w:rsid w:val="00023BF8"/>
    <w:rsid w:val="000248DE"/>
    <w:rsid w:val="00025CCA"/>
    <w:rsid w:val="000276D5"/>
    <w:rsid w:val="000278E8"/>
    <w:rsid w:val="00032CEB"/>
    <w:rsid w:val="000347BC"/>
    <w:rsid w:val="00035B00"/>
    <w:rsid w:val="0003676D"/>
    <w:rsid w:val="00036D8B"/>
    <w:rsid w:val="00040002"/>
    <w:rsid w:val="00040630"/>
    <w:rsid w:val="000409E7"/>
    <w:rsid w:val="00040BE4"/>
    <w:rsid w:val="00042CC9"/>
    <w:rsid w:val="000436A3"/>
    <w:rsid w:val="00045522"/>
    <w:rsid w:val="00047086"/>
    <w:rsid w:val="00047441"/>
    <w:rsid w:val="0005037D"/>
    <w:rsid w:val="000509A8"/>
    <w:rsid w:val="00051A74"/>
    <w:rsid w:val="00052FBA"/>
    <w:rsid w:val="00055B0A"/>
    <w:rsid w:val="00057E29"/>
    <w:rsid w:val="00060535"/>
    <w:rsid w:val="00060A3E"/>
    <w:rsid w:val="00060FEE"/>
    <w:rsid w:val="000613BC"/>
    <w:rsid w:val="00061C30"/>
    <w:rsid w:val="000632A4"/>
    <w:rsid w:val="00064210"/>
    <w:rsid w:val="00065EBC"/>
    <w:rsid w:val="00066D82"/>
    <w:rsid w:val="00067219"/>
    <w:rsid w:val="00067B81"/>
    <w:rsid w:val="0007040B"/>
    <w:rsid w:val="00071303"/>
    <w:rsid w:val="00072659"/>
    <w:rsid w:val="000734C6"/>
    <w:rsid w:val="00073B42"/>
    <w:rsid w:val="000750B5"/>
    <w:rsid w:val="00075A76"/>
    <w:rsid w:val="00075BAC"/>
    <w:rsid w:val="00075BC9"/>
    <w:rsid w:val="0007673C"/>
    <w:rsid w:val="00076A6D"/>
    <w:rsid w:val="00077BB7"/>
    <w:rsid w:val="0008022E"/>
    <w:rsid w:val="000809D2"/>
    <w:rsid w:val="000814AA"/>
    <w:rsid w:val="000829D3"/>
    <w:rsid w:val="00083316"/>
    <w:rsid w:val="000833CB"/>
    <w:rsid w:val="00084A24"/>
    <w:rsid w:val="0008547A"/>
    <w:rsid w:val="00087870"/>
    <w:rsid w:val="00090AF4"/>
    <w:rsid w:val="00091032"/>
    <w:rsid w:val="00094218"/>
    <w:rsid w:val="000972CE"/>
    <w:rsid w:val="00097F91"/>
    <w:rsid w:val="000A17E8"/>
    <w:rsid w:val="000A273A"/>
    <w:rsid w:val="000A3720"/>
    <w:rsid w:val="000A5145"/>
    <w:rsid w:val="000A6D0A"/>
    <w:rsid w:val="000A7407"/>
    <w:rsid w:val="000B0379"/>
    <w:rsid w:val="000B09A1"/>
    <w:rsid w:val="000B123A"/>
    <w:rsid w:val="000B12E2"/>
    <w:rsid w:val="000B2E56"/>
    <w:rsid w:val="000B3B62"/>
    <w:rsid w:val="000B402B"/>
    <w:rsid w:val="000B4303"/>
    <w:rsid w:val="000B4800"/>
    <w:rsid w:val="000B5068"/>
    <w:rsid w:val="000B63B5"/>
    <w:rsid w:val="000B6A29"/>
    <w:rsid w:val="000B6E0E"/>
    <w:rsid w:val="000B6EC2"/>
    <w:rsid w:val="000B7C94"/>
    <w:rsid w:val="000C0FB2"/>
    <w:rsid w:val="000C1065"/>
    <w:rsid w:val="000C287F"/>
    <w:rsid w:val="000C2A14"/>
    <w:rsid w:val="000C2D34"/>
    <w:rsid w:val="000C33BB"/>
    <w:rsid w:val="000C3655"/>
    <w:rsid w:val="000D1CCC"/>
    <w:rsid w:val="000D24FF"/>
    <w:rsid w:val="000D3103"/>
    <w:rsid w:val="000D3AF9"/>
    <w:rsid w:val="000D3C0A"/>
    <w:rsid w:val="000D3C78"/>
    <w:rsid w:val="000D42D0"/>
    <w:rsid w:val="000D59B1"/>
    <w:rsid w:val="000D6ED4"/>
    <w:rsid w:val="000E2C01"/>
    <w:rsid w:val="000E2E15"/>
    <w:rsid w:val="000E47C1"/>
    <w:rsid w:val="000E4D55"/>
    <w:rsid w:val="000E4DC5"/>
    <w:rsid w:val="000E5B41"/>
    <w:rsid w:val="000E6408"/>
    <w:rsid w:val="000E64B0"/>
    <w:rsid w:val="000E72A0"/>
    <w:rsid w:val="000F0107"/>
    <w:rsid w:val="000F0337"/>
    <w:rsid w:val="000F061E"/>
    <w:rsid w:val="000F3F17"/>
    <w:rsid w:val="000F53C7"/>
    <w:rsid w:val="000F78A4"/>
    <w:rsid w:val="000F7BDC"/>
    <w:rsid w:val="00100043"/>
    <w:rsid w:val="00100763"/>
    <w:rsid w:val="0010124E"/>
    <w:rsid w:val="00103EC4"/>
    <w:rsid w:val="001040C5"/>
    <w:rsid w:val="00104C22"/>
    <w:rsid w:val="00104D40"/>
    <w:rsid w:val="001050EF"/>
    <w:rsid w:val="00105CCB"/>
    <w:rsid w:val="0011056E"/>
    <w:rsid w:val="0011066A"/>
    <w:rsid w:val="001108FF"/>
    <w:rsid w:val="001115C0"/>
    <w:rsid w:val="001121B9"/>
    <w:rsid w:val="00112399"/>
    <w:rsid w:val="001141ED"/>
    <w:rsid w:val="001155F7"/>
    <w:rsid w:val="00115DD6"/>
    <w:rsid w:val="00115DF1"/>
    <w:rsid w:val="00115FD2"/>
    <w:rsid w:val="00116318"/>
    <w:rsid w:val="0012116A"/>
    <w:rsid w:val="00121C63"/>
    <w:rsid w:val="0012488E"/>
    <w:rsid w:val="00124FFA"/>
    <w:rsid w:val="00125933"/>
    <w:rsid w:val="00126CC7"/>
    <w:rsid w:val="00127B17"/>
    <w:rsid w:val="00127F58"/>
    <w:rsid w:val="00130E85"/>
    <w:rsid w:val="00131471"/>
    <w:rsid w:val="001325D3"/>
    <w:rsid w:val="001331F4"/>
    <w:rsid w:val="00133DDA"/>
    <w:rsid w:val="0013617B"/>
    <w:rsid w:val="00136634"/>
    <w:rsid w:val="001375E6"/>
    <w:rsid w:val="0013773F"/>
    <w:rsid w:val="00140F14"/>
    <w:rsid w:val="001410F6"/>
    <w:rsid w:val="00141A0D"/>
    <w:rsid w:val="00141CE3"/>
    <w:rsid w:val="00142767"/>
    <w:rsid w:val="00142E9F"/>
    <w:rsid w:val="00144265"/>
    <w:rsid w:val="00144BE8"/>
    <w:rsid w:val="00146193"/>
    <w:rsid w:val="001465AC"/>
    <w:rsid w:val="00146D99"/>
    <w:rsid w:val="00147BB3"/>
    <w:rsid w:val="00150275"/>
    <w:rsid w:val="00150DF8"/>
    <w:rsid w:val="0015154D"/>
    <w:rsid w:val="001518A8"/>
    <w:rsid w:val="00151918"/>
    <w:rsid w:val="00151E25"/>
    <w:rsid w:val="001525DF"/>
    <w:rsid w:val="0015380F"/>
    <w:rsid w:val="00153F22"/>
    <w:rsid w:val="001547B4"/>
    <w:rsid w:val="0015486C"/>
    <w:rsid w:val="00156916"/>
    <w:rsid w:val="00157D12"/>
    <w:rsid w:val="00160B92"/>
    <w:rsid w:val="0016360C"/>
    <w:rsid w:val="00163C1E"/>
    <w:rsid w:val="00163E33"/>
    <w:rsid w:val="0016513A"/>
    <w:rsid w:val="00165E69"/>
    <w:rsid w:val="00166A88"/>
    <w:rsid w:val="00166AE2"/>
    <w:rsid w:val="0016778D"/>
    <w:rsid w:val="00170748"/>
    <w:rsid w:val="00170A9F"/>
    <w:rsid w:val="00171FBF"/>
    <w:rsid w:val="00172662"/>
    <w:rsid w:val="001734DF"/>
    <w:rsid w:val="00173A6B"/>
    <w:rsid w:val="0017489D"/>
    <w:rsid w:val="0017527A"/>
    <w:rsid w:val="0017603E"/>
    <w:rsid w:val="0017610B"/>
    <w:rsid w:val="001776F1"/>
    <w:rsid w:val="00177F86"/>
    <w:rsid w:val="00180371"/>
    <w:rsid w:val="00180C00"/>
    <w:rsid w:val="00181A1F"/>
    <w:rsid w:val="001823BB"/>
    <w:rsid w:val="00184964"/>
    <w:rsid w:val="00184BDD"/>
    <w:rsid w:val="00184D2D"/>
    <w:rsid w:val="001908BF"/>
    <w:rsid w:val="0019107E"/>
    <w:rsid w:val="00193AD6"/>
    <w:rsid w:val="00193EC3"/>
    <w:rsid w:val="001964BB"/>
    <w:rsid w:val="001A03EB"/>
    <w:rsid w:val="001A10AF"/>
    <w:rsid w:val="001A1509"/>
    <w:rsid w:val="001A177F"/>
    <w:rsid w:val="001A303A"/>
    <w:rsid w:val="001A56DB"/>
    <w:rsid w:val="001A7166"/>
    <w:rsid w:val="001A79FA"/>
    <w:rsid w:val="001B00A1"/>
    <w:rsid w:val="001B03A1"/>
    <w:rsid w:val="001B326C"/>
    <w:rsid w:val="001B3AAA"/>
    <w:rsid w:val="001B3D5D"/>
    <w:rsid w:val="001C06F9"/>
    <w:rsid w:val="001C1D42"/>
    <w:rsid w:val="001C457E"/>
    <w:rsid w:val="001C4B62"/>
    <w:rsid w:val="001C5B01"/>
    <w:rsid w:val="001C605B"/>
    <w:rsid w:val="001C690A"/>
    <w:rsid w:val="001C768F"/>
    <w:rsid w:val="001D02E2"/>
    <w:rsid w:val="001D0937"/>
    <w:rsid w:val="001D0ED4"/>
    <w:rsid w:val="001D324E"/>
    <w:rsid w:val="001D5C1B"/>
    <w:rsid w:val="001D7122"/>
    <w:rsid w:val="001E0892"/>
    <w:rsid w:val="001E3F1D"/>
    <w:rsid w:val="001E5193"/>
    <w:rsid w:val="001E6169"/>
    <w:rsid w:val="001E6570"/>
    <w:rsid w:val="001E6590"/>
    <w:rsid w:val="001E7142"/>
    <w:rsid w:val="001F0434"/>
    <w:rsid w:val="001F06B9"/>
    <w:rsid w:val="001F1E47"/>
    <w:rsid w:val="001F3C8F"/>
    <w:rsid w:val="001F449A"/>
    <w:rsid w:val="001F456B"/>
    <w:rsid w:val="001F45CF"/>
    <w:rsid w:val="001F4ACE"/>
    <w:rsid w:val="001F51B0"/>
    <w:rsid w:val="001F6023"/>
    <w:rsid w:val="00200F92"/>
    <w:rsid w:val="00201567"/>
    <w:rsid w:val="0020239D"/>
    <w:rsid w:val="00203312"/>
    <w:rsid w:val="00203A0B"/>
    <w:rsid w:val="00203C0C"/>
    <w:rsid w:val="002051AD"/>
    <w:rsid w:val="0020679E"/>
    <w:rsid w:val="00210A23"/>
    <w:rsid w:val="00210B88"/>
    <w:rsid w:val="00210C6B"/>
    <w:rsid w:val="0021114B"/>
    <w:rsid w:val="00211CEE"/>
    <w:rsid w:val="00214AD7"/>
    <w:rsid w:val="0021527C"/>
    <w:rsid w:val="00215867"/>
    <w:rsid w:val="00215AC7"/>
    <w:rsid w:val="00215BCC"/>
    <w:rsid w:val="00216461"/>
    <w:rsid w:val="0022118A"/>
    <w:rsid w:val="00221572"/>
    <w:rsid w:val="00221CF9"/>
    <w:rsid w:val="00222285"/>
    <w:rsid w:val="00222444"/>
    <w:rsid w:val="0022281A"/>
    <w:rsid w:val="00222DAA"/>
    <w:rsid w:val="002248E6"/>
    <w:rsid w:val="00224D12"/>
    <w:rsid w:val="002275B8"/>
    <w:rsid w:val="002277DF"/>
    <w:rsid w:val="00227AED"/>
    <w:rsid w:val="00233719"/>
    <w:rsid w:val="00233CE5"/>
    <w:rsid w:val="002351BB"/>
    <w:rsid w:val="00236B42"/>
    <w:rsid w:val="00240BA3"/>
    <w:rsid w:val="0024251A"/>
    <w:rsid w:val="00245DE9"/>
    <w:rsid w:val="002466DD"/>
    <w:rsid w:val="00246EE6"/>
    <w:rsid w:val="0024722A"/>
    <w:rsid w:val="002472CC"/>
    <w:rsid w:val="00247EB0"/>
    <w:rsid w:val="00250681"/>
    <w:rsid w:val="002511C0"/>
    <w:rsid w:val="00251732"/>
    <w:rsid w:val="0025263A"/>
    <w:rsid w:val="002526B3"/>
    <w:rsid w:val="0025290C"/>
    <w:rsid w:val="002541AF"/>
    <w:rsid w:val="002551AA"/>
    <w:rsid w:val="00255ADB"/>
    <w:rsid w:val="002565FF"/>
    <w:rsid w:val="00256F43"/>
    <w:rsid w:val="00257AB2"/>
    <w:rsid w:val="00261F10"/>
    <w:rsid w:val="00263345"/>
    <w:rsid w:val="00263598"/>
    <w:rsid w:val="0026411D"/>
    <w:rsid w:val="0026444C"/>
    <w:rsid w:val="0026680B"/>
    <w:rsid w:val="00266DBC"/>
    <w:rsid w:val="00266DBF"/>
    <w:rsid w:val="00266EC2"/>
    <w:rsid w:val="00270868"/>
    <w:rsid w:val="00271AC9"/>
    <w:rsid w:val="00272545"/>
    <w:rsid w:val="0027414C"/>
    <w:rsid w:val="00275062"/>
    <w:rsid w:val="00275287"/>
    <w:rsid w:val="0027594C"/>
    <w:rsid w:val="00275CBB"/>
    <w:rsid w:val="00275EEA"/>
    <w:rsid w:val="00276583"/>
    <w:rsid w:val="002772A9"/>
    <w:rsid w:val="0027785B"/>
    <w:rsid w:val="00277EB5"/>
    <w:rsid w:val="002808E4"/>
    <w:rsid w:val="002819B7"/>
    <w:rsid w:val="0028278D"/>
    <w:rsid w:val="00285566"/>
    <w:rsid w:val="002858EA"/>
    <w:rsid w:val="00285989"/>
    <w:rsid w:val="00285CF4"/>
    <w:rsid w:val="002904E4"/>
    <w:rsid w:val="002905C6"/>
    <w:rsid w:val="00290A14"/>
    <w:rsid w:val="00290C63"/>
    <w:rsid w:val="002927D4"/>
    <w:rsid w:val="002930CB"/>
    <w:rsid w:val="00294F9D"/>
    <w:rsid w:val="002950B5"/>
    <w:rsid w:val="002969D1"/>
    <w:rsid w:val="00297057"/>
    <w:rsid w:val="002971EF"/>
    <w:rsid w:val="002A014D"/>
    <w:rsid w:val="002A02A9"/>
    <w:rsid w:val="002A0809"/>
    <w:rsid w:val="002A0F32"/>
    <w:rsid w:val="002A1034"/>
    <w:rsid w:val="002A23F4"/>
    <w:rsid w:val="002A26FB"/>
    <w:rsid w:val="002A2C51"/>
    <w:rsid w:val="002A38B3"/>
    <w:rsid w:val="002A413D"/>
    <w:rsid w:val="002A581E"/>
    <w:rsid w:val="002A5ADA"/>
    <w:rsid w:val="002A5FB7"/>
    <w:rsid w:val="002A636F"/>
    <w:rsid w:val="002A66FB"/>
    <w:rsid w:val="002A6E29"/>
    <w:rsid w:val="002A6EFA"/>
    <w:rsid w:val="002A769D"/>
    <w:rsid w:val="002B00FF"/>
    <w:rsid w:val="002B02F4"/>
    <w:rsid w:val="002B0FBB"/>
    <w:rsid w:val="002B12AB"/>
    <w:rsid w:val="002B1BEA"/>
    <w:rsid w:val="002B28E4"/>
    <w:rsid w:val="002B3E81"/>
    <w:rsid w:val="002B5749"/>
    <w:rsid w:val="002B5905"/>
    <w:rsid w:val="002B5FED"/>
    <w:rsid w:val="002B7024"/>
    <w:rsid w:val="002B7486"/>
    <w:rsid w:val="002B773A"/>
    <w:rsid w:val="002C01A8"/>
    <w:rsid w:val="002C1985"/>
    <w:rsid w:val="002C207D"/>
    <w:rsid w:val="002C5621"/>
    <w:rsid w:val="002C5EC5"/>
    <w:rsid w:val="002C661C"/>
    <w:rsid w:val="002D0098"/>
    <w:rsid w:val="002D09C6"/>
    <w:rsid w:val="002D20E5"/>
    <w:rsid w:val="002D2650"/>
    <w:rsid w:val="002D3C7C"/>
    <w:rsid w:val="002D4F53"/>
    <w:rsid w:val="002D5176"/>
    <w:rsid w:val="002D54D7"/>
    <w:rsid w:val="002D6788"/>
    <w:rsid w:val="002D749F"/>
    <w:rsid w:val="002D7569"/>
    <w:rsid w:val="002E0071"/>
    <w:rsid w:val="002E02F1"/>
    <w:rsid w:val="002E0766"/>
    <w:rsid w:val="002E0C05"/>
    <w:rsid w:val="002E1D12"/>
    <w:rsid w:val="002E1F2B"/>
    <w:rsid w:val="002E6BAF"/>
    <w:rsid w:val="002E7F28"/>
    <w:rsid w:val="002F0E8B"/>
    <w:rsid w:val="002F11B7"/>
    <w:rsid w:val="002F165F"/>
    <w:rsid w:val="002F29D8"/>
    <w:rsid w:val="002F34AD"/>
    <w:rsid w:val="002F4115"/>
    <w:rsid w:val="002F55C3"/>
    <w:rsid w:val="002F5770"/>
    <w:rsid w:val="002F5974"/>
    <w:rsid w:val="002F5AF7"/>
    <w:rsid w:val="002F6EE5"/>
    <w:rsid w:val="002F7113"/>
    <w:rsid w:val="002F7C83"/>
    <w:rsid w:val="002F7D18"/>
    <w:rsid w:val="00300175"/>
    <w:rsid w:val="0030111D"/>
    <w:rsid w:val="00301322"/>
    <w:rsid w:val="00301F1D"/>
    <w:rsid w:val="003021A4"/>
    <w:rsid w:val="00302321"/>
    <w:rsid w:val="00302581"/>
    <w:rsid w:val="00302776"/>
    <w:rsid w:val="0030286D"/>
    <w:rsid w:val="0030550D"/>
    <w:rsid w:val="00305608"/>
    <w:rsid w:val="00306366"/>
    <w:rsid w:val="00307632"/>
    <w:rsid w:val="003079BB"/>
    <w:rsid w:val="00307C5C"/>
    <w:rsid w:val="003137EE"/>
    <w:rsid w:val="0031523F"/>
    <w:rsid w:val="003155A1"/>
    <w:rsid w:val="00315606"/>
    <w:rsid w:val="00315886"/>
    <w:rsid w:val="003165AF"/>
    <w:rsid w:val="00316F25"/>
    <w:rsid w:val="003208EF"/>
    <w:rsid w:val="003209A3"/>
    <w:rsid w:val="00321939"/>
    <w:rsid w:val="00322464"/>
    <w:rsid w:val="00322505"/>
    <w:rsid w:val="0032356F"/>
    <w:rsid w:val="003238BF"/>
    <w:rsid w:val="00323C18"/>
    <w:rsid w:val="00324C0B"/>
    <w:rsid w:val="00325AD1"/>
    <w:rsid w:val="00327AE0"/>
    <w:rsid w:val="00330E45"/>
    <w:rsid w:val="00331419"/>
    <w:rsid w:val="0033171A"/>
    <w:rsid w:val="00332B0E"/>
    <w:rsid w:val="00332BBE"/>
    <w:rsid w:val="00333057"/>
    <w:rsid w:val="00334759"/>
    <w:rsid w:val="003359F4"/>
    <w:rsid w:val="0033702E"/>
    <w:rsid w:val="003376BE"/>
    <w:rsid w:val="0033779C"/>
    <w:rsid w:val="00337D3F"/>
    <w:rsid w:val="00341CEF"/>
    <w:rsid w:val="00341EE9"/>
    <w:rsid w:val="003426A8"/>
    <w:rsid w:val="00342EF4"/>
    <w:rsid w:val="0034539B"/>
    <w:rsid w:val="00345F12"/>
    <w:rsid w:val="003462DC"/>
    <w:rsid w:val="00346938"/>
    <w:rsid w:val="00347085"/>
    <w:rsid w:val="0034787D"/>
    <w:rsid w:val="00350E10"/>
    <w:rsid w:val="003511FC"/>
    <w:rsid w:val="00351FFA"/>
    <w:rsid w:val="00354824"/>
    <w:rsid w:val="00354A58"/>
    <w:rsid w:val="003556FB"/>
    <w:rsid w:val="003569DC"/>
    <w:rsid w:val="003576AE"/>
    <w:rsid w:val="003617A4"/>
    <w:rsid w:val="00361ADE"/>
    <w:rsid w:val="00361C2A"/>
    <w:rsid w:val="0036419A"/>
    <w:rsid w:val="00364A8C"/>
    <w:rsid w:val="00364E94"/>
    <w:rsid w:val="00365665"/>
    <w:rsid w:val="00366C08"/>
    <w:rsid w:val="00366DA7"/>
    <w:rsid w:val="003678E6"/>
    <w:rsid w:val="00367EBF"/>
    <w:rsid w:val="00370654"/>
    <w:rsid w:val="003708C1"/>
    <w:rsid w:val="00370F63"/>
    <w:rsid w:val="00371367"/>
    <w:rsid w:val="00372047"/>
    <w:rsid w:val="00372691"/>
    <w:rsid w:val="003729AC"/>
    <w:rsid w:val="00372AF3"/>
    <w:rsid w:val="003742EF"/>
    <w:rsid w:val="00375158"/>
    <w:rsid w:val="003801AB"/>
    <w:rsid w:val="00380442"/>
    <w:rsid w:val="00380AE1"/>
    <w:rsid w:val="0038144C"/>
    <w:rsid w:val="00382DBB"/>
    <w:rsid w:val="00383662"/>
    <w:rsid w:val="00383DDA"/>
    <w:rsid w:val="00387A5D"/>
    <w:rsid w:val="003912BB"/>
    <w:rsid w:val="0039159A"/>
    <w:rsid w:val="00391964"/>
    <w:rsid w:val="00391C67"/>
    <w:rsid w:val="003929AD"/>
    <w:rsid w:val="00392AA7"/>
    <w:rsid w:val="00392D94"/>
    <w:rsid w:val="00393FF4"/>
    <w:rsid w:val="003953DA"/>
    <w:rsid w:val="00396A8C"/>
    <w:rsid w:val="00396D49"/>
    <w:rsid w:val="00397C02"/>
    <w:rsid w:val="003A17E6"/>
    <w:rsid w:val="003A1C7A"/>
    <w:rsid w:val="003A3F50"/>
    <w:rsid w:val="003A5AB9"/>
    <w:rsid w:val="003A7850"/>
    <w:rsid w:val="003B0AE1"/>
    <w:rsid w:val="003B1395"/>
    <w:rsid w:val="003B2520"/>
    <w:rsid w:val="003B2EF0"/>
    <w:rsid w:val="003B47EB"/>
    <w:rsid w:val="003B52FD"/>
    <w:rsid w:val="003B62B2"/>
    <w:rsid w:val="003B75EE"/>
    <w:rsid w:val="003B795C"/>
    <w:rsid w:val="003C02C0"/>
    <w:rsid w:val="003C07AE"/>
    <w:rsid w:val="003C1343"/>
    <w:rsid w:val="003C1E80"/>
    <w:rsid w:val="003C463C"/>
    <w:rsid w:val="003C56C6"/>
    <w:rsid w:val="003C59DB"/>
    <w:rsid w:val="003C5A8B"/>
    <w:rsid w:val="003C7D0B"/>
    <w:rsid w:val="003D0450"/>
    <w:rsid w:val="003D2367"/>
    <w:rsid w:val="003D2625"/>
    <w:rsid w:val="003D50F0"/>
    <w:rsid w:val="003D5621"/>
    <w:rsid w:val="003D57AB"/>
    <w:rsid w:val="003D63B8"/>
    <w:rsid w:val="003D6CFC"/>
    <w:rsid w:val="003E0E64"/>
    <w:rsid w:val="003E24E9"/>
    <w:rsid w:val="003E3843"/>
    <w:rsid w:val="003E3F99"/>
    <w:rsid w:val="003E45C7"/>
    <w:rsid w:val="003E6657"/>
    <w:rsid w:val="003E7CAD"/>
    <w:rsid w:val="003E7FF4"/>
    <w:rsid w:val="003F0724"/>
    <w:rsid w:val="003F15E5"/>
    <w:rsid w:val="003F1DD2"/>
    <w:rsid w:val="003F3F23"/>
    <w:rsid w:val="003F4EBD"/>
    <w:rsid w:val="003F560B"/>
    <w:rsid w:val="003F60DB"/>
    <w:rsid w:val="003F7245"/>
    <w:rsid w:val="003F73F9"/>
    <w:rsid w:val="0040040B"/>
    <w:rsid w:val="00400899"/>
    <w:rsid w:val="00401061"/>
    <w:rsid w:val="004011DD"/>
    <w:rsid w:val="004032DC"/>
    <w:rsid w:val="00405964"/>
    <w:rsid w:val="00407429"/>
    <w:rsid w:val="00407E42"/>
    <w:rsid w:val="0041013D"/>
    <w:rsid w:val="00411CAE"/>
    <w:rsid w:val="00412A62"/>
    <w:rsid w:val="00412FF3"/>
    <w:rsid w:val="004130FB"/>
    <w:rsid w:val="004137C8"/>
    <w:rsid w:val="004147DF"/>
    <w:rsid w:val="004164E9"/>
    <w:rsid w:val="00416A1D"/>
    <w:rsid w:val="00416E94"/>
    <w:rsid w:val="0041723D"/>
    <w:rsid w:val="0041757B"/>
    <w:rsid w:val="00422B1C"/>
    <w:rsid w:val="00425F31"/>
    <w:rsid w:val="004277FF"/>
    <w:rsid w:val="004305CB"/>
    <w:rsid w:val="0043084B"/>
    <w:rsid w:val="00430EB3"/>
    <w:rsid w:val="0043156F"/>
    <w:rsid w:val="00432C66"/>
    <w:rsid w:val="00433EAF"/>
    <w:rsid w:val="00435B69"/>
    <w:rsid w:val="00435F5A"/>
    <w:rsid w:val="00440E2D"/>
    <w:rsid w:val="00441EBA"/>
    <w:rsid w:val="00442EC4"/>
    <w:rsid w:val="00444001"/>
    <w:rsid w:val="004444FE"/>
    <w:rsid w:val="0044549D"/>
    <w:rsid w:val="00445744"/>
    <w:rsid w:val="004461B0"/>
    <w:rsid w:val="004462FC"/>
    <w:rsid w:val="00446573"/>
    <w:rsid w:val="00446CE6"/>
    <w:rsid w:val="00447C0A"/>
    <w:rsid w:val="00447E0A"/>
    <w:rsid w:val="0045037B"/>
    <w:rsid w:val="00450737"/>
    <w:rsid w:val="00450953"/>
    <w:rsid w:val="004532A9"/>
    <w:rsid w:val="00454FE1"/>
    <w:rsid w:val="00455E4E"/>
    <w:rsid w:val="004565C0"/>
    <w:rsid w:val="004566A0"/>
    <w:rsid w:val="004566AF"/>
    <w:rsid w:val="00456A6A"/>
    <w:rsid w:val="00456BE3"/>
    <w:rsid w:val="00456E8D"/>
    <w:rsid w:val="00457F05"/>
    <w:rsid w:val="00460212"/>
    <w:rsid w:val="0046047F"/>
    <w:rsid w:val="00460C8C"/>
    <w:rsid w:val="00460D1A"/>
    <w:rsid w:val="0046129B"/>
    <w:rsid w:val="0046159C"/>
    <w:rsid w:val="00462FDC"/>
    <w:rsid w:val="00463371"/>
    <w:rsid w:val="004637D3"/>
    <w:rsid w:val="00463DA3"/>
    <w:rsid w:val="00464E97"/>
    <w:rsid w:val="00465BB4"/>
    <w:rsid w:val="00467E3D"/>
    <w:rsid w:val="00467ECA"/>
    <w:rsid w:val="00471803"/>
    <w:rsid w:val="00471986"/>
    <w:rsid w:val="00471AB5"/>
    <w:rsid w:val="004721DA"/>
    <w:rsid w:val="00473230"/>
    <w:rsid w:val="00474C02"/>
    <w:rsid w:val="00474ED1"/>
    <w:rsid w:val="00474F32"/>
    <w:rsid w:val="0047521F"/>
    <w:rsid w:val="00475224"/>
    <w:rsid w:val="004753E2"/>
    <w:rsid w:val="00475437"/>
    <w:rsid w:val="00476F04"/>
    <w:rsid w:val="004773CD"/>
    <w:rsid w:val="00481995"/>
    <w:rsid w:val="004832E4"/>
    <w:rsid w:val="004858D2"/>
    <w:rsid w:val="004861DC"/>
    <w:rsid w:val="00487467"/>
    <w:rsid w:val="0048752F"/>
    <w:rsid w:val="00487C6D"/>
    <w:rsid w:val="00487DB5"/>
    <w:rsid w:val="004938F3"/>
    <w:rsid w:val="00493C1C"/>
    <w:rsid w:val="0049407C"/>
    <w:rsid w:val="00494CBB"/>
    <w:rsid w:val="00495822"/>
    <w:rsid w:val="00495C71"/>
    <w:rsid w:val="00496630"/>
    <w:rsid w:val="00496B68"/>
    <w:rsid w:val="004972B1"/>
    <w:rsid w:val="00497BCB"/>
    <w:rsid w:val="004A12D2"/>
    <w:rsid w:val="004A1F13"/>
    <w:rsid w:val="004A2C88"/>
    <w:rsid w:val="004A5A62"/>
    <w:rsid w:val="004A5E66"/>
    <w:rsid w:val="004A75FB"/>
    <w:rsid w:val="004A7CB4"/>
    <w:rsid w:val="004B1575"/>
    <w:rsid w:val="004B3552"/>
    <w:rsid w:val="004B454A"/>
    <w:rsid w:val="004B4C80"/>
    <w:rsid w:val="004B510B"/>
    <w:rsid w:val="004B5169"/>
    <w:rsid w:val="004B5A50"/>
    <w:rsid w:val="004B611B"/>
    <w:rsid w:val="004B6791"/>
    <w:rsid w:val="004B73F1"/>
    <w:rsid w:val="004B7A3F"/>
    <w:rsid w:val="004C0888"/>
    <w:rsid w:val="004C08B1"/>
    <w:rsid w:val="004C0F6E"/>
    <w:rsid w:val="004C151B"/>
    <w:rsid w:val="004C1AE6"/>
    <w:rsid w:val="004C1AF6"/>
    <w:rsid w:val="004C1F4D"/>
    <w:rsid w:val="004C2549"/>
    <w:rsid w:val="004C2AA2"/>
    <w:rsid w:val="004C2B88"/>
    <w:rsid w:val="004C2F7F"/>
    <w:rsid w:val="004C6040"/>
    <w:rsid w:val="004C6126"/>
    <w:rsid w:val="004C69C4"/>
    <w:rsid w:val="004D0EC9"/>
    <w:rsid w:val="004D1058"/>
    <w:rsid w:val="004D1549"/>
    <w:rsid w:val="004D1FC0"/>
    <w:rsid w:val="004D6301"/>
    <w:rsid w:val="004D6845"/>
    <w:rsid w:val="004D761A"/>
    <w:rsid w:val="004D7D03"/>
    <w:rsid w:val="004E219E"/>
    <w:rsid w:val="004E298A"/>
    <w:rsid w:val="004E385C"/>
    <w:rsid w:val="004E41F3"/>
    <w:rsid w:val="004E44A3"/>
    <w:rsid w:val="004E4E4E"/>
    <w:rsid w:val="004E5A7D"/>
    <w:rsid w:val="004E7CA2"/>
    <w:rsid w:val="004F1112"/>
    <w:rsid w:val="004F1466"/>
    <w:rsid w:val="004F1E29"/>
    <w:rsid w:val="004F29E1"/>
    <w:rsid w:val="004F305A"/>
    <w:rsid w:val="004F36D6"/>
    <w:rsid w:val="004F6AE9"/>
    <w:rsid w:val="004F7041"/>
    <w:rsid w:val="004F7974"/>
    <w:rsid w:val="004F7AF8"/>
    <w:rsid w:val="00500267"/>
    <w:rsid w:val="00501C55"/>
    <w:rsid w:val="00502392"/>
    <w:rsid w:val="00502884"/>
    <w:rsid w:val="00502B7E"/>
    <w:rsid w:val="0050452C"/>
    <w:rsid w:val="0050557B"/>
    <w:rsid w:val="00505A4D"/>
    <w:rsid w:val="00510349"/>
    <w:rsid w:val="00510AA4"/>
    <w:rsid w:val="00511258"/>
    <w:rsid w:val="00512482"/>
    <w:rsid w:val="00514E61"/>
    <w:rsid w:val="0051614F"/>
    <w:rsid w:val="00516C01"/>
    <w:rsid w:val="00516F5B"/>
    <w:rsid w:val="00517A4E"/>
    <w:rsid w:val="0052125D"/>
    <w:rsid w:val="00521261"/>
    <w:rsid w:val="0052225F"/>
    <w:rsid w:val="00524718"/>
    <w:rsid w:val="0052490C"/>
    <w:rsid w:val="00524B83"/>
    <w:rsid w:val="00524DEE"/>
    <w:rsid w:val="005253EF"/>
    <w:rsid w:val="005258E2"/>
    <w:rsid w:val="00526D63"/>
    <w:rsid w:val="0052719A"/>
    <w:rsid w:val="005313A0"/>
    <w:rsid w:val="00532435"/>
    <w:rsid w:val="005338B9"/>
    <w:rsid w:val="0053506C"/>
    <w:rsid w:val="0053583B"/>
    <w:rsid w:val="00535B1E"/>
    <w:rsid w:val="00537985"/>
    <w:rsid w:val="0054076F"/>
    <w:rsid w:val="00540E0E"/>
    <w:rsid w:val="0054241D"/>
    <w:rsid w:val="005432E9"/>
    <w:rsid w:val="005446D3"/>
    <w:rsid w:val="00544AE5"/>
    <w:rsid w:val="00545368"/>
    <w:rsid w:val="00547936"/>
    <w:rsid w:val="0055164B"/>
    <w:rsid w:val="00552D83"/>
    <w:rsid w:val="0055363E"/>
    <w:rsid w:val="00554655"/>
    <w:rsid w:val="00555921"/>
    <w:rsid w:val="00555B0D"/>
    <w:rsid w:val="00555ED1"/>
    <w:rsid w:val="00557777"/>
    <w:rsid w:val="00557869"/>
    <w:rsid w:val="00557C8E"/>
    <w:rsid w:val="005622FD"/>
    <w:rsid w:val="00562825"/>
    <w:rsid w:val="00562E8B"/>
    <w:rsid w:val="00562F4A"/>
    <w:rsid w:val="00563EF8"/>
    <w:rsid w:val="0056466A"/>
    <w:rsid w:val="00564AA7"/>
    <w:rsid w:val="00564ECB"/>
    <w:rsid w:val="00564EE8"/>
    <w:rsid w:val="00565396"/>
    <w:rsid w:val="005653DB"/>
    <w:rsid w:val="005661D1"/>
    <w:rsid w:val="005666EA"/>
    <w:rsid w:val="00566E80"/>
    <w:rsid w:val="00567868"/>
    <w:rsid w:val="0057117A"/>
    <w:rsid w:val="005711EF"/>
    <w:rsid w:val="005718D8"/>
    <w:rsid w:val="0057259A"/>
    <w:rsid w:val="00572979"/>
    <w:rsid w:val="00573785"/>
    <w:rsid w:val="005746CA"/>
    <w:rsid w:val="00574730"/>
    <w:rsid w:val="005752A3"/>
    <w:rsid w:val="005756DA"/>
    <w:rsid w:val="005759B9"/>
    <w:rsid w:val="00575C59"/>
    <w:rsid w:val="00575F33"/>
    <w:rsid w:val="00576B9C"/>
    <w:rsid w:val="005771C3"/>
    <w:rsid w:val="00580203"/>
    <w:rsid w:val="0058041F"/>
    <w:rsid w:val="00581697"/>
    <w:rsid w:val="0058267F"/>
    <w:rsid w:val="00585F15"/>
    <w:rsid w:val="0058771A"/>
    <w:rsid w:val="00590E8C"/>
    <w:rsid w:val="00591BE5"/>
    <w:rsid w:val="0059337A"/>
    <w:rsid w:val="00594DD1"/>
    <w:rsid w:val="00595C63"/>
    <w:rsid w:val="005968EA"/>
    <w:rsid w:val="00596D9D"/>
    <w:rsid w:val="005A0277"/>
    <w:rsid w:val="005A03EF"/>
    <w:rsid w:val="005A22EB"/>
    <w:rsid w:val="005A3E8F"/>
    <w:rsid w:val="005A4518"/>
    <w:rsid w:val="005A6486"/>
    <w:rsid w:val="005A677F"/>
    <w:rsid w:val="005A70BD"/>
    <w:rsid w:val="005A725D"/>
    <w:rsid w:val="005B03EB"/>
    <w:rsid w:val="005B2CAB"/>
    <w:rsid w:val="005B2ECF"/>
    <w:rsid w:val="005B317C"/>
    <w:rsid w:val="005B3860"/>
    <w:rsid w:val="005B38C8"/>
    <w:rsid w:val="005B49DB"/>
    <w:rsid w:val="005B51D5"/>
    <w:rsid w:val="005B55A0"/>
    <w:rsid w:val="005B5D2B"/>
    <w:rsid w:val="005B6ADE"/>
    <w:rsid w:val="005C041A"/>
    <w:rsid w:val="005C0F6E"/>
    <w:rsid w:val="005C13DD"/>
    <w:rsid w:val="005C14D4"/>
    <w:rsid w:val="005C1DE4"/>
    <w:rsid w:val="005C1E67"/>
    <w:rsid w:val="005C2F03"/>
    <w:rsid w:val="005C353A"/>
    <w:rsid w:val="005C53FC"/>
    <w:rsid w:val="005C6154"/>
    <w:rsid w:val="005C6208"/>
    <w:rsid w:val="005C789B"/>
    <w:rsid w:val="005D06BA"/>
    <w:rsid w:val="005D0C56"/>
    <w:rsid w:val="005D1F6F"/>
    <w:rsid w:val="005D401E"/>
    <w:rsid w:val="005D4C07"/>
    <w:rsid w:val="005D4E2E"/>
    <w:rsid w:val="005D56C0"/>
    <w:rsid w:val="005D575A"/>
    <w:rsid w:val="005D6887"/>
    <w:rsid w:val="005D68D4"/>
    <w:rsid w:val="005D7F58"/>
    <w:rsid w:val="005E0D37"/>
    <w:rsid w:val="005E30A4"/>
    <w:rsid w:val="005E4DBC"/>
    <w:rsid w:val="005E63FB"/>
    <w:rsid w:val="005E7248"/>
    <w:rsid w:val="005F0254"/>
    <w:rsid w:val="005F13A9"/>
    <w:rsid w:val="005F1633"/>
    <w:rsid w:val="005F1653"/>
    <w:rsid w:val="005F213C"/>
    <w:rsid w:val="005F25FC"/>
    <w:rsid w:val="005F2C59"/>
    <w:rsid w:val="005F619C"/>
    <w:rsid w:val="005F6716"/>
    <w:rsid w:val="005F6C49"/>
    <w:rsid w:val="006017E4"/>
    <w:rsid w:val="00603841"/>
    <w:rsid w:val="00604742"/>
    <w:rsid w:val="006049A6"/>
    <w:rsid w:val="00604C6C"/>
    <w:rsid w:val="006068F4"/>
    <w:rsid w:val="00606F9F"/>
    <w:rsid w:val="00614168"/>
    <w:rsid w:val="0061494F"/>
    <w:rsid w:val="00614B38"/>
    <w:rsid w:val="00615841"/>
    <w:rsid w:val="00617928"/>
    <w:rsid w:val="00617BED"/>
    <w:rsid w:val="00617CDC"/>
    <w:rsid w:val="00617F36"/>
    <w:rsid w:val="00620305"/>
    <w:rsid w:val="006219D0"/>
    <w:rsid w:val="00621E93"/>
    <w:rsid w:val="006242CC"/>
    <w:rsid w:val="00624379"/>
    <w:rsid w:val="006244B9"/>
    <w:rsid w:val="00624856"/>
    <w:rsid w:val="006253A5"/>
    <w:rsid w:val="006254F5"/>
    <w:rsid w:val="00630ACD"/>
    <w:rsid w:val="00631D37"/>
    <w:rsid w:val="0063253A"/>
    <w:rsid w:val="00632B5F"/>
    <w:rsid w:val="00632C39"/>
    <w:rsid w:val="00635DA5"/>
    <w:rsid w:val="00635F00"/>
    <w:rsid w:val="00636C8D"/>
    <w:rsid w:val="006374A3"/>
    <w:rsid w:val="006377ED"/>
    <w:rsid w:val="00637D83"/>
    <w:rsid w:val="0064015A"/>
    <w:rsid w:val="00640172"/>
    <w:rsid w:val="0064042B"/>
    <w:rsid w:val="00640794"/>
    <w:rsid w:val="00641580"/>
    <w:rsid w:val="00641B53"/>
    <w:rsid w:val="00641D8F"/>
    <w:rsid w:val="00641E17"/>
    <w:rsid w:val="00643374"/>
    <w:rsid w:val="00643928"/>
    <w:rsid w:val="00644312"/>
    <w:rsid w:val="00644EF4"/>
    <w:rsid w:val="006451F2"/>
    <w:rsid w:val="00645DF4"/>
    <w:rsid w:val="00651E6B"/>
    <w:rsid w:val="00652596"/>
    <w:rsid w:val="006531E0"/>
    <w:rsid w:val="006536A4"/>
    <w:rsid w:val="006545A3"/>
    <w:rsid w:val="0065474F"/>
    <w:rsid w:val="00654981"/>
    <w:rsid w:val="006553E7"/>
    <w:rsid w:val="0065627B"/>
    <w:rsid w:val="00656A74"/>
    <w:rsid w:val="00656B0C"/>
    <w:rsid w:val="00660CBB"/>
    <w:rsid w:val="00662059"/>
    <w:rsid w:val="00662AA2"/>
    <w:rsid w:val="0066450E"/>
    <w:rsid w:val="006658F3"/>
    <w:rsid w:val="0066592C"/>
    <w:rsid w:val="0066700D"/>
    <w:rsid w:val="00667629"/>
    <w:rsid w:val="00667E96"/>
    <w:rsid w:val="0067368C"/>
    <w:rsid w:val="0067407D"/>
    <w:rsid w:val="006747CD"/>
    <w:rsid w:val="00675411"/>
    <w:rsid w:val="006769A8"/>
    <w:rsid w:val="0067721D"/>
    <w:rsid w:val="006779C6"/>
    <w:rsid w:val="006808B1"/>
    <w:rsid w:val="00684045"/>
    <w:rsid w:val="00684807"/>
    <w:rsid w:val="0068530C"/>
    <w:rsid w:val="00686E24"/>
    <w:rsid w:val="00687146"/>
    <w:rsid w:val="00687249"/>
    <w:rsid w:val="00687278"/>
    <w:rsid w:val="00687F65"/>
    <w:rsid w:val="006909DF"/>
    <w:rsid w:val="00690E7F"/>
    <w:rsid w:val="00692C04"/>
    <w:rsid w:val="006938B2"/>
    <w:rsid w:val="00694A63"/>
    <w:rsid w:val="0069577B"/>
    <w:rsid w:val="006957F2"/>
    <w:rsid w:val="006969E8"/>
    <w:rsid w:val="00696C50"/>
    <w:rsid w:val="00697734"/>
    <w:rsid w:val="006A0F35"/>
    <w:rsid w:val="006A16C6"/>
    <w:rsid w:val="006A22C6"/>
    <w:rsid w:val="006A3546"/>
    <w:rsid w:val="006A36C2"/>
    <w:rsid w:val="006A4134"/>
    <w:rsid w:val="006A62C4"/>
    <w:rsid w:val="006A78B0"/>
    <w:rsid w:val="006B048C"/>
    <w:rsid w:val="006B1595"/>
    <w:rsid w:val="006B169B"/>
    <w:rsid w:val="006B1CB8"/>
    <w:rsid w:val="006B2563"/>
    <w:rsid w:val="006B44A3"/>
    <w:rsid w:val="006B4E3E"/>
    <w:rsid w:val="006C00FC"/>
    <w:rsid w:val="006C02DB"/>
    <w:rsid w:val="006C163E"/>
    <w:rsid w:val="006C3A9F"/>
    <w:rsid w:val="006C4AF5"/>
    <w:rsid w:val="006C5014"/>
    <w:rsid w:val="006C5336"/>
    <w:rsid w:val="006C5394"/>
    <w:rsid w:val="006C62FD"/>
    <w:rsid w:val="006C7B6C"/>
    <w:rsid w:val="006D0A2F"/>
    <w:rsid w:val="006D1A82"/>
    <w:rsid w:val="006D1BCC"/>
    <w:rsid w:val="006D4814"/>
    <w:rsid w:val="006D5D4C"/>
    <w:rsid w:val="006D6BAE"/>
    <w:rsid w:val="006D6EDF"/>
    <w:rsid w:val="006D731D"/>
    <w:rsid w:val="006E03F5"/>
    <w:rsid w:val="006E176F"/>
    <w:rsid w:val="006E2768"/>
    <w:rsid w:val="006E2F91"/>
    <w:rsid w:val="006E4EA9"/>
    <w:rsid w:val="006E7190"/>
    <w:rsid w:val="006E73F0"/>
    <w:rsid w:val="006F0426"/>
    <w:rsid w:val="006F11AB"/>
    <w:rsid w:val="006F27D5"/>
    <w:rsid w:val="006F2884"/>
    <w:rsid w:val="006F28CB"/>
    <w:rsid w:val="006F400E"/>
    <w:rsid w:val="006F7377"/>
    <w:rsid w:val="006F7E24"/>
    <w:rsid w:val="00700A4F"/>
    <w:rsid w:val="00700E27"/>
    <w:rsid w:val="00700FA3"/>
    <w:rsid w:val="007031A3"/>
    <w:rsid w:val="007047F8"/>
    <w:rsid w:val="007054A3"/>
    <w:rsid w:val="007055AA"/>
    <w:rsid w:val="00706249"/>
    <w:rsid w:val="00706655"/>
    <w:rsid w:val="007070CE"/>
    <w:rsid w:val="00707DA0"/>
    <w:rsid w:val="0071021E"/>
    <w:rsid w:val="00710323"/>
    <w:rsid w:val="007116A0"/>
    <w:rsid w:val="0071451D"/>
    <w:rsid w:val="0071470C"/>
    <w:rsid w:val="00714A5F"/>
    <w:rsid w:val="00714B46"/>
    <w:rsid w:val="00721865"/>
    <w:rsid w:val="00721ECD"/>
    <w:rsid w:val="0072236B"/>
    <w:rsid w:val="007227E7"/>
    <w:rsid w:val="00722D87"/>
    <w:rsid w:val="00723CA6"/>
    <w:rsid w:val="007240CE"/>
    <w:rsid w:val="00724D10"/>
    <w:rsid w:val="00725638"/>
    <w:rsid w:val="00725A48"/>
    <w:rsid w:val="00727022"/>
    <w:rsid w:val="007277C2"/>
    <w:rsid w:val="00727B08"/>
    <w:rsid w:val="00727BEF"/>
    <w:rsid w:val="00727F84"/>
    <w:rsid w:val="007304D6"/>
    <w:rsid w:val="00730629"/>
    <w:rsid w:val="007307BE"/>
    <w:rsid w:val="0073291C"/>
    <w:rsid w:val="00732965"/>
    <w:rsid w:val="00732C86"/>
    <w:rsid w:val="007333AE"/>
    <w:rsid w:val="0073435E"/>
    <w:rsid w:val="007357EC"/>
    <w:rsid w:val="00736449"/>
    <w:rsid w:val="007364BF"/>
    <w:rsid w:val="00736632"/>
    <w:rsid w:val="0073756A"/>
    <w:rsid w:val="007375B0"/>
    <w:rsid w:val="007405B0"/>
    <w:rsid w:val="00740CE7"/>
    <w:rsid w:val="00741235"/>
    <w:rsid w:val="007420C6"/>
    <w:rsid w:val="0074231C"/>
    <w:rsid w:val="0074232D"/>
    <w:rsid w:val="00742C75"/>
    <w:rsid w:val="007431B6"/>
    <w:rsid w:val="00744FB5"/>
    <w:rsid w:val="00745B01"/>
    <w:rsid w:val="00751038"/>
    <w:rsid w:val="007510EF"/>
    <w:rsid w:val="00751B54"/>
    <w:rsid w:val="007528C8"/>
    <w:rsid w:val="00753706"/>
    <w:rsid w:val="007537B0"/>
    <w:rsid w:val="007539FB"/>
    <w:rsid w:val="0075475E"/>
    <w:rsid w:val="00755A2C"/>
    <w:rsid w:val="00756318"/>
    <w:rsid w:val="007567C9"/>
    <w:rsid w:val="00756F47"/>
    <w:rsid w:val="007578F0"/>
    <w:rsid w:val="0076112A"/>
    <w:rsid w:val="00761F14"/>
    <w:rsid w:val="0076282A"/>
    <w:rsid w:val="00762E48"/>
    <w:rsid w:val="007643E4"/>
    <w:rsid w:val="007647AC"/>
    <w:rsid w:val="0076573A"/>
    <w:rsid w:val="00765FB8"/>
    <w:rsid w:val="0076612A"/>
    <w:rsid w:val="00767010"/>
    <w:rsid w:val="00767F7C"/>
    <w:rsid w:val="0077036A"/>
    <w:rsid w:val="00770947"/>
    <w:rsid w:val="007717E6"/>
    <w:rsid w:val="007719E2"/>
    <w:rsid w:val="00772576"/>
    <w:rsid w:val="007725D2"/>
    <w:rsid w:val="00773801"/>
    <w:rsid w:val="00774751"/>
    <w:rsid w:val="0077511B"/>
    <w:rsid w:val="00775944"/>
    <w:rsid w:val="007769D6"/>
    <w:rsid w:val="007806FF"/>
    <w:rsid w:val="007827DE"/>
    <w:rsid w:val="00783EBE"/>
    <w:rsid w:val="007846DA"/>
    <w:rsid w:val="0078563F"/>
    <w:rsid w:val="00785656"/>
    <w:rsid w:val="007856E8"/>
    <w:rsid w:val="0078580C"/>
    <w:rsid w:val="00787022"/>
    <w:rsid w:val="00787C9C"/>
    <w:rsid w:val="0079093E"/>
    <w:rsid w:val="00792C5B"/>
    <w:rsid w:val="00794EE1"/>
    <w:rsid w:val="00795230"/>
    <w:rsid w:val="007A619A"/>
    <w:rsid w:val="007A67C2"/>
    <w:rsid w:val="007A7556"/>
    <w:rsid w:val="007A79D8"/>
    <w:rsid w:val="007B1DB1"/>
    <w:rsid w:val="007B341E"/>
    <w:rsid w:val="007B49BD"/>
    <w:rsid w:val="007B4F2D"/>
    <w:rsid w:val="007B5090"/>
    <w:rsid w:val="007B5C5B"/>
    <w:rsid w:val="007B6701"/>
    <w:rsid w:val="007C0A5F"/>
    <w:rsid w:val="007C135A"/>
    <w:rsid w:val="007C1E33"/>
    <w:rsid w:val="007C203C"/>
    <w:rsid w:val="007C22B3"/>
    <w:rsid w:val="007C24CF"/>
    <w:rsid w:val="007C255B"/>
    <w:rsid w:val="007C2DD1"/>
    <w:rsid w:val="007C4F30"/>
    <w:rsid w:val="007C4FA3"/>
    <w:rsid w:val="007C5F8E"/>
    <w:rsid w:val="007C6DAE"/>
    <w:rsid w:val="007D1C0F"/>
    <w:rsid w:val="007D3FCB"/>
    <w:rsid w:val="007D56ED"/>
    <w:rsid w:val="007D5725"/>
    <w:rsid w:val="007D5CC1"/>
    <w:rsid w:val="007D6460"/>
    <w:rsid w:val="007E143D"/>
    <w:rsid w:val="007E1931"/>
    <w:rsid w:val="007E2201"/>
    <w:rsid w:val="007E27D8"/>
    <w:rsid w:val="007E2871"/>
    <w:rsid w:val="007E57D8"/>
    <w:rsid w:val="007E69E6"/>
    <w:rsid w:val="007E6E5D"/>
    <w:rsid w:val="007F10B0"/>
    <w:rsid w:val="007F1479"/>
    <w:rsid w:val="007F182D"/>
    <w:rsid w:val="007F24AC"/>
    <w:rsid w:val="007F383D"/>
    <w:rsid w:val="007F478B"/>
    <w:rsid w:val="007F4D76"/>
    <w:rsid w:val="007F5478"/>
    <w:rsid w:val="007F6D79"/>
    <w:rsid w:val="007F7579"/>
    <w:rsid w:val="007F774B"/>
    <w:rsid w:val="007F7F73"/>
    <w:rsid w:val="0080096F"/>
    <w:rsid w:val="00800D85"/>
    <w:rsid w:val="00801550"/>
    <w:rsid w:val="0080158E"/>
    <w:rsid w:val="008024BB"/>
    <w:rsid w:val="00803255"/>
    <w:rsid w:val="00803435"/>
    <w:rsid w:val="0080350F"/>
    <w:rsid w:val="008035F0"/>
    <w:rsid w:val="0080477A"/>
    <w:rsid w:val="00804932"/>
    <w:rsid w:val="008050AF"/>
    <w:rsid w:val="008051D7"/>
    <w:rsid w:val="008057C2"/>
    <w:rsid w:val="00807D86"/>
    <w:rsid w:val="00810EDD"/>
    <w:rsid w:val="0081119A"/>
    <w:rsid w:val="0081128F"/>
    <w:rsid w:val="00811393"/>
    <w:rsid w:val="0081194E"/>
    <w:rsid w:val="00812D54"/>
    <w:rsid w:val="00812D80"/>
    <w:rsid w:val="00813AD8"/>
    <w:rsid w:val="00814EF9"/>
    <w:rsid w:val="00816002"/>
    <w:rsid w:val="00816672"/>
    <w:rsid w:val="00816BF8"/>
    <w:rsid w:val="0081706E"/>
    <w:rsid w:val="008171B5"/>
    <w:rsid w:val="0082091F"/>
    <w:rsid w:val="00820BD2"/>
    <w:rsid w:val="00820E3A"/>
    <w:rsid w:val="008212EF"/>
    <w:rsid w:val="008227F3"/>
    <w:rsid w:val="0082453E"/>
    <w:rsid w:val="00824745"/>
    <w:rsid w:val="00824B43"/>
    <w:rsid w:val="00824BDE"/>
    <w:rsid w:val="00825CE4"/>
    <w:rsid w:val="008265EB"/>
    <w:rsid w:val="00826EE0"/>
    <w:rsid w:val="008273B6"/>
    <w:rsid w:val="0083065C"/>
    <w:rsid w:val="00830AA6"/>
    <w:rsid w:val="0083191D"/>
    <w:rsid w:val="00831B6A"/>
    <w:rsid w:val="00832A07"/>
    <w:rsid w:val="00834598"/>
    <w:rsid w:val="00834F92"/>
    <w:rsid w:val="00835786"/>
    <w:rsid w:val="00835C58"/>
    <w:rsid w:val="00835E1D"/>
    <w:rsid w:val="00836302"/>
    <w:rsid w:val="008370B0"/>
    <w:rsid w:val="00837E6A"/>
    <w:rsid w:val="0084049A"/>
    <w:rsid w:val="00840E5C"/>
    <w:rsid w:val="00841945"/>
    <w:rsid w:val="00843CE1"/>
    <w:rsid w:val="00844A98"/>
    <w:rsid w:val="00844ECE"/>
    <w:rsid w:val="00845CF4"/>
    <w:rsid w:val="008460F3"/>
    <w:rsid w:val="00846982"/>
    <w:rsid w:val="00851F33"/>
    <w:rsid w:val="00851F94"/>
    <w:rsid w:val="00852523"/>
    <w:rsid w:val="00852F85"/>
    <w:rsid w:val="00853AD2"/>
    <w:rsid w:val="00854A4E"/>
    <w:rsid w:val="00854A82"/>
    <w:rsid w:val="00855917"/>
    <w:rsid w:val="00856DC3"/>
    <w:rsid w:val="00857C16"/>
    <w:rsid w:val="00857D4C"/>
    <w:rsid w:val="008600CB"/>
    <w:rsid w:val="0086059A"/>
    <w:rsid w:val="008612C1"/>
    <w:rsid w:val="0086254F"/>
    <w:rsid w:val="00862DE2"/>
    <w:rsid w:val="00863354"/>
    <w:rsid w:val="008649DA"/>
    <w:rsid w:val="008652C6"/>
    <w:rsid w:val="008664EF"/>
    <w:rsid w:val="008669F0"/>
    <w:rsid w:val="008674BB"/>
    <w:rsid w:val="00871CC2"/>
    <w:rsid w:val="008726FE"/>
    <w:rsid w:val="00873AD1"/>
    <w:rsid w:val="00873EDA"/>
    <w:rsid w:val="008750E3"/>
    <w:rsid w:val="008802B7"/>
    <w:rsid w:val="008806A5"/>
    <w:rsid w:val="008806BA"/>
    <w:rsid w:val="008806D6"/>
    <w:rsid w:val="00881126"/>
    <w:rsid w:val="00883E26"/>
    <w:rsid w:val="008864EA"/>
    <w:rsid w:val="008878B7"/>
    <w:rsid w:val="00887976"/>
    <w:rsid w:val="00887C90"/>
    <w:rsid w:val="00887FE3"/>
    <w:rsid w:val="00890B62"/>
    <w:rsid w:val="00891BF2"/>
    <w:rsid w:val="00891CEE"/>
    <w:rsid w:val="00893F5F"/>
    <w:rsid w:val="00893FC8"/>
    <w:rsid w:val="00895355"/>
    <w:rsid w:val="00895415"/>
    <w:rsid w:val="00896B0D"/>
    <w:rsid w:val="00897342"/>
    <w:rsid w:val="008A01D5"/>
    <w:rsid w:val="008A1053"/>
    <w:rsid w:val="008A159E"/>
    <w:rsid w:val="008A2D32"/>
    <w:rsid w:val="008A42BB"/>
    <w:rsid w:val="008A431B"/>
    <w:rsid w:val="008A5589"/>
    <w:rsid w:val="008B1116"/>
    <w:rsid w:val="008B13BE"/>
    <w:rsid w:val="008B3DD2"/>
    <w:rsid w:val="008B4174"/>
    <w:rsid w:val="008B4AF7"/>
    <w:rsid w:val="008B54E2"/>
    <w:rsid w:val="008B5E7F"/>
    <w:rsid w:val="008B6422"/>
    <w:rsid w:val="008B6ACD"/>
    <w:rsid w:val="008B77EC"/>
    <w:rsid w:val="008B7F96"/>
    <w:rsid w:val="008C2555"/>
    <w:rsid w:val="008C2B3C"/>
    <w:rsid w:val="008C616C"/>
    <w:rsid w:val="008C6D55"/>
    <w:rsid w:val="008C724C"/>
    <w:rsid w:val="008C7C90"/>
    <w:rsid w:val="008C7E75"/>
    <w:rsid w:val="008D0B0F"/>
    <w:rsid w:val="008D0D75"/>
    <w:rsid w:val="008D7496"/>
    <w:rsid w:val="008E09B8"/>
    <w:rsid w:val="008E0F93"/>
    <w:rsid w:val="008E19BB"/>
    <w:rsid w:val="008E22D7"/>
    <w:rsid w:val="008E268D"/>
    <w:rsid w:val="008E3200"/>
    <w:rsid w:val="008E4751"/>
    <w:rsid w:val="008E71F2"/>
    <w:rsid w:val="008F1298"/>
    <w:rsid w:val="008F17DB"/>
    <w:rsid w:val="008F1AF5"/>
    <w:rsid w:val="008F1C5E"/>
    <w:rsid w:val="008F27CA"/>
    <w:rsid w:val="008F3F1E"/>
    <w:rsid w:val="008F40E3"/>
    <w:rsid w:val="008F494C"/>
    <w:rsid w:val="008F6EEB"/>
    <w:rsid w:val="009001B2"/>
    <w:rsid w:val="00900ECA"/>
    <w:rsid w:val="00901664"/>
    <w:rsid w:val="00903167"/>
    <w:rsid w:val="0090357F"/>
    <w:rsid w:val="0090373F"/>
    <w:rsid w:val="00903D72"/>
    <w:rsid w:val="00903E56"/>
    <w:rsid w:val="00904045"/>
    <w:rsid w:val="0090591D"/>
    <w:rsid w:val="0090757C"/>
    <w:rsid w:val="00910E27"/>
    <w:rsid w:val="00914988"/>
    <w:rsid w:val="00914B2B"/>
    <w:rsid w:val="009166F0"/>
    <w:rsid w:val="00916956"/>
    <w:rsid w:val="0091707B"/>
    <w:rsid w:val="009172DA"/>
    <w:rsid w:val="0092071F"/>
    <w:rsid w:val="009210C9"/>
    <w:rsid w:val="009231E2"/>
    <w:rsid w:val="00923745"/>
    <w:rsid w:val="009246A2"/>
    <w:rsid w:val="00924B4D"/>
    <w:rsid w:val="00924BC7"/>
    <w:rsid w:val="0092520C"/>
    <w:rsid w:val="00925A77"/>
    <w:rsid w:val="009301A8"/>
    <w:rsid w:val="009304EC"/>
    <w:rsid w:val="00931970"/>
    <w:rsid w:val="00932697"/>
    <w:rsid w:val="00934648"/>
    <w:rsid w:val="00935908"/>
    <w:rsid w:val="00936A2D"/>
    <w:rsid w:val="00940501"/>
    <w:rsid w:val="0094056E"/>
    <w:rsid w:val="009405F4"/>
    <w:rsid w:val="0094132A"/>
    <w:rsid w:val="0094172E"/>
    <w:rsid w:val="00941778"/>
    <w:rsid w:val="009423F2"/>
    <w:rsid w:val="00942ABE"/>
    <w:rsid w:val="00943150"/>
    <w:rsid w:val="0094342D"/>
    <w:rsid w:val="009445BF"/>
    <w:rsid w:val="00946865"/>
    <w:rsid w:val="00946B28"/>
    <w:rsid w:val="009509E6"/>
    <w:rsid w:val="0095274A"/>
    <w:rsid w:val="00952B34"/>
    <w:rsid w:val="009531E2"/>
    <w:rsid w:val="009531F4"/>
    <w:rsid w:val="00954FD0"/>
    <w:rsid w:val="00955A11"/>
    <w:rsid w:val="00955B88"/>
    <w:rsid w:val="00955C50"/>
    <w:rsid w:val="00956183"/>
    <w:rsid w:val="00956307"/>
    <w:rsid w:val="00956978"/>
    <w:rsid w:val="00960A4B"/>
    <w:rsid w:val="00961828"/>
    <w:rsid w:val="0096182A"/>
    <w:rsid w:val="009623E4"/>
    <w:rsid w:val="00965403"/>
    <w:rsid w:val="009657D3"/>
    <w:rsid w:val="00965C4D"/>
    <w:rsid w:val="00966387"/>
    <w:rsid w:val="0096639B"/>
    <w:rsid w:val="00966526"/>
    <w:rsid w:val="0097059D"/>
    <w:rsid w:val="00970F29"/>
    <w:rsid w:val="00971A20"/>
    <w:rsid w:val="00972E33"/>
    <w:rsid w:val="009737D3"/>
    <w:rsid w:val="00973CA7"/>
    <w:rsid w:val="00974043"/>
    <w:rsid w:val="0097411C"/>
    <w:rsid w:val="009755F5"/>
    <w:rsid w:val="00976314"/>
    <w:rsid w:val="009764FC"/>
    <w:rsid w:val="00976AF5"/>
    <w:rsid w:val="00976D09"/>
    <w:rsid w:val="0098026C"/>
    <w:rsid w:val="009805E8"/>
    <w:rsid w:val="0098299A"/>
    <w:rsid w:val="00982B4C"/>
    <w:rsid w:val="00983A3F"/>
    <w:rsid w:val="00983E90"/>
    <w:rsid w:val="009845F1"/>
    <w:rsid w:val="00984F86"/>
    <w:rsid w:val="009857A6"/>
    <w:rsid w:val="00986313"/>
    <w:rsid w:val="00986AEA"/>
    <w:rsid w:val="00986D75"/>
    <w:rsid w:val="00987FDD"/>
    <w:rsid w:val="009904B0"/>
    <w:rsid w:val="0099055B"/>
    <w:rsid w:val="00992934"/>
    <w:rsid w:val="009958F2"/>
    <w:rsid w:val="00995A8E"/>
    <w:rsid w:val="009962DF"/>
    <w:rsid w:val="0099656B"/>
    <w:rsid w:val="009969E7"/>
    <w:rsid w:val="009977BD"/>
    <w:rsid w:val="009A030A"/>
    <w:rsid w:val="009A08E0"/>
    <w:rsid w:val="009A0DC6"/>
    <w:rsid w:val="009A1BB7"/>
    <w:rsid w:val="009A3B7E"/>
    <w:rsid w:val="009A432C"/>
    <w:rsid w:val="009A4745"/>
    <w:rsid w:val="009A4B6B"/>
    <w:rsid w:val="009A4C4C"/>
    <w:rsid w:val="009A52A5"/>
    <w:rsid w:val="009A52CD"/>
    <w:rsid w:val="009A7448"/>
    <w:rsid w:val="009A78C7"/>
    <w:rsid w:val="009A7CC1"/>
    <w:rsid w:val="009B04F4"/>
    <w:rsid w:val="009B1E90"/>
    <w:rsid w:val="009B5C7B"/>
    <w:rsid w:val="009B778D"/>
    <w:rsid w:val="009C0078"/>
    <w:rsid w:val="009C0209"/>
    <w:rsid w:val="009C04DD"/>
    <w:rsid w:val="009C2805"/>
    <w:rsid w:val="009C2AF7"/>
    <w:rsid w:val="009C2C74"/>
    <w:rsid w:val="009C4C06"/>
    <w:rsid w:val="009C5780"/>
    <w:rsid w:val="009C6222"/>
    <w:rsid w:val="009D1F51"/>
    <w:rsid w:val="009D209A"/>
    <w:rsid w:val="009D2979"/>
    <w:rsid w:val="009D2A8F"/>
    <w:rsid w:val="009D2B5D"/>
    <w:rsid w:val="009D5527"/>
    <w:rsid w:val="009D5A23"/>
    <w:rsid w:val="009D5E93"/>
    <w:rsid w:val="009D6250"/>
    <w:rsid w:val="009D69D2"/>
    <w:rsid w:val="009D6C8E"/>
    <w:rsid w:val="009D6E22"/>
    <w:rsid w:val="009E09BA"/>
    <w:rsid w:val="009E0FFC"/>
    <w:rsid w:val="009E226C"/>
    <w:rsid w:val="009E2562"/>
    <w:rsid w:val="009E396A"/>
    <w:rsid w:val="009E6207"/>
    <w:rsid w:val="009E78BB"/>
    <w:rsid w:val="009F1E6D"/>
    <w:rsid w:val="009F33BC"/>
    <w:rsid w:val="009F4CD8"/>
    <w:rsid w:val="009F597D"/>
    <w:rsid w:val="009F5F33"/>
    <w:rsid w:val="009F6435"/>
    <w:rsid w:val="009F6B7E"/>
    <w:rsid w:val="009F6CC7"/>
    <w:rsid w:val="00A000AC"/>
    <w:rsid w:val="00A00328"/>
    <w:rsid w:val="00A007B7"/>
    <w:rsid w:val="00A00C66"/>
    <w:rsid w:val="00A126AA"/>
    <w:rsid w:val="00A126F5"/>
    <w:rsid w:val="00A12AF1"/>
    <w:rsid w:val="00A1404D"/>
    <w:rsid w:val="00A15114"/>
    <w:rsid w:val="00A1529F"/>
    <w:rsid w:val="00A17670"/>
    <w:rsid w:val="00A17F8F"/>
    <w:rsid w:val="00A2006B"/>
    <w:rsid w:val="00A20121"/>
    <w:rsid w:val="00A21666"/>
    <w:rsid w:val="00A218CE"/>
    <w:rsid w:val="00A236E3"/>
    <w:rsid w:val="00A23B52"/>
    <w:rsid w:val="00A23B58"/>
    <w:rsid w:val="00A242F3"/>
    <w:rsid w:val="00A24D04"/>
    <w:rsid w:val="00A26A41"/>
    <w:rsid w:val="00A27E7E"/>
    <w:rsid w:val="00A319A7"/>
    <w:rsid w:val="00A3206C"/>
    <w:rsid w:val="00A328C5"/>
    <w:rsid w:val="00A329FE"/>
    <w:rsid w:val="00A3368A"/>
    <w:rsid w:val="00A344CD"/>
    <w:rsid w:val="00A34AD5"/>
    <w:rsid w:val="00A357A8"/>
    <w:rsid w:val="00A358C6"/>
    <w:rsid w:val="00A359D6"/>
    <w:rsid w:val="00A359E1"/>
    <w:rsid w:val="00A3623A"/>
    <w:rsid w:val="00A3684E"/>
    <w:rsid w:val="00A40E1A"/>
    <w:rsid w:val="00A427EC"/>
    <w:rsid w:val="00A43020"/>
    <w:rsid w:val="00A433A0"/>
    <w:rsid w:val="00A44030"/>
    <w:rsid w:val="00A44508"/>
    <w:rsid w:val="00A4501C"/>
    <w:rsid w:val="00A4563D"/>
    <w:rsid w:val="00A465D6"/>
    <w:rsid w:val="00A46E7F"/>
    <w:rsid w:val="00A473C9"/>
    <w:rsid w:val="00A513A7"/>
    <w:rsid w:val="00A516A8"/>
    <w:rsid w:val="00A5307D"/>
    <w:rsid w:val="00A535BA"/>
    <w:rsid w:val="00A56BC0"/>
    <w:rsid w:val="00A56C28"/>
    <w:rsid w:val="00A5714C"/>
    <w:rsid w:val="00A579E4"/>
    <w:rsid w:val="00A57D5C"/>
    <w:rsid w:val="00A60156"/>
    <w:rsid w:val="00A60D5C"/>
    <w:rsid w:val="00A618DB"/>
    <w:rsid w:val="00A61998"/>
    <w:rsid w:val="00A6229F"/>
    <w:rsid w:val="00A62494"/>
    <w:rsid w:val="00A625EB"/>
    <w:rsid w:val="00A62A4C"/>
    <w:rsid w:val="00A64071"/>
    <w:rsid w:val="00A65080"/>
    <w:rsid w:val="00A6587B"/>
    <w:rsid w:val="00A659B0"/>
    <w:rsid w:val="00A65A3C"/>
    <w:rsid w:val="00A66EB4"/>
    <w:rsid w:val="00A70E37"/>
    <w:rsid w:val="00A70ECC"/>
    <w:rsid w:val="00A726C9"/>
    <w:rsid w:val="00A73747"/>
    <w:rsid w:val="00A746DE"/>
    <w:rsid w:val="00A75C57"/>
    <w:rsid w:val="00A77B8A"/>
    <w:rsid w:val="00A80554"/>
    <w:rsid w:val="00A80D01"/>
    <w:rsid w:val="00A823EC"/>
    <w:rsid w:val="00A82D05"/>
    <w:rsid w:val="00A82DED"/>
    <w:rsid w:val="00A832CA"/>
    <w:rsid w:val="00A8356E"/>
    <w:rsid w:val="00A842C8"/>
    <w:rsid w:val="00A8462F"/>
    <w:rsid w:val="00A84727"/>
    <w:rsid w:val="00A84B60"/>
    <w:rsid w:val="00A85001"/>
    <w:rsid w:val="00A8595A"/>
    <w:rsid w:val="00A86713"/>
    <w:rsid w:val="00A87117"/>
    <w:rsid w:val="00A90EE6"/>
    <w:rsid w:val="00A919B4"/>
    <w:rsid w:val="00A94612"/>
    <w:rsid w:val="00A954A4"/>
    <w:rsid w:val="00A95ED5"/>
    <w:rsid w:val="00A967A4"/>
    <w:rsid w:val="00A96FF0"/>
    <w:rsid w:val="00A9708B"/>
    <w:rsid w:val="00A971B3"/>
    <w:rsid w:val="00AA1A4F"/>
    <w:rsid w:val="00AA4791"/>
    <w:rsid w:val="00AA4E07"/>
    <w:rsid w:val="00AA4FE1"/>
    <w:rsid w:val="00AA6CE7"/>
    <w:rsid w:val="00AA71AF"/>
    <w:rsid w:val="00AB0301"/>
    <w:rsid w:val="00AB09D4"/>
    <w:rsid w:val="00AB0AE4"/>
    <w:rsid w:val="00AB0E2C"/>
    <w:rsid w:val="00AB10F1"/>
    <w:rsid w:val="00AB11A9"/>
    <w:rsid w:val="00AB1E66"/>
    <w:rsid w:val="00AB1F3C"/>
    <w:rsid w:val="00AB20AF"/>
    <w:rsid w:val="00AB38F3"/>
    <w:rsid w:val="00AB7630"/>
    <w:rsid w:val="00AC03BA"/>
    <w:rsid w:val="00AC080D"/>
    <w:rsid w:val="00AC127C"/>
    <w:rsid w:val="00AC2944"/>
    <w:rsid w:val="00AC3065"/>
    <w:rsid w:val="00AC491A"/>
    <w:rsid w:val="00AC6748"/>
    <w:rsid w:val="00AC6767"/>
    <w:rsid w:val="00AC6E0A"/>
    <w:rsid w:val="00AC76F4"/>
    <w:rsid w:val="00AD0807"/>
    <w:rsid w:val="00AD100A"/>
    <w:rsid w:val="00AD1A51"/>
    <w:rsid w:val="00AD3554"/>
    <w:rsid w:val="00AD4642"/>
    <w:rsid w:val="00AD555D"/>
    <w:rsid w:val="00AD683B"/>
    <w:rsid w:val="00AD7896"/>
    <w:rsid w:val="00AE267D"/>
    <w:rsid w:val="00AE276A"/>
    <w:rsid w:val="00AE31E6"/>
    <w:rsid w:val="00AE3202"/>
    <w:rsid w:val="00AE343E"/>
    <w:rsid w:val="00AE38D6"/>
    <w:rsid w:val="00AE46A4"/>
    <w:rsid w:val="00AE6286"/>
    <w:rsid w:val="00AE6DB1"/>
    <w:rsid w:val="00AE7228"/>
    <w:rsid w:val="00AF002C"/>
    <w:rsid w:val="00AF029B"/>
    <w:rsid w:val="00AF0CDC"/>
    <w:rsid w:val="00AF2A31"/>
    <w:rsid w:val="00AF2FF8"/>
    <w:rsid w:val="00AF44FE"/>
    <w:rsid w:val="00AF5C85"/>
    <w:rsid w:val="00AF5E55"/>
    <w:rsid w:val="00AF6B12"/>
    <w:rsid w:val="00B0005F"/>
    <w:rsid w:val="00B001C1"/>
    <w:rsid w:val="00B010D0"/>
    <w:rsid w:val="00B02301"/>
    <w:rsid w:val="00B02717"/>
    <w:rsid w:val="00B02F2D"/>
    <w:rsid w:val="00B032A6"/>
    <w:rsid w:val="00B03D1E"/>
    <w:rsid w:val="00B04145"/>
    <w:rsid w:val="00B044B1"/>
    <w:rsid w:val="00B0521D"/>
    <w:rsid w:val="00B05A25"/>
    <w:rsid w:val="00B05AC4"/>
    <w:rsid w:val="00B06C45"/>
    <w:rsid w:val="00B10F0C"/>
    <w:rsid w:val="00B114C6"/>
    <w:rsid w:val="00B12666"/>
    <w:rsid w:val="00B12784"/>
    <w:rsid w:val="00B20910"/>
    <w:rsid w:val="00B20B21"/>
    <w:rsid w:val="00B2185B"/>
    <w:rsid w:val="00B26FE8"/>
    <w:rsid w:val="00B27B0A"/>
    <w:rsid w:val="00B31EFC"/>
    <w:rsid w:val="00B32D2A"/>
    <w:rsid w:val="00B3354F"/>
    <w:rsid w:val="00B33BAE"/>
    <w:rsid w:val="00B34B7A"/>
    <w:rsid w:val="00B35340"/>
    <w:rsid w:val="00B37893"/>
    <w:rsid w:val="00B37C24"/>
    <w:rsid w:val="00B401DF"/>
    <w:rsid w:val="00B404DE"/>
    <w:rsid w:val="00B40AFA"/>
    <w:rsid w:val="00B40CF3"/>
    <w:rsid w:val="00B414AF"/>
    <w:rsid w:val="00B41767"/>
    <w:rsid w:val="00B41F38"/>
    <w:rsid w:val="00B4236F"/>
    <w:rsid w:val="00B42B91"/>
    <w:rsid w:val="00B42C31"/>
    <w:rsid w:val="00B448C7"/>
    <w:rsid w:val="00B44973"/>
    <w:rsid w:val="00B45D2B"/>
    <w:rsid w:val="00B509A0"/>
    <w:rsid w:val="00B52070"/>
    <w:rsid w:val="00B525FF"/>
    <w:rsid w:val="00B53B3D"/>
    <w:rsid w:val="00B53CDD"/>
    <w:rsid w:val="00B542CA"/>
    <w:rsid w:val="00B54427"/>
    <w:rsid w:val="00B551F6"/>
    <w:rsid w:val="00B55501"/>
    <w:rsid w:val="00B55BDF"/>
    <w:rsid w:val="00B57161"/>
    <w:rsid w:val="00B5729C"/>
    <w:rsid w:val="00B5792E"/>
    <w:rsid w:val="00B601F0"/>
    <w:rsid w:val="00B61EE5"/>
    <w:rsid w:val="00B623AC"/>
    <w:rsid w:val="00B625EC"/>
    <w:rsid w:val="00B62762"/>
    <w:rsid w:val="00B62F08"/>
    <w:rsid w:val="00B63BA0"/>
    <w:rsid w:val="00B63FEC"/>
    <w:rsid w:val="00B64A9B"/>
    <w:rsid w:val="00B6685B"/>
    <w:rsid w:val="00B6724E"/>
    <w:rsid w:val="00B7084F"/>
    <w:rsid w:val="00B7184F"/>
    <w:rsid w:val="00B735BF"/>
    <w:rsid w:val="00B73A24"/>
    <w:rsid w:val="00B7407F"/>
    <w:rsid w:val="00B75DA3"/>
    <w:rsid w:val="00B75E4B"/>
    <w:rsid w:val="00B8016B"/>
    <w:rsid w:val="00B8017D"/>
    <w:rsid w:val="00B82989"/>
    <w:rsid w:val="00B82D7F"/>
    <w:rsid w:val="00B83FAB"/>
    <w:rsid w:val="00B84B5B"/>
    <w:rsid w:val="00B84BFA"/>
    <w:rsid w:val="00B854A9"/>
    <w:rsid w:val="00B85C2A"/>
    <w:rsid w:val="00B86000"/>
    <w:rsid w:val="00B874B9"/>
    <w:rsid w:val="00B90321"/>
    <w:rsid w:val="00B91504"/>
    <w:rsid w:val="00B916CB"/>
    <w:rsid w:val="00B92934"/>
    <w:rsid w:val="00B92D20"/>
    <w:rsid w:val="00B92DEB"/>
    <w:rsid w:val="00B946C9"/>
    <w:rsid w:val="00B94849"/>
    <w:rsid w:val="00B94CB4"/>
    <w:rsid w:val="00B959BB"/>
    <w:rsid w:val="00B95AE6"/>
    <w:rsid w:val="00B96204"/>
    <w:rsid w:val="00B965D8"/>
    <w:rsid w:val="00B969D4"/>
    <w:rsid w:val="00B97C16"/>
    <w:rsid w:val="00BA109A"/>
    <w:rsid w:val="00BA1EBB"/>
    <w:rsid w:val="00BA205A"/>
    <w:rsid w:val="00BA2F59"/>
    <w:rsid w:val="00BA3FC9"/>
    <w:rsid w:val="00BA4238"/>
    <w:rsid w:val="00BA48BC"/>
    <w:rsid w:val="00BA6026"/>
    <w:rsid w:val="00BA7A7A"/>
    <w:rsid w:val="00BB1076"/>
    <w:rsid w:val="00BB232E"/>
    <w:rsid w:val="00BB359C"/>
    <w:rsid w:val="00BB6306"/>
    <w:rsid w:val="00BB6723"/>
    <w:rsid w:val="00BB7031"/>
    <w:rsid w:val="00BB727A"/>
    <w:rsid w:val="00BB7339"/>
    <w:rsid w:val="00BB7D72"/>
    <w:rsid w:val="00BC0395"/>
    <w:rsid w:val="00BC0F23"/>
    <w:rsid w:val="00BC139B"/>
    <w:rsid w:val="00BC174E"/>
    <w:rsid w:val="00BC52D1"/>
    <w:rsid w:val="00BC5310"/>
    <w:rsid w:val="00BC5313"/>
    <w:rsid w:val="00BC6754"/>
    <w:rsid w:val="00BC7539"/>
    <w:rsid w:val="00BD0012"/>
    <w:rsid w:val="00BD0195"/>
    <w:rsid w:val="00BD02DC"/>
    <w:rsid w:val="00BD0D08"/>
    <w:rsid w:val="00BD1730"/>
    <w:rsid w:val="00BD1E38"/>
    <w:rsid w:val="00BD2982"/>
    <w:rsid w:val="00BD32A7"/>
    <w:rsid w:val="00BD4390"/>
    <w:rsid w:val="00BD64F5"/>
    <w:rsid w:val="00BD65D9"/>
    <w:rsid w:val="00BD6F9D"/>
    <w:rsid w:val="00BE07E3"/>
    <w:rsid w:val="00BE0D3C"/>
    <w:rsid w:val="00BE7862"/>
    <w:rsid w:val="00BF1057"/>
    <w:rsid w:val="00BF1667"/>
    <w:rsid w:val="00BF1AD9"/>
    <w:rsid w:val="00BF27E4"/>
    <w:rsid w:val="00BF6DCA"/>
    <w:rsid w:val="00BF7849"/>
    <w:rsid w:val="00BF7D1D"/>
    <w:rsid w:val="00C01051"/>
    <w:rsid w:val="00C0131E"/>
    <w:rsid w:val="00C01F80"/>
    <w:rsid w:val="00C03267"/>
    <w:rsid w:val="00C0374F"/>
    <w:rsid w:val="00C03B45"/>
    <w:rsid w:val="00C04C79"/>
    <w:rsid w:val="00C05CEB"/>
    <w:rsid w:val="00C06964"/>
    <w:rsid w:val="00C06F30"/>
    <w:rsid w:val="00C07FC8"/>
    <w:rsid w:val="00C10109"/>
    <w:rsid w:val="00C10918"/>
    <w:rsid w:val="00C1339A"/>
    <w:rsid w:val="00C14BBF"/>
    <w:rsid w:val="00C15031"/>
    <w:rsid w:val="00C15613"/>
    <w:rsid w:val="00C15789"/>
    <w:rsid w:val="00C15E8E"/>
    <w:rsid w:val="00C175BC"/>
    <w:rsid w:val="00C175FF"/>
    <w:rsid w:val="00C20012"/>
    <w:rsid w:val="00C20056"/>
    <w:rsid w:val="00C212E6"/>
    <w:rsid w:val="00C22850"/>
    <w:rsid w:val="00C22998"/>
    <w:rsid w:val="00C23E3F"/>
    <w:rsid w:val="00C24A86"/>
    <w:rsid w:val="00C24C58"/>
    <w:rsid w:val="00C24D69"/>
    <w:rsid w:val="00C261AD"/>
    <w:rsid w:val="00C316F2"/>
    <w:rsid w:val="00C32C02"/>
    <w:rsid w:val="00C331FF"/>
    <w:rsid w:val="00C33752"/>
    <w:rsid w:val="00C3381B"/>
    <w:rsid w:val="00C33FC4"/>
    <w:rsid w:val="00C344C8"/>
    <w:rsid w:val="00C34653"/>
    <w:rsid w:val="00C34D89"/>
    <w:rsid w:val="00C35965"/>
    <w:rsid w:val="00C36AD4"/>
    <w:rsid w:val="00C3782F"/>
    <w:rsid w:val="00C37C95"/>
    <w:rsid w:val="00C37E59"/>
    <w:rsid w:val="00C40013"/>
    <w:rsid w:val="00C40737"/>
    <w:rsid w:val="00C40781"/>
    <w:rsid w:val="00C43540"/>
    <w:rsid w:val="00C44183"/>
    <w:rsid w:val="00C441B6"/>
    <w:rsid w:val="00C441DC"/>
    <w:rsid w:val="00C45DE9"/>
    <w:rsid w:val="00C47B45"/>
    <w:rsid w:val="00C5045C"/>
    <w:rsid w:val="00C50FDD"/>
    <w:rsid w:val="00C51684"/>
    <w:rsid w:val="00C517A9"/>
    <w:rsid w:val="00C518B9"/>
    <w:rsid w:val="00C52D46"/>
    <w:rsid w:val="00C52F10"/>
    <w:rsid w:val="00C54C6F"/>
    <w:rsid w:val="00C569B8"/>
    <w:rsid w:val="00C56E07"/>
    <w:rsid w:val="00C56F09"/>
    <w:rsid w:val="00C60ABF"/>
    <w:rsid w:val="00C61340"/>
    <w:rsid w:val="00C61E16"/>
    <w:rsid w:val="00C61E75"/>
    <w:rsid w:val="00C622EF"/>
    <w:rsid w:val="00C62C38"/>
    <w:rsid w:val="00C63285"/>
    <w:rsid w:val="00C64D96"/>
    <w:rsid w:val="00C65F6A"/>
    <w:rsid w:val="00C70ACD"/>
    <w:rsid w:val="00C71038"/>
    <w:rsid w:val="00C71269"/>
    <w:rsid w:val="00C72205"/>
    <w:rsid w:val="00C72E09"/>
    <w:rsid w:val="00C73D6A"/>
    <w:rsid w:val="00C74AD9"/>
    <w:rsid w:val="00C74F4B"/>
    <w:rsid w:val="00C75E5F"/>
    <w:rsid w:val="00C77303"/>
    <w:rsid w:val="00C77493"/>
    <w:rsid w:val="00C80781"/>
    <w:rsid w:val="00C83A29"/>
    <w:rsid w:val="00C83FDD"/>
    <w:rsid w:val="00C84E2A"/>
    <w:rsid w:val="00C8546C"/>
    <w:rsid w:val="00C85E80"/>
    <w:rsid w:val="00C871FD"/>
    <w:rsid w:val="00C906BB"/>
    <w:rsid w:val="00C91EB9"/>
    <w:rsid w:val="00C9213D"/>
    <w:rsid w:val="00C96178"/>
    <w:rsid w:val="00C96D05"/>
    <w:rsid w:val="00CA27A0"/>
    <w:rsid w:val="00CA2A90"/>
    <w:rsid w:val="00CA2B2B"/>
    <w:rsid w:val="00CA333F"/>
    <w:rsid w:val="00CA342B"/>
    <w:rsid w:val="00CA3F20"/>
    <w:rsid w:val="00CA46C9"/>
    <w:rsid w:val="00CA6A30"/>
    <w:rsid w:val="00CA7FCA"/>
    <w:rsid w:val="00CB0799"/>
    <w:rsid w:val="00CB36CF"/>
    <w:rsid w:val="00CB3DC5"/>
    <w:rsid w:val="00CB4584"/>
    <w:rsid w:val="00CB4E0F"/>
    <w:rsid w:val="00CB5865"/>
    <w:rsid w:val="00CB5BCF"/>
    <w:rsid w:val="00CB6C6B"/>
    <w:rsid w:val="00CB763D"/>
    <w:rsid w:val="00CC1300"/>
    <w:rsid w:val="00CC319D"/>
    <w:rsid w:val="00CC3A6D"/>
    <w:rsid w:val="00CC6DC2"/>
    <w:rsid w:val="00CC76DD"/>
    <w:rsid w:val="00CD01D7"/>
    <w:rsid w:val="00CD0737"/>
    <w:rsid w:val="00CD09FF"/>
    <w:rsid w:val="00CD250A"/>
    <w:rsid w:val="00CD37A3"/>
    <w:rsid w:val="00CD3AB0"/>
    <w:rsid w:val="00CD3E08"/>
    <w:rsid w:val="00CD617D"/>
    <w:rsid w:val="00CD6740"/>
    <w:rsid w:val="00CD6E37"/>
    <w:rsid w:val="00CD72B9"/>
    <w:rsid w:val="00CE00EC"/>
    <w:rsid w:val="00CE157D"/>
    <w:rsid w:val="00CE1DDF"/>
    <w:rsid w:val="00CE1FE0"/>
    <w:rsid w:val="00CE25C5"/>
    <w:rsid w:val="00CE2C8C"/>
    <w:rsid w:val="00CE3643"/>
    <w:rsid w:val="00CE3CA5"/>
    <w:rsid w:val="00CE5855"/>
    <w:rsid w:val="00CE6162"/>
    <w:rsid w:val="00CE656F"/>
    <w:rsid w:val="00CE6E52"/>
    <w:rsid w:val="00CE6EB7"/>
    <w:rsid w:val="00CF076F"/>
    <w:rsid w:val="00CF1387"/>
    <w:rsid w:val="00CF259B"/>
    <w:rsid w:val="00CF28CC"/>
    <w:rsid w:val="00CF2BAE"/>
    <w:rsid w:val="00CF2C5B"/>
    <w:rsid w:val="00CF3AA4"/>
    <w:rsid w:val="00CF43D2"/>
    <w:rsid w:val="00CF4592"/>
    <w:rsid w:val="00CF5109"/>
    <w:rsid w:val="00CF51E2"/>
    <w:rsid w:val="00CF5277"/>
    <w:rsid w:val="00CF6977"/>
    <w:rsid w:val="00CF6C46"/>
    <w:rsid w:val="00CF75AB"/>
    <w:rsid w:val="00D013BE"/>
    <w:rsid w:val="00D01947"/>
    <w:rsid w:val="00D02805"/>
    <w:rsid w:val="00D03C4D"/>
    <w:rsid w:val="00D04A00"/>
    <w:rsid w:val="00D0528B"/>
    <w:rsid w:val="00D05540"/>
    <w:rsid w:val="00D05BD8"/>
    <w:rsid w:val="00D066BE"/>
    <w:rsid w:val="00D07340"/>
    <w:rsid w:val="00D07494"/>
    <w:rsid w:val="00D100B8"/>
    <w:rsid w:val="00D11DAA"/>
    <w:rsid w:val="00D124E3"/>
    <w:rsid w:val="00D127B7"/>
    <w:rsid w:val="00D1371E"/>
    <w:rsid w:val="00D13BA6"/>
    <w:rsid w:val="00D14A22"/>
    <w:rsid w:val="00D17369"/>
    <w:rsid w:val="00D1789C"/>
    <w:rsid w:val="00D205D1"/>
    <w:rsid w:val="00D20765"/>
    <w:rsid w:val="00D20CCF"/>
    <w:rsid w:val="00D2249F"/>
    <w:rsid w:val="00D22EDB"/>
    <w:rsid w:val="00D23F2B"/>
    <w:rsid w:val="00D255CB"/>
    <w:rsid w:val="00D2606F"/>
    <w:rsid w:val="00D3094E"/>
    <w:rsid w:val="00D32276"/>
    <w:rsid w:val="00D32EB6"/>
    <w:rsid w:val="00D3446C"/>
    <w:rsid w:val="00D34AA1"/>
    <w:rsid w:val="00D34C4A"/>
    <w:rsid w:val="00D35A56"/>
    <w:rsid w:val="00D360B9"/>
    <w:rsid w:val="00D364BB"/>
    <w:rsid w:val="00D37165"/>
    <w:rsid w:val="00D418EA"/>
    <w:rsid w:val="00D42996"/>
    <w:rsid w:val="00D42ECC"/>
    <w:rsid w:val="00D43D14"/>
    <w:rsid w:val="00D43D27"/>
    <w:rsid w:val="00D45940"/>
    <w:rsid w:val="00D462C9"/>
    <w:rsid w:val="00D46654"/>
    <w:rsid w:val="00D50EB2"/>
    <w:rsid w:val="00D52BA9"/>
    <w:rsid w:val="00D5333E"/>
    <w:rsid w:val="00D541EF"/>
    <w:rsid w:val="00D5445E"/>
    <w:rsid w:val="00D559A8"/>
    <w:rsid w:val="00D564C7"/>
    <w:rsid w:val="00D57392"/>
    <w:rsid w:val="00D60408"/>
    <w:rsid w:val="00D60B20"/>
    <w:rsid w:val="00D6195D"/>
    <w:rsid w:val="00D624D2"/>
    <w:rsid w:val="00D62644"/>
    <w:rsid w:val="00D627A2"/>
    <w:rsid w:val="00D6296B"/>
    <w:rsid w:val="00D6588B"/>
    <w:rsid w:val="00D66C7E"/>
    <w:rsid w:val="00D67131"/>
    <w:rsid w:val="00D6787B"/>
    <w:rsid w:val="00D67A2F"/>
    <w:rsid w:val="00D67B85"/>
    <w:rsid w:val="00D70086"/>
    <w:rsid w:val="00D7040B"/>
    <w:rsid w:val="00D7053E"/>
    <w:rsid w:val="00D70EFA"/>
    <w:rsid w:val="00D7147E"/>
    <w:rsid w:val="00D723B1"/>
    <w:rsid w:val="00D72DB9"/>
    <w:rsid w:val="00D73AB1"/>
    <w:rsid w:val="00D73DCC"/>
    <w:rsid w:val="00D74C26"/>
    <w:rsid w:val="00D75101"/>
    <w:rsid w:val="00D75D3C"/>
    <w:rsid w:val="00D80F20"/>
    <w:rsid w:val="00D81114"/>
    <w:rsid w:val="00D819C1"/>
    <w:rsid w:val="00D85E9C"/>
    <w:rsid w:val="00D87166"/>
    <w:rsid w:val="00D87DAF"/>
    <w:rsid w:val="00D87F4D"/>
    <w:rsid w:val="00D926F6"/>
    <w:rsid w:val="00D96B63"/>
    <w:rsid w:val="00DA0663"/>
    <w:rsid w:val="00DA0B8E"/>
    <w:rsid w:val="00DA11C8"/>
    <w:rsid w:val="00DA120F"/>
    <w:rsid w:val="00DA1B7A"/>
    <w:rsid w:val="00DA25E3"/>
    <w:rsid w:val="00DA2736"/>
    <w:rsid w:val="00DA3CA6"/>
    <w:rsid w:val="00DA3E62"/>
    <w:rsid w:val="00DA4E00"/>
    <w:rsid w:val="00DA576B"/>
    <w:rsid w:val="00DA6933"/>
    <w:rsid w:val="00DB25AE"/>
    <w:rsid w:val="00DB37A6"/>
    <w:rsid w:val="00DB4208"/>
    <w:rsid w:val="00DB4B34"/>
    <w:rsid w:val="00DB73D3"/>
    <w:rsid w:val="00DB76E2"/>
    <w:rsid w:val="00DB7F39"/>
    <w:rsid w:val="00DB7FA2"/>
    <w:rsid w:val="00DC13FC"/>
    <w:rsid w:val="00DC15DB"/>
    <w:rsid w:val="00DC1C85"/>
    <w:rsid w:val="00DC2B4A"/>
    <w:rsid w:val="00DC3B53"/>
    <w:rsid w:val="00DC3DD5"/>
    <w:rsid w:val="00DC4631"/>
    <w:rsid w:val="00DC5089"/>
    <w:rsid w:val="00DC678E"/>
    <w:rsid w:val="00DC7036"/>
    <w:rsid w:val="00DD02B2"/>
    <w:rsid w:val="00DD166A"/>
    <w:rsid w:val="00DD4073"/>
    <w:rsid w:val="00DD459A"/>
    <w:rsid w:val="00DD4721"/>
    <w:rsid w:val="00DD4A1E"/>
    <w:rsid w:val="00DD4D01"/>
    <w:rsid w:val="00DD564B"/>
    <w:rsid w:val="00DD5B99"/>
    <w:rsid w:val="00DD5BE3"/>
    <w:rsid w:val="00DD71A7"/>
    <w:rsid w:val="00DD7B37"/>
    <w:rsid w:val="00DE140D"/>
    <w:rsid w:val="00DE22A6"/>
    <w:rsid w:val="00DE6152"/>
    <w:rsid w:val="00DE62E9"/>
    <w:rsid w:val="00DE6970"/>
    <w:rsid w:val="00DE6CB2"/>
    <w:rsid w:val="00DF17D4"/>
    <w:rsid w:val="00DF1881"/>
    <w:rsid w:val="00DF3E0E"/>
    <w:rsid w:val="00DF4397"/>
    <w:rsid w:val="00DF555E"/>
    <w:rsid w:val="00DF7A44"/>
    <w:rsid w:val="00E009AE"/>
    <w:rsid w:val="00E00EAF"/>
    <w:rsid w:val="00E03D35"/>
    <w:rsid w:val="00E04148"/>
    <w:rsid w:val="00E04272"/>
    <w:rsid w:val="00E048E5"/>
    <w:rsid w:val="00E0647A"/>
    <w:rsid w:val="00E103C9"/>
    <w:rsid w:val="00E1074F"/>
    <w:rsid w:val="00E108A1"/>
    <w:rsid w:val="00E11B42"/>
    <w:rsid w:val="00E12032"/>
    <w:rsid w:val="00E12302"/>
    <w:rsid w:val="00E1231F"/>
    <w:rsid w:val="00E125C0"/>
    <w:rsid w:val="00E14ABD"/>
    <w:rsid w:val="00E14AD6"/>
    <w:rsid w:val="00E1581E"/>
    <w:rsid w:val="00E15AE3"/>
    <w:rsid w:val="00E16245"/>
    <w:rsid w:val="00E1647C"/>
    <w:rsid w:val="00E20280"/>
    <w:rsid w:val="00E20DE6"/>
    <w:rsid w:val="00E226A1"/>
    <w:rsid w:val="00E228E5"/>
    <w:rsid w:val="00E22E1F"/>
    <w:rsid w:val="00E2305C"/>
    <w:rsid w:val="00E23FCC"/>
    <w:rsid w:val="00E246B9"/>
    <w:rsid w:val="00E24EC5"/>
    <w:rsid w:val="00E25C6C"/>
    <w:rsid w:val="00E262FB"/>
    <w:rsid w:val="00E27942"/>
    <w:rsid w:val="00E30B2C"/>
    <w:rsid w:val="00E3129A"/>
    <w:rsid w:val="00E3200D"/>
    <w:rsid w:val="00E32688"/>
    <w:rsid w:val="00E332F2"/>
    <w:rsid w:val="00E33CEE"/>
    <w:rsid w:val="00E3497A"/>
    <w:rsid w:val="00E353A0"/>
    <w:rsid w:val="00E403BE"/>
    <w:rsid w:val="00E40418"/>
    <w:rsid w:val="00E40C5C"/>
    <w:rsid w:val="00E420BE"/>
    <w:rsid w:val="00E42440"/>
    <w:rsid w:val="00E42600"/>
    <w:rsid w:val="00E44F12"/>
    <w:rsid w:val="00E45317"/>
    <w:rsid w:val="00E4581C"/>
    <w:rsid w:val="00E46100"/>
    <w:rsid w:val="00E47854"/>
    <w:rsid w:val="00E5044C"/>
    <w:rsid w:val="00E5050B"/>
    <w:rsid w:val="00E52060"/>
    <w:rsid w:val="00E5215B"/>
    <w:rsid w:val="00E537FB"/>
    <w:rsid w:val="00E53CDA"/>
    <w:rsid w:val="00E55A0E"/>
    <w:rsid w:val="00E55B96"/>
    <w:rsid w:val="00E56F05"/>
    <w:rsid w:val="00E56FE2"/>
    <w:rsid w:val="00E5753E"/>
    <w:rsid w:val="00E578FF"/>
    <w:rsid w:val="00E60B7E"/>
    <w:rsid w:val="00E610D3"/>
    <w:rsid w:val="00E6170C"/>
    <w:rsid w:val="00E641D6"/>
    <w:rsid w:val="00E650FB"/>
    <w:rsid w:val="00E65CF6"/>
    <w:rsid w:val="00E6753E"/>
    <w:rsid w:val="00E70F19"/>
    <w:rsid w:val="00E71DFF"/>
    <w:rsid w:val="00E72EA7"/>
    <w:rsid w:val="00E73049"/>
    <w:rsid w:val="00E7307C"/>
    <w:rsid w:val="00E73C78"/>
    <w:rsid w:val="00E75E82"/>
    <w:rsid w:val="00E77754"/>
    <w:rsid w:val="00E8292E"/>
    <w:rsid w:val="00E82BD8"/>
    <w:rsid w:val="00E83038"/>
    <w:rsid w:val="00E8395A"/>
    <w:rsid w:val="00E8566F"/>
    <w:rsid w:val="00E877A3"/>
    <w:rsid w:val="00E917C4"/>
    <w:rsid w:val="00E92EAF"/>
    <w:rsid w:val="00E92F4F"/>
    <w:rsid w:val="00E93512"/>
    <w:rsid w:val="00E93B93"/>
    <w:rsid w:val="00E93BA4"/>
    <w:rsid w:val="00E93EA7"/>
    <w:rsid w:val="00E9626F"/>
    <w:rsid w:val="00EA0C53"/>
    <w:rsid w:val="00EA1D67"/>
    <w:rsid w:val="00EA3163"/>
    <w:rsid w:val="00EA54AC"/>
    <w:rsid w:val="00EA5828"/>
    <w:rsid w:val="00EA641D"/>
    <w:rsid w:val="00EA7BB8"/>
    <w:rsid w:val="00EB1D13"/>
    <w:rsid w:val="00EB1F2D"/>
    <w:rsid w:val="00EB3031"/>
    <w:rsid w:val="00EB30D2"/>
    <w:rsid w:val="00EB3A0E"/>
    <w:rsid w:val="00EB4513"/>
    <w:rsid w:val="00EB7163"/>
    <w:rsid w:val="00EB74BE"/>
    <w:rsid w:val="00EC010B"/>
    <w:rsid w:val="00EC030A"/>
    <w:rsid w:val="00EC07C3"/>
    <w:rsid w:val="00EC1843"/>
    <w:rsid w:val="00EC22F2"/>
    <w:rsid w:val="00EC252E"/>
    <w:rsid w:val="00EC2B77"/>
    <w:rsid w:val="00EC4B77"/>
    <w:rsid w:val="00EC6B8B"/>
    <w:rsid w:val="00EC70FD"/>
    <w:rsid w:val="00EC7DED"/>
    <w:rsid w:val="00EC7EE8"/>
    <w:rsid w:val="00ED02AD"/>
    <w:rsid w:val="00ED0778"/>
    <w:rsid w:val="00ED079C"/>
    <w:rsid w:val="00ED1F38"/>
    <w:rsid w:val="00ED27B1"/>
    <w:rsid w:val="00ED3792"/>
    <w:rsid w:val="00ED4007"/>
    <w:rsid w:val="00ED41C0"/>
    <w:rsid w:val="00ED466D"/>
    <w:rsid w:val="00ED4DD0"/>
    <w:rsid w:val="00ED564C"/>
    <w:rsid w:val="00ED565A"/>
    <w:rsid w:val="00ED6D2C"/>
    <w:rsid w:val="00ED78AE"/>
    <w:rsid w:val="00EE1222"/>
    <w:rsid w:val="00EE2866"/>
    <w:rsid w:val="00EE2B81"/>
    <w:rsid w:val="00EE3845"/>
    <w:rsid w:val="00EE3D9B"/>
    <w:rsid w:val="00EE45FE"/>
    <w:rsid w:val="00EE4FFA"/>
    <w:rsid w:val="00EE511F"/>
    <w:rsid w:val="00EE5230"/>
    <w:rsid w:val="00EE5537"/>
    <w:rsid w:val="00EE5BCF"/>
    <w:rsid w:val="00EE6102"/>
    <w:rsid w:val="00EE7B47"/>
    <w:rsid w:val="00EF03E1"/>
    <w:rsid w:val="00EF13D8"/>
    <w:rsid w:val="00EF1F8F"/>
    <w:rsid w:val="00EF2870"/>
    <w:rsid w:val="00EF490C"/>
    <w:rsid w:val="00EF4B76"/>
    <w:rsid w:val="00EF4BFB"/>
    <w:rsid w:val="00EF5591"/>
    <w:rsid w:val="00EF5698"/>
    <w:rsid w:val="00EF617F"/>
    <w:rsid w:val="00F003CF"/>
    <w:rsid w:val="00F013E9"/>
    <w:rsid w:val="00F01E4B"/>
    <w:rsid w:val="00F04B53"/>
    <w:rsid w:val="00F04BCD"/>
    <w:rsid w:val="00F06463"/>
    <w:rsid w:val="00F06C32"/>
    <w:rsid w:val="00F075F4"/>
    <w:rsid w:val="00F07904"/>
    <w:rsid w:val="00F105BE"/>
    <w:rsid w:val="00F10BCE"/>
    <w:rsid w:val="00F111B0"/>
    <w:rsid w:val="00F11CF3"/>
    <w:rsid w:val="00F11F3C"/>
    <w:rsid w:val="00F121BA"/>
    <w:rsid w:val="00F13173"/>
    <w:rsid w:val="00F14532"/>
    <w:rsid w:val="00F15929"/>
    <w:rsid w:val="00F15E10"/>
    <w:rsid w:val="00F15EE9"/>
    <w:rsid w:val="00F16007"/>
    <w:rsid w:val="00F16483"/>
    <w:rsid w:val="00F175B1"/>
    <w:rsid w:val="00F22B62"/>
    <w:rsid w:val="00F23809"/>
    <w:rsid w:val="00F24400"/>
    <w:rsid w:val="00F25695"/>
    <w:rsid w:val="00F25A69"/>
    <w:rsid w:val="00F26D7F"/>
    <w:rsid w:val="00F271F6"/>
    <w:rsid w:val="00F27A8E"/>
    <w:rsid w:val="00F32039"/>
    <w:rsid w:val="00F32182"/>
    <w:rsid w:val="00F32605"/>
    <w:rsid w:val="00F32DA1"/>
    <w:rsid w:val="00F33F34"/>
    <w:rsid w:val="00F349A7"/>
    <w:rsid w:val="00F351A6"/>
    <w:rsid w:val="00F3533F"/>
    <w:rsid w:val="00F35C9C"/>
    <w:rsid w:val="00F36AE6"/>
    <w:rsid w:val="00F37025"/>
    <w:rsid w:val="00F41B91"/>
    <w:rsid w:val="00F426F7"/>
    <w:rsid w:val="00F4327A"/>
    <w:rsid w:val="00F45CD4"/>
    <w:rsid w:val="00F4635B"/>
    <w:rsid w:val="00F463A8"/>
    <w:rsid w:val="00F471E7"/>
    <w:rsid w:val="00F47425"/>
    <w:rsid w:val="00F5096E"/>
    <w:rsid w:val="00F50B25"/>
    <w:rsid w:val="00F51F71"/>
    <w:rsid w:val="00F54885"/>
    <w:rsid w:val="00F55174"/>
    <w:rsid w:val="00F55E85"/>
    <w:rsid w:val="00F60FE6"/>
    <w:rsid w:val="00F61606"/>
    <w:rsid w:val="00F623E6"/>
    <w:rsid w:val="00F62EE6"/>
    <w:rsid w:val="00F637CB"/>
    <w:rsid w:val="00F6552B"/>
    <w:rsid w:val="00F662CD"/>
    <w:rsid w:val="00F66F24"/>
    <w:rsid w:val="00F67DC1"/>
    <w:rsid w:val="00F70D5A"/>
    <w:rsid w:val="00F70EDD"/>
    <w:rsid w:val="00F715A7"/>
    <w:rsid w:val="00F73792"/>
    <w:rsid w:val="00F751AB"/>
    <w:rsid w:val="00F7523B"/>
    <w:rsid w:val="00F75701"/>
    <w:rsid w:val="00F767E2"/>
    <w:rsid w:val="00F76A14"/>
    <w:rsid w:val="00F76FAD"/>
    <w:rsid w:val="00F772BB"/>
    <w:rsid w:val="00F77302"/>
    <w:rsid w:val="00F81458"/>
    <w:rsid w:val="00F81A86"/>
    <w:rsid w:val="00F8209F"/>
    <w:rsid w:val="00F825BF"/>
    <w:rsid w:val="00F84747"/>
    <w:rsid w:val="00F848FB"/>
    <w:rsid w:val="00F85351"/>
    <w:rsid w:val="00F857FC"/>
    <w:rsid w:val="00F86708"/>
    <w:rsid w:val="00F86A0C"/>
    <w:rsid w:val="00F8722C"/>
    <w:rsid w:val="00F87F27"/>
    <w:rsid w:val="00F91073"/>
    <w:rsid w:val="00F9194A"/>
    <w:rsid w:val="00F92140"/>
    <w:rsid w:val="00F929DF"/>
    <w:rsid w:val="00F9384E"/>
    <w:rsid w:val="00F93CE5"/>
    <w:rsid w:val="00F944F5"/>
    <w:rsid w:val="00F94AB3"/>
    <w:rsid w:val="00F95FA1"/>
    <w:rsid w:val="00FA14FA"/>
    <w:rsid w:val="00FA18B0"/>
    <w:rsid w:val="00FA3616"/>
    <w:rsid w:val="00FA4A6F"/>
    <w:rsid w:val="00FA60F5"/>
    <w:rsid w:val="00FA62CC"/>
    <w:rsid w:val="00FA635A"/>
    <w:rsid w:val="00FB0962"/>
    <w:rsid w:val="00FB0E56"/>
    <w:rsid w:val="00FB0EB3"/>
    <w:rsid w:val="00FB52CD"/>
    <w:rsid w:val="00FB68ED"/>
    <w:rsid w:val="00FB6B6B"/>
    <w:rsid w:val="00FB7800"/>
    <w:rsid w:val="00FB7C05"/>
    <w:rsid w:val="00FC21B5"/>
    <w:rsid w:val="00FC2C10"/>
    <w:rsid w:val="00FC2CDA"/>
    <w:rsid w:val="00FC2F51"/>
    <w:rsid w:val="00FC31F9"/>
    <w:rsid w:val="00FC39C1"/>
    <w:rsid w:val="00FC46FB"/>
    <w:rsid w:val="00FC49A7"/>
    <w:rsid w:val="00FC6D75"/>
    <w:rsid w:val="00FC7BBA"/>
    <w:rsid w:val="00FD0391"/>
    <w:rsid w:val="00FD03FE"/>
    <w:rsid w:val="00FD05D1"/>
    <w:rsid w:val="00FD101A"/>
    <w:rsid w:val="00FD110D"/>
    <w:rsid w:val="00FD1A3D"/>
    <w:rsid w:val="00FD1AB2"/>
    <w:rsid w:val="00FD1F4C"/>
    <w:rsid w:val="00FD33F8"/>
    <w:rsid w:val="00FD3A8C"/>
    <w:rsid w:val="00FD443C"/>
    <w:rsid w:val="00FD4D78"/>
    <w:rsid w:val="00FD4F82"/>
    <w:rsid w:val="00FD523A"/>
    <w:rsid w:val="00FD5A8F"/>
    <w:rsid w:val="00FD69CF"/>
    <w:rsid w:val="00FE0A06"/>
    <w:rsid w:val="00FE0C72"/>
    <w:rsid w:val="00FE1D7E"/>
    <w:rsid w:val="00FE244A"/>
    <w:rsid w:val="00FE2C03"/>
    <w:rsid w:val="00FE60D4"/>
    <w:rsid w:val="00FE707D"/>
    <w:rsid w:val="00FE764E"/>
    <w:rsid w:val="00FF2005"/>
    <w:rsid w:val="00FF2392"/>
    <w:rsid w:val="00FF3045"/>
    <w:rsid w:val="00FF37EA"/>
    <w:rsid w:val="01415CD2"/>
    <w:rsid w:val="01635C49"/>
    <w:rsid w:val="01EA0536"/>
    <w:rsid w:val="020B5EE9"/>
    <w:rsid w:val="03064AB8"/>
    <w:rsid w:val="0328539C"/>
    <w:rsid w:val="033E4BBF"/>
    <w:rsid w:val="03F93A73"/>
    <w:rsid w:val="042046F5"/>
    <w:rsid w:val="04787C5D"/>
    <w:rsid w:val="04C16888"/>
    <w:rsid w:val="04D330E5"/>
    <w:rsid w:val="04E11CA6"/>
    <w:rsid w:val="05900FD6"/>
    <w:rsid w:val="06087B94"/>
    <w:rsid w:val="0689662B"/>
    <w:rsid w:val="0698114A"/>
    <w:rsid w:val="06FE6B3F"/>
    <w:rsid w:val="07832BA1"/>
    <w:rsid w:val="07E147B8"/>
    <w:rsid w:val="08066F25"/>
    <w:rsid w:val="08712537"/>
    <w:rsid w:val="08DA29A0"/>
    <w:rsid w:val="09D00DB5"/>
    <w:rsid w:val="09D25006"/>
    <w:rsid w:val="09F340E8"/>
    <w:rsid w:val="0A5C592B"/>
    <w:rsid w:val="0A732D15"/>
    <w:rsid w:val="0A757553"/>
    <w:rsid w:val="0AA7304A"/>
    <w:rsid w:val="0AAB0D8C"/>
    <w:rsid w:val="0AAD0049"/>
    <w:rsid w:val="0B9E6FCA"/>
    <w:rsid w:val="0BD13BA5"/>
    <w:rsid w:val="0C060244"/>
    <w:rsid w:val="0CA23AC9"/>
    <w:rsid w:val="0D1C451A"/>
    <w:rsid w:val="0D817CDD"/>
    <w:rsid w:val="0D86163D"/>
    <w:rsid w:val="0D9B07AF"/>
    <w:rsid w:val="0DAE46EF"/>
    <w:rsid w:val="0DCB2EC9"/>
    <w:rsid w:val="0DDB5519"/>
    <w:rsid w:val="0E134337"/>
    <w:rsid w:val="0E2F5830"/>
    <w:rsid w:val="0E670F34"/>
    <w:rsid w:val="0EF90537"/>
    <w:rsid w:val="0FC87CEA"/>
    <w:rsid w:val="0FF65C06"/>
    <w:rsid w:val="103A670E"/>
    <w:rsid w:val="104A18C6"/>
    <w:rsid w:val="10945E1E"/>
    <w:rsid w:val="10B85FB1"/>
    <w:rsid w:val="10CD3604"/>
    <w:rsid w:val="110342FF"/>
    <w:rsid w:val="110E3E23"/>
    <w:rsid w:val="121D6EB6"/>
    <w:rsid w:val="127D2F5A"/>
    <w:rsid w:val="12843C37"/>
    <w:rsid w:val="12E666D9"/>
    <w:rsid w:val="1319260B"/>
    <w:rsid w:val="13336E3E"/>
    <w:rsid w:val="137D0DEC"/>
    <w:rsid w:val="137E6B3F"/>
    <w:rsid w:val="13BA3963"/>
    <w:rsid w:val="13E75FD4"/>
    <w:rsid w:val="145C7FB0"/>
    <w:rsid w:val="14FC3F92"/>
    <w:rsid w:val="15155054"/>
    <w:rsid w:val="15202377"/>
    <w:rsid w:val="156D6C3E"/>
    <w:rsid w:val="15785BB6"/>
    <w:rsid w:val="15FA5D0A"/>
    <w:rsid w:val="165C6DCA"/>
    <w:rsid w:val="168E50BE"/>
    <w:rsid w:val="16921052"/>
    <w:rsid w:val="177E44BC"/>
    <w:rsid w:val="17920BDE"/>
    <w:rsid w:val="190A0BD8"/>
    <w:rsid w:val="19622F5E"/>
    <w:rsid w:val="199B1FCC"/>
    <w:rsid w:val="19D41982"/>
    <w:rsid w:val="19DC4392"/>
    <w:rsid w:val="1A085187"/>
    <w:rsid w:val="1A8B0292"/>
    <w:rsid w:val="1AF916A0"/>
    <w:rsid w:val="1B2B711A"/>
    <w:rsid w:val="1B352404"/>
    <w:rsid w:val="1B583A4F"/>
    <w:rsid w:val="1C5A2E43"/>
    <w:rsid w:val="1C5E26D8"/>
    <w:rsid w:val="1C6C5EA1"/>
    <w:rsid w:val="1CBF7BEB"/>
    <w:rsid w:val="1CC730D8"/>
    <w:rsid w:val="1D0D3CA0"/>
    <w:rsid w:val="1D3C38E1"/>
    <w:rsid w:val="1D4A5240"/>
    <w:rsid w:val="1D8F1E47"/>
    <w:rsid w:val="1D94745E"/>
    <w:rsid w:val="1DFE1EE3"/>
    <w:rsid w:val="1E624DD4"/>
    <w:rsid w:val="1E7B23CC"/>
    <w:rsid w:val="1EB941F1"/>
    <w:rsid w:val="1F2962CC"/>
    <w:rsid w:val="203931EC"/>
    <w:rsid w:val="20D65FDF"/>
    <w:rsid w:val="210F67FD"/>
    <w:rsid w:val="21ED75AA"/>
    <w:rsid w:val="21F901D7"/>
    <w:rsid w:val="21FA7BC8"/>
    <w:rsid w:val="224F4AB9"/>
    <w:rsid w:val="22B76683"/>
    <w:rsid w:val="22E12559"/>
    <w:rsid w:val="231F1167"/>
    <w:rsid w:val="235C2BD4"/>
    <w:rsid w:val="23FA3D93"/>
    <w:rsid w:val="23FF4341"/>
    <w:rsid w:val="24DB1E16"/>
    <w:rsid w:val="2581038F"/>
    <w:rsid w:val="259A3A7F"/>
    <w:rsid w:val="25B11518"/>
    <w:rsid w:val="25B86563"/>
    <w:rsid w:val="25EC2F6E"/>
    <w:rsid w:val="26C8461C"/>
    <w:rsid w:val="26D05957"/>
    <w:rsid w:val="26DD122F"/>
    <w:rsid w:val="26FE1DEC"/>
    <w:rsid w:val="2739031A"/>
    <w:rsid w:val="283D41B0"/>
    <w:rsid w:val="288051AE"/>
    <w:rsid w:val="28C1544E"/>
    <w:rsid w:val="28EF5E90"/>
    <w:rsid w:val="28F03549"/>
    <w:rsid w:val="2938027B"/>
    <w:rsid w:val="2943165A"/>
    <w:rsid w:val="29451F54"/>
    <w:rsid w:val="296E3259"/>
    <w:rsid w:val="299407E6"/>
    <w:rsid w:val="29F10FDB"/>
    <w:rsid w:val="2A321930"/>
    <w:rsid w:val="2A495030"/>
    <w:rsid w:val="2A676E5E"/>
    <w:rsid w:val="2A946CEF"/>
    <w:rsid w:val="2ACC4185"/>
    <w:rsid w:val="2B3109E2"/>
    <w:rsid w:val="2B997798"/>
    <w:rsid w:val="2BB4516F"/>
    <w:rsid w:val="2C250A37"/>
    <w:rsid w:val="2CA31F00"/>
    <w:rsid w:val="2CF47464"/>
    <w:rsid w:val="2D23435A"/>
    <w:rsid w:val="2D875A5C"/>
    <w:rsid w:val="2DB15E0A"/>
    <w:rsid w:val="2DCA2DA2"/>
    <w:rsid w:val="2DD12008"/>
    <w:rsid w:val="2E8B665B"/>
    <w:rsid w:val="2EDE49DD"/>
    <w:rsid w:val="2F805A94"/>
    <w:rsid w:val="2F996B56"/>
    <w:rsid w:val="2FBB4416"/>
    <w:rsid w:val="2FDB37C9"/>
    <w:rsid w:val="30347DA4"/>
    <w:rsid w:val="30564A47"/>
    <w:rsid w:val="30582787"/>
    <w:rsid w:val="30640F12"/>
    <w:rsid w:val="30BE3DCE"/>
    <w:rsid w:val="30C44045"/>
    <w:rsid w:val="30F027A5"/>
    <w:rsid w:val="30FD19EB"/>
    <w:rsid w:val="310C4583"/>
    <w:rsid w:val="31321010"/>
    <w:rsid w:val="313258E8"/>
    <w:rsid w:val="31822DF7"/>
    <w:rsid w:val="31A072B4"/>
    <w:rsid w:val="31CF685F"/>
    <w:rsid w:val="31E83DC4"/>
    <w:rsid w:val="3251196A"/>
    <w:rsid w:val="32D87995"/>
    <w:rsid w:val="32FA3DAF"/>
    <w:rsid w:val="32FB322A"/>
    <w:rsid w:val="3304078A"/>
    <w:rsid w:val="33491B5A"/>
    <w:rsid w:val="34076784"/>
    <w:rsid w:val="34354B9C"/>
    <w:rsid w:val="34656A1F"/>
    <w:rsid w:val="34F856A3"/>
    <w:rsid w:val="35315E89"/>
    <w:rsid w:val="353A77E0"/>
    <w:rsid w:val="354457B6"/>
    <w:rsid w:val="36345EE6"/>
    <w:rsid w:val="364D41F6"/>
    <w:rsid w:val="369B1D40"/>
    <w:rsid w:val="36F24934"/>
    <w:rsid w:val="37B409D1"/>
    <w:rsid w:val="37BC2078"/>
    <w:rsid w:val="38521F98"/>
    <w:rsid w:val="386C58FB"/>
    <w:rsid w:val="386D15ED"/>
    <w:rsid w:val="389F7463"/>
    <w:rsid w:val="38FF1191"/>
    <w:rsid w:val="39355B41"/>
    <w:rsid w:val="3A804B32"/>
    <w:rsid w:val="3AA64F72"/>
    <w:rsid w:val="3AAA1C17"/>
    <w:rsid w:val="3B182918"/>
    <w:rsid w:val="3B6650C4"/>
    <w:rsid w:val="3BD66CA2"/>
    <w:rsid w:val="3C247E8C"/>
    <w:rsid w:val="3C2C5BB9"/>
    <w:rsid w:val="3CB45CFB"/>
    <w:rsid w:val="3CCB40C7"/>
    <w:rsid w:val="3D956BAE"/>
    <w:rsid w:val="3DF275D1"/>
    <w:rsid w:val="3EB968CD"/>
    <w:rsid w:val="3EC875D4"/>
    <w:rsid w:val="3EE071AB"/>
    <w:rsid w:val="3EFF2568"/>
    <w:rsid w:val="3F3643C1"/>
    <w:rsid w:val="3FCC5A47"/>
    <w:rsid w:val="40624D42"/>
    <w:rsid w:val="40694E7B"/>
    <w:rsid w:val="40C304AF"/>
    <w:rsid w:val="418A09F4"/>
    <w:rsid w:val="42605CE0"/>
    <w:rsid w:val="43081BD1"/>
    <w:rsid w:val="43544E16"/>
    <w:rsid w:val="438020AF"/>
    <w:rsid w:val="44290050"/>
    <w:rsid w:val="444A7FC7"/>
    <w:rsid w:val="451505D5"/>
    <w:rsid w:val="453E2BF0"/>
    <w:rsid w:val="45C41F63"/>
    <w:rsid w:val="467F70E2"/>
    <w:rsid w:val="468D2996"/>
    <w:rsid w:val="46945A20"/>
    <w:rsid w:val="469F284C"/>
    <w:rsid w:val="47B71E17"/>
    <w:rsid w:val="47E0136E"/>
    <w:rsid w:val="48284861"/>
    <w:rsid w:val="48623B31"/>
    <w:rsid w:val="48897310"/>
    <w:rsid w:val="49247038"/>
    <w:rsid w:val="49B04D70"/>
    <w:rsid w:val="49F84FFA"/>
    <w:rsid w:val="4A012E2B"/>
    <w:rsid w:val="4A340100"/>
    <w:rsid w:val="4A437992"/>
    <w:rsid w:val="4A600544"/>
    <w:rsid w:val="4A8E6E5F"/>
    <w:rsid w:val="4A915202"/>
    <w:rsid w:val="4B412124"/>
    <w:rsid w:val="4B460B4B"/>
    <w:rsid w:val="4B9319B6"/>
    <w:rsid w:val="4BB3139E"/>
    <w:rsid w:val="4CA25171"/>
    <w:rsid w:val="4D963478"/>
    <w:rsid w:val="4DBA440F"/>
    <w:rsid w:val="4DEC6CD7"/>
    <w:rsid w:val="4E233D83"/>
    <w:rsid w:val="4FDD44A2"/>
    <w:rsid w:val="509A0C0E"/>
    <w:rsid w:val="50A32F39"/>
    <w:rsid w:val="51082263"/>
    <w:rsid w:val="515661FD"/>
    <w:rsid w:val="5198572E"/>
    <w:rsid w:val="51ED3AFC"/>
    <w:rsid w:val="52350508"/>
    <w:rsid w:val="52374280"/>
    <w:rsid w:val="5302663C"/>
    <w:rsid w:val="53574187"/>
    <w:rsid w:val="536410A5"/>
    <w:rsid w:val="54651927"/>
    <w:rsid w:val="54AF3253"/>
    <w:rsid w:val="551326FC"/>
    <w:rsid w:val="55307659"/>
    <w:rsid w:val="55383F64"/>
    <w:rsid w:val="55BC6160"/>
    <w:rsid w:val="55E0339D"/>
    <w:rsid w:val="5612303A"/>
    <w:rsid w:val="561843C9"/>
    <w:rsid w:val="561F3061"/>
    <w:rsid w:val="56261518"/>
    <w:rsid w:val="56694C24"/>
    <w:rsid w:val="56941C15"/>
    <w:rsid w:val="579655A5"/>
    <w:rsid w:val="57AD28EF"/>
    <w:rsid w:val="57C06AC6"/>
    <w:rsid w:val="57DD31D4"/>
    <w:rsid w:val="58424AB5"/>
    <w:rsid w:val="58A15FD0"/>
    <w:rsid w:val="58D05A14"/>
    <w:rsid w:val="59060509"/>
    <w:rsid w:val="594A6647"/>
    <w:rsid w:val="595455B5"/>
    <w:rsid w:val="598B7205"/>
    <w:rsid w:val="59BE5287"/>
    <w:rsid w:val="59F22154"/>
    <w:rsid w:val="59F42A57"/>
    <w:rsid w:val="59F6057D"/>
    <w:rsid w:val="5A074490"/>
    <w:rsid w:val="5A2302F0"/>
    <w:rsid w:val="5A364E1D"/>
    <w:rsid w:val="5AB50333"/>
    <w:rsid w:val="5AC01473"/>
    <w:rsid w:val="5B0E4FB1"/>
    <w:rsid w:val="5B5E7E0F"/>
    <w:rsid w:val="5BC02519"/>
    <w:rsid w:val="5C2238AB"/>
    <w:rsid w:val="5C381321"/>
    <w:rsid w:val="5C981DBF"/>
    <w:rsid w:val="5CC0147B"/>
    <w:rsid w:val="5CD56B70"/>
    <w:rsid w:val="5D504448"/>
    <w:rsid w:val="5DE15411"/>
    <w:rsid w:val="5DF14806"/>
    <w:rsid w:val="5E0F7E5F"/>
    <w:rsid w:val="5E834211"/>
    <w:rsid w:val="5E9071F2"/>
    <w:rsid w:val="5F2A7A3E"/>
    <w:rsid w:val="5F3E0E69"/>
    <w:rsid w:val="5F9F32CB"/>
    <w:rsid w:val="60911000"/>
    <w:rsid w:val="6137073F"/>
    <w:rsid w:val="61556E8F"/>
    <w:rsid w:val="618F19E3"/>
    <w:rsid w:val="623B56C7"/>
    <w:rsid w:val="62500A46"/>
    <w:rsid w:val="635D3BCB"/>
    <w:rsid w:val="63A43996"/>
    <w:rsid w:val="63FF3B09"/>
    <w:rsid w:val="64261175"/>
    <w:rsid w:val="64CA4AE0"/>
    <w:rsid w:val="64CE04C8"/>
    <w:rsid w:val="653E0CAA"/>
    <w:rsid w:val="65710418"/>
    <w:rsid w:val="663A71E2"/>
    <w:rsid w:val="66AB0941"/>
    <w:rsid w:val="670855E5"/>
    <w:rsid w:val="674C3ED2"/>
    <w:rsid w:val="67896ED4"/>
    <w:rsid w:val="688A2F04"/>
    <w:rsid w:val="68B27D65"/>
    <w:rsid w:val="68C721BC"/>
    <w:rsid w:val="694F1A58"/>
    <w:rsid w:val="69605A13"/>
    <w:rsid w:val="696A62C2"/>
    <w:rsid w:val="6974326C"/>
    <w:rsid w:val="69C67F6C"/>
    <w:rsid w:val="6A5C18FD"/>
    <w:rsid w:val="6A6B167A"/>
    <w:rsid w:val="6A800F11"/>
    <w:rsid w:val="6AE61F48"/>
    <w:rsid w:val="6C57134F"/>
    <w:rsid w:val="6C895281"/>
    <w:rsid w:val="6CAD71C1"/>
    <w:rsid w:val="6CC60283"/>
    <w:rsid w:val="6D5B6C1D"/>
    <w:rsid w:val="6D745F31"/>
    <w:rsid w:val="6D882473"/>
    <w:rsid w:val="6D8E7684"/>
    <w:rsid w:val="6E302E16"/>
    <w:rsid w:val="6EA225C7"/>
    <w:rsid w:val="6EB0701A"/>
    <w:rsid w:val="6F2B0871"/>
    <w:rsid w:val="6F3829E8"/>
    <w:rsid w:val="6FA523D2"/>
    <w:rsid w:val="6FC22F83"/>
    <w:rsid w:val="701C5D86"/>
    <w:rsid w:val="702A28D7"/>
    <w:rsid w:val="70560679"/>
    <w:rsid w:val="708F3534"/>
    <w:rsid w:val="70BF3967"/>
    <w:rsid w:val="70C50229"/>
    <w:rsid w:val="70CC1BE0"/>
    <w:rsid w:val="715C7408"/>
    <w:rsid w:val="72D75763"/>
    <w:rsid w:val="72FA2A34"/>
    <w:rsid w:val="735C324C"/>
    <w:rsid w:val="741E6BF6"/>
    <w:rsid w:val="74277859"/>
    <w:rsid w:val="742B1FE0"/>
    <w:rsid w:val="750744E5"/>
    <w:rsid w:val="753161AE"/>
    <w:rsid w:val="75680129"/>
    <w:rsid w:val="757545F4"/>
    <w:rsid w:val="75A35255"/>
    <w:rsid w:val="76217F91"/>
    <w:rsid w:val="763C5D0A"/>
    <w:rsid w:val="7662726E"/>
    <w:rsid w:val="76893A19"/>
    <w:rsid w:val="769B26DC"/>
    <w:rsid w:val="76D80CE3"/>
    <w:rsid w:val="773D0465"/>
    <w:rsid w:val="774B1AB0"/>
    <w:rsid w:val="786B2585"/>
    <w:rsid w:val="78B90C9C"/>
    <w:rsid w:val="78F2573D"/>
    <w:rsid w:val="795F53B0"/>
    <w:rsid w:val="79617E9F"/>
    <w:rsid w:val="79671759"/>
    <w:rsid w:val="797075DA"/>
    <w:rsid w:val="79FD2E0A"/>
    <w:rsid w:val="7A0D5743"/>
    <w:rsid w:val="7A1B3C8B"/>
    <w:rsid w:val="7A7632E8"/>
    <w:rsid w:val="7AA8721A"/>
    <w:rsid w:val="7B183B96"/>
    <w:rsid w:val="7B220D7A"/>
    <w:rsid w:val="7BB41C3D"/>
    <w:rsid w:val="7BBF44BB"/>
    <w:rsid w:val="7BD863FC"/>
    <w:rsid w:val="7BDC50A2"/>
    <w:rsid w:val="7C7C270C"/>
    <w:rsid w:val="7D0B0461"/>
    <w:rsid w:val="7D282903"/>
    <w:rsid w:val="7D401A7F"/>
    <w:rsid w:val="7DA22646"/>
    <w:rsid w:val="7DC0487A"/>
    <w:rsid w:val="7DCF4ABD"/>
    <w:rsid w:val="7DFF35F5"/>
    <w:rsid w:val="7E015867"/>
    <w:rsid w:val="7E2E5C88"/>
    <w:rsid w:val="7E753116"/>
    <w:rsid w:val="7EB97C47"/>
    <w:rsid w:val="7F1E5CFC"/>
    <w:rsid w:val="7F376DBE"/>
    <w:rsid w:val="7F5E6DA6"/>
    <w:rsid w:val="7F7101C2"/>
    <w:rsid w:val="7F8E48CA"/>
    <w:rsid w:val="7FAB18EF"/>
    <w:rsid w:val="7FF8479F"/>
    <w:rsid w:val="7FFC42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qFormat="1" w:uiPriority="0" w:name="Body Text Indent 3"/>
    <w:lsdException w:qFormat="1" w:unhideWhenUsed="0" w:uiPriority="0"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3"/>
    <w:next w:val="1"/>
    <w:link w:val="45"/>
    <w:autoRedefine/>
    <w:qFormat/>
    <w:uiPriority w:val="9"/>
    <w:pPr>
      <w:keepNext/>
      <w:keepLines/>
      <w:spacing w:before="340" w:after="330" w:line="578" w:lineRule="auto"/>
      <w:jc w:val="center"/>
      <w:outlineLvl w:val="0"/>
    </w:pPr>
    <w:rPr>
      <w:bCs/>
      <w:kern w:val="44"/>
      <w:sz w:val="44"/>
      <w:szCs w:val="44"/>
    </w:rPr>
  </w:style>
  <w:style w:type="paragraph" w:styleId="3">
    <w:name w:val="heading 2"/>
    <w:basedOn w:val="1"/>
    <w:next w:val="1"/>
    <w:link w:val="48"/>
    <w:qFormat/>
    <w:uiPriority w:val="0"/>
    <w:pPr>
      <w:keepNext/>
      <w:keepLines/>
      <w:spacing w:before="260" w:after="260" w:line="500" w:lineRule="exact"/>
      <w:contextualSpacing/>
      <w:jc w:val="center"/>
      <w:outlineLvl w:val="1"/>
    </w:pPr>
    <w:rPr>
      <w:rFonts w:asciiTheme="majorEastAsia" w:hAnsiTheme="majorEastAsia" w:eastAsiaTheme="majorEastAsia"/>
      <w:sz w:val="32"/>
      <w:szCs w:val="28"/>
    </w:rPr>
  </w:style>
  <w:style w:type="paragraph" w:styleId="4">
    <w:name w:val="heading 3"/>
    <w:basedOn w:val="1"/>
    <w:next w:val="1"/>
    <w:link w:val="46"/>
    <w:qFormat/>
    <w:uiPriority w:val="0"/>
    <w:pPr>
      <w:adjustRightInd w:val="0"/>
      <w:snapToGrid w:val="0"/>
      <w:spacing w:line="500" w:lineRule="exact"/>
      <w:ind w:left="-88" w:leftChars="-42"/>
      <w:jc w:val="center"/>
      <w:outlineLvl w:val="2"/>
    </w:pPr>
    <w:rPr>
      <w:rFonts w:ascii="仿宋_GB2312" w:hAnsi="宋体" w:eastAsiaTheme="minorEastAsia"/>
      <w:b/>
      <w:sz w:val="32"/>
      <w:szCs w:val="32"/>
    </w:rPr>
  </w:style>
  <w:style w:type="paragraph" w:styleId="5">
    <w:name w:val="heading 4"/>
    <w:basedOn w:val="1"/>
    <w:next w:val="1"/>
    <w:link w:val="49"/>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7"/>
    <w:qFormat/>
    <w:uiPriority w:val="0"/>
    <w:pPr>
      <w:keepNext/>
      <w:keepLines/>
      <w:spacing w:before="280" w:after="290" w:line="376" w:lineRule="auto"/>
      <w:outlineLvl w:val="4"/>
    </w:pPr>
    <w:rPr>
      <w:b/>
      <w:bCs/>
      <w:sz w:val="28"/>
      <w:szCs w:val="28"/>
    </w:rPr>
  </w:style>
  <w:style w:type="paragraph" w:styleId="7">
    <w:name w:val="heading 6"/>
    <w:basedOn w:val="6"/>
    <w:next w:val="1"/>
    <w:link w:val="50"/>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51"/>
    <w:qFormat/>
    <w:uiPriority w:val="0"/>
    <w:pPr>
      <w:tabs>
        <w:tab w:val="left" w:pos="1800"/>
        <w:tab w:val="clear" w:pos="1440"/>
      </w:tabs>
      <w:ind w:left="1276" w:hanging="1276"/>
      <w:outlineLvl w:val="6"/>
    </w:pPr>
  </w:style>
  <w:style w:type="paragraph" w:styleId="9">
    <w:name w:val="heading 8"/>
    <w:basedOn w:val="8"/>
    <w:next w:val="1"/>
    <w:link w:val="52"/>
    <w:qFormat/>
    <w:uiPriority w:val="0"/>
    <w:pPr>
      <w:ind w:left="1418" w:hanging="1418"/>
      <w:outlineLvl w:val="7"/>
    </w:pPr>
  </w:style>
  <w:style w:type="paragraph" w:styleId="10">
    <w:name w:val="heading 9"/>
    <w:basedOn w:val="9"/>
    <w:next w:val="1"/>
    <w:link w:val="53"/>
    <w:qFormat/>
    <w:uiPriority w:val="0"/>
    <w:pPr>
      <w:tabs>
        <w:tab w:val="left" w:pos="2160"/>
        <w:tab w:val="clear" w:pos="1800"/>
      </w:tabs>
      <w:ind w:left="1559" w:hanging="1559"/>
      <w:outlineLvl w:val="8"/>
    </w:pPr>
  </w:style>
  <w:style w:type="character" w:default="1" w:styleId="36">
    <w:name w:val="Default Paragraph Font"/>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60"/>
    <w:autoRedefine/>
    <w:unhideWhenUsed/>
    <w:qFormat/>
    <w:uiPriority w:val="0"/>
    <w:pPr>
      <w:ind w:firstLine="420" w:firstLineChars="200"/>
    </w:pPr>
  </w:style>
  <w:style w:type="paragraph" w:styleId="12">
    <w:name w:val="Document Map"/>
    <w:basedOn w:val="1"/>
    <w:link w:val="65"/>
    <w:autoRedefine/>
    <w:qFormat/>
    <w:uiPriority w:val="0"/>
    <w:rPr>
      <w:rFonts w:ascii="宋体"/>
      <w:sz w:val="18"/>
      <w:szCs w:val="18"/>
    </w:rPr>
  </w:style>
  <w:style w:type="paragraph" w:styleId="13">
    <w:name w:val="annotation text"/>
    <w:basedOn w:val="1"/>
    <w:link w:val="63"/>
    <w:autoRedefine/>
    <w:qFormat/>
    <w:uiPriority w:val="0"/>
    <w:pPr>
      <w:jc w:val="left"/>
    </w:pPr>
  </w:style>
  <w:style w:type="paragraph" w:styleId="14">
    <w:name w:val="Body Text"/>
    <w:basedOn w:val="1"/>
    <w:next w:val="15"/>
    <w:autoRedefine/>
    <w:unhideWhenUsed/>
    <w:qFormat/>
    <w:uiPriority w:val="0"/>
    <w:pPr>
      <w:spacing w:after="120"/>
    </w:pPr>
  </w:style>
  <w:style w:type="paragraph" w:customStyle="1" w:styleId="15">
    <w:name w:val="正文首行缩进1"/>
    <w:basedOn w:val="14"/>
    <w:qFormat/>
    <w:uiPriority w:val="2457"/>
    <w:pPr>
      <w:spacing w:line="360" w:lineRule="auto"/>
      <w:ind w:left="0" w:right="0" w:firstLine="200"/>
    </w:pPr>
    <w:rPr>
      <w:rFonts w:ascii="仿宋_GB2312" w:hAnsi="仿宋_GB2312" w:eastAsia="仿宋_GB2312" w:cs="仿宋_GB2312"/>
      <w:sz w:val="30"/>
      <w:szCs w:val="30"/>
    </w:rPr>
  </w:style>
  <w:style w:type="paragraph" w:styleId="16">
    <w:name w:val="Body Text Indent"/>
    <w:basedOn w:val="1"/>
    <w:autoRedefine/>
    <w:qFormat/>
    <w:uiPriority w:val="0"/>
    <w:pPr>
      <w:ind w:firstLine="830" w:firstLineChars="352"/>
    </w:pPr>
    <w:rPr>
      <w:rFonts w:ascii="仿宋_GB2312" w:eastAsia="仿宋_GB2312"/>
      <w:sz w:val="32"/>
      <w:szCs w:val="20"/>
    </w:rPr>
  </w:style>
  <w:style w:type="paragraph" w:styleId="17">
    <w:name w:val="Block Text"/>
    <w:basedOn w:val="1"/>
    <w:autoRedefine/>
    <w:qFormat/>
    <w:uiPriority w:val="0"/>
    <w:pPr>
      <w:autoSpaceDE w:val="0"/>
      <w:autoSpaceDN w:val="0"/>
      <w:adjustRightInd w:val="0"/>
      <w:spacing w:line="500" w:lineRule="exact"/>
      <w:ind w:left="391" w:right="246"/>
    </w:pPr>
    <w:rPr>
      <w:rFonts w:ascii="仿宋_GB2312" w:eastAsia="仿宋_GB2312"/>
      <w:kern w:val="0"/>
      <w:sz w:val="24"/>
    </w:rPr>
  </w:style>
  <w:style w:type="paragraph" w:styleId="18">
    <w:name w:val="toc 3"/>
    <w:basedOn w:val="1"/>
    <w:next w:val="1"/>
    <w:autoRedefine/>
    <w:unhideWhenUsed/>
    <w:qFormat/>
    <w:uiPriority w:val="39"/>
    <w:pPr>
      <w:ind w:left="840" w:leftChars="400"/>
    </w:pPr>
  </w:style>
  <w:style w:type="paragraph" w:styleId="19">
    <w:name w:val="Plain Text"/>
    <w:basedOn w:val="1"/>
    <w:link w:val="57"/>
    <w:autoRedefine/>
    <w:qFormat/>
    <w:uiPriority w:val="0"/>
    <w:rPr>
      <w:rFonts w:ascii="宋体" w:hAnsi="Courier New"/>
      <w:szCs w:val="21"/>
    </w:rPr>
  </w:style>
  <w:style w:type="paragraph" w:styleId="20">
    <w:name w:val="Date"/>
    <w:basedOn w:val="1"/>
    <w:next w:val="1"/>
    <w:autoRedefine/>
    <w:qFormat/>
    <w:uiPriority w:val="0"/>
    <w:pPr>
      <w:ind w:left="100" w:leftChars="2500"/>
    </w:pPr>
    <w:rPr>
      <w:rFonts w:ascii="宋体" w:hAnsi="Courier New" w:cs="Courier New"/>
      <w:szCs w:val="21"/>
    </w:rPr>
  </w:style>
  <w:style w:type="paragraph" w:styleId="21">
    <w:name w:val="Balloon Text"/>
    <w:basedOn w:val="1"/>
    <w:autoRedefine/>
    <w:semiHidden/>
    <w:qFormat/>
    <w:uiPriority w:val="0"/>
    <w:rPr>
      <w:sz w:val="18"/>
      <w:szCs w:val="18"/>
    </w:r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22"/>
      </w:tabs>
      <w:spacing w:line="440" w:lineRule="exact"/>
      <w:ind w:right="231" w:rightChars="110"/>
    </w:pPr>
    <w:rPr>
      <w:sz w:val="28"/>
    </w:rPr>
  </w:style>
  <w:style w:type="paragraph" w:styleId="25">
    <w:name w:val="toc 4"/>
    <w:basedOn w:val="1"/>
    <w:next w:val="1"/>
    <w:semiHidden/>
    <w:unhideWhenUsed/>
    <w:qFormat/>
    <w:uiPriority w:val="0"/>
    <w:pPr>
      <w:ind w:left="1260" w:leftChars="600"/>
    </w:pPr>
  </w:style>
  <w:style w:type="paragraph" w:styleId="26">
    <w:name w:val="Body Text Indent 3"/>
    <w:basedOn w:val="1"/>
    <w:link w:val="72"/>
    <w:autoRedefine/>
    <w:semiHidden/>
    <w:unhideWhenUsed/>
    <w:qFormat/>
    <w:uiPriority w:val="0"/>
    <w:pPr>
      <w:spacing w:after="120"/>
      <w:ind w:left="420" w:leftChars="200"/>
    </w:pPr>
    <w:rPr>
      <w:sz w:val="16"/>
      <w:szCs w:val="16"/>
    </w:rPr>
  </w:style>
  <w:style w:type="paragraph" w:styleId="27">
    <w:name w:val="toc 2"/>
    <w:basedOn w:val="1"/>
    <w:next w:val="1"/>
    <w:autoRedefine/>
    <w:qFormat/>
    <w:uiPriority w:val="39"/>
    <w:pPr>
      <w:tabs>
        <w:tab w:val="right" w:leader="dot" w:pos="8222"/>
      </w:tabs>
      <w:ind w:left="420" w:leftChars="200"/>
      <w:jc w:val="left"/>
    </w:pPr>
    <w:rPr>
      <w:sz w:val="28"/>
    </w:rPr>
  </w:style>
  <w:style w:type="paragraph" w:styleId="28">
    <w:name w:val="Normal (Web)"/>
    <w:basedOn w:val="1"/>
    <w:next w:val="29"/>
    <w:autoRedefine/>
    <w:qFormat/>
    <w:uiPriority w:val="0"/>
    <w:pPr>
      <w:widowControl/>
      <w:spacing w:before="100" w:beforeAutospacing="1" w:after="100" w:afterAutospacing="1"/>
      <w:jc w:val="left"/>
    </w:pPr>
    <w:rPr>
      <w:rFonts w:ascii="宋体" w:hAnsi="宋体"/>
      <w:kern w:val="0"/>
      <w:sz w:val="24"/>
    </w:rPr>
  </w:style>
  <w:style w:type="paragraph" w:customStyle="1" w:styleId="29">
    <w:name w:val="目录 41"/>
    <w:next w:val="1"/>
    <w:autoRedefine/>
    <w:qFormat/>
    <w:uiPriority w:val="0"/>
    <w:pPr>
      <w:wordWrap w:val="0"/>
      <w:ind w:left="1275"/>
      <w:jc w:val="both"/>
    </w:pPr>
    <w:rPr>
      <w:rFonts w:ascii="Times New Roman" w:hAnsi="Times New Roman" w:eastAsia="宋体" w:cs="Times New Roman"/>
      <w:sz w:val="21"/>
      <w:lang w:val="en-US" w:eastAsia="zh-CN" w:bidi="ar-SA"/>
    </w:rPr>
  </w:style>
  <w:style w:type="paragraph" w:styleId="30">
    <w:name w:val="Title"/>
    <w:basedOn w:val="1"/>
    <w:next w:val="1"/>
    <w:link w:val="44"/>
    <w:autoRedefine/>
    <w:qFormat/>
    <w:uiPriority w:val="0"/>
    <w:pPr>
      <w:jc w:val="both"/>
    </w:pPr>
    <w:rPr>
      <w:rFonts w:ascii="宋体"/>
      <w:sz w:val="44"/>
    </w:rPr>
  </w:style>
  <w:style w:type="paragraph" w:styleId="31">
    <w:name w:val="annotation subject"/>
    <w:basedOn w:val="13"/>
    <w:next w:val="13"/>
    <w:link w:val="62"/>
    <w:autoRedefine/>
    <w:qFormat/>
    <w:uiPriority w:val="99"/>
    <w:rPr>
      <w:rFonts w:ascii="Times New Roman" w:hAnsi="Times New Roman"/>
      <w:b/>
      <w:sz w:val="28"/>
      <w:szCs w:val="20"/>
    </w:rPr>
  </w:style>
  <w:style w:type="paragraph" w:styleId="32">
    <w:name w:val="Body Text First Indent"/>
    <w:basedOn w:val="14"/>
    <w:autoRedefine/>
    <w:unhideWhenUsed/>
    <w:qFormat/>
    <w:uiPriority w:val="99"/>
    <w:pPr>
      <w:spacing w:before="0" w:beforeAutospacing="0" w:after="120" w:afterAutospacing="0" w:line="360" w:lineRule="auto"/>
      <w:ind w:firstLine="420" w:firstLineChars="100"/>
    </w:pPr>
    <w:rPr>
      <w:rFonts w:ascii="Calibri" w:hAnsi="Calibri" w:eastAsia="仿宋"/>
      <w:sz w:val="28"/>
    </w:rPr>
  </w:style>
  <w:style w:type="paragraph" w:styleId="33">
    <w:name w:val="Body Text First Indent 2"/>
    <w:basedOn w:val="16"/>
    <w:autoRedefine/>
    <w:qFormat/>
    <w:uiPriority w:val="0"/>
    <w:pPr>
      <w:spacing w:after="0"/>
      <w:ind w:firstLine="420" w:firstLineChars="200"/>
    </w:pPr>
    <w:rPr>
      <w:rFonts w:ascii="Calibri" w:hAnsi="Calibri" w:eastAsia="宋体"/>
      <w:szCs w:val="21"/>
    </w:rPr>
  </w:style>
  <w:style w:type="table" w:styleId="35">
    <w:name w:val="Table Grid"/>
    <w:basedOn w:val="34"/>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basedOn w:val="36"/>
    <w:autoRedefine/>
    <w:qFormat/>
    <w:uiPriority w:val="0"/>
    <w:rPr>
      <w:b/>
      <w:bCs/>
    </w:rPr>
  </w:style>
  <w:style w:type="character" w:styleId="38">
    <w:name w:val="page number"/>
    <w:basedOn w:val="36"/>
    <w:autoRedefine/>
    <w:qFormat/>
    <w:uiPriority w:val="0"/>
  </w:style>
  <w:style w:type="character" w:styleId="39">
    <w:name w:val="Hyperlink"/>
    <w:autoRedefine/>
    <w:qFormat/>
    <w:uiPriority w:val="99"/>
    <w:rPr>
      <w:color w:val="0000FF"/>
      <w:u w:val="single"/>
    </w:rPr>
  </w:style>
  <w:style w:type="character" w:styleId="40">
    <w:name w:val="annotation reference"/>
    <w:basedOn w:val="36"/>
    <w:autoRedefine/>
    <w:unhideWhenUsed/>
    <w:qFormat/>
    <w:uiPriority w:val="0"/>
    <w:rPr>
      <w:sz w:val="21"/>
      <w:szCs w:val="21"/>
    </w:rPr>
  </w:style>
  <w:style w:type="paragraph" w:customStyle="1" w:styleId="41">
    <w:name w:val="Default"/>
    <w:next w:val="1"/>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样式1"/>
    <w:basedOn w:val="1"/>
    <w:autoRedefine/>
    <w:qFormat/>
    <w:uiPriority w:val="0"/>
    <w:pPr>
      <w:tabs>
        <w:tab w:val="left" w:pos="709"/>
      </w:tabs>
      <w:adjustRightInd w:val="0"/>
      <w:ind w:left="709" w:hanging="709"/>
      <w:textAlignment w:val="baseline"/>
    </w:pPr>
    <w:rPr>
      <w:rFonts w:ascii="宋体" w:hAnsi="宋体"/>
      <w:kern w:val="0"/>
      <w:szCs w:val="21"/>
    </w:rPr>
  </w:style>
  <w:style w:type="character" w:customStyle="1" w:styleId="43">
    <w:name w:val="case31"/>
    <w:autoRedefine/>
    <w:qFormat/>
    <w:uiPriority w:val="0"/>
    <w:rPr>
      <w:rFonts w:hint="default"/>
      <w:spacing w:val="390"/>
      <w:sz w:val="21"/>
      <w:szCs w:val="21"/>
    </w:rPr>
  </w:style>
  <w:style w:type="character" w:customStyle="1" w:styleId="44">
    <w:name w:val="标题 Char"/>
    <w:link w:val="30"/>
    <w:autoRedefine/>
    <w:qFormat/>
    <w:uiPriority w:val="0"/>
    <w:rPr>
      <w:rFonts w:ascii="宋体" w:hAnsiTheme="majorEastAsia" w:eastAsiaTheme="majorEastAsia"/>
      <w:b/>
      <w:kern w:val="2"/>
      <w:sz w:val="44"/>
      <w:szCs w:val="28"/>
    </w:rPr>
  </w:style>
  <w:style w:type="character" w:customStyle="1" w:styleId="45">
    <w:name w:val="标题 1 Char"/>
    <w:link w:val="2"/>
    <w:autoRedefine/>
    <w:qFormat/>
    <w:uiPriority w:val="9"/>
    <w:rPr>
      <w:rFonts w:ascii="Calibri" w:hAnsi="Calibri"/>
      <w:b/>
      <w:bCs/>
      <w:kern w:val="44"/>
      <w:sz w:val="44"/>
      <w:szCs w:val="44"/>
    </w:rPr>
  </w:style>
  <w:style w:type="character" w:customStyle="1" w:styleId="46">
    <w:name w:val="标题 3 Char"/>
    <w:link w:val="4"/>
    <w:autoRedefine/>
    <w:qFormat/>
    <w:uiPriority w:val="0"/>
    <w:rPr>
      <w:rFonts w:ascii="仿宋_GB2312" w:hAnsi="宋体" w:eastAsiaTheme="minorEastAsia"/>
      <w:b/>
      <w:kern w:val="2"/>
      <w:sz w:val="32"/>
      <w:szCs w:val="32"/>
    </w:rPr>
  </w:style>
  <w:style w:type="character" w:customStyle="1" w:styleId="47">
    <w:name w:val="标题 5 Char"/>
    <w:link w:val="6"/>
    <w:autoRedefine/>
    <w:qFormat/>
    <w:uiPriority w:val="0"/>
    <w:rPr>
      <w:rFonts w:ascii="Calibri" w:hAnsi="Calibri"/>
      <w:b/>
      <w:bCs/>
      <w:kern w:val="2"/>
      <w:sz w:val="28"/>
      <w:szCs w:val="28"/>
    </w:rPr>
  </w:style>
  <w:style w:type="character" w:customStyle="1" w:styleId="48">
    <w:name w:val="标题 2 Char"/>
    <w:link w:val="3"/>
    <w:autoRedefine/>
    <w:qFormat/>
    <w:uiPriority w:val="0"/>
    <w:rPr>
      <w:rFonts w:asciiTheme="majorEastAsia" w:hAnsiTheme="majorEastAsia" w:eastAsiaTheme="majorEastAsia"/>
      <w:b/>
      <w:kern w:val="2"/>
      <w:sz w:val="32"/>
      <w:szCs w:val="28"/>
    </w:rPr>
  </w:style>
  <w:style w:type="character" w:customStyle="1" w:styleId="49">
    <w:name w:val="标题 4 Char"/>
    <w:link w:val="5"/>
    <w:autoRedefine/>
    <w:qFormat/>
    <w:uiPriority w:val="0"/>
    <w:rPr>
      <w:rFonts w:ascii="Arial" w:hAnsi="Arial" w:eastAsia="黑体"/>
      <w:b/>
      <w:bCs/>
      <w:kern w:val="2"/>
      <w:sz w:val="28"/>
      <w:szCs w:val="28"/>
    </w:rPr>
  </w:style>
  <w:style w:type="character" w:customStyle="1" w:styleId="50">
    <w:name w:val="标题 6 Char"/>
    <w:link w:val="7"/>
    <w:autoRedefine/>
    <w:qFormat/>
    <w:uiPriority w:val="0"/>
    <w:rPr>
      <w:b/>
      <w:bCs/>
      <w:kern w:val="2"/>
      <w:sz w:val="30"/>
      <w:szCs w:val="18"/>
    </w:rPr>
  </w:style>
  <w:style w:type="character" w:customStyle="1" w:styleId="51">
    <w:name w:val="标题 7 Char"/>
    <w:link w:val="8"/>
    <w:autoRedefine/>
    <w:qFormat/>
    <w:uiPriority w:val="0"/>
    <w:rPr>
      <w:b/>
      <w:bCs/>
      <w:kern w:val="2"/>
      <w:sz w:val="30"/>
      <w:szCs w:val="18"/>
    </w:rPr>
  </w:style>
  <w:style w:type="character" w:customStyle="1" w:styleId="52">
    <w:name w:val="标题 8 Char"/>
    <w:link w:val="9"/>
    <w:autoRedefine/>
    <w:qFormat/>
    <w:uiPriority w:val="0"/>
    <w:rPr>
      <w:b/>
      <w:bCs/>
      <w:kern w:val="2"/>
      <w:sz w:val="30"/>
      <w:szCs w:val="18"/>
    </w:rPr>
  </w:style>
  <w:style w:type="character" w:customStyle="1" w:styleId="53">
    <w:name w:val="标题 9 Char"/>
    <w:link w:val="10"/>
    <w:autoRedefine/>
    <w:qFormat/>
    <w:uiPriority w:val="0"/>
    <w:rPr>
      <w:b/>
      <w:bCs/>
      <w:kern w:val="2"/>
      <w:sz w:val="30"/>
      <w:szCs w:val="18"/>
    </w:rPr>
  </w:style>
  <w:style w:type="paragraph" w:customStyle="1" w:styleId="54">
    <w:name w:val="列出段落1"/>
    <w:basedOn w:val="1"/>
    <w:autoRedefine/>
    <w:qFormat/>
    <w:uiPriority w:val="34"/>
    <w:pPr>
      <w:ind w:firstLine="420" w:firstLineChars="200"/>
    </w:pPr>
  </w:style>
  <w:style w:type="paragraph" w:customStyle="1" w:styleId="55">
    <w:name w:val="TOC 标题1"/>
    <w:basedOn w:val="2"/>
    <w:next w:val="1"/>
    <w:autoRedefine/>
    <w:qFormat/>
    <w:uiPriority w:val="39"/>
    <w:pPr>
      <w:widowControl/>
      <w:spacing w:before="480" w:after="0" w:line="276" w:lineRule="auto"/>
      <w:jc w:val="left"/>
      <w:outlineLvl w:val="9"/>
    </w:pPr>
    <w:rPr>
      <w:rFonts w:ascii="Cambria" w:hAnsi="Cambria"/>
      <w:color w:val="365F91"/>
      <w:kern w:val="0"/>
      <w:sz w:val="28"/>
    </w:rPr>
  </w:style>
  <w:style w:type="character" w:customStyle="1" w:styleId="56">
    <w:name w:val="页眉 Char"/>
    <w:link w:val="23"/>
    <w:autoRedefine/>
    <w:qFormat/>
    <w:uiPriority w:val="99"/>
    <w:rPr>
      <w:rFonts w:ascii="Calibri" w:hAnsi="Calibri" w:eastAsia="宋体" w:cs="Times New Roman"/>
      <w:kern w:val="2"/>
      <w:sz w:val="18"/>
      <w:szCs w:val="18"/>
    </w:rPr>
  </w:style>
  <w:style w:type="character" w:customStyle="1" w:styleId="57">
    <w:name w:val="纯文本 Char"/>
    <w:link w:val="19"/>
    <w:autoRedefine/>
    <w:qFormat/>
    <w:locked/>
    <w:uiPriority w:val="0"/>
    <w:rPr>
      <w:rFonts w:ascii="宋体" w:hAnsi="Courier New" w:eastAsia="宋体" w:cs="Courier New"/>
      <w:kern w:val="2"/>
      <w:sz w:val="21"/>
      <w:szCs w:val="21"/>
    </w:rPr>
  </w:style>
  <w:style w:type="paragraph" w:customStyle="1" w:styleId="58">
    <w:name w:val="需求样式"/>
    <w:basedOn w:val="2"/>
    <w:link w:val="59"/>
    <w:autoRedefine/>
    <w:qFormat/>
    <w:uiPriority w:val="0"/>
    <w:pPr>
      <w:spacing w:before="120" w:after="120" w:line="360" w:lineRule="auto"/>
      <w:ind w:left="425" w:hanging="425"/>
    </w:pPr>
    <w:rPr>
      <w:rFonts w:ascii="Times New Roman" w:hAnsi="Times New Roman"/>
      <w:sz w:val="32"/>
      <w:szCs w:val="28"/>
    </w:rPr>
  </w:style>
  <w:style w:type="character" w:customStyle="1" w:styleId="59">
    <w:name w:val="需求样式 Char"/>
    <w:link w:val="58"/>
    <w:autoRedefine/>
    <w:qFormat/>
    <w:uiPriority w:val="0"/>
    <w:rPr>
      <w:b/>
      <w:bCs/>
      <w:kern w:val="44"/>
      <w:sz w:val="32"/>
      <w:szCs w:val="28"/>
    </w:rPr>
  </w:style>
  <w:style w:type="character" w:customStyle="1" w:styleId="60">
    <w:name w:val="正文缩进 Char"/>
    <w:link w:val="11"/>
    <w:autoRedefine/>
    <w:qFormat/>
    <w:uiPriority w:val="0"/>
    <w:rPr>
      <w:rFonts w:ascii="Calibri" w:hAnsi="Calibri" w:eastAsia="宋体"/>
      <w:kern w:val="2"/>
      <w:sz w:val="21"/>
      <w:szCs w:val="22"/>
      <w:lang w:val="en-US" w:eastAsia="zh-CN" w:bidi="ar-SA"/>
    </w:rPr>
  </w:style>
  <w:style w:type="character" w:customStyle="1" w:styleId="61">
    <w:name w:val="普通文字 Char Char2"/>
    <w:autoRedefine/>
    <w:qFormat/>
    <w:uiPriority w:val="0"/>
    <w:rPr>
      <w:rFonts w:ascii="宋体" w:hAnsi="Courier New" w:cs="Courier New"/>
      <w:kern w:val="2"/>
      <w:sz w:val="21"/>
      <w:szCs w:val="21"/>
    </w:rPr>
  </w:style>
  <w:style w:type="character" w:customStyle="1" w:styleId="62">
    <w:name w:val="批注主题 Char"/>
    <w:link w:val="31"/>
    <w:autoRedefine/>
    <w:qFormat/>
    <w:uiPriority w:val="99"/>
    <w:rPr>
      <w:b/>
      <w:kern w:val="2"/>
      <w:sz w:val="28"/>
    </w:rPr>
  </w:style>
  <w:style w:type="character" w:customStyle="1" w:styleId="63">
    <w:name w:val="批注文字 Char"/>
    <w:basedOn w:val="36"/>
    <w:link w:val="13"/>
    <w:autoRedefine/>
    <w:qFormat/>
    <w:uiPriority w:val="0"/>
    <w:rPr>
      <w:rFonts w:ascii="Calibri" w:hAnsi="Calibri"/>
      <w:kern w:val="2"/>
      <w:sz w:val="21"/>
      <w:szCs w:val="22"/>
    </w:rPr>
  </w:style>
  <w:style w:type="character" w:customStyle="1" w:styleId="64">
    <w:name w:val="批注主题 Char1"/>
    <w:basedOn w:val="63"/>
    <w:autoRedefine/>
    <w:qFormat/>
    <w:uiPriority w:val="0"/>
    <w:rPr>
      <w:rFonts w:ascii="Calibri" w:hAnsi="Calibri"/>
      <w:b/>
      <w:bCs/>
      <w:kern w:val="2"/>
      <w:sz w:val="21"/>
      <w:szCs w:val="22"/>
    </w:rPr>
  </w:style>
  <w:style w:type="character" w:customStyle="1" w:styleId="65">
    <w:name w:val="文档结构图 Char"/>
    <w:basedOn w:val="36"/>
    <w:link w:val="12"/>
    <w:autoRedefine/>
    <w:qFormat/>
    <w:uiPriority w:val="0"/>
    <w:rPr>
      <w:rFonts w:ascii="宋体" w:hAnsi="Calibri"/>
      <w:kern w:val="2"/>
      <w:sz w:val="18"/>
      <w:szCs w:val="18"/>
    </w:rPr>
  </w:style>
  <w:style w:type="paragraph" w:customStyle="1" w:styleId="6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67">
    <w:name w:val="正文空2格  1."/>
    <w:basedOn w:val="1"/>
    <w:autoRedefine/>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8">
    <w:name w:val="2册标题2 Char"/>
    <w:link w:val="69"/>
    <w:autoRedefine/>
    <w:qFormat/>
    <w:uiPriority w:val="0"/>
    <w:rPr>
      <w:rFonts w:ascii="Arial" w:hAnsi="Arial" w:eastAsia="黑体"/>
      <w:kern w:val="2"/>
      <w:sz w:val="30"/>
    </w:rPr>
  </w:style>
  <w:style w:type="paragraph" w:customStyle="1" w:styleId="69">
    <w:name w:val="2册标题2"/>
    <w:basedOn w:val="1"/>
    <w:next w:val="1"/>
    <w:link w:val="68"/>
    <w:autoRedefine/>
    <w:qFormat/>
    <w:uiPriority w:val="0"/>
    <w:pPr>
      <w:spacing w:beforeLines="50" w:afterLines="50" w:line="300" w:lineRule="auto"/>
      <w:outlineLvl w:val="1"/>
    </w:pPr>
    <w:rPr>
      <w:rFonts w:ascii="Arial" w:hAnsi="Arial" w:eastAsia="黑体"/>
      <w:sz w:val="30"/>
      <w:szCs w:val="20"/>
    </w:rPr>
  </w:style>
  <w:style w:type="paragraph" w:styleId="70">
    <w:name w:val="List Paragraph"/>
    <w:basedOn w:val="1"/>
    <w:autoRedefine/>
    <w:unhideWhenUsed/>
    <w:qFormat/>
    <w:uiPriority w:val="99"/>
    <w:pPr>
      <w:ind w:firstLine="420" w:firstLineChars="200"/>
    </w:pPr>
  </w:style>
  <w:style w:type="paragraph" w:customStyle="1" w:styleId="71">
    <w:name w:val="TOC Heading"/>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2">
    <w:name w:val="正文文本缩进 3 Char"/>
    <w:basedOn w:val="36"/>
    <w:link w:val="26"/>
    <w:autoRedefine/>
    <w:semiHidden/>
    <w:qFormat/>
    <w:uiPriority w:val="0"/>
    <w:rPr>
      <w:rFonts w:ascii="Calibri" w:hAnsi="Calibri"/>
      <w:kern w:val="2"/>
      <w:sz w:val="16"/>
      <w:szCs w:val="16"/>
    </w:rPr>
  </w:style>
  <w:style w:type="paragraph" w:customStyle="1" w:styleId="73">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正文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75">
    <w:name w:val="UserStyle_35"/>
    <w:autoRedefine/>
    <w:qFormat/>
    <w:uiPriority w:val="0"/>
    <w:pPr>
      <w:textAlignment w:val="baseline"/>
    </w:pPr>
    <w:rPr>
      <w:rFonts w:ascii="Times New Roman" w:hAnsi="Times New Roman" w:eastAsia="宋体" w:cs="Times New Roman"/>
      <w:color w:val="000000"/>
      <w:szCs w:val="24"/>
      <w:lang w:val="en-US" w:eastAsia="zh-CN" w:bidi="ar-SA"/>
    </w:rPr>
  </w:style>
  <w:style w:type="character" w:customStyle="1" w:styleId="76">
    <w:name w:val="NormalCharacter"/>
    <w:link w:val="77"/>
    <w:autoRedefine/>
    <w:semiHidden/>
    <w:qFormat/>
    <w:uiPriority w:val="0"/>
    <w:rPr>
      <w:rFonts w:ascii="仿宋_GB2312" w:hAnsi="Calibri" w:eastAsia="仿宋_GB2312" w:cs="Times New Roman"/>
      <w:b/>
      <w:sz w:val="32"/>
      <w:szCs w:val="32"/>
    </w:rPr>
  </w:style>
  <w:style w:type="paragraph" w:customStyle="1" w:styleId="77">
    <w:name w:val="UserStyle_5"/>
    <w:basedOn w:val="1"/>
    <w:link w:val="76"/>
    <w:autoRedefine/>
    <w:qFormat/>
    <w:uiPriority w:val="0"/>
    <w:pPr>
      <w:widowControl/>
      <w:spacing w:after="160" w:line="240" w:lineRule="exact"/>
      <w:jc w:val="left"/>
      <w:textAlignment w:val="baseline"/>
    </w:pPr>
  </w:style>
  <w:style w:type="paragraph" w:customStyle="1" w:styleId="78">
    <w:name w:val="UserStyle_461"/>
    <w:basedOn w:val="1"/>
    <w:link w:val="76"/>
    <w:autoRedefine/>
    <w:qFormat/>
    <w:uiPriority w:val="0"/>
    <w:pPr>
      <w:widowControl/>
      <w:textAlignment w:val="baseline"/>
    </w:pPr>
    <w:rPr>
      <w:rFonts w:ascii="仿宋_GB2312" w:hAnsi="Calibri" w:eastAsia="仿宋_GB2312" w:cs="Times New Roman"/>
      <w:b/>
      <w:sz w:val="32"/>
      <w:szCs w:val="32"/>
    </w:rPr>
  </w:style>
  <w:style w:type="paragraph" w:customStyle="1" w:styleId="79">
    <w:name w:val="UserStyle_121"/>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80">
    <w:name w:val="BodyTextIndent"/>
    <w:basedOn w:val="1"/>
    <w:autoRedefine/>
    <w:qFormat/>
    <w:uiPriority w:val="0"/>
    <w:pPr>
      <w:spacing w:line="500" w:lineRule="exact"/>
      <w:ind w:left="1588" w:leftChars="832" w:firstLine="433" w:firstLineChars="196"/>
      <w:jc w:val="both"/>
      <w:textAlignment w:val="baseline"/>
    </w:pPr>
    <w:rPr>
      <w:rFonts w:ascii="Times New Roman" w:hAnsi="Times New Roman"/>
      <w:kern w:val="2"/>
      <w:sz w:val="24"/>
      <w:szCs w:val="24"/>
      <w:lang w:val="en-US" w:eastAsia="zh-CN" w:bidi="ar-SA"/>
    </w:rPr>
  </w:style>
  <w:style w:type="paragraph" w:customStyle="1" w:styleId="81">
    <w:name w:val="正"/>
    <w:basedOn w:val="82"/>
    <w:autoRedefine/>
    <w:qFormat/>
    <w:uiPriority w:val="0"/>
    <w:pPr>
      <w:ind w:firstLine="525"/>
    </w:pPr>
    <w:rPr>
      <w:spacing w:val="20"/>
      <w:szCs w:val="20"/>
    </w:rPr>
  </w:style>
  <w:style w:type="paragraph" w:customStyle="1" w:styleId="82">
    <w:name w:val="正文_1"/>
    <w:basedOn w:val="83"/>
    <w:next w:val="81"/>
    <w:autoRedefine/>
    <w:qFormat/>
    <w:uiPriority w:val="0"/>
    <w:rPr>
      <w:rFonts w:ascii="Calibri" w:hAnsi="Calibri" w:cs="Calibri"/>
      <w:szCs w:val="21"/>
    </w:rPr>
  </w:style>
  <w:style w:type="paragraph" w:customStyle="1" w:styleId="83">
    <w:name w:val="正文_2"/>
    <w:basedOn w:val="8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5">
    <w:name w:val="正文_13_0"/>
    <w:next w:val="86"/>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正文文本_2_0"/>
    <w:basedOn w:val="85"/>
    <w:autoRedefine/>
    <w:qFormat/>
    <w:uiPriority w:val="0"/>
    <w:pPr>
      <w:spacing w:after="120"/>
    </w:pPr>
  </w:style>
  <w:style w:type="paragraph" w:customStyle="1" w:styleId="87">
    <w:name w:val="UserStyle_56"/>
    <w:basedOn w:val="88"/>
    <w:autoRedefine/>
    <w:qFormat/>
    <w:uiPriority w:val="0"/>
    <w:pPr>
      <w:spacing w:after="120"/>
    </w:pPr>
    <w:rPr>
      <w:kern w:val="0"/>
      <w:sz w:val="20"/>
    </w:rPr>
  </w:style>
  <w:style w:type="paragraph" w:customStyle="1" w:styleId="88">
    <w:name w:val="UserStyle_5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89">
    <w:name w:val="UserStyle_38"/>
    <w:autoRedefine/>
    <w:qFormat/>
    <w:uiPriority w:val="0"/>
    <w:pPr>
      <w:widowControl/>
      <w:textAlignment w:val="baseline"/>
    </w:pPr>
    <w:rPr>
      <w:rFonts w:ascii="黑体" w:hAnsi="黑体" w:eastAsia="黑体" w:cs="Times New Roman"/>
      <w:b/>
      <w:sz w:val="32"/>
      <w:szCs w:val="24"/>
      <w:lang w:val="en-US" w:bidi="ar-SA"/>
    </w:rPr>
  </w:style>
  <w:style w:type="paragraph" w:customStyle="1" w:styleId="90">
    <w:name w:val="UserStyle_66"/>
    <w:basedOn w:val="91"/>
    <w:autoRedefine/>
    <w:qFormat/>
    <w:uiPriority w:val="0"/>
    <w:pPr>
      <w:jc w:val="both"/>
      <w:textAlignment w:val="baseline"/>
    </w:pPr>
    <w:rPr>
      <w:rFonts w:ascii="Calibri" w:hAnsi="Calibri" w:eastAsia="宋体"/>
      <w:kern w:val="2"/>
      <w:sz w:val="21"/>
      <w:szCs w:val="22"/>
      <w:lang w:val="en-US" w:eastAsia="zh-CN" w:bidi="ar-SA"/>
    </w:rPr>
  </w:style>
  <w:style w:type="paragraph" w:customStyle="1" w:styleId="91">
    <w:name w:val="UserStyle_67"/>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2">
    <w:name w:val="UserStyle_122"/>
    <w:basedOn w:val="91"/>
    <w:autoRedefine/>
    <w:qFormat/>
    <w:uiPriority w:val="0"/>
    <w:pPr>
      <w:widowControl/>
      <w:jc w:val="left"/>
      <w:textAlignment w:val="baseline"/>
    </w:pPr>
    <w:rPr>
      <w:rFonts w:ascii="黑体" w:hAnsi="黑体" w:eastAsia="黑体" w:cs="宋体"/>
      <w:b/>
      <w:bCs/>
      <w:kern w:val="0"/>
      <w:sz w:val="32"/>
      <w:szCs w:val="32"/>
      <w:lang w:val="en-US" w:eastAsia="zh-CN" w:bidi="ar-SA"/>
    </w:rPr>
  </w:style>
  <w:style w:type="paragraph" w:customStyle="1" w:styleId="93">
    <w:name w:val="UserStyle_123"/>
    <w:basedOn w:val="91"/>
    <w:next w:val="94"/>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4">
    <w:name w:val="UserStyle_124"/>
    <w:basedOn w:val="93"/>
    <w:autoRedefine/>
    <w:semiHidden/>
    <w:qFormat/>
    <w:uiPriority w:val="0"/>
    <w:pPr>
      <w:snapToGrid w:val="0"/>
      <w:jc w:val="left"/>
      <w:textAlignment w:val="baseline"/>
    </w:pPr>
    <w:rPr>
      <w:rFonts w:ascii="Calibri" w:hAnsi="Calibri" w:eastAsia="宋体"/>
      <w:kern w:val="2"/>
      <w:sz w:val="18"/>
      <w:szCs w:val="18"/>
      <w:lang w:val="en-US" w:eastAsia="zh-CN" w:bidi="ar-SA"/>
    </w:rPr>
  </w:style>
  <w:style w:type="paragraph" w:customStyle="1" w:styleId="95">
    <w:name w:val="UserStyle_100"/>
    <w:autoRedefine/>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96">
    <w:name w:val="UserStyle_125"/>
    <w:basedOn w:val="91"/>
    <w:autoRedefine/>
    <w:qFormat/>
    <w:uiPriority w:val="0"/>
    <w:pPr>
      <w:jc w:val="both"/>
      <w:textAlignment w:val="baseline"/>
    </w:pPr>
    <w:rPr>
      <w:rFonts w:ascii="Times New Roman" w:hAnsi="Times New Roman" w:eastAsia="宋体"/>
      <w:kern w:val="2"/>
      <w:sz w:val="21"/>
      <w:szCs w:val="21"/>
      <w:lang w:val="en-US" w:eastAsia="zh-CN" w:bidi="ar-SA"/>
    </w:rPr>
  </w:style>
  <w:style w:type="paragraph" w:customStyle="1" w:styleId="97">
    <w:name w:val="UserStyle_74"/>
    <w:autoRedefine/>
    <w:qFormat/>
    <w:uiPriority w:val="0"/>
    <w:pPr>
      <w:widowControl/>
      <w:textAlignment w:val="baseline"/>
    </w:pPr>
    <w:rPr>
      <w:rFonts w:ascii="黑体" w:hAnsi="黑体" w:eastAsia="黑体" w:cs="Times New Roman"/>
      <w:b/>
      <w:sz w:val="32"/>
      <w:szCs w:val="24"/>
      <w:lang w:val="en-US" w:bidi="ar-SA"/>
    </w:rPr>
  </w:style>
  <w:style w:type="paragraph" w:customStyle="1" w:styleId="98">
    <w:name w:val="5）标书正文 首行缩进2字符"/>
    <w:basedOn w:val="1"/>
    <w:autoRedefine/>
    <w:qFormat/>
    <w:uiPriority w:val="0"/>
    <w:pPr>
      <w:spacing w:line="480" w:lineRule="exact"/>
      <w:ind w:firstLine="200" w:firstLineChars="200"/>
    </w:pPr>
    <w:rPr>
      <w:rFonts w:ascii="仿宋_GB2312" w:eastAsia="仿宋_GB2312"/>
      <w:sz w:val="28"/>
    </w:rPr>
  </w:style>
  <w:style w:type="paragraph" w:customStyle="1" w:styleId="99">
    <w:name w:val="UserStyle_32"/>
    <w:autoRedefine/>
    <w:qFormat/>
    <w:uiPriority w:val="0"/>
    <w:pPr>
      <w:widowControl/>
      <w:textAlignment w:val="baseline"/>
    </w:pPr>
    <w:rPr>
      <w:rFonts w:ascii="黑体" w:hAnsi="黑体" w:eastAsia="黑体" w:cs="Times New Roman"/>
      <w:b/>
      <w:sz w:val="32"/>
      <w:szCs w:val="24"/>
      <w:lang w:val="en-US" w:bidi="ar-SA"/>
    </w:rPr>
  </w:style>
  <w:style w:type="paragraph" w:customStyle="1" w:styleId="100">
    <w:name w:val="null3"/>
    <w:autoRedefine/>
    <w:hidden/>
    <w:qFormat/>
    <w:uiPriority w:val="0"/>
    <w:rPr>
      <w:rFonts w:hint="eastAsia" w:asciiTheme="minorHAnsi" w:hAnsiTheme="minorHAnsi" w:eastAsiaTheme="minorEastAsia" w:cstheme="minorBidi"/>
      <w:lang w:val="en-US" w:eastAsia="zh-Hans"/>
    </w:rPr>
  </w:style>
  <w:style w:type="paragraph" w:customStyle="1" w:styleId="101">
    <w:name w:val="HtmlNormal"/>
    <w:basedOn w:val="1"/>
    <w:autoRedefine/>
    <w:qFormat/>
    <w:uiPriority w:val="0"/>
    <w:pPr>
      <w:jc w:val="both"/>
      <w:textAlignment w:val="baseline"/>
    </w:pPr>
    <w:rPr>
      <w:rFonts w:ascii="Calibri" w:hAnsi="Calibri"/>
      <w:kern w:val="2"/>
      <w:sz w:val="24"/>
      <w:szCs w:val="22"/>
      <w:lang w:val="en-US" w:eastAsia="zh-CN" w:bidi="ar-SA"/>
    </w:rPr>
  </w:style>
  <w:style w:type="paragraph" w:customStyle="1" w:styleId="102">
    <w:name w:val="_Style 2"/>
    <w:basedOn w:val="1"/>
    <w:autoRedefine/>
    <w:qFormat/>
    <w:uiPriority w:val="99"/>
    <w:pPr>
      <w:ind w:firstLine="420" w:firstLineChars="200"/>
    </w:pPr>
    <w:rPr>
      <w:rFonts w:ascii="Calibri" w:hAnsi="Calibri" w:eastAsia="宋体" w:cs="Times New Roman"/>
    </w:rPr>
  </w:style>
  <w:style w:type="character" w:customStyle="1" w:styleId="103">
    <w:name w:val="font31"/>
    <w:basedOn w:val="36"/>
    <w:autoRedefine/>
    <w:qFormat/>
    <w:uiPriority w:val="0"/>
    <w:rPr>
      <w:rFonts w:hint="eastAsia" w:ascii="仿宋" w:hAnsi="仿宋" w:eastAsia="仿宋" w:cs="仿宋"/>
      <w:color w:val="000000"/>
      <w:sz w:val="22"/>
      <w:szCs w:val="22"/>
      <w:u w:val="none"/>
    </w:rPr>
  </w:style>
  <w:style w:type="character" w:customStyle="1" w:styleId="104">
    <w:name w:val="font61"/>
    <w:basedOn w:val="36"/>
    <w:autoRedefine/>
    <w:qFormat/>
    <w:uiPriority w:val="0"/>
    <w:rPr>
      <w:rFonts w:hint="eastAsia" w:ascii="微软雅黑" w:hAnsi="微软雅黑" w:eastAsia="微软雅黑" w:cs="微软雅黑"/>
      <w:color w:val="000000"/>
      <w:sz w:val="20"/>
      <w:szCs w:val="20"/>
      <w:u w:val="none"/>
    </w:rPr>
  </w:style>
  <w:style w:type="paragraph" w:customStyle="1" w:styleId="105">
    <w:name w:val="正文缩进1"/>
    <w:basedOn w:val="1"/>
    <w:autoRedefine/>
    <w:qFormat/>
    <w:uiPriority w:val="0"/>
    <w:pPr>
      <w:autoSpaceDE w:val="0"/>
      <w:autoSpaceDN w:val="0"/>
      <w:adjustRightInd w:val="0"/>
      <w:ind w:firstLine="420"/>
      <w:jc w:val="left"/>
    </w:pPr>
    <w:rPr>
      <w:rFonts w:ascii="宋体"/>
      <w:kern w:val="0"/>
      <w:sz w:val="24"/>
      <w:szCs w:val="20"/>
    </w:rPr>
  </w:style>
  <w:style w:type="paragraph" w:customStyle="1" w:styleId="106">
    <w:name w:val="索引 11"/>
    <w:basedOn w:val="1"/>
    <w:next w:val="1"/>
    <w:autoRedefine/>
    <w:qFormat/>
    <w:uiPriority w:val="0"/>
    <w:pPr>
      <w:spacing w:line="360" w:lineRule="auto"/>
    </w:pPr>
    <w:rPr>
      <w:rFonts w:ascii="仿宋_GB2312" w:eastAsia="仿宋_GB2312"/>
      <w:sz w:val="24"/>
      <w:szCs w:val="20"/>
    </w:rPr>
  </w:style>
  <w:style w:type="paragraph" w:customStyle="1" w:styleId="107">
    <w:name w:val="纯文本1"/>
    <w:basedOn w:val="1"/>
    <w:autoRedefine/>
    <w:qFormat/>
    <w:uiPriority w:val="0"/>
    <w:rPr>
      <w:rFonts w:ascii="宋体" w:hAnsi="Courier New"/>
      <w:kern w:val="0"/>
      <w:sz w:val="20"/>
      <w:szCs w:val="20"/>
    </w:rPr>
  </w:style>
  <w:style w:type="paragraph" w:customStyle="1" w:styleId="108">
    <w:name w:val="正文2"/>
    <w:basedOn w:val="1"/>
    <w:next w:val="1"/>
    <w:qFormat/>
    <w:uiPriority w:val="0"/>
    <w:pPr>
      <w:spacing w:line="520" w:lineRule="exact"/>
      <w:ind w:firstLine="640" w:firstLineChars="200"/>
    </w:pPr>
    <w:rPr>
      <w:rFonts w:eastAsia="仿宋"/>
      <w:sz w:val="32"/>
      <w:szCs w:val="32"/>
    </w:rPr>
  </w:style>
  <w:style w:type="paragraph" w:customStyle="1" w:styleId="109">
    <w:name w:val="正文2b"/>
    <w:basedOn w:val="1"/>
    <w:next w:val="1"/>
    <w:autoRedefine/>
    <w:qFormat/>
    <w:uiPriority w:val="0"/>
    <w:pPr>
      <w:spacing w:line="360" w:lineRule="auto"/>
      <w:ind w:firstLine="200" w:firstLineChars="200"/>
    </w:pPr>
    <w:rPr>
      <w:rFonts w:ascii="仿宋_GB2312" w:eastAsia="仿宋_GB2312"/>
      <w:sz w:val="24"/>
    </w:rPr>
  </w:style>
  <w:style w:type="paragraph" w:customStyle="1" w:styleId="110">
    <w:name w:val="正文2a"/>
    <w:basedOn w:val="109"/>
    <w:next w:val="109"/>
    <w:qFormat/>
    <w:uiPriority w:val="0"/>
    <w:pPr>
      <w:ind w:firstLine="482"/>
    </w:pPr>
    <w:rPr>
      <w:rFonts w:cs="宋体"/>
      <w:b/>
      <w:bCs/>
    </w:rPr>
  </w:style>
  <w:style w:type="paragraph" w:customStyle="1" w:styleId="111">
    <w:name w:val="UserStyle_102"/>
    <w:autoRedefine/>
    <w:qFormat/>
    <w:uiPriority w:val="0"/>
    <w:pPr>
      <w:widowControl/>
      <w:textAlignment w:val="baseline"/>
    </w:pPr>
    <w:rPr>
      <w:rFonts w:ascii="黑体" w:hAnsi="黑体" w:eastAsia="黑体" w:cstheme="minorBidi"/>
      <w:b/>
      <w:sz w:val="32"/>
      <w:szCs w:val="24"/>
      <w:lang w:val="en-US" w:bidi="ar-SA"/>
    </w:rPr>
  </w:style>
  <w:style w:type="paragraph" w:customStyle="1" w:styleId="112">
    <w:name w:val="UserStyle_103"/>
    <w:autoRedefine/>
    <w:qFormat/>
    <w:uiPriority w:val="0"/>
    <w:pPr>
      <w:jc w:val="both"/>
      <w:textAlignment w:val="baseline"/>
    </w:pPr>
    <w:rPr>
      <w:rFonts w:ascii="Times New Roman" w:hAnsi="Times New Roman" w:eastAsia="宋体" w:cstheme="minorBidi"/>
      <w:kern w:val="2"/>
      <w:sz w:val="21"/>
      <w:szCs w:val="24"/>
      <w:lang w:val="en-US" w:eastAsia="zh-CN" w:bidi="ar-SA"/>
    </w:rPr>
  </w:style>
  <w:style w:type="paragraph" w:customStyle="1" w:styleId="113">
    <w:name w:val="UserStyle_104"/>
    <w:basedOn w:val="112"/>
    <w:autoRedefine/>
    <w:qFormat/>
    <w:uiPriority w:val="0"/>
    <w:pPr>
      <w:spacing w:line="500" w:lineRule="exact"/>
      <w:ind w:left="1588" w:leftChars="832" w:firstLine="433" w:firstLineChars="196"/>
      <w:jc w:val="both"/>
      <w:textAlignment w:val="baseline"/>
    </w:pPr>
    <w:rPr>
      <w:kern w:val="0"/>
      <w:sz w:val="24"/>
      <w:szCs w:val="24"/>
      <w:lang w:val="en-US" w:eastAsia="zh-CN" w:bidi="ar-SA"/>
    </w:rPr>
  </w:style>
  <w:style w:type="paragraph" w:customStyle="1" w:styleId="114">
    <w:name w:val="UserStyle_106"/>
    <w:basedOn w:val="112"/>
    <w:next w:val="112"/>
    <w:qFormat/>
    <w:uiPriority w:val="0"/>
    <w:pPr>
      <w:spacing w:before="152" w:after="160"/>
      <w:jc w:val="both"/>
      <w:textAlignment w:val="baseline"/>
    </w:pPr>
    <w:rPr>
      <w:rFonts w:ascii="Arial" w:hAnsi="Arial" w:eastAsia="黑体"/>
      <w:kern w:val="2"/>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BFD670-F703-4EF7-BCAD-0327E2E4AEE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61</Pages>
  <Words>9281</Words>
  <Characters>10309</Characters>
  <Lines>189</Lines>
  <Paragraphs>53</Paragraphs>
  <TotalTime>4</TotalTime>
  <ScaleCrop>false</ScaleCrop>
  <LinksUpToDate>false</LinksUpToDate>
  <CharactersWithSpaces>10460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2016-10-08T04:40:00Z</dcterms:created>
  <dc:creator>微软用户</dc:creator>
  <cp:lastModifiedBy>Administrator</cp:lastModifiedBy>
  <cp:lastPrinted>2024-08-05T03:20:00Z</cp:lastPrinted>
  <dcterms:modified xsi:type="dcterms:W3CDTF">2025-04-23T08:36:55Z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1F1422B47135464E8D574A6511621E61_13</vt:lpwstr>
  </property>
  <property fmtid="{D5CDD505-2E9C-101B-9397-08002B2CF9AE}" pid="4" name="KSOTemplateDocerSaveRecord">
    <vt:lpwstr>eyJoZGlkIjoiOGY3MjZhOTBlMThhODA4YWFhZjJjMjdhOTJmZTUwYzciLCJ1c2VySWQiOiIyNjMzMDkwNTYifQ==</vt:lpwstr>
  </property>
</Properties>
</file>