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rFonts w:asciiTheme="minorEastAsia" w:hAnsiTheme="minorEastAsia" w:eastAsiaTheme="minorEastAsia" w:cstheme="minorEastAsia"/>
          <w:sz w:val="48"/>
          <w:szCs w:val="48"/>
        </w:rPr>
      </w:pPr>
    </w:p>
    <w:p>
      <w:pPr>
        <w:pStyle w:val="2"/>
        <w:spacing w:line="360" w:lineRule="auto"/>
        <w:rPr>
          <w:rFonts w:asciiTheme="minorEastAsia" w:hAnsiTheme="minorEastAsia" w:eastAsiaTheme="minorEastAsia" w:cstheme="minorEastAsia"/>
          <w:sz w:val="48"/>
          <w:szCs w:val="48"/>
        </w:rPr>
      </w:pPr>
    </w:p>
    <w:p>
      <w:pPr>
        <w:pStyle w:val="2"/>
        <w:spacing w:line="360" w:lineRule="auto"/>
        <w:rPr>
          <w:rFonts w:asciiTheme="minorEastAsia" w:hAnsiTheme="minorEastAsia" w:eastAsiaTheme="minorEastAsia" w:cstheme="minorEastAsia"/>
          <w:sz w:val="48"/>
          <w:szCs w:val="48"/>
        </w:rPr>
      </w:pPr>
    </w:p>
    <w:p>
      <w:pPr>
        <w:pStyle w:val="2"/>
        <w:spacing w:line="480" w:lineRule="auto"/>
        <w:ind w:firstLine="560" w:firstLineChars="200"/>
        <w:rPr>
          <w:rFonts w:asciiTheme="minorEastAsia" w:hAnsiTheme="minorEastAsia" w:eastAsiaTheme="minorEastAsia" w:cstheme="minorEastAsia"/>
          <w:sz w:val="48"/>
          <w:szCs w:val="48"/>
        </w:rPr>
      </w:pPr>
      <w:r>
        <w:fldChar w:fldCharType="begin"/>
      </w:r>
      <w:r>
        <w:instrText xml:space="preserve"> HYPERLINK "https://pay.zcygov.cn/purchaseplan_front/?_app_=zcy.procurement" \l "/plan/list/_blank" \t "https://pay.zcygov.cn/purchaseplan_front/?_app_=zcy.procurement" </w:instrText>
      </w:r>
      <w:r>
        <w:fldChar w:fldCharType="separate"/>
      </w:r>
      <w:r>
        <w:rPr>
          <w:rFonts w:hint="eastAsia" w:asciiTheme="minorEastAsia" w:hAnsiTheme="minorEastAsia" w:eastAsiaTheme="minorEastAsia" w:cstheme="minorEastAsia"/>
          <w:sz w:val="48"/>
          <w:szCs w:val="48"/>
        </w:rPr>
        <w:t>乌鲁木齐市实验学校校园安保采购 项目</w:t>
      </w:r>
      <w:r>
        <w:rPr>
          <w:rFonts w:hint="eastAsia" w:asciiTheme="minorEastAsia" w:hAnsiTheme="minorEastAsia" w:eastAsiaTheme="minorEastAsia" w:cstheme="minorEastAsia"/>
          <w:sz w:val="48"/>
          <w:szCs w:val="48"/>
        </w:rPr>
        <w:fldChar w:fldCharType="end"/>
      </w:r>
      <w:r>
        <w:rPr>
          <w:rFonts w:hint="eastAsia" w:asciiTheme="minorEastAsia" w:hAnsiTheme="minorEastAsia" w:eastAsiaTheme="minorEastAsia" w:cstheme="minorEastAsia"/>
          <w:sz w:val="48"/>
          <w:szCs w:val="48"/>
        </w:rPr>
        <w:t>竞争性磋商文件</w:t>
      </w:r>
    </w:p>
    <w:p>
      <w:pPr>
        <w:pStyle w:val="2"/>
        <w:spacing w:line="360" w:lineRule="auto"/>
        <w:rPr>
          <w:rFonts w:asciiTheme="minorEastAsia" w:hAnsiTheme="minorEastAsia" w:eastAsiaTheme="minorEastAsia" w:cstheme="minorEastAsia"/>
          <w:sz w:val="48"/>
          <w:szCs w:val="48"/>
        </w:rPr>
      </w:pPr>
    </w:p>
    <w:p>
      <w:pPr>
        <w:overflowPunct w:val="0"/>
        <w:spacing w:line="360" w:lineRule="auto"/>
        <w:rPr>
          <w:rFonts w:asciiTheme="minorEastAsia" w:hAnsiTheme="minorEastAsia" w:eastAsiaTheme="minorEastAsia" w:cstheme="minorEastAsia"/>
          <w:sz w:val="28"/>
          <w:szCs w:val="28"/>
        </w:rPr>
      </w:pPr>
    </w:p>
    <w:p>
      <w:pPr>
        <w:overflowPunct w:val="0"/>
        <w:spacing w:line="360" w:lineRule="auto"/>
        <w:rPr>
          <w:rFonts w:asciiTheme="minorEastAsia" w:hAnsiTheme="minorEastAsia" w:eastAsiaTheme="minorEastAsia" w:cstheme="minorEastAsia"/>
          <w:sz w:val="28"/>
          <w:szCs w:val="28"/>
        </w:rPr>
      </w:pPr>
    </w:p>
    <w:p>
      <w:pPr>
        <w:spacing w:line="360" w:lineRule="auto"/>
        <w:rPr>
          <w:rFonts w:asciiTheme="minorEastAsia" w:hAnsiTheme="minorEastAsia" w:eastAsiaTheme="minorEastAsia" w:cstheme="minorEastAsia"/>
          <w:sz w:val="28"/>
          <w:szCs w:val="28"/>
        </w:rPr>
      </w:pPr>
    </w:p>
    <w:p>
      <w:pPr>
        <w:pStyle w:val="15"/>
        <w:spacing w:line="360" w:lineRule="auto"/>
        <w:ind w:firstLine="560"/>
        <w:rPr>
          <w:rFonts w:asciiTheme="minorEastAsia" w:hAnsiTheme="minorEastAsia" w:eastAsiaTheme="minorEastAsia" w:cstheme="minorEastAsia"/>
          <w:szCs w:val="28"/>
        </w:rPr>
      </w:pPr>
    </w:p>
    <w:p>
      <w:pPr>
        <w:pStyle w:val="3"/>
        <w:ind w:left="420" w:leftChars="200" w:firstLine="0"/>
        <w:rPr>
          <w:rFonts w:asciiTheme="minorEastAsia" w:hAnsiTheme="minorEastAsia" w:eastAsiaTheme="minorEastAsia" w:cstheme="minorEastAsia"/>
          <w:sz w:val="28"/>
          <w:szCs w:val="28"/>
        </w:rPr>
      </w:pPr>
    </w:p>
    <w:p>
      <w:pPr>
        <w:spacing w:line="360" w:lineRule="auto"/>
        <w:rPr>
          <w:rFonts w:asciiTheme="minorEastAsia" w:hAnsiTheme="minorEastAsia" w:eastAsiaTheme="minorEastAsia" w:cstheme="minorEastAsia"/>
          <w:sz w:val="28"/>
          <w:szCs w:val="28"/>
        </w:rPr>
      </w:pPr>
    </w:p>
    <w:p>
      <w:pPr>
        <w:pStyle w:val="4"/>
        <w:numPr>
          <w:ilvl w:val="0"/>
          <w:numId w:val="0"/>
        </w:numPr>
        <w:spacing w:line="360" w:lineRule="auto"/>
        <w:rPr>
          <w:rFonts w:asciiTheme="minorEastAsia" w:hAnsiTheme="minorEastAsia" w:eastAsiaTheme="minorEastAsia" w:cstheme="minorEastAsia"/>
          <w:szCs w:val="28"/>
        </w:rPr>
      </w:pPr>
    </w:p>
    <w:p>
      <w:pPr>
        <w:pStyle w:val="4"/>
        <w:numPr>
          <w:ilvl w:val="0"/>
          <w:numId w:val="0"/>
        </w:numPr>
        <w:spacing w:line="360" w:lineRule="auto"/>
        <w:rPr>
          <w:rFonts w:asciiTheme="minorEastAsia" w:hAnsiTheme="minorEastAsia" w:eastAsiaTheme="minorEastAsia" w:cstheme="minorEastAsia"/>
          <w:sz w:val="32"/>
          <w:szCs w:val="32"/>
        </w:rPr>
      </w:pPr>
    </w:p>
    <w:p>
      <w:pPr>
        <w:overflowPunct w:val="0"/>
        <w:adjustRightInd w:val="0"/>
        <w:snapToGrid w:val="0"/>
        <w:spacing w:line="360" w:lineRule="auto"/>
        <w:ind w:left="420" w:leftChars="200" w:firstLine="640" w:firstLineChars="200"/>
        <w:jc w:val="left"/>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采购人：乌鲁木齐市实验学校</w:t>
      </w:r>
    </w:p>
    <w:p>
      <w:pPr>
        <w:overflowPunct w:val="0"/>
        <w:adjustRightInd w:val="0"/>
        <w:snapToGrid w:val="0"/>
        <w:spacing w:line="360" w:lineRule="auto"/>
        <w:ind w:left="420" w:leftChars="200" w:firstLine="640" w:firstLineChars="200"/>
        <w:jc w:val="left"/>
        <w:rPr>
          <w:rFonts w:asciiTheme="minorEastAsia" w:hAnsiTheme="minorEastAsia" w:eastAsiaTheme="minorEastAsia" w:cstheme="minorEastAsia"/>
          <w:b/>
          <w:sz w:val="32"/>
          <w:szCs w:val="32"/>
        </w:rPr>
      </w:pPr>
    </w:p>
    <w:p>
      <w:pPr>
        <w:overflowPunct w:val="0"/>
        <w:adjustRightInd w:val="0"/>
        <w:snapToGrid w:val="0"/>
        <w:spacing w:line="360" w:lineRule="auto"/>
        <w:jc w:val="left"/>
        <w:rPr>
          <w:rFonts w:asciiTheme="minorEastAsia" w:hAnsiTheme="minorEastAsia" w:eastAsiaTheme="minorEastAsia" w:cstheme="minorEastAsia"/>
          <w:b/>
          <w:sz w:val="32"/>
          <w:szCs w:val="32"/>
        </w:rPr>
      </w:pPr>
    </w:p>
    <w:p>
      <w:pPr>
        <w:overflowPunct w:val="0"/>
        <w:adjustRightInd w:val="0"/>
        <w:snapToGrid w:val="0"/>
        <w:spacing w:line="360" w:lineRule="auto"/>
        <w:ind w:left="420" w:leftChars="200" w:firstLine="640" w:firstLineChars="200"/>
        <w:jc w:val="left"/>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代理机构：新疆凯信祺盛招标代理有限公司</w:t>
      </w:r>
    </w:p>
    <w:p>
      <w:pPr>
        <w:pStyle w:val="22"/>
        <w:tabs>
          <w:tab w:val="center" w:pos="4677"/>
          <w:tab w:val="left" w:pos="7306"/>
        </w:tabs>
        <w:spacing w:line="360" w:lineRule="auto"/>
        <w:jc w:val="center"/>
        <w:rPr>
          <w:rFonts w:asciiTheme="minorEastAsia" w:hAnsiTheme="minorEastAsia" w:eastAsiaTheme="minorEastAsia" w:cstheme="minorEastAsia"/>
          <w:b/>
          <w:color w:val="auto"/>
          <w:sz w:val="28"/>
          <w:szCs w:val="28"/>
        </w:rPr>
      </w:pPr>
    </w:p>
    <w:p>
      <w:pPr>
        <w:pStyle w:val="22"/>
        <w:tabs>
          <w:tab w:val="center" w:pos="4677"/>
          <w:tab w:val="left" w:pos="7306"/>
        </w:tabs>
        <w:spacing w:line="360" w:lineRule="auto"/>
        <w:ind w:firstLine="560" w:firstLineChars="200"/>
        <w:jc w:val="center"/>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br w:type="page"/>
      </w:r>
      <w:r>
        <w:rPr>
          <w:rFonts w:hint="eastAsia" w:asciiTheme="minorEastAsia" w:hAnsiTheme="minorEastAsia" w:eastAsiaTheme="minorEastAsia" w:cstheme="minorEastAsia"/>
          <w:b/>
          <w:color w:val="auto"/>
          <w:sz w:val="28"/>
          <w:szCs w:val="28"/>
        </w:rPr>
        <w:t>目    录</w:t>
      </w:r>
    </w:p>
    <w:p>
      <w:pPr>
        <w:pStyle w:val="22"/>
        <w:spacing w:line="360" w:lineRule="auto"/>
        <w:ind w:left="113" w:leftChars="54" w:firstLine="560" w:firstLineChars="200"/>
        <w:jc w:val="distribute"/>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第一部分  采购公告………………………………………………</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 xml:space="preserve"> </w:t>
      </w:r>
    </w:p>
    <w:p>
      <w:pPr>
        <w:pStyle w:val="22"/>
        <w:spacing w:line="360" w:lineRule="auto"/>
        <w:ind w:firstLine="560" w:firstLineChars="200"/>
        <w:jc w:val="distribute"/>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 xml:space="preserve"> 第二部分  供应商须知……………………………………………</w:t>
      </w:r>
      <w:r>
        <w:rPr>
          <w:rFonts w:hint="eastAsia" w:asciiTheme="minorEastAsia" w:hAnsiTheme="minorEastAsia" w:eastAsiaTheme="minorEastAsia" w:cstheme="minorEastAsia"/>
          <w:color w:val="auto"/>
          <w:sz w:val="28"/>
          <w:szCs w:val="28"/>
          <w:lang w:val="en-US" w:eastAsia="zh-CN"/>
        </w:rPr>
        <w:t>7</w:t>
      </w:r>
    </w:p>
    <w:p>
      <w:pPr>
        <w:pStyle w:val="22"/>
        <w:spacing w:line="360" w:lineRule="auto"/>
        <w:ind w:left="113" w:leftChars="54" w:right="-63" w:rightChars="-30" w:firstLine="560" w:firstLineChars="200"/>
        <w:jc w:val="distribute"/>
        <w:rPr>
          <w:rStyle w:val="24"/>
          <w:rFonts w:asciiTheme="minorEastAsia" w:hAnsiTheme="minorEastAsia" w:eastAsiaTheme="minorEastAsia" w:cstheme="minorEastAsia"/>
          <w:b/>
          <w:bCs/>
          <w:color w:val="auto"/>
          <w:szCs w:val="28"/>
        </w:rPr>
      </w:pPr>
      <w:r>
        <w:rPr>
          <w:rFonts w:hint="eastAsia" w:asciiTheme="minorEastAsia" w:hAnsiTheme="minorEastAsia" w:eastAsiaTheme="minorEastAsia" w:cstheme="minorEastAsia"/>
          <w:color w:val="auto"/>
          <w:sz w:val="28"/>
          <w:szCs w:val="28"/>
        </w:rPr>
        <w:t>第三部分  投标说明……………………………………………</w:t>
      </w:r>
      <w:r>
        <w:rPr>
          <w:rFonts w:hint="eastAsia" w:asciiTheme="minorEastAsia" w:hAnsiTheme="minorEastAsia" w:eastAsiaTheme="minorEastAsia" w:cstheme="minorEastAsia"/>
          <w:color w:val="auto"/>
          <w:sz w:val="28"/>
          <w:szCs w:val="28"/>
          <w:lang w:val="en-US" w:eastAsia="zh-CN"/>
        </w:rPr>
        <w:t>14</w:t>
      </w:r>
      <w:r>
        <w:rPr>
          <w:rFonts w:hint="eastAsia" w:asciiTheme="minorEastAsia" w:hAnsiTheme="minorEastAsia" w:eastAsiaTheme="minorEastAsia" w:cstheme="minorEastAsia"/>
          <w:color w:val="auto"/>
          <w:sz w:val="28"/>
          <w:szCs w:val="28"/>
        </w:rPr>
        <w:t xml:space="preserve"> </w:t>
      </w:r>
    </w:p>
    <w:p>
      <w:pPr>
        <w:pStyle w:val="22"/>
        <w:spacing w:line="360" w:lineRule="auto"/>
        <w:ind w:left="113" w:leftChars="54" w:right="-63" w:rightChars="-30" w:firstLine="560" w:firstLineChars="200"/>
        <w:jc w:val="distribute"/>
        <w:rPr>
          <w:rStyle w:val="24"/>
          <w:rFonts w:asciiTheme="minorEastAsia" w:hAnsiTheme="minorEastAsia" w:eastAsiaTheme="minorEastAsia" w:cstheme="minorEastAsia"/>
          <w:b/>
          <w:bCs/>
          <w:color w:val="auto"/>
          <w:szCs w:val="28"/>
        </w:rPr>
      </w:pPr>
      <w:r>
        <w:rPr>
          <w:rFonts w:hint="eastAsia" w:asciiTheme="minorEastAsia" w:hAnsiTheme="minorEastAsia" w:eastAsiaTheme="minorEastAsia" w:cstheme="minorEastAsia"/>
          <w:color w:val="auto"/>
          <w:sz w:val="28"/>
          <w:szCs w:val="28"/>
        </w:rPr>
        <w:t>第四部分  授予合同……………………………………………</w:t>
      </w:r>
      <w:r>
        <w:rPr>
          <w:rFonts w:hint="eastAsia" w:asciiTheme="minorEastAsia" w:hAnsiTheme="minorEastAsia" w:eastAsiaTheme="minorEastAsia" w:cstheme="minorEastAsia"/>
          <w:color w:val="auto"/>
          <w:sz w:val="28"/>
          <w:szCs w:val="28"/>
          <w:lang w:val="en-US" w:eastAsia="zh-CN"/>
        </w:rPr>
        <w:t>23</w:t>
      </w:r>
      <w:r>
        <w:rPr>
          <w:rFonts w:hint="eastAsia" w:asciiTheme="minorEastAsia" w:hAnsiTheme="minorEastAsia" w:eastAsiaTheme="minorEastAsia" w:cstheme="minorEastAsia"/>
          <w:color w:val="auto"/>
          <w:sz w:val="28"/>
          <w:szCs w:val="28"/>
        </w:rPr>
        <w:t xml:space="preserve"> </w:t>
      </w:r>
    </w:p>
    <w:p>
      <w:pPr>
        <w:pStyle w:val="22"/>
        <w:spacing w:line="360" w:lineRule="auto"/>
        <w:ind w:left="113" w:leftChars="54" w:right="-63" w:rightChars="-30" w:firstLine="560" w:firstLineChars="200"/>
        <w:jc w:val="distribute"/>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第五部分  采购需求……………………………………………</w:t>
      </w:r>
      <w:r>
        <w:rPr>
          <w:rFonts w:hint="eastAsia" w:asciiTheme="minorEastAsia" w:hAnsiTheme="minorEastAsia" w:eastAsiaTheme="minorEastAsia" w:cstheme="minorEastAsia"/>
          <w:color w:val="auto"/>
          <w:sz w:val="28"/>
          <w:szCs w:val="28"/>
          <w:lang w:val="en-US" w:eastAsia="zh-CN"/>
        </w:rPr>
        <w:t>36</w:t>
      </w:r>
      <w:r>
        <w:rPr>
          <w:rFonts w:hint="eastAsia" w:asciiTheme="minorEastAsia" w:hAnsiTheme="minorEastAsia" w:eastAsiaTheme="minorEastAsia" w:cstheme="minorEastAsia"/>
          <w:color w:val="auto"/>
          <w:sz w:val="28"/>
          <w:szCs w:val="28"/>
        </w:rPr>
        <w:t xml:space="preserve"> </w:t>
      </w:r>
    </w:p>
    <w:p>
      <w:pPr>
        <w:pStyle w:val="22"/>
        <w:spacing w:line="360" w:lineRule="auto"/>
        <w:ind w:left="113" w:leftChars="54" w:right="-63" w:rightChars="-30" w:firstLine="560" w:firstLineChars="200"/>
        <w:jc w:val="distribute"/>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第六部分  合同……………………………………………</w:t>
      </w:r>
      <w:r>
        <w:rPr>
          <w:rFonts w:hint="eastAsia" w:asciiTheme="minorEastAsia" w:hAnsiTheme="minorEastAsia" w:eastAsiaTheme="minorEastAsia" w:cstheme="minorEastAsia"/>
          <w:color w:val="auto"/>
          <w:sz w:val="28"/>
          <w:szCs w:val="28"/>
          <w:lang w:val="en-US" w:eastAsia="zh-CN"/>
        </w:rPr>
        <w:t>40</w:t>
      </w:r>
      <w:r>
        <w:rPr>
          <w:rFonts w:hint="eastAsia" w:asciiTheme="minorEastAsia" w:hAnsiTheme="minorEastAsia" w:eastAsiaTheme="minorEastAsia" w:cstheme="minorEastAsia"/>
          <w:color w:val="auto"/>
          <w:sz w:val="28"/>
          <w:szCs w:val="28"/>
        </w:rPr>
        <w:t xml:space="preserve"> </w:t>
      </w:r>
    </w:p>
    <w:p>
      <w:pPr>
        <w:pStyle w:val="22"/>
        <w:spacing w:line="360" w:lineRule="auto"/>
        <w:ind w:left="113" w:leftChars="54" w:right="-63" w:rightChars="-30" w:firstLine="560" w:firstLineChars="200"/>
        <w:jc w:val="distribute"/>
        <w:rPr>
          <w:rStyle w:val="24"/>
          <w:rFonts w:asciiTheme="minorEastAsia" w:hAnsiTheme="minorEastAsia" w:eastAsiaTheme="minorEastAsia" w:cstheme="minorEastAsia"/>
          <w:b/>
          <w:bCs/>
          <w:color w:val="auto"/>
          <w:szCs w:val="28"/>
        </w:rPr>
      </w:pPr>
      <w:r>
        <w:rPr>
          <w:rFonts w:hint="eastAsia" w:asciiTheme="minorEastAsia" w:hAnsiTheme="minorEastAsia" w:eastAsiaTheme="minorEastAsia" w:cstheme="minorEastAsia"/>
          <w:color w:val="auto"/>
          <w:sz w:val="28"/>
          <w:szCs w:val="28"/>
        </w:rPr>
        <w:t>第七部分  响应文件格式及附件………………………………</w:t>
      </w:r>
      <w:r>
        <w:rPr>
          <w:rFonts w:hint="eastAsia" w:asciiTheme="minorEastAsia" w:hAnsiTheme="minorEastAsia" w:eastAsiaTheme="minorEastAsia" w:cstheme="minorEastAsia"/>
          <w:color w:val="auto"/>
          <w:sz w:val="28"/>
          <w:szCs w:val="28"/>
          <w:lang w:val="en-US" w:eastAsia="zh-CN"/>
        </w:rPr>
        <w:t>47</w:t>
      </w:r>
      <w:r>
        <w:rPr>
          <w:rFonts w:hint="eastAsia" w:asciiTheme="minorEastAsia" w:hAnsiTheme="minorEastAsia" w:eastAsiaTheme="minorEastAsia" w:cstheme="minorEastAsia"/>
          <w:color w:val="auto"/>
          <w:sz w:val="28"/>
          <w:szCs w:val="28"/>
        </w:rPr>
        <w:t xml:space="preserve"> </w:t>
      </w:r>
    </w:p>
    <w:p>
      <w:pPr>
        <w:spacing w:line="360" w:lineRule="auto"/>
        <w:jc w:val="center"/>
        <w:rPr>
          <w:rStyle w:val="24"/>
          <w:rFonts w:asciiTheme="minorEastAsia" w:hAnsiTheme="minorEastAsia" w:eastAsiaTheme="minorEastAsia" w:cstheme="minorEastAsia"/>
          <w:b/>
          <w:bCs/>
          <w:szCs w:val="28"/>
        </w:rPr>
      </w:pPr>
    </w:p>
    <w:p>
      <w:pPr>
        <w:spacing w:line="360" w:lineRule="auto"/>
        <w:jc w:val="center"/>
        <w:rPr>
          <w:rStyle w:val="24"/>
          <w:rFonts w:asciiTheme="minorEastAsia" w:hAnsiTheme="minorEastAsia" w:eastAsiaTheme="minorEastAsia" w:cstheme="minorEastAsia"/>
          <w:b/>
          <w:bCs/>
          <w:szCs w:val="28"/>
        </w:rPr>
      </w:pPr>
    </w:p>
    <w:p>
      <w:pPr>
        <w:spacing w:line="360" w:lineRule="auto"/>
        <w:jc w:val="center"/>
        <w:rPr>
          <w:rStyle w:val="24"/>
          <w:rFonts w:asciiTheme="minorEastAsia" w:hAnsiTheme="minorEastAsia" w:eastAsiaTheme="minorEastAsia" w:cstheme="minorEastAsia"/>
          <w:b/>
          <w:bCs/>
          <w:szCs w:val="28"/>
        </w:rPr>
      </w:pPr>
    </w:p>
    <w:p>
      <w:pPr>
        <w:spacing w:line="360" w:lineRule="auto"/>
        <w:jc w:val="center"/>
        <w:rPr>
          <w:rStyle w:val="24"/>
          <w:rFonts w:asciiTheme="minorEastAsia" w:hAnsiTheme="minorEastAsia" w:eastAsiaTheme="minorEastAsia" w:cstheme="minorEastAsia"/>
          <w:b/>
          <w:bCs/>
          <w:szCs w:val="28"/>
        </w:rPr>
      </w:pPr>
    </w:p>
    <w:p>
      <w:pPr>
        <w:spacing w:line="360" w:lineRule="auto"/>
        <w:jc w:val="center"/>
        <w:rPr>
          <w:rStyle w:val="24"/>
          <w:rFonts w:asciiTheme="minorEastAsia" w:hAnsiTheme="minorEastAsia" w:eastAsiaTheme="minorEastAsia" w:cstheme="minorEastAsia"/>
          <w:b/>
          <w:bCs/>
          <w:szCs w:val="28"/>
        </w:rPr>
      </w:pPr>
    </w:p>
    <w:p>
      <w:pPr>
        <w:spacing w:line="360" w:lineRule="auto"/>
        <w:jc w:val="center"/>
        <w:rPr>
          <w:rStyle w:val="24"/>
          <w:rFonts w:asciiTheme="minorEastAsia" w:hAnsiTheme="minorEastAsia" w:eastAsiaTheme="minorEastAsia" w:cstheme="minorEastAsia"/>
          <w:b/>
          <w:bCs/>
          <w:szCs w:val="28"/>
        </w:rPr>
      </w:pPr>
    </w:p>
    <w:p>
      <w:pPr>
        <w:spacing w:line="360" w:lineRule="auto"/>
        <w:jc w:val="center"/>
        <w:rPr>
          <w:rStyle w:val="24"/>
          <w:rFonts w:asciiTheme="minorEastAsia" w:hAnsiTheme="minorEastAsia" w:eastAsiaTheme="minorEastAsia" w:cstheme="minorEastAsia"/>
          <w:b/>
          <w:bCs/>
          <w:szCs w:val="28"/>
        </w:rPr>
      </w:pPr>
    </w:p>
    <w:p>
      <w:pPr>
        <w:spacing w:line="360" w:lineRule="auto"/>
        <w:rPr>
          <w:rStyle w:val="24"/>
          <w:rFonts w:asciiTheme="minorEastAsia" w:hAnsiTheme="minorEastAsia" w:eastAsiaTheme="minorEastAsia" w:cstheme="minorEastAsia"/>
          <w:b/>
          <w:bCs/>
          <w:szCs w:val="28"/>
        </w:rPr>
      </w:pPr>
    </w:p>
    <w:p>
      <w:pPr>
        <w:spacing w:line="360" w:lineRule="auto"/>
        <w:jc w:val="center"/>
        <w:rPr>
          <w:rStyle w:val="24"/>
          <w:rFonts w:asciiTheme="minorEastAsia" w:hAnsiTheme="minorEastAsia" w:eastAsiaTheme="minorEastAsia" w:cstheme="minorEastAsia"/>
          <w:b/>
          <w:bCs/>
          <w:szCs w:val="28"/>
        </w:rPr>
      </w:pPr>
    </w:p>
    <w:p>
      <w:pPr>
        <w:spacing w:line="360" w:lineRule="auto"/>
        <w:rPr>
          <w:rStyle w:val="24"/>
          <w:rFonts w:asciiTheme="minorEastAsia" w:hAnsiTheme="minorEastAsia" w:eastAsiaTheme="minorEastAsia" w:cstheme="minorEastAsia"/>
          <w:b/>
          <w:bCs/>
          <w:szCs w:val="28"/>
        </w:rPr>
      </w:pPr>
    </w:p>
    <w:p>
      <w:pPr>
        <w:spacing w:line="360" w:lineRule="auto"/>
        <w:jc w:val="center"/>
        <w:rPr>
          <w:rStyle w:val="24"/>
          <w:rFonts w:asciiTheme="minorEastAsia" w:hAnsiTheme="minorEastAsia" w:eastAsiaTheme="minorEastAsia" w:cstheme="minorEastAsia"/>
          <w:b/>
          <w:bCs/>
          <w:szCs w:val="28"/>
        </w:rPr>
      </w:pPr>
    </w:p>
    <w:p>
      <w:pPr>
        <w:spacing w:line="360" w:lineRule="auto"/>
        <w:jc w:val="center"/>
        <w:rPr>
          <w:rStyle w:val="24"/>
          <w:rFonts w:asciiTheme="minorEastAsia" w:hAnsiTheme="minorEastAsia" w:eastAsiaTheme="minorEastAsia" w:cstheme="minorEastAsia"/>
          <w:b/>
          <w:bCs/>
          <w:szCs w:val="28"/>
        </w:rPr>
      </w:pPr>
    </w:p>
    <w:p>
      <w:pPr>
        <w:spacing w:line="360" w:lineRule="auto"/>
        <w:jc w:val="center"/>
        <w:rPr>
          <w:rStyle w:val="24"/>
          <w:rFonts w:asciiTheme="minorEastAsia" w:hAnsiTheme="minorEastAsia" w:eastAsiaTheme="minorEastAsia" w:cstheme="minorEastAsia"/>
          <w:b/>
          <w:bCs/>
          <w:szCs w:val="28"/>
        </w:rPr>
      </w:pPr>
    </w:p>
    <w:p>
      <w:pPr>
        <w:spacing w:line="360" w:lineRule="auto"/>
        <w:ind w:firstLine="560" w:firstLineChars="200"/>
        <w:jc w:val="center"/>
        <w:rPr>
          <w:rStyle w:val="24"/>
          <w:rFonts w:asciiTheme="minorEastAsia" w:hAnsiTheme="minorEastAsia" w:eastAsiaTheme="minorEastAsia" w:cstheme="minorEastAsia"/>
          <w:b/>
          <w:bCs/>
          <w:szCs w:val="28"/>
        </w:rPr>
      </w:pPr>
      <w:r>
        <w:rPr>
          <w:rStyle w:val="24"/>
          <w:rFonts w:hint="eastAsia" w:asciiTheme="minorEastAsia" w:hAnsiTheme="minorEastAsia" w:eastAsiaTheme="minorEastAsia" w:cstheme="minorEastAsia"/>
          <w:b/>
          <w:bCs/>
          <w:szCs w:val="28"/>
        </w:rPr>
        <w:br w:type="page"/>
      </w:r>
      <w:r>
        <w:rPr>
          <w:rStyle w:val="24"/>
          <w:rFonts w:hint="eastAsia" w:asciiTheme="minorEastAsia" w:hAnsiTheme="minorEastAsia" w:eastAsiaTheme="minorEastAsia" w:cstheme="minorEastAsia"/>
          <w:b/>
          <w:bCs/>
          <w:szCs w:val="28"/>
        </w:rPr>
        <w:t>第一部分 采购公告</w:t>
      </w:r>
    </w:p>
    <w:p>
      <w:pPr>
        <w:spacing w:line="360" w:lineRule="auto"/>
        <w:ind w:firstLine="560" w:firstLineChars="200"/>
        <w:jc w:val="center"/>
        <w:rPr>
          <w:rStyle w:val="24"/>
          <w:rFonts w:asciiTheme="minorEastAsia" w:hAnsiTheme="minorEastAsia" w:eastAsiaTheme="minorEastAsia" w:cstheme="minorEastAsia"/>
          <w:b/>
          <w:bCs/>
          <w:szCs w:val="28"/>
        </w:rPr>
      </w:pPr>
      <w:r>
        <w:rPr>
          <w:rStyle w:val="24"/>
          <w:rFonts w:hint="eastAsia" w:asciiTheme="minorEastAsia" w:hAnsiTheme="minorEastAsia" w:eastAsiaTheme="minorEastAsia" w:cstheme="minorEastAsia"/>
          <w:b/>
          <w:bCs/>
          <w:szCs w:val="28"/>
        </w:rPr>
        <w:t>乌鲁木齐市实验学校校园安保采购项目的竞争性磋商公告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00" w:type="dxa"/>
          </w:tcPr>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乌鲁木齐市实验学校校园安保采购项目的潜在供应商应在线上获取采购文件，并于2024年3月</w:t>
            </w:r>
            <w:r>
              <w:rPr>
                <w:rFonts w:hint="eastAsia" w:asciiTheme="minorEastAsia" w:hAnsiTheme="minorEastAsia" w:eastAsiaTheme="minorEastAsia" w:cstheme="minorEastAsia"/>
                <w:sz w:val="28"/>
                <w:szCs w:val="28"/>
                <w:lang w:val="en-US" w:eastAsia="zh-CN"/>
              </w:rPr>
              <w:t>27</w:t>
            </w:r>
            <w:r>
              <w:rPr>
                <w:rFonts w:hint="eastAsia" w:asciiTheme="minorEastAsia" w:hAnsiTheme="minorEastAsia" w:eastAsiaTheme="minorEastAsia" w:cstheme="minorEastAsia"/>
                <w:sz w:val="28"/>
                <w:szCs w:val="28"/>
              </w:rPr>
              <w:t>日16:00前提交响应文件。</w:t>
            </w:r>
          </w:p>
        </w:tc>
      </w:tr>
    </w:tbl>
    <w:p>
      <w:pPr>
        <w:pStyle w:val="13"/>
        <w:spacing w:before="255" w:after="255"/>
        <w:ind w:firstLine="560" w:firstLineChars="200"/>
        <w:jc w:val="both"/>
        <w:rPr>
          <w:rFonts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一、项目基本情况</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项目编号：KXQS-[2024]92号</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项目名称：乌鲁木齐市实验学校校园安保采购项目</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采购方式：竞争性磋商</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预算金额：54.6（万元）</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最高限价：54.6（万元）</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采购需求：详见采购文件</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简要规格描述：校园安保服务</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合同履约期限：合同签订后一年</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本项目（否）接受联合体投标。</w:t>
      </w:r>
    </w:p>
    <w:p>
      <w:pPr>
        <w:pStyle w:val="13"/>
        <w:spacing w:before="255" w:after="255"/>
        <w:ind w:firstLine="560" w:firstLineChars="200"/>
        <w:jc w:val="both"/>
        <w:rPr>
          <w:rFonts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二、申请人的资格要求：</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1.满足《中华人民共和国政府采购法》第二十二条规定；</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2.落实政府采购政策需满足的资格要求：供应商须为中小微企业</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3.本项目的特定资格要求：</w:t>
      </w:r>
      <w:r>
        <w:rPr>
          <w:rFonts w:hint="eastAsia" w:asciiTheme="minorEastAsia" w:hAnsiTheme="minorEastAsia" w:eastAsiaTheme="minorEastAsia" w:cstheme="minorEastAsia"/>
          <w:b/>
          <w:bCs/>
          <w:sz w:val="28"/>
          <w:szCs w:val="28"/>
        </w:rPr>
        <w:t>具有公安部门颁发的《保安服务许可证</w:t>
      </w:r>
      <w:r>
        <w:rPr>
          <w:rFonts w:hint="eastAsia" w:asciiTheme="minorEastAsia" w:hAnsiTheme="minorEastAsia" w:eastAsiaTheme="minorEastAsia" w:cstheme="minorEastAsia"/>
          <w:sz w:val="28"/>
          <w:szCs w:val="28"/>
        </w:rPr>
        <w:t>》。</w:t>
      </w:r>
    </w:p>
    <w:p>
      <w:pPr>
        <w:pStyle w:val="13"/>
        <w:spacing w:before="255" w:after="255"/>
        <w:ind w:firstLine="560" w:firstLineChars="200"/>
        <w:jc w:val="both"/>
        <w:rPr>
          <w:rStyle w:val="19"/>
          <w:rFonts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三、获取采购文件</w:t>
      </w:r>
    </w:p>
    <w:p>
      <w:pPr>
        <w:pStyle w:val="13"/>
        <w:spacing w:before="255" w:after="25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时间：2024年3月13日至2024年3月20日，每天上午10:00至14:00，下午15:00至19:00（法定节假日除外）</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地点：线上获取采购文件 </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方式：供应商登录新疆政府采购云平台https://www.zcygov.cn/在线申请获取采购文件（进入“项目采购”应用，在获取采购文件菜单中选择项目，申请获取采购文件） </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Style w:val="19"/>
          <w:rFonts w:hint="eastAsia" w:asciiTheme="minorEastAsia" w:hAnsiTheme="minorEastAsia" w:eastAsiaTheme="minorEastAsia" w:cstheme="minorEastAsia"/>
          <w:sz w:val="28"/>
          <w:szCs w:val="28"/>
        </w:rPr>
        <w:t>四、响应文件提交</w:t>
      </w:r>
      <w:r>
        <w:rPr>
          <w:rFonts w:hint="eastAsia" w:asciiTheme="minorEastAsia" w:hAnsiTheme="minorEastAsia" w:eastAsiaTheme="minorEastAsia" w:cstheme="minorEastAsia"/>
          <w:sz w:val="28"/>
          <w:szCs w:val="28"/>
        </w:rPr>
        <w:t> </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截止时间：2024年3月</w:t>
      </w:r>
      <w:r>
        <w:rPr>
          <w:rFonts w:hint="eastAsia" w:asciiTheme="minorEastAsia" w:hAnsiTheme="minorEastAsia" w:eastAsiaTheme="minorEastAsia" w:cstheme="minorEastAsia"/>
          <w:sz w:val="28"/>
          <w:szCs w:val="28"/>
          <w:lang w:val="en-US" w:eastAsia="zh-CN"/>
        </w:rPr>
        <w:t>27</w:t>
      </w:r>
      <w:r>
        <w:rPr>
          <w:rFonts w:hint="eastAsia" w:asciiTheme="minorEastAsia" w:hAnsiTheme="minorEastAsia" w:eastAsiaTheme="minorEastAsia" w:cstheme="minorEastAsia"/>
          <w:sz w:val="28"/>
          <w:szCs w:val="28"/>
        </w:rPr>
        <w:t>日16:00（北京时间）</w:t>
      </w:r>
      <w:bookmarkStart w:id="320" w:name="_GoBack"/>
      <w:bookmarkEnd w:id="320"/>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地点：政采云平台（https://www.zcygov.cn/） </w:t>
      </w:r>
    </w:p>
    <w:p>
      <w:pPr>
        <w:pStyle w:val="13"/>
        <w:spacing w:before="255" w:after="255"/>
        <w:ind w:firstLine="560" w:firstLineChars="200"/>
        <w:jc w:val="both"/>
        <w:rPr>
          <w:rFonts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五、响应文件开启</w:t>
      </w:r>
      <w:r>
        <w:rPr>
          <w:rFonts w:hint="eastAsia" w:asciiTheme="minorEastAsia" w:hAnsiTheme="minorEastAsia" w:eastAsiaTheme="minorEastAsia" w:cstheme="minorEastAsia"/>
          <w:sz w:val="28"/>
          <w:szCs w:val="28"/>
        </w:rPr>
        <w:t> </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开启时间：2024年3月</w:t>
      </w:r>
      <w:r>
        <w:rPr>
          <w:rFonts w:hint="eastAsia" w:asciiTheme="minorEastAsia" w:hAnsiTheme="minorEastAsia" w:eastAsiaTheme="minorEastAsia" w:cstheme="minorEastAsia"/>
          <w:sz w:val="28"/>
          <w:szCs w:val="28"/>
          <w:lang w:val="en-US" w:eastAsia="zh-CN"/>
        </w:rPr>
        <w:t>27</w:t>
      </w:r>
      <w:r>
        <w:rPr>
          <w:rFonts w:hint="eastAsia" w:asciiTheme="minorEastAsia" w:hAnsiTheme="minorEastAsia" w:eastAsiaTheme="minorEastAsia" w:cstheme="minorEastAsia"/>
          <w:sz w:val="28"/>
          <w:szCs w:val="28"/>
        </w:rPr>
        <w:t>日16:00（北京时间）</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地点：政采云平台（https://www.zcygov.cn/） </w:t>
      </w:r>
    </w:p>
    <w:p>
      <w:pPr>
        <w:pStyle w:val="13"/>
        <w:spacing w:before="255" w:after="255"/>
        <w:ind w:firstLine="560" w:firstLineChars="200"/>
        <w:jc w:val="both"/>
        <w:rPr>
          <w:rFonts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六、公告期限</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自本公告发布之日起5个工作日。</w:t>
      </w:r>
    </w:p>
    <w:p>
      <w:pPr>
        <w:pStyle w:val="13"/>
        <w:spacing w:before="255" w:after="255"/>
        <w:ind w:firstLine="560" w:firstLineChars="200"/>
        <w:jc w:val="both"/>
        <w:rPr>
          <w:rFonts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七、其他补充事宜</w:t>
      </w:r>
      <w:r>
        <w:rPr>
          <w:rStyle w:val="19"/>
          <w:rFonts w:hint="eastAsia"/>
        </w:rPr>
        <w:t>：无</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特别提示：</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3"/>
        <w:spacing w:before="255" w:after="255"/>
        <w:ind w:firstLine="560" w:firstLineChars="200"/>
        <w:jc w:val="both"/>
        <w:rPr>
          <w:rFonts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八、凡对本次招标提出询问，请按以下方式联系</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1.采购人信息</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称：乌鲁木齐市实验学校</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址：乌鲁木齐市中亚北路65号</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联系人及联系方式：董主任 13579885056</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2.采购代理机构信息</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称：新疆凯信祺盛招标代理有限公司</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址：乌鲁木齐市经济技术开发区玄武湖路433号万创中心926</w:t>
      </w:r>
    </w:p>
    <w:p>
      <w:pPr>
        <w:pStyle w:val="13"/>
        <w:spacing w:beforeAutospacing="1" w:afterAutospacing="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联系人及联系方式：潘燕 18195875877</w:t>
      </w:r>
    </w:p>
    <w:p>
      <w:pPr>
        <w:pStyle w:val="13"/>
        <w:spacing w:beforeAutospacing="1" w:afterAutospacing="1" w:line="360" w:lineRule="auto"/>
        <w:ind w:firstLine="560" w:firstLineChars="200"/>
        <w:jc w:val="center"/>
        <w:rPr>
          <w:rStyle w:val="24"/>
          <w:rFonts w:asciiTheme="minorEastAsia" w:hAnsiTheme="minorEastAsia" w:eastAsiaTheme="minorEastAsia" w:cstheme="minorEastAsia"/>
          <w:szCs w:val="28"/>
        </w:rPr>
      </w:pPr>
      <w:r>
        <w:rPr>
          <w:rStyle w:val="21"/>
          <w:rFonts w:hint="eastAsia" w:asciiTheme="minorEastAsia" w:hAnsiTheme="minorEastAsia" w:eastAsiaTheme="minorEastAsia" w:cstheme="minorEastAsia"/>
          <w:sz w:val="28"/>
          <w:szCs w:val="28"/>
        </w:rPr>
        <w:br w:type="page"/>
      </w:r>
      <w:r>
        <w:rPr>
          <w:rStyle w:val="24"/>
          <w:rFonts w:hint="eastAsia" w:asciiTheme="minorEastAsia" w:hAnsiTheme="minorEastAsia" w:eastAsiaTheme="minorEastAsia" w:cstheme="minorEastAsia"/>
          <w:b/>
          <w:bCs/>
          <w:szCs w:val="28"/>
        </w:rPr>
        <w:t>第二部分  供应商须知</w:t>
      </w:r>
    </w:p>
    <w:p>
      <w:pPr>
        <w:spacing w:line="360" w:lineRule="auto"/>
        <w:ind w:firstLine="560"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供应商需求前附表</w:t>
      </w:r>
    </w:p>
    <w:tbl>
      <w:tblPr>
        <w:tblStyle w:val="16"/>
        <w:tblW w:w="10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679"/>
        <w:gridCol w:w="7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8" w:type="dxa"/>
            <w:vAlign w:val="center"/>
          </w:tcPr>
          <w:p>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679" w:type="dxa"/>
            <w:vAlign w:val="center"/>
          </w:tcPr>
          <w:p>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类别</w:t>
            </w:r>
          </w:p>
        </w:tc>
        <w:tc>
          <w:tcPr>
            <w:tcW w:w="7882" w:type="dxa"/>
            <w:vAlign w:val="center"/>
          </w:tcPr>
          <w:p>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158" w:type="dxa"/>
            <w:vAlign w:val="center"/>
          </w:tcPr>
          <w:p>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w:t>
            </w:r>
          </w:p>
        </w:tc>
        <w:tc>
          <w:tcPr>
            <w:tcW w:w="1679" w:type="dxa"/>
            <w:vAlign w:val="center"/>
          </w:tcPr>
          <w:p>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项目名称</w:t>
            </w:r>
          </w:p>
        </w:tc>
        <w:tc>
          <w:tcPr>
            <w:tcW w:w="7882" w:type="dxa"/>
            <w:vAlign w:val="center"/>
          </w:tcPr>
          <w:p>
            <w:pPr>
              <w:spacing w:line="360" w:lineRule="auto"/>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乌鲁木齐市实验学校校园安保采购项目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158" w:type="dxa"/>
            <w:vAlign w:val="center"/>
          </w:tcPr>
          <w:p>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2</w:t>
            </w:r>
          </w:p>
        </w:tc>
        <w:tc>
          <w:tcPr>
            <w:tcW w:w="1679" w:type="dxa"/>
            <w:vAlign w:val="center"/>
          </w:tcPr>
          <w:p>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项目编号</w:t>
            </w:r>
          </w:p>
        </w:tc>
        <w:tc>
          <w:tcPr>
            <w:tcW w:w="7882" w:type="dxa"/>
            <w:vAlign w:val="center"/>
          </w:tcPr>
          <w:p>
            <w:pPr>
              <w:spacing w:line="360" w:lineRule="auto"/>
              <w:jc w:val="left"/>
              <w:rPr>
                <w:rFonts w:asciiTheme="minorEastAsia" w:hAnsiTheme="minorEastAsia" w:eastAsiaTheme="minorEastAsia" w:cstheme="minorEastAsia"/>
                <w:b/>
                <w:bCs/>
                <w:sz w:val="24"/>
                <w:szCs w:val="24"/>
              </w:rPr>
            </w:pPr>
            <w:r>
              <w:rPr>
                <w:rFonts w:asciiTheme="minorEastAsia" w:hAnsiTheme="minorEastAsia" w:eastAsiaTheme="minorEastAsia" w:cstheme="minorEastAsia"/>
                <w:sz w:val="24"/>
                <w:szCs w:val="24"/>
              </w:rPr>
              <w:t>KXQS-[202</w:t>
            </w:r>
            <w:r>
              <w:rPr>
                <w:rFonts w:hint="eastAsia" w:asciiTheme="minorEastAsia" w:hAnsiTheme="minorEastAsia" w:eastAsiaTheme="minorEastAsia" w:cstheme="minorEastAsia"/>
                <w:sz w:val="24"/>
                <w:szCs w:val="24"/>
              </w:rPr>
              <w:t>4</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1158"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679" w:type="dxa"/>
            <w:vAlign w:val="center"/>
          </w:tcPr>
          <w:p>
            <w:pPr>
              <w:overflowPunct w:val="0"/>
              <w:spacing w:line="360" w:lineRule="auto"/>
              <w:ind w:right="136" w:rightChars="6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采购人名称/地址/联系人</w:t>
            </w:r>
          </w:p>
        </w:tc>
        <w:tc>
          <w:tcPr>
            <w:tcW w:w="7882" w:type="dxa"/>
            <w:vAlign w:val="center"/>
          </w:tcPr>
          <w:p>
            <w:pPr>
              <w:overflowPunct w:val="0"/>
              <w:spacing w:line="360" w:lineRule="auto"/>
              <w:ind w:right="136" w:rightChars="6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名称：乌鲁木齐市实验学校</w:t>
            </w:r>
          </w:p>
          <w:p>
            <w:pPr>
              <w:overflowPunct w:val="0"/>
              <w:spacing w:line="360" w:lineRule="auto"/>
              <w:ind w:right="136" w:rightChars="6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地点：乌鲁木齐市中亚北路65号</w:t>
            </w:r>
          </w:p>
          <w:p>
            <w:pPr>
              <w:overflowPunct w:val="0"/>
              <w:spacing w:line="360" w:lineRule="auto"/>
              <w:ind w:right="136" w:rightChars="6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联系人：董主任 13579885056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158"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679" w:type="dxa"/>
            <w:vAlign w:val="center"/>
          </w:tcPr>
          <w:p>
            <w:pPr>
              <w:overflowPunct w:val="0"/>
              <w:spacing w:line="360" w:lineRule="auto"/>
              <w:ind w:right="136" w:rightChars="6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代理机构/地址/联系人</w:t>
            </w:r>
          </w:p>
        </w:tc>
        <w:tc>
          <w:tcPr>
            <w:tcW w:w="7882" w:type="dxa"/>
            <w:vAlign w:val="center"/>
          </w:tcPr>
          <w:p>
            <w:pPr>
              <w:overflowPunct w:val="0"/>
              <w:spacing w:line="360" w:lineRule="auto"/>
              <w:ind w:right="136" w:rightChars="6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名称：新疆凯信祺盛招标代理有限公司</w:t>
            </w:r>
          </w:p>
          <w:p>
            <w:pPr>
              <w:overflowPunct w:val="0"/>
              <w:spacing w:line="360" w:lineRule="auto"/>
              <w:ind w:right="136" w:rightChars="6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地址：乌鲁木齐市经济技术开发区玄武湖路433号万创中心926室</w:t>
            </w:r>
          </w:p>
          <w:p>
            <w:pPr>
              <w:overflowPunct w:val="0"/>
              <w:spacing w:line="360" w:lineRule="auto"/>
              <w:ind w:right="136" w:rightChars="65"/>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sz w:val="24"/>
                <w:szCs w:val="24"/>
              </w:rPr>
              <w:t>联系人：潘燕   电话：18195875877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158"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679" w:type="dxa"/>
            <w:vAlign w:val="center"/>
          </w:tcPr>
          <w:p>
            <w:pPr>
              <w:overflowPunct w:val="0"/>
              <w:spacing w:line="360" w:lineRule="auto"/>
              <w:ind w:right="136" w:rightChars="6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资金来源</w:t>
            </w:r>
          </w:p>
        </w:tc>
        <w:tc>
          <w:tcPr>
            <w:tcW w:w="7882" w:type="dxa"/>
            <w:vAlign w:val="center"/>
          </w:tcPr>
          <w:p>
            <w:pPr>
              <w:overflowPunct w:val="0"/>
              <w:spacing w:line="360" w:lineRule="auto"/>
              <w:ind w:right="136" w:rightChars="65"/>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158"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679" w:type="dxa"/>
            <w:vAlign w:val="center"/>
          </w:tcPr>
          <w:p>
            <w:pPr>
              <w:overflowPunct w:val="0"/>
              <w:spacing w:line="360" w:lineRule="auto"/>
              <w:ind w:right="136" w:rightChars="6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采购预算及 最高限价</w:t>
            </w:r>
          </w:p>
        </w:tc>
        <w:tc>
          <w:tcPr>
            <w:tcW w:w="7882" w:type="dxa"/>
            <w:vAlign w:val="center"/>
          </w:tcPr>
          <w:p>
            <w:pPr>
              <w:overflowPunct w:val="0"/>
              <w:spacing w:line="360" w:lineRule="auto"/>
              <w:ind w:right="136" w:rightChars="6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158"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679" w:type="dxa"/>
            <w:vAlign w:val="center"/>
          </w:tcPr>
          <w:p>
            <w:pPr>
              <w:overflowPunct w:val="0"/>
              <w:spacing w:line="360" w:lineRule="auto"/>
              <w:ind w:right="136" w:rightChars="6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采购内容</w:t>
            </w:r>
          </w:p>
        </w:tc>
        <w:tc>
          <w:tcPr>
            <w:tcW w:w="7882" w:type="dxa"/>
            <w:vAlign w:val="center"/>
          </w:tcPr>
          <w:p>
            <w:pPr>
              <w:overflowPunct w:val="0"/>
              <w:spacing w:line="360" w:lineRule="auto"/>
              <w:ind w:right="136" w:rightChars="65"/>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校园安保服务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158"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679" w:type="dxa"/>
            <w:vAlign w:val="center"/>
          </w:tcPr>
          <w:p>
            <w:pPr>
              <w:overflowPunct w:val="0"/>
              <w:spacing w:line="360" w:lineRule="auto"/>
              <w:ind w:right="136" w:rightChars="6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w:t>
            </w:r>
          </w:p>
        </w:tc>
        <w:tc>
          <w:tcPr>
            <w:tcW w:w="7882" w:type="dxa"/>
            <w:vAlign w:val="center"/>
          </w:tcPr>
          <w:p>
            <w:pPr>
              <w:overflowPunct w:val="0"/>
              <w:spacing w:line="360" w:lineRule="auto"/>
              <w:ind w:right="136" w:rightChars="6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158"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679" w:type="dxa"/>
            <w:vAlign w:val="center"/>
          </w:tcPr>
          <w:p>
            <w:pPr>
              <w:overflowPunct w:val="0"/>
              <w:spacing w:line="360" w:lineRule="auto"/>
              <w:ind w:right="136" w:rightChars="6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公告媒体</w:t>
            </w:r>
          </w:p>
        </w:tc>
        <w:tc>
          <w:tcPr>
            <w:tcW w:w="7882" w:type="dxa"/>
            <w:vAlign w:val="center"/>
          </w:tcPr>
          <w:p>
            <w:pPr>
              <w:overflowPunct w:val="0"/>
              <w:spacing w:line="360" w:lineRule="auto"/>
              <w:ind w:right="136" w:rightChars="65"/>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jc w:val="center"/>
        </w:trPr>
        <w:tc>
          <w:tcPr>
            <w:tcW w:w="1158"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679" w:type="dxa"/>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供应商资格条件及落实政府采购优惠政策</w:t>
            </w:r>
          </w:p>
        </w:tc>
        <w:tc>
          <w:tcPr>
            <w:tcW w:w="7882" w:type="dxa"/>
            <w:vAlign w:val="center"/>
          </w:tcPr>
          <w:p>
            <w:pPr>
              <w:spacing w:line="360" w:lineRule="auto"/>
              <w:ind w:right="13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1．满足《中华人民共和国政府采购法》第二十二条规定               </w:t>
            </w:r>
          </w:p>
          <w:p>
            <w:pPr>
              <w:spacing w:line="360" w:lineRule="auto"/>
              <w:ind w:right="13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2.落实政府采购政策需满足的资格要求：供应商为中小微企业</w:t>
            </w:r>
          </w:p>
          <w:p>
            <w:pPr>
              <w:spacing w:line="360" w:lineRule="auto"/>
              <w:ind w:right="13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规定、新疆维吾尔自治区财政厅、新疆生产建设兵团财政局《关于落实好政府采购支持中小企业发展的通知》(新财购[2022]22号)，</w:t>
            </w:r>
            <w:r>
              <w:rPr>
                <w:rFonts w:hint="eastAsia" w:asciiTheme="minorEastAsia" w:hAnsiTheme="minorEastAsia" w:eastAsiaTheme="minorEastAsia" w:cstheme="minorEastAsia"/>
                <w:b/>
                <w:bCs/>
                <w:sz w:val="24"/>
                <w:szCs w:val="24"/>
                <w:u w:val="single"/>
              </w:rPr>
              <w:t>本次采购标的所属行业为其他未列明行业</w:t>
            </w:r>
            <w:r>
              <w:rPr>
                <w:rFonts w:hint="eastAsia" w:asciiTheme="minorEastAsia" w:hAnsiTheme="minorEastAsia" w:eastAsiaTheme="minorEastAsia" w:cstheme="minorEastAsia"/>
                <w:sz w:val="24"/>
                <w:szCs w:val="24"/>
              </w:rPr>
              <w:t>，符合中小型企业应按照招标文件格式要求提供《中小企业声明函》（见格式）。</w:t>
            </w:r>
          </w:p>
          <w:p>
            <w:pPr>
              <w:overflowPunct w:val="0"/>
              <w:spacing w:line="360" w:lineRule="auto"/>
              <w:ind w:right="136" w:rightChars="6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2）本项目全部预留给中小微企业完成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1158"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679"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资格审查内容</w:t>
            </w:r>
          </w:p>
        </w:tc>
        <w:tc>
          <w:tcPr>
            <w:tcW w:w="7882" w:type="dxa"/>
            <w:vAlign w:val="center"/>
          </w:tcPr>
          <w:p>
            <w:pPr>
              <w:pStyle w:val="37"/>
              <w:numPr>
                <w:ilvl w:val="0"/>
                <w:numId w:val="3"/>
              </w:numPr>
              <w:overflowPunct w:val="0"/>
              <w:spacing w:line="360" w:lineRule="auto"/>
              <w:ind w:right="136" w:rightChars="65"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企业营业执照副本加盖公章</w:t>
            </w:r>
          </w:p>
          <w:p>
            <w:pPr>
              <w:overflowPunct w:val="0"/>
              <w:spacing w:line="360" w:lineRule="auto"/>
              <w:ind w:right="136" w:rightChars="65"/>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kern w:val="0"/>
                <w:sz w:val="24"/>
                <w:szCs w:val="24"/>
              </w:rPr>
              <w:t>具有公安部门颁发的《保安服务许可证》</w:t>
            </w:r>
          </w:p>
          <w:p>
            <w:pPr>
              <w:overflowPunct w:val="0"/>
              <w:spacing w:line="360" w:lineRule="auto"/>
              <w:ind w:right="136" w:rightChars="65"/>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3、法定代表人身份证明或法定代表人授权委托书</w:t>
            </w:r>
            <w:r>
              <w:rPr>
                <w:rFonts w:hint="eastAsia" w:asciiTheme="minorEastAsia" w:hAnsiTheme="minorEastAsia" w:eastAsiaTheme="minorEastAsia" w:cstheme="minorEastAsia"/>
                <w:b/>
                <w:bCs/>
                <w:sz w:val="24"/>
                <w:szCs w:val="24"/>
              </w:rPr>
              <w:t>（加盖企业公章）</w:t>
            </w:r>
            <w:r>
              <w:rPr>
                <w:rFonts w:hint="eastAsia" w:asciiTheme="minorEastAsia" w:hAnsiTheme="minorEastAsia" w:eastAsiaTheme="minorEastAsia" w:cstheme="minorEastAsia"/>
                <w:b/>
                <w:bCs/>
                <w:kern w:val="0"/>
                <w:sz w:val="24"/>
                <w:szCs w:val="24"/>
              </w:rPr>
              <w:t>（见格式）</w:t>
            </w:r>
          </w:p>
          <w:p>
            <w:pPr>
              <w:overflowPunct w:val="0"/>
              <w:spacing w:line="360" w:lineRule="auto"/>
              <w:ind w:right="136" w:rightChars="65"/>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4、《中小企业声明函》</w:t>
            </w:r>
            <w:r>
              <w:rPr>
                <w:rFonts w:hint="eastAsia" w:asciiTheme="minorEastAsia" w:hAnsiTheme="minorEastAsia" w:eastAsiaTheme="minorEastAsia" w:cstheme="minorEastAsia"/>
                <w:b/>
                <w:bCs/>
                <w:sz w:val="24"/>
                <w:szCs w:val="24"/>
              </w:rPr>
              <w:t>（加盖企业公章）</w:t>
            </w:r>
            <w:r>
              <w:rPr>
                <w:rFonts w:hint="eastAsia" w:asciiTheme="minorEastAsia" w:hAnsiTheme="minorEastAsia" w:eastAsiaTheme="minorEastAsia" w:cstheme="minorEastAsia"/>
                <w:b/>
                <w:bCs/>
                <w:kern w:val="0"/>
                <w:sz w:val="24"/>
                <w:szCs w:val="24"/>
              </w:rPr>
              <w:t>（见格式）</w:t>
            </w:r>
          </w:p>
          <w:p>
            <w:pPr>
              <w:overflowPunct w:val="0"/>
              <w:spacing w:line="360" w:lineRule="auto"/>
              <w:ind w:right="136" w:rightChars="65"/>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5、投标保证金缴纳凭证（加盖企业公章）</w:t>
            </w:r>
          </w:p>
          <w:p>
            <w:pPr>
              <w:overflowPunct w:val="0"/>
              <w:spacing w:line="360" w:lineRule="auto"/>
              <w:ind w:right="136" w:rightChars="65"/>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由于供应商自身原因导致提交的电子文件无法识别的后果自负。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1158"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679" w:type="dxa"/>
            <w:vAlign w:val="center"/>
          </w:tcPr>
          <w:p>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供应商提交的商务文件</w:t>
            </w:r>
          </w:p>
        </w:tc>
        <w:tc>
          <w:tcPr>
            <w:tcW w:w="7882" w:type="dxa"/>
            <w:vAlign w:val="center"/>
          </w:tcPr>
          <w:p>
            <w:pPr>
              <w:pStyle w:val="22"/>
              <w:spacing w:line="360" w:lineRule="auto"/>
              <w:rPr>
                <w:rFonts w:asciiTheme="minorEastAsia" w:hAnsiTheme="minorEastAsia" w:eastAsiaTheme="minorEastAsia" w:cstheme="minorEastAsia"/>
                <w:b/>
                <w:bCs/>
                <w:snapToGrid w:val="0"/>
                <w:color w:val="auto"/>
              </w:rPr>
            </w:pPr>
            <w:r>
              <w:rPr>
                <w:rFonts w:hint="eastAsia" w:asciiTheme="minorEastAsia" w:hAnsiTheme="minorEastAsia" w:eastAsiaTheme="minorEastAsia" w:cstheme="minorEastAsia"/>
                <w:b/>
                <w:bCs/>
                <w:snapToGrid w:val="0"/>
                <w:color w:val="auto"/>
              </w:rPr>
              <w:t>响应文件：</w:t>
            </w:r>
          </w:p>
          <w:p>
            <w:pPr>
              <w:pStyle w:val="22"/>
              <w:spacing w:line="360" w:lineRule="auto"/>
              <w:rPr>
                <w:rFonts w:asciiTheme="minorEastAsia" w:hAnsiTheme="minorEastAsia" w:eastAsiaTheme="minorEastAsia" w:cstheme="minorEastAsia"/>
                <w:b/>
                <w:bCs/>
                <w:snapToGrid w:val="0"/>
                <w:color w:val="auto"/>
              </w:rPr>
            </w:pPr>
            <w:r>
              <w:rPr>
                <w:rFonts w:hint="eastAsia" w:asciiTheme="minorEastAsia" w:hAnsiTheme="minorEastAsia" w:eastAsiaTheme="minorEastAsia" w:cstheme="minorEastAsia"/>
                <w:b/>
                <w:bCs/>
                <w:snapToGrid w:val="0"/>
                <w:color w:val="auto"/>
              </w:rPr>
              <w:t>（1）报价一览表（见格式）。</w:t>
            </w:r>
          </w:p>
          <w:p>
            <w:pPr>
              <w:pStyle w:val="22"/>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（2）在“信用中国”网、“中国政府采购网”、“新疆政府采购网”、“中国裁判文书网”上查询参加政府采购活动前三年内在经营活动中没有重大违法记录（查询记录加盖企业公章）。</w:t>
            </w:r>
          </w:p>
          <w:p>
            <w:pPr>
              <w:pStyle w:val="22"/>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重大违法记录是指：供应商因违法经营受到刑事处罚或者责令停产停业、吊销许可证或者执照、较大数额罚款等行政处罚。</w:t>
            </w:r>
          </w:p>
          <w:p>
            <w:pPr>
              <w:pStyle w:val="22"/>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较大数额罚款是指：在200万元及以上的罚款。</w:t>
            </w:r>
          </w:p>
          <w:p>
            <w:pPr>
              <w:pStyle w:val="22"/>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行政处罚是指：</w:t>
            </w:r>
          </w:p>
          <w:p>
            <w:pPr>
              <w:pStyle w:val="22"/>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（一）警告、通报批评。</w:t>
            </w:r>
          </w:p>
          <w:p>
            <w:pPr>
              <w:pStyle w:val="22"/>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（二）罚款、没收违法所得、没收非法财物。</w:t>
            </w:r>
          </w:p>
          <w:p>
            <w:pPr>
              <w:pStyle w:val="22"/>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（三）暂扣许可证件、降低资质等级、吊销许可证件。</w:t>
            </w:r>
          </w:p>
          <w:p>
            <w:pPr>
              <w:pStyle w:val="22"/>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（四）限制开展生产经营活动、责令停产停业、责令关闭、限制从业</w:t>
            </w:r>
          </w:p>
          <w:p>
            <w:pPr>
              <w:pStyle w:val="22"/>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（五）行政拘留。</w:t>
            </w:r>
          </w:p>
          <w:p>
            <w:pPr>
              <w:pStyle w:val="22"/>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（六）法律、行政法规规定的其他行政处罚。</w:t>
            </w:r>
          </w:p>
          <w:p>
            <w:pPr>
              <w:pStyle w:val="22"/>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行政处罚决定中如果涉及到在一定时间内不得参与政府采购投标活动的，按处理决定执行。</w:t>
            </w:r>
          </w:p>
          <w:p>
            <w:pPr>
              <w:pStyle w:val="22"/>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开标后由招标代理机构现场查询并将查询结果报告评委会。</w:t>
            </w:r>
          </w:p>
          <w:p>
            <w:pPr>
              <w:pStyle w:val="22"/>
              <w:spacing w:line="360" w:lineRule="auto"/>
              <w:rPr>
                <w:rFonts w:asciiTheme="minorEastAsia" w:hAnsiTheme="minorEastAsia" w:eastAsiaTheme="minorEastAsia" w:cstheme="minorEastAsia"/>
                <w:b/>
                <w:bCs/>
                <w:color w:val="auto"/>
              </w:rPr>
            </w:pPr>
            <w:r>
              <w:rPr>
                <w:rFonts w:hint="eastAsia" w:ascii="宋体" w:hAnsi="宋体" w:cs="宋体"/>
                <w:b/>
                <w:bCs/>
                <w:color w:val="auto"/>
              </w:rPr>
              <w:t>（3）上年度财务审计报告（必须包含现金流量表、资产负债表、利润及利润分配表）。</w:t>
            </w:r>
          </w:p>
          <w:p>
            <w:pPr>
              <w:spacing w:line="360" w:lineRule="auto"/>
              <w:rPr>
                <w:rFonts w:ascii="宋体" w:hAnsi="宋体" w:cs="宋体"/>
                <w:b/>
                <w:bCs/>
                <w:sz w:val="24"/>
                <w:szCs w:val="24"/>
              </w:rPr>
            </w:pPr>
            <w:r>
              <w:rPr>
                <w:rFonts w:hint="eastAsia" w:ascii="宋体" w:hAnsi="宋体" w:cs="宋体"/>
                <w:b/>
                <w:bCs/>
                <w:sz w:val="24"/>
                <w:szCs w:val="24"/>
              </w:rPr>
              <w:t>（4）提供由税务局出具的近六个月（2023年9月-2024年2月）无欠税证明，成立不足6个月的以实际经营时间提交税务局出具的无欠税证明。</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提供连续6个月（2023年9月-2024年2月）社保缴费记录：企业缴纳社保单位汇总表（含名单）和本项目服务人员及法人和授权代表的个人社保缴纳明细（国家允许不予缴纳社保的人员需提供相关证明），成立不足6六个月的企业以实际缴纳时间提供。</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（6）提供202</w:t>
            </w: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年-至今类似项目业绩的中标（成交）通知书及合同，（合同需包含首页、标的内容及合同金额、双方签字盖章等关键页）。</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（7）中小企业声明函（见格式）。</w:t>
            </w:r>
          </w:p>
          <w:p>
            <w:pPr>
              <w:spacing w:line="360" w:lineRule="auto"/>
              <w:ind w:right="136"/>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（8）参加政府采购活动前三年内，在经营活动中没有重大违法记录。</w:t>
            </w:r>
          </w:p>
          <w:p>
            <w:pPr>
              <w:pStyle w:val="14"/>
              <w:ind w:firstLine="0"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（9）具有履行合同所必需的设备和专业技术能力（承诺函）。</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（10）售后服务承诺书。</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（11）商务条款偏离表。</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（12）服务条款偏离表。</w:t>
            </w:r>
          </w:p>
          <w:p>
            <w:pPr>
              <w:overflowPunct w:val="0"/>
              <w:spacing w:line="360" w:lineRule="auto"/>
              <w:ind w:right="136" w:rightChars="65"/>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供应商认为有必要提供的声明及文件资料。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58"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1679" w:type="dxa"/>
            <w:vAlign w:val="center"/>
          </w:tcPr>
          <w:p>
            <w:pPr>
              <w:spacing w:line="360" w:lineRule="auto"/>
              <w:jc w:val="center"/>
              <w:rPr>
                <w:rFonts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lang w:eastAsia="en-US"/>
              </w:rPr>
              <w:t>联合体</w:t>
            </w:r>
          </w:p>
        </w:tc>
        <w:tc>
          <w:tcPr>
            <w:tcW w:w="7882" w:type="dxa"/>
            <w:vAlign w:val="center"/>
          </w:tcPr>
          <w:p>
            <w:pPr>
              <w:spacing w:line="360" w:lineRule="auto"/>
              <w:rPr>
                <w:rFonts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 xml:space="preserve">☑不接受   </w:t>
            </w:r>
            <w:r>
              <w:rPr>
                <w:rFonts w:hint="eastAsia" w:asciiTheme="minorEastAsia" w:hAnsiTheme="minorEastAsia" w:eastAsiaTheme="minorEastAsia" w:cstheme="minorEastAsia"/>
                <w:snapToGrid w:val="0"/>
                <w:sz w:val="24"/>
                <w:szCs w:val="24"/>
                <w:lang w:eastAsia="en-US"/>
              </w:rPr>
              <w:sym w:font="Wingdings 2" w:char="00A3"/>
            </w:r>
            <w:r>
              <w:rPr>
                <w:rFonts w:hint="eastAsia" w:asciiTheme="minorEastAsia" w:hAnsiTheme="minorEastAsia" w:eastAsiaTheme="minorEastAsia" w:cstheme="minorEastAsia"/>
                <w:snapToGrid w:val="0"/>
                <w:sz w:val="24"/>
                <w:szCs w:val="24"/>
              </w:rPr>
              <w:t>接受</w:t>
            </w:r>
          </w:p>
          <w:p>
            <w:pPr>
              <w:spacing w:line="360" w:lineRule="auto"/>
              <w:rPr>
                <w:rFonts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不允许成交供应商将合同主体、非主体和关键非关键性内容委托其他企业完成。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158"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1679" w:type="dxa"/>
            <w:vAlign w:val="center"/>
          </w:tcPr>
          <w:p>
            <w:pPr>
              <w:spacing w:line="360" w:lineRule="auto"/>
              <w:jc w:val="center"/>
              <w:rPr>
                <w:rFonts w:asciiTheme="minorEastAsia" w:hAnsiTheme="minorEastAsia" w:eastAsiaTheme="minorEastAsia" w:cstheme="minorEastAsia"/>
                <w:b/>
                <w:bCs/>
                <w:snapToGrid w:val="0"/>
                <w:sz w:val="24"/>
                <w:szCs w:val="24"/>
                <w:lang w:eastAsia="en-US"/>
              </w:rPr>
            </w:pPr>
            <w:r>
              <w:rPr>
                <w:rFonts w:hint="eastAsia" w:asciiTheme="minorEastAsia" w:hAnsiTheme="minorEastAsia" w:eastAsiaTheme="minorEastAsia" w:cstheme="minorEastAsia"/>
                <w:sz w:val="24"/>
                <w:szCs w:val="24"/>
              </w:rPr>
              <w:t>投标有效期</w:t>
            </w:r>
          </w:p>
        </w:tc>
        <w:tc>
          <w:tcPr>
            <w:tcW w:w="7882" w:type="dxa"/>
            <w:vAlign w:val="center"/>
          </w:tcPr>
          <w:p>
            <w:pPr>
              <w:spacing w:line="360" w:lineRule="auto"/>
              <w:jc w:val="left"/>
              <w:rPr>
                <w:rFonts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z w:val="24"/>
                <w:szCs w:val="24"/>
              </w:rPr>
              <w:t>90日历日（从递交响应文件截止时间起计算）。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8"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1679"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服务时间</w:t>
            </w:r>
          </w:p>
        </w:tc>
        <w:tc>
          <w:tcPr>
            <w:tcW w:w="7882" w:type="dxa"/>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158"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1679" w:type="dxa"/>
            <w:vAlign w:val="center"/>
          </w:tcPr>
          <w:p>
            <w:pPr>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付款方式</w:t>
            </w:r>
          </w:p>
        </w:tc>
        <w:tc>
          <w:tcPr>
            <w:tcW w:w="7882" w:type="dxa"/>
            <w:vAlign w:val="center"/>
          </w:tcPr>
          <w:p>
            <w:pPr>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根据财政拨款时间予以支付；由保安公司提供发票及相关支付手续后进行支付。不得因为付款问题影响项目进行。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1158" w:type="dxa"/>
            <w:vAlign w:val="center"/>
          </w:tcPr>
          <w:p>
            <w:pPr>
              <w:spacing w:line="360" w:lineRule="auto"/>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17</w:t>
            </w:r>
          </w:p>
        </w:tc>
        <w:tc>
          <w:tcPr>
            <w:tcW w:w="1679" w:type="dxa"/>
            <w:vAlign w:val="center"/>
          </w:tcPr>
          <w:p>
            <w:pPr>
              <w:spacing w:line="360" w:lineRule="auto"/>
              <w:jc w:val="center"/>
              <w:rPr>
                <w:rFonts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磋商文件的  澄清、修改</w:t>
            </w:r>
          </w:p>
        </w:tc>
        <w:tc>
          <w:tcPr>
            <w:tcW w:w="7882" w:type="dxa"/>
            <w:vAlign w:val="center"/>
          </w:tcPr>
          <w:p>
            <w:pPr>
              <w:spacing w:line="360" w:lineRule="auto"/>
              <w:rPr>
                <w:rFonts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158" w:type="dxa"/>
            <w:vAlign w:val="center"/>
          </w:tcPr>
          <w:p>
            <w:pPr>
              <w:spacing w:line="360" w:lineRule="auto"/>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18</w:t>
            </w:r>
          </w:p>
        </w:tc>
        <w:tc>
          <w:tcPr>
            <w:tcW w:w="1679"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递交响应文件的截止时间和地点</w:t>
            </w:r>
          </w:p>
        </w:tc>
        <w:tc>
          <w:tcPr>
            <w:tcW w:w="7882" w:type="dxa"/>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1、递交时间：2024年3月</w:t>
            </w: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日16：00时</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2、递交地点：政采云平台（https://www.zcygov.cn/）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158" w:type="dxa"/>
            <w:vAlign w:val="center"/>
          </w:tcPr>
          <w:p>
            <w:pPr>
              <w:spacing w:line="360" w:lineRule="auto"/>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19</w:t>
            </w:r>
          </w:p>
        </w:tc>
        <w:tc>
          <w:tcPr>
            <w:tcW w:w="1679" w:type="dxa"/>
            <w:vAlign w:val="center"/>
          </w:tcPr>
          <w:p>
            <w:pPr>
              <w:spacing w:line="360" w:lineRule="auto"/>
              <w:jc w:val="center"/>
              <w:rPr>
                <w:rFonts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响应文件开启时间和地点</w:t>
            </w:r>
          </w:p>
        </w:tc>
        <w:tc>
          <w:tcPr>
            <w:tcW w:w="7882" w:type="dxa"/>
            <w:vAlign w:val="center"/>
          </w:tcPr>
          <w:p>
            <w:pPr>
              <w:spacing w:line="360" w:lineRule="auto"/>
              <w:rPr>
                <w:rFonts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1、开标时间：</w:t>
            </w:r>
            <w:r>
              <w:rPr>
                <w:rFonts w:hint="eastAsia" w:asciiTheme="minorEastAsia" w:hAnsiTheme="minorEastAsia" w:eastAsiaTheme="minorEastAsia" w:cstheme="minorEastAsia"/>
                <w:sz w:val="24"/>
                <w:szCs w:val="24"/>
              </w:rPr>
              <w:t>2024年3月</w:t>
            </w: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日16：00时</w:t>
            </w:r>
          </w:p>
          <w:p>
            <w:pPr>
              <w:spacing w:line="360" w:lineRule="auto"/>
              <w:rPr>
                <w:rFonts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2、开标地点：政采云平台（https://www.zcygov.cn/）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8" w:type="dxa"/>
            <w:vAlign w:val="center"/>
          </w:tcPr>
          <w:p>
            <w:pPr>
              <w:spacing w:line="360" w:lineRule="auto"/>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w:t>
            </w:r>
          </w:p>
        </w:tc>
        <w:tc>
          <w:tcPr>
            <w:tcW w:w="1679" w:type="dxa"/>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磋商保证金的金额、缴纳方式及退款</w:t>
            </w:r>
          </w:p>
        </w:tc>
        <w:tc>
          <w:tcPr>
            <w:tcW w:w="7882" w:type="dxa"/>
            <w:vAlign w:val="center"/>
          </w:tcPr>
          <w:p>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磋商保证金金额：5400元</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保证金以支票、汇票、本票、保函等非现金形式提交至以下账户</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递交时间和方式：提交响应文件截止时间前交至以下账户</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户名：新疆凯信祺盛招标代理有限公司</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开户银行：中国建设银行股份有限公司乌鲁木齐西虹路支行</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账号：65050161643700000207</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磋商保证金退还：</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代理机构应当自中标通知书发出之日起5个工作日内退还未中标供应商的投标保证金，自政府采购合同签订之日起5个工作日内退还中标供应商的投标保证金。</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磋商保证金不予退还情形：</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（一）供应商在提交响应文件截止时间后撤回响应文件的；</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（二）供应商在响应文件中提供虚假材料的；</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（三）除因不可抗力或磋商文件认可的情形以外，成交供应商不与采购人签订合同的；</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（四）供应商与采购人、其他供应商或者采购代理机构恶意串通的；</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（五）磋商文件规定的其他情形。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158" w:type="dxa"/>
            <w:vAlign w:val="center"/>
          </w:tcPr>
          <w:p>
            <w:pPr>
              <w:spacing w:line="360" w:lineRule="auto"/>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w:t>
            </w:r>
          </w:p>
        </w:tc>
        <w:tc>
          <w:tcPr>
            <w:tcW w:w="1679" w:type="dxa"/>
            <w:vAlign w:val="center"/>
          </w:tcPr>
          <w:p>
            <w:pPr>
              <w:spacing w:line="360" w:lineRule="auto"/>
              <w:jc w:val="center"/>
              <w:rPr>
                <w:rFonts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招标代理费</w:t>
            </w:r>
          </w:p>
        </w:tc>
        <w:tc>
          <w:tcPr>
            <w:tcW w:w="7882" w:type="dxa"/>
            <w:vAlign w:val="center"/>
          </w:tcPr>
          <w:p>
            <w:pPr>
              <w:spacing w:line="360" w:lineRule="auto"/>
              <w:rPr>
                <w:rFonts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招标代理服务费依据原“国家计委关于印发《招标代理服务收费管理暂行办法》的通知”的方法计算，由成交供应商在领取成交通知书之后一次性支付。无论招标结果如何，招标代理工作完成后，招标代理费概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1158" w:type="dxa"/>
            <w:vAlign w:val="center"/>
          </w:tcPr>
          <w:p>
            <w:pPr>
              <w:spacing w:line="360" w:lineRule="auto"/>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w:t>
            </w:r>
          </w:p>
        </w:tc>
        <w:tc>
          <w:tcPr>
            <w:tcW w:w="1679" w:type="dxa"/>
            <w:tcBorders>
              <w:right w:val="single" w:color="auto" w:sz="4" w:space="0"/>
            </w:tcBorders>
            <w:vAlign w:val="center"/>
          </w:tcPr>
          <w:p>
            <w:pPr>
              <w:overflowPunct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磋商程序/磋商报价次数/评审原则</w:t>
            </w:r>
          </w:p>
        </w:tc>
        <w:tc>
          <w:tcPr>
            <w:tcW w:w="788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磋商程序：磋商小组对所有提交的响应文件进行评审；</w:t>
            </w:r>
          </w:p>
          <w:p>
            <w:pPr>
              <w:overflowPunct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磋商小组所有成员集中与单一供应商分别进行磋商；</w:t>
            </w:r>
          </w:p>
          <w:p>
            <w:pPr>
              <w:overflowPunct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报价次数：供应商按要求提交二次报价为最后报价</w:t>
            </w:r>
          </w:p>
          <w:p>
            <w:pPr>
              <w:overflowPunct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评审原则：经磋商小组综合评审后按照综合得分由高到低的顺序推荐3名成交候选人。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158" w:type="dxa"/>
            <w:vAlign w:val="center"/>
          </w:tcPr>
          <w:p>
            <w:pPr>
              <w:spacing w:line="360" w:lineRule="auto"/>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w:t>
            </w:r>
          </w:p>
        </w:tc>
        <w:tc>
          <w:tcPr>
            <w:tcW w:w="1679" w:type="dxa"/>
            <w:tcBorders>
              <w:right w:val="single" w:color="auto" w:sz="4" w:space="0"/>
            </w:tcBorders>
            <w:vAlign w:val="center"/>
          </w:tcPr>
          <w:p>
            <w:pPr>
              <w:overflowPunct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关于偏离表的要求</w:t>
            </w:r>
          </w:p>
        </w:tc>
        <w:tc>
          <w:tcPr>
            <w:tcW w:w="788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磋商文件中所有偏离表内容若无偏离，应在响应表格中填写“无”，未填写视为不响应磋商文件。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1158" w:type="dxa"/>
            <w:vAlign w:val="center"/>
          </w:tcPr>
          <w:p>
            <w:pPr>
              <w:spacing w:line="360" w:lineRule="auto"/>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24</w:t>
            </w:r>
          </w:p>
        </w:tc>
        <w:tc>
          <w:tcPr>
            <w:tcW w:w="1679" w:type="dxa"/>
            <w:tcBorders>
              <w:right w:val="single" w:color="auto" w:sz="4" w:space="0"/>
            </w:tcBorders>
            <w:vAlign w:val="center"/>
          </w:tcPr>
          <w:p>
            <w:pPr>
              <w:overflowPunct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特别声明</w:t>
            </w:r>
          </w:p>
        </w:tc>
        <w:tc>
          <w:tcPr>
            <w:tcW w:w="788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在制作响应文件时，不得弄虚作假，不伪造和变造本不属于供应商本身的投标材料。（如假证书、假业绩、假合同、假授权、故意隐瞒不良行为记录、夸大荣誉、使用非供应商在职员工的相关证件及其他不符合《中华人民共和国政府采购法》《政府采购竞争性磋商采购方式管理暂行办法》等规定的条款）；如在采购过程中发现有供应商出现此类问题，将按照政府采购相关法律法规规定进行处理，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8" w:type="dxa"/>
            <w:vAlign w:val="center"/>
          </w:tcPr>
          <w:p>
            <w:pPr>
              <w:spacing w:line="360" w:lineRule="auto"/>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25</w:t>
            </w:r>
          </w:p>
        </w:tc>
        <w:tc>
          <w:tcPr>
            <w:tcW w:w="1679" w:type="dxa"/>
            <w:tcBorders>
              <w:right w:val="single" w:color="auto" w:sz="4" w:space="0"/>
            </w:tcBorders>
            <w:vAlign w:val="center"/>
          </w:tcPr>
          <w:p>
            <w:pPr>
              <w:overflowPunct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w:t>
            </w:r>
          </w:p>
        </w:tc>
        <w:tc>
          <w:tcPr>
            <w:tcW w:w="788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有下列情形之一的，视为投标人串通投标，其投标无效：</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（一）不同投标人的投标文件由同一单位或者个人编制；</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（二）不同投标人委托同一单位或者个人办理投标事宜；</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（三）不同投标人的投标文件载明的项目管理成员或者联系人员为同一人；</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（四）不同投标人的投标文件异常一致或者投标报价呈规律性差异；</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（五）不同投标人的投标文件相互混装。</w:t>
            </w:r>
          </w:p>
        </w:tc>
      </w:tr>
    </w:tbl>
    <w:p>
      <w:pPr>
        <w:spacing w:line="360" w:lineRule="auto"/>
        <w:ind w:firstLine="560" w:firstLineChars="200"/>
        <w:rPr>
          <w:rFonts w:asciiTheme="minorEastAsia" w:hAnsiTheme="minorEastAsia" w:eastAsiaTheme="minorEastAsia" w:cstheme="minorEastAsia"/>
          <w:b/>
          <w:sz w:val="28"/>
          <w:szCs w:val="28"/>
        </w:rPr>
      </w:pPr>
    </w:p>
    <w:p>
      <w:pPr>
        <w:spacing w:line="360" w:lineRule="auto"/>
        <w:ind w:firstLine="560" w:firstLineChars="200"/>
        <w:rPr>
          <w:rFonts w:asciiTheme="minorEastAsia" w:hAnsiTheme="minorEastAsia" w:eastAsiaTheme="minorEastAsia" w:cstheme="minorEastAsia"/>
          <w:b/>
          <w:sz w:val="28"/>
          <w:szCs w:val="28"/>
        </w:rPr>
      </w:pPr>
    </w:p>
    <w:p>
      <w:pPr>
        <w:spacing w:line="360" w:lineRule="auto"/>
        <w:ind w:firstLine="560" w:firstLineChars="200"/>
        <w:rPr>
          <w:rFonts w:asciiTheme="minorEastAsia" w:hAnsiTheme="minorEastAsia" w:eastAsiaTheme="minorEastAsia" w:cstheme="minorEastAsia"/>
          <w:b/>
          <w:sz w:val="28"/>
          <w:szCs w:val="28"/>
        </w:rPr>
      </w:pP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供应商须知</w:t>
      </w:r>
    </w:p>
    <w:p>
      <w:pPr>
        <w:spacing w:line="360" w:lineRule="auto"/>
        <w:ind w:firstLine="560" w:firstLineChars="200"/>
        <w:rPr>
          <w:rFonts w:asciiTheme="minorEastAsia" w:hAnsiTheme="minorEastAsia" w:eastAsiaTheme="minorEastAsia" w:cstheme="minorEastAsia"/>
          <w:b/>
          <w:sz w:val="28"/>
          <w:szCs w:val="28"/>
        </w:rPr>
      </w:pPr>
      <w:bookmarkStart w:id="0" w:name="OLE_LINK1"/>
      <w:r>
        <w:rPr>
          <w:rFonts w:hint="eastAsia" w:asciiTheme="minorEastAsia" w:hAnsiTheme="minorEastAsia" w:eastAsiaTheme="minorEastAsia" w:cstheme="minorEastAsia"/>
          <w:b/>
          <w:sz w:val="28"/>
          <w:szCs w:val="28"/>
        </w:rPr>
        <w:t>1. 适用范围</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  </w:t>
      </w:r>
      <w:r>
        <w:rPr>
          <w:rStyle w:val="26"/>
          <w:rFonts w:hint="eastAsia" w:asciiTheme="minorEastAsia" w:hAnsiTheme="minorEastAsia" w:eastAsiaTheme="minorEastAsia" w:cstheme="minorEastAsia"/>
          <w:sz w:val="28"/>
          <w:szCs w:val="28"/>
        </w:rPr>
        <w:t>本磋商文件仅适用于本次采购活动。</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 投标资格</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　具有承担本项目能力以及符合供应商须知前附表中申请人资格条件的服务机构均为合格的供应商。</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 定义</w:t>
      </w:r>
    </w:p>
    <w:p>
      <w:pPr>
        <w:spacing w:line="360" w:lineRule="auto"/>
        <w:ind w:firstLine="560" w:firstLineChars="200"/>
        <w:rPr>
          <w:rStyle w:val="26"/>
          <w:rFonts w:asciiTheme="minorEastAsia" w:hAnsiTheme="minorEastAsia" w:eastAsiaTheme="minorEastAsia" w:cstheme="minorEastAsia"/>
          <w:sz w:val="28"/>
          <w:szCs w:val="28"/>
        </w:rPr>
      </w:pPr>
      <w:r>
        <w:rPr>
          <w:rStyle w:val="26"/>
          <w:rFonts w:hint="eastAsia" w:asciiTheme="minorEastAsia" w:hAnsiTheme="minorEastAsia" w:eastAsiaTheme="minorEastAsia" w:cstheme="minorEastAsia"/>
          <w:sz w:val="28"/>
          <w:szCs w:val="28"/>
        </w:rPr>
        <w:t>下列术语和缩写的定义为：</w:t>
      </w:r>
    </w:p>
    <w:p>
      <w:pPr>
        <w:spacing w:line="360" w:lineRule="auto"/>
        <w:ind w:firstLine="560" w:firstLineChars="200"/>
        <w:rPr>
          <w:rStyle w:val="26"/>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3.1  </w:t>
      </w:r>
      <w:r>
        <w:rPr>
          <w:rStyle w:val="26"/>
          <w:rFonts w:hint="eastAsia" w:asciiTheme="minorEastAsia" w:hAnsiTheme="minorEastAsia" w:eastAsiaTheme="minorEastAsia" w:cstheme="minorEastAsia"/>
          <w:sz w:val="28"/>
          <w:szCs w:val="28"/>
        </w:rPr>
        <w:t>“采购人”系指乌鲁木齐市实验学校</w:t>
      </w:r>
      <w:r>
        <w:rPr>
          <w:rFonts w:hint="eastAsia" w:asciiTheme="minorEastAsia" w:hAnsiTheme="minorEastAsia" w:eastAsiaTheme="minorEastAsia" w:cstheme="minorEastAsia"/>
          <w:bCs/>
          <w:sz w:val="28"/>
          <w:szCs w:val="28"/>
        </w:rPr>
        <w:t>。</w:t>
      </w:r>
    </w:p>
    <w:p>
      <w:pPr>
        <w:spacing w:line="360" w:lineRule="auto"/>
        <w:ind w:firstLine="560" w:firstLineChars="200"/>
        <w:rPr>
          <w:rStyle w:val="26"/>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3.2  </w:t>
      </w:r>
      <w:r>
        <w:rPr>
          <w:rStyle w:val="26"/>
          <w:rFonts w:hint="eastAsia" w:asciiTheme="minorEastAsia" w:hAnsiTheme="minorEastAsia" w:eastAsiaTheme="minorEastAsia" w:cstheme="minorEastAsia"/>
          <w:sz w:val="28"/>
          <w:szCs w:val="28"/>
        </w:rPr>
        <w:t>“招标代理机构”系指新疆凯信祺盛招标代理有限公司。</w:t>
      </w:r>
    </w:p>
    <w:p>
      <w:pPr>
        <w:spacing w:line="360" w:lineRule="auto"/>
        <w:ind w:firstLine="560" w:firstLineChars="200"/>
        <w:rPr>
          <w:rStyle w:val="26"/>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3.3  </w:t>
      </w:r>
      <w:r>
        <w:rPr>
          <w:rStyle w:val="26"/>
          <w:rFonts w:hint="eastAsia" w:asciiTheme="minorEastAsia" w:hAnsiTheme="minorEastAsia" w:eastAsiaTheme="minorEastAsia" w:cstheme="minorEastAsia"/>
          <w:sz w:val="28"/>
          <w:szCs w:val="28"/>
        </w:rPr>
        <w:t>“招标方”系指采购人和招标代理机构的统称。</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  “供应商”系指有资格的供应商。</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  “中标方”系指经评审委员会评定后综合得分第一的供应商。</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3.6  “响应”系指供应商、根据招标代理机构发布的磋商文件，编制响应文件并按规定投标的行为。</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3.7  “服务”系指磋商文件规定供应商须承担的合同期限内的相关工作任务、服务项目及其他类似的责任。</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b/>
          <w:sz w:val="28"/>
          <w:szCs w:val="28"/>
        </w:rPr>
        <w:t>4. 投标费用</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4.1  无论投标结果如何，凡参与招标、投标活动有关的所有费用将由供应商自行承担。</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4.2  供应商被视为熟悉本招标项目的各种情况以及与履行合同有关的一切情况。</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b/>
          <w:sz w:val="28"/>
          <w:szCs w:val="28"/>
        </w:rPr>
        <w:t>5. 磋商文件的构成</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5.1  磋商文件由下述部分组成：</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一、投标须知</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二、招标说明</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三、投标说明</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四、招标内容</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五、商务部分</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六、附件（范本格式）</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b/>
          <w:sz w:val="28"/>
          <w:szCs w:val="28"/>
        </w:rPr>
        <w:t>6. 磋商文件的澄清</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　供应商对磋商文件如有异议，可在投标截止期的五日前按磋商文件中载明的地址以书面形式（包括信函、电报或传真，不包括电子邮件，下同）通知招标方要求澄清。招标方将视情况确定采用适当方式予以澄清。招标方认为有必要时，可将澄清内容（包括原提出问题，但不包括问题的来源）分发给所有供应商。</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7. 磋商文件的修改或补充</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　在投标截止期五日前的任何时间，招标方可主动或依据供应商要求澄清的问题而修改或补充磋商文件，并以书面形式或网上公告通知所有供应商，供应商在收到该通知后应立即以电报或传真的形式予以确认。</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7.2　为使供应商在准备投标时有适当的时间考虑响应文件的修改，招标方有权决定推迟投标截止时间和开标日期，并将此变更通知所有的供应商。</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7.3　磋商文件的修改和补充文件将构成磋商文件的一部分，并且对供应商具有优先约束力。</w:t>
      </w:r>
    </w:p>
    <w:p>
      <w:pPr>
        <w:spacing w:line="360" w:lineRule="auto"/>
        <w:ind w:firstLine="560"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第三部分    投标说明</w:t>
      </w:r>
    </w:p>
    <w:p>
      <w:pPr>
        <w:spacing w:line="360" w:lineRule="auto"/>
        <w:ind w:firstLine="560"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 对供应商的资质要求</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1.投标资质</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b/>
          <w:bCs/>
          <w:sz w:val="28"/>
          <w:szCs w:val="28"/>
        </w:rPr>
        <w:t>1.1　供应商必须提交能够证明其具有履行本项目合同能力的资格证明文件，作为响应文件的一部分，资格审查及符合性审查以响应文件要求为准进行查验。</w:t>
      </w:r>
    </w:p>
    <w:p>
      <w:pPr>
        <w:spacing w:line="360" w:lineRule="auto"/>
        <w:ind w:firstLine="56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b/>
          <w:bCs/>
          <w:sz w:val="28"/>
          <w:szCs w:val="28"/>
        </w:rPr>
        <w:t>1.2　所有在响应文件中提交的资格证明文件必须加盖公章。</w:t>
      </w:r>
    </w:p>
    <w:p>
      <w:pPr>
        <w:spacing w:line="360" w:lineRule="auto"/>
        <w:ind w:firstLine="56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1.3　所有资格证明文件必须满足磋商文件的要求，否则将视为无效响应。</w:t>
      </w:r>
    </w:p>
    <w:p>
      <w:pPr>
        <w:spacing w:line="360" w:lineRule="auto"/>
        <w:ind w:firstLine="56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1.4  供应商违反国家有关法律法规的强制性规定的，其投标按无效标处理。</w:t>
      </w:r>
    </w:p>
    <w:p>
      <w:pPr>
        <w:spacing w:line="360" w:lineRule="auto"/>
        <w:ind w:firstLine="254" w:firstLineChars="91"/>
        <w:rPr>
          <w:rFonts w:asciiTheme="minorEastAsia" w:hAnsiTheme="minorEastAsia" w:eastAsiaTheme="minorEastAsia" w:cstheme="minorEastAsia"/>
          <w:sz w:val="28"/>
          <w:szCs w:val="28"/>
        </w:rPr>
      </w:pPr>
    </w:p>
    <w:p>
      <w:pPr>
        <w:spacing w:line="360" w:lineRule="auto"/>
        <w:ind w:firstLine="560"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 响应文件的编写</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b/>
          <w:sz w:val="28"/>
          <w:szCs w:val="28"/>
        </w:rPr>
        <w:t>2. 要求</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2.1  供应商应详细阅读磋商文件中的条款、规范、表示、条件和格式等所有内容，按磋商文件的要进行响应，并保证所提供的全部材料的真实性，使其响应对磋商文件做出实质性响应。否则，其投标将视为无效。</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b/>
          <w:sz w:val="28"/>
          <w:szCs w:val="28"/>
        </w:rPr>
        <w:t>3. 响应文件语言和度量单位</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3.1 除在磋商文件的技术规格中另有规定外，计量单位应使用中华人民共和国法定计量单位。</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b/>
          <w:sz w:val="28"/>
          <w:szCs w:val="28"/>
        </w:rPr>
        <w:t>4. 响应文件的组成</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4.1　供应商编写的响应文件应包括下列内容：</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（1）开标一览表及报价明细表；</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（2）资格证明文件；</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（3）磋商文件服务要求、合同特殊条款中要求提交的文件、资料等。</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5. 响应文件格式</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　供应商应按磋商文件的范本格式认真填写。</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6. 报价及货币单位</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　供应商应在报价表中标明其提供的所有服务及其完成本项目相关工作范围内所有费用的总价，采购人不接受有任何选择性报价。</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 报价应包括以下内容：</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6.2.1所有报价应包括服务所需的一切费用（如人员工资、社会保险、税金、管理等费用）</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6.2.2 报价按磋商文件中价格表的格式填写，以人民币报价。</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6.2.3供应商的价格必须保证在投标有效期及服务期限内固定不变。</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6.2.4不接受任何变通或有任何选择性的报价。报价必须唯一、确定、严格。当在单价和总价之间出现任何差异时，以单价为准，除非单价有明显的小数点错误，则以合计价格修正单价。</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6.2.5供应商不得以低于成本的报价竞标，也不得以其他方式弄虚作假，骗取中标。</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7. 服务计划</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供应商可以针对本次招标项目的实际需求拟定完善的服务计划。</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8. 投标有效期</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8.1　响应文件从开标之日起，投标有效期为</w:t>
      </w:r>
      <w:r>
        <w:rPr>
          <w:rFonts w:hint="eastAsia" w:asciiTheme="minorEastAsia" w:hAnsiTheme="minorEastAsia" w:eastAsiaTheme="minorEastAsia" w:cstheme="minorEastAsia"/>
          <w:sz w:val="28"/>
          <w:szCs w:val="28"/>
          <w:u w:val="single"/>
        </w:rPr>
        <w:t xml:space="preserve"> 90</w:t>
      </w:r>
      <w:r>
        <w:rPr>
          <w:rFonts w:hint="eastAsia" w:asciiTheme="minorEastAsia" w:hAnsiTheme="minorEastAsia" w:eastAsiaTheme="minorEastAsia" w:cstheme="minorEastAsia"/>
          <w:sz w:val="28"/>
          <w:szCs w:val="28"/>
        </w:rPr>
        <w:t>日历日（如不满足将导致废标）。</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8.2　在特殊情况下，招标方可与供应商协商延长响应文件的有效期。</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9. 响应文件的签署规定</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9.1　响应文件应清楚工整，不允许修改。</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9.2　响应文件应由法人代表或法人授权代表在规定的签章处逐一签署或加盖单位公章</w:t>
      </w:r>
      <w:r>
        <w:rPr>
          <w:rFonts w:hint="eastAsia" w:asciiTheme="minorEastAsia" w:hAnsiTheme="minorEastAsia" w:eastAsiaTheme="minorEastAsia" w:cstheme="minorEastAsia"/>
          <w:bCs/>
          <w:sz w:val="28"/>
          <w:szCs w:val="28"/>
        </w:rPr>
        <w:t>，响应文件方为有效。</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10. 投标保证金 </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  招标方因供应商的违规行为而受到损害时将不予退还供应商的投标保证金，将其作为所受损害的补偿。</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10.2  投标保证金提交要求（见供应商须知前附表）</w:t>
      </w:r>
    </w:p>
    <w:p>
      <w:pPr>
        <w:spacing w:line="360" w:lineRule="auto"/>
        <w:ind w:firstLine="560"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  响应文件的递交</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12. 响应文件的递交</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12.1 加密的电子响应文件应在递交截止时间前通过政采云平台上传完成。 </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12.2 响应文件开启当日，供应商无需到达开标现场，仅需通过政采云平台“不见面”开标大厅完成远程解密。大厅操作提示：①在开标前一小时在系统进行在线签到；②在30分钟内完成在线解密；③在开标结束后10分钟内完成“开标一览表”在线签章。注意：如未在规定时间进行以上操作，将导致投标（响应）无效。</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 投标截止时间</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13.1 响应文件的递交截止日期为采购公告所规定的时间。</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13.2 加密的电子响应文件应在递交截止时间前通过政采云平台上传完成，在此之后上传的响应文件为无效投标，响应文件将一律被拒绝。</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13.3 出现因磋商文件的修改而推迟投标截止时间的情况时，供应商则须按采购人的变更公告通知重新规定的投标时间递交。</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14．响应文件的修改和撤销</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14.1 响应文件上传成功后，在投标截止时间前，供应商可撤回响应文件，修改内容。</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操作路径：登录政采云平台-【项目采购】-【响应文件上传】</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具体操作：在进行中标签页下，选择状态为已上传，在操作栏点击[撤回]按钮进行撤回；也可点击[查看]按钮，点击页面右上角的[撤回]按钮进行撤回。</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14.2　供应商不得在开标后至投标有效期期满前撤销响应文件。否则采购人将没收其投标保证金。</w:t>
      </w:r>
    </w:p>
    <w:p>
      <w:pPr>
        <w:spacing w:line="360" w:lineRule="auto"/>
        <w:ind w:firstLine="560"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四、  开 标  </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15.开标</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15.1　本次采购按磋商文件中约定的时间和地点进行。</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15.2　开标时将通过政采云平台“不见面”开标大厅对响应文件完成远程解密，并在解密后进行唱标。唱标以供应商提交的响应文件中“报价一览表”的内容为准，并对唱标内容作以记录。</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若采购人宣读的内容与响应文件不符时，供应商有权在开标现场提出异议，经监督人员当场核查确认之后，可重新宣读其响应文件。若供应商现场未提出异议，则认为供应商已确认采购人宣读的结果。</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开标由代理机构主持，邀请监督部门人员现场全过程监督。</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15.3　开标和唱标的顺序，按照政采云平台上的先后顺序依次进行。</w:t>
      </w:r>
    </w:p>
    <w:p>
      <w:pPr>
        <w:spacing w:line="360" w:lineRule="auto"/>
        <w:ind w:firstLine="560" w:firstLineChars="20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 xml:space="preserve">15.4  </w:t>
      </w:r>
      <w:r>
        <w:rPr>
          <w:rFonts w:hint="eastAsia" w:asciiTheme="minorEastAsia" w:hAnsiTheme="minorEastAsia" w:eastAsiaTheme="minorEastAsia" w:cstheme="minorEastAsia"/>
          <w:bCs/>
          <w:sz w:val="28"/>
          <w:szCs w:val="28"/>
        </w:rPr>
        <w:t>无效的响应文件</w:t>
      </w:r>
    </w:p>
    <w:p>
      <w:pPr>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15.5  开标时响应文件出现下列情形之一的应当作为无效响应文件，不得进入评审：</w:t>
      </w:r>
    </w:p>
    <w:p>
      <w:pPr>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(1)未在政采云系统进行在线签到的；</w:t>
      </w:r>
    </w:p>
    <w:p>
      <w:pPr>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(2)未在30分钟内完成在线解密的；</w:t>
      </w:r>
    </w:p>
    <w:p>
      <w:pPr>
        <w:spacing w:line="360" w:lineRule="auto"/>
        <w:ind w:firstLine="700" w:firstLineChars="25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(3)唱标结束后30分钟内未完成“开标一览表”在线签章的；</w:t>
      </w:r>
    </w:p>
    <w:p>
      <w:pPr>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(4)供应商未按照磋商文件要求提供投标保证金的；</w:t>
      </w:r>
    </w:p>
    <w:p>
      <w:pPr>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(5)有效证件不齐全的供应商的响应文件。</w:t>
      </w:r>
    </w:p>
    <w:p>
      <w:pPr>
        <w:spacing w:line="360" w:lineRule="auto"/>
        <w:ind w:left="480" w:firstLine="560"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  评 审</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16.评审过程的保密性</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16.1开标后直到授予供应商签订合同为止，凡是属于审查、澄清、评价和比较的有关资料以及授标建议等内容，评委会成员或参与评审的有关工作人员均不得向供应商或其他无关的人员透露，违者给予警告、取消担任评委会成员的资格。</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16.2 供应商在评审过程中，所进行的力图影响评审结果的以及不符合《中华人民共和国政府采购法》以及本次招标的有关规定的活动，将被取消其中标资格。</w:t>
      </w:r>
    </w:p>
    <w:p>
      <w:pPr>
        <w:spacing w:line="360" w:lineRule="auto"/>
        <w:ind w:left="480" w:leftChars="229"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17.评委会</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17.1 采购人将根据《中华人民共和国政府采购法》的规定，依法组建本次招标的评委会，负责本次采购项目的评审活动。评委会负责向采购人推荐中标候选人或者根据采购人的授权直接确定中标人。</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17.2 评委会成员名单于开标前确定。评委会成员名单在中标结果确定前保密。</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17.3 评委会由采购人或熟悉相关业务的代表以及有关技术、经济等方面的人员组成，成员为三人及以上的单数，其中技术、经济等方面的成员不少于成员总数的三分之二。</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17.4 按前款规定，评委会的成员，由采购人采取随机抽取的方式确定或者直接确定的方式。</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17.5.评审专家应符合下列条件：</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17.5.1具有良好的职业道德，廉洁自律，遵纪守法,无行贿、受贿、欺诈等不良信用记录；</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17.5.2具有中级专业技术职称或同等专业水平且从事相关领域工作满8年,或者具有高级专业技术职称或同等专业水平；</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17.5.3 熟悉政府采购相关政策法规；</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17.5.4承诺以独立身份参加评审工作,依法履行评审专家工作职责并承担相应法律责任的中国公民；</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17.5.5 身体健康，能够承担评审工作；</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17.5.6 申请成为评审专家前三年内,无《政府采购评审专家管理办法》中规定的不良行为记录。</w:t>
      </w:r>
    </w:p>
    <w:p>
      <w:pPr>
        <w:spacing w:line="360" w:lineRule="auto"/>
        <w:ind w:left="470" w:leftChars="224"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有下列情形之一的，不得担任评委会成员：</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(1)参加采购活动前三年内,与供应商存在劳动关系,或者担任过供应商的董事、监事,或者是供应商的控股股东或实际控制人；</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(2)与供应商的法定代表人或者负责人有夫妻、直系血亲、三代以内旁系血亲或者近姻亲关系；</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(3)与供应商有其他可能影响政府采购活动公平、公正进行的关系。</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 xml:space="preserve">17.6 评委会成员应当客观、公正地履行职责，遵守职业道德，并对所提出的评审意见承担个人责任。评委会成员不得与任何供应商或者与招标结果有利害关系的人员进行私下接触，不得收受供应商、中介人、其他有利害关系人的财物或者其他好处。 </w:t>
      </w:r>
    </w:p>
    <w:p>
      <w:pPr>
        <w:spacing w:line="360" w:lineRule="auto"/>
        <w:ind w:firstLine="55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17.7 评委会成员和与本次评审活动有关的工作人员，不得透露对响应文件的评审和比较、中标候选人的推荐情况以及与评审有关的其他情况。与评审活动有关的工作人员，是指评委会成员以外的、因参与评审监督工作或者事务性工作而知悉有关评审情况的所有人员。</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18．评审的准备</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18.1  评委会的成员应当熟悉并认真研究磋商文件，至少应了解和熟悉以下内容：</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18.1.1 招标目的。</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18.1.2 招标项目的范围、性质。</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18.1.3 磋商文件中规定的主要技术要求、标准和商务条款。</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18.1.4 磋商文件规定的评审标准、评审方法和在评审过程中应考虑的相关因素。</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18.2  采购人应当向评委会提供评审所需的重要信息和数据。</w:t>
      </w:r>
    </w:p>
    <w:p>
      <w:pPr>
        <w:spacing w:line="360" w:lineRule="auto"/>
        <w:ind w:firstLine="55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18.3  评委会应当根据磋商文件规定的评审标准和方法，对响应文件进行系统地评审和比较。磋商文件中没有规定的标准和方法不得作为评审的依据。</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19.评审依据及评审办法</w:t>
      </w:r>
    </w:p>
    <w:p>
      <w:pPr>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19.1 评审依据为政府采购相关法律、法规及磋商文件明确的评审标注和评审方法依法评审。</w:t>
      </w:r>
    </w:p>
    <w:p>
      <w:pPr>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19.2 本次采购项目采用综合评分法。</w:t>
      </w:r>
    </w:p>
    <w:p>
      <w:pPr>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19.3 采购人不接受不符合国家有关部门相关规定的投标报价或优惠方案。</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20. 评审程序及评审因素</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20.1 评审程序</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成立评审委员会→初步评审（资格审查）→初步评审（符合性审查表）→详细评审（商务、技术部分评审及报价得分计算）→推荐成交候选人→完成评审报告。</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20.2 对响应文件的评估和比较</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20.1　对实质性响应的响应文件进行评估和比较。</w:t>
      </w:r>
    </w:p>
    <w:p>
      <w:pPr>
        <w:spacing w:line="360" w:lineRule="auto"/>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20.3 初步评审</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20.3.1 资格审查未通过的，其响应文件无效。评委会对响应文件的有效性、完整性和响应程度进行审查时，可以书面方式要求供应商对响应文件中含义不明确、对同类问题表述不一致或者有明显文字和计算错误的内容作必要的澄清、说明或补正。供应商的澄清、说明或补正应以书面方式进行,并不得超出响应文件的范围或者改变响应文件的实质性内容。响应文件中的大写金额和小写金额不一致的以大写金额为准。</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20.3.2　采购方不接受不符合国家有关部门相关规定的投标报价或优惠方案。</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20.3.3　在评审过程中，评委会发现供应商以他人名义投标、串通投标、以行贿手段谋取中标或者以其他弄虚作假方式投标的，该供应商的投标将被否决。</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20.3.4  供应商的资格条件不符合国家有关规定和磋商文件要求的，或者拒不按照要求对响应文件进行澄清、说明或补正的，评委会可以否决其投标。</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20.3.5  评委会应当审查每一个响应文件是否对磋商文件提出的所有实质性要求和条件做出响应。未能在实质上响应的投标其投标将被否决。</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20.3.6　供应商不得误导、干扰采购方的评审活动，否则将废除其投标。</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20.3.7  在采购过程中符合要求的供应商或者报价未超过采购预算的供应商不足3家的采购人或者采购代理机构应当终止竞争性磋商采购活动，发布项目终止公告并说明原因，重新开展采购活动 。</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20.3.8  响应文件的澄清</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20.3.8.1　为有助于对响应文件进行审查、评估和比较，评委会将对认为需要（不一定是每一个）的供应商进行询标，请投标方澄清其投标内容，投标方有责任按照采购方通知的时间、地点指派专人进行答疑和澄清。询标时投标方代表应作书面记录，所有澄清的答复必须是书面形式。</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20.3.8.2　重要澄清的答复应是书面的，但不得对投标的价格、技术指标和参数等内容进行实质性修改。澄清文件须由投标方法定代表人或法人授权代表签章和加盖投标方公章并作为响应文件的组成部分。</w:t>
      </w:r>
    </w:p>
    <w:p>
      <w:pPr>
        <w:spacing w:line="360" w:lineRule="auto"/>
        <w:ind w:firstLine="552"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20.3.8.3  供应商的澄清不得对投标内容进行实质性修改。</w:t>
      </w:r>
    </w:p>
    <w:p>
      <w:pPr>
        <w:pStyle w:val="22"/>
        <w:spacing w:line="360" w:lineRule="auto"/>
        <w:ind w:firstLine="560" w:firstLineChars="200"/>
        <w:rPr>
          <w:rFonts w:asciiTheme="minorEastAsia" w:hAnsiTheme="minorEastAsia" w:eastAsiaTheme="minorEastAsia" w:cstheme="minorEastAsia"/>
          <w:b/>
          <w:color w:val="auto"/>
          <w:sz w:val="28"/>
        </w:rPr>
      </w:pPr>
      <w:r>
        <w:rPr>
          <w:rFonts w:hint="eastAsia" w:asciiTheme="minorEastAsia" w:hAnsiTheme="minorEastAsia" w:eastAsiaTheme="minorEastAsia" w:cstheme="minorEastAsia"/>
          <w:b/>
          <w:color w:val="auto"/>
          <w:sz w:val="28"/>
        </w:rPr>
        <w:t xml:space="preserve">20.4 详细评审 </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20.3.9 评审委员会将采用综合评分法对响应文件所载明的供应商的响应报价、技术、商务、服务等响应文件的编制质量等内容进行打分，依据得分从高到低的顺序最终确定成交候选人，</w:t>
      </w:r>
      <w:r>
        <w:rPr>
          <w:rFonts w:hint="eastAsia" w:asciiTheme="minorEastAsia" w:hAnsiTheme="minorEastAsia" w:eastAsiaTheme="minorEastAsia" w:cstheme="minorEastAsia"/>
          <w:b/>
          <w:sz w:val="28"/>
          <w:szCs w:val="28"/>
        </w:rPr>
        <w:t>最低报价不作为成交的唯一依据。</w:t>
      </w:r>
    </w:p>
    <w:p>
      <w:pPr>
        <w:spacing w:line="360" w:lineRule="auto"/>
        <w:ind w:firstLine="56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初步评审－资格审查</w:t>
      </w:r>
    </w:p>
    <w:tbl>
      <w:tblPr>
        <w:tblStyle w:val="16"/>
        <w:tblW w:w="10674" w:type="dxa"/>
        <w:jc w:val="center"/>
        <w:tblLayout w:type="fixed"/>
        <w:tblCellMar>
          <w:top w:w="0" w:type="dxa"/>
          <w:left w:w="108" w:type="dxa"/>
          <w:bottom w:w="0" w:type="dxa"/>
          <w:right w:w="108" w:type="dxa"/>
        </w:tblCellMar>
      </w:tblPr>
      <w:tblGrid>
        <w:gridCol w:w="754"/>
        <w:gridCol w:w="3352"/>
        <w:gridCol w:w="6568"/>
      </w:tblGrid>
      <w:tr>
        <w:tblPrEx>
          <w:tblCellMar>
            <w:top w:w="0" w:type="dxa"/>
            <w:left w:w="108" w:type="dxa"/>
            <w:bottom w:w="0" w:type="dxa"/>
            <w:right w:w="108" w:type="dxa"/>
          </w:tblCellMar>
        </w:tblPrEx>
        <w:trPr>
          <w:trHeight w:val="95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3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审查要求</w:t>
            </w:r>
          </w:p>
        </w:tc>
        <w:tc>
          <w:tcPr>
            <w:tcW w:w="6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要求说明</w:t>
            </w:r>
          </w:p>
        </w:tc>
      </w:tr>
      <w:tr>
        <w:tblPrEx>
          <w:tblCellMar>
            <w:top w:w="0" w:type="dxa"/>
            <w:left w:w="108" w:type="dxa"/>
            <w:bottom w:w="0" w:type="dxa"/>
            <w:right w:w="108" w:type="dxa"/>
          </w:tblCellMar>
        </w:tblPrEx>
        <w:trPr>
          <w:trHeight w:val="69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352" w:type="dxa"/>
            <w:tcBorders>
              <w:top w:val="single" w:color="auto" w:sz="4" w:space="0"/>
              <w:left w:val="single" w:color="auto" w:sz="4" w:space="0"/>
              <w:bottom w:val="single" w:color="auto" w:sz="4" w:space="0"/>
              <w:right w:val="single" w:color="auto" w:sz="4" w:space="0"/>
            </w:tcBorders>
            <w:vAlign w:val="center"/>
          </w:tcPr>
          <w:p>
            <w:pPr>
              <w:spacing w:line="360" w:lineRule="auto"/>
              <w:ind w:right="136"/>
              <w:jc w:val="left"/>
              <w:rPr>
                <w:rFonts w:asciiTheme="minorEastAsia" w:hAnsiTheme="minorEastAsia" w:eastAsiaTheme="minorEastAsia" w:cstheme="minorEastAsia"/>
                <w:sz w:val="24"/>
                <w:szCs w:val="24"/>
              </w:rPr>
            </w:pPr>
            <w:r>
              <w:rPr>
                <w:rFonts w:hint="eastAsia" w:ascii="宋体" w:hAnsi="宋体" w:cs="宋体"/>
                <w:sz w:val="24"/>
                <w:szCs w:val="24"/>
              </w:rPr>
              <w:t>营业执照</w:t>
            </w:r>
            <w:r>
              <w:rPr>
                <w:rFonts w:hint="eastAsia" w:asciiTheme="minorEastAsia" w:hAnsiTheme="minorEastAsia" w:eastAsiaTheme="minorEastAsia" w:cstheme="minorEastAsia"/>
                <w:sz w:val="24"/>
                <w:szCs w:val="24"/>
              </w:rPr>
              <w:t>副本</w:t>
            </w:r>
          </w:p>
        </w:tc>
        <w:tc>
          <w:tcPr>
            <w:tcW w:w="6568" w:type="dxa"/>
            <w:tcBorders>
              <w:top w:val="single" w:color="auto" w:sz="4" w:space="0"/>
              <w:left w:val="single" w:color="auto" w:sz="4" w:space="0"/>
              <w:bottom w:val="single" w:color="auto" w:sz="4" w:space="0"/>
              <w:right w:val="single" w:color="auto" w:sz="4" w:space="0"/>
            </w:tcBorders>
            <w:vAlign w:val="center"/>
          </w:tcPr>
          <w:p>
            <w:pPr>
              <w:spacing w:line="360" w:lineRule="auto"/>
              <w:ind w:right="13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提供有效的企业营业执照副本（加盖企业公章）</w:t>
            </w:r>
          </w:p>
        </w:tc>
      </w:tr>
      <w:tr>
        <w:tblPrEx>
          <w:tblCellMar>
            <w:top w:w="0" w:type="dxa"/>
            <w:left w:w="108" w:type="dxa"/>
            <w:bottom w:w="0" w:type="dxa"/>
            <w:right w:w="108" w:type="dxa"/>
          </w:tblCellMar>
        </w:tblPrEx>
        <w:trPr>
          <w:trHeight w:val="846"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352" w:type="dxa"/>
            <w:tcBorders>
              <w:top w:val="single" w:color="auto" w:sz="4" w:space="0"/>
              <w:left w:val="single" w:color="auto" w:sz="4" w:space="0"/>
              <w:bottom w:val="single" w:color="auto" w:sz="4" w:space="0"/>
              <w:right w:val="single" w:color="auto" w:sz="4" w:space="0"/>
            </w:tcBorders>
            <w:vAlign w:val="center"/>
          </w:tcPr>
          <w:p>
            <w:pPr>
              <w:spacing w:line="360" w:lineRule="auto"/>
              <w:ind w:right="136"/>
              <w:jc w:val="left"/>
              <w:rPr>
                <w:rFonts w:ascii="宋体" w:hAnsi="宋体" w:cs="宋体"/>
                <w:sz w:val="24"/>
                <w:szCs w:val="24"/>
              </w:rPr>
            </w:pPr>
            <w:r>
              <w:rPr>
                <w:rFonts w:hint="eastAsia" w:ascii="宋体" w:hAnsi="宋体" w:cs="宋体"/>
                <w:sz w:val="24"/>
                <w:szCs w:val="24"/>
              </w:rPr>
              <w:t>具有公安部门颁发的《保安服务许可证》</w:t>
            </w:r>
          </w:p>
        </w:tc>
        <w:tc>
          <w:tcPr>
            <w:tcW w:w="6568" w:type="dxa"/>
            <w:tcBorders>
              <w:top w:val="single" w:color="auto" w:sz="4" w:space="0"/>
              <w:left w:val="single" w:color="auto" w:sz="4" w:space="0"/>
              <w:bottom w:val="single" w:color="auto" w:sz="4" w:space="0"/>
              <w:right w:val="single" w:color="auto" w:sz="4" w:space="0"/>
            </w:tcBorders>
            <w:vAlign w:val="center"/>
          </w:tcPr>
          <w:p>
            <w:pPr>
              <w:spacing w:line="360" w:lineRule="auto"/>
              <w:ind w:right="13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提供</w:t>
            </w:r>
            <w:r>
              <w:rPr>
                <w:rFonts w:hint="eastAsia" w:asciiTheme="minorEastAsia" w:hAnsiTheme="minorEastAsia" w:eastAsiaTheme="minorEastAsia" w:cstheme="minorEastAsia"/>
                <w:sz w:val="24"/>
                <w:szCs w:val="24"/>
              </w:rPr>
              <w:t>有效期内的具有公安部门颁发的《保安服务许可证》</w:t>
            </w:r>
          </w:p>
        </w:tc>
      </w:tr>
      <w:tr>
        <w:tblPrEx>
          <w:tblCellMar>
            <w:top w:w="0" w:type="dxa"/>
            <w:left w:w="108" w:type="dxa"/>
            <w:bottom w:w="0" w:type="dxa"/>
            <w:right w:w="108" w:type="dxa"/>
          </w:tblCellMar>
        </w:tblPrEx>
        <w:trPr>
          <w:trHeight w:val="1415" w:hRule="atLeast"/>
          <w:jc w:val="center"/>
        </w:trPr>
        <w:tc>
          <w:tcPr>
            <w:tcW w:w="754" w:type="dxa"/>
            <w:tcBorders>
              <w:top w:val="nil"/>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352" w:type="dxa"/>
            <w:tcBorders>
              <w:top w:val="nil"/>
              <w:left w:val="nil"/>
              <w:bottom w:val="single" w:color="auto" w:sz="4" w:space="0"/>
              <w:right w:val="single" w:color="auto" w:sz="4" w:space="0"/>
            </w:tcBorders>
            <w:vAlign w:val="center"/>
          </w:tcPr>
          <w:p>
            <w:pPr>
              <w:spacing w:line="360" w:lineRule="auto"/>
              <w:ind w:right="13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法定代表人身份证明或法定代表人授权委托书</w:t>
            </w:r>
          </w:p>
        </w:tc>
        <w:tc>
          <w:tcPr>
            <w:tcW w:w="6568" w:type="dxa"/>
            <w:tcBorders>
              <w:top w:val="nil"/>
              <w:left w:val="nil"/>
              <w:bottom w:val="single" w:color="auto" w:sz="4" w:space="0"/>
              <w:right w:val="single" w:color="auto" w:sz="4" w:space="0"/>
            </w:tcBorders>
            <w:vAlign w:val="center"/>
          </w:tcPr>
          <w:p>
            <w:pPr>
              <w:spacing w:line="360" w:lineRule="auto"/>
              <w:ind w:right="13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提供有效的法定代表人身份证明或法定代表人授权委托书（加盖企业公章）（见格式）</w:t>
            </w:r>
          </w:p>
        </w:tc>
      </w:tr>
      <w:tr>
        <w:tblPrEx>
          <w:tblCellMar>
            <w:top w:w="0" w:type="dxa"/>
            <w:left w:w="108" w:type="dxa"/>
            <w:bottom w:w="0" w:type="dxa"/>
            <w:right w:w="108" w:type="dxa"/>
          </w:tblCellMar>
        </w:tblPrEx>
        <w:trPr>
          <w:trHeight w:val="1271" w:hRule="atLeast"/>
          <w:jc w:val="center"/>
        </w:trPr>
        <w:tc>
          <w:tcPr>
            <w:tcW w:w="754" w:type="dxa"/>
            <w:tcBorders>
              <w:top w:val="nil"/>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352" w:type="dxa"/>
            <w:tcBorders>
              <w:top w:val="nil"/>
              <w:left w:val="nil"/>
              <w:bottom w:val="single" w:color="auto" w:sz="4" w:space="0"/>
              <w:right w:val="single" w:color="auto" w:sz="4" w:space="0"/>
            </w:tcBorders>
            <w:vAlign w:val="center"/>
          </w:tcPr>
          <w:p>
            <w:pPr>
              <w:spacing w:line="360" w:lineRule="auto"/>
              <w:ind w:right="136"/>
              <w:jc w:val="left"/>
              <w:rPr>
                <w:rFonts w:ascii="宋体" w:hAnsi="宋体" w:cs="宋体"/>
                <w:sz w:val="24"/>
                <w:szCs w:val="24"/>
              </w:rPr>
            </w:pPr>
            <w:r>
              <w:rPr>
                <w:rFonts w:hint="eastAsia" w:asciiTheme="minorEastAsia" w:hAnsiTheme="minorEastAsia" w:eastAsiaTheme="minorEastAsia" w:cstheme="minorEastAsia"/>
                <w:sz w:val="24"/>
                <w:szCs w:val="24"/>
              </w:rPr>
              <w:t>《中小企业声明函》</w:t>
            </w:r>
          </w:p>
        </w:tc>
        <w:tc>
          <w:tcPr>
            <w:tcW w:w="6568" w:type="dxa"/>
            <w:tcBorders>
              <w:top w:val="nil"/>
              <w:left w:val="nil"/>
              <w:bottom w:val="single" w:color="auto" w:sz="4" w:space="0"/>
              <w:right w:val="single" w:color="auto" w:sz="4" w:space="0"/>
            </w:tcBorders>
            <w:vAlign w:val="center"/>
          </w:tcPr>
          <w:p>
            <w:pPr>
              <w:spacing w:line="360" w:lineRule="auto"/>
              <w:ind w:right="13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根据《政府采购促进中小企业发展管理办法》（财库﹝2020﹞46号）的规定格式填写（服务）（见格式）（加盖企业公章）</w:t>
            </w:r>
          </w:p>
        </w:tc>
      </w:tr>
      <w:tr>
        <w:tblPrEx>
          <w:tblCellMar>
            <w:top w:w="0" w:type="dxa"/>
            <w:left w:w="108" w:type="dxa"/>
            <w:bottom w:w="0" w:type="dxa"/>
            <w:right w:w="108" w:type="dxa"/>
          </w:tblCellMar>
        </w:tblPrEx>
        <w:trPr>
          <w:trHeight w:val="1746"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352" w:type="dxa"/>
            <w:tcBorders>
              <w:top w:val="single" w:color="auto" w:sz="4" w:space="0"/>
              <w:left w:val="single" w:color="auto" w:sz="4" w:space="0"/>
              <w:bottom w:val="single" w:color="auto" w:sz="4" w:space="0"/>
              <w:right w:val="single" w:color="auto" w:sz="4" w:space="0"/>
            </w:tcBorders>
            <w:vAlign w:val="center"/>
          </w:tcPr>
          <w:p>
            <w:pPr>
              <w:spacing w:line="360" w:lineRule="auto"/>
              <w:ind w:right="136"/>
              <w:jc w:val="left"/>
              <w:rPr>
                <w:rFonts w:ascii="宋体" w:hAnsi="宋体" w:cs="宋体"/>
                <w:sz w:val="24"/>
                <w:szCs w:val="24"/>
              </w:rPr>
            </w:pPr>
            <w:r>
              <w:rPr>
                <w:rFonts w:hint="eastAsia" w:asciiTheme="minorEastAsia" w:hAnsiTheme="minorEastAsia" w:eastAsiaTheme="minorEastAsia" w:cstheme="minorEastAsia"/>
                <w:sz w:val="24"/>
                <w:szCs w:val="24"/>
              </w:rPr>
              <w:t>投标保证金缴纳凭证</w:t>
            </w:r>
          </w:p>
        </w:tc>
        <w:tc>
          <w:tcPr>
            <w:tcW w:w="6568" w:type="dxa"/>
            <w:tcBorders>
              <w:top w:val="single" w:color="auto" w:sz="4" w:space="0"/>
              <w:left w:val="single" w:color="auto" w:sz="4" w:space="0"/>
              <w:bottom w:val="single" w:color="auto" w:sz="4" w:space="0"/>
              <w:right w:val="single" w:color="auto" w:sz="4" w:space="0"/>
            </w:tcBorders>
            <w:vAlign w:val="center"/>
          </w:tcPr>
          <w:p>
            <w:pPr>
              <w:spacing w:line="360" w:lineRule="auto"/>
              <w:ind w:right="136"/>
              <w:jc w:val="left"/>
              <w:rPr>
                <w:rFonts w:ascii="宋体" w:hAnsi="宋体" w:cs="宋体"/>
                <w:sz w:val="24"/>
                <w:szCs w:val="24"/>
              </w:rPr>
            </w:pPr>
            <w:r>
              <w:rPr>
                <w:rFonts w:hint="eastAsia" w:asciiTheme="minorEastAsia" w:hAnsiTheme="minorEastAsia" w:eastAsiaTheme="minorEastAsia" w:cstheme="minorEastAsia"/>
                <w:sz w:val="24"/>
                <w:szCs w:val="24"/>
              </w:rPr>
              <w:t>提供有效的投标保证金缴纳凭证（加盖企业公章）</w:t>
            </w:r>
          </w:p>
        </w:tc>
      </w:tr>
    </w:tbl>
    <w:p>
      <w:pPr>
        <w:widowControl/>
        <w:spacing w:line="360" w:lineRule="auto"/>
        <w:ind w:firstLine="560"/>
        <w:jc w:val="center"/>
        <w:rPr>
          <w:rFonts w:asciiTheme="minorEastAsia" w:hAnsiTheme="minorEastAsia" w:eastAsiaTheme="minorEastAsia" w:cstheme="minorEastAsia"/>
          <w:b/>
          <w:bCs/>
          <w:sz w:val="28"/>
          <w:szCs w:val="28"/>
        </w:rPr>
      </w:pPr>
    </w:p>
    <w:p>
      <w:pPr>
        <w:widowControl/>
        <w:spacing w:line="360" w:lineRule="auto"/>
        <w:ind w:firstLine="560"/>
        <w:jc w:val="center"/>
        <w:rPr>
          <w:rFonts w:asciiTheme="minorEastAsia" w:hAnsiTheme="minorEastAsia" w:eastAsiaTheme="minorEastAsia" w:cstheme="minorEastAsia"/>
          <w:b/>
          <w:bCs/>
          <w:sz w:val="28"/>
          <w:szCs w:val="28"/>
        </w:rPr>
      </w:pPr>
    </w:p>
    <w:p>
      <w:pPr>
        <w:widowControl/>
        <w:spacing w:line="360" w:lineRule="auto"/>
        <w:rPr>
          <w:rFonts w:hint="eastAsia" w:asciiTheme="minorEastAsia" w:hAnsiTheme="minorEastAsia" w:eastAsiaTheme="minorEastAsia" w:cstheme="minorEastAsia"/>
          <w:b/>
          <w:bCs/>
          <w:sz w:val="28"/>
          <w:szCs w:val="28"/>
        </w:rPr>
      </w:pPr>
    </w:p>
    <w:p>
      <w:pPr>
        <w:widowControl/>
        <w:spacing w:line="360" w:lineRule="auto"/>
        <w:rPr>
          <w:rFonts w:asciiTheme="minorEastAsia" w:hAnsiTheme="minorEastAsia" w:eastAsiaTheme="minorEastAsia" w:cstheme="minorEastAsia"/>
          <w:b/>
          <w:bCs/>
          <w:sz w:val="28"/>
          <w:szCs w:val="28"/>
        </w:rPr>
      </w:pPr>
    </w:p>
    <w:p>
      <w:pPr>
        <w:widowControl/>
        <w:spacing w:line="360" w:lineRule="auto"/>
        <w:ind w:firstLine="560"/>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初步评审－符合性审查表</w:t>
      </w:r>
    </w:p>
    <w:tbl>
      <w:tblPr>
        <w:tblStyle w:val="16"/>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0" w:type="dxa"/>
        </w:tblCellMar>
      </w:tblPr>
      <w:tblGrid>
        <w:gridCol w:w="613"/>
        <w:gridCol w:w="3656"/>
        <w:gridCol w:w="6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647" w:hRule="atLeast"/>
          <w:jc w:val="center"/>
        </w:trPr>
        <w:tc>
          <w:tcPr>
            <w:tcW w:w="613" w:type="dxa"/>
            <w:vAlign w:val="center"/>
          </w:tcPr>
          <w:p>
            <w:pPr>
              <w:widowControl/>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656" w:type="dxa"/>
            <w:vAlign w:val="center"/>
          </w:tcPr>
          <w:p>
            <w:pPr>
              <w:widowControl/>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w:t>
            </w:r>
          </w:p>
        </w:tc>
        <w:tc>
          <w:tcPr>
            <w:tcW w:w="6319" w:type="dxa"/>
            <w:vAlign w:val="center"/>
          </w:tcPr>
          <w:p>
            <w:pPr>
              <w:widowControl/>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03" w:hRule="atLeast"/>
          <w:jc w:val="center"/>
        </w:trPr>
        <w:tc>
          <w:tcPr>
            <w:tcW w:w="613" w:type="dxa"/>
            <w:vAlign w:val="center"/>
          </w:tcPr>
          <w:p>
            <w:pPr>
              <w:spacing w:line="360" w:lineRule="auto"/>
              <w:ind w:right="13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656" w:type="dxa"/>
            <w:vAlign w:val="center"/>
          </w:tcPr>
          <w:p>
            <w:pPr>
              <w:spacing w:line="360" w:lineRule="auto"/>
              <w:ind w:right="13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报价没有高于预算金额</w:t>
            </w:r>
          </w:p>
        </w:tc>
        <w:tc>
          <w:tcPr>
            <w:tcW w:w="6319" w:type="dxa"/>
            <w:vAlign w:val="center"/>
          </w:tcPr>
          <w:p>
            <w:pPr>
              <w:spacing w:line="360" w:lineRule="auto"/>
              <w:ind w:right="13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报价不能高于预算金额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830" w:hRule="atLeast"/>
          <w:jc w:val="center"/>
        </w:trPr>
        <w:tc>
          <w:tcPr>
            <w:tcW w:w="613" w:type="dxa"/>
            <w:vAlign w:val="center"/>
          </w:tcPr>
          <w:p>
            <w:pPr>
              <w:spacing w:line="360" w:lineRule="auto"/>
              <w:ind w:right="13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656" w:type="dxa"/>
            <w:vAlign w:val="center"/>
          </w:tcPr>
          <w:p>
            <w:pPr>
              <w:spacing w:line="360" w:lineRule="auto"/>
              <w:ind w:right="13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接受采购文件付款方式</w:t>
            </w:r>
          </w:p>
        </w:tc>
        <w:tc>
          <w:tcPr>
            <w:tcW w:w="6319" w:type="dxa"/>
            <w:vAlign w:val="center"/>
          </w:tcPr>
          <w:p>
            <w:pPr>
              <w:spacing w:line="360" w:lineRule="auto"/>
              <w:ind w:right="13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须提供接受采购文件付款方式承诺函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1883" w:hRule="atLeast"/>
          <w:jc w:val="center"/>
        </w:trPr>
        <w:tc>
          <w:tcPr>
            <w:tcW w:w="613" w:type="dxa"/>
            <w:vAlign w:val="center"/>
          </w:tcPr>
          <w:p>
            <w:pPr>
              <w:spacing w:line="360" w:lineRule="auto"/>
              <w:ind w:right="13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656" w:type="dxa"/>
            <w:vAlign w:val="center"/>
          </w:tcPr>
          <w:p>
            <w:pPr>
              <w:spacing w:line="360" w:lineRule="auto"/>
              <w:ind w:right="13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上年度财务审计报告</w:t>
            </w:r>
          </w:p>
        </w:tc>
        <w:tc>
          <w:tcPr>
            <w:tcW w:w="6319" w:type="dxa"/>
            <w:vAlign w:val="center"/>
          </w:tcPr>
          <w:p>
            <w:pPr>
              <w:spacing w:line="360" w:lineRule="auto"/>
              <w:ind w:right="13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（必须包含现金流量表、资产负债表、利润及利润分配表）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935" w:hRule="atLeast"/>
          <w:jc w:val="center"/>
        </w:trPr>
        <w:tc>
          <w:tcPr>
            <w:tcW w:w="613" w:type="dxa"/>
            <w:vAlign w:val="center"/>
          </w:tcPr>
          <w:p>
            <w:pPr>
              <w:spacing w:line="360" w:lineRule="auto"/>
              <w:ind w:right="13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656" w:type="dxa"/>
            <w:vAlign w:val="center"/>
          </w:tcPr>
          <w:p>
            <w:pPr>
              <w:widowControl/>
              <w:spacing w:line="360" w:lineRule="auto"/>
              <w:jc w:val="left"/>
              <w:rPr>
                <w:rFonts w:ascii="宋体" w:hAnsi="宋体" w:cs="宋体"/>
                <w:sz w:val="24"/>
                <w:szCs w:val="24"/>
              </w:rPr>
            </w:pPr>
            <w:r>
              <w:rPr>
                <w:rFonts w:hint="eastAsia" w:ascii="宋体" w:hAnsi="宋体" w:cs="宋体"/>
                <w:sz w:val="24"/>
                <w:szCs w:val="24"/>
              </w:rPr>
              <w:t>依法纳税证明</w:t>
            </w:r>
          </w:p>
        </w:tc>
        <w:tc>
          <w:tcPr>
            <w:tcW w:w="6319" w:type="dxa"/>
            <w:vAlign w:val="center"/>
          </w:tcPr>
          <w:p>
            <w:pPr>
              <w:widowControl/>
              <w:spacing w:line="360" w:lineRule="auto"/>
              <w:jc w:val="left"/>
              <w:rPr>
                <w:rFonts w:ascii="宋体" w:hAnsi="宋体" w:cs="宋体"/>
                <w:sz w:val="24"/>
                <w:szCs w:val="24"/>
              </w:rPr>
            </w:pPr>
            <w:r>
              <w:rPr>
                <w:rFonts w:hint="eastAsia" w:ascii="宋体" w:hAnsi="宋体" w:cs="宋体"/>
                <w:sz w:val="24"/>
                <w:szCs w:val="24"/>
              </w:rPr>
              <w:t>提供由税务局出具的近六个月（2023年9月-2024年2月）无欠税证明，成立不足6个月的以实际经营时间提交税务局出具的无欠税证明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1667" w:hRule="atLeast"/>
          <w:jc w:val="center"/>
        </w:trPr>
        <w:tc>
          <w:tcPr>
            <w:tcW w:w="613" w:type="dxa"/>
            <w:vAlign w:val="center"/>
          </w:tcPr>
          <w:p>
            <w:pPr>
              <w:spacing w:line="360" w:lineRule="auto"/>
              <w:ind w:right="13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656" w:type="dxa"/>
            <w:vAlign w:val="center"/>
          </w:tcPr>
          <w:p>
            <w:pPr>
              <w:widowControl/>
              <w:spacing w:line="360" w:lineRule="auto"/>
              <w:jc w:val="left"/>
              <w:rPr>
                <w:rFonts w:ascii="宋体" w:hAnsi="宋体" w:cs="宋体"/>
                <w:sz w:val="24"/>
                <w:szCs w:val="24"/>
              </w:rPr>
            </w:pPr>
            <w:r>
              <w:rPr>
                <w:rFonts w:hint="eastAsia" w:ascii="宋体" w:hAnsi="宋体" w:cs="宋体"/>
                <w:sz w:val="24"/>
                <w:szCs w:val="24"/>
              </w:rPr>
              <w:t>社保缴纳证明</w:t>
            </w:r>
          </w:p>
        </w:tc>
        <w:tc>
          <w:tcPr>
            <w:tcW w:w="6319" w:type="dxa"/>
            <w:vAlign w:val="center"/>
          </w:tcPr>
          <w:p>
            <w:pPr>
              <w:widowControl/>
              <w:spacing w:line="360" w:lineRule="auto"/>
              <w:jc w:val="left"/>
              <w:rPr>
                <w:rFonts w:ascii="宋体" w:hAnsi="宋体" w:cs="宋体"/>
                <w:sz w:val="24"/>
                <w:szCs w:val="24"/>
              </w:rPr>
            </w:pPr>
            <w:r>
              <w:rPr>
                <w:rFonts w:hint="eastAsia" w:ascii="宋体" w:hAnsi="宋体" w:cs="宋体"/>
                <w:sz w:val="24"/>
                <w:szCs w:val="24"/>
              </w:rPr>
              <w:t>提供连续6个月（2023年9月-2024年2月）社保缴费记录：企业缴纳社保单位汇总表（含名单）和本项目服务人员及法人和授权代表的个人社保缴纳明细（国家允许不予缴纳社保的人员需提供相关证明），成立不足6六个月的企业以实际缴纳时间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1883" w:hRule="atLeast"/>
          <w:jc w:val="center"/>
        </w:trPr>
        <w:tc>
          <w:tcPr>
            <w:tcW w:w="613" w:type="dxa"/>
            <w:vAlign w:val="center"/>
          </w:tcPr>
          <w:p>
            <w:pPr>
              <w:spacing w:line="360" w:lineRule="auto"/>
              <w:ind w:right="13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3656" w:type="dxa"/>
            <w:vAlign w:val="center"/>
          </w:tcPr>
          <w:p>
            <w:pPr>
              <w:spacing w:line="360" w:lineRule="auto"/>
              <w:ind w:right="136"/>
              <w:jc w:val="left"/>
              <w:rPr>
                <w:rFonts w:ascii="宋体" w:hAnsi="宋体" w:cs="宋体"/>
                <w:sz w:val="24"/>
                <w:szCs w:val="24"/>
              </w:rPr>
            </w:pPr>
            <w:r>
              <w:rPr>
                <w:rFonts w:hint="eastAsia" w:ascii="宋体" w:hAnsi="宋体" w:cs="宋体"/>
                <w:sz w:val="24"/>
                <w:szCs w:val="24"/>
              </w:rPr>
              <w:t>商业信誉</w:t>
            </w:r>
          </w:p>
        </w:tc>
        <w:tc>
          <w:tcPr>
            <w:tcW w:w="6319" w:type="dxa"/>
            <w:vAlign w:val="center"/>
          </w:tcPr>
          <w:p>
            <w:pPr>
              <w:spacing w:line="360" w:lineRule="auto"/>
              <w:ind w:right="136"/>
              <w:jc w:val="left"/>
              <w:rPr>
                <w:rFonts w:ascii="宋体" w:hAnsi="宋体" w:cs="宋体"/>
                <w:sz w:val="24"/>
                <w:szCs w:val="24"/>
              </w:rPr>
            </w:pPr>
            <w:r>
              <w:rPr>
                <w:rFonts w:hint="eastAsia" w:ascii="宋体" w:hAnsi="宋体" w:cs="宋体"/>
                <w:sz w:val="24"/>
                <w:szCs w:val="24"/>
              </w:rPr>
              <w:t>在“信用中国”网、“中国政府采购网”、“新疆政府采购网”、“中国裁判文书网”上查询参加政府采购活动前三年内在经营活动中没有违法记录（查询记录加盖企业公章）</w:t>
            </w:r>
          </w:p>
        </w:tc>
      </w:tr>
    </w:tbl>
    <w:p>
      <w:pPr>
        <w:spacing w:line="360" w:lineRule="auto"/>
        <w:ind w:firstLine="48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注：提交的图表、影印件、查询记录等文件须清晰完整，因文字模糊专家辨识造成审查不合格的由响应人自行承担相应责任。</w:t>
      </w:r>
    </w:p>
    <w:p>
      <w:pPr>
        <w:spacing w:line="360" w:lineRule="auto"/>
        <w:ind w:firstLine="56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20.4 详细评审</w:t>
      </w:r>
    </w:p>
    <w:p>
      <w:pPr>
        <w:spacing w:line="360" w:lineRule="auto"/>
        <w:ind w:firstLine="552"/>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20.4.1  经初步评审合格的响应文件，评委会当根据磋商文件确定的评审标准和方法，对其技术和商务部分作进一步详细评审和比较。</w:t>
      </w:r>
    </w:p>
    <w:p>
      <w:pPr>
        <w:spacing w:line="360" w:lineRule="auto"/>
        <w:ind w:firstLine="552"/>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20.4.2评审和定标一般应当在开标后7个工作日内完成，项目金额较大、技术较为复杂等特殊项目的评审工作应当在30个工作日内完成。不能在开标后30个工作日内完成评审和定标的，采购人应当提前3天通知所有供应商延长投标有效期。同意延长投标有效期的供应商应当相应延长招标保证金的有效期，但不得修改响应文件的实质性内容。</w:t>
      </w:r>
    </w:p>
    <w:p>
      <w:pPr>
        <w:spacing w:line="360" w:lineRule="auto"/>
        <w:ind w:firstLine="552"/>
        <w:rPr>
          <w:rFonts w:asciiTheme="minorEastAsia" w:hAnsiTheme="minorEastAsia" w:eastAsiaTheme="minorEastAsia" w:cstheme="minorEastAsia"/>
          <w:b/>
          <w:spacing w:val="-2"/>
          <w:sz w:val="28"/>
          <w:szCs w:val="28"/>
        </w:rPr>
      </w:pPr>
      <w:r>
        <w:rPr>
          <w:rFonts w:hint="eastAsia" w:asciiTheme="minorEastAsia" w:hAnsiTheme="minorEastAsia" w:eastAsiaTheme="minorEastAsia" w:cstheme="minorEastAsia"/>
          <w:b/>
          <w:spacing w:val="-2"/>
          <w:sz w:val="28"/>
          <w:szCs w:val="28"/>
        </w:rPr>
        <w:t>20.4.3评审因素及标准(详见评分细则)</w:t>
      </w:r>
    </w:p>
    <w:p>
      <w:pPr>
        <w:pStyle w:val="22"/>
        <w:ind w:firstLine="56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报价评分标准：</w:t>
      </w:r>
    </w:p>
    <w:p>
      <w:pPr>
        <w:pStyle w:val="22"/>
        <w:ind w:firstLine="56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rPr>
        <w:t>价格占10%权重、商务技术占90%权重</w:t>
      </w:r>
    </w:p>
    <w:p>
      <w:pPr>
        <w:pStyle w:val="22"/>
        <w:spacing w:line="360" w:lineRule="auto"/>
        <w:ind w:firstLine="56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8"/>
          <w:szCs w:val="28"/>
        </w:rPr>
        <w:t>20.4.4</w:t>
      </w:r>
      <w:r>
        <w:rPr>
          <w:rFonts w:hint="eastAsia" w:asciiTheme="minorEastAsia" w:hAnsiTheme="minorEastAsia" w:eastAsiaTheme="minorEastAsia" w:cstheme="minorEastAsia"/>
          <w:color w:val="auto"/>
          <w:sz w:val="28"/>
        </w:rPr>
        <w:t>供应商在评标过程中，所进行的力图影响评标结果的不符合招标规则的活动，可能导致其被取消成交资格。</w:t>
      </w:r>
    </w:p>
    <w:p>
      <w:pPr>
        <w:pStyle w:val="22"/>
        <w:spacing w:line="360" w:lineRule="auto"/>
        <w:ind w:firstLine="560"/>
        <w:rPr>
          <w:rFonts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szCs w:val="28"/>
        </w:rPr>
        <w:t>20.4.5</w:t>
      </w:r>
      <w:r>
        <w:rPr>
          <w:rFonts w:hint="eastAsia" w:asciiTheme="minorEastAsia" w:hAnsiTheme="minorEastAsia" w:eastAsiaTheme="minorEastAsia" w:cstheme="minorEastAsia"/>
          <w:color w:val="auto"/>
          <w:sz w:val="28"/>
        </w:rPr>
        <w:t>与磋商文件有重大偏离的响应文件将被拒绝。</w:t>
      </w:r>
    </w:p>
    <w:p>
      <w:pPr>
        <w:pStyle w:val="14"/>
        <w:spacing w:line="360" w:lineRule="auto"/>
        <w:ind w:firstLine="560" w:firstLineChars="200"/>
        <w:jc w:val="center"/>
        <w:rPr>
          <w:rFonts w:asciiTheme="minorEastAsia" w:hAnsiTheme="minorEastAsia" w:eastAsiaTheme="minorEastAsia" w:cstheme="minorEastAsia"/>
          <w:b/>
          <w:bCs/>
          <w:color w:val="FF0000"/>
          <w:sz w:val="28"/>
          <w:szCs w:val="28"/>
        </w:rPr>
      </w:pPr>
    </w:p>
    <w:p>
      <w:pPr>
        <w:pStyle w:val="14"/>
        <w:spacing w:line="360" w:lineRule="auto"/>
        <w:ind w:firstLine="560" w:firstLineChars="200"/>
        <w:jc w:val="center"/>
        <w:rPr>
          <w:rFonts w:asciiTheme="minorEastAsia" w:hAnsiTheme="minorEastAsia" w:eastAsiaTheme="minorEastAsia" w:cstheme="minorEastAsia"/>
          <w:b/>
          <w:bCs/>
          <w:color w:val="FF0000"/>
          <w:sz w:val="28"/>
          <w:szCs w:val="28"/>
        </w:rPr>
      </w:pPr>
    </w:p>
    <w:p>
      <w:pPr>
        <w:pStyle w:val="14"/>
        <w:spacing w:line="360" w:lineRule="auto"/>
        <w:ind w:firstLine="560" w:firstLineChars="200"/>
        <w:jc w:val="center"/>
        <w:rPr>
          <w:rFonts w:asciiTheme="minorEastAsia" w:hAnsiTheme="minorEastAsia" w:eastAsiaTheme="minorEastAsia" w:cstheme="minorEastAsia"/>
          <w:b/>
          <w:bCs/>
          <w:color w:val="FF0000"/>
          <w:sz w:val="28"/>
          <w:szCs w:val="28"/>
        </w:rPr>
      </w:pPr>
    </w:p>
    <w:p>
      <w:pPr>
        <w:pStyle w:val="14"/>
        <w:spacing w:line="360" w:lineRule="auto"/>
        <w:ind w:firstLine="560" w:firstLineChars="200"/>
        <w:jc w:val="center"/>
        <w:rPr>
          <w:rFonts w:asciiTheme="minorEastAsia" w:hAnsiTheme="minorEastAsia" w:eastAsiaTheme="minorEastAsia" w:cstheme="minorEastAsia"/>
          <w:b/>
          <w:bCs/>
          <w:color w:val="FF0000"/>
          <w:sz w:val="28"/>
          <w:szCs w:val="28"/>
        </w:rPr>
      </w:pPr>
    </w:p>
    <w:p>
      <w:pPr>
        <w:pStyle w:val="14"/>
        <w:spacing w:line="360" w:lineRule="auto"/>
        <w:ind w:firstLine="560" w:firstLineChars="200"/>
        <w:jc w:val="center"/>
        <w:rPr>
          <w:rFonts w:asciiTheme="minorEastAsia" w:hAnsiTheme="minorEastAsia" w:eastAsiaTheme="minorEastAsia" w:cstheme="minorEastAsia"/>
          <w:b/>
          <w:bCs/>
          <w:color w:val="FF0000"/>
          <w:sz w:val="28"/>
          <w:szCs w:val="28"/>
        </w:rPr>
      </w:pPr>
    </w:p>
    <w:p>
      <w:pPr>
        <w:pStyle w:val="14"/>
        <w:spacing w:line="360" w:lineRule="auto"/>
        <w:ind w:firstLine="560" w:firstLineChars="200"/>
        <w:jc w:val="center"/>
        <w:rPr>
          <w:rFonts w:asciiTheme="minorEastAsia" w:hAnsiTheme="minorEastAsia" w:eastAsiaTheme="minorEastAsia" w:cstheme="minorEastAsia"/>
          <w:b/>
          <w:bCs/>
          <w:color w:val="FF0000"/>
          <w:sz w:val="28"/>
          <w:szCs w:val="28"/>
        </w:rPr>
      </w:pPr>
    </w:p>
    <w:p>
      <w:pPr>
        <w:pStyle w:val="14"/>
        <w:spacing w:line="360" w:lineRule="auto"/>
        <w:ind w:firstLine="560" w:firstLineChars="200"/>
        <w:jc w:val="center"/>
        <w:rPr>
          <w:rFonts w:asciiTheme="minorEastAsia" w:hAnsiTheme="minorEastAsia" w:eastAsiaTheme="minorEastAsia" w:cstheme="minorEastAsia"/>
          <w:b/>
          <w:bCs/>
          <w:color w:val="FF0000"/>
          <w:sz w:val="28"/>
          <w:szCs w:val="28"/>
        </w:rPr>
      </w:pPr>
    </w:p>
    <w:p>
      <w:pPr>
        <w:pStyle w:val="14"/>
        <w:spacing w:line="360" w:lineRule="auto"/>
        <w:ind w:firstLine="560" w:firstLineChars="200"/>
        <w:jc w:val="center"/>
        <w:rPr>
          <w:rFonts w:asciiTheme="minorEastAsia" w:hAnsiTheme="minorEastAsia" w:eastAsiaTheme="minorEastAsia" w:cstheme="minorEastAsia"/>
          <w:b/>
          <w:bCs/>
          <w:color w:val="FF0000"/>
          <w:sz w:val="28"/>
          <w:szCs w:val="28"/>
        </w:rPr>
      </w:pPr>
    </w:p>
    <w:p>
      <w:pPr>
        <w:pStyle w:val="14"/>
        <w:spacing w:line="360" w:lineRule="auto"/>
        <w:ind w:firstLine="560" w:firstLineChars="200"/>
        <w:jc w:val="center"/>
        <w:rPr>
          <w:rFonts w:asciiTheme="minorEastAsia" w:hAnsiTheme="minorEastAsia" w:eastAsiaTheme="minorEastAsia" w:cstheme="minorEastAsia"/>
          <w:b/>
          <w:bCs/>
          <w:color w:val="FF0000"/>
          <w:sz w:val="28"/>
          <w:szCs w:val="28"/>
        </w:rPr>
      </w:pPr>
    </w:p>
    <w:p>
      <w:pPr>
        <w:pStyle w:val="14"/>
        <w:spacing w:line="360" w:lineRule="auto"/>
        <w:ind w:firstLine="560" w:firstLineChars="200"/>
        <w:jc w:val="center"/>
        <w:rPr>
          <w:rFonts w:asciiTheme="minorEastAsia" w:hAnsiTheme="minorEastAsia" w:eastAsiaTheme="minorEastAsia" w:cstheme="minorEastAsia"/>
          <w:b/>
          <w:bCs/>
          <w:color w:val="FF0000"/>
          <w:sz w:val="28"/>
          <w:szCs w:val="28"/>
        </w:rPr>
      </w:pPr>
    </w:p>
    <w:p>
      <w:pPr>
        <w:pStyle w:val="14"/>
        <w:spacing w:line="360" w:lineRule="auto"/>
        <w:ind w:firstLine="560" w:firstLineChars="200"/>
        <w:jc w:val="center"/>
        <w:rPr>
          <w:rFonts w:asciiTheme="minorEastAsia" w:hAnsiTheme="minorEastAsia" w:eastAsiaTheme="minorEastAsia" w:cstheme="minorEastAsia"/>
          <w:b/>
          <w:bCs/>
          <w:color w:val="FF0000"/>
          <w:sz w:val="28"/>
          <w:szCs w:val="28"/>
        </w:rPr>
      </w:pPr>
    </w:p>
    <w:p>
      <w:pPr>
        <w:pStyle w:val="14"/>
        <w:spacing w:line="360" w:lineRule="auto"/>
        <w:ind w:firstLine="560" w:firstLineChars="200"/>
        <w:jc w:val="center"/>
        <w:rPr>
          <w:rFonts w:asciiTheme="minorEastAsia" w:hAnsiTheme="minorEastAsia" w:eastAsiaTheme="minorEastAsia" w:cstheme="minorEastAsia"/>
          <w:b/>
          <w:bCs/>
          <w:color w:val="FF0000"/>
          <w:sz w:val="28"/>
          <w:szCs w:val="28"/>
        </w:rPr>
      </w:pPr>
    </w:p>
    <w:p>
      <w:pPr>
        <w:pStyle w:val="14"/>
        <w:spacing w:line="360" w:lineRule="auto"/>
        <w:ind w:firstLine="560" w:firstLineChars="200"/>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详细评审--商务技术打分表</w:t>
      </w:r>
    </w:p>
    <w:tbl>
      <w:tblPr>
        <w:tblStyle w:val="16"/>
        <w:tblW w:w="9997" w:type="dxa"/>
        <w:tblInd w:w="-391" w:type="dxa"/>
        <w:tblLayout w:type="fixed"/>
        <w:tblCellMar>
          <w:top w:w="0" w:type="dxa"/>
          <w:left w:w="108" w:type="dxa"/>
          <w:bottom w:w="0" w:type="dxa"/>
          <w:right w:w="108" w:type="dxa"/>
        </w:tblCellMar>
      </w:tblPr>
      <w:tblGrid>
        <w:gridCol w:w="1208"/>
        <w:gridCol w:w="7566"/>
        <w:gridCol w:w="1223"/>
      </w:tblGrid>
      <w:tr>
        <w:tblPrEx>
          <w:tblCellMar>
            <w:top w:w="0" w:type="dxa"/>
            <w:left w:w="108" w:type="dxa"/>
            <w:bottom w:w="0" w:type="dxa"/>
            <w:right w:w="108" w:type="dxa"/>
          </w:tblCellMar>
        </w:tblPrEx>
        <w:trPr>
          <w:trHeight w:val="653" w:hRule="atLeast"/>
        </w:trPr>
        <w:tc>
          <w:tcPr>
            <w:tcW w:w="120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评审内容</w:t>
            </w:r>
          </w:p>
        </w:tc>
        <w:tc>
          <w:tcPr>
            <w:tcW w:w="756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商务及技术评分标准</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分值（分）</w:t>
            </w:r>
          </w:p>
        </w:tc>
      </w:tr>
      <w:tr>
        <w:tblPrEx>
          <w:tblCellMar>
            <w:top w:w="0" w:type="dxa"/>
            <w:left w:w="108" w:type="dxa"/>
            <w:bottom w:w="0" w:type="dxa"/>
            <w:right w:w="108" w:type="dxa"/>
          </w:tblCellMar>
        </w:tblPrEx>
        <w:trPr>
          <w:trHeight w:val="545" w:hRule="atLeast"/>
        </w:trPr>
        <w:tc>
          <w:tcPr>
            <w:tcW w:w="120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价格评选</w:t>
            </w:r>
          </w:p>
        </w:tc>
        <w:tc>
          <w:tcPr>
            <w:tcW w:w="75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评审基准价=有效响应报价的最低值，有效响应报价等于基准值的得满分，投标报价得分=（评审基准价/投标报价）×价格权重×100。有效投标报价为通过初步审查供应商的最后报价</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10分</w:t>
            </w:r>
          </w:p>
        </w:tc>
      </w:tr>
      <w:tr>
        <w:tblPrEx>
          <w:tblCellMar>
            <w:top w:w="0" w:type="dxa"/>
            <w:left w:w="108" w:type="dxa"/>
            <w:bottom w:w="0" w:type="dxa"/>
            <w:right w:w="108" w:type="dxa"/>
          </w:tblCellMar>
        </w:tblPrEx>
        <w:trPr>
          <w:trHeight w:val="1000" w:hRule="atLeast"/>
        </w:trPr>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业绩</w:t>
            </w:r>
          </w:p>
        </w:tc>
        <w:tc>
          <w:tcPr>
            <w:tcW w:w="75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提供2021年-至今类似项目业绩的每提供一个得1分。</w:t>
            </w:r>
          </w:p>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注：业绩须提供（合同及中标（成交）通知书，合同需包含首页、标的内容及合同金额、双方签字盖章等关键页），最多的得5分。</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w:t>
            </w:r>
            <w:r>
              <w:rPr>
                <w:rFonts w:hint="eastAsia" w:asciiTheme="minorEastAsia" w:hAnsiTheme="minorEastAsia" w:eastAsiaTheme="minorEastAsia" w:cstheme="minorEastAsia"/>
                <w:sz w:val="24"/>
                <w:szCs w:val="22"/>
                <w:lang w:eastAsia="zh-CN"/>
              </w:rPr>
              <w:t>分</w:t>
            </w:r>
          </w:p>
        </w:tc>
      </w:tr>
      <w:tr>
        <w:tblPrEx>
          <w:tblCellMar>
            <w:top w:w="0" w:type="dxa"/>
            <w:left w:w="108" w:type="dxa"/>
            <w:bottom w:w="0" w:type="dxa"/>
            <w:right w:w="108" w:type="dxa"/>
          </w:tblCellMar>
        </w:tblPrEx>
        <w:trPr>
          <w:trHeight w:val="1411" w:hRule="atLeast"/>
        </w:trPr>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服务方案</w:t>
            </w:r>
          </w:p>
        </w:tc>
        <w:tc>
          <w:tcPr>
            <w:tcW w:w="75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针对本次项目，提供详细的组织实施方案：</w:t>
            </w:r>
          </w:p>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1、安保人员人身安全保障措施（10）；</w:t>
            </w:r>
          </w:p>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2、安保人员分配、培训及连续性保障方案（3）；</w:t>
            </w:r>
          </w:p>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3、大型会议、大型活动的服务保障方案（7）</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20</w:t>
            </w:r>
            <w:r>
              <w:rPr>
                <w:rFonts w:hint="eastAsia" w:asciiTheme="minorEastAsia" w:hAnsiTheme="minorEastAsia" w:eastAsiaTheme="minorEastAsia" w:cstheme="minorEastAsia"/>
                <w:sz w:val="24"/>
                <w:szCs w:val="22"/>
                <w:lang w:eastAsia="zh-CN"/>
              </w:rPr>
              <w:t>分</w:t>
            </w:r>
          </w:p>
        </w:tc>
      </w:tr>
      <w:tr>
        <w:tblPrEx>
          <w:tblCellMar>
            <w:top w:w="0" w:type="dxa"/>
            <w:left w:w="108" w:type="dxa"/>
            <w:bottom w:w="0" w:type="dxa"/>
            <w:right w:w="108" w:type="dxa"/>
          </w:tblCellMar>
        </w:tblPrEx>
        <w:trPr>
          <w:trHeight w:val="585" w:hRule="atLeast"/>
        </w:trPr>
        <w:tc>
          <w:tcPr>
            <w:tcW w:w="12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服务人员管理措施</w:t>
            </w:r>
          </w:p>
        </w:tc>
        <w:tc>
          <w:tcPr>
            <w:tcW w:w="75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为保证安保工作人员相对稳定，须提供有具体可行的人员维护措施，人员管理措施，人员福利措施，满分9分，少一项扣3分，最多扣9分</w:t>
            </w:r>
          </w:p>
        </w:tc>
        <w:tc>
          <w:tcPr>
            <w:tcW w:w="12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9</w:t>
            </w:r>
            <w:r>
              <w:rPr>
                <w:rFonts w:hint="eastAsia" w:asciiTheme="minorEastAsia" w:hAnsiTheme="minorEastAsia" w:eastAsiaTheme="minorEastAsia" w:cstheme="minorEastAsia"/>
                <w:sz w:val="24"/>
                <w:szCs w:val="22"/>
                <w:lang w:eastAsia="zh-CN"/>
              </w:rPr>
              <w:t>分</w:t>
            </w:r>
          </w:p>
        </w:tc>
      </w:tr>
      <w:tr>
        <w:tblPrEx>
          <w:tblCellMar>
            <w:top w:w="0" w:type="dxa"/>
            <w:left w:w="108" w:type="dxa"/>
            <w:bottom w:w="0" w:type="dxa"/>
            <w:right w:w="108" w:type="dxa"/>
          </w:tblCellMar>
        </w:tblPrEx>
        <w:trPr>
          <w:trHeight w:val="390" w:hRule="atLeast"/>
        </w:trPr>
        <w:tc>
          <w:tcPr>
            <w:tcW w:w="12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p>
        </w:tc>
        <w:tc>
          <w:tcPr>
            <w:tcW w:w="75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4"/>
                <w:szCs w:val="22"/>
              </w:rPr>
            </w:pPr>
          </w:p>
        </w:tc>
        <w:tc>
          <w:tcPr>
            <w:tcW w:w="12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24"/>
                <w:szCs w:val="22"/>
              </w:rPr>
            </w:pPr>
          </w:p>
        </w:tc>
      </w:tr>
      <w:tr>
        <w:tblPrEx>
          <w:tblCellMar>
            <w:top w:w="0" w:type="dxa"/>
            <w:left w:w="108" w:type="dxa"/>
            <w:bottom w:w="0" w:type="dxa"/>
            <w:right w:w="108" w:type="dxa"/>
          </w:tblCellMar>
        </w:tblPrEx>
        <w:trPr>
          <w:trHeight w:val="1007" w:hRule="atLeast"/>
        </w:trPr>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人员管理及规范</w:t>
            </w:r>
          </w:p>
        </w:tc>
        <w:tc>
          <w:tcPr>
            <w:tcW w:w="75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保安人员的组织和管理流程、激励机制、劳务纠纷、岗位执行规范、监督机制、信息反馈渠道等内容进行综合评价。少一项扣2分，扣完为止。</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10</w:t>
            </w:r>
            <w:r>
              <w:rPr>
                <w:rFonts w:hint="eastAsia" w:asciiTheme="minorEastAsia" w:hAnsiTheme="minorEastAsia" w:eastAsiaTheme="minorEastAsia" w:cstheme="minorEastAsia"/>
                <w:sz w:val="24"/>
                <w:szCs w:val="22"/>
                <w:lang w:eastAsia="zh-CN"/>
              </w:rPr>
              <w:t>分</w:t>
            </w:r>
          </w:p>
        </w:tc>
      </w:tr>
      <w:tr>
        <w:tblPrEx>
          <w:tblCellMar>
            <w:top w:w="0" w:type="dxa"/>
            <w:left w:w="108" w:type="dxa"/>
            <w:bottom w:w="0" w:type="dxa"/>
            <w:right w:w="108" w:type="dxa"/>
          </w:tblCellMar>
        </w:tblPrEx>
        <w:trPr>
          <w:trHeight w:val="1125" w:hRule="atLeast"/>
        </w:trPr>
        <w:tc>
          <w:tcPr>
            <w:tcW w:w="12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应急方案</w:t>
            </w:r>
          </w:p>
        </w:tc>
        <w:tc>
          <w:tcPr>
            <w:tcW w:w="75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需针对本项目提供应急处置方案，包括：</w:t>
            </w:r>
            <w:r>
              <w:rPr>
                <w:rFonts w:hint="eastAsia" w:asciiTheme="minorEastAsia" w:hAnsiTheme="minorEastAsia" w:eastAsiaTheme="minorEastAsia" w:cstheme="minorEastAsia"/>
                <w:sz w:val="24"/>
                <w:szCs w:val="22"/>
              </w:rPr>
              <w:br w:type="textWrapping"/>
            </w:r>
            <w:r>
              <w:rPr>
                <w:rFonts w:hint="eastAsia" w:asciiTheme="minorEastAsia" w:hAnsiTheme="minorEastAsia" w:eastAsiaTheme="minorEastAsia" w:cstheme="minorEastAsia"/>
                <w:sz w:val="24"/>
                <w:szCs w:val="22"/>
              </w:rPr>
              <w:t>1.火灾应急预案。</w:t>
            </w:r>
          </w:p>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2.停水、停电应急预案。</w:t>
            </w:r>
          </w:p>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3.维稳应急预案。</w:t>
            </w:r>
            <w:r>
              <w:rPr>
                <w:rFonts w:hint="eastAsia" w:asciiTheme="minorEastAsia" w:hAnsiTheme="minorEastAsia" w:eastAsiaTheme="minorEastAsia" w:cstheme="minorEastAsia"/>
                <w:sz w:val="24"/>
                <w:szCs w:val="22"/>
              </w:rPr>
              <w:br w:type="textWrapping"/>
            </w:r>
            <w:r>
              <w:rPr>
                <w:rFonts w:hint="eastAsia" w:asciiTheme="minorEastAsia" w:hAnsiTheme="minorEastAsia" w:eastAsiaTheme="minorEastAsia" w:cstheme="minorEastAsia"/>
                <w:sz w:val="24"/>
                <w:szCs w:val="22"/>
              </w:rPr>
              <w:t>4.群体性事件处理应急预案。</w:t>
            </w:r>
            <w:r>
              <w:rPr>
                <w:rFonts w:hint="eastAsia" w:asciiTheme="minorEastAsia" w:hAnsiTheme="minorEastAsia" w:eastAsiaTheme="minorEastAsia" w:cstheme="minorEastAsia"/>
                <w:sz w:val="24"/>
                <w:szCs w:val="22"/>
              </w:rPr>
              <w:br w:type="textWrapping"/>
            </w:r>
            <w:r>
              <w:rPr>
                <w:rFonts w:hint="eastAsia" w:asciiTheme="minorEastAsia" w:hAnsiTheme="minorEastAsia" w:eastAsiaTheme="minorEastAsia" w:cstheme="minorEastAsia"/>
                <w:sz w:val="24"/>
                <w:szCs w:val="22"/>
              </w:rPr>
              <w:t>5.突发公共性事件处理应急预案。</w:t>
            </w:r>
            <w:r>
              <w:rPr>
                <w:rFonts w:hint="eastAsia" w:asciiTheme="minorEastAsia" w:hAnsiTheme="minorEastAsia" w:eastAsiaTheme="minorEastAsia" w:cstheme="minorEastAsia"/>
                <w:sz w:val="24"/>
                <w:szCs w:val="22"/>
              </w:rPr>
              <w:br w:type="textWrapping"/>
            </w:r>
            <w:r>
              <w:rPr>
                <w:rFonts w:hint="eastAsia" w:asciiTheme="minorEastAsia" w:hAnsiTheme="minorEastAsia" w:eastAsiaTheme="minorEastAsia" w:cstheme="minorEastAsia"/>
                <w:sz w:val="24"/>
                <w:szCs w:val="22"/>
              </w:rPr>
              <w:t>6.突发地震、大风、暴雨等自然灾害应急预案。</w:t>
            </w:r>
            <w:r>
              <w:rPr>
                <w:rFonts w:hint="eastAsia" w:asciiTheme="minorEastAsia" w:hAnsiTheme="minorEastAsia" w:eastAsiaTheme="minorEastAsia" w:cstheme="minorEastAsia"/>
                <w:sz w:val="24"/>
                <w:szCs w:val="22"/>
              </w:rPr>
              <w:br w:type="textWrapping"/>
            </w:r>
            <w:r>
              <w:rPr>
                <w:rFonts w:hint="eastAsia" w:asciiTheme="minorEastAsia" w:hAnsiTheme="minorEastAsia" w:eastAsiaTheme="minorEastAsia" w:cstheme="minorEastAsia"/>
                <w:sz w:val="24"/>
                <w:szCs w:val="22"/>
              </w:rPr>
              <w:t>根据投标人提供的工作预案，每项预案做到全面、合理科学、可操作强得3分，不够全面、有一定合理性和可操作性的得2分，未提供的不得分；满分1</w:t>
            </w:r>
            <w:r>
              <w:rPr>
                <w:rFonts w:hint="eastAsia" w:asciiTheme="minorEastAsia" w:hAnsiTheme="minorEastAsia" w:eastAsiaTheme="minorEastAsia" w:cstheme="minorEastAsia"/>
                <w:sz w:val="24"/>
                <w:szCs w:val="22"/>
                <w:lang w:val="en-US" w:eastAsia="zh-CN"/>
              </w:rPr>
              <w:t>8</w:t>
            </w:r>
            <w:r>
              <w:rPr>
                <w:rFonts w:hint="eastAsia" w:asciiTheme="minorEastAsia" w:hAnsiTheme="minorEastAsia" w:eastAsiaTheme="minorEastAsia" w:cstheme="minorEastAsia"/>
                <w:sz w:val="24"/>
                <w:szCs w:val="22"/>
              </w:rPr>
              <w:t>分。</w:t>
            </w:r>
          </w:p>
        </w:tc>
        <w:tc>
          <w:tcPr>
            <w:tcW w:w="12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w:t>
            </w:r>
            <w:r>
              <w:rPr>
                <w:rFonts w:hint="eastAsia" w:asciiTheme="minorEastAsia" w:hAnsiTheme="minorEastAsia" w:eastAsiaTheme="minorEastAsia" w:cstheme="minorEastAsia"/>
                <w:sz w:val="24"/>
                <w:szCs w:val="22"/>
                <w:lang w:val="en-US" w:eastAsia="zh-CN"/>
              </w:rPr>
              <w:t>8</w:t>
            </w:r>
            <w:r>
              <w:rPr>
                <w:rFonts w:hint="eastAsia" w:asciiTheme="minorEastAsia" w:hAnsiTheme="minorEastAsia" w:eastAsiaTheme="minorEastAsia" w:cstheme="minorEastAsia"/>
                <w:sz w:val="24"/>
                <w:szCs w:val="22"/>
                <w:lang w:eastAsia="zh-CN"/>
              </w:rPr>
              <w:t>分</w:t>
            </w:r>
          </w:p>
        </w:tc>
      </w:tr>
      <w:tr>
        <w:tblPrEx>
          <w:tblCellMar>
            <w:top w:w="0" w:type="dxa"/>
            <w:left w:w="108" w:type="dxa"/>
            <w:bottom w:w="0" w:type="dxa"/>
            <w:right w:w="108" w:type="dxa"/>
          </w:tblCellMar>
        </w:tblPrEx>
        <w:trPr>
          <w:trHeight w:val="312" w:hRule="atLeast"/>
        </w:trPr>
        <w:tc>
          <w:tcPr>
            <w:tcW w:w="12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p>
        </w:tc>
        <w:tc>
          <w:tcPr>
            <w:tcW w:w="75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4"/>
                <w:szCs w:val="22"/>
              </w:rPr>
            </w:pPr>
          </w:p>
        </w:tc>
        <w:tc>
          <w:tcPr>
            <w:tcW w:w="12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24"/>
                <w:szCs w:val="22"/>
              </w:rPr>
            </w:pPr>
          </w:p>
        </w:tc>
      </w:tr>
      <w:tr>
        <w:tblPrEx>
          <w:tblCellMar>
            <w:top w:w="0" w:type="dxa"/>
            <w:left w:w="108" w:type="dxa"/>
            <w:bottom w:w="0" w:type="dxa"/>
            <w:right w:w="108" w:type="dxa"/>
          </w:tblCellMar>
        </w:tblPrEx>
        <w:trPr>
          <w:trHeight w:val="312" w:hRule="atLeast"/>
        </w:trPr>
        <w:tc>
          <w:tcPr>
            <w:tcW w:w="12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p>
        </w:tc>
        <w:tc>
          <w:tcPr>
            <w:tcW w:w="75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4"/>
                <w:szCs w:val="22"/>
              </w:rPr>
            </w:pPr>
          </w:p>
        </w:tc>
        <w:tc>
          <w:tcPr>
            <w:tcW w:w="12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24"/>
                <w:szCs w:val="22"/>
              </w:rPr>
            </w:pPr>
          </w:p>
        </w:tc>
      </w:tr>
      <w:tr>
        <w:tblPrEx>
          <w:tblCellMar>
            <w:top w:w="0" w:type="dxa"/>
            <w:left w:w="108" w:type="dxa"/>
            <w:bottom w:w="0" w:type="dxa"/>
            <w:right w:w="108" w:type="dxa"/>
          </w:tblCellMar>
        </w:tblPrEx>
        <w:trPr>
          <w:trHeight w:val="312" w:hRule="atLeast"/>
        </w:trPr>
        <w:tc>
          <w:tcPr>
            <w:tcW w:w="12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p>
        </w:tc>
        <w:tc>
          <w:tcPr>
            <w:tcW w:w="75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4"/>
                <w:szCs w:val="22"/>
              </w:rPr>
            </w:pPr>
          </w:p>
        </w:tc>
        <w:tc>
          <w:tcPr>
            <w:tcW w:w="12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24"/>
                <w:szCs w:val="22"/>
              </w:rPr>
            </w:pPr>
          </w:p>
        </w:tc>
      </w:tr>
      <w:tr>
        <w:tblPrEx>
          <w:tblCellMar>
            <w:top w:w="0" w:type="dxa"/>
            <w:left w:w="108" w:type="dxa"/>
            <w:bottom w:w="0" w:type="dxa"/>
            <w:right w:w="108" w:type="dxa"/>
          </w:tblCellMar>
        </w:tblPrEx>
        <w:trPr>
          <w:trHeight w:val="312" w:hRule="atLeast"/>
        </w:trPr>
        <w:tc>
          <w:tcPr>
            <w:tcW w:w="12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p>
        </w:tc>
        <w:tc>
          <w:tcPr>
            <w:tcW w:w="75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4"/>
                <w:szCs w:val="22"/>
              </w:rPr>
            </w:pPr>
          </w:p>
        </w:tc>
        <w:tc>
          <w:tcPr>
            <w:tcW w:w="12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24"/>
                <w:szCs w:val="22"/>
              </w:rPr>
            </w:pPr>
          </w:p>
        </w:tc>
      </w:tr>
      <w:tr>
        <w:tblPrEx>
          <w:tblCellMar>
            <w:top w:w="0" w:type="dxa"/>
            <w:left w:w="108" w:type="dxa"/>
            <w:bottom w:w="0" w:type="dxa"/>
            <w:right w:w="108" w:type="dxa"/>
          </w:tblCellMar>
        </w:tblPrEx>
        <w:trPr>
          <w:trHeight w:val="312" w:hRule="atLeast"/>
        </w:trPr>
        <w:tc>
          <w:tcPr>
            <w:tcW w:w="12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p>
        </w:tc>
        <w:tc>
          <w:tcPr>
            <w:tcW w:w="75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4"/>
                <w:szCs w:val="22"/>
              </w:rPr>
            </w:pPr>
          </w:p>
        </w:tc>
        <w:tc>
          <w:tcPr>
            <w:tcW w:w="12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24"/>
                <w:szCs w:val="22"/>
              </w:rPr>
            </w:pPr>
          </w:p>
        </w:tc>
      </w:tr>
      <w:tr>
        <w:tblPrEx>
          <w:tblCellMar>
            <w:top w:w="0" w:type="dxa"/>
            <w:left w:w="108" w:type="dxa"/>
            <w:bottom w:w="0" w:type="dxa"/>
            <w:right w:w="108" w:type="dxa"/>
          </w:tblCellMar>
        </w:tblPrEx>
        <w:trPr>
          <w:trHeight w:val="312" w:hRule="atLeast"/>
        </w:trPr>
        <w:tc>
          <w:tcPr>
            <w:tcW w:w="12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p>
        </w:tc>
        <w:tc>
          <w:tcPr>
            <w:tcW w:w="75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4"/>
                <w:szCs w:val="22"/>
              </w:rPr>
            </w:pPr>
          </w:p>
        </w:tc>
        <w:tc>
          <w:tcPr>
            <w:tcW w:w="12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24"/>
                <w:szCs w:val="22"/>
              </w:rPr>
            </w:pPr>
          </w:p>
        </w:tc>
      </w:tr>
      <w:tr>
        <w:tblPrEx>
          <w:tblCellMar>
            <w:top w:w="0" w:type="dxa"/>
            <w:left w:w="108" w:type="dxa"/>
            <w:bottom w:w="0" w:type="dxa"/>
            <w:right w:w="108" w:type="dxa"/>
          </w:tblCellMar>
        </w:tblPrEx>
        <w:trPr>
          <w:trHeight w:val="312" w:hRule="atLeast"/>
        </w:trPr>
        <w:tc>
          <w:tcPr>
            <w:tcW w:w="12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p>
        </w:tc>
        <w:tc>
          <w:tcPr>
            <w:tcW w:w="75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4"/>
                <w:szCs w:val="22"/>
              </w:rPr>
            </w:pPr>
          </w:p>
        </w:tc>
        <w:tc>
          <w:tcPr>
            <w:tcW w:w="12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24"/>
                <w:szCs w:val="22"/>
              </w:rPr>
            </w:pPr>
          </w:p>
        </w:tc>
      </w:tr>
      <w:tr>
        <w:tblPrEx>
          <w:tblCellMar>
            <w:top w:w="0" w:type="dxa"/>
            <w:left w:w="108" w:type="dxa"/>
            <w:bottom w:w="0" w:type="dxa"/>
            <w:right w:w="108" w:type="dxa"/>
          </w:tblCellMar>
        </w:tblPrEx>
        <w:trPr>
          <w:trHeight w:val="1162" w:hRule="atLeast"/>
        </w:trPr>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人员构成 承诺</w:t>
            </w:r>
          </w:p>
        </w:tc>
        <w:tc>
          <w:tcPr>
            <w:tcW w:w="75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1、拟派人员男性60岁及以下；女性55岁及以下。</w:t>
            </w:r>
          </w:p>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2、承诺每提供一名男性人员在55岁及以下的加2分；</w:t>
            </w:r>
          </w:p>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每提供一名女性人员在50岁及以下的加2分。</w:t>
            </w:r>
          </w:p>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本项最多加8分。</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8</w:t>
            </w:r>
            <w:r>
              <w:rPr>
                <w:rFonts w:hint="eastAsia" w:asciiTheme="minorEastAsia" w:hAnsiTheme="minorEastAsia" w:eastAsiaTheme="minorEastAsia" w:cstheme="minorEastAsia"/>
                <w:sz w:val="24"/>
                <w:szCs w:val="22"/>
                <w:lang w:eastAsia="zh-CN"/>
              </w:rPr>
              <w:t>分</w:t>
            </w:r>
          </w:p>
        </w:tc>
      </w:tr>
      <w:tr>
        <w:tblPrEx>
          <w:tblCellMar>
            <w:top w:w="0" w:type="dxa"/>
            <w:left w:w="108" w:type="dxa"/>
            <w:bottom w:w="0" w:type="dxa"/>
            <w:right w:w="108" w:type="dxa"/>
          </w:tblCellMar>
        </w:tblPrEx>
        <w:trPr>
          <w:trHeight w:val="998" w:hRule="atLeast"/>
        </w:trPr>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保险及 健康</w:t>
            </w:r>
          </w:p>
        </w:tc>
        <w:tc>
          <w:tcPr>
            <w:tcW w:w="75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承诺给派驻安保人员购买保险（含以外伤害险）得4分；</w:t>
            </w:r>
          </w:p>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承诺定期给派驻安保人员体检（每年一次）的得</w:t>
            </w:r>
            <w:r>
              <w:rPr>
                <w:rFonts w:hint="eastAsia" w:asciiTheme="minorEastAsia" w:hAnsiTheme="minorEastAsia" w:eastAsiaTheme="minorEastAsia" w:cstheme="minorEastAsia"/>
                <w:sz w:val="24"/>
                <w:szCs w:val="22"/>
                <w:lang w:val="en-US" w:eastAsia="zh-CN"/>
              </w:rPr>
              <w:t>2</w:t>
            </w:r>
            <w:r>
              <w:rPr>
                <w:rFonts w:hint="eastAsia" w:asciiTheme="minorEastAsia" w:hAnsiTheme="minorEastAsia" w:eastAsiaTheme="minorEastAsia" w:cstheme="minorEastAsia"/>
                <w:sz w:val="24"/>
                <w:szCs w:val="22"/>
              </w:rPr>
              <w:t>分；</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6</w:t>
            </w:r>
            <w:r>
              <w:rPr>
                <w:rFonts w:hint="eastAsia" w:asciiTheme="minorEastAsia" w:hAnsiTheme="minorEastAsia" w:eastAsiaTheme="minorEastAsia" w:cstheme="minorEastAsia"/>
                <w:sz w:val="24"/>
                <w:szCs w:val="22"/>
              </w:rPr>
              <w:t>分</w:t>
            </w:r>
          </w:p>
        </w:tc>
      </w:tr>
      <w:tr>
        <w:tblPrEx>
          <w:tblCellMar>
            <w:top w:w="0" w:type="dxa"/>
            <w:left w:w="108" w:type="dxa"/>
            <w:bottom w:w="0" w:type="dxa"/>
            <w:right w:w="108" w:type="dxa"/>
          </w:tblCellMar>
        </w:tblPrEx>
        <w:trPr>
          <w:trHeight w:val="699" w:hRule="atLeast"/>
        </w:trPr>
        <w:tc>
          <w:tcPr>
            <w:tcW w:w="12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优惠方案</w:t>
            </w:r>
          </w:p>
        </w:tc>
        <w:tc>
          <w:tcPr>
            <w:tcW w:w="75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承诺提供学校大门周边及校内的卫生清扫、绿植修剪维护；大门及校内道路积雪清理等服务的一项得3分，最多得9分，不提供的不得分。</w:t>
            </w:r>
          </w:p>
          <w:p>
            <w:pPr>
              <w:widowControl/>
              <w:jc w:val="left"/>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承诺提供清洁器材、扫雪机械、设备的得</w:t>
            </w:r>
            <w:r>
              <w:rPr>
                <w:rFonts w:hint="eastAsia" w:asciiTheme="minorEastAsia" w:hAnsiTheme="minorEastAsia" w:eastAsiaTheme="minorEastAsia" w:cstheme="minorEastAsia"/>
                <w:sz w:val="24"/>
                <w:szCs w:val="22"/>
                <w:lang w:val="en-US" w:eastAsia="zh-CN"/>
              </w:rPr>
              <w:t>5</w:t>
            </w:r>
            <w:r>
              <w:rPr>
                <w:rFonts w:hint="eastAsia" w:asciiTheme="minorEastAsia" w:hAnsiTheme="minorEastAsia" w:eastAsiaTheme="minorEastAsia" w:cstheme="minorEastAsia"/>
                <w:sz w:val="24"/>
                <w:szCs w:val="22"/>
              </w:rPr>
              <w:t>分。未提供的不得分</w:t>
            </w:r>
          </w:p>
        </w:tc>
        <w:tc>
          <w:tcPr>
            <w:tcW w:w="12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rPr>
              <w:t>14</w:t>
            </w:r>
            <w:r>
              <w:rPr>
                <w:rFonts w:hint="eastAsia" w:asciiTheme="minorEastAsia" w:hAnsiTheme="minorEastAsia" w:eastAsiaTheme="minorEastAsia" w:cstheme="minorEastAsia"/>
                <w:sz w:val="24"/>
                <w:szCs w:val="22"/>
                <w:lang w:eastAsia="zh-CN"/>
              </w:rPr>
              <w:t>分</w:t>
            </w:r>
          </w:p>
        </w:tc>
      </w:tr>
      <w:tr>
        <w:tblPrEx>
          <w:tblCellMar>
            <w:top w:w="0" w:type="dxa"/>
            <w:left w:w="108" w:type="dxa"/>
            <w:bottom w:w="0" w:type="dxa"/>
            <w:right w:w="108" w:type="dxa"/>
          </w:tblCellMar>
        </w:tblPrEx>
        <w:trPr>
          <w:trHeight w:val="362" w:hRule="atLeast"/>
        </w:trPr>
        <w:tc>
          <w:tcPr>
            <w:tcW w:w="12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24"/>
                <w:szCs w:val="22"/>
              </w:rPr>
            </w:pPr>
          </w:p>
        </w:tc>
        <w:tc>
          <w:tcPr>
            <w:tcW w:w="756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cstheme="minorEastAsia"/>
                <w:sz w:val="24"/>
                <w:szCs w:val="22"/>
              </w:rPr>
            </w:pPr>
          </w:p>
        </w:tc>
        <w:tc>
          <w:tcPr>
            <w:tcW w:w="12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24"/>
                <w:szCs w:val="22"/>
              </w:rPr>
            </w:pPr>
          </w:p>
        </w:tc>
      </w:tr>
      <w:tr>
        <w:tblPrEx>
          <w:tblCellMar>
            <w:top w:w="0" w:type="dxa"/>
            <w:left w:w="108" w:type="dxa"/>
            <w:bottom w:w="0" w:type="dxa"/>
            <w:right w:w="108" w:type="dxa"/>
          </w:tblCellMar>
        </w:tblPrEx>
        <w:trPr>
          <w:trHeight w:val="716" w:hRule="atLeast"/>
        </w:trPr>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合计</w:t>
            </w:r>
          </w:p>
        </w:tc>
        <w:tc>
          <w:tcPr>
            <w:tcW w:w="7566" w:type="dxa"/>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eastAsiaTheme="minorEastAsia" w:cstheme="minorEastAsia"/>
                <w:sz w:val="24"/>
                <w:szCs w:val="22"/>
              </w:rPr>
            </w:pP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100</w:t>
            </w:r>
          </w:p>
        </w:tc>
      </w:tr>
    </w:tbl>
    <w:p>
      <w:pPr>
        <w:tabs>
          <w:tab w:val="left" w:pos="4900"/>
        </w:tabs>
        <w:ind w:firstLine="560"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详细评审标准</w:t>
      </w:r>
    </w:p>
    <w:p>
      <w:pPr>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1）客观评审因素评审委员会协商打分，主观评审因素评审委员会成员独立打分</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szCs w:val="21"/>
        </w:rPr>
        <w:t>2）若出现综合得分相同的，按最终报价由低到高顺序排列名次；得分且最终报价相同的，按技术指标得分顺序排列名次。</w:t>
      </w:r>
    </w:p>
    <w:p>
      <w:pPr>
        <w:spacing w:line="360" w:lineRule="auto"/>
        <w:ind w:firstLine="560"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kern w:val="0"/>
          <w:sz w:val="28"/>
          <w:szCs w:val="28"/>
        </w:rPr>
        <w:t>供应商的报价明显低于其他通过符合性审查供应商报价的，评审委员会认为有可能不能诚信履约的，应当要求其在评标现场合理的时间内提供书面说明，必要时提交相关证明材料；供应商不能证明其报价合理性的，评审委员会应当将其作为无效投标处理。</w:t>
      </w:r>
    </w:p>
    <w:p>
      <w:pPr>
        <w:spacing w:line="360" w:lineRule="auto"/>
        <w:ind w:left="359" w:leftChars="171" w:firstLine="560" w:firstLineChars="20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21．定标原则</w:t>
      </w:r>
    </w:p>
    <w:p>
      <w:pPr>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21.1综合评分法，是指响应文件满足磋商文件全部实质性要求且按评分因素的量化指标评审得分最高的供应商为成交候选供应商的评审方法。</w:t>
      </w:r>
    </w:p>
    <w:p>
      <w:pPr>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21.2评委会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21.3采购人根据评委会的评审报告，应当确定排名第一的成交候选人为成交人。排名第一的成交候选人放弃成交、因不可抗力不能履行合同、不按照磋商文件要求提交履约保证金，或者被查实存在影响成交结果的违法行为等情形，不符合成交条件的，采购人可以按照评委会提出的成交候选人名单排序依次确定其他成交候选人为成交人，也可以重新采购。</w:t>
      </w:r>
    </w:p>
    <w:p>
      <w:pPr>
        <w:spacing w:line="360" w:lineRule="auto"/>
        <w:ind w:firstLine="560" w:firstLineChars="200"/>
        <w:jc w:val="center"/>
        <w:rPr>
          <w:rFonts w:asciiTheme="minorEastAsia" w:hAnsiTheme="minorEastAsia" w:eastAsiaTheme="minorEastAsia" w:cstheme="minorEastAsia"/>
          <w:b/>
          <w:sz w:val="28"/>
          <w:szCs w:val="28"/>
        </w:rPr>
      </w:pPr>
    </w:p>
    <w:p>
      <w:pPr>
        <w:spacing w:line="360" w:lineRule="auto"/>
        <w:ind w:firstLine="560" w:firstLineChars="200"/>
        <w:jc w:val="center"/>
        <w:rPr>
          <w:rFonts w:asciiTheme="minorEastAsia" w:hAnsiTheme="minorEastAsia" w:eastAsiaTheme="minorEastAsia" w:cstheme="minorEastAsia"/>
          <w:b/>
          <w:sz w:val="28"/>
          <w:szCs w:val="28"/>
        </w:rPr>
      </w:pPr>
    </w:p>
    <w:p>
      <w:pPr>
        <w:spacing w:line="360" w:lineRule="auto"/>
        <w:ind w:firstLine="560"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第四部分  授予合同</w:t>
      </w:r>
    </w:p>
    <w:p>
      <w:pPr>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22．合同授予标准</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22.1合同将授予被确定为实质上响应磋商文件要求且综合评分得分最高的供应商。</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22.2最低投标价不一定是被授予合同的保证。</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22.3如果确定该供应商不能无条件圆满履行合同，采购人将对下一个可能中标的供应商资格做出类似的审查。</w:t>
      </w:r>
    </w:p>
    <w:p>
      <w:pPr>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23．接受和拒绝任何或所有投标的权力</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23.1为维护国家利益，采购人在授予合同之前仍有选择或拒绝任何全部投标的权力，并对所采取的行为不作任何解释。</w:t>
      </w:r>
    </w:p>
    <w:p>
      <w:pPr>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24．中标通知书</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24.1在公告中标结果的同时，采购人或者采购代理机构应当向中标人发出中标通知书，《中标通知书》一经发出即发生法律效力。</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24.2 《中标通知书》将作为签订合同的依据。</w:t>
      </w:r>
    </w:p>
    <w:p>
      <w:pPr>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25．签订合同</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25.1 中标方按照公开招标和中标方所响应文件中的约定与买方签订书面合同，所签订的合同不得对公开招标和中标方的响应文件作实质性修改。</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25.2  如中标方拒签合同，则按违约处理。采购人没收其投标保证金。</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25.3  磋商文件、中标方的响应文件及其澄清文件等，均为签订合同的依据。</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25.4 不允许中标人将中标项目分包或转交他人承担。特殊情况下，中标人必须与采购人协商后共同决定将合同标的中的部分由第三方承担服务责任，但中标方必须对合同标的的全部内容向采购人负责，并保证第三方提供的服务符合磋商文件的约定和响应文件的承诺及相关约定。</w:t>
      </w:r>
    </w:p>
    <w:bookmarkEnd w:id="0"/>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26 签订商务合同</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26.1 采购人与成交供应商应当在成交通知书发出之日起30日内，按照磋商文件确定的事项签订政府采购合同。</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成交通知书对采购人和成交供应商均具有法律效力。成交通知书发出后，采购人改变成交结果的，或者成交供应商放弃成交项目的，应当依法承担法律责任。</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26.2 成交合同不得转让。合同分包需在响应文件中予以说明，并需经采购人同意。否则，采购人有权取消成交供应商的成交资格。</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26.3 磋商文件要求成交供应商提交履约磋商保证金的，供应商应当以支票、汇票、本票或者金融机构、担保机构出具的保函等非现金形式提交。</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26.4 成交供应商拒绝与采购人签订合同的，采购人可以按照评审报告推荐的</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成交候选人名单排序，确定下一候选人为成交供应商，也可以重新开展政府采购活动。</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26.5 政府采购合同的双方当事人不得擅自变更、中止或者终止合同。</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政府采购合同继续履行将损害国家利益和社会公共利益的，双方当事人应当变更、中止或者终止合同。有过错的一方应当承担赔偿责任，双方都有过错的，各自承担相应的责任。</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27.  商务合同的组成</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27.1  下列文件均为商务合同不可分割的组成部分：</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27.1.1  成交通知书；</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27.1.2  成交供应商的响应文件；</w:t>
      </w:r>
    </w:p>
    <w:p>
      <w:pPr>
        <w:spacing w:line="360" w:lineRule="auto"/>
        <w:ind w:firstLine="552" w:firstLineChars="200"/>
        <w:rPr>
          <w:rFonts w:asciiTheme="minorEastAsia" w:hAnsiTheme="minorEastAsia" w:eastAsiaTheme="minorEastAsia" w:cstheme="minorEastAsia"/>
          <w:bCs/>
          <w:spacing w:val="-2"/>
          <w:sz w:val="28"/>
          <w:szCs w:val="28"/>
        </w:rPr>
      </w:pPr>
      <w:r>
        <w:rPr>
          <w:rFonts w:hint="eastAsia" w:asciiTheme="minorEastAsia" w:hAnsiTheme="minorEastAsia" w:eastAsiaTheme="minorEastAsia" w:cstheme="minorEastAsia"/>
          <w:bCs/>
          <w:spacing w:val="-2"/>
          <w:sz w:val="28"/>
          <w:szCs w:val="28"/>
        </w:rPr>
        <w:t>27.1.3  供应商澄清、说明或补正文件；</w:t>
      </w:r>
    </w:p>
    <w:p>
      <w:pPr>
        <w:spacing w:line="360" w:lineRule="auto"/>
        <w:ind w:firstLine="55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spacing w:val="-2"/>
          <w:sz w:val="28"/>
          <w:szCs w:val="28"/>
        </w:rPr>
        <w:t>27.1.4  磋商文件。</w:t>
      </w:r>
    </w:p>
    <w:p>
      <w:pPr>
        <w:pStyle w:val="22"/>
        <w:spacing w:line="360" w:lineRule="auto"/>
        <w:ind w:firstLine="560" w:firstLineChars="200"/>
        <w:jc w:val="center"/>
        <w:outlineLvl w:val="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采购人更改采购服务期限的权利</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28. 政府采购合同履行中，采购人需追加与合同标的相同的服务的，在不改变合同其他条款的前提下，可以与供应商协商签订补充合同，但所有补充合同的采购金额不得超过原合同采购金额的10%。</w:t>
      </w:r>
    </w:p>
    <w:p>
      <w:pPr>
        <w:pStyle w:val="22"/>
        <w:spacing w:line="360" w:lineRule="auto"/>
        <w:ind w:firstLine="560" w:firstLineChars="200"/>
        <w:jc w:val="center"/>
        <w:outlineLvl w:val="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其他事项</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29.  采购代理服务费</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29.1采购代理服务费由中标（成交）供应商支付</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30 本磋商文件是根据《中华人民共和国政府采购法》、《政府采购竞争性磋商采购方式管理暂行办法》的规定编制，解释权属新疆凯信祺盛招标代理有限公司。</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31  参与本次磋商的供应商应当有商务、技术人员对评审委员会提出商务、技术问题进行答疑。</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 xml:space="preserve">   </w:t>
      </w:r>
      <w:bookmarkStart w:id="1" w:name="_Toc149723968"/>
      <w:bookmarkStart w:id="2" w:name="_Toc148434319"/>
      <w:bookmarkStart w:id="3" w:name="_Toc414448313"/>
      <w:bookmarkStart w:id="4" w:name="_Toc417600059"/>
      <w:bookmarkStart w:id="5" w:name="_Toc16526"/>
      <w:r>
        <w:rPr>
          <w:rFonts w:hint="eastAsia" w:asciiTheme="minorEastAsia" w:hAnsiTheme="minorEastAsia" w:eastAsiaTheme="minorEastAsia" w:cstheme="minorEastAsia"/>
          <w:bCs/>
          <w:color w:val="auto"/>
          <w:spacing w:val="-2"/>
          <w:sz w:val="28"/>
          <w:szCs w:val="28"/>
        </w:rPr>
        <w:t>32、处罚、询问、质疑</w:t>
      </w:r>
      <w:bookmarkEnd w:id="1"/>
      <w:bookmarkEnd w:id="2"/>
      <w:r>
        <w:rPr>
          <w:rFonts w:hint="eastAsia" w:asciiTheme="minorEastAsia" w:hAnsiTheme="minorEastAsia" w:eastAsiaTheme="minorEastAsia" w:cstheme="minorEastAsia"/>
          <w:bCs/>
          <w:color w:val="auto"/>
          <w:spacing w:val="-2"/>
          <w:sz w:val="28"/>
          <w:szCs w:val="28"/>
        </w:rPr>
        <w:t>和投诉</w:t>
      </w:r>
      <w:bookmarkEnd w:id="3"/>
      <w:bookmarkEnd w:id="4"/>
      <w:bookmarkEnd w:id="5"/>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 xml:space="preserve">   32.1处罚</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 xml:space="preserve">   发生下列情况之一，供应商的磋商磋商保证金不予退还：</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（1）开标后在投标有效期内，供应商撤回其投标；</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（2）提供虚假材料谋取中标、成交的；</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（3）成交供应商未按本竞争性磋商文件规定签约；</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（4）成交供应商在签约后5个工作日内，未能按竞争性磋商文件的规定提交合同履约磋商保证金或开具可接受的合同履约磋商保证金保函（视为不具备签订合同条件）或合同履约磋商保证金保函弄虚作假的；</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（5）成交供应商未能按竞争性磋商文件规定缴纳招标代理服务费。</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供应商有下列情形之一的,处以政府采购项目中标金额千分之五以上千分之十以下的罚款, 列入不良行为记录名单,在一至三年内禁止参加政府采购活动,并予以通报,有违法所得的,并处没收违法所得,情节严重的,由工商行政管理机关吊销营业执照；构成犯罪的，依法追究刑事责任：</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1）提供虚假材料谋取中标的；</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2）采取不正当手段诋毁、排挤其他供应商的；</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3）与采购人、其他供应商或者采购代理机构恶意串通的；</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4）向采购人、采购代理机构行贿或者提供其他不正当利益的；</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5）在招标采购过程中与采购人进行协商磋商的、不按照竞争性磋商文件和成交供应商的响应文件订立合同，或者与采购人另行订立背离合同实质性内容的协议的；</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6）拒绝有关部门监督检查或者提供虚假情况的。</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供应商有前款1）至5）项情形之一的，中标无效。</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32.2询问</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供应商有权就磋商程序或签订合同的事宜提出询问；供应商对采购事项有疑问的，可以向采购人提出询问。</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32.3质疑与投诉</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1）供应商认为磋商文件、采购过程、中标或者成交结果使自己的权益受到损害的，可以在知道或者应知其权益受到损害之日起7个工作日内，向采购人、采购代理机构提出质疑。供应商须在法定质疑期内一次性提出针对同一采购程序环节的质疑。</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（2）质疑函的必备内容</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1）供应商提交的质疑函必须注明单位名称、地址、邮编、可供查询的单位和法定代表人的电话号码、联系人电话；</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2）质疑项目的名称、编号；</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3）具体质疑事项和与质疑事项相关的请求；</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4）事实依据；</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5）提起质疑的日期；</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6）质疑函须加盖单位公章，由法定代表人签章。</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7）委托代理人递交质疑函的，还须提交委托质疑事项的授权委托书（附法定代表人和被授权人的身份证正反面），加盖单位公章和法定代表人签章和被授权人签章，同时出示被授权人身份证。</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（3）质疑应符合下列条件：</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1）质疑人是参与所质疑项目的采购活动的供应商；</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2）质疑函内容符合相关的规定；</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3）在规定的有效期限内提起质疑；</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4）招投标监管部门规定的其他条件。</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（4）采购人在收到供应商的书面质疑后七个工作日内作出答复，并以书面形式通知质疑供应商和其他有关供应商，但答复的内容不涉及商业秘密。</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5）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bookmarkStart w:id="6" w:name="_Toc22210"/>
      <w:bookmarkStart w:id="7" w:name="_Toc414448314"/>
      <w:bookmarkStart w:id="8" w:name="_Toc417600060"/>
      <w:r>
        <w:rPr>
          <w:rFonts w:hint="eastAsia" w:asciiTheme="minorEastAsia" w:hAnsiTheme="minorEastAsia" w:eastAsiaTheme="minorEastAsia" w:cstheme="minorEastAsia"/>
          <w:bCs/>
          <w:color w:val="auto"/>
          <w:spacing w:val="-2"/>
          <w:sz w:val="28"/>
          <w:szCs w:val="28"/>
        </w:rPr>
        <w:t>33、纪律和监督</w:t>
      </w:r>
      <w:bookmarkEnd w:id="6"/>
      <w:bookmarkEnd w:id="7"/>
      <w:bookmarkEnd w:id="8"/>
      <w:bookmarkStart w:id="9" w:name="_Hlt42228925"/>
      <w:bookmarkEnd w:id="9"/>
      <w:bookmarkStart w:id="10" w:name="_Hlt42156005"/>
      <w:bookmarkEnd w:id="10"/>
      <w:bookmarkStart w:id="11" w:name="_Hlt46143102"/>
      <w:bookmarkEnd w:id="11"/>
      <w:bookmarkStart w:id="12" w:name="_Hlt42235894"/>
      <w:bookmarkEnd w:id="12"/>
      <w:bookmarkStart w:id="13" w:name="_Hlt46200272"/>
      <w:bookmarkEnd w:id="13"/>
      <w:bookmarkStart w:id="14" w:name="_Hlt42155898"/>
      <w:bookmarkEnd w:id="14"/>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33.1对采购人纪律要求</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采购人不得泄漏采购活动中应当保密的情况和资料，不得与供应商串通损害国家利益、社会公共利益或者他人合法权益。</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33.2对供应商的纪律要求</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供应商不得相互串通或者与采购人串通，不得向采购人或者磋商小组成员行贿谋取中标，不得以他人名义或者以其他方式弄虚作假骗取中标，供应商不得以任何方式干扰、影响评审工作。</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33.3对磋商小组成员的纪律要求</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评审办法”没有规定的评审因素和标准进行评审。</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33.4对与评审活动有关的工作人员的纪律要求</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与评审活动有关的工作人员不得收受他人的财物或者其他好处，不得向他人透漏对响应文件的评审和比较、中标候选人的推荐情况以及评审有关的其他情况。在评审活动中，与评审活动有关的工作人员不得擅离职守，影响评审程序正常进行。</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33.5监督</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供应商和其他利害关系人认为本次招标活动违反法律、法规和规章规定的，有权向有关行政监督部门反映（投诉）。</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bookmarkStart w:id="15" w:name="_Toc20348"/>
      <w:r>
        <w:rPr>
          <w:rFonts w:hint="eastAsia" w:asciiTheme="minorEastAsia" w:hAnsiTheme="minorEastAsia" w:eastAsiaTheme="minorEastAsia" w:cstheme="minorEastAsia"/>
          <w:bCs/>
          <w:color w:val="auto"/>
          <w:spacing w:val="-2"/>
          <w:sz w:val="28"/>
          <w:szCs w:val="28"/>
        </w:rPr>
        <w:t>34、磋商</w:t>
      </w:r>
      <w:bookmarkEnd w:id="15"/>
      <w:r>
        <w:rPr>
          <w:rFonts w:hint="eastAsia" w:asciiTheme="minorEastAsia" w:hAnsiTheme="minorEastAsia" w:eastAsiaTheme="minorEastAsia" w:cstheme="minorEastAsia"/>
          <w:bCs/>
          <w:color w:val="auto"/>
          <w:spacing w:val="-2"/>
          <w:sz w:val="28"/>
          <w:szCs w:val="28"/>
        </w:rPr>
        <w:t>磋商保证金</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34.1磋商磋商保证金用于保护采购人在本次采购免受因供应商的行为而蒙受损失。</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34.2供应商应向采购人提交本竞争性磋商文件第二部分规定数额的磋商磋商保证金，并作为其响应的一部分。</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34.3供应商可以通过电汇金方式交纳磋商磋商保证金。</w:t>
      </w:r>
    </w:p>
    <w:p>
      <w:pPr>
        <w:pStyle w:val="22"/>
        <w:spacing w:line="360" w:lineRule="auto"/>
        <w:ind w:firstLine="496"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w w:val="90"/>
          <w:sz w:val="28"/>
          <w:szCs w:val="28"/>
        </w:rPr>
        <w:t>34.4未按规定提交投磋商证金的响应，将被视为自动放弃予以拒绝。</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34.5成交供应商的磋商保证金将在成交供应商与采购人签订合同、提交履约磋商保证金后退还（由采购代理机构退还），未成交供商磋商保证金在成交合同公示后，同成交供应商磋商保证金一起退还（由采购代理机构退还）。</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bookmarkStart w:id="16" w:name="_Toc9595"/>
      <w:r>
        <w:rPr>
          <w:rFonts w:hint="eastAsia" w:asciiTheme="minorEastAsia" w:hAnsiTheme="minorEastAsia" w:eastAsiaTheme="minorEastAsia" w:cstheme="minorEastAsia"/>
          <w:bCs/>
          <w:color w:val="auto"/>
          <w:spacing w:val="-2"/>
          <w:sz w:val="28"/>
          <w:szCs w:val="28"/>
        </w:rPr>
        <w:t>35、履约磋商保证金（保函）</w:t>
      </w:r>
      <w:bookmarkEnd w:id="16"/>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35.1履约磋商保证金用于保护采购人在本次合同履约过程中免受因供应商的行为而蒙受损失；</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35.2成交供应商收到《成交通知书》，正式签订合同后5个工作日内，须按竞争性磋商文件的规定提交合同履约磋商保证金（保函），履约磋商保证金（保函）金额不得超过合同总额的10%，由采购人和中标人协商执行。</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35.3供应商可以通过支票、电汇、银行转账等非现金方式交纳履约磋商保证金。</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35.4成交供应商自行承担与按规定提供履约保证金（保函）有关的全部费用。</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35.5如果成交供应商未能按合同规定履行其义务，采购人有权没收履约磋商保证金。</w:t>
      </w:r>
    </w:p>
    <w:p>
      <w:pPr>
        <w:pStyle w:val="22"/>
        <w:spacing w:line="360" w:lineRule="auto"/>
        <w:ind w:firstLine="552" w:firstLineChars="200"/>
        <w:rPr>
          <w:rFonts w:asciiTheme="minorEastAsia" w:hAnsiTheme="minorEastAsia" w:eastAsiaTheme="minorEastAsia" w:cstheme="minorEastAsia"/>
          <w:bCs/>
          <w:color w:val="auto"/>
          <w:spacing w:val="-2"/>
          <w:sz w:val="28"/>
          <w:szCs w:val="28"/>
        </w:rPr>
      </w:pPr>
      <w:r>
        <w:rPr>
          <w:rFonts w:hint="eastAsia" w:asciiTheme="minorEastAsia" w:hAnsiTheme="minorEastAsia" w:eastAsiaTheme="minorEastAsia" w:cstheme="minorEastAsia"/>
          <w:bCs/>
          <w:color w:val="auto"/>
          <w:spacing w:val="-2"/>
          <w:sz w:val="28"/>
          <w:szCs w:val="28"/>
        </w:rPr>
        <w:t>35.6成交供应商提交的履约保证金（保函）在验收合格经采购人确认后以电汇方式退还。</w:t>
      </w:r>
    </w:p>
    <w:p>
      <w:pPr>
        <w:pStyle w:val="22"/>
        <w:numPr>
          <w:ilvl w:val="0"/>
          <w:numId w:val="4"/>
        </w:numPr>
        <w:spacing w:line="360" w:lineRule="auto"/>
        <w:ind w:left="420" w:leftChars="200"/>
        <w:jc w:val="center"/>
        <w:rPr>
          <w:rFonts w:hint="eastAsia" w:ascii="宋体" w:hAnsi="宋体" w:cs="宋体"/>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auto"/>
          <w:sz w:val="28"/>
          <w:szCs w:val="28"/>
        </w:rPr>
        <w:br w:type="page"/>
      </w:r>
      <w:r>
        <w:rPr>
          <w:rFonts w:hint="eastAsia" w:ascii="宋体" w:hAnsi="宋体" w:cs="宋体"/>
          <w:b/>
          <w:color w:val="000000" w:themeColor="text1"/>
          <w:sz w:val="28"/>
          <w:szCs w:val="28"/>
          <w14:textFill>
            <w14:solidFill>
              <w14:schemeClr w14:val="tx1"/>
            </w14:solidFill>
          </w14:textFill>
        </w:rPr>
        <w:t>采购需求</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校园基本情况</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乌鲁木齐市实验学校，坐落于乌鲁木齐市头屯河区中亚北路路65号。在校教师及学生4600余人。根据我校实际情况，</w:t>
      </w:r>
      <w:r>
        <w:rPr>
          <w:rFonts w:hint="default" w:asciiTheme="minorEastAsia" w:hAnsiTheme="minorEastAsia" w:eastAsiaTheme="minorEastAsia" w:cstheme="minorEastAsia"/>
          <w:bCs/>
          <w:color w:val="auto"/>
          <w:spacing w:val="-2"/>
          <w:kern w:val="2"/>
          <w:sz w:val="28"/>
          <w:szCs w:val="28"/>
          <w:lang w:val="en-US" w:eastAsia="zh-CN" w:bidi="ar-SA"/>
        </w:rPr>
        <w:t>需要保安</w:t>
      </w:r>
      <w:r>
        <w:rPr>
          <w:rFonts w:hint="eastAsia" w:asciiTheme="minorEastAsia" w:hAnsiTheme="minorEastAsia" w:eastAsiaTheme="minorEastAsia" w:cstheme="minorEastAsia"/>
          <w:bCs/>
          <w:color w:val="auto"/>
          <w:spacing w:val="-2"/>
          <w:kern w:val="2"/>
          <w:sz w:val="28"/>
          <w:szCs w:val="28"/>
          <w:lang w:val="en-US" w:eastAsia="zh-CN" w:bidi="ar-SA"/>
        </w:rPr>
        <w:t>岗位数13个</w:t>
      </w:r>
      <w:r>
        <w:rPr>
          <w:rFonts w:hint="default" w:asciiTheme="minorEastAsia" w:hAnsiTheme="minorEastAsia" w:eastAsiaTheme="minorEastAsia" w:cstheme="minorEastAsia"/>
          <w:bCs/>
          <w:color w:val="auto"/>
          <w:spacing w:val="-2"/>
          <w:kern w:val="2"/>
          <w:sz w:val="28"/>
          <w:szCs w:val="28"/>
          <w:lang w:val="en-US" w:eastAsia="zh-CN" w:bidi="ar-SA"/>
        </w:rPr>
        <w:t>。</w:t>
      </w:r>
      <w:r>
        <w:rPr>
          <w:rFonts w:hint="eastAsia" w:asciiTheme="minorEastAsia" w:hAnsiTheme="minorEastAsia" w:eastAsiaTheme="minorEastAsia" w:cstheme="minorEastAsia"/>
          <w:bCs/>
          <w:color w:val="auto"/>
          <w:spacing w:val="-2"/>
          <w:kern w:val="2"/>
          <w:sz w:val="28"/>
          <w:szCs w:val="28"/>
          <w:lang w:val="en-US" w:eastAsia="zh-CN" w:bidi="ar-SA"/>
        </w:rPr>
        <w:t>校园四周为围栏式围墙围合，常开放为2个校门，5栋教学楼需要巡逻，校园安全保卫组织机构健全，安全科全面负责校园的安全保卫工作，监督检查安保服务质量，并指导保安人员对校园内各类突发事件的应急处理。</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二、安保服务的主要内容</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1、负责校园门卫管理、防恐防暴、校园内巡逻、安防值守、消防管理等，维护幼儿园安全稳定，及时发现和消除安全隐患。</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2、在学校安保科的组织领导下，协同做好校园治安及综合治理工作。</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3、随时出员，为师生提供紧急救助服务。</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4、按照校园规定的时间对校门、有关道路出入口进行开启与封闭。</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5、配合公安机关，严查校园违法犯罪活动。</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（一）安保服务的具体工作内容</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乙方依照校园规定与管理要求，结合学校安全保卫工作实际情况，制订切实可行的学校安全保卫工作整体方案，开展专业化安防业务。具体服务工作内容如下：</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1、服务时间：2024年2月1日至2025年1月31日，为期一年。</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2、合同期满，学校（甲方）可视情况续签合同；若乙方服务质量达不到合同约定标准（考核不合格），视为乙方严重违约，甲方有权单方面随时终止合同。</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3、对学校日常开放的校门实行24小时门卫管理。</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4、负责校园内安全重点部位的防破坏、防事故、防盗、防外来人员私自进入等守护、守卫工作。</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5、负责对外来外来人员、出入检查、登记等门卫值勤工作。</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6、负责组织治安巡逻，及时发现各类安全隐患，制止不文明举止，发现和制止恐怖、暴力事件，随时准备为师生提供紧急救助。</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7、配合学校执行各项管理制度，接受安全办的监督检查、考核及业务指导。参与校园内突发事件处置、灾害预防、火灾扑救、大型活动安保等。</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8、其它属于保安服务范围内的工作以及学校临时交办的任务。</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（二）、人员配备要求</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1、人员要求：</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default" w:asciiTheme="minorEastAsia" w:hAnsiTheme="minorEastAsia" w:eastAsiaTheme="minorEastAsia" w:cstheme="minorEastAsia"/>
          <w:bCs/>
          <w:color w:val="auto"/>
          <w:spacing w:val="-2"/>
          <w:kern w:val="2"/>
          <w:sz w:val="28"/>
          <w:szCs w:val="28"/>
          <w:lang w:val="en-US" w:eastAsia="zh-CN" w:bidi="ar-SA"/>
        </w:rPr>
      </w:pPr>
      <w:r>
        <w:rPr>
          <w:rFonts w:hint="default" w:asciiTheme="minorEastAsia" w:hAnsiTheme="minorEastAsia" w:eastAsiaTheme="minorEastAsia" w:cstheme="minorEastAsia"/>
          <w:bCs/>
          <w:color w:val="auto"/>
          <w:spacing w:val="-2"/>
          <w:kern w:val="2"/>
          <w:sz w:val="28"/>
          <w:szCs w:val="28"/>
          <w:lang w:val="en-US" w:eastAsia="zh-CN" w:bidi="ar-SA"/>
        </w:rPr>
        <w:t>派驻</w:t>
      </w:r>
      <w:r>
        <w:rPr>
          <w:rFonts w:hint="eastAsia" w:asciiTheme="minorEastAsia" w:hAnsiTheme="minorEastAsia" w:eastAsiaTheme="minorEastAsia" w:cstheme="minorEastAsia"/>
          <w:bCs/>
          <w:color w:val="auto"/>
          <w:spacing w:val="-2"/>
          <w:kern w:val="2"/>
          <w:sz w:val="28"/>
          <w:szCs w:val="28"/>
          <w:lang w:val="en-US" w:eastAsia="zh-CN" w:bidi="ar-SA"/>
        </w:rPr>
        <w:t>学校</w:t>
      </w:r>
      <w:r>
        <w:rPr>
          <w:rFonts w:hint="default" w:asciiTheme="minorEastAsia" w:hAnsiTheme="minorEastAsia" w:eastAsiaTheme="minorEastAsia" w:cstheme="minorEastAsia"/>
          <w:bCs/>
          <w:color w:val="auto"/>
          <w:spacing w:val="-2"/>
          <w:kern w:val="2"/>
          <w:sz w:val="28"/>
          <w:szCs w:val="28"/>
          <w:lang w:val="en-US" w:eastAsia="zh-CN" w:bidi="ar-SA"/>
        </w:rPr>
        <w:t>的保安人员</w:t>
      </w:r>
      <w:r>
        <w:rPr>
          <w:rFonts w:hint="eastAsia" w:asciiTheme="minorEastAsia" w:hAnsiTheme="minorEastAsia" w:eastAsiaTheme="minorEastAsia" w:cstheme="minorEastAsia"/>
          <w:bCs/>
          <w:color w:val="auto"/>
          <w:spacing w:val="-2"/>
          <w:kern w:val="2"/>
          <w:sz w:val="28"/>
          <w:szCs w:val="28"/>
          <w:lang w:val="en-US" w:eastAsia="zh-CN" w:bidi="ar-SA"/>
        </w:rPr>
        <w:t>岗位</w:t>
      </w:r>
      <w:r>
        <w:rPr>
          <w:rFonts w:hint="default" w:asciiTheme="minorEastAsia" w:hAnsiTheme="minorEastAsia" w:eastAsiaTheme="minorEastAsia" w:cstheme="minorEastAsia"/>
          <w:bCs/>
          <w:color w:val="auto"/>
          <w:spacing w:val="-2"/>
          <w:kern w:val="2"/>
          <w:sz w:val="28"/>
          <w:szCs w:val="28"/>
          <w:lang w:val="en-US" w:eastAsia="zh-CN" w:bidi="ar-SA"/>
        </w:rPr>
        <w:t>数</w:t>
      </w:r>
      <w:r>
        <w:rPr>
          <w:rFonts w:hint="eastAsia" w:asciiTheme="minorEastAsia" w:hAnsiTheme="minorEastAsia" w:eastAsiaTheme="minorEastAsia" w:cstheme="minorEastAsia"/>
          <w:bCs/>
          <w:color w:val="auto"/>
          <w:spacing w:val="-2"/>
          <w:kern w:val="2"/>
          <w:sz w:val="28"/>
          <w:szCs w:val="28"/>
          <w:lang w:val="en-US" w:eastAsia="zh-CN" w:bidi="ar-SA"/>
        </w:rPr>
        <w:t>13个</w:t>
      </w:r>
      <w:r>
        <w:rPr>
          <w:rFonts w:hint="default" w:asciiTheme="minorEastAsia" w:hAnsiTheme="minorEastAsia" w:eastAsiaTheme="minorEastAsia" w:cstheme="minorEastAsia"/>
          <w:bCs/>
          <w:color w:val="auto"/>
          <w:spacing w:val="-2"/>
          <w:kern w:val="2"/>
          <w:sz w:val="28"/>
          <w:szCs w:val="28"/>
          <w:lang w:val="en-US" w:eastAsia="zh-CN" w:bidi="ar-SA"/>
        </w:rPr>
        <w:t>，其中：保安</w:t>
      </w:r>
      <w:r>
        <w:rPr>
          <w:rFonts w:hint="eastAsia" w:asciiTheme="minorEastAsia" w:hAnsiTheme="minorEastAsia" w:eastAsiaTheme="minorEastAsia" w:cstheme="minorEastAsia"/>
          <w:bCs/>
          <w:color w:val="auto"/>
          <w:spacing w:val="-2"/>
          <w:kern w:val="2"/>
          <w:sz w:val="28"/>
          <w:szCs w:val="28"/>
          <w:lang w:val="en-US" w:eastAsia="zh-CN" w:bidi="ar-SA"/>
        </w:rPr>
        <w:t>管理岗1个</w:t>
      </w:r>
      <w:r>
        <w:rPr>
          <w:rFonts w:hint="default" w:asciiTheme="minorEastAsia" w:hAnsiTheme="minorEastAsia" w:eastAsiaTheme="minorEastAsia" w:cstheme="minorEastAsia"/>
          <w:bCs/>
          <w:color w:val="auto"/>
          <w:spacing w:val="-2"/>
          <w:kern w:val="2"/>
          <w:sz w:val="28"/>
          <w:szCs w:val="28"/>
          <w:lang w:val="en-US" w:eastAsia="zh-CN" w:bidi="ar-SA"/>
        </w:rPr>
        <w:t>，监控</w:t>
      </w:r>
      <w:r>
        <w:rPr>
          <w:rFonts w:hint="eastAsia" w:asciiTheme="minorEastAsia" w:hAnsiTheme="minorEastAsia" w:eastAsiaTheme="minorEastAsia" w:cstheme="minorEastAsia"/>
          <w:bCs/>
          <w:color w:val="auto"/>
          <w:spacing w:val="-2"/>
          <w:kern w:val="2"/>
          <w:sz w:val="28"/>
          <w:szCs w:val="28"/>
          <w:lang w:val="en-US" w:eastAsia="zh-CN" w:bidi="ar-SA"/>
        </w:rPr>
        <w:t>室</w:t>
      </w:r>
      <w:r>
        <w:rPr>
          <w:rFonts w:hint="default" w:asciiTheme="minorEastAsia" w:hAnsiTheme="minorEastAsia" w:eastAsiaTheme="minorEastAsia" w:cstheme="minorEastAsia"/>
          <w:bCs/>
          <w:color w:val="auto"/>
          <w:spacing w:val="-2"/>
          <w:kern w:val="2"/>
          <w:sz w:val="28"/>
          <w:szCs w:val="28"/>
          <w:lang w:val="en-US" w:eastAsia="zh-CN" w:bidi="ar-SA"/>
        </w:rPr>
        <w:t>值守</w:t>
      </w:r>
      <w:r>
        <w:rPr>
          <w:rFonts w:hint="eastAsia" w:asciiTheme="minorEastAsia" w:hAnsiTheme="minorEastAsia" w:eastAsiaTheme="minorEastAsia" w:cstheme="minorEastAsia"/>
          <w:bCs/>
          <w:color w:val="auto"/>
          <w:spacing w:val="-2"/>
          <w:kern w:val="2"/>
          <w:sz w:val="28"/>
          <w:szCs w:val="28"/>
          <w:lang w:val="en-US" w:eastAsia="zh-CN" w:bidi="ar-SA"/>
        </w:rPr>
        <w:t>岗2个、</w:t>
      </w:r>
      <w:r>
        <w:rPr>
          <w:rFonts w:hint="default" w:asciiTheme="minorEastAsia" w:hAnsiTheme="minorEastAsia" w:eastAsiaTheme="minorEastAsia" w:cstheme="minorEastAsia"/>
          <w:bCs/>
          <w:color w:val="auto"/>
          <w:spacing w:val="-2"/>
          <w:kern w:val="2"/>
          <w:sz w:val="28"/>
          <w:szCs w:val="28"/>
          <w:lang w:val="en-US" w:eastAsia="zh-CN" w:bidi="ar-SA"/>
        </w:rPr>
        <w:t>消防控制室</w:t>
      </w:r>
      <w:r>
        <w:rPr>
          <w:rFonts w:hint="eastAsia" w:asciiTheme="minorEastAsia" w:hAnsiTheme="minorEastAsia" w:eastAsiaTheme="minorEastAsia" w:cstheme="minorEastAsia"/>
          <w:bCs/>
          <w:color w:val="auto"/>
          <w:spacing w:val="-2"/>
          <w:kern w:val="2"/>
          <w:sz w:val="28"/>
          <w:szCs w:val="28"/>
          <w:lang w:val="en-US" w:eastAsia="zh-CN" w:bidi="ar-SA"/>
        </w:rPr>
        <w:t>岗2个、巡逻岗1个、公寓岗1个。</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（1）保安队员：男60周岁以下，五官端正，初中以上文化程度，其中非乌市户口人员不得超过2名。每月工资待遇不低于当地最低工资水平。</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（2）保安队长：年龄30-60岁，具有高中以上文化程度至少1年保安班长经历(提供合同原件)。</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（3）岗位设置：</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白班7岗，夜班6岗（白班7岗：白班2岗看监控及值守消防控制室，2岗值守后门，3岗值守前门，负责校内巡逻兼护学岗；夜班6岗，2岗看监控及值守消防控制室，2岗值守后门、2岗值守前门，负责巡逻）。保证监控室消控室24小时有人值守。按时巡逻，上班期间不能睡岗、漏岗、玩手机等，按时按要求填写各项表格，当日事当日闭。</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2、乙方派驻到甲方的人员必须是按照公安部门招聘条件录用的，政审、体检、培训、考核合格并取得《保安从业资格证书》。派驻人员上岗须提交身份证复印件和上岗资格证复印件，由甲、乙双方共同管理。</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3、乙方人员在履行职责时发生的意外伤害及劳资纠纷，由派驻方负责。</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二、岗位要求：</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default" w:asciiTheme="minorEastAsia" w:hAnsiTheme="minorEastAsia" w:eastAsiaTheme="minorEastAsia" w:cstheme="minorEastAsia"/>
          <w:bCs/>
          <w:color w:val="auto"/>
          <w:spacing w:val="-2"/>
          <w:kern w:val="2"/>
          <w:sz w:val="28"/>
          <w:szCs w:val="28"/>
          <w:lang w:val="en-US" w:eastAsia="zh-CN" w:bidi="ar-SA"/>
        </w:rPr>
      </w:pPr>
      <w:r>
        <w:rPr>
          <w:rFonts w:hint="eastAsia" w:asciiTheme="minorEastAsia" w:hAnsiTheme="minorEastAsia" w:eastAsiaTheme="minorEastAsia" w:cstheme="minorEastAsia"/>
          <w:bCs/>
          <w:color w:val="auto"/>
          <w:spacing w:val="-2"/>
          <w:kern w:val="2"/>
          <w:sz w:val="28"/>
          <w:szCs w:val="28"/>
          <w:lang w:val="en-US" w:eastAsia="zh-CN" w:bidi="ar-SA"/>
        </w:rPr>
        <w:t>1、</w:t>
      </w:r>
      <w:r>
        <w:rPr>
          <w:rFonts w:hint="default" w:asciiTheme="minorEastAsia" w:hAnsiTheme="minorEastAsia" w:eastAsiaTheme="minorEastAsia" w:cstheme="minorEastAsia"/>
          <w:bCs/>
          <w:color w:val="auto"/>
          <w:spacing w:val="-2"/>
          <w:kern w:val="2"/>
          <w:sz w:val="28"/>
          <w:szCs w:val="28"/>
          <w:lang w:val="en-US" w:eastAsia="zh-CN" w:bidi="ar-SA"/>
        </w:rPr>
        <w:t>乙方根据甲方的工作需要，选派思想品德良好，身体健康、能胜任保安员工作的男保安员为甲方提供优质的保安服务，年龄60周岁以下并持有公安机关下发的保安证书上岗。</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default" w:asciiTheme="minorEastAsia" w:hAnsiTheme="minorEastAsia" w:eastAsiaTheme="minorEastAsia" w:cstheme="minorEastAsia"/>
          <w:bCs/>
          <w:color w:val="auto"/>
          <w:spacing w:val="-2"/>
          <w:kern w:val="2"/>
          <w:sz w:val="28"/>
          <w:szCs w:val="28"/>
          <w:lang w:val="en-US" w:eastAsia="zh-CN" w:bidi="ar-SA"/>
        </w:rPr>
      </w:pPr>
      <w:r>
        <w:rPr>
          <w:rFonts w:hint="default" w:asciiTheme="minorEastAsia" w:hAnsiTheme="minorEastAsia" w:eastAsiaTheme="minorEastAsia" w:cstheme="minorEastAsia"/>
          <w:bCs/>
          <w:color w:val="auto"/>
          <w:spacing w:val="-2"/>
          <w:kern w:val="2"/>
          <w:sz w:val="28"/>
          <w:szCs w:val="28"/>
          <w:lang w:val="en-US" w:eastAsia="zh-CN" w:bidi="ar-SA"/>
        </w:rPr>
        <w:t>2、乙方人员在工作中着装整齐、文明执勤、忠于职守、持证上岗，必须做到不迟到、不早退、不脱岗、不酒后上岗、上岗期间不做与工作无关的事，若乙方人员两次（包括）以上违反以上规则制度或因违反政府相关部门、社区、安保、防疫等规定致使甲方被下发整改通知书的，经乙方认可，甲方有权按照70％支付当月全体保安费用并有权解除合同</w:t>
      </w:r>
      <w:r>
        <w:rPr>
          <w:rFonts w:hint="eastAsia" w:asciiTheme="minorEastAsia" w:hAnsiTheme="minorEastAsia" w:eastAsiaTheme="minorEastAsia" w:cstheme="minorEastAsia"/>
          <w:bCs/>
          <w:color w:val="auto"/>
          <w:spacing w:val="-2"/>
          <w:kern w:val="2"/>
          <w:sz w:val="28"/>
          <w:szCs w:val="28"/>
          <w:lang w:val="en-US" w:eastAsia="zh-CN" w:bidi="ar-SA"/>
        </w:rPr>
        <w:t>；</w:t>
      </w:r>
      <w:r>
        <w:rPr>
          <w:rFonts w:hint="default" w:asciiTheme="minorEastAsia" w:hAnsiTheme="minorEastAsia" w:eastAsiaTheme="minorEastAsia" w:cstheme="minorEastAsia"/>
          <w:bCs/>
          <w:color w:val="auto"/>
          <w:spacing w:val="-2"/>
          <w:kern w:val="2"/>
          <w:sz w:val="28"/>
          <w:szCs w:val="28"/>
          <w:lang w:val="en-US" w:eastAsia="zh-CN" w:bidi="ar-SA"/>
        </w:rPr>
        <w:t>如有处罚款项的，需由乙方承担全部金额。乙方派驻保安员必须严格按照不低于公安部颁布的《保安服务操作规程》与质量控制标准提供保安服务，对甲方因保安服务提出的合理建议和要求尽量给予满足，并及时整改，乙方有义务对派驻的保安员明确保安服务的工作要求。</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default" w:asciiTheme="minorEastAsia" w:hAnsiTheme="minorEastAsia" w:eastAsiaTheme="minorEastAsia" w:cstheme="minorEastAsia"/>
          <w:bCs/>
          <w:color w:val="auto"/>
          <w:spacing w:val="-2"/>
          <w:kern w:val="2"/>
          <w:sz w:val="28"/>
          <w:szCs w:val="28"/>
          <w:lang w:val="en-US" w:eastAsia="zh-CN" w:bidi="ar-SA"/>
        </w:rPr>
      </w:pPr>
      <w:r>
        <w:rPr>
          <w:rFonts w:hint="default" w:asciiTheme="minorEastAsia" w:hAnsiTheme="minorEastAsia" w:eastAsiaTheme="minorEastAsia" w:cstheme="minorEastAsia"/>
          <w:bCs/>
          <w:color w:val="auto"/>
          <w:spacing w:val="-2"/>
          <w:kern w:val="2"/>
          <w:sz w:val="28"/>
          <w:szCs w:val="28"/>
          <w:lang w:val="en-US" w:eastAsia="zh-CN" w:bidi="ar-SA"/>
        </w:rPr>
        <w:t>3、乙方按照甲方的工作要求，结合甲方的工作环境，有权限据《劳动合同法》和国家劳动标准，要求甲方为保安员提供相应的劳动条件和劳动保护，尽可能创造良好条件。</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default" w:asciiTheme="minorEastAsia" w:hAnsiTheme="minorEastAsia" w:eastAsiaTheme="minorEastAsia" w:cstheme="minorEastAsia"/>
          <w:bCs/>
          <w:color w:val="auto"/>
          <w:spacing w:val="-2"/>
          <w:kern w:val="2"/>
          <w:sz w:val="28"/>
          <w:szCs w:val="28"/>
          <w:lang w:val="en-US" w:eastAsia="zh-CN" w:bidi="ar-SA"/>
        </w:rPr>
      </w:pPr>
      <w:r>
        <w:rPr>
          <w:rFonts w:hint="default" w:asciiTheme="minorEastAsia" w:hAnsiTheme="minorEastAsia" w:eastAsiaTheme="minorEastAsia" w:cstheme="minorEastAsia"/>
          <w:bCs/>
          <w:color w:val="auto"/>
          <w:spacing w:val="-2"/>
          <w:kern w:val="2"/>
          <w:sz w:val="28"/>
          <w:szCs w:val="28"/>
          <w:lang w:val="en-US" w:eastAsia="zh-CN" w:bidi="ar-SA"/>
        </w:rPr>
        <w:t> 4、乙方应与保安员签订劳动合同并为其缴纳社会保险费，并为其投保人身意外伤害综合险。保安员的基本工资、基本养老保险、医疗保险、意外伤害、失业保险、工伤险、生育保险、绩效奖金、加班费、服装器械等费用由乙方负责办理并承担费用。</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default" w:ascii="方正仿宋_GBK" w:hAnsi="方正仿宋_GBK" w:eastAsia="方正仿宋_GBK" w:cs="方正仿宋_GBK"/>
          <w:sz w:val="32"/>
          <w:szCs w:val="32"/>
          <w:lang w:val="en-US" w:eastAsia="zh-CN" w:bidi="ar-SA"/>
        </w:rPr>
      </w:pPr>
      <w:r>
        <w:rPr>
          <w:rFonts w:hint="default" w:asciiTheme="minorEastAsia" w:hAnsiTheme="minorEastAsia" w:eastAsiaTheme="minorEastAsia" w:cstheme="minorEastAsia"/>
          <w:bCs/>
          <w:color w:val="auto"/>
          <w:spacing w:val="-2"/>
          <w:kern w:val="2"/>
          <w:sz w:val="28"/>
          <w:szCs w:val="28"/>
          <w:lang w:val="en-US" w:eastAsia="zh-CN" w:bidi="ar-SA"/>
        </w:rPr>
        <w:t> 5、对甲方提出的不能履行岗位职责，不能胜任本职工作的保安员，乙方在接到甲方提出更换通知的5日内更换人员。</w:t>
      </w:r>
    </w:p>
    <w:p>
      <w:pPr>
        <w:pStyle w:val="22"/>
        <w:numPr>
          <w:ilvl w:val="0"/>
          <w:numId w:val="0"/>
        </w:numPr>
        <w:spacing w:line="360" w:lineRule="auto"/>
        <w:jc w:val="both"/>
        <w:rPr>
          <w:rFonts w:hint="eastAsia" w:asciiTheme="minorEastAsia" w:hAnsiTheme="minorEastAsia" w:eastAsiaTheme="minorEastAsia" w:cstheme="minorEastAsia"/>
          <w:bCs/>
          <w:color w:val="auto"/>
          <w:spacing w:val="-2"/>
          <w:kern w:val="2"/>
          <w:sz w:val="28"/>
          <w:szCs w:val="28"/>
          <w:lang w:val="en-US" w:eastAsia="zh-CN" w:bidi="ar-SA"/>
        </w:rPr>
      </w:pPr>
    </w:p>
    <w:p>
      <w:pPr>
        <w:adjustRightInd w:val="0"/>
        <w:snapToGrid w:val="0"/>
        <w:spacing w:before="156" w:beforeLines="50" w:line="360" w:lineRule="auto"/>
        <w:jc w:val="center"/>
        <w:rPr>
          <w:rStyle w:val="24"/>
          <w:rFonts w:asciiTheme="minorEastAsia" w:hAnsiTheme="minorEastAsia" w:eastAsiaTheme="minorEastAsia" w:cstheme="minorEastAsia"/>
          <w:b/>
          <w:szCs w:val="28"/>
        </w:rPr>
      </w:pPr>
    </w:p>
    <w:p>
      <w:pPr>
        <w:adjustRightInd w:val="0"/>
        <w:snapToGrid w:val="0"/>
        <w:spacing w:before="156" w:beforeLines="50" w:line="360" w:lineRule="auto"/>
        <w:jc w:val="center"/>
        <w:rPr>
          <w:rStyle w:val="24"/>
          <w:rFonts w:asciiTheme="minorEastAsia" w:hAnsiTheme="minorEastAsia" w:eastAsiaTheme="minorEastAsia" w:cstheme="minorEastAsia"/>
          <w:b/>
          <w:szCs w:val="28"/>
        </w:rPr>
      </w:pPr>
    </w:p>
    <w:p>
      <w:pPr>
        <w:adjustRightInd w:val="0"/>
        <w:snapToGrid w:val="0"/>
        <w:spacing w:before="156" w:beforeLines="50" w:line="360" w:lineRule="auto"/>
        <w:jc w:val="center"/>
        <w:rPr>
          <w:rStyle w:val="24"/>
          <w:rFonts w:asciiTheme="minorEastAsia" w:hAnsiTheme="minorEastAsia" w:eastAsiaTheme="minorEastAsia" w:cstheme="minorEastAsia"/>
          <w:b/>
          <w:szCs w:val="28"/>
        </w:rPr>
      </w:pPr>
    </w:p>
    <w:p>
      <w:pPr>
        <w:adjustRightInd w:val="0"/>
        <w:snapToGrid w:val="0"/>
        <w:spacing w:before="156" w:beforeLines="50" w:line="360" w:lineRule="auto"/>
        <w:jc w:val="center"/>
        <w:rPr>
          <w:rStyle w:val="24"/>
          <w:rFonts w:asciiTheme="minorEastAsia" w:hAnsiTheme="minorEastAsia" w:eastAsiaTheme="minorEastAsia" w:cstheme="minorEastAsia"/>
          <w:b/>
          <w:szCs w:val="28"/>
        </w:rPr>
      </w:pPr>
    </w:p>
    <w:p>
      <w:pPr>
        <w:adjustRightInd w:val="0"/>
        <w:snapToGrid w:val="0"/>
        <w:spacing w:before="156" w:beforeLines="50" w:line="360" w:lineRule="auto"/>
        <w:jc w:val="center"/>
        <w:rPr>
          <w:rStyle w:val="24"/>
          <w:rFonts w:asciiTheme="minorEastAsia" w:hAnsiTheme="minorEastAsia" w:eastAsiaTheme="minorEastAsia" w:cstheme="minorEastAsia"/>
          <w:b/>
          <w:szCs w:val="28"/>
        </w:rPr>
      </w:pPr>
    </w:p>
    <w:p>
      <w:pPr>
        <w:adjustRightInd w:val="0"/>
        <w:snapToGrid w:val="0"/>
        <w:spacing w:before="156" w:beforeLines="50" w:line="360" w:lineRule="auto"/>
        <w:jc w:val="center"/>
        <w:rPr>
          <w:rStyle w:val="24"/>
          <w:rFonts w:asciiTheme="minorEastAsia" w:hAnsiTheme="minorEastAsia" w:eastAsiaTheme="minorEastAsia" w:cstheme="minorEastAsia"/>
          <w:b/>
          <w:szCs w:val="28"/>
        </w:rPr>
      </w:pPr>
    </w:p>
    <w:p>
      <w:pPr>
        <w:adjustRightInd w:val="0"/>
        <w:snapToGrid w:val="0"/>
        <w:spacing w:before="156" w:beforeLines="50" w:line="360" w:lineRule="auto"/>
        <w:jc w:val="center"/>
        <w:rPr>
          <w:rStyle w:val="24"/>
          <w:rFonts w:asciiTheme="minorEastAsia" w:hAnsiTheme="minorEastAsia" w:eastAsiaTheme="minorEastAsia" w:cstheme="minorEastAsia"/>
          <w:b/>
          <w:szCs w:val="28"/>
        </w:rPr>
      </w:pPr>
    </w:p>
    <w:p>
      <w:pPr>
        <w:adjustRightInd w:val="0"/>
        <w:snapToGrid w:val="0"/>
        <w:spacing w:before="156" w:beforeLines="50" w:line="360" w:lineRule="auto"/>
        <w:jc w:val="center"/>
        <w:rPr>
          <w:rStyle w:val="24"/>
          <w:rFonts w:asciiTheme="minorEastAsia" w:hAnsiTheme="minorEastAsia" w:eastAsiaTheme="minorEastAsia" w:cstheme="minorEastAsia"/>
          <w:b/>
          <w:szCs w:val="28"/>
        </w:rPr>
      </w:pPr>
    </w:p>
    <w:p>
      <w:pPr>
        <w:adjustRightInd w:val="0"/>
        <w:snapToGrid w:val="0"/>
        <w:spacing w:before="156" w:beforeLines="50" w:line="360" w:lineRule="auto"/>
        <w:jc w:val="center"/>
        <w:rPr>
          <w:rStyle w:val="24"/>
          <w:rFonts w:asciiTheme="minorEastAsia" w:hAnsiTheme="minorEastAsia" w:eastAsiaTheme="minorEastAsia" w:cstheme="minorEastAsia"/>
          <w:b/>
          <w:szCs w:val="28"/>
        </w:rPr>
      </w:pPr>
    </w:p>
    <w:p>
      <w:pPr>
        <w:adjustRightInd w:val="0"/>
        <w:snapToGrid w:val="0"/>
        <w:spacing w:before="156" w:beforeLines="50" w:line="360" w:lineRule="auto"/>
        <w:jc w:val="center"/>
        <w:rPr>
          <w:rStyle w:val="24"/>
          <w:rFonts w:asciiTheme="minorEastAsia" w:hAnsiTheme="minorEastAsia" w:eastAsiaTheme="minorEastAsia" w:cstheme="minorEastAsia"/>
          <w:b/>
          <w:szCs w:val="28"/>
        </w:rPr>
      </w:pPr>
    </w:p>
    <w:p>
      <w:pPr>
        <w:adjustRightInd w:val="0"/>
        <w:snapToGrid w:val="0"/>
        <w:spacing w:before="156" w:beforeLines="50" w:line="360" w:lineRule="auto"/>
        <w:jc w:val="center"/>
        <w:rPr>
          <w:rStyle w:val="24"/>
          <w:rFonts w:asciiTheme="minorEastAsia" w:hAnsiTheme="minorEastAsia" w:eastAsiaTheme="minorEastAsia" w:cstheme="minorEastAsia"/>
          <w:b/>
          <w:szCs w:val="28"/>
        </w:rPr>
      </w:pPr>
    </w:p>
    <w:p>
      <w:pPr>
        <w:adjustRightInd w:val="0"/>
        <w:snapToGrid w:val="0"/>
        <w:spacing w:before="156" w:beforeLines="50" w:line="360" w:lineRule="auto"/>
        <w:jc w:val="center"/>
        <w:rPr>
          <w:rStyle w:val="24"/>
          <w:rFonts w:asciiTheme="minorEastAsia" w:hAnsiTheme="minorEastAsia" w:eastAsiaTheme="minorEastAsia" w:cstheme="minorEastAsia"/>
          <w:b/>
          <w:szCs w:val="28"/>
        </w:rPr>
      </w:pPr>
    </w:p>
    <w:p>
      <w:pPr>
        <w:adjustRightInd w:val="0"/>
        <w:snapToGrid w:val="0"/>
        <w:spacing w:before="156" w:beforeLines="50" w:line="360" w:lineRule="auto"/>
        <w:jc w:val="center"/>
        <w:rPr>
          <w:rStyle w:val="24"/>
          <w:rFonts w:asciiTheme="minorEastAsia" w:hAnsiTheme="minorEastAsia" w:eastAsiaTheme="minorEastAsia" w:cstheme="minorEastAsia"/>
          <w:b/>
          <w:szCs w:val="28"/>
        </w:rPr>
      </w:pPr>
    </w:p>
    <w:p>
      <w:pPr>
        <w:adjustRightInd w:val="0"/>
        <w:snapToGrid w:val="0"/>
        <w:spacing w:before="156" w:beforeLines="50" w:line="360" w:lineRule="auto"/>
        <w:jc w:val="center"/>
        <w:rPr>
          <w:rStyle w:val="24"/>
          <w:rFonts w:asciiTheme="minorEastAsia" w:hAnsiTheme="minorEastAsia" w:eastAsiaTheme="minorEastAsia" w:cstheme="minorEastAsia"/>
          <w:b/>
          <w:szCs w:val="28"/>
        </w:rPr>
      </w:pPr>
    </w:p>
    <w:p>
      <w:pPr>
        <w:adjustRightInd w:val="0"/>
        <w:snapToGrid w:val="0"/>
        <w:spacing w:before="156" w:beforeLines="50" w:line="360" w:lineRule="auto"/>
        <w:jc w:val="center"/>
        <w:rPr>
          <w:rStyle w:val="24"/>
          <w:rFonts w:asciiTheme="minorEastAsia" w:hAnsiTheme="minorEastAsia" w:eastAsiaTheme="minorEastAsia" w:cstheme="minorEastAsia"/>
          <w:b/>
          <w:szCs w:val="28"/>
        </w:rPr>
      </w:pPr>
    </w:p>
    <w:p>
      <w:pPr>
        <w:adjustRightInd w:val="0"/>
        <w:snapToGrid w:val="0"/>
        <w:spacing w:before="156" w:beforeLines="50" w:line="360" w:lineRule="auto"/>
        <w:rPr>
          <w:rStyle w:val="24"/>
          <w:rFonts w:asciiTheme="minorEastAsia" w:hAnsiTheme="minorEastAsia" w:eastAsiaTheme="minorEastAsia" w:cstheme="minorEastAsia"/>
          <w:b/>
          <w:szCs w:val="28"/>
        </w:rPr>
      </w:pPr>
    </w:p>
    <w:p>
      <w:pPr>
        <w:adjustRightInd w:val="0"/>
        <w:snapToGrid w:val="0"/>
        <w:spacing w:before="156" w:beforeLines="50" w:line="360" w:lineRule="auto"/>
        <w:jc w:val="center"/>
        <w:rPr>
          <w:rStyle w:val="24"/>
          <w:rFonts w:hint="eastAsia" w:asciiTheme="minorEastAsia" w:hAnsiTheme="minorEastAsia" w:eastAsiaTheme="minorEastAsia" w:cstheme="minorEastAsia"/>
          <w:b/>
          <w:szCs w:val="28"/>
        </w:rPr>
      </w:pPr>
    </w:p>
    <w:p>
      <w:pPr>
        <w:adjustRightInd w:val="0"/>
        <w:snapToGrid w:val="0"/>
        <w:spacing w:before="156" w:beforeLines="50" w:line="360" w:lineRule="auto"/>
        <w:jc w:val="center"/>
        <w:rPr>
          <w:rFonts w:hint="eastAsia" w:asciiTheme="minorEastAsia" w:hAnsiTheme="minorEastAsia" w:eastAsiaTheme="minorEastAsia" w:cstheme="minorEastAsia"/>
          <w:sz w:val="28"/>
          <w:szCs w:val="28"/>
          <w:lang w:eastAsia="zh-CN"/>
        </w:rPr>
      </w:pPr>
      <w:r>
        <w:rPr>
          <w:rStyle w:val="24"/>
          <w:rFonts w:hint="eastAsia" w:asciiTheme="minorEastAsia" w:hAnsiTheme="minorEastAsia" w:eastAsiaTheme="minorEastAsia" w:cstheme="minorEastAsia"/>
          <w:b/>
          <w:szCs w:val="28"/>
        </w:rPr>
        <w:t>第六部分  合同</w:t>
      </w:r>
    </w:p>
    <w:p>
      <w:pPr>
        <w:pStyle w:val="3"/>
        <w:tabs>
          <w:tab w:val="left" w:pos="330"/>
          <w:tab w:val="clear" w:pos="420"/>
        </w:tabs>
        <w:ind w:left="0" w:firstLine="560" w:firstLineChars="200"/>
        <w:rPr>
          <w:rFonts w:asciiTheme="minorEastAsia" w:hAnsiTheme="minorEastAsia" w:eastAsiaTheme="minorEastAsia" w:cstheme="minorEastAsia"/>
          <w:sz w:val="28"/>
          <w:szCs w:val="28"/>
        </w:rPr>
      </w:pPr>
      <w:bookmarkStart w:id="17" w:name="_Toc13639"/>
      <w:bookmarkStart w:id="18" w:name="_Toc13204"/>
      <w:bookmarkStart w:id="19" w:name="_Toc4998"/>
      <w:bookmarkStart w:id="20" w:name="_Toc15727"/>
      <w:r>
        <w:rPr>
          <w:rFonts w:hint="eastAsia" w:asciiTheme="minorEastAsia" w:hAnsiTheme="minorEastAsia" w:eastAsiaTheme="minorEastAsia" w:cstheme="minorEastAsia"/>
          <w:sz w:val="28"/>
          <w:szCs w:val="28"/>
        </w:rPr>
        <w:t>一、合同</w:t>
      </w:r>
      <w:bookmarkEnd w:id="17"/>
      <w:bookmarkEnd w:id="18"/>
      <w:bookmarkEnd w:id="19"/>
      <w:bookmarkEnd w:id="20"/>
      <w:r>
        <w:rPr>
          <w:rFonts w:hint="eastAsia" w:asciiTheme="minorEastAsia" w:hAnsiTheme="minorEastAsia" w:eastAsiaTheme="minorEastAsia" w:cstheme="minorEastAsia"/>
          <w:sz w:val="28"/>
          <w:szCs w:val="28"/>
        </w:rPr>
        <w:t>专用条款</w:t>
      </w:r>
    </w:p>
    <w:p>
      <w:pPr>
        <w:pStyle w:val="28"/>
        <w:spacing w:line="416" w:lineRule="atLeast"/>
        <w:ind w:firstLine="56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根据《政府采购法》和《民法典》行业标准、采购文件的要求以及采购人和供应商之间的权利和义务，按照平等互惠的原则以合同方式约定。此合同书仅作为签订正式合同时的参考，正式合同书应包括本参考格式之内容。</w:t>
      </w:r>
    </w:p>
    <w:p>
      <w:pPr>
        <w:pStyle w:val="4"/>
        <w:numPr>
          <w:ilvl w:val="0"/>
          <w:numId w:val="0"/>
        </w:numPr>
        <w:tabs>
          <w:tab w:val="left" w:pos="330"/>
        </w:tabs>
        <w:ind w:firstLine="560" w:firstLineChars="200"/>
        <w:rPr>
          <w:rFonts w:asciiTheme="minorEastAsia" w:hAnsiTheme="minorEastAsia" w:eastAsiaTheme="minorEastAsia" w:cstheme="minorEastAsia"/>
          <w:szCs w:val="28"/>
        </w:rPr>
      </w:pPr>
      <w:bookmarkStart w:id="21" w:name="_Toc7754"/>
      <w:bookmarkStart w:id="22" w:name="_Toc12877"/>
      <w:bookmarkStart w:id="23" w:name="_Toc32262"/>
      <w:bookmarkStart w:id="24" w:name="_Toc31037"/>
      <w:bookmarkStart w:id="25" w:name="_Toc20911"/>
      <w:bookmarkStart w:id="26" w:name="_Toc29733"/>
      <w:bookmarkStart w:id="27" w:name="_Toc27240"/>
      <w:bookmarkStart w:id="28" w:name="_Toc15026"/>
      <w:bookmarkStart w:id="29" w:name="_Toc18147"/>
      <w:bookmarkStart w:id="30" w:name="_Toc16897"/>
      <w:bookmarkStart w:id="31" w:name="_Toc27427"/>
      <w:r>
        <w:rPr>
          <w:rFonts w:hint="eastAsia" w:asciiTheme="minorEastAsia" w:hAnsiTheme="minorEastAsia" w:eastAsiaTheme="minorEastAsia" w:cstheme="minorEastAsia"/>
          <w:szCs w:val="28"/>
        </w:rPr>
        <w:t>1、签订合同相关文件</w:t>
      </w:r>
      <w:bookmarkEnd w:id="21"/>
      <w:bookmarkEnd w:id="22"/>
      <w:bookmarkEnd w:id="23"/>
      <w:bookmarkEnd w:id="24"/>
      <w:bookmarkEnd w:id="25"/>
      <w:bookmarkEnd w:id="26"/>
      <w:bookmarkEnd w:id="27"/>
      <w:bookmarkEnd w:id="28"/>
      <w:bookmarkEnd w:id="29"/>
      <w:bookmarkEnd w:id="30"/>
      <w:bookmarkEnd w:id="31"/>
    </w:p>
    <w:p>
      <w:pPr>
        <w:pStyle w:val="28"/>
        <w:spacing w:line="416" w:lineRule="atLeast"/>
        <w:ind w:firstLine="56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本合同所附下列文件是构成本合同不可分割的部分：</w:t>
      </w:r>
    </w:p>
    <w:p>
      <w:pPr>
        <w:pStyle w:val="28"/>
        <w:spacing w:line="416" w:lineRule="atLeast"/>
        <w:ind w:firstLine="56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（1）采购文件</w:t>
      </w:r>
    </w:p>
    <w:p>
      <w:pPr>
        <w:pStyle w:val="28"/>
        <w:spacing w:line="416" w:lineRule="atLeast"/>
        <w:ind w:firstLine="56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（2）成交人提交的响应文件</w:t>
      </w:r>
    </w:p>
    <w:p>
      <w:pPr>
        <w:pStyle w:val="28"/>
        <w:spacing w:line="416" w:lineRule="atLeast"/>
        <w:ind w:firstLine="56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（3）成交通知书</w:t>
      </w:r>
    </w:p>
    <w:p>
      <w:pPr>
        <w:pStyle w:val="28"/>
        <w:spacing w:line="440" w:lineRule="exact"/>
        <w:ind w:firstLine="560"/>
        <w:jc w:val="left"/>
        <w:rPr>
          <w:rFonts w:asciiTheme="minorEastAsia" w:hAnsiTheme="minorEastAsia" w:eastAsiaTheme="minorEastAsia" w:cstheme="minorEastAsia"/>
          <w:kern w:val="0"/>
          <w:sz w:val="28"/>
          <w:szCs w:val="28"/>
        </w:rPr>
      </w:pPr>
      <w:bookmarkStart w:id="32" w:name="_Toc9533"/>
      <w:bookmarkStart w:id="33" w:name="_Toc5484"/>
      <w:bookmarkStart w:id="34" w:name="_Toc9780"/>
      <w:bookmarkStart w:id="35" w:name="_Toc4493"/>
      <w:bookmarkStart w:id="36" w:name="_Toc18906"/>
      <w:bookmarkStart w:id="37" w:name="_Toc5113"/>
      <w:bookmarkStart w:id="38" w:name="_Toc32208"/>
      <w:bookmarkStart w:id="39" w:name="_Toc30969"/>
      <w:bookmarkStart w:id="40" w:name="_Toc7283"/>
      <w:bookmarkStart w:id="41" w:name="_Toc4317"/>
      <w:bookmarkStart w:id="42" w:name="_Toc31002"/>
      <w:r>
        <w:rPr>
          <w:rFonts w:hint="eastAsia" w:asciiTheme="minorEastAsia" w:hAnsiTheme="minorEastAsia" w:eastAsiaTheme="minorEastAsia" w:cstheme="minorEastAsia"/>
          <w:bCs/>
          <w:sz w:val="28"/>
          <w:szCs w:val="28"/>
        </w:rPr>
        <w:t>2</w:t>
      </w:r>
      <w:bookmarkEnd w:id="32"/>
      <w:bookmarkEnd w:id="33"/>
      <w:bookmarkEnd w:id="34"/>
      <w:bookmarkEnd w:id="35"/>
      <w:bookmarkEnd w:id="36"/>
      <w:bookmarkEnd w:id="37"/>
      <w:bookmarkEnd w:id="38"/>
      <w:bookmarkEnd w:id="39"/>
      <w:bookmarkEnd w:id="40"/>
      <w:bookmarkEnd w:id="41"/>
      <w:bookmarkEnd w:id="42"/>
      <w:bookmarkStart w:id="43" w:name="_Toc31396"/>
      <w:bookmarkStart w:id="44" w:name="_Toc31347"/>
      <w:bookmarkStart w:id="45" w:name="_Toc20786"/>
      <w:bookmarkStart w:id="46" w:name="_Toc24473"/>
      <w:bookmarkStart w:id="47" w:name="_Toc11180"/>
      <w:bookmarkStart w:id="48" w:name="_Toc26505"/>
      <w:bookmarkStart w:id="49" w:name="_Toc8057"/>
      <w:bookmarkStart w:id="50" w:name="_Toc12003"/>
      <w:bookmarkStart w:id="51" w:name="_Toc19819"/>
      <w:bookmarkStart w:id="52" w:name="_Toc12886"/>
      <w:bookmarkStart w:id="53" w:name="_Toc2051"/>
      <w:r>
        <w:rPr>
          <w:rFonts w:hint="eastAsia" w:asciiTheme="minorEastAsia" w:hAnsiTheme="minorEastAsia" w:eastAsiaTheme="minorEastAsia" w:cstheme="minorEastAsia"/>
          <w:bCs/>
          <w:sz w:val="28"/>
          <w:szCs w:val="28"/>
        </w:rPr>
        <w:t>、</w:t>
      </w:r>
      <w:bookmarkEnd w:id="43"/>
      <w:bookmarkEnd w:id="44"/>
      <w:bookmarkEnd w:id="45"/>
      <w:bookmarkEnd w:id="46"/>
      <w:bookmarkEnd w:id="47"/>
      <w:bookmarkEnd w:id="48"/>
      <w:bookmarkEnd w:id="49"/>
      <w:bookmarkEnd w:id="50"/>
      <w:bookmarkEnd w:id="51"/>
      <w:bookmarkEnd w:id="52"/>
      <w:bookmarkEnd w:id="53"/>
      <w:r>
        <w:rPr>
          <w:rFonts w:hint="eastAsia" w:asciiTheme="minorEastAsia" w:hAnsiTheme="minorEastAsia" w:eastAsiaTheme="minorEastAsia" w:cstheme="minorEastAsia"/>
          <w:kern w:val="0"/>
          <w:sz w:val="28"/>
          <w:szCs w:val="28"/>
        </w:rPr>
        <w:t>服务内容</w:t>
      </w:r>
    </w:p>
    <w:p>
      <w:pPr>
        <w:pStyle w:val="28"/>
        <w:spacing w:line="416" w:lineRule="atLeast"/>
        <w:ind w:firstLine="56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按采购文件“采购需求”</w:t>
      </w:r>
    </w:p>
    <w:p>
      <w:pPr>
        <w:pStyle w:val="4"/>
        <w:numPr>
          <w:ilvl w:val="0"/>
          <w:numId w:val="0"/>
        </w:numPr>
        <w:tabs>
          <w:tab w:val="left" w:pos="330"/>
        </w:tabs>
        <w:ind w:firstLine="560" w:firstLineChars="200"/>
        <w:rPr>
          <w:rFonts w:asciiTheme="minorEastAsia" w:hAnsiTheme="minorEastAsia" w:eastAsiaTheme="minorEastAsia" w:cstheme="minorEastAsia"/>
          <w:szCs w:val="28"/>
        </w:rPr>
      </w:pPr>
      <w:bookmarkStart w:id="54" w:name="_Toc20324"/>
      <w:bookmarkStart w:id="55" w:name="_Toc4776"/>
      <w:bookmarkStart w:id="56" w:name="_Toc19925"/>
      <w:bookmarkStart w:id="57" w:name="_Toc32249"/>
      <w:bookmarkStart w:id="58" w:name="_Toc25176"/>
      <w:bookmarkStart w:id="59" w:name="_Toc16266"/>
      <w:bookmarkStart w:id="60" w:name="_Toc29069"/>
      <w:bookmarkStart w:id="61" w:name="_Toc6608"/>
      <w:bookmarkStart w:id="62" w:name="_Toc1300"/>
      <w:bookmarkStart w:id="63" w:name="_Toc2569"/>
      <w:bookmarkStart w:id="64" w:name="_Toc20409"/>
      <w:r>
        <w:rPr>
          <w:rFonts w:hint="eastAsia" w:asciiTheme="minorEastAsia" w:hAnsiTheme="minorEastAsia" w:eastAsiaTheme="minorEastAsia" w:cstheme="minorEastAsia"/>
          <w:szCs w:val="28"/>
        </w:rPr>
        <w:t>3、合同金额</w:t>
      </w:r>
    </w:p>
    <w:p>
      <w:pPr>
        <w:pStyle w:val="28"/>
        <w:spacing w:line="440" w:lineRule="exact"/>
        <w:ind w:firstLine="56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合同总金额为人民币__________元，分项价格见响应文件报价明细表。</w:t>
      </w:r>
    </w:p>
    <w:p>
      <w:pPr>
        <w:pStyle w:val="4"/>
        <w:numPr>
          <w:ilvl w:val="0"/>
          <w:numId w:val="5"/>
        </w:numPr>
        <w:tabs>
          <w:tab w:val="left" w:pos="330"/>
        </w:tabs>
        <w:ind w:firstLine="560"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验收</w:t>
      </w:r>
    </w:p>
    <w:p>
      <w:pPr>
        <w:pStyle w:val="12"/>
        <w:spacing w:line="360" w:lineRule="auto"/>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待服务完成后，供应商按照本项目采购需求向采购人提交成果报告，由招标代理机构组织采购人、专家对项目进行验收，验收不合格的须在规定的时间内完成，否则由供应商承担相应责任。</w:t>
      </w:r>
    </w:p>
    <w:p>
      <w:pPr>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验收费用由成交人承担。</w:t>
      </w:r>
      <w:bookmarkEnd w:id="54"/>
      <w:bookmarkEnd w:id="55"/>
      <w:bookmarkEnd w:id="56"/>
      <w:bookmarkEnd w:id="57"/>
      <w:bookmarkEnd w:id="58"/>
      <w:bookmarkEnd w:id="59"/>
      <w:bookmarkEnd w:id="60"/>
      <w:bookmarkEnd w:id="61"/>
      <w:bookmarkEnd w:id="62"/>
      <w:bookmarkEnd w:id="63"/>
      <w:bookmarkEnd w:id="64"/>
      <w:bookmarkStart w:id="65" w:name="_Toc28660"/>
      <w:bookmarkStart w:id="66" w:name="_Toc4888"/>
      <w:bookmarkStart w:id="67" w:name="_Toc16102"/>
      <w:bookmarkStart w:id="68" w:name="_Toc13674"/>
      <w:bookmarkStart w:id="69" w:name="_Toc17995"/>
      <w:bookmarkStart w:id="70" w:name="_Toc32067"/>
      <w:bookmarkStart w:id="71" w:name="_Toc1314"/>
      <w:bookmarkStart w:id="72" w:name="_Toc7820"/>
      <w:bookmarkStart w:id="73" w:name="_Toc8627"/>
      <w:bookmarkStart w:id="74" w:name="_Toc17586"/>
      <w:bookmarkStart w:id="75" w:name="_Toc29225"/>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5、合同生效及支付条件和方式</w:t>
      </w:r>
      <w:bookmarkEnd w:id="65"/>
      <w:bookmarkEnd w:id="66"/>
      <w:bookmarkEnd w:id="67"/>
      <w:bookmarkEnd w:id="68"/>
      <w:bookmarkEnd w:id="69"/>
      <w:bookmarkEnd w:id="70"/>
      <w:bookmarkEnd w:id="71"/>
      <w:bookmarkEnd w:id="72"/>
      <w:bookmarkEnd w:id="73"/>
      <w:bookmarkEnd w:id="74"/>
      <w:bookmarkEnd w:id="75"/>
    </w:p>
    <w:p>
      <w:pPr>
        <w:pStyle w:val="4"/>
        <w:numPr>
          <w:ilvl w:val="0"/>
          <w:numId w:val="0"/>
        </w:numPr>
        <w:tabs>
          <w:tab w:val="left" w:pos="330"/>
        </w:tabs>
        <w:ind w:firstLine="560" w:firstLineChars="200"/>
        <w:rPr>
          <w:rFonts w:asciiTheme="minorEastAsia" w:hAnsiTheme="minorEastAsia" w:eastAsiaTheme="minorEastAsia" w:cstheme="minorEastAsia"/>
          <w:szCs w:val="28"/>
        </w:rPr>
      </w:pPr>
      <w:bookmarkStart w:id="76" w:name="_Toc16842"/>
      <w:bookmarkStart w:id="77" w:name="_Toc7977"/>
      <w:bookmarkStart w:id="78" w:name="_Toc14317"/>
      <w:bookmarkStart w:id="79" w:name="_Toc27736"/>
      <w:bookmarkStart w:id="80" w:name="_Toc4365"/>
      <w:bookmarkStart w:id="81" w:name="_Toc32228"/>
      <w:bookmarkStart w:id="82" w:name="_Toc31164"/>
      <w:bookmarkStart w:id="83" w:name="_Toc13594"/>
      <w:bookmarkStart w:id="84" w:name="_Toc21075"/>
      <w:bookmarkStart w:id="85" w:name="_Toc8262"/>
      <w:bookmarkStart w:id="86" w:name="_Toc717"/>
      <w:r>
        <w:rPr>
          <w:rFonts w:hint="eastAsia" w:asciiTheme="minorEastAsia" w:hAnsiTheme="minorEastAsia" w:eastAsiaTheme="minorEastAsia" w:cstheme="minorEastAsia"/>
          <w:szCs w:val="28"/>
        </w:rPr>
        <w:t>合同签订盖章即生效。</w:t>
      </w:r>
    </w:p>
    <w:p>
      <w:pPr>
        <w:pStyle w:val="4"/>
        <w:numPr>
          <w:ilvl w:val="0"/>
          <w:numId w:val="0"/>
        </w:numPr>
        <w:tabs>
          <w:tab w:val="left" w:pos="330"/>
        </w:tabs>
        <w:ind w:firstLine="560"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支付方式：详见供应商须知前附表相关内容。</w:t>
      </w:r>
    </w:p>
    <w:p>
      <w:pPr>
        <w:pStyle w:val="4"/>
        <w:numPr>
          <w:ilvl w:val="0"/>
          <w:numId w:val="0"/>
        </w:numPr>
        <w:tabs>
          <w:tab w:val="left" w:pos="330"/>
        </w:tabs>
        <w:ind w:firstLine="560"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6、</w:t>
      </w:r>
      <w:bookmarkEnd w:id="76"/>
      <w:bookmarkEnd w:id="77"/>
      <w:bookmarkEnd w:id="78"/>
      <w:bookmarkEnd w:id="79"/>
      <w:bookmarkEnd w:id="80"/>
      <w:bookmarkEnd w:id="81"/>
      <w:bookmarkEnd w:id="82"/>
      <w:bookmarkEnd w:id="83"/>
      <w:bookmarkEnd w:id="84"/>
      <w:bookmarkEnd w:id="85"/>
      <w:bookmarkEnd w:id="86"/>
      <w:r>
        <w:rPr>
          <w:rFonts w:hint="eastAsia" w:asciiTheme="minorEastAsia" w:hAnsiTheme="minorEastAsia" w:eastAsiaTheme="minorEastAsia" w:cstheme="minorEastAsia"/>
          <w:szCs w:val="28"/>
        </w:rPr>
        <w:t>服务时间及服务地点</w:t>
      </w:r>
    </w:p>
    <w:p>
      <w:pPr>
        <w:pStyle w:val="4"/>
        <w:numPr>
          <w:ilvl w:val="0"/>
          <w:numId w:val="0"/>
        </w:numPr>
        <w:tabs>
          <w:tab w:val="left" w:pos="330"/>
        </w:tabs>
        <w:ind w:firstLine="560"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服务时间：合同签订后一年</w:t>
      </w:r>
    </w:p>
    <w:p>
      <w:pPr>
        <w:ind w:firstLine="56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8"/>
          <w:szCs w:val="28"/>
        </w:rPr>
        <w:t>服务地点：乌鲁木齐市实验学校</w:t>
      </w:r>
    </w:p>
    <w:tbl>
      <w:tblPr>
        <w:tblStyle w:val="16"/>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2588"/>
        <w:gridCol w:w="2229"/>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190"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采购人（盖章）</w:t>
            </w:r>
          </w:p>
        </w:tc>
        <w:tc>
          <w:tcPr>
            <w:tcW w:w="2588" w:type="dxa"/>
          </w:tcPr>
          <w:p>
            <w:pPr>
              <w:pStyle w:val="28"/>
              <w:spacing w:line="440" w:lineRule="exact"/>
              <w:ind w:firstLine="0" w:firstLineChars="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32"/>
                <w:szCs w:val="32"/>
                <w:u w:val="single"/>
              </w:rPr>
              <w:t xml:space="preserve">             </w:t>
            </w:r>
          </w:p>
        </w:tc>
        <w:tc>
          <w:tcPr>
            <w:tcW w:w="2229"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卖方（盖章）</w:t>
            </w:r>
          </w:p>
        </w:tc>
        <w:tc>
          <w:tcPr>
            <w:tcW w:w="2398" w:type="dxa"/>
          </w:tcPr>
          <w:p>
            <w:pPr>
              <w:pStyle w:val="28"/>
              <w:spacing w:line="440" w:lineRule="exact"/>
              <w:ind w:firstLine="0" w:firstLineChars="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3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90"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单位地址</w:t>
            </w:r>
          </w:p>
        </w:tc>
        <w:tc>
          <w:tcPr>
            <w:tcW w:w="2588" w:type="dxa"/>
          </w:tcPr>
          <w:p>
            <w:pPr>
              <w:pStyle w:val="28"/>
              <w:spacing w:line="440" w:lineRule="exact"/>
              <w:ind w:firstLine="0" w:firstLineChars="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32"/>
                <w:szCs w:val="32"/>
                <w:u w:val="single"/>
              </w:rPr>
              <w:t xml:space="preserve">             </w:t>
            </w:r>
          </w:p>
        </w:tc>
        <w:tc>
          <w:tcPr>
            <w:tcW w:w="2229"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单位地址</w:t>
            </w:r>
          </w:p>
        </w:tc>
        <w:tc>
          <w:tcPr>
            <w:tcW w:w="2398" w:type="dxa"/>
          </w:tcPr>
          <w:p>
            <w:pPr>
              <w:pStyle w:val="28"/>
              <w:spacing w:line="440" w:lineRule="exact"/>
              <w:ind w:firstLine="0" w:firstLineChars="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3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190"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法人代表授权人  (签字)</w:t>
            </w:r>
          </w:p>
        </w:tc>
        <w:tc>
          <w:tcPr>
            <w:tcW w:w="2588" w:type="dxa"/>
          </w:tcPr>
          <w:p>
            <w:pPr>
              <w:pStyle w:val="28"/>
              <w:spacing w:line="440" w:lineRule="exact"/>
              <w:ind w:firstLine="0" w:firstLineChars="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32"/>
                <w:szCs w:val="32"/>
                <w:u w:val="single"/>
              </w:rPr>
              <w:t xml:space="preserve">             </w:t>
            </w:r>
          </w:p>
        </w:tc>
        <w:tc>
          <w:tcPr>
            <w:tcW w:w="2229"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法人代表授权人(签字)</w:t>
            </w:r>
          </w:p>
        </w:tc>
        <w:tc>
          <w:tcPr>
            <w:tcW w:w="2398" w:type="dxa"/>
          </w:tcPr>
          <w:p>
            <w:pPr>
              <w:pStyle w:val="28"/>
              <w:spacing w:line="440" w:lineRule="exact"/>
              <w:ind w:firstLine="0" w:firstLineChars="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3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90"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联系人</w:t>
            </w:r>
          </w:p>
        </w:tc>
        <w:tc>
          <w:tcPr>
            <w:tcW w:w="2588" w:type="dxa"/>
          </w:tcPr>
          <w:p>
            <w:pPr>
              <w:pStyle w:val="28"/>
              <w:spacing w:line="440" w:lineRule="exact"/>
              <w:ind w:firstLine="0" w:firstLineChars="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32"/>
                <w:szCs w:val="32"/>
                <w:u w:val="single"/>
              </w:rPr>
              <w:t xml:space="preserve">             </w:t>
            </w:r>
          </w:p>
        </w:tc>
        <w:tc>
          <w:tcPr>
            <w:tcW w:w="2229"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联系人</w:t>
            </w:r>
          </w:p>
        </w:tc>
        <w:tc>
          <w:tcPr>
            <w:tcW w:w="2398" w:type="dxa"/>
          </w:tcPr>
          <w:p>
            <w:pPr>
              <w:pStyle w:val="28"/>
              <w:spacing w:line="440" w:lineRule="exact"/>
              <w:ind w:firstLine="0" w:firstLineChars="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3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90"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电话</w:t>
            </w:r>
          </w:p>
        </w:tc>
        <w:tc>
          <w:tcPr>
            <w:tcW w:w="2588" w:type="dxa"/>
          </w:tcPr>
          <w:p>
            <w:pPr>
              <w:pStyle w:val="28"/>
              <w:spacing w:line="440" w:lineRule="exact"/>
              <w:ind w:firstLine="0" w:firstLineChars="0"/>
              <w:jc w:val="left"/>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u w:val="single"/>
              </w:rPr>
              <w:t xml:space="preserve">             </w:t>
            </w:r>
          </w:p>
        </w:tc>
        <w:tc>
          <w:tcPr>
            <w:tcW w:w="2229"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电话</w:t>
            </w:r>
          </w:p>
        </w:tc>
        <w:tc>
          <w:tcPr>
            <w:tcW w:w="2398" w:type="dxa"/>
          </w:tcPr>
          <w:p>
            <w:pPr>
              <w:pStyle w:val="28"/>
              <w:spacing w:line="440" w:lineRule="exact"/>
              <w:ind w:firstLine="0" w:firstLineChars="0"/>
              <w:jc w:val="left"/>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90"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传真</w:t>
            </w:r>
          </w:p>
        </w:tc>
        <w:tc>
          <w:tcPr>
            <w:tcW w:w="2588" w:type="dxa"/>
          </w:tcPr>
          <w:p>
            <w:pPr>
              <w:pStyle w:val="28"/>
              <w:spacing w:line="440" w:lineRule="exact"/>
              <w:ind w:firstLine="0" w:firstLineChars="0"/>
              <w:jc w:val="left"/>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u w:val="single"/>
              </w:rPr>
              <w:t xml:space="preserve">             </w:t>
            </w:r>
          </w:p>
        </w:tc>
        <w:tc>
          <w:tcPr>
            <w:tcW w:w="2229"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传真</w:t>
            </w:r>
          </w:p>
        </w:tc>
        <w:tc>
          <w:tcPr>
            <w:tcW w:w="2398" w:type="dxa"/>
          </w:tcPr>
          <w:p>
            <w:pPr>
              <w:pStyle w:val="28"/>
              <w:spacing w:line="440" w:lineRule="exact"/>
              <w:ind w:firstLine="0" w:firstLineChars="0"/>
              <w:jc w:val="left"/>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90"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邮政编码</w:t>
            </w:r>
          </w:p>
        </w:tc>
        <w:tc>
          <w:tcPr>
            <w:tcW w:w="2588" w:type="dxa"/>
          </w:tcPr>
          <w:p>
            <w:pPr>
              <w:pStyle w:val="28"/>
              <w:spacing w:line="440" w:lineRule="exact"/>
              <w:ind w:firstLine="0" w:firstLineChars="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32"/>
                <w:szCs w:val="32"/>
                <w:u w:val="single"/>
              </w:rPr>
              <w:t xml:space="preserve">             </w:t>
            </w:r>
          </w:p>
        </w:tc>
        <w:tc>
          <w:tcPr>
            <w:tcW w:w="2229"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邮政编码</w:t>
            </w:r>
          </w:p>
        </w:tc>
        <w:tc>
          <w:tcPr>
            <w:tcW w:w="2398" w:type="dxa"/>
          </w:tcPr>
          <w:p>
            <w:pPr>
              <w:pStyle w:val="28"/>
              <w:spacing w:line="440" w:lineRule="exact"/>
              <w:ind w:firstLine="0" w:firstLineChars="0"/>
              <w:jc w:val="left"/>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90"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开户银</w:t>
            </w:r>
          </w:p>
        </w:tc>
        <w:tc>
          <w:tcPr>
            <w:tcW w:w="2588" w:type="dxa"/>
          </w:tcPr>
          <w:p>
            <w:pPr>
              <w:pStyle w:val="28"/>
              <w:spacing w:line="440" w:lineRule="exact"/>
              <w:ind w:firstLine="0" w:firstLineChars="0"/>
              <w:jc w:val="left"/>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u w:val="single"/>
              </w:rPr>
              <w:t xml:space="preserve">             </w:t>
            </w:r>
          </w:p>
        </w:tc>
        <w:tc>
          <w:tcPr>
            <w:tcW w:w="2229"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开户银行</w:t>
            </w:r>
          </w:p>
        </w:tc>
        <w:tc>
          <w:tcPr>
            <w:tcW w:w="2398" w:type="dxa"/>
          </w:tcPr>
          <w:p>
            <w:pPr>
              <w:pStyle w:val="28"/>
              <w:spacing w:line="440" w:lineRule="exact"/>
              <w:ind w:firstLine="0" w:firstLineChars="0"/>
              <w:jc w:val="left"/>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90"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账号</w:t>
            </w:r>
          </w:p>
        </w:tc>
        <w:tc>
          <w:tcPr>
            <w:tcW w:w="2588" w:type="dxa"/>
          </w:tcPr>
          <w:p>
            <w:pPr>
              <w:pStyle w:val="28"/>
              <w:spacing w:line="440" w:lineRule="exact"/>
              <w:ind w:firstLine="0" w:firstLineChars="0"/>
              <w:jc w:val="left"/>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u w:val="single"/>
              </w:rPr>
              <w:t xml:space="preserve">             </w:t>
            </w:r>
          </w:p>
        </w:tc>
        <w:tc>
          <w:tcPr>
            <w:tcW w:w="2229" w:type="dxa"/>
            <w:vAlign w:val="center"/>
          </w:tcPr>
          <w:p>
            <w:pPr>
              <w:pStyle w:val="28"/>
              <w:spacing w:line="440" w:lineRule="exact"/>
              <w:ind w:firstLine="0"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账号</w:t>
            </w:r>
          </w:p>
        </w:tc>
        <w:tc>
          <w:tcPr>
            <w:tcW w:w="2398" w:type="dxa"/>
          </w:tcPr>
          <w:p>
            <w:pPr>
              <w:pStyle w:val="28"/>
              <w:spacing w:line="440" w:lineRule="exact"/>
              <w:ind w:firstLine="0" w:firstLineChars="0"/>
              <w:jc w:val="left"/>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u w:val="single"/>
              </w:rPr>
              <w:t xml:space="preserve">             </w:t>
            </w:r>
          </w:p>
        </w:tc>
      </w:tr>
    </w:tbl>
    <w:p>
      <w:pPr>
        <w:pStyle w:val="3"/>
        <w:tabs>
          <w:tab w:val="left" w:pos="330"/>
          <w:tab w:val="clear" w:pos="420"/>
        </w:tabs>
        <w:ind w:left="0" w:firstLine="480" w:firstLineChars="200"/>
        <w:rPr>
          <w:rFonts w:asciiTheme="minorEastAsia" w:hAnsiTheme="minorEastAsia" w:eastAsiaTheme="minorEastAsia" w:cstheme="minorEastAsia"/>
        </w:rPr>
      </w:pPr>
      <w:bookmarkStart w:id="87" w:name="_Toc17519"/>
      <w:bookmarkStart w:id="88" w:name="_Toc8791"/>
      <w:bookmarkStart w:id="89" w:name="_Toc29972"/>
      <w:bookmarkStart w:id="90" w:name="_Toc348"/>
      <w:bookmarkStart w:id="91" w:name="_Hlk450145418"/>
      <w:r>
        <w:rPr>
          <w:rFonts w:hint="eastAsia" w:asciiTheme="minorEastAsia" w:hAnsiTheme="minorEastAsia" w:eastAsiaTheme="minorEastAsia" w:cstheme="minorEastAsia"/>
        </w:rPr>
        <w:t>二、合同通用条款</w:t>
      </w:r>
      <w:bookmarkEnd w:id="87"/>
      <w:bookmarkEnd w:id="88"/>
      <w:bookmarkEnd w:id="89"/>
      <w:bookmarkEnd w:id="90"/>
    </w:p>
    <w:p>
      <w:pPr>
        <w:pStyle w:val="4"/>
        <w:numPr>
          <w:ilvl w:val="0"/>
          <w:numId w:val="0"/>
        </w:numPr>
        <w:tabs>
          <w:tab w:val="left" w:pos="330"/>
        </w:tabs>
        <w:ind w:firstLine="560" w:firstLineChars="200"/>
        <w:rPr>
          <w:rFonts w:asciiTheme="minorEastAsia" w:hAnsiTheme="minorEastAsia" w:eastAsiaTheme="minorEastAsia" w:cstheme="minorEastAsia"/>
        </w:rPr>
      </w:pPr>
      <w:bookmarkStart w:id="92" w:name="_Toc24664"/>
      <w:bookmarkStart w:id="93" w:name="_Toc19062"/>
      <w:bookmarkStart w:id="94" w:name="_Toc12008"/>
      <w:bookmarkStart w:id="95" w:name="_Toc12763"/>
      <w:bookmarkStart w:id="96" w:name="_Toc26997"/>
      <w:bookmarkStart w:id="97" w:name="_Toc19058"/>
      <w:bookmarkStart w:id="98" w:name="_Toc1661"/>
      <w:bookmarkStart w:id="99" w:name="_Toc10817"/>
      <w:bookmarkStart w:id="100" w:name="_Toc23668"/>
      <w:bookmarkStart w:id="101" w:name="_Toc27562"/>
      <w:bookmarkStart w:id="102" w:name="_Toc26567"/>
      <w:r>
        <w:rPr>
          <w:rFonts w:hint="eastAsia" w:asciiTheme="minorEastAsia" w:hAnsiTheme="minorEastAsia" w:eastAsiaTheme="minorEastAsia" w:cstheme="minorEastAsia"/>
        </w:rPr>
        <w:t>1．有关概念</w:t>
      </w:r>
      <w:bookmarkEnd w:id="92"/>
      <w:bookmarkEnd w:id="93"/>
      <w:bookmarkEnd w:id="94"/>
      <w:bookmarkEnd w:id="95"/>
      <w:bookmarkEnd w:id="96"/>
      <w:bookmarkEnd w:id="97"/>
      <w:bookmarkEnd w:id="98"/>
      <w:bookmarkEnd w:id="99"/>
      <w:bookmarkEnd w:id="100"/>
      <w:bookmarkEnd w:id="101"/>
      <w:bookmarkEnd w:id="102"/>
    </w:p>
    <w:p>
      <w:pPr>
        <w:pStyle w:val="23"/>
        <w:spacing w:line="500" w:lineRule="exact"/>
        <w:ind w:firstLine="560" w:firstLineChars="20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本合同下列术语应解释为：</w:t>
      </w:r>
    </w:p>
    <w:p>
      <w:pPr>
        <w:pStyle w:val="23"/>
        <w:spacing w:line="500" w:lineRule="exact"/>
        <w:ind w:left="426" w:firstLine="560" w:firstLineChars="20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bCs/>
          <w:sz w:val="28"/>
          <w:szCs w:val="28"/>
        </w:rPr>
        <w:t>“合同”，系指买供双方签署的、合同格式中载明的买供双方所达成的协议，包括所有的附件、附录和上述文件所提到的构成合同的所有文件。</w:t>
      </w:r>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1.2“合同价”，系指根据合同规定供方在正确地履行合同义务后采购人应支付给供方的价格。</w:t>
      </w:r>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1.3“货物”，系指供方根据合同规定须向采购人提供的各种形态和种类的物品，包括产品、设备、配件等。</w:t>
      </w:r>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1.4“服务”，系指本项目采购需求的服务内容。</w:t>
      </w:r>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1.5“采购人”，系指招标文件中所述购买单位。</w:t>
      </w:r>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1.6“供方”，系指招标文件中所述提供货物和服务的公司或实体，即中标人。</w:t>
      </w:r>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1.7“天”，系日历天数。</w:t>
      </w:r>
    </w:p>
    <w:p>
      <w:pPr>
        <w:pStyle w:val="4"/>
        <w:numPr>
          <w:ilvl w:val="0"/>
          <w:numId w:val="0"/>
        </w:numPr>
        <w:tabs>
          <w:tab w:val="left" w:pos="330"/>
        </w:tabs>
        <w:ind w:firstLine="560" w:firstLineChars="200"/>
        <w:rPr>
          <w:rFonts w:asciiTheme="minorEastAsia" w:hAnsiTheme="minorEastAsia" w:eastAsiaTheme="minorEastAsia" w:cstheme="minorEastAsia"/>
        </w:rPr>
      </w:pPr>
      <w:bookmarkStart w:id="103" w:name="_Toc30271"/>
      <w:bookmarkStart w:id="104" w:name="_Toc4430"/>
      <w:bookmarkStart w:id="105" w:name="_Toc4366"/>
      <w:bookmarkStart w:id="106" w:name="_Toc6875"/>
      <w:bookmarkStart w:id="107" w:name="_Toc12594"/>
      <w:bookmarkStart w:id="108" w:name="_Toc22879"/>
      <w:bookmarkStart w:id="109" w:name="_Toc29633"/>
      <w:bookmarkStart w:id="110" w:name="_Toc11533"/>
      <w:bookmarkStart w:id="111" w:name="_Toc17000"/>
      <w:bookmarkStart w:id="112" w:name="_Toc14010"/>
      <w:bookmarkStart w:id="113" w:name="_Toc32025"/>
      <w:r>
        <w:rPr>
          <w:rFonts w:hint="eastAsia" w:asciiTheme="minorEastAsia" w:hAnsiTheme="minorEastAsia" w:eastAsiaTheme="minorEastAsia" w:cstheme="minorEastAsia"/>
        </w:rPr>
        <w:t>2．技术规格</w:t>
      </w:r>
      <w:bookmarkEnd w:id="103"/>
      <w:bookmarkEnd w:id="104"/>
      <w:bookmarkEnd w:id="105"/>
      <w:bookmarkEnd w:id="106"/>
      <w:bookmarkEnd w:id="107"/>
      <w:bookmarkEnd w:id="108"/>
      <w:bookmarkEnd w:id="109"/>
      <w:bookmarkEnd w:id="110"/>
      <w:bookmarkEnd w:id="111"/>
      <w:bookmarkEnd w:id="112"/>
      <w:bookmarkEnd w:id="113"/>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2.1交付服务的技术规格应与响应文件规定的技术规格以及所附的技术规格响应表相一致。</w:t>
      </w:r>
    </w:p>
    <w:p>
      <w:pPr>
        <w:pStyle w:val="23"/>
        <w:spacing w:line="500" w:lineRule="exact"/>
        <w:ind w:left="426" w:firstLine="560" w:firstLineChars="200"/>
        <w:jc w:val="left"/>
        <w:rPr>
          <w:rFonts w:asciiTheme="minorEastAsia" w:hAnsiTheme="minorEastAsia" w:eastAsiaTheme="minorEastAsia" w:cstheme="minorEastAsia"/>
          <w:szCs w:val="28"/>
        </w:rPr>
      </w:pPr>
      <w:r>
        <w:rPr>
          <w:rFonts w:hint="eastAsia" w:asciiTheme="minorEastAsia" w:hAnsiTheme="minorEastAsia" w:eastAsiaTheme="minorEastAsia" w:cstheme="minorEastAsia"/>
          <w:sz w:val="28"/>
          <w:szCs w:val="28"/>
        </w:rPr>
        <w:t>2.2除技术规格另有规定外，计量单位均使用中华人民共和国法定计量单位。</w:t>
      </w:r>
    </w:p>
    <w:p>
      <w:pPr>
        <w:pStyle w:val="4"/>
        <w:numPr>
          <w:ilvl w:val="0"/>
          <w:numId w:val="0"/>
        </w:numPr>
        <w:tabs>
          <w:tab w:val="left" w:pos="330"/>
        </w:tabs>
        <w:ind w:firstLine="560" w:firstLineChars="200"/>
        <w:rPr>
          <w:rFonts w:asciiTheme="minorEastAsia" w:hAnsiTheme="minorEastAsia" w:eastAsiaTheme="minorEastAsia" w:cstheme="minorEastAsia"/>
        </w:rPr>
      </w:pPr>
      <w:bookmarkStart w:id="114" w:name="_Toc24689"/>
      <w:bookmarkStart w:id="115" w:name="_Toc7982"/>
      <w:bookmarkStart w:id="116" w:name="_Toc1222"/>
      <w:bookmarkStart w:id="117" w:name="_Toc14597"/>
      <w:bookmarkStart w:id="118" w:name="_Toc1659"/>
      <w:bookmarkStart w:id="119" w:name="_Toc10769"/>
      <w:bookmarkStart w:id="120" w:name="_Toc17231"/>
      <w:bookmarkStart w:id="121" w:name="_Toc29720"/>
      <w:bookmarkStart w:id="122" w:name="_Toc20483"/>
      <w:bookmarkStart w:id="123" w:name="_Toc16225"/>
      <w:bookmarkStart w:id="124" w:name="_Toc20603"/>
      <w:r>
        <w:rPr>
          <w:rFonts w:hint="eastAsia" w:asciiTheme="minorEastAsia" w:hAnsiTheme="minorEastAsia" w:eastAsiaTheme="minorEastAsia" w:cstheme="minorEastAsia"/>
        </w:rPr>
        <w:t>3．专利权</w:t>
      </w:r>
      <w:bookmarkEnd w:id="114"/>
      <w:bookmarkEnd w:id="115"/>
      <w:bookmarkEnd w:id="116"/>
      <w:bookmarkEnd w:id="117"/>
      <w:bookmarkEnd w:id="118"/>
      <w:bookmarkEnd w:id="119"/>
      <w:bookmarkEnd w:id="120"/>
      <w:bookmarkEnd w:id="121"/>
      <w:bookmarkEnd w:id="122"/>
      <w:bookmarkEnd w:id="123"/>
      <w:bookmarkEnd w:id="124"/>
      <w:r>
        <w:rPr>
          <w:rFonts w:hint="eastAsia" w:asciiTheme="minorEastAsia" w:hAnsiTheme="minorEastAsia" w:eastAsiaTheme="minorEastAsia" w:cstheme="minorEastAsia"/>
        </w:rPr>
        <w:t>（不适用）</w:t>
      </w:r>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3.1供方应保证采购人在使用该服务时其任何一部分时免受第三方提出侵犯其专利权、商标权或工业设计权的起诉。若由此出现侵权诉讼，由供方承担全部责任。</w:t>
      </w:r>
    </w:p>
    <w:p>
      <w:pPr>
        <w:pStyle w:val="23"/>
        <w:spacing w:line="500" w:lineRule="exact"/>
        <w:ind w:left="426" w:firstLine="560" w:firstLineChars="200"/>
        <w:jc w:val="left"/>
        <w:rPr>
          <w:rFonts w:asciiTheme="minorEastAsia" w:hAnsiTheme="minorEastAsia" w:eastAsiaTheme="minorEastAsia" w:cstheme="minorEastAsia"/>
          <w:szCs w:val="28"/>
        </w:rPr>
      </w:pPr>
      <w:r>
        <w:rPr>
          <w:rFonts w:hint="eastAsia" w:asciiTheme="minorEastAsia" w:hAnsiTheme="minorEastAsia" w:eastAsiaTheme="minorEastAsia" w:cstheme="minorEastAsia"/>
          <w:sz w:val="28"/>
          <w:szCs w:val="28"/>
        </w:rPr>
        <w:t>3.2供方按合同要求为采购人提交的设计方案，其所有权、使用权等所有权力均转为采购人所拥有，供方放弃拥有关于设计方案的所有权力。</w:t>
      </w:r>
    </w:p>
    <w:p>
      <w:pPr>
        <w:pStyle w:val="4"/>
        <w:numPr>
          <w:ilvl w:val="0"/>
          <w:numId w:val="0"/>
        </w:numPr>
        <w:tabs>
          <w:tab w:val="left" w:pos="330"/>
        </w:tabs>
        <w:ind w:firstLine="560" w:firstLineChars="200"/>
        <w:rPr>
          <w:rFonts w:asciiTheme="minorEastAsia" w:hAnsiTheme="minorEastAsia" w:eastAsiaTheme="minorEastAsia" w:cstheme="minorEastAsia"/>
        </w:rPr>
      </w:pPr>
      <w:bookmarkStart w:id="125" w:name="_Toc6476"/>
      <w:bookmarkStart w:id="126" w:name="_Toc31470"/>
      <w:bookmarkStart w:id="127" w:name="_Toc28836"/>
      <w:bookmarkStart w:id="128" w:name="_Toc18660"/>
      <w:bookmarkStart w:id="129" w:name="_Toc26541"/>
      <w:bookmarkStart w:id="130" w:name="_Toc19146"/>
      <w:bookmarkStart w:id="131" w:name="_Toc5983"/>
      <w:bookmarkStart w:id="132" w:name="_Toc6639"/>
      <w:bookmarkStart w:id="133" w:name="_Toc13582"/>
      <w:bookmarkStart w:id="134" w:name="_Toc1906"/>
      <w:bookmarkStart w:id="135" w:name="_Toc11478"/>
      <w:r>
        <w:rPr>
          <w:rFonts w:hint="eastAsia" w:asciiTheme="minorEastAsia" w:hAnsiTheme="minorEastAsia" w:eastAsiaTheme="minorEastAsia" w:cstheme="minorEastAsia"/>
        </w:rPr>
        <w:t>4.包装要求</w:t>
      </w:r>
      <w:bookmarkEnd w:id="125"/>
      <w:bookmarkEnd w:id="126"/>
      <w:bookmarkEnd w:id="127"/>
      <w:bookmarkEnd w:id="128"/>
      <w:bookmarkEnd w:id="129"/>
      <w:bookmarkEnd w:id="130"/>
      <w:bookmarkEnd w:id="131"/>
      <w:bookmarkEnd w:id="132"/>
      <w:bookmarkEnd w:id="133"/>
      <w:bookmarkEnd w:id="134"/>
      <w:bookmarkEnd w:id="135"/>
      <w:r>
        <w:rPr>
          <w:rFonts w:hint="eastAsia" w:asciiTheme="minorEastAsia" w:hAnsiTheme="minorEastAsia" w:eastAsiaTheme="minorEastAsia" w:cstheme="minorEastAsia"/>
        </w:rPr>
        <w:t>（不适用）</w:t>
      </w:r>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4.1除合同另有规定外，供方提供的所有单独包装的货物都应具有原始的、完好的标准包装。如遇交付前已拆封货物，采购人有权拒绝接受或要求更换。</w:t>
      </w:r>
    </w:p>
    <w:p>
      <w:pPr>
        <w:pStyle w:val="23"/>
        <w:spacing w:line="500" w:lineRule="exact"/>
        <w:ind w:left="426" w:firstLine="560" w:firstLineChars="200"/>
        <w:jc w:val="left"/>
        <w:rPr>
          <w:rFonts w:asciiTheme="minorEastAsia" w:hAnsiTheme="minorEastAsia" w:eastAsiaTheme="minorEastAsia" w:cstheme="minorEastAsia"/>
          <w:szCs w:val="28"/>
        </w:rPr>
      </w:pPr>
      <w:r>
        <w:rPr>
          <w:rFonts w:hint="eastAsia" w:asciiTheme="minorEastAsia" w:hAnsiTheme="minorEastAsia" w:eastAsiaTheme="minorEastAsia" w:cstheme="minorEastAsia"/>
          <w:sz w:val="28"/>
          <w:szCs w:val="28"/>
        </w:rPr>
        <w:t>4.2每个包装箱内的装箱清单、使用说明书、质量证书、保修卡及软件使用说明等所有资料均须齐全。</w:t>
      </w:r>
    </w:p>
    <w:p>
      <w:pPr>
        <w:pStyle w:val="4"/>
        <w:numPr>
          <w:ilvl w:val="0"/>
          <w:numId w:val="0"/>
        </w:numPr>
        <w:tabs>
          <w:tab w:val="left" w:pos="330"/>
        </w:tabs>
        <w:ind w:firstLine="560" w:firstLineChars="200"/>
        <w:rPr>
          <w:rFonts w:asciiTheme="minorEastAsia" w:hAnsiTheme="minorEastAsia" w:eastAsiaTheme="minorEastAsia" w:cstheme="minorEastAsia"/>
        </w:rPr>
      </w:pPr>
      <w:bookmarkStart w:id="136" w:name="_Toc16230"/>
      <w:bookmarkStart w:id="137" w:name="_Toc350"/>
      <w:bookmarkStart w:id="138" w:name="_Toc20384"/>
      <w:bookmarkStart w:id="139" w:name="_Toc22150"/>
      <w:bookmarkStart w:id="140" w:name="_Toc5048"/>
      <w:bookmarkStart w:id="141" w:name="_Toc838"/>
      <w:bookmarkStart w:id="142" w:name="_Toc9011"/>
      <w:bookmarkStart w:id="143" w:name="_Toc12201"/>
      <w:bookmarkStart w:id="144" w:name="_Toc9667"/>
      <w:bookmarkStart w:id="145" w:name="_Toc7230"/>
      <w:bookmarkStart w:id="146" w:name="_Toc23236"/>
      <w:r>
        <w:rPr>
          <w:rFonts w:hint="eastAsia" w:asciiTheme="minorEastAsia" w:hAnsiTheme="minorEastAsia" w:eastAsiaTheme="minorEastAsia" w:cstheme="minorEastAsia"/>
        </w:rPr>
        <w:t>5. 装运条件</w:t>
      </w:r>
      <w:bookmarkEnd w:id="136"/>
      <w:bookmarkEnd w:id="137"/>
      <w:bookmarkEnd w:id="138"/>
      <w:bookmarkEnd w:id="139"/>
      <w:bookmarkEnd w:id="140"/>
      <w:bookmarkEnd w:id="141"/>
      <w:bookmarkEnd w:id="142"/>
      <w:bookmarkEnd w:id="143"/>
      <w:bookmarkEnd w:id="144"/>
      <w:bookmarkEnd w:id="145"/>
      <w:bookmarkEnd w:id="146"/>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5.1供方负责安排运输，运输费由供方承担。</w:t>
      </w:r>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5.2提单日期应视为实际交货日期。</w:t>
      </w:r>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5.3供方装运的货物不得超过合同规定的数量或重量。否则，供方应对超运数量或重量而产生的一切后果负责。</w:t>
      </w:r>
    </w:p>
    <w:p>
      <w:pPr>
        <w:pStyle w:val="4"/>
        <w:numPr>
          <w:ilvl w:val="0"/>
          <w:numId w:val="0"/>
        </w:numPr>
        <w:tabs>
          <w:tab w:val="left" w:pos="330"/>
        </w:tabs>
        <w:ind w:firstLine="560" w:firstLineChars="200"/>
        <w:rPr>
          <w:rFonts w:asciiTheme="minorEastAsia" w:hAnsiTheme="minorEastAsia" w:eastAsiaTheme="minorEastAsia" w:cstheme="minorEastAsia"/>
        </w:rPr>
      </w:pPr>
      <w:bookmarkStart w:id="147" w:name="_Toc6944"/>
      <w:bookmarkStart w:id="148" w:name="_Toc24292"/>
      <w:bookmarkStart w:id="149" w:name="_Toc16902"/>
      <w:bookmarkStart w:id="150" w:name="_Toc21341"/>
      <w:bookmarkStart w:id="151" w:name="_Toc30296"/>
      <w:bookmarkStart w:id="152" w:name="_Toc4624"/>
      <w:bookmarkStart w:id="153" w:name="_Toc2427"/>
      <w:bookmarkStart w:id="154" w:name="_Toc5096"/>
      <w:bookmarkStart w:id="155" w:name="_Toc9648"/>
      <w:bookmarkStart w:id="156" w:name="_Toc12584"/>
      <w:bookmarkStart w:id="157" w:name="_Toc23706"/>
      <w:r>
        <w:rPr>
          <w:rFonts w:hint="eastAsia" w:asciiTheme="minorEastAsia" w:hAnsiTheme="minorEastAsia" w:eastAsiaTheme="minorEastAsia" w:cstheme="minorEastAsia"/>
        </w:rPr>
        <w:t>6. 付款</w:t>
      </w:r>
      <w:bookmarkEnd w:id="147"/>
      <w:bookmarkEnd w:id="148"/>
      <w:bookmarkEnd w:id="149"/>
      <w:bookmarkEnd w:id="150"/>
      <w:bookmarkEnd w:id="151"/>
      <w:bookmarkEnd w:id="152"/>
      <w:bookmarkEnd w:id="153"/>
      <w:bookmarkEnd w:id="154"/>
      <w:bookmarkEnd w:id="155"/>
      <w:bookmarkEnd w:id="156"/>
      <w:bookmarkEnd w:id="157"/>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6.1本合同以人民币支付。</w:t>
      </w:r>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6.2供方按照合同规定交货。交货后供方把下列单据提交给采购人,采购人按本项目采购文件“供应商须知前附表”付款方式的规定办理付款：</w:t>
      </w:r>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6.3采购人按合同的规定及支付条件和方式安排付款。</w:t>
      </w:r>
    </w:p>
    <w:p>
      <w:pPr>
        <w:pStyle w:val="4"/>
        <w:numPr>
          <w:ilvl w:val="0"/>
          <w:numId w:val="0"/>
        </w:numPr>
        <w:tabs>
          <w:tab w:val="left" w:pos="330"/>
        </w:tabs>
        <w:ind w:firstLine="560" w:firstLineChars="200"/>
        <w:rPr>
          <w:rFonts w:asciiTheme="minorEastAsia" w:hAnsiTheme="minorEastAsia" w:eastAsiaTheme="minorEastAsia" w:cstheme="minorEastAsia"/>
        </w:rPr>
      </w:pPr>
      <w:bookmarkStart w:id="158" w:name="_Toc31288"/>
      <w:bookmarkStart w:id="159" w:name="_Toc10809"/>
      <w:bookmarkStart w:id="160" w:name="_Toc32733"/>
      <w:bookmarkStart w:id="161" w:name="_Toc7472"/>
      <w:bookmarkStart w:id="162" w:name="_Toc9880"/>
      <w:bookmarkStart w:id="163" w:name="_Toc23405"/>
      <w:bookmarkStart w:id="164" w:name="_Toc21699"/>
      <w:bookmarkStart w:id="165" w:name="_Toc20983"/>
      <w:bookmarkStart w:id="166" w:name="_Toc13429"/>
      <w:bookmarkStart w:id="167" w:name="_Toc9400"/>
      <w:bookmarkStart w:id="168" w:name="_Toc4385"/>
      <w:r>
        <w:rPr>
          <w:rFonts w:hint="eastAsia" w:asciiTheme="minorEastAsia" w:hAnsiTheme="minorEastAsia" w:eastAsiaTheme="minorEastAsia" w:cstheme="minorEastAsia"/>
        </w:rPr>
        <w:t>7．伴随服务</w:t>
      </w:r>
      <w:bookmarkEnd w:id="158"/>
      <w:bookmarkEnd w:id="159"/>
      <w:bookmarkEnd w:id="160"/>
      <w:bookmarkEnd w:id="161"/>
      <w:bookmarkEnd w:id="162"/>
      <w:bookmarkEnd w:id="163"/>
      <w:bookmarkEnd w:id="164"/>
      <w:bookmarkEnd w:id="165"/>
      <w:bookmarkEnd w:id="166"/>
      <w:bookmarkEnd w:id="167"/>
      <w:bookmarkEnd w:id="168"/>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7.2供方应提供下列服务：</w:t>
      </w:r>
    </w:p>
    <w:p>
      <w:pPr>
        <w:pStyle w:val="23"/>
        <w:spacing w:line="500" w:lineRule="exact"/>
        <w:ind w:left="567" w:leftChars="27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（1）提供服务所必须的工具；</w:t>
      </w:r>
    </w:p>
    <w:p>
      <w:pPr>
        <w:pStyle w:val="23"/>
        <w:spacing w:line="500" w:lineRule="exact"/>
        <w:ind w:left="567" w:leftChars="27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（2）在项目现场就服务内容按采购人的要求提供技术培训。</w:t>
      </w:r>
    </w:p>
    <w:p>
      <w:pPr>
        <w:pStyle w:val="4"/>
        <w:numPr>
          <w:ilvl w:val="0"/>
          <w:numId w:val="0"/>
        </w:numPr>
        <w:tabs>
          <w:tab w:val="left" w:pos="330"/>
        </w:tabs>
        <w:ind w:firstLine="560" w:firstLineChars="200"/>
        <w:rPr>
          <w:rFonts w:asciiTheme="minorEastAsia" w:hAnsiTheme="minorEastAsia" w:eastAsiaTheme="minorEastAsia" w:cstheme="minorEastAsia"/>
        </w:rPr>
      </w:pPr>
      <w:bookmarkStart w:id="169" w:name="_Toc7636"/>
      <w:bookmarkStart w:id="170" w:name="_Toc1586"/>
      <w:bookmarkStart w:id="171" w:name="_Toc13431"/>
      <w:bookmarkStart w:id="172" w:name="_Toc7747"/>
      <w:bookmarkStart w:id="173" w:name="_Toc8569"/>
      <w:bookmarkStart w:id="174" w:name="_Toc30660"/>
      <w:bookmarkStart w:id="175" w:name="_Toc17131"/>
      <w:bookmarkStart w:id="176" w:name="_Toc24045"/>
      <w:bookmarkStart w:id="177" w:name="_Toc24362"/>
      <w:bookmarkStart w:id="178" w:name="_Toc31951"/>
      <w:bookmarkStart w:id="179" w:name="_Toc2219"/>
      <w:r>
        <w:rPr>
          <w:rFonts w:hint="eastAsia" w:asciiTheme="minorEastAsia" w:hAnsiTheme="minorEastAsia" w:eastAsiaTheme="minorEastAsia" w:cstheme="minorEastAsia"/>
        </w:rPr>
        <w:t>8.备品备件</w:t>
      </w:r>
      <w:bookmarkEnd w:id="169"/>
      <w:bookmarkEnd w:id="170"/>
      <w:bookmarkEnd w:id="171"/>
      <w:bookmarkEnd w:id="172"/>
      <w:bookmarkEnd w:id="173"/>
      <w:bookmarkEnd w:id="174"/>
      <w:bookmarkEnd w:id="175"/>
      <w:bookmarkEnd w:id="176"/>
      <w:bookmarkEnd w:id="177"/>
      <w:bookmarkEnd w:id="178"/>
      <w:bookmarkEnd w:id="179"/>
      <w:r>
        <w:rPr>
          <w:rFonts w:hint="eastAsia" w:asciiTheme="minorEastAsia" w:hAnsiTheme="minorEastAsia" w:eastAsiaTheme="minorEastAsia" w:cstheme="minorEastAsia"/>
        </w:rPr>
        <w:t>（不适用）</w:t>
      </w:r>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8.1供方可能被要求提供下列与备件有关的材料、通知和资料：</w:t>
      </w:r>
    </w:p>
    <w:p>
      <w:pPr>
        <w:pStyle w:val="23"/>
        <w:numPr>
          <w:ilvl w:val="0"/>
          <w:numId w:val="6"/>
        </w:numPr>
        <w:spacing w:line="500" w:lineRule="exact"/>
        <w:ind w:left="567" w:leftChars="27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采购方从供方选购备件，但前提条件是该选购并不能免除供方在</w:t>
      </w:r>
    </w:p>
    <w:p>
      <w:pPr>
        <w:pStyle w:val="23"/>
        <w:spacing w:line="500" w:lineRule="exact"/>
        <w:ind w:left="35" w:leftChars="17"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合同保证期内所承担的义务；</w:t>
      </w:r>
    </w:p>
    <w:p>
      <w:pPr>
        <w:pStyle w:val="23"/>
        <w:numPr>
          <w:ilvl w:val="0"/>
          <w:numId w:val="6"/>
        </w:numPr>
        <w:spacing w:line="500" w:lineRule="exact"/>
        <w:ind w:left="567" w:leftChars="27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在备件停止生产的情况下，供方应事先将要停止生产的计划通知</w:t>
      </w:r>
    </w:p>
    <w:p>
      <w:pPr>
        <w:pStyle w:val="23"/>
        <w:spacing w:line="500" w:lineRule="exact"/>
        <w:ind w:left="35" w:leftChars="17"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买方有足够的时间采购所需的备件；</w:t>
      </w:r>
    </w:p>
    <w:p>
      <w:pPr>
        <w:pStyle w:val="23"/>
        <w:numPr>
          <w:ilvl w:val="0"/>
          <w:numId w:val="6"/>
        </w:numPr>
        <w:spacing w:line="500" w:lineRule="exact"/>
        <w:ind w:left="567" w:leftChars="27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在备件停止生产后，如果采购方要求，供方应免费向采购方提供</w:t>
      </w:r>
    </w:p>
    <w:p>
      <w:pPr>
        <w:pStyle w:val="23"/>
        <w:spacing w:line="500" w:lineRule="exact"/>
        <w:ind w:left="35" w:leftChars="17"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备件的蓝图、图纸和规格。</w:t>
      </w:r>
    </w:p>
    <w:p>
      <w:pPr>
        <w:pStyle w:val="4"/>
        <w:numPr>
          <w:ilvl w:val="0"/>
          <w:numId w:val="0"/>
        </w:numPr>
        <w:tabs>
          <w:tab w:val="left" w:pos="330"/>
        </w:tabs>
        <w:ind w:firstLine="560" w:firstLineChars="200"/>
        <w:rPr>
          <w:rFonts w:asciiTheme="minorEastAsia" w:hAnsiTheme="minorEastAsia" w:eastAsiaTheme="minorEastAsia" w:cstheme="minorEastAsia"/>
        </w:rPr>
      </w:pPr>
      <w:bookmarkStart w:id="180" w:name="_Toc27000"/>
      <w:bookmarkStart w:id="181" w:name="_Toc23294"/>
      <w:bookmarkStart w:id="182" w:name="_Toc16789"/>
      <w:bookmarkStart w:id="183" w:name="_Toc29624"/>
      <w:bookmarkStart w:id="184" w:name="_Toc13339"/>
      <w:bookmarkStart w:id="185" w:name="_Toc7887"/>
      <w:bookmarkStart w:id="186" w:name="_Toc10523"/>
      <w:bookmarkStart w:id="187" w:name="_Toc17770"/>
      <w:bookmarkStart w:id="188" w:name="_Toc13433"/>
      <w:bookmarkStart w:id="189" w:name="_Toc28664"/>
      <w:bookmarkStart w:id="190" w:name="_Toc20542"/>
      <w:r>
        <w:rPr>
          <w:rFonts w:hint="eastAsia" w:asciiTheme="minorEastAsia" w:hAnsiTheme="minorEastAsia" w:eastAsiaTheme="minorEastAsia" w:cstheme="minorEastAsia"/>
        </w:rPr>
        <w:t>9、质量保证及售后服务</w:t>
      </w:r>
      <w:bookmarkEnd w:id="180"/>
      <w:bookmarkEnd w:id="181"/>
      <w:bookmarkEnd w:id="182"/>
      <w:bookmarkEnd w:id="183"/>
      <w:bookmarkEnd w:id="184"/>
      <w:bookmarkEnd w:id="185"/>
      <w:bookmarkEnd w:id="186"/>
      <w:bookmarkEnd w:id="187"/>
      <w:bookmarkEnd w:id="188"/>
      <w:bookmarkEnd w:id="189"/>
      <w:bookmarkEnd w:id="190"/>
      <w:bookmarkStart w:id="191" w:name="_Toc554"/>
      <w:bookmarkStart w:id="192" w:name="_Toc12805"/>
      <w:bookmarkStart w:id="193" w:name="_Toc8845"/>
      <w:bookmarkStart w:id="194" w:name="_Toc27189"/>
      <w:bookmarkStart w:id="195" w:name="_Toc32131"/>
      <w:bookmarkStart w:id="196" w:name="_Toc1822"/>
      <w:bookmarkStart w:id="197" w:name="_Toc5245"/>
    </w:p>
    <w:p>
      <w:pPr>
        <w:ind w:firstLine="560" w:firstLineChars="200"/>
        <w:rPr>
          <w:rFonts w:asciiTheme="minorEastAsia" w:hAnsiTheme="minorEastAsia" w:eastAsiaTheme="minorEastAsia" w:cstheme="minorEastAsia"/>
          <w:sz w:val="28"/>
          <w:szCs w:val="28"/>
        </w:rPr>
      </w:pPr>
      <w:bookmarkStart w:id="198" w:name="_Toc8977"/>
      <w:r>
        <w:rPr>
          <w:rFonts w:hint="eastAsia" w:asciiTheme="minorEastAsia" w:hAnsiTheme="minorEastAsia" w:eastAsiaTheme="minorEastAsia" w:cstheme="minorEastAsia"/>
          <w:sz w:val="28"/>
          <w:szCs w:val="28"/>
        </w:rPr>
        <w:t>（一）质量保证</w:t>
      </w:r>
      <w:bookmarkEnd w:id="191"/>
      <w:bookmarkEnd w:id="192"/>
      <w:bookmarkEnd w:id="193"/>
      <w:bookmarkEnd w:id="194"/>
      <w:bookmarkEnd w:id="195"/>
      <w:bookmarkEnd w:id="196"/>
      <w:bookmarkEnd w:id="197"/>
      <w:bookmarkEnd w:id="198"/>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9.2在质保期内或如果服务内容、质量与合同不符，或证实有缺陷的，采购人可尽快以书面形式向提供服务方提出本保证下的索赔。</w:t>
      </w:r>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9.3供方在收到索赔通知后十日内须免费完善应有方服务。</w:t>
      </w:r>
    </w:p>
    <w:p>
      <w:pPr>
        <w:pStyle w:val="23"/>
        <w:spacing w:line="500" w:lineRule="exact"/>
        <w:ind w:left="426"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9.4供方在收到索赔通知后十日内没有弥补缺陷，采购人可采取必要的补救措施，其风险和费用将由供方承担，采购人根据合同规定向供方行使的其它权利不受影响。</w:t>
      </w:r>
    </w:p>
    <w:p>
      <w:pPr>
        <w:pStyle w:val="4"/>
        <w:numPr>
          <w:ilvl w:val="0"/>
          <w:numId w:val="0"/>
        </w:numPr>
        <w:tabs>
          <w:tab w:val="left" w:pos="330"/>
        </w:tabs>
        <w:ind w:firstLine="560" w:firstLineChars="200"/>
        <w:rPr>
          <w:rFonts w:asciiTheme="minorEastAsia" w:hAnsiTheme="minorEastAsia" w:eastAsiaTheme="minorEastAsia" w:cstheme="minorEastAsia"/>
          <w:szCs w:val="28"/>
        </w:rPr>
      </w:pPr>
      <w:bookmarkStart w:id="199" w:name="_Toc23222"/>
      <w:bookmarkStart w:id="200" w:name="_Toc10202"/>
      <w:bookmarkStart w:id="201" w:name="_Toc13151"/>
      <w:bookmarkStart w:id="202" w:name="_Toc17150"/>
      <w:bookmarkStart w:id="203" w:name="_Toc6804"/>
      <w:bookmarkStart w:id="204" w:name="_Toc11040"/>
      <w:bookmarkStart w:id="205" w:name="_Toc1848"/>
      <w:bookmarkStart w:id="206" w:name="_Toc6671"/>
      <w:bookmarkStart w:id="207" w:name="_Toc11196"/>
      <w:bookmarkStart w:id="208" w:name="_Toc32087"/>
      <w:bookmarkStart w:id="209" w:name="_Toc20344"/>
      <w:r>
        <w:rPr>
          <w:rFonts w:hint="eastAsia" w:asciiTheme="minorEastAsia" w:hAnsiTheme="minorEastAsia" w:eastAsiaTheme="minorEastAsia" w:cstheme="minorEastAsia"/>
        </w:rPr>
        <w:t>10．</w:t>
      </w:r>
      <w:bookmarkEnd w:id="199"/>
      <w:bookmarkEnd w:id="200"/>
      <w:bookmarkEnd w:id="201"/>
      <w:bookmarkEnd w:id="202"/>
      <w:bookmarkEnd w:id="203"/>
      <w:bookmarkEnd w:id="204"/>
      <w:bookmarkEnd w:id="205"/>
      <w:bookmarkEnd w:id="206"/>
      <w:bookmarkEnd w:id="207"/>
      <w:bookmarkEnd w:id="208"/>
      <w:bookmarkEnd w:id="209"/>
      <w:bookmarkStart w:id="210" w:name="_Toc4588"/>
      <w:bookmarkStart w:id="211" w:name="_Toc7000"/>
      <w:bookmarkStart w:id="212" w:name="_Toc956"/>
      <w:bookmarkStart w:id="213" w:name="_Toc29090"/>
      <w:bookmarkStart w:id="214" w:name="_Toc1953"/>
      <w:bookmarkStart w:id="215" w:name="_Toc11351"/>
      <w:bookmarkStart w:id="216" w:name="_Toc16546"/>
      <w:bookmarkStart w:id="217" w:name="_Toc26864"/>
      <w:bookmarkStart w:id="218" w:name="_Toc2476"/>
      <w:bookmarkStart w:id="219" w:name="_Toc25469"/>
      <w:bookmarkStart w:id="220" w:name="_Toc24289"/>
      <w:r>
        <w:rPr>
          <w:rFonts w:hint="eastAsia" w:asciiTheme="minorEastAsia" w:hAnsiTheme="minorEastAsia" w:eastAsiaTheme="minorEastAsia" w:cstheme="minorEastAsia"/>
        </w:rPr>
        <w:t>供方履约延误</w:t>
      </w:r>
      <w:bookmarkEnd w:id="210"/>
      <w:bookmarkEnd w:id="211"/>
      <w:bookmarkEnd w:id="212"/>
      <w:bookmarkEnd w:id="213"/>
      <w:bookmarkEnd w:id="214"/>
      <w:bookmarkEnd w:id="215"/>
      <w:bookmarkEnd w:id="216"/>
      <w:bookmarkEnd w:id="217"/>
      <w:bookmarkEnd w:id="218"/>
      <w:bookmarkEnd w:id="219"/>
      <w:bookmarkEnd w:id="220"/>
      <w:r>
        <w:rPr>
          <w:rFonts w:hint="eastAsia" w:asciiTheme="minorEastAsia" w:hAnsiTheme="minorEastAsia" w:eastAsiaTheme="minorEastAsia" w:cstheme="minorEastAsia"/>
        </w:rPr>
        <w:t>（如适用）</w:t>
      </w:r>
    </w:p>
    <w:p>
      <w:pPr>
        <w:pStyle w:val="23"/>
        <w:spacing w:line="500" w:lineRule="exact"/>
        <w:ind w:left="63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11.1供方应按规定的时间交货和提供服务。</w:t>
      </w:r>
    </w:p>
    <w:p>
      <w:pPr>
        <w:pStyle w:val="23"/>
        <w:spacing w:line="500" w:lineRule="exact"/>
        <w:ind w:left="63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11.2如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pStyle w:val="23"/>
        <w:spacing w:line="500" w:lineRule="exact"/>
        <w:ind w:left="63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11.3在履行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pStyle w:val="23"/>
        <w:spacing w:line="500" w:lineRule="exact"/>
        <w:ind w:left="63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11.4供方交付的服务不符合采购文件、相应文件和本合同规定的，采购方有权拒收，并且供方需向采购方支付本合同总价10%的违约金。</w:t>
      </w:r>
    </w:p>
    <w:p>
      <w:pPr>
        <w:pStyle w:val="29"/>
        <w:ind w:firstLine="560" w:firstLineChars="200"/>
        <w:jc w:val="left"/>
        <w:rPr>
          <w:rFonts w:asciiTheme="minorEastAsia" w:hAnsiTheme="minorEastAsia" w:eastAsiaTheme="minorEastAsia" w:cstheme="minorEastAsia"/>
        </w:rPr>
      </w:pPr>
      <w:bookmarkStart w:id="221" w:name="_Toc22036"/>
      <w:bookmarkStart w:id="222" w:name="_Toc30451"/>
      <w:bookmarkStart w:id="223" w:name="_Toc24709"/>
      <w:bookmarkStart w:id="224" w:name="_Toc3434"/>
      <w:bookmarkStart w:id="225" w:name="_Toc27282"/>
      <w:bookmarkStart w:id="226" w:name="_Toc5422"/>
      <w:bookmarkStart w:id="227" w:name="_Toc11416"/>
      <w:bookmarkStart w:id="228" w:name="_Toc4550"/>
      <w:bookmarkStart w:id="229" w:name="_Toc684"/>
      <w:bookmarkStart w:id="230" w:name="_Toc3045"/>
      <w:bookmarkStart w:id="231" w:name="_Toc15066"/>
      <w:r>
        <w:rPr>
          <w:rFonts w:hint="eastAsia" w:asciiTheme="minorEastAsia" w:hAnsiTheme="minorEastAsia" w:eastAsiaTheme="minorEastAsia" w:cstheme="minorEastAsia"/>
        </w:rPr>
        <w:t>12．不可抗力</w:t>
      </w:r>
      <w:bookmarkEnd w:id="221"/>
      <w:bookmarkEnd w:id="222"/>
      <w:bookmarkEnd w:id="223"/>
      <w:bookmarkEnd w:id="224"/>
      <w:bookmarkEnd w:id="225"/>
      <w:bookmarkEnd w:id="226"/>
      <w:bookmarkEnd w:id="227"/>
      <w:bookmarkEnd w:id="228"/>
      <w:bookmarkEnd w:id="229"/>
      <w:bookmarkEnd w:id="230"/>
      <w:bookmarkEnd w:id="231"/>
    </w:p>
    <w:p>
      <w:pPr>
        <w:pStyle w:val="23"/>
        <w:spacing w:line="500" w:lineRule="exact"/>
        <w:ind w:left="63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12.1如果双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pStyle w:val="23"/>
        <w:spacing w:line="500" w:lineRule="exact"/>
        <w:ind w:left="63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29"/>
        <w:ind w:firstLine="560" w:firstLineChars="200"/>
        <w:jc w:val="left"/>
        <w:rPr>
          <w:rFonts w:asciiTheme="minorEastAsia" w:hAnsiTheme="minorEastAsia" w:eastAsiaTheme="minorEastAsia" w:cstheme="minorEastAsia"/>
        </w:rPr>
      </w:pPr>
      <w:bookmarkStart w:id="232" w:name="_Toc8919"/>
      <w:bookmarkStart w:id="233" w:name="_Toc6792"/>
      <w:bookmarkStart w:id="234" w:name="_Toc8356"/>
      <w:bookmarkStart w:id="235" w:name="_Toc16351"/>
      <w:bookmarkStart w:id="236" w:name="_Toc2406"/>
      <w:bookmarkStart w:id="237" w:name="_Toc31022"/>
      <w:bookmarkStart w:id="238" w:name="_Toc7612"/>
      <w:bookmarkStart w:id="239" w:name="_Toc8910"/>
      <w:bookmarkStart w:id="240" w:name="_Toc2590"/>
      <w:bookmarkStart w:id="241" w:name="_Toc13559"/>
      <w:bookmarkStart w:id="242" w:name="_Toc1072"/>
      <w:r>
        <w:rPr>
          <w:rFonts w:hint="eastAsia" w:asciiTheme="minorEastAsia" w:hAnsiTheme="minorEastAsia" w:eastAsiaTheme="minorEastAsia" w:cstheme="minorEastAsia"/>
        </w:rPr>
        <w:t>13．税费</w:t>
      </w:r>
      <w:bookmarkEnd w:id="232"/>
      <w:bookmarkEnd w:id="233"/>
      <w:bookmarkEnd w:id="234"/>
      <w:bookmarkEnd w:id="235"/>
      <w:bookmarkEnd w:id="236"/>
      <w:bookmarkEnd w:id="237"/>
      <w:bookmarkEnd w:id="238"/>
      <w:bookmarkEnd w:id="239"/>
      <w:bookmarkEnd w:id="240"/>
      <w:bookmarkEnd w:id="241"/>
      <w:bookmarkEnd w:id="242"/>
    </w:p>
    <w:p>
      <w:pPr>
        <w:pStyle w:val="23"/>
        <w:spacing w:line="500" w:lineRule="exact"/>
        <w:ind w:left="630" w:firstLine="560" w:firstLineChars="200"/>
        <w:jc w:val="left"/>
        <w:rPr>
          <w:rFonts w:asciiTheme="minorEastAsia" w:hAnsiTheme="minorEastAsia" w:eastAsiaTheme="minorEastAsia" w:cstheme="minorEastAsia"/>
          <w:szCs w:val="28"/>
        </w:rPr>
      </w:pPr>
      <w:r>
        <w:rPr>
          <w:rFonts w:hint="eastAsia" w:asciiTheme="minorEastAsia" w:hAnsiTheme="minorEastAsia" w:eastAsiaTheme="minorEastAsia" w:cstheme="minorEastAsia"/>
          <w:sz w:val="28"/>
          <w:szCs w:val="28"/>
        </w:rPr>
        <w:t>13.1政府根据现行税法对供方征收的与本合同有关的一切税费均由供方负担。</w:t>
      </w:r>
    </w:p>
    <w:p>
      <w:pPr>
        <w:pStyle w:val="4"/>
        <w:numPr>
          <w:ilvl w:val="0"/>
          <w:numId w:val="0"/>
        </w:numPr>
        <w:tabs>
          <w:tab w:val="left" w:pos="330"/>
        </w:tabs>
        <w:ind w:firstLine="560" w:firstLineChars="200"/>
        <w:rPr>
          <w:rFonts w:asciiTheme="minorEastAsia" w:hAnsiTheme="minorEastAsia" w:eastAsiaTheme="minorEastAsia" w:cstheme="minorEastAsia"/>
        </w:rPr>
      </w:pPr>
      <w:bookmarkStart w:id="243" w:name="_Toc30761"/>
      <w:bookmarkStart w:id="244" w:name="_Toc23773"/>
      <w:bookmarkStart w:id="245" w:name="_Toc19226"/>
      <w:bookmarkStart w:id="246" w:name="_Toc30612"/>
      <w:bookmarkStart w:id="247" w:name="_Toc26959"/>
      <w:bookmarkStart w:id="248" w:name="_Toc13575"/>
      <w:bookmarkStart w:id="249" w:name="_Toc17648"/>
      <w:bookmarkStart w:id="250" w:name="_Toc18748"/>
      <w:bookmarkStart w:id="251" w:name="_Toc20514"/>
      <w:bookmarkStart w:id="252" w:name="_Toc5219"/>
      <w:bookmarkStart w:id="253" w:name="_Toc26859"/>
      <w:r>
        <w:rPr>
          <w:rFonts w:hint="eastAsia" w:asciiTheme="minorEastAsia" w:hAnsiTheme="minorEastAsia" w:eastAsiaTheme="minorEastAsia" w:cstheme="minorEastAsia"/>
        </w:rPr>
        <w:t>14．违约终止合同</w:t>
      </w:r>
      <w:bookmarkEnd w:id="243"/>
      <w:bookmarkEnd w:id="244"/>
      <w:bookmarkEnd w:id="245"/>
      <w:bookmarkEnd w:id="246"/>
      <w:bookmarkEnd w:id="247"/>
      <w:bookmarkEnd w:id="248"/>
      <w:bookmarkEnd w:id="249"/>
      <w:bookmarkEnd w:id="250"/>
      <w:bookmarkEnd w:id="251"/>
      <w:bookmarkEnd w:id="252"/>
      <w:bookmarkEnd w:id="253"/>
    </w:p>
    <w:p>
      <w:pPr>
        <w:pStyle w:val="23"/>
        <w:spacing w:line="500" w:lineRule="exact"/>
        <w:ind w:left="63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14.1出现下列情况之一，采购人在对供方违约而采取的任何补救措施不受影响的情况下，可向供方发出终止部分或全部合同的书面通知书。</w:t>
      </w:r>
    </w:p>
    <w:p>
      <w:pPr>
        <w:pStyle w:val="23"/>
        <w:spacing w:line="500" w:lineRule="exact"/>
        <w:ind w:left="567" w:leftChars="27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（1）如果供方未能按合同规定的期限或采购人同意延长的限期内提供部分或全部服务；</w:t>
      </w:r>
    </w:p>
    <w:p>
      <w:pPr>
        <w:pStyle w:val="23"/>
        <w:spacing w:line="500" w:lineRule="exact"/>
        <w:ind w:left="567" w:leftChars="27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（2）供方在收到采购人发出的违约通知后20天内，或经采购人书面认可延长的时间内未能纠正其过失；</w:t>
      </w:r>
    </w:p>
    <w:p>
      <w:pPr>
        <w:pStyle w:val="23"/>
        <w:spacing w:line="500" w:lineRule="exact"/>
        <w:ind w:left="567" w:leftChars="27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（3）如果供方未能履行合同规定的其它任何义务。</w:t>
      </w:r>
    </w:p>
    <w:p>
      <w:pPr>
        <w:pStyle w:val="23"/>
        <w:spacing w:line="500" w:lineRule="exact"/>
        <w:ind w:left="630" w:firstLine="560" w:firstLineChars="200"/>
        <w:jc w:val="left"/>
        <w:rPr>
          <w:rFonts w:asciiTheme="minorEastAsia" w:hAnsiTheme="minorEastAsia" w:eastAsiaTheme="minorEastAsia" w:cstheme="minorEastAsia"/>
          <w:szCs w:val="28"/>
        </w:rPr>
      </w:pPr>
      <w:r>
        <w:rPr>
          <w:rFonts w:hint="eastAsia" w:asciiTheme="minorEastAsia" w:hAnsiTheme="minorEastAsia" w:eastAsiaTheme="minorEastAsia" w:cstheme="minorEastAsia"/>
          <w:sz w:val="28"/>
          <w:szCs w:val="28"/>
        </w:rPr>
        <w:t>14.2在采购人根据上述第15.1条规定，终止了全部或部分合同后，采购人可以依其认为适当的条件和方法购买类似未交的服务或进行工程施工，供方应对采购人购买类似货物、服务或进行工程施工所超出的费用部分负责，并继续执行合同中未终止部分。</w:t>
      </w:r>
    </w:p>
    <w:p>
      <w:pPr>
        <w:pStyle w:val="29"/>
        <w:ind w:firstLine="560" w:firstLineChars="200"/>
        <w:jc w:val="left"/>
        <w:rPr>
          <w:rFonts w:asciiTheme="minorEastAsia" w:hAnsiTheme="minorEastAsia" w:eastAsiaTheme="minorEastAsia" w:cstheme="minorEastAsia"/>
        </w:rPr>
      </w:pPr>
      <w:bookmarkStart w:id="254" w:name="_Toc22346"/>
      <w:bookmarkStart w:id="255" w:name="_Toc12927"/>
      <w:bookmarkStart w:id="256" w:name="_Toc16292"/>
      <w:bookmarkStart w:id="257" w:name="_Toc3585"/>
      <w:bookmarkStart w:id="258" w:name="_Toc30178"/>
      <w:bookmarkStart w:id="259" w:name="_Toc19254"/>
      <w:bookmarkStart w:id="260" w:name="_Toc25101"/>
      <w:bookmarkStart w:id="261" w:name="_Toc9105"/>
      <w:bookmarkStart w:id="262" w:name="_Toc9233"/>
      <w:bookmarkStart w:id="263" w:name="_Toc2781"/>
      <w:bookmarkStart w:id="264" w:name="_Toc25256"/>
      <w:r>
        <w:rPr>
          <w:rFonts w:hint="eastAsia" w:asciiTheme="minorEastAsia" w:hAnsiTheme="minorEastAsia" w:eastAsiaTheme="minorEastAsia" w:cstheme="minorEastAsia"/>
        </w:rPr>
        <w:t>15．破产终止合同</w:t>
      </w:r>
      <w:bookmarkEnd w:id="254"/>
      <w:bookmarkEnd w:id="255"/>
      <w:bookmarkEnd w:id="256"/>
      <w:bookmarkEnd w:id="257"/>
      <w:bookmarkEnd w:id="258"/>
      <w:bookmarkEnd w:id="259"/>
      <w:bookmarkEnd w:id="260"/>
      <w:bookmarkEnd w:id="261"/>
      <w:bookmarkEnd w:id="262"/>
      <w:bookmarkEnd w:id="263"/>
      <w:bookmarkEnd w:id="264"/>
    </w:p>
    <w:p>
      <w:pPr>
        <w:pStyle w:val="23"/>
        <w:spacing w:line="500" w:lineRule="exact"/>
        <w:ind w:left="63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15.1如果供方破产或无清偿能力时，采购人可在任何时候以书面形式通知供方终止合同而无须给供方补偿。终止该合同将不损害或影响采购人已经采取或将要采取的补救措施的权利。</w:t>
      </w:r>
    </w:p>
    <w:p>
      <w:pPr>
        <w:pStyle w:val="29"/>
        <w:ind w:firstLine="560" w:firstLineChars="200"/>
        <w:jc w:val="left"/>
        <w:rPr>
          <w:rFonts w:asciiTheme="minorEastAsia" w:hAnsiTheme="minorEastAsia" w:eastAsiaTheme="minorEastAsia" w:cstheme="minorEastAsia"/>
        </w:rPr>
      </w:pPr>
      <w:bookmarkStart w:id="265" w:name="_Toc13839"/>
      <w:bookmarkStart w:id="266" w:name="_Toc14159"/>
      <w:bookmarkStart w:id="267" w:name="_Toc10500"/>
      <w:bookmarkStart w:id="268" w:name="_Toc2114"/>
      <w:bookmarkStart w:id="269" w:name="_Toc24007"/>
      <w:bookmarkStart w:id="270" w:name="_Toc5118"/>
      <w:bookmarkStart w:id="271" w:name="_Toc26435"/>
      <w:bookmarkStart w:id="272" w:name="_Toc31435"/>
      <w:bookmarkStart w:id="273" w:name="_Toc15184"/>
      <w:bookmarkStart w:id="274" w:name="_Toc3920"/>
      <w:bookmarkStart w:id="275" w:name="_Toc19156"/>
      <w:r>
        <w:rPr>
          <w:rFonts w:hint="eastAsia" w:asciiTheme="minorEastAsia" w:hAnsiTheme="minorEastAsia" w:eastAsiaTheme="minorEastAsia" w:cstheme="minorEastAsia"/>
        </w:rPr>
        <w:t>16．转让</w:t>
      </w:r>
      <w:bookmarkEnd w:id="265"/>
      <w:bookmarkEnd w:id="266"/>
      <w:bookmarkEnd w:id="267"/>
      <w:bookmarkEnd w:id="268"/>
      <w:bookmarkEnd w:id="269"/>
      <w:bookmarkEnd w:id="270"/>
      <w:bookmarkEnd w:id="271"/>
      <w:bookmarkEnd w:id="272"/>
      <w:bookmarkEnd w:id="273"/>
      <w:bookmarkEnd w:id="274"/>
      <w:bookmarkEnd w:id="275"/>
    </w:p>
    <w:p>
      <w:pPr>
        <w:pStyle w:val="23"/>
        <w:spacing w:line="500" w:lineRule="exact"/>
        <w:ind w:left="630" w:firstLine="560" w:firstLineChars="200"/>
        <w:jc w:val="left"/>
        <w:rPr>
          <w:rFonts w:asciiTheme="minorEastAsia" w:hAnsiTheme="minorEastAsia" w:eastAsiaTheme="minorEastAsia" w:cstheme="minorEastAsia"/>
          <w:szCs w:val="28"/>
        </w:rPr>
      </w:pPr>
      <w:r>
        <w:rPr>
          <w:rFonts w:hint="eastAsia" w:asciiTheme="minorEastAsia" w:hAnsiTheme="minorEastAsia" w:eastAsiaTheme="minorEastAsia" w:cstheme="minorEastAsia"/>
          <w:sz w:val="28"/>
          <w:szCs w:val="28"/>
        </w:rPr>
        <w:t>16.1除采购人事先书面同意外，供方不得部分转让或全部转让其应履行的合同义务。</w:t>
      </w:r>
    </w:p>
    <w:p>
      <w:pPr>
        <w:pStyle w:val="29"/>
        <w:ind w:firstLine="560" w:firstLineChars="200"/>
        <w:jc w:val="left"/>
        <w:rPr>
          <w:rFonts w:asciiTheme="minorEastAsia" w:hAnsiTheme="minorEastAsia" w:eastAsiaTheme="minorEastAsia" w:cstheme="minorEastAsia"/>
        </w:rPr>
      </w:pPr>
      <w:bookmarkStart w:id="276" w:name="_Toc17598"/>
      <w:bookmarkStart w:id="277" w:name="_Toc19410"/>
      <w:bookmarkStart w:id="278" w:name="_Toc9293"/>
      <w:bookmarkStart w:id="279" w:name="_Toc10354"/>
      <w:bookmarkStart w:id="280" w:name="_Toc19433"/>
      <w:bookmarkStart w:id="281" w:name="_Toc17748"/>
      <w:bookmarkStart w:id="282" w:name="_Toc30348"/>
      <w:bookmarkStart w:id="283" w:name="_Toc26341"/>
      <w:bookmarkStart w:id="284" w:name="_Toc23197"/>
      <w:bookmarkStart w:id="285" w:name="_Toc4310"/>
      <w:bookmarkStart w:id="286" w:name="_Toc16753"/>
      <w:r>
        <w:rPr>
          <w:rFonts w:hint="eastAsia" w:asciiTheme="minorEastAsia" w:hAnsiTheme="minorEastAsia" w:eastAsiaTheme="minorEastAsia" w:cstheme="minorEastAsia"/>
        </w:rPr>
        <w:t>17．适用法律</w:t>
      </w:r>
      <w:bookmarkEnd w:id="276"/>
      <w:bookmarkEnd w:id="277"/>
      <w:bookmarkEnd w:id="278"/>
      <w:bookmarkEnd w:id="279"/>
      <w:bookmarkEnd w:id="280"/>
      <w:bookmarkEnd w:id="281"/>
      <w:bookmarkEnd w:id="282"/>
      <w:bookmarkEnd w:id="283"/>
      <w:bookmarkEnd w:id="284"/>
      <w:bookmarkEnd w:id="285"/>
      <w:bookmarkEnd w:id="286"/>
    </w:p>
    <w:p>
      <w:pPr>
        <w:pStyle w:val="23"/>
        <w:spacing w:line="500" w:lineRule="exact"/>
        <w:ind w:left="630" w:firstLine="560" w:firstLineChars="20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17.1本合同应按中华人民共和国的法律进行解释。</w:t>
      </w:r>
    </w:p>
    <w:p>
      <w:pPr>
        <w:pStyle w:val="29"/>
        <w:ind w:firstLine="560" w:firstLineChars="200"/>
        <w:jc w:val="left"/>
        <w:rPr>
          <w:rFonts w:asciiTheme="minorEastAsia" w:hAnsiTheme="minorEastAsia" w:eastAsiaTheme="minorEastAsia" w:cstheme="minorEastAsia"/>
        </w:rPr>
      </w:pPr>
      <w:bookmarkStart w:id="287" w:name="_Toc5327"/>
      <w:bookmarkStart w:id="288" w:name="_Toc26668"/>
      <w:bookmarkStart w:id="289" w:name="_Toc29827"/>
      <w:bookmarkStart w:id="290" w:name="_Toc19838"/>
      <w:bookmarkStart w:id="291" w:name="_Toc10793"/>
      <w:bookmarkStart w:id="292" w:name="_Toc1407"/>
      <w:bookmarkStart w:id="293" w:name="_Toc15275"/>
      <w:bookmarkStart w:id="294" w:name="_Toc32504"/>
      <w:bookmarkStart w:id="295" w:name="_Toc7226"/>
      <w:bookmarkStart w:id="296" w:name="_Toc28540"/>
      <w:bookmarkStart w:id="297" w:name="_Toc31278"/>
      <w:r>
        <w:rPr>
          <w:rFonts w:hint="eastAsia" w:asciiTheme="minorEastAsia" w:hAnsiTheme="minorEastAsia" w:eastAsiaTheme="minorEastAsia" w:cstheme="minorEastAsia"/>
        </w:rPr>
        <w:t>18．合同生效</w:t>
      </w:r>
      <w:bookmarkEnd w:id="287"/>
      <w:bookmarkEnd w:id="288"/>
      <w:bookmarkEnd w:id="289"/>
      <w:bookmarkEnd w:id="290"/>
      <w:bookmarkEnd w:id="291"/>
      <w:bookmarkEnd w:id="292"/>
      <w:bookmarkEnd w:id="293"/>
      <w:bookmarkEnd w:id="294"/>
      <w:bookmarkEnd w:id="295"/>
      <w:bookmarkEnd w:id="296"/>
      <w:bookmarkEnd w:id="297"/>
    </w:p>
    <w:p>
      <w:pPr>
        <w:pStyle w:val="23"/>
        <w:spacing w:line="500" w:lineRule="exact"/>
        <w:ind w:left="63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18.1合同在双方授权代表签字并盖章后生效。</w:t>
      </w:r>
    </w:p>
    <w:p>
      <w:pPr>
        <w:pStyle w:val="23"/>
        <w:spacing w:line="500" w:lineRule="exact"/>
        <w:ind w:left="630" w:firstLine="560" w:firstLineChars="200"/>
        <w:jc w:val="left"/>
        <w:rPr>
          <w:rFonts w:asciiTheme="minorEastAsia" w:hAnsiTheme="minorEastAsia" w:eastAsiaTheme="minorEastAsia" w:cstheme="minorEastAsia"/>
          <w:szCs w:val="28"/>
        </w:rPr>
      </w:pPr>
      <w:r>
        <w:rPr>
          <w:rFonts w:hint="eastAsia" w:asciiTheme="minorEastAsia" w:hAnsiTheme="minorEastAsia" w:eastAsiaTheme="minorEastAsia" w:cstheme="minorEastAsia"/>
          <w:sz w:val="28"/>
          <w:szCs w:val="28"/>
        </w:rPr>
        <w:t>18.2本合同一式四份，以中文书写，采购人、供方、采购中心、政府采购监管部门各执一份。</w:t>
      </w:r>
    </w:p>
    <w:p>
      <w:pPr>
        <w:pStyle w:val="29"/>
        <w:ind w:firstLine="560" w:firstLineChars="200"/>
        <w:jc w:val="left"/>
        <w:rPr>
          <w:rFonts w:asciiTheme="minorEastAsia" w:hAnsiTheme="minorEastAsia" w:eastAsiaTheme="minorEastAsia" w:cstheme="minorEastAsia"/>
        </w:rPr>
      </w:pPr>
      <w:bookmarkStart w:id="298" w:name="_Toc27006"/>
      <w:bookmarkStart w:id="299" w:name="_Toc11448"/>
      <w:bookmarkStart w:id="300" w:name="_Toc11267"/>
      <w:bookmarkStart w:id="301" w:name="_Toc4969"/>
      <w:bookmarkStart w:id="302" w:name="_Toc29778"/>
      <w:bookmarkStart w:id="303" w:name="_Toc24244"/>
      <w:bookmarkStart w:id="304" w:name="_Toc8778"/>
      <w:bookmarkStart w:id="305" w:name="_Toc11187"/>
      <w:bookmarkStart w:id="306" w:name="_Toc15285"/>
      <w:bookmarkStart w:id="307" w:name="_Toc31996"/>
      <w:bookmarkStart w:id="308" w:name="_Toc26247"/>
      <w:r>
        <w:rPr>
          <w:rFonts w:hint="eastAsia" w:asciiTheme="minorEastAsia" w:hAnsiTheme="minorEastAsia" w:eastAsiaTheme="minorEastAsia" w:cstheme="minorEastAsia"/>
        </w:rPr>
        <w:t>19. 争议解决方式</w:t>
      </w:r>
      <w:bookmarkEnd w:id="298"/>
      <w:bookmarkEnd w:id="299"/>
      <w:bookmarkEnd w:id="300"/>
      <w:bookmarkEnd w:id="301"/>
      <w:bookmarkEnd w:id="302"/>
      <w:bookmarkEnd w:id="303"/>
      <w:bookmarkEnd w:id="304"/>
      <w:bookmarkEnd w:id="305"/>
      <w:bookmarkEnd w:id="306"/>
      <w:bookmarkEnd w:id="307"/>
      <w:bookmarkEnd w:id="308"/>
    </w:p>
    <w:p>
      <w:pPr>
        <w:pStyle w:val="23"/>
        <w:spacing w:line="500" w:lineRule="exact"/>
        <w:ind w:left="630"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19.1 合同实施或与合同有关的一切争议应通过双方协商解决。若协商不成，则向采购人所在地法院提起诉讼。</w:t>
      </w:r>
    </w:p>
    <w:p>
      <w:pPr>
        <w:pStyle w:val="29"/>
        <w:ind w:firstLine="560" w:firstLineChars="200"/>
        <w:jc w:val="left"/>
        <w:rPr>
          <w:rFonts w:asciiTheme="minorEastAsia" w:hAnsiTheme="minorEastAsia" w:eastAsiaTheme="minorEastAsia" w:cstheme="minorEastAsia"/>
        </w:rPr>
      </w:pPr>
      <w:bookmarkStart w:id="309" w:name="_Toc22771"/>
      <w:bookmarkStart w:id="310" w:name="_Toc14639"/>
      <w:bookmarkStart w:id="311" w:name="_Toc16122"/>
      <w:bookmarkStart w:id="312" w:name="_Toc22087"/>
      <w:bookmarkStart w:id="313" w:name="_Toc26610"/>
      <w:bookmarkStart w:id="314" w:name="_Toc18508"/>
      <w:bookmarkStart w:id="315" w:name="_Toc257"/>
      <w:bookmarkStart w:id="316" w:name="_Toc24360"/>
      <w:bookmarkStart w:id="317" w:name="_Toc24583"/>
      <w:bookmarkStart w:id="318" w:name="_Toc1198"/>
      <w:bookmarkStart w:id="319" w:name="_Toc18280"/>
      <w:r>
        <w:rPr>
          <w:rFonts w:hint="eastAsia" w:asciiTheme="minorEastAsia" w:hAnsiTheme="minorEastAsia" w:eastAsiaTheme="minorEastAsia" w:cstheme="minorEastAsia"/>
        </w:rPr>
        <w:t>20．合同修改</w:t>
      </w:r>
      <w:bookmarkEnd w:id="309"/>
      <w:bookmarkEnd w:id="310"/>
      <w:bookmarkEnd w:id="311"/>
      <w:bookmarkEnd w:id="312"/>
      <w:bookmarkEnd w:id="313"/>
      <w:bookmarkEnd w:id="314"/>
      <w:bookmarkEnd w:id="315"/>
      <w:bookmarkEnd w:id="316"/>
      <w:bookmarkEnd w:id="317"/>
      <w:bookmarkEnd w:id="318"/>
      <w:bookmarkEnd w:id="319"/>
    </w:p>
    <w:p>
      <w:pPr>
        <w:spacing w:line="360" w:lineRule="auto"/>
        <w:ind w:firstLine="560" w:firstLineChars="200"/>
        <w:jc w:val="center"/>
        <w:rPr>
          <w:rStyle w:val="24"/>
          <w:rFonts w:asciiTheme="minorEastAsia" w:hAnsiTheme="minorEastAsia" w:eastAsiaTheme="minorEastAsia" w:cstheme="minorEastAsia"/>
          <w:b/>
          <w:szCs w:val="28"/>
        </w:rPr>
      </w:pPr>
      <w:r>
        <w:rPr>
          <w:rFonts w:hint="eastAsia" w:asciiTheme="minorEastAsia" w:hAnsiTheme="minorEastAsia" w:eastAsiaTheme="minorEastAsia" w:cstheme="minorEastAsia"/>
          <w:sz w:val="28"/>
          <w:szCs w:val="28"/>
        </w:rPr>
        <w:t>20.1除双方签署书面修改协议，并成为本合同不可分割的一部分的情况之外，本合同不得有任何变化或修改。</w:t>
      </w:r>
      <w:bookmarkEnd w:id="91"/>
    </w:p>
    <w:p>
      <w:pPr>
        <w:spacing w:line="360" w:lineRule="auto"/>
        <w:jc w:val="center"/>
        <w:rPr>
          <w:rStyle w:val="24"/>
          <w:rFonts w:asciiTheme="minorEastAsia" w:hAnsiTheme="minorEastAsia" w:eastAsiaTheme="minorEastAsia" w:cstheme="minorEastAsia"/>
          <w:b/>
          <w:szCs w:val="28"/>
        </w:rPr>
      </w:pPr>
    </w:p>
    <w:p>
      <w:pPr>
        <w:spacing w:line="360" w:lineRule="auto"/>
        <w:jc w:val="center"/>
        <w:rPr>
          <w:rStyle w:val="24"/>
          <w:rFonts w:asciiTheme="minorEastAsia" w:hAnsiTheme="minorEastAsia" w:eastAsiaTheme="minorEastAsia" w:cstheme="minorEastAsia"/>
          <w:b/>
          <w:szCs w:val="28"/>
        </w:rPr>
      </w:pPr>
    </w:p>
    <w:p>
      <w:pPr>
        <w:spacing w:line="360" w:lineRule="auto"/>
        <w:jc w:val="center"/>
        <w:rPr>
          <w:rStyle w:val="24"/>
          <w:rFonts w:asciiTheme="minorEastAsia" w:hAnsiTheme="minorEastAsia" w:eastAsiaTheme="minorEastAsia" w:cstheme="minorEastAsia"/>
          <w:b/>
          <w:szCs w:val="28"/>
        </w:rPr>
      </w:pPr>
    </w:p>
    <w:p>
      <w:pPr>
        <w:spacing w:line="360" w:lineRule="auto"/>
        <w:jc w:val="center"/>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ind w:firstLine="560" w:firstLineChars="200"/>
        <w:jc w:val="center"/>
        <w:rPr>
          <w:rStyle w:val="24"/>
          <w:rFonts w:asciiTheme="minorEastAsia" w:hAnsiTheme="minorEastAsia" w:eastAsiaTheme="minorEastAsia" w:cstheme="minorEastAsia"/>
          <w:b/>
          <w:szCs w:val="28"/>
        </w:rPr>
      </w:pPr>
      <w:r>
        <w:rPr>
          <w:rStyle w:val="24"/>
          <w:rFonts w:hint="eastAsia" w:asciiTheme="minorEastAsia" w:hAnsiTheme="minorEastAsia" w:eastAsiaTheme="minorEastAsia" w:cstheme="minorEastAsia"/>
          <w:b/>
          <w:szCs w:val="28"/>
        </w:rPr>
        <w:t>第七部分  响应文件格式及附件</w:t>
      </w:r>
    </w:p>
    <w:p>
      <w:pPr>
        <w:autoSpaceDE w:val="0"/>
        <w:autoSpaceDN w:val="0"/>
        <w:adjustRightInd w:val="0"/>
        <w:spacing w:line="360" w:lineRule="auto"/>
        <w:jc w:val="right"/>
        <w:rPr>
          <w:rFonts w:asciiTheme="minorEastAsia" w:hAnsiTheme="minorEastAsia" w:eastAsiaTheme="minorEastAsia" w:cstheme="minorEastAsia"/>
          <w:b/>
          <w:spacing w:val="-6"/>
          <w:kern w:val="0"/>
          <w:sz w:val="28"/>
          <w:szCs w:val="28"/>
          <w:bdr w:val="single" w:color="auto" w:sz="4" w:space="0"/>
        </w:rPr>
      </w:pPr>
    </w:p>
    <w:p>
      <w:pPr>
        <w:autoSpaceDE w:val="0"/>
        <w:autoSpaceDN w:val="0"/>
        <w:adjustRightInd w:val="0"/>
        <w:spacing w:line="360" w:lineRule="auto"/>
        <w:rPr>
          <w:rFonts w:asciiTheme="minorEastAsia" w:hAnsiTheme="minorEastAsia" w:eastAsiaTheme="minorEastAsia" w:cstheme="minorEastAsia"/>
          <w:b/>
          <w:spacing w:val="-6"/>
          <w:kern w:val="0"/>
          <w:sz w:val="28"/>
          <w:szCs w:val="28"/>
        </w:rPr>
      </w:pPr>
    </w:p>
    <w:p>
      <w:pPr>
        <w:spacing w:line="360" w:lineRule="auto"/>
        <w:jc w:val="center"/>
        <w:rPr>
          <w:rFonts w:asciiTheme="minorEastAsia" w:hAnsiTheme="minorEastAsia" w:eastAsiaTheme="minorEastAsia" w:cstheme="minorEastAsia"/>
          <w:b/>
          <w:bCs/>
          <w:spacing w:val="-20"/>
          <w:sz w:val="28"/>
          <w:szCs w:val="28"/>
        </w:rPr>
      </w:pPr>
    </w:p>
    <w:p>
      <w:pPr>
        <w:spacing w:line="360" w:lineRule="auto"/>
        <w:jc w:val="center"/>
        <w:rPr>
          <w:rFonts w:asciiTheme="minorEastAsia" w:hAnsiTheme="minorEastAsia" w:eastAsiaTheme="minorEastAsia" w:cstheme="minorEastAsia"/>
          <w:b/>
          <w:bCs/>
          <w:spacing w:val="-20"/>
          <w:sz w:val="28"/>
          <w:szCs w:val="28"/>
        </w:rPr>
      </w:pPr>
    </w:p>
    <w:p>
      <w:pPr>
        <w:spacing w:line="360" w:lineRule="auto"/>
        <w:ind w:left="141" w:hanging="140" w:hangingChars="50"/>
        <w:rPr>
          <w:rFonts w:asciiTheme="minorEastAsia" w:hAnsiTheme="minorEastAsia" w:eastAsiaTheme="minorEastAsia" w:cstheme="minorEastAsia"/>
          <w:b/>
          <w:sz w:val="28"/>
          <w:szCs w:val="28"/>
        </w:rPr>
      </w:pPr>
    </w:p>
    <w:p>
      <w:pPr>
        <w:pStyle w:val="22"/>
        <w:spacing w:line="360" w:lineRule="auto"/>
        <w:ind w:hanging="23"/>
        <w:jc w:val="center"/>
        <w:rPr>
          <w:rFonts w:asciiTheme="minorEastAsia" w:hAnsiTheme="minorEastAsia" w:eastAsiaTheme="minorEastAsia" w:cstheme="minorEastAsia"/>
          <w:b/>
          <w:color w:val="auto"/>
          <w:sz w:val="28"/>
          <w:szCs w:val="28"/>
        </w:rPr>
      </w:pPr>
    </w:p>
    <w:p>
      <w:pPr>
        <w:autoSpaceDE w:val="0"/>
        <w:autoSpaceDN w:val="0"/>
        <w:adjustRightInd w:val="0"/>
        <w:spacing w:line="360" w:lineRule="auto"/>
        <w:jc w:val="right"/>
        <w:rPr>
          <w:rFonts w:asciiTheme="minorEastAsia" w:hAnsiTheme="minorEastAsia" w:eastAsiaTheme="minorEastAsia" w:cstheme="minorEastAsia"/>
          <w:b/>
          <w:sz w:val="28"/>
          <w:szCs w:val="28"/>
        </w:rPr>
      </w:pPr>
    </w:p>
    <w:p>
      <w:pPr>
        <w:autoSpaceDE w:val="0"/>
        <w:autoSpaceDN w:val="0"/>
        <w:adjustRightInd w:val="0"/>
        <w:spacing w:line="360" w:lineRule="auto"/>
        <w:jc w:val="right"/>
        <w:rPr>
          <w:rFonts w:asciiTheme="minorEastAsia" w:hAnsiTheme="minorEastAsia" w:eastAsiaTheme="minorEastAsia" w:cstheme="minorEastAsia"/>
          <w:b/>
          <w:sz w:val="28"/>
          <w:szCs w:val="28"/>
        </w:rPr>
      </w:pPr>
    </w:p>
    <w:p>
      <w:pPr>
        <w:autoSpaceDE w:val="0"/>
        <w:autoSpaceDN w:val="0"/>
        <w:adjustRightInd w:val="0"/>
        <w:spacing w:line="360" w:lineRule="auto"/>
        <w:jc w:val="right"/>
        <w:rPr>
          <w:rFonts w:asciiTheme="minorEastAsia" w:hAnsiTheme="minorEastAsia" w:eastAsiaTheme="minorEastAsia" w:cstheme="minorEastAsia"/>
          <w:b/>
          <w:sz w:val="28"/>
          <w:szCs w:val="28"/>
        </w:rPr>
      </w:pPr>
    </w:p>
    <w:p>
      <w:pPr>
        <w:autoSpaceDE w:val="0"/>
        <w:autoSpaceDN w:val="0"/>
        <w:adjustRightInd w:val="0"/>
        <w:spacing w:line="360" w:lineRule="auto"/>
        <w:jc w:val="right"/>
        <w:rPr>
          <w:rFonts w:asciiTheme="minorEastAsia" w:hAnsiTheme="minorEastAsia" w:eastAsiaTheme="minorEastAsia" w:cstheme="minorEastAsia"/>
          <w:b/>
          <w:sz w:val="28"/>
          <w:szCs w:val="28"/>
        </w:rPr>
      </w:pPr>
    </w:p>
    <w:p>
      <w:pPr>
        <w:autoSpaceDE w:val="0"/>
        <w:autoSpaceDN w:val="0"/>
        <w:adjustRightInd w:val="0"/>
        <w:spacing w:line="360" w:lineRule="auto"/>
        <w:jc w:val="right"/>
        <w:rPr>
          <w:rFonts w:asciiTheme="minorEastAsia" w:hAnsiTheme="minorEastAsia" w:eastAsiaTheme="minorEastAsia" w:cstheme="minorEastAsia"/>
          <w:b/>
          <w:sz w:val="28"/>
          <w:szCs w:val="28"/>
        </w:rPr>
      </w:pPr>
    </w:p>
    <w:p>
      <w:pPr>
        <w:autoSpaceDE w:val="0"/>
        <w:autoSpaceDN w:val="0"/>
        <w:adjustRightInd w:val="0"/>
        <w:spacing w:line="360" w:lineRule="auto"/>
        <w:jc w:val="right"/>
        <w:rPr>
          <w:rFonts w:asciiTheme="minorEastAsia" w:hAnsiTheme="minorEastAsia" w:eastAsiaTheme="minorEastAsia" w:cstheme="minorEastAsia"/>
          <w:b/>
          <w:sz w:val="28"/>
          <w:szCs w:val="28"/>
        </w:rPr>
      </w:pPr>
    </w:p>
    <w:p>
      <w:pPr>
        <w:spacing w:line="360" w:lineRule="auto"/>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rPr>
          <w:rStyle w:val="24"/>
          <w:rFonts w:asciiTheme="minorEastAsia" w:hAnsiTheme="minorEastAsia" w:eastAsiaTheme="minorEastAsia" w:cstheme="minorEastAsia"/>
          <w:b/>
          <w:szCs w:val="28"/>
        </w:rPr>
      </w:pPr>
    </w:p>
    <w:p>
      <w:pPr>
        <w:spacing w:line="360" w:lineRule="auto"/>
        <w:ind w:firstLine="560" w:firstLineChars="200"/>
        <w:rPr>
          <w:rStyle w:val="24"/>
          <w:rFonts w:asciiTheme="minorEastAsia" w:hAnsiTheme="minorEastAsia" w:eastAsiaTheme="minorEastAsia" w:cstheme="minorEastAsia"/>
          <w:b/>
          <w:szCs w:val="28"/>
        </w:rPr>
      </w:pPr>
      <w:r>
        <w:rPr>
          <w:rStyle w:val="24"/>
          <w:rFonts w:hint="eastAsia" w:asciiTheme="minorEastAsia" w:hAnsiTheme="minorEastAsia" w:eastAsiaTheme="minorEastAsia" w:cstheme="minorEastAsia"/>
          <w:b/>
          <w:szCs w:val="28"/>
        </w:rPr>
        <w:t>商务响应文件</w:t>
      </w:r>
    </w:p>
    <w:p>
      <w:pPr>
        <w:autoSpaceDE w:val="0"/>
        <w:autoSpaceDN w:val="0"/>
        <w:adjustRightInd w:val="0"/>
        <w:spacing w:line="360" w:lineRule="auto"/>
        <w:ind w:firstLine="560" w:firstLineChars="200"/>
        <w:rPr>
          <w:rFonts w:asciiTheme="minorEastAsia" w:hAnsiTheme="minorEastAsia" w:eastAsiaTheme="minorEastAsia" w:cstheme="minorEastAsia"/>
          <w:b/>
          <w:sz w:val="28"/>
          <w:szCs w:val="28"/>
        </w:rPr>
      </w:pPr>
    </w:p>
    <w:p>
      <w:pPr>
        <w:spacing w:line="360" w:lineRule="auto"/>
        <w:ind w:firstLine="560" w:firstLineChars="200"/>
        <w:rPr>
          <w:rFonts w:asciiTheme="minorEastAsia" w:hAnsiTheme="minorEastAsia" w:eastAsiaTheme="minorEastAsia" w:cstheme="minorEastAsia"/>
          <w:b/>
          <w:sz w:val="28"/>
          <w:szCs w:val="28"/>
        </w:rPr>
      </w:pPr>
    </w:p>
    <w:p>
      <w:pPr>
        <w:spacing w:line="360" w:lineRule="auto"/>
        <w:ind w:firstLine="560" w:firstLineChars="200"/>
        <w:rPr>
          <w:rFonts w:asciiTheme="minorEastAsia" w:hAnsiTheme="minorEastAsia" w:eastAsiaTheme="minorEastAsia" w:cstheme="minorEastAsia"/>
          <w:b/>
          <w:sz w:val="28"/>
          <w:szCs w:val="28"/>
        </w:rPr>
      </w:pPr>
    </w:p>
    <w:p>
      <w:pPr>
        <w:spacing w:line="360" w:lineRule="auto"/>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项目名称：</w:t>
      </w:r>
    </w:p>
    <w:p>
      <w:pPr>
        <w:spacing w:line="360" w:lineRule="auto"/>
        <w:ind w:left="1680" w:firstLine="560" w:firstLineChars="200"/>
        <w:jc w:val="center"/>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项目编号：</w:t>
      </w:r>
    </w:p>
    <w:p>
      <w:pPr>
        <w:pStyle w:val="22"/>
        <w:spacing w:line="360" w:lineRule="auto"/>
        <w:ind w:firstLine="567"/>
        <w:rPr>
          <w:rFonts w:asciiTheme="minorEastAsia" w:hAnsiTheme="minorEastAsia" w:eastAsiaTheme="minorEastAsia" w:cstheme="minorEastAsia"/>
          <w:color w:val="auto"/>
          <w:sz w:val="28"/>
          <w:szCs w:val="28"/>
        </w:rPr>
      </w:pP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供应商名称（公章）： </w:t>
      </w:r>
    </w:p>
    <w:p>
      <w:pPr>
        <w:pStyle w:val="22"/>
        <w:spacing w:line="360" w:lineRule="auto"/>
        <w:ind w:firstLine="567"/>
        <w:rPr>
          <w:rFonts w:asciiTheme="minorEastAsia" w:hAnsiTheme="minorEastAsia" w:eastAsiaTheme="minorEastAsia" w:cstheme="minorEastAsia"/>
          <w:color w:val="auto"/>
          <w:sz w:val="28"/>
          <w:szCs w:val="28"/>
        </w:rPr>
      </w:pP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法定代表人或授权代表签章： </w:t>
      </w:r>
    </w:p>
    <w:p>
      <w:pPr>
        <w:pStyle w:val="22"/>
        <w:spacing w:line="360" w:lineRule="auto"/>
        <w:rPr>
          <w:rFonts w:asciiTheme="minorEastAsia" w:hAnsiTheme="minorEastAsia" w:eastAsiaTheme="minorEastAsia" w:cstheme="minorEastAsia"/>
          <w:b/>
          <w:color w:val="auto"/>
          <w:sz w:val="28"/>
          <w:szCs w:val="28"/>
        </w:rPr>
      </w:pPr>
    </w:p>
    <w:p>
      <w:pPr>
        <w:pStyle w:val="22"/>
        <w:spacing w:line="360" w:lineRule="auto"/>
        <w:rPr>
          <w:rFonts w:asciiTheme="minorEastAsia" w:hAnsiTheme="minorEastAsia" w:eastAsiaTheme="minorEastAsia" w:cstheme="minorEastAsia"/>
          <w:b/>
          <w:color w:val="auto"/>
          <w:sz w:val="28"/>
          <w:szCs w:val="28"/>
        </w:rPr>
      </w:pPr>
    </w:p>
    <w:p>
      <w:pPr>
        <w:pStyle w:val="22"/>
        <w:spacing w:line="360" w:lineRule="auto"/>
        <w:rPr>
          <w:rFonts w:asciiTheme="minorEastAsia" w:hAnsiTheme="minorEastAsia" w:eastAsiaTheme="minorEastAsia" w:cstheme="minorEastAsia"/>
          <w:b/>
          <w:color w:val="auto"/>
          <w:sz w:val="28"/>
          <w:szCs w:val="28"/>
        </w:rPr>
      </w:pPr>
    </w:p>
    <w:p>
      <w:pPr>
        <w:pStyle w:val="22"/>
        <w:spacing w:line="360" w:lineRule="auto"/>
        <w:rPr>
          <w:rFonts w:asciiTheme="minorEastAsia" w:hAnsiTheme="minorEastAsia" w:eastAsiaTheme="minorEastAsia" w:cstheme="minorEastAsia"/>
          <w:b/>
          <w:color w:val="auto"/>
          <w:sz w:val="28"/>
          <w:szCs w:val="28"/>
        </w:rPr>
      </w:pP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br w:type="page"/>
      </w:r>
      <w:r>
        <w:rPr>
          <w:rFonts w:hint="eastAsia" w:asciiTheme="minorEastAsia" w:hAnsiTheme="minorEastAsia" w:eastAsiaTheme="minorEastAsia" w:cstheme="minorEastAsia"/>
          <w:b/>
          <w:color w:val="auto"/>
          <w:sz w:val="28"/>
          <w:szCs w:val="28"/>
        </w:rPr>
        <w:t>附件1</w:t>
      </w:r>
    </w:p>
    <w:p>
      <w:pPr>
        <w:pStyle w:val="22"/>
        <w:spacing w:line="360" w:lineRule="auto"/>
        <w:ind w:firstLine="560" w:firstLineChars="200"/>
        <w:jc w:val="center"/>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投 标 函</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新疆凯信祺盛招标代理有限公司：</w:t>
      </w:r>
    </w:p>
    <w:p>
      <w:pPr>
        <w:pStyle w:val="22"/>
        <w:spacing w:line="360" w:lineRule="auto"/>
        <w:ind w:firstLine="567"/>
        <w:rPr>
          <w:rFonts w:asciiTheme="minorEastAsia" w:hAnsiTheme="minorEastAsia" w:eastAsiaTheme="minorEastAsia" w:cstheme="minorEastAsia"/>
          <w:color w:val="auto"/>
          <w:sz w:val="28"/>
          <w:szCs w:val="28"/>
        </w:rPr>
      </w:pP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我们收到贵公司</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项目磋商文件，经认真研究，我们决定参加。</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1.按照磋商文件中的一切要求，提供相关伴随服务，我单位首次报价金额为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（大写），</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（小写）。</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⒉如果我们的响应文件被接受，我们将履行磋商文件中规定的每一项要求，按期、按质、按量完成相关任务。</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⒊我们同意按磋商文件的规定，本响应文件的有效期为投标截止时间后90天。</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⒋我们愿意提供采购人在磋商文件中要求的所有服务。</w:t>
      </w:r>
    </w:p>
    <w:p>
      <w:pPr>
        <w:pStyle w:val="22"/>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8"/>
          <w:szCs w:val="28"/>
        </w:rPr>
        <w:t>⒌</w:t>
      </w:r>
      <w:r>
        <w:rPr>
          <w:rFonts w:hint="eastAsia" w:asciiTheme="minorEastAsia" w:hAnsiTheme="minorEastAsia" w:eastAsiaTheme="minorEastAsia" w:cstheme="minorEastAsia"/>
          <w:b/>
          <w:color w:val="auto"/>
          <w:sz w:val="28"/>
          <w:szCs w:val="28"/>
        </w:rPr>
        <w:t>我们认为采购人有选择或拒绝任何供应商成交的权力。我们理解，最低报价不是成交的唯一条件。</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⒍我们愿按合同法履行自己的全部责任。</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⒎我方愿意遵守磋商文件中规定的收费标准，承付采购代理服务费。</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⒏在规定的开标时间后，如果在投标有效期内撤回响应，同意磋商保证金被贵方没收。</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⒐我们同意按磋商文件规定，交纳</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元的磋商磋商保证金。</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10.我方已详细审核全部磋商文件、参考资料及有关附件，确认无误。</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11.综合说明：</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（1）服务的详细技术参数、技术条件、技术标准、拟达到的质量标准和保险期限。</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（2）技术服务。</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（3）要求采购人提供的配合。</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（4）对磋商文件内容有不同意见的偏离说明。</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（5）其它。</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11.所有有关本响应文件的函电，请按下列地址联系：</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单       位：</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地       址：</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电       话：</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电 子 邮 箱：</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传       真：</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邮 政 编 码：</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联   系  人：</w:t>
      </w:r>
    </w:p>
    <w:p>
      <w:pPr>
        <w:pStyle w:val="22"/>
        <w:wordWrap w:val="0"/>
        <w:spacing w:line="360" w:lineRule="auto"/>
        <w:ind w:firstLine="560" w:firstLineChars="200"/>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p>
    <w:p>
      <w:pPr>
        <w:pStyle w:val="22"/>
        <w:wordWrap w:val="0"/>
        <w:spacing w:line="360" w:lineRule="auto"/>
        <w:ind w:firstLine="560" w:firstLineChars="200"/>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供应商（公章）：</w:t>
      </w:r>
    </w:p>
    <w:p>
      <w:pPr>
        <w:pStyle w:val="22"/>
        <w:wordWrap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p>
    <w:p>
      <w:pPr>
        <w:pStyle w:val="22"/>
        <w:wordWrap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法定代表人或授权代表签章：</w:t>
      </w:r>
    </w:p>
    <w:p>
      <w:pPr>
        <w:pStyle w:val="22"/>
        <w:wordWrap w:val="0"/>
        <w:spacing w:line="360" w:lineRule="auto"/>
        <w:ind w:firstLine="560" w:firstLineChars="200"/>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年   月    日</w:t>
      </w:r>
    </w:p>
    <w:p>
      <w:pPr>
        <w:pStyle w:val="22"/>
        <w:spacing w:line="360" w:lineRule="auto"/>
        <w:ind w:firstLine="560" w:firstLineChars="20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br w:type="page"/>
      </w:r>
      <w:r>
        <w:rPr>
          <w:rFonts w:hint="eastAsia" w:asciiTheme="minorEastAsia" w:hAnsiTheme="minorEastAsia" w:eastAsiaTheme="minorEastAsia" w:cstheme="minorEastAsia"/>
          <w:b/>
          <w:bCs/>
          <w:color w:val="auto"/>
          <w:sz w:val="28"/>
          <w:szCs w:val="28"/>
        </w:rPr>
        <w:t>附件2-1</w:t>
      </w:r>
    </w:p>
    <w:p>
      <w:pPr>
        <w:spacing w:line="360" w:lineRule="auto"/>
        <w:ind w:firstLine="560"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法定人代表身份证明及法定代表人授权委托书</w:t>
      </w:r>
    </w:p>
    <w:p>
      <w:pPr>
        <w:numPr>
          <w:ilvl w:val="0"/>
          <w:numId w:val="7"/>
        </w:numPr>
        <w:spacing w:before="100" w:beforeAutospacing="1" w:after="100" w:afterAutospacing="1" w:line="360" w:lineRule="auto"/>
        <w:ind w:firstLine="560" w:firstLineChars="200"/>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法定代表人身份证明</w:t>
      </w:r>
    </w:p>
    <w:p>
      <w:pPr>
        <w:spacing w:before="100" w:beforeAutospacing="1" w:after="100" w:afterAutospacing="1"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新疆凯信祺盛招标代理有限公司</w:t>
      </w:r>
    </w:p>
    <w:p>
      <w:pPr>
        <w:spacing w:before="100" w:beforeAutospacing="1" w:after="100" w:afterAutospacing="1"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兹证明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同志在我单位任</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（职务），是我单位的法定代表人。</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附法定代表人基本情况：</w:t>
      </w:r>
    </w:p>
    <w:p>
      <w:pPr>
        <w:autoSpaceDE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姓名     （签章）     性别             年龄             </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身份证号码：                                           </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通讯地址：                                             </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电话号码：                                    </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附：法定代表人身份证复印件（加盖公章）</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4114" w:type="dxa"/>
            <w:vAlign w:val="center"/>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（身份证正面）</w:t>
            </w:r>
          </w:p>
        </w:tc>
        <w:tc>
          <w:tcPr>
            <w:tcW w:w="4115" w:type="dxa"/>
            <w:vAlign w:val="center"/>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（身份证背面）</w:t>
            </w:r>
          </w:p>
        </w:tc>
      </w:tr>
    </w:tbl>
    <w:p>
      <w:pPr>
        <w:adjustRightInd w:val="0"/>
        <w:snapToGrid w:val="0"/>
        <w:spacing w:line="360" w:lineRule="auto"/>
        <w:rPr>
          <w:rFonts w:asciiTheme="minorEastAsia" w:hAnsiTheme="minorEastAsia" w:eastAsiaTheme="minorEastAsia" w:cstheme="minorEastAsia"/>
          <w:sz w:val="28"/>
          <w:szCs w:val="28"/>
        </w:rPr>
      </w:pPr>
    </w:p>
    <w:p>
      <w:pPr>
        <w:spacing w:line="360" w:lineRule="auto"/>
        <w:jc w:val="left"/>
        <w:rPr>
          <w:rFonts w:asciiTheme="minorEastAsia" w:hAnsiTheme="minorEastAsia" w:eastAsiaTheme="minorEastAsia" w:cstheme="minorEastAsia"/>
          <w:sz w:val="28"/>
          <w:szCs w:val="28"/>
        </w:rPr>
      </w:pP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单位名称：（公章）</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年   月    日</w:t>
      </w:r>
    </w:p>
    <w:p>
      <w:pPr>
        <w:spacing w:line="360" w:lineRule="auto"/>
        <w:ind w:firstLine="56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br w:type="page"/>
      </w:r>
      <w:r>
        <w:rPr>
          <w:rFonts w:hint="eastAsia" w:asciiTheme="minorEastAsia" w:hAnsiTheme="minorEastAsia" w:eastAsiaTheme="minorEastAsia" w:cstheme="minorEastAsia"/>
          <w:b/>
          <w:bCs/>
          <w:sz w:val="28"/>
          <w:szCs w:val="28"/>
        </w:rPr>
        <w:t>附件2-2</w:t>
      </w:r>
    </w:p>
    <w:p>
      <w:pPr>
        <w:spacing w:line="360" w:lineRule="auto"/>
        <w:ind w:firstLine="560"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法定代表人授权委托书</w:t>
      </w:r>
    </w:p>
    <w:p>
      <w:pPr>
        <w:spacing w:line="360" w:lineRule="auto"/>
        <w:jc w:val="center"/>
        <w:rPr>
          <w:rFonts w:asciiTheme="minorEastAsia" w:hAnsiTheme="minorEastAsia" w:eastAsiaTheme="minorEastAsia" w:cstheme="minorEastAsia"/>
          <w:b/>
          <w:sz w:val="28"/>
          <w:szCs w:val="28"/>
        </w:rPr>
      </w:pPr>
    </w:p>
    <w:p>
      <w:pPr>
        <w:pStyle w:val="7"/>
        <w:autoSpaceDE w:val="0"/>
        <w:spacing w:line="360" w:lineRule="auto"/>
        <w:ind w:firstLine="560"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本授权书声明：注册于***地区的（**公司），在下面签章的法定代表人（姓名），代表本公司委托在下面签章的（被授权人姓名）为本公司的合法代理人，对本项目投标所签署的文件及处理有关事项的决定其结果均由本人承担。</w:t>
      </w:r>
    </w:p>
    <w:p>
      <w:pPr>
        <w:spacing w:line="360" w:lineRule="auto"/>
        <w:ind w:firstLine="560" w:firstLineChars="200"/>
        <w:rPr>
          <w:rFonts w:asciiTheme="minorEastAsia" w:hAnsiTheme="minorEastAsia" w:eastAsiaTheme="minorEastAsia" w:cstheme="minorEastAsia"/>
          <w:sz w:val="28"/>
          <w:szCs w:val="28"/>
        </w:rPr>
      </w:pPr>
    </w:p>
    <w:p>
      <w:pPr>
        <w:autoSpaceDE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本授权书于 2024年    月    日签章生效，代理人无转委托权，特此声明。</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附：法定代表人身份证复印件（加盖公章）</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4114" w:type="dxa"/>
            <w:vAlign w:val="center"/>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（身份证正面）</w:t>
            </w:r>
          </w:p>
        </w:tc>
        <w:tc>
          <w:tcPr>
            <w:tcW w:w="4115" w:type="dxa"/>
            <w:vAlign w:val="center"/>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（身份证背面）</w:t>
            </w:r>
          </w:p>
        </w:tc>
      </w:tr>
    </w:tbl>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附：委托代理人身份证复印件（加盖单位公章）</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4114" w:type="dxa"/>
            <w:vAlign w:val="center"/>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（身份证正面）</w:t>
            </w:r>
          </w:p>
        </w:tc>
        <w:tc>
          <w:tcPr>
            <w:tcW w:w="4115" w:type="dxa"/>
            <w:vAlign w:val="center"/>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（身份证背面）</w:t>
            </w:r>
          </w:p>
        </w:tc>
      </w:tr>
    </w:tbl>
    <w:p>
      <w:pPr>
        <w:spacing w:line="360" w:lineRule="auto"/>
        <w:ind w:firstLine="482"/>
        <w:rPr>
          <w:rFonts w:asciiTheme="minorEastAsia" w:hAnsiTheme="minorEastAsia" w:eastAsiaTheme="minorEastAsia" w:cstheme="minorEastAsia"/>
          <w:sz w:val="28"/>
          <w:szCs w:val="28"/>
        </w:rPr>
      </w:pPr>
    </w:p>
    <w:p>
      <w:pPr>
        <w:topLinePunct/>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供应商名称：（盖章）   </w:t>
      </w:r>
    </w:p>
    <w:p>
      <w:pPr>
        <w:autoSpaceDE w:val="0"/>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法定代表人签章：　　　　　 　</w:t>
      </w:r>
    </w:p>
    <w:p>
      <w:pPr>
        <w:autoSpaceDE w:val="0"/>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委托代理人签章：　　　　　　　　　　　</w:t>
      </w:r>
    </w:p>
    <w:p>
      <w:pPr>
        <w:widowControl/>
        <w:shd w:val="clear" w:color="auto" w:fill="FFFFFF"/>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widowControl/>
        <w:shd w:val="clear" w:color="auto" w:fill="FFFFFF"/>
        <w:spacing w:line="360" w:lineRule="auto"/>
        <w:ind w:firstLine="560" w:firstLineChars="20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br w:type="page"/>
      </w:r>
      <w:r>
        <w:rPr>
          <w:rFonts w:hint="eastAsia" w:asciiTheme="minorEastAsia" w:hAnsiTheme="minorEastAsia" w:eastAsiaTheme="minorEastAsia" w:cstheme="minorEastAsia"/>
          <w:b/>
          <w:bCs/>
          <w:sz w:val="28"/>
          <w:szCs w:val="28"/>
        </w:rPr>
        <w:t>附件3</w:t>
      </w:r>
    </w:p>
    <w:p>
      <w:pPr>
        <w:pStyle w:val="13"/>
        <w:spacing w:line="420" w:lineRule="atLeast"/>
        <w:ind w:firstLine="480" w:firstLineChars="200"/>
        <w:jc w:val="center"/>
        <w:rPr>
          <w:rFonts w:asciiTheme="minorEastAsia" w:hAnsiTheme="minorEastAsia" w:eastAsiaTheme="minorEastAsia" w:cstheme="minorEastAsia"/>
        </w:rPr>
      </w:pPr>
      <w:r>
        <w:rPr>
          <w:rStyle w:val="19"/>
          <w:rFonts w:hint="eastAsia" w:asciiTheme="minorEastAsia" w:hAnsiTheme="minorEastAsia" w:eastAsiaTheme="minorEastAsia" w:cstheme="minorEastAsia"/>
        </w:rPr>
        <w:t>中小企业声明函（服务)（格式）</w:t>
      </w:r>
    </w:p>
    <w:p>
      <w:pPr>
        <w:pStyle w:val="13"/>
        <w:spacing w:line="48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3"/>
        <w:spacing w:line="48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1.（标的名称），属于（采购文件中明确的所属行业）；承建（承接）企业为（企业名称），从业人员  人，营业收入为  万元，资产总额为  万元，属于（中型企业、小型企业、微型企业）；</w:t>
      </w:r>
    </w:p>
    <w:p>
      <w:pPr>
        <w:pStyle w:val="13"/>
        <w:spacing w:line="48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（标的名称），属于（采购文件中明确的所属行业）；承建（承接）企业为（企业名称），从业人员  人，营业收入为  万元，资产总额为  万元，属于（中型企业、小型企业、微型企业）；</w:t>
      </w:r>
    </w:p>
    <w:p>
      <w:pPr>
        <w:pStyle w:val="13"/>
        <w:spacing w:line="48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w:t>
      </w:r>
    </w:p>
    <w:p>
      <w:pPr>
        <w:pStyle w:val="13"/>
        <w:spacing w:line="48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pPr>
        <w:pStyle w:val="13"/>
        <w:spacing w:line="48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pPr>
        <w:pStyle w:val="13"/>
        <w:spacing w:line="48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企业名称（盖章）：</w:t>
      </w:r>
    </w:p>
    <w:p>
      <w:pPr>
        <w:pStyle w:val="13"/>
        <w:spacing w:line="48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日期：</w:t>
      </w:r>
    </w:p>
    <w:p>
      <w:pPr>
        <w:spacing w:line="360" w:lineRule="auto"/>
        <w:jc w:val="center"/>
        <w:rPr>
          <w:rFonts w:asciiTheme="minorEastAsia" w:hAnsiTheme="minorEastAsia" w:eastAsiaTheme="minorEastAsia" w:cstheme="minorEastAsia"/>
          <w:sz w:val="28"/>
          <w:szCs w:val="28"/>
        </w:rPr>
      </w:pPr>
    </w:p>
    <w:p>
      <w:pPr>
        <w:spacing w:line="360" w:lineRule="auto"/>
        <w:jc w:val="center"/>
        <w:rPr>
          <w:rFonts w:asciiTheme="minorEastAsia" w:hAnsiTheme="minorEastAsia" w:eastAsiaTheme="minorEastAsia" w:cstheme="minorEastAsia"/>
          <w:sz w:val="28"/>
          <w:szCs w:val="28"/>
        </w:rPr>
      </w:pPr>
    </w:p>
    <w:p>
      <w:pPr>
        <w:spacing w:line="360" w:lineRule="auto"/>
        <w:rPr>
          <w:rFonts w:asciiTheme="minorEastAsia" w:hAnsiTheme="minorEastAsia" w:eastAsiaTheme="minorEastAsia" w:cstheme="minorEastAsia"/>
          <w:sz w:val="28"/>
          <w:szCs w:val="28"/>
        </w:rPr>
      </w:pPr>
    </w:p>
    <w:p>
      <w:pPr>
        <w:spacing w:line="360" w:lineRule="auto"/>
        <w:rPr>
          <w:rFonts w:asciiTheme="minorEastAsia" w:hAnsiTheme="minorEastAsia" w:eastAsiaTheme="minorEastAsia" w:cstheme="minorEastAsia"/>
          <w:b/>
          <w:bCs/>
          <w:sz w:val="28"/>
          <w:szCs w:val="28"/>
        </w:rPr>
      </w:pPr>
    </w:p>
    <w:p>
      <w:pPr>
        <w:spacing w:line="360" w:lineRule="auto"/>
        <w:ind w:firstLine="56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附件4</w:t>
      </w:r>
    </w:p>
    <w:p>
      <w:pPr>
        <w:pStyle w:val="8"/>
        <w:spacing w:line="360" w:lineRule="auto"/>
        <w:ind w:firstLine="560" w:firstLineChars="200"/>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信用查询记录</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查询</w:t>
      </w:r>
      <w:r>
        <w:rPr>
          <w:rFonts w:hint="eastAsia" w:asciiTheme="minorEastAsia" w:hAnsiTheme="minorEastAsia" w:eastAsiaTheme="minorEastAsia" w:cstheme="minorEastAsia"/>
          <w:b/>
          <w:bCs/>
          <w:kern w:val="0"/>
          <w:sz w:val="28"/>
          <w:szCs w:val="28"/>
        </w:rPr>
        <w:t>渠道</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kern w:val="0"/>
          <w:sz w:val="28"/>
          <w:szCs w:val="28"/>
        </w:rPr>
        <w:t>“信用中国”、“中国政府采购网”</w:t>
      </w:r>
      <w:r>
        <w:rPr>
          <w:rFonts w:hint="eastAsia" w:asciiTheme="minorEastAsia" w:hAnsiTheme="minorEastAsia" w:eastAsiaTheme="minorEastAsia" w:cstheme="minorEastAsia"/>
          <w:sz w:val="28"/>
          <w:szCs w:val="28"/>
        </w:rPr>
        <w:t>、“新疆政府采购网”和“中国裁判文书网”，</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查询</w:t>
      </w:r>
      <w:r>
        <w:rPr>
          <w:rFonts w:hint="eastAsia" w:asciiTheme="minorEastAsia" w:hAnsiTheme="minorEastAsia" w:eastAsiaTheme="minorEastAsia" w:cstheme="minorEastAsia"/>
          <w:b/>
          <w:bCs/>
          <w:kern w:val="0"/>
          <w:sz w:val="28"/>
          <w:szCs w:val="28"/>
        </w:rPr>
        <w:t>时间</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sz w:val="28"/>
          <w:szCs w:val="28"/>
        </w:rPr>
        <w:t>自采购公告发布之日起至响应文件递交截止时间止（该时间段内任一时间）。</w:t>
      </w:r>
    </w:p>
    <w:p>
      <w:pPr>
        <w:spacing w:line="360" w:lineRule="auto"/>
        <w:ind w:firstLine="560" w:firstLineChars="20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附网页查询结果的截图证明。</w:t>
      </w:r>
    </w:p>
    <w:p>
      <w:pPr>
        <w:spacing w:line="360" w:lineRule="auto"/>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附件5</w:t>
      </w:r>
    </w:p>
    <w:p>
      <w:pPr>
        <w:spacing w:line="360" w:lineRule="auto"/>
        <w:ind w:firstLine="560" w:firstLineChars="200"/>
        <w:jc w:val="center"/>
        <w:rPr>
          <w:rFonts w:asciiTheme="minorEastAsia" w:hAnsiTheme="minorEastAsia" w:eastAsiaTheme="minorEastAsia" w:cstheme="minorEastAsia"/>
          <w:b/>
          <w:spacing w:val="4"/>
          <w:sz w:val="28"/>
          <w:szCs w:val="28"/>
          <w:u w:val="single"/>
        </w:rPr>
      </w:pPr>
      <w:r>
        <w:rPr>
          <w:rFonts w:hint="eastAsia" w:asciiTheme="minorEastAsia" w:hAnsiTheme="minorEastAsia" w:eastAsiaTheme="minorEastAsia" w:cstheme="minorEastAsia"/>
          <w:b/>
          <w:sz w:val="28"/>
          <w:szCs w:val="28"/>
        </w:rPr>
        <w:t>供应商无重大违法记录的书面声明书（格式）</w:t>
      </w:r>
    </w:p>
    <w:p>
      <w:pPr>
        <w:spacing w:before="312" w:beforeLines="100" w:after="156" w:afterLines="50" w:line="360" w:lineRule="auto"/>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致：（代理</w:t>
      </w:r>
      <w:r>
        <w:rPr>
          <w:rFonts w:hint="eastAsia" w:asciiTheme="minorEastAsia" w:hAnsiTheme="minorEastAsia" w:eastAsiaTheme="minorEastAsia" w:cstheme="minorEastAsia"/>
          <w:sz w:val="28"/>
          <w:szCs w:val="28"/>
        </w:rPr>
        <w:t>机构名称</w:t>
      </w:r>
      <w:r>
        <w:rPr>
          <w:rFonts w:hint="eastAsia" w:asciiTheme="minorEastAsia" w:hAnsiTheme="minorEastAsia" w:eastAsiaTheme="minorEastAsia" w:cstheme="minorEastAsia"/>
          <w:spacing w:val="4"/>
          <w:sz w:val="28"/>
          <w:szCs w:val="28"/>
        </w:rPr>
        <w:t>）：</w:t>
      </w:r>
    </w:p>
    <w:p>
      <w:pPr>
        <w:spacing w:before="312" w:beforeLines="100" w:after="156" w:afterLines="50" w:line="360" w:lineRule="auto"/>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（供应商名称）为在中华人民共和国境内合法注册并经营的机构。在此郑重声明，我公司在参与本次政府采购活动前3年内在经营活动中没有重大违法记录。</w:t>
      </w:r>
    </w:p>
    <w:p>
      <w:pPr>
        <w:spacing w:before="312" w:beforeLines="100" w:after="156" w:afterLines="50" w:line="360" w:lineRule="auto"/>
        <w:ind w:firstLine="576" w:firstLineChars="200"/>
        <w:jc w:val="right"/>
        <w:rPr>
          <w:rFonts w:asciiTheme="minorEastAsia" w:hAnsiTheme="minorEastAsia" w:eastAsiaTheme="minorEastAsia" w:cstheme="minorEastAsia"/>
          <w:spacing w:val="4"/>
          <w:sz w:val="28"/>
          <w:szCs w:val="28"/>
        </w:rPr>
      </w:pPr>
    </w:p>
    <w:p>
      <w:pPr>
        <w:spacing w:before="312" w:beforeLines="100" w:after="156" w:afterLines="50" w:line="360" w:lineRule="auto"/>
        <w:ind w:right="144" w:firstLine="576" w:firstLineChars="200"/>
        <w:jc w:val="right"/>
        <w:rPr>
          <w:rFonts w:asciiTheme="minorEastAsia" w:hAnsiTheme="minorEastAsia" w:eastAsiaTheme="minorEastAsia" w:cstheme="minorEastAsia"/>
          <w:spacing w:val="14"/>
          <w:kern w:val="0"/>
          <w:sz w:val="28"/>
          <w:szCs w:val="28"/>
        </w:rPr>
      </w:pPr>
      <w:r>
        <w:rPr>
          <w:rFonts w:hint="eastAsia" w:asciiTheme="minorEastAsia" w:hAnsiTheme="minorEastAsia" w:eastAsiaTheme="minorEastAsia" w:cstheme="minorEastAsia"/>
          <w:spacing w:val="4"/>
          <w:sz w:val="28"/>
          <w:szCs w:val="28"/>
        </w:rPr>
        <w:t>供应商名称（公章）</w:t>
      </w:r>
    </w:p>
    <w:p>
      <w:pPr>
        <w:spacing w:line="360" w:lineRule="auto"/>
        <w:ind w:left="1" w:firstLine="576" w:firstLineChars="200"/>
        <w:jc w:val="center"/>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 xml:space="preserve">                                </w:t>
      </w:r>
      <w:r>
        <w:rPr>
          <w:rFonts w:hint="eastAsia" w:asciiTheme="minorEastAsia" w:hAnsiTheme="minorEastAsia" w:eastAsiaTheme="minorEastAsia" w:cstheme="minorEastAsia"/>
          <w:sz w:val="28"/>
          <w:szCs w:val="28"/>
        </w:rPr>
        <w:t>年   月    日</w:t>
      </w:r>
    </w:p>
    <w:p>
      <w:pPr>
        <w:spacing w:line="360" w:lineRule="auto"/>
        <w:ind w:firstLine="576" w:firstLineChars="200"/>
        <w:rPr>
          <w:rFonts w:asciiTheme="minorEastAsia" w:hAnsiTheme="minorEastAsia" w:eastAsiaTheme="minorEastAsia" w:cstheme="minorEastAsia"/>
          <w:b/>
          <w:bCs/>
          <w:spacing w:val="4"/>
          <w:sz w:val="28"/>
          <w:szCs w:val="28"/>
        </w:rPr>
      </w:pPr>
    </w:p>
    <w:p>
      <w:pPr>
        <w:spacing w:line="360" w:lineRule="auto"/>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b/>
          <w:bCs/>
          <w:spacing w:val="4"/>
          <w:sz w:val="28"/>
          <w:szCs w:val="28"/>
        </w:rPr>
        <w:t>附件6</w:t>
      </w:r>
    </w:p>
    <w:p>
      <w:pPr>
        <w:spacing w:line="360" w:lineRule="auto"/>
        <w:ind w:firstLine="560"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诚信声明</w:t>
      </w:r>
    </w:p>
    <w:p>
      <w:pPr>
        <w:tabs>
          <w:tab w:val="left" w:pos="6300"/>
        </w:tabs>
        <w:snapToGrid w:val="0"/>
        <w:spacing w:line="360" w:lineRule="auto"/>
        <w:rPr>
          <w:rFonts w:asciiTheme="minorEastAsia" w:hAnsiTheme="minorEastAsia" w:eastAsiaTheme="minorEastAsia" w:cstheme="minorEastAsia"/>
          <w:sz w:val="28"/>
          <w:szCs w:val="28"/>
        </w:rPr>
      </w:pPr>
    </w:p>
    <w:p>
      <w:pPr>
        <w:tabs>
          <w:tab w:val="left" w:pos="6300"/>
        </w:tabs>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致：（采购代理机构名称）：</w:t>
      </w:r>
    </w:p>
    <w:p>
      <w:pPr>
        <w:tabs>
          <w:tab w:val="left" w:pos="6300"/>
        </w:tabs>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采购项目名称：</w:t>
      </w:r>
    </w:p>
    <w:p>
      <w:pPr>
        <w:tabs>
          <w:tab w:val="left" w:pos="6300"/>
        </w:tabs>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供应商名称）郑重声明，我公司具有良好的商业信誉和健全的财务会计制度，具有履行合同所必需的设备和专业技术能力，有依法缴纳税收和社会保障资金的良好记录，在合同签订前后随时愿意提供相关证明材料；符合《中华人民共和国政府采购法》规定的供应商资格条件。我方对以上声明负全部法律责任。</w:t>
      </w:r>
    </w:p>
    <w:p>
      <w:pPr>
        <w:tabs>
          <w:tab w:val="left" w:pos="6300"/>
        </w:tabs>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特此声明。</w:t>
      </w:r>
    </w:p>
    <w:p>
      <w:pPr>
        <w:tabs>
          <w:tab w:val="left" w:pos="6300"/>
        </w:tabs>
        <w:snapToGrid w:val="0"/>
        <w:spacing w:line="360" w:lineRule="auto"/>
        <w:ind w:firstLine="480"/>
        <w:rPr>
          <w:rFonts w:asciiTheme="minorEastAsia" w:hAnsiTheme="minorEastAsia" w:eastAsiaTheme="minorEastAsia" w:cstheme="minorEastAsia"/>
          <w:sz w:val="28"/>
          <w:szCs w:val="28"/>
        </w:rPr>
      </w:pPr>
    </w:p>
    <w:p>
      <w:pPr>
        <w:tabs>
          <w:tab w:val="left" w:pos="6300"/>
        </w:tabs>
        <w:snapToGrid w:val="0"/>
        <w:spacing w:line="360" w:lineRule="auto"/>
        <w:ind w:firstLine="480"/>
        <w:rPr>
          <w:rFonts w:asciiTheme="minorEastAsia" w:hAnsiTheme="minorEastAsia" w:eastAsiaTheme="minorEastAsia" w:cstheme="minorEastAsia"/>
          <w:sz w:val="28"/>
          <w:szCs w:val="28"/>
        </w:rPr>
      </w:pPr>
    </w:p>
    <w:p>
      <w:pPr>
        <w:tabs>
          <w:tab w:val="left" w:pos="6300"/>
        </w:tabs>
        <w:snapToGrid w:val="0"/>
        <w:spacing w:line="360" w:lineRule="auto"/>
        <w:ind w:firstLine="480"/>
        <w:rPr>
          <w:rFonts w:asciiTheme="minorEastAsia" w:hAnsiTheme="minorEastAsia" w:eastAsiaTheme="minorEastAsia" w:cstheme="minorEastAsia"/>
          <w:sz w:val="28"/>
          <w:szCs w:val="28"/>
        </w:rPr>
      </w:pPr>
    </w:p>
    <w:p>
      <w:pPr>
        <w:tabs>
          <w:tab w:val="left" w:pos="6300"/>
        </w:tabs>
        <w:snapToGrid w:val="0"/>
        <w:spacing w:line="360" w:lineRule="auto"/>
        <w:ind w:firstLine="480"/>
        <w:rPr>
          <w:rFonts w:asciiTheme="minorEastAsia" w:hAnsiTheme="minorEastAsia" w:eastAsiaTheme="minorEastAsia" w:cstheme="minorEastAsia"/>
          <w:sz w:val="28"/>
          <w:szCs w:val="28"/>
        </w:rPr>
      </w:pPr>
    </w:p>
    <w:p>
      <w:pPr>
        <w:tabs>
          <w:tab w:val="left" w:pos="6300"/>
        </w:tabs>
        <w:snapToGrid w:val="0"/>
        <w:spacing w:line="360" w:lineRule="auto"/>
        <w:ind w:firstLine="480"/>
        <w:rPr>
          <w:rFonts w:asciiTheme="minorEastAsia" w:hAnsiTheme="minorEastAsia" w:eastAsiaTheme="minorEastAsia" w:cstheme="minorEastAsia"/>
          <w:sz w:val="28"/>
          <w:szCs w:val="28"/>
        </w:rPr>
      </w:pPr>
    </w:p>
    <w:p>
      <w:pPr>
        <w:tabs>
          <w:tab w:val="left" w:pos="6300"/>
        </w:tabs>
        <w:snapToGrid w:val="0"/>
        <w:spacing w:line="360" w:lineRule="auto"/>
        <w:ind w:right="480" w:firstLine="560" w:firstLineChars="200"/>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供应商（公章）</w:t>
      </w:r>
    </w:p>
    <w:p>
      <w:pPr>
        <w:tabs>
          <w:tab w:val="left" w:pos="6300"/>
        </w:tabs>
        <w:snapToGrid w:val="0"/>
        <w:spacing w:line="360" w:lineRule="auto"/>
        <w:ind w:right="480" w:firstLine="5880" w:firstLineChars="2100"/>
        <w:rPr>
          <w:rFonts w:asciiTheme="minorEastAsia" w:hAnsiTheme="minorEastAsia" w:eastAsiaTheme="minorEastAsia" w:cstheme="minorEastAsia"/>
          <w:sz w:val="28"/>
          <w:szCs w:val="28"/>
        </w:rPr>
      </w:pPr>
    </w:p>
    <w:p>
      <w:pPr>
        <w:pStyle w:val="31"/>
        <w:spacing w:line="360" w:lineRule="auto"/>
        <w:ind w:firstLine="560" w:firstLineChars="200"/>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kern w:val="2"/>
          <w:sz w:val="28"/>
          <w:szCs w:val="28"/>
        </w:rPr>
        <w:t xml:space="preserve">                                     </w:t>
      </w:r>
      <w:r>
        <w:rPr>
          <w:rFonts w:hint="eastAsia" w:asciiTheme="minorEastAsia" w:hAnsiTheme="minorEastAsia" w:eastAsiaTheme="minorEastAsia" w:cstheme="minorEastAsia"/>
          <w:sz w:val="28"/>
          <w:szCs w:val="28"/>
        </w:rPr>
        <w:t xml:space="preserve">年   月    日 </w:t>
      </w:r>
    </w:p>
    <w:p>
      <w:pPr>
        <w:pStyle w:val="31"/>
        <w:spacing w:line="360" w:lineRule="auto"/>
        <w:rPr>
          <w:rFonts w:asciiTheme="minorEastAsia" w:hAnsiTheme="minorEastAsia" w:eastAsiaTheme="minorEastAsia" w:cstheme="minorEastAsia"/>
          <w:b/>
          <w:bCs/>
          <w:sz w:val="28"/>
          <w:szCs w:val="28"/>
        </w:rPr>
      </w:pPr>
    </w:p>
    <w:p>
      <w:pPr>
        <w:pStyle w:val="31"/>
        <w:spacing w:line="360" w:lineRule="auto"/>
        <w:rPr>
          <w:rFonts w:asciiTheme="minorEastAsia" w:hAnsiTheme="minorEastAsia" w:eastAsiaTheme="minorEastAsia" w:cstheme="minorEastAsia"/>
          <w:b/>
          <w:bCs/>
          <w:sz w:val="28"/>
          <w:szCs w:val="28"/>
        </w:rPr>
      </w:pPr>
    </w:p>
    <w:p>
      <w:pPr>
        <w:pStyle w:val="31"/>
        <w:spacing w:line="360" w:lineRule="auto"/>
        <w:rPr>
          <w:rFonts w:asciiTheme="minorEastAsia" w:hAnsiTheme="minorEastAsia" w:eastAsiaTheme="minorEastAsia" w:cstheme="minorEastAsia"/>
          <w:b/>
          <w:bCs/>
          <w:sz w:val="28"/>
          <w:szCs w:val="28"/>
        </w:rPr>
      </w:pPr>
    </w:p>
    <w:p>
      <w:pPr>
        <w:pStyle w:val="31"/>
        <w:spacing w:line="360" w:lineRule="auto"/>
        <w:rPr>
          <w:rFonts w:asciiTheme="minorEastAsia" w:hAnsiTheme="minorEastAsia" w:eastAsiaTheme="minorEastAsia" w:cstheme="minorEastAsia"/>
          <w:b/>
          <w:bCs/>
          <w:sz w:val="28"/>
          <w:szCs w:val="28"/>
        </w:rPr>
      </w:pPr>
    </w:p>
    <w:p>
      <w:pPr>
        <w:pStyle w:val="31"/>
        <w:spacing w:line="360" w:lineRule="auto"/>
        <w:rPr>
          <w:rFonts w:asciiTheme="minorEastAsia" w:hAnsiTheme="minorEastAsia" w:eastAsiaTheme="minorEastAsia" w:cstheme="minorEastAsia"/>
          <w:b/>
          <w:bCs/>
          <w:sz w:val="28"/>
          <w:szCs w:val="28"/>
        </w:rPr>
      </w:pPr>
    </w:p>
    <w:p>
      <w:pPr>
        <w:pStyle w:val="22"/>
        <w:spacing w:line="360" w:lineRule="auto"/>
        <w:ind w:firstLine="56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r>
        <w:rPr>
          <w:rFonts w:hint="eastAsia" w:asciiTheme="minorEastAsia" w:hAnsiTheme="minorEastAsia" w:eastAsiaTheme="minorEastAsia" w:cstheme="minorEastAsia"/>
          <w:b/>
          <w:bCs/>
          <w:color w:val="auto"/>
          <w:sz w:val="28"/>
          <w:szCs w:val="28"/>
        </w:rPr>
        <w:t>附件7</w:t>
      </w:r>
    </w:p>
    <w:p>
      <w:pPr>
        <w:pStyle w:val="31"/>
        <w:spacing w:line="360" w:lineRule="auto"/>
        <w:ind w:firstLine="560" w:firstLineChars="200"/>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报价一览表</w:t>
      </w:r>
    </w:p>
    <w:p>
      <w:pPr>
        <w:pStyle w:val="31"/>
        <w:spacing w:line="360" w:lineRule="auto"/>
        <w:rPr>
          <w:rFonts w:asciiTheme="minorEastAsia" w:hAnsiTheme="minorEastAsia" w:eastAsiaTheme="minorEastAsia" w:cstheme="minorEastAsia"/>
          <w:sz w:val="28"/>
          <w:szCs w:val="28"/>
        </w:rPr>
      </w:pPr>
    </w:p>
    <w:tbl>
      <w:tblPr>
        <w:tblStyle w:val="16"/>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9"/>
        <w:gridCol w:w="3968"/>
        <w:gridCol w:w="2346"/>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5" w:hRule="atLeast"/>
          <w:jc w:val="center"/>
        </w:trPr>
        <w:tc>
          <w:tcPr>
            <w:tcW w:w="749" w:type="dxa"/>
            <w:vAlign w:val="center"/>
          </w:tcPr>
          <w:p>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序号</w:t>
            </w:r>
          </w:p>
        </w:tc>
        <w:tc>
          <w:tcPr>
            <w:tcW w:w="3968" w:type="dxa"/>
            <w:vAlign w:val="center"/>
          </w:tcPr>
          <w:p>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项目名称</w:t>
            </w:r>
          </w:p>
        </w:tc>
        <w:tc>
          <w:tcPr>
            <w:tcW w:w="2346" w:type="dxa"/>
            <w:vAlign w:val="center"/>
          </w:tcPr>
          <w:p>
            <w:pPr>
              <w:spacing w:line="360" w:lineRule="auto"/>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sz w:val="28"/>
                <w:szCs w:val="28"/>
              </w:rPr>
              <w:t>合计金额</w:t>
            </w:r>
          </w:p>
        </w:tc>
        <w:tc>
          <w:tcPr>
            <w:tcW w:w="2055" w:type="dxa"/>
            <w:vAlign w:val="center"/>
          </w:tcPr>
          <w:p>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3" w:hRule="atLeast"/>
          <w:jc w:val="center"/>
        </w:trPr>
        <w:tc>
          <w:tcPr>
            <w:tcW w:w="749" w:type="dxa"/>
            <w:vAlign w:val="center"/>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3968" w:type="dxa"/>
            <w:vAlign w:val="center"/>
          </w:tcPr>
          <w:p>
            <w:pPr>
              <w:spacing w:line="360" w:lineRule="auto"/>
              <w:jc w:val="center"/>
              <w:rPr>
                <w:rFonts w:asciiTheme="minorEastAsia" w:hAnsiTheme="minorEastAsia" w:eastAsiaTheme="minorEastAsia" w:cstheme="minorEastAsia"/>
                <w:sz w:val="28"/>
                <w:szCs w:val="28"/>
              </w:rPr>
            </w:pPr>
          </w:p>
        </w:tc>
        <w:tc>
          <w:tcPr>
            <w:tcW w:w="2346" w:type="dxa"/>
            <w:vAlign w:val="center"/>
          </w:tcPr>
          <w:p>
            <w:pPr>
              <w:spacing w:line="360" w:lineRule="auto"/>
              <w:jc w:val="center"/>
              <w:rPr>
                <w:rFonts w:asciiTheme="minorEastAsia" w:hAnsiTheme="minorEastAsia" w:eastAsiaTheme="minorEastAsia" w:cstheme="minorEastAsia"/>
                <w:sz w:val="28"/>
                <w:szCs w:val="28"/>
              </w:rPr>
            </w:pPr>
          </w:p>
        </w:tc>
        <w:tc>
          <w:tcPr>
            <w:tcW w:w="2055" w:type="dxa"/>
            <w:vAlign w:val="center"/>
          </w:tcPr>
          <w:p>
            <w:pPr>
              <w:spacing w:line="360" w:lineRule="auto"/>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3" w:hRule="atLeast"/>
          <w:jc w:val="center"/>
        </w:trPr>
        <w:tc>
          <w:tcPr>
            <w:tcW w:w="749" w:type="dxa"/>
            <w:vAlign w:val="center"/>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3968" w:type="dxa"/>
            <w:vAlign w:val="center"/>
          </w:tcPr>
          <w:p>
            <w:pPr>
              <w:spacing w:line="360" w:lineRule="auto"/>
              <w:jc w:val="center"/>
              <w:rPr>
                <w:rFonts w:asciiTheme="minorEastAsia" w:hAnsiTheme="minorEastAsia" w:eastAsiaTheme="minorEastAsia" w:cstheme="minorEastAsia"/>
                <w:sz w:val="28"/>
                <w:szCs w:val="28"/>
              </w:rPr>
            </w:pPr>
          </w:p>
        </w:tc>
        <w:tc>
          <w:tcPr>
            <w:tcW w:w="2346" w:type="dxa"/>
            <w:vAlign w:val="center"/>
          </w:tcPr>
          <w:p>
            <w:pPr>
              <w:spacing w:line="360" w:lineRule="auto"/>
              <w:jc w:val="center"/>
              <w:rPr>
                <w:rFonts w:asciiTheme="minorEastAsia" w:hAnsiTheme="minorEastAsia" w:eastAsiaTheme="minorEastAsia" w:cstheme="minorEastAsia"/>
                <w:sz w:val="28"/>
                <w:szCs w:val="28"/>
              </w:rPr>
            </w:pPr>
          </w:p>
        </w:tc>
        <w:tc>
          <w:tcPr>
            <w:tcW w:w="2055" w:type="dxa"/>
            <w:vAlign w:val="center"/>
          </w:tcPr>
          <w:p>
            <w:pPr>
              <w:spacing w:line="360" w:lineRule="auto"/>
              <w:jc w:val="center"/>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3" w:hRule="atLeast"/>
          <w:jc w:val="center"/>
        </w:trPr>
        <w:tc>
          <w:tcPr>
            <w:tcW w:w="749" w:type="dxa"/>
            <w:vAlign w:val="center"/>
          </w:tcPr>
          <w:p>
            <w:pPr>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c>
          <w:tcPr>
            <w:tcW w:w="3968" w:type="dxa"/>
            <w:vAlign w:val="center"/>
          </w:tcPr>
          <w:p>
            <w:pPr>
              <w:spacing w:line="360" w:lineRule="auto"/>
              <w:jc w:val="center"/>
              <w:rPr>
                <w:rFonts w:asciiTheme="minorEastAsia" w:hAnsiTheme="minorEastAsia" w:eastAsiaTheme="minorEastAsia" w:cstheme="minorEastAsia"/>
                <w:sz w:val="28"/>
                <w:szCs w:val="28"/>
              </w:rPr>
            </w:pPr>
          </w:p>
        </w:tc>
        <w:tc>
          <w:tcPr>
            <w:tcW w:w="2346" w:type="dxa"/>
            <w:vAlign w:val="center"/>
          </w:tcPr>
          <w:p>
            <w:pPr>
              <w:spacing w:line="360" w:lineRule="auto"/>
              <w:jc w:val="center"/>
              <w:rPr>
                <w:rFonts w:asciiTheme="minorEastAsia" w:hAnsiTheme="minorEastAsia" w:eastAsiaTheme="minorEastAsia" w:cstheme="minorEastAsia"/>
                <w:sz w:val="28"/>
                <w:szCs w:val="28"/>
              </w:rPr>
            </w:pPr>
          </w:p>
        </w:tc>
        <w:tc>
          <w:tcPr>
            <w:tcW w:w="2055" w:type="dxa"/>
            <w:vAlign w:val="center"/>
          </w:tcPr>
          <w:p>
            <w:pPr>
              <w:spacing w:line="360" w:lineRule="auto"/>
              <w:jc w:val="center"/>
              <w:rPr>
                <w:rFonts w:asciiTheme="minorEastAsia" w:hAnsiTheme="minorEastAsia" w:eastAsiaTheme="minorEastAsia" w:cstheme="minorEastAsia"/>
                <w:sz w:val="28"/>
                <w:szCs w:val="28"/>
              </w:rPr>
            </w:pPr>
          </w:p>
        </w:tc>
      </w:tr>
    </w:tbl>
    <w:p>
      <w:pPr>
        <w:pStyle w:val="31"/>
        <w:spacing w:line="360" w:lineRule="auto"/>
        <w:rPr>
          <w:rFonts w:asciiTheme="minorEastAsia" w:hAnsiTheme="minorEastAsia" w:eastAsiaTheme="minorEastAsia" w:cstheme="minorEastAsia"/>
          <w:bCs/>
          <w:sz w:val="28"/>
          <w:szCs w:val="28"/>
        </w:rPr>
      </w:pPr>
    </w:p>
    <w:p>
      <w:pPr>
        <w:pStyle w:val="31"/>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法定代表人或授权代表签章：</w:t>
      </w:r>
    </w:p>
    <w:p>
      <w:pPr>
        <w:pStyle w:val="31"/>
        <w:spacing w:line="360" w:lineRule="auto"/>
        <w:ind w:firstLine="6160" w:firstLineChars="2200"/>
        <w:rPr>
          <w:rFonts w:asciiTheme="minorEastAsia" w:hAnsiTheme="minorEastAsia" w:eastAsiaTheme="minorEastAsia" w:cstheme="minorEastAsia"/>
          <w:sz w:val="28"/>
          <w:szCs w:val="28"/>
        </w:rPr>
      </w:pPr>
    </w:p>
    <w:p>
      <w:pPr>
        <w:pStyle w:val="31"/>
        <w:spacing w:line="360" w:lineRule="auto"/>
        <w:rPr>
          <w:rFonts w:asciiTheme="minorEastAsia" w:hAnsiTheme="minorEastAsia" w:eastAsiaTheme="minorEastAsia" w:cstheme="minorEastAsia"/>
          <w:b/>
          <w:bCs/>
          <w:sz w:val="28"/>
          <w:szCs w:val="28"/>
        </w:rPr>
      </w:pPr>
    </w:p>
    <w:p>
      <w:pPr>
        <w:tabs>
          <w:tab w:val="left" w:pos="6300"/>
        </w:tabs>
        <w:snapToGrid w:val="0"/>
        <w:spacing w:line="360" w:lineRule="auto"/>
        <w:ind w:right="480" w:firstLine="560" w:firstLineChars="200"/>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供应商（公章）</w:t>
      </w:r>
    </w:p>
    <w:p>
      <w:pPr>
        <w:tabs>
          <w:tab w:val="left" w:pos="6300"/>
        </w:tabs>
        <w:snapToGrid w:val="0"/>
        <w:spacing w:line="360" w:lineRule="auto"/>
        <w:ind w:right="480" w:firstLine="5880" w:firstLineChars="2100"/>
        <w:rPr>
          <w:rFonts w:asciiTheme="minorEastAsia" w:hAnsiTheme="minorEastAsia" w:eastAsiaTheme="minorEastAsia" w:cstheme="minorEastAsia"/>
          <w:sz w:val="28"/>
          <w:szCs w:val="28"/>
        </w:rPr>
      </w:pPr>
    </w:p>
    <w:p>
      <w:pPr>
        <w:pStyle w:val="31"/>
        <w:spacing w:line="360" w:lineRule="auto"/>
        <w:ind w:firstLine="560" w:firstLineChars="200"/>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kern w:val="2"/>
          <w:sz w:val="28"/>
          <w:szCs w:val="28"/>
        </w:rPr>
        <w:t xml:space="preserve">                                     </w:t>
      </w:r>
      <w:r>
        <w:rPr>
          <w:rFonts w:hint="eastAsia" w:asciiTheme="minorEastAsia" w:hAnsiTheme="minorEastAsia" w:eastAsiaTheme="minorEastAsia" w:cstheme="minorEastAsia"/>
          <w:sz w:val="28"/>
          <w:szCs w:val="28"/>
        </w:rPr>
        <w:t xml:space="preserve">年   月    日 </w:t>
      </w:r>
    </w:p>
    <w:p>
      <w:pPr>
        <w:spacing w:line="360" w:lineRule="auto"/>
        <w:rPr>
          <w:rFonts w:asciiTheme="minorEastAsia" w:hAnsiTheme="minorEastAsia" w:eastAsiaTheme="minorEastAsia" w:cstheme="minorEastAsia"/>
          <w:b/>
          <w:sz w:val="28"/>
          <w:szCs w:val="28"/>
        </w:rPr>
      </w:pPr>
    </w:p>
    <w:p>
      <w:pPr>
        <w:spacing w:line="360" w:lineRule="auto"/>
        <w:rPr>
          <w:rFonts w:asciiTheme="minorEastAsia" w:hAnsiTheme="minorEastAsia" w:eastAsiaTheme="minorEastAsia" w:cstheme="minorEastAsia"/>
          <w:b/>
          <w:sz w:val="28"/>
          <w:szCs w:val="28"/>
        </w:rPr>
      </w:pPr>
    </w:p>
    <w:p>
      <w:pPr>
        <w:spacing w:line="360" w:lineRule="auto"/>
        <w:rPr>
          <w:rFonts w:asciiTheme="minorEastAsia" w:hAnsiTheme="minorEastAsia" w:eastAsiaTheme="minorEastAsia" w:cstheme="minorEastAsia"/>
          <w:b/>
          <w:sz w:val="28"/>
          <w:szCs w:val="28"/>
        </w:rPr>
      </w:pPr>
    </w:p>
    <w:p>
      <w:pPr>
        <w:spacing w:line="360" w:lineRule="auto"/>
        <w:rPr>
          <w:rFonts w:asciiTheme="minorEastAsia" w:hAnsiTheme="minorEastAsia" w:eastAsiaTheme="minorEastAsia" w:cstheme="minorEastAsia"/>
          <w:b/>
          <w:sz w:val="28"/>
          <w:szCs w:val="28"/>
        </w:rPr>
      </w:pPr>
    </w:p>
    <w:p>
      <w:pPr>
        <w:spacing w:line="360" w:lineRule="auto"/>
        <w:rPr>
          <w:rFonts w:asciiTheme="minorEastAsia" w:hAnsiTheme="minorEastAsia" w:eastAsiaTheme="minorEastAsia" w:cstheme="minorEastAsia"/>
          <w:b/>
          <w:sz w:val="28"/>
          <w:szCs w:val="28"/>
        </w:rPr>
      </w:pPr>
    </w:p>
    <w:p>
      <w:pPr>
        <w:spacing w:line="360" w:lineRule="auto"/>
        <w:rPr>
          <w:rFonts w:asciiTheme="minorEastAsia" w:hAnsiTheme="minorEastAsia" w:eastAsiaTheme="minorEastAsia" w:cstheme="minorEastAsia"/>
          <w:b/>
          <w:sz w:val="28"/>
          <w:szCs w:val="28"/>
        </w:rPr>
      </w:pPr>
    </w:p>
    <w:p>
      <w:pPr>
        <w:spacing w:line="360" w:lineRule="auto"/>
        <w:rPr>
          <w:rFonts w:asciiTheme="minorEastAsia" w:hAnsiTheme="minorEastAsia" w:eastAsiaTheme="minorEastAsia" w:cstheme="minorEastAsia"/>
          <w:b/>
          <w:sz w:val="28"/>
          <w:szCs w:val="28"/>
        </w:rPr>
      </w:pPr>
    </w:p>
    <w:p>
      <w:pPr>
        <w:spacing w:line="360" w:lineRule="auto"/>
        <w:rPr>
          <w:rFonts w:asciiTheme="minorEastAsia" w:hAnsiTheme="minorEastAsia" w:eastAsiaTheme="minorEastAsia" w:cstheme="minorEastAsia"/>
          <w:b/>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附件8</w:t>
      </w:r>
    </w:p>
    <w:p>
      <w:pPr>
        <w:spacing w:line="360" w:lineRule="auto"/>
        <w:ind w:left="1" w:firstLine="560" w:firstLineChars="20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磋商保证金</w:t>
      </w:r>
    </w:p>
    <w:p>
      <w:pPr>
        <w:spacing w:line="360" w:lineRule="auto"/>
        <w:ind w:left="1" w:firstLine="723"/>
        <w:jc w:val="center"/>
        <w:rPr>
          <w:rFonts w:asciiTheme="minorEastAsia" w:hAnsiTheme="minorEastAsia" w:eastAsiaTheme="minorEastAsia" w:cstheme="minorEastAsia"/>
          <w:b/>
          <w:sz w:val="28"/>
          <w:szCs w:val="28"/>
        </w:rPr>
      </w:pPr>
    </w:p>
    <w:p>
      <w:pPr>
        <w:pStyle w:val="22"/>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8"/>
          <w:szCs w:val="28"/>
        </w:rPr>
        <w:t>注：磋商磋商保证金缴纳凭证请打印或者复印后，粘贴在此处。</w:t>
      </w: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附件9</w:t>
      </w:r>
    </w:p>
    <w:p>
      <w:pPr>
        <w:pStyle w:val="22"/>
        <w:spacing w:line="360" w:lineRule="auto"/>
        <w:jc w:val="center"/>
        <w:rPr>
          <w:rFonts w:asciiTheme="minorEastAsia" w:hAnsiTheme="minorEastAsia" w:eastAsiaTheme="minorEastAsia" w:cstheme="minorEastAsia"/>
          <w:b/>
          <w:color w:val="auto"/>
          <w:sz w:val="28"/>
          <w:szCs w:val="28"/>
        </w:rPr>
      </w:pPr>
    </w:p>
    <w:p>
      <w:pPr>
        <w:pStyle w:val="22"/>
        <w:spacing w:line="360" w:lineRule="auto"/>
        <w:ind w:firstLine="560" w:firstLineChars="200"/>
        <w:jc w:val="center"/>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商务条款偏离表</w:t>
      </w:r>
    </w:p>
    <w:p>
      <w:pPr>
        <w:pStyle w:val="22"/>
        <w:spacing w:line="360" w:lineRule="auto"/>
        <w:ind w:firstLine="560" w:firstLineChars="200"/>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项目名称：</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Cs/>
          <w:color w:val="auto"/>
          <w:sz w:val="28"/>
          <w:szCs w:val="28"/>
        </w:rPr>
        <w:t>项目编号：</w:t>
      </w:r>
    </w:p>
    <w:tbl>
      <w:tblPr>
        <w:tblStyle w:val="1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730"/>
        <w:gridCol w:w="2279"/>
        <w:gridCol w:w="1831"/>
        <w:gridCol w:w="1768"/>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pPr>
              <w:pStyle w:val="22"/>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1730" w:type="dxa"/>
            <w:vAlign w:val="center"/>
          </w:tcPr>
          <w:p>
            <w:pPr>
              <w:pStyle w:val="22"/>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磋商文件   条目号</w:t>
            </w:r>
          </w:p>
        </w:tc>
        <w:tc>
          <w:tcPr>
            <w:tcW w:w="2279" w:type="dxa"/>
            <w:vAlign w:val="center"/>
          </w:tcPr>
          <w:p>
            <w:pPr>
              <w:pStyle w:val="22"/>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磋商文件        商务条款</w:t>
            </w:r>
          </w:p>
        </w:tc>
        <w:tc>
          <w:tcPr>
            <w:tcW w:w="1831" w:type="dxa"/>
            <w:vAlign w:val="center"/>
          </w:tcPr>
          <w:p>
            <w:pPr>
              <w:pStyle w:val="22"/>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响应文件    商务条款</w:t>
            </w:r>
          </w:p>
        </w:tc>
        <w:tc>
          <w:tcPr>
            <w:tcW w:w="1768" w:type="dxa"/>
            <w:vAlign w:val="center"/>
          </w:tcPr>
          <w:p>
            <w:pPr>
              <w:pStyle w:val="22"/>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偏离内容</w:t>
            </w:r>
          </w:p>
        </w:tc>
        <w:tc>
          <w:tcPr>
            <w:tcW w:w="1069" w:type="dxa"/>
            <w:vAlign w:val="center"/>
          </w:tcPr>
          <w:p>
            <w:pPr>
              <w:pStyle w:val="22"/>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tcPr>
          <w:p>
            <w:pPr>
              <w:pStyle w:val="22"/>
              <w:spacing w:line="360" w:lineRule="auto"/>
              <w:jc w:val="center"/>
              <w:rPr>
                <w:rFonts w:asciiTheme="minorEastAsia" w:hAnsiTheme="minorEastAsia" w:eastAsiaTheme="minorEastAsia" w:cstheme="minorEastAsia"/>
                <w:color w:val="auto"/>
                <w:sz w:val="28"/>
                <w:szCs w:val="28"/>
              </w:rPr>
            </w:pPr>
          </w:p>
        </w:tc>
        <w:tc>
          <w:tcPr>
            <w:tcW w:w="1730" w:type="dxa"/>
          </w:tcPr>
          <w:p>
            <w:pPr>
              <w:pStyle w:val="22"/>
              <w:spacing w:line="360" w:lineRule="auto"/>
              <w:jc w:val="center"/>
              <w:rPr>
                <w:rFonts w:asciiTheme="minorEastAsia" w:hAnsiTheme="minorEastAsia" w:eastAsiaTheme="minorEastAsia" w:cstheme="minorEastAsia"/>
                <w:color w:val="auto"/>
                <w:sz w:val="28"/>
                <w:szCs w:val="28"/>
              </w:rPr>
            </w:pPr>
          </w:p>
        </w:tc>
        <w:tc>
          <w:tcPr>
            <w:tcW w:w="2279" w:type="dxa"/>
          </w:tcPr>
          <w:p>
            <w:pPr>
              <w:pStyle w:val="22"/>
              <w:spacing w:line="360" w:lineRule="auto"/>
              <w:jc w:val="center"/>
              <w:rPr>
                <w:rFonts w:asciiTheme="minorEastAsia" w:hAnsiTheme="minorEastAsia" w:eastAsiaTheme="minorEastAsia" w:cstheme="minorEastAsia"/>
                <w:color w:val="auto"/>
                <w:sz w:val="28"/>
                <w:szCs w:val="28"/>
              </w:rPr>
            </w:pPr>
          </w:p>
        </w:tc>
        <w:tc>
          <w:tcPr>
            <w:tcW w:w="1831" w:type="dxa"/>
          </w:tcPr>
          <w:p>
            <w:pPr>
              <w:pStyle w:val="22"/>
              <w:spacing w:line="360" w:lineRule="auto"/>
              <w:jc w:val="center"/>
              <w:rPr>
                <w:rFonts w:asciiTheme="minorEastAsia" w:hAnsiTheme="minorEastAsia" w:eastAsiaTheme="minorEastAsia" w:cstheme="minorEastAsia"/>
                <w:color w:val="auto"/>
                <w:sz w:val="28"/>
                <w:szCs w:val="28"/>
              </w:rPr>
            </w:pPr>
          </w:p>
        </w:tc>
        <w:tc>
          <w:tcPr>
            <w:tcW w:w="1768" w:type="dxa"/>
          </w:tcPr>
          <w:p>
            <w:pPr>
              <w:pStyle w:val="22"/>
              <w:spacing w:line="360" w:lineRule="auto"/>
              <w:jc w:val="center"/>
              <w:rPr>
                <w:rFonts w:asciiTheme="minorEastAsia" w:hAnsiTheme="minorEastAsia" w:eastAsiaTheme="minorEastAsia" w:cstheme="minorEastAsia"/>
                <w:color w:val="auto"/>
                <w:sz w:val="28"/>
                <w:szCs w:val="28"/>
              </w:rPr>
            </w:pPr>
          </w:p>
        </w:tc>
        <w:tc>
          <w:tcPr>
            <w:tcW w:w="1069" w:type="dxa"/>
          </w:tcPr>
          <w:p>
            <w:pPr>
              <w:pStyle w:val="22"/>
              <w:spacing w:line="360" w:lineRule="auto"/>
              <w:jc w:val="center"/>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tcPr>
          <w:p>
            <w:pPr>
              <w:pStyle w:val="22"/>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p>
        </w:tc>
        <w:tc>
          <w:tcPr>
            <w:tcW w:w="1730" w:type="dxa"/>
          </w:tcPr>
          <w:p>
            <w:pPr>
              <w:pStyle w:val="22"/>
              <w:spacing w:line="360" w:lineRule="auto"/>
              <w:jc w:val="center"/>
              <w:rPr>
                <w:rFonts w:asciiTheme="minorEastAsia" w:hAnsiTheme="minorEastAsia" w:eastAsiaTheme="minorEastAsia" w:cstheme="minorEastAsia"/>
                <w:color w:val="auto"/>
                <w:sz w:val="28"/>
                <w:szCs w:val="28"/>
              </w:rPr>
            </w:pPr>
          </w:p>
        </w:tc>
        <w:tc>
          <w:tcPr>
            <w:tcW w:w="2279" w:type="dxa"/>
          </w:tcPr>
          <w:p>
            <w:pPr>
              <w:pStyle w:val="22"/>
              <w:spacing w:line="360" w:lineRule="auto"/>
              <w:jc w:val="center"/>
              <w:rPr>
                <w:rFonts w:asciiTheme="minorEastAsia" w:hAnsiTheme="minorEastAsia" w:eastAsiaTheme="minorEastAsia" w:cstheme="minorEastAsia"/>
                <w:color w:val="auto"/>
                <w:sz w:val="28"/>
                <w:szCs w:val="28"/>
              </w:rPr>
            </w:pPr>
          </w:p>
        </w:tc>
        <w:tc>
          <w:tcPr>
            <w:tcW w:w="1831" w:type="dxa"/>
          </w:tcPr>
          <w:p>
            <w:pPr>
              <w:pStyle w:val="22"/>
              <w:spacing w:line="360" w:lineRule="auto"/>
              <w:jc w:val="center"/>
              <w:rPr>
                <w:rFonts w:asciiTheme="minorEastAsia" w:hAnsiTheme="minorEastAsia" w:eastAsiaTheme="minorEastAsia" w:cstheme="minorEastAsia"/>
                <w:color w:val="auto"/>
                <w:sz w:val="28"/>
                <w:szCs w:val="28"/>
              </w:rPr>
            </w:pPr>
          </w:p>
        </w:tc>
        <w:tc>
          <w:tcPr>
            <w:tcW w:w="1768" w:type="dxa"/>
          </w:tcPr>
          <w:p>
            <w:pPr>
              <w:pStyle w:val="22"/>
              <w:spacing w:line="360" w:lineRule="auto"/>
              <w:jc w:val="center"/>
              <w:rPr>
                <w:rFonts w:asciiTheme="minorEastAsia" w:hAnsiTheme="minorEastAsia" w:eastAsiaTheme="minorEastAsia" w:cstheme="minorEastAsia"/>
                <w:color w:val="auto"/>
                <w:sz w:val="28"/>
                <w:szCs w:val="28"/>
              </w:rPr>
            </w:pPr>
          </w:p>
        </w:tc>
        <w:tc>
          <w:tcPr>
            <w:tcW w:w="1069" w:type="dxa"/>
          </w:tcPr>
          <w:p>
            <w:pPr>
              <w:pStyle w:val="22"/>
              <w:spacing w:line="360" w:lineRule="auto"/>
              <w:jc w:val="center"/>
              <w:rPr>
                <w:rFonts w:asciiTheme="minorEastAsia" w:hAnsiTheme="minorEastAsia" w:eastAsiaTheme="minorEastAsia" w:cstheme="minorEastAsia"/>
                <w:color w:val="auto"/>
                <w:sz w:val="28"/>
                <w:szCs w:val="28"/>
              </w:rPr>
            </w:pPr>
          </w:p>
        </w:tc>
      </w:tr>
    </w:tbl>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供应商（公章）：</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p>
    <w:p>
      <w:pPr>
        <w:pStyle w:val="22"/>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法定代表人或授权代表签章：</w:t>
      </w:r>
    </w:p>
    <w:p>
      <w:pPr>
        <w:pStyle w:val="22"/>
        <w:spacing w:line="360" w:lineRule="auto"/>
        <w:ind w:firstLine="140" w:firstLineChars="50"/>
        <w:rPr>
          <w:rFonts w:asciiTheme="minorEastAsia" w:hAnsiTheme="minorEastAsia" w:eastAsiaTheme="minorEastAsia" w:cstheme="minorEastAsia"/>
          <w:color w:val="auto"/>
          <w:sz w:val="28"/>
          <w:szCs w:val="28"/>
        </w:rPr>
      </w:pPr>
    </w:p>
    <w:p>
      <w:pPr>
        <w:pStyle w:val="22"/>
        <w:spacing w:line="360" w:lineRule="auto"/>
        <w:ind w:left="239" w:leftChars="114"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8"/>
          <w:szCs w:val="28"/>
        </w:rPr>
        <w:t>注:若有偏离,请将具体偏离条款在“偏离”一栏中详细说明;若无偏离,请在“偏离”一栏填写“无”字样，不填写视为不响应。</w:t>
      </w:r>
    </w:p>
    <w:p>
      <w:pPr>
        <w:rPr>
          <w:rFonts w:asciiTheme="minorEastAsia" w:hAnsiTheme="minorEastAsia" w:eastAsiaTheme="minorEastAsia" w:cstheme="minorEastAsia"/>
          <w:b/>
          <w:bCs/>
          <w:kern w:val="0"/>
          <w:sz w:val="24"/>
          <w:szCs w:val="24"/>
        </w:rPr>
      </w:pPr>
    </w:p>
    <w:p>
      <w:pPr>
        <w:rPr>
          <w:rFonts w:asciiTheme="minorEastAsia" w:hAnsiTheme="minorEastAsia" w:eastAsiaTheme="minorEastAsia" w:cstheme="minorEastAsia"/>
          <w:b/>
          <w:bCs/>
          <w:kern w:val="0"/>
          <w:sz w:val="24"/>
          <w:szCs w:val="24"/>
        </w:rPr>
      </w:pPr>
    </w:p>
    <w:p>
      <w:pPr>
        <w:rPr>
          <w:rFonts w:asciiTheme="minorEastAsia" w:hAnsiTheme="minorEastAsia" w:eastAsiaTheme="minorEastAsia" w:cstheme="minorEastAsia"/>
          <w:b/>
          <w:bCs/>
          <w:kern w:val="0"/>
          <w:sz w:val="24"/>
          <w:szCs w:val="24"/>
        </w:rPr>
      </w:pPr>
    </w:p>
    <w:p>
      <w:pPr>
        <w:ind w:firstLine="480" w:firstLineChars="200"/>
        <w:rPr>
          <w:rFonts w:asciiTheme="minorEastAsia" w:hAnsiTheme="minorEastAsia" w:eastAsiaTheme="minorEastAsia" w:cstheme="minorEastAsia"/>
          <w:b/>
          <w:bCs/>
          <w:kern w:val="0"/>
          <w:sz w:val="24"/>
          <w:szCs w:val="24"/>
        </w:rPr>
      </w:pPr>
    </w:p>
    <w:p>
      <w:pPr>
        <w:ind w:firstLine="480" w:firstLineChars="200"/>
        <w:rPr>
          <w:rFonts w:asciiTheme="minorEastAsia" w:hAnsiTheme="minorEastAsia" w:eastAsiaTheme="minorEastAsia" w:cstheme="minorEastAsia"/>
          <w:b/>
          <w:bCs/>
          <w:kern w:val="0"/>
          <w:sz w:val="24"/>
          <w:szCs w:val="24"/>
        </w:rPr>
      </w:pPr>
    </w:p>
    <w:p>
      <w:pPr>
        <w:ind w:firstLine="480" w:firstLineChars="200"/>
        <w:rPr>
          <w:rFonts w:asciiTheme="minorEastAsia" w:hAnsiTheme="minorEastAsia" w:eastAsiaTheme="minorEastAsia" w:cstheme="minorEastAsia"/>
          <w:b/>
          <w:bCs/>
          <w:kern w:val="0"/>
          <w:sz w:val="24"/>
          <w:szCs w:val="24"/>
        </w:rPr>
      </w:pPr>
    </w:p>
    <w:p>
      <w:pPr>
        <w:ind w:firstLine="480" w:firstLineChars="200"/>
        <w:rPr>
          <w:rFonts w:asciiTheme="minorEastAsia" w:hAnsiTheme="minorEastAsia" w:eastAsiaTheme="minorEastAsia" w:cstheme="minorEastAsia"/>
          <w:b/>
          <w:bCs/>
          <w:kern w:val="0"/>
          <w:sz w:val="24"/>
          <w:szCs w:val="24"/>
        </w:rPr>
      </w:pPr>
    </w:p>
    <w:p>
      <w:pPr>
        <w:ind w:firstLine="480" w:firstLineChars="200"/>
        <w:rPr>
          <w:rFonts w:asciiTheme="minorEastAsia" w:hAnsiTheme="minorEastAsia" w:eastAsiaTheme="minorEastAsia" w:cstheme="minorEastAsia"/>
          <w:b/>
          <w:bCs/>
          <w:kern w:val="0"/>
          <w:sz w:val="24"/>
          <w:szCs w:val="24"/>
        </w:rPr>
      </w:pPr>
    </w:p>
    <w:p>
      <w:pPr>
        <w:ind w:firstLine="480" w:firstLineChars="200"/>
        <w:rPr>
          <w:rFonts w:asciiTheme="minorEastAsia" w:hAnsiTheme="minorEastAsia" w:eastAsiaTheme="minorEastAsia" w:cstheme="minorEastAsia"/>
          <w:b/>
          <w:bCs/>
          <w:kern w:val="0"/>
          <w:sz w:val="24"/>
          <w:szCs w:val="24"/>
        </w:rPr>
      </w:pPr>
    </w:p>
    <w:p>
      <w:pPr>
        <w:ind w:firstLine="480" w:firstLineChars="200"/>
        <w:rPr>
          <w:rFonts w:asciiTheme="minorEastAsia" w:hAnsiTheme="minorEastAsia" w:eastAsiaTheme="minorEastAsia" w:cstheme="minorEastAsia"/>
          <w:b/>
          <w:bCs/>
          <w:kern w:val="0"/>
          <w:sz w:val="24"/>
          <w:szCs w:val="24"/>
        </w:rPr>
      </w:pPr>
    </w:p>
    <w:p>
      <w:pPr>
        <w:ind w:firstLine="480" w:firstLineChars="200"/>
        <w:rPr>
          <w:rFonts w:asciiTheme="minorEastAsia" w:hAnsiTheme="minorEastAsia" w:eastAsiaTheme="minorEastAsia" w:cstheme="minorEastAsia"/>
          <w:b/>
          <w:bCs/>
          <w:kern w:val="0"/>
          <w:sz w:val="24"/>
          <w:szCs w:val="24"/>
        </w:rPr>
      </w:pPr>
    </w:p>
    <w:p>
      <w:pPr>
        <w:ind w:firstLine="480" w:firstLineChars="200"/>
        <w:rPr>
          <w:rFonts w:asciiTheme="minorEastAsia" w:hAnsiTheme="minorEastAsia" w:eastAsiaTheme="minorEastAsia" w:cstheme="minorEastAsia"/>
          <w:b/>
          <w:bCs/>
          <w:kern w:val="0"/>
          <w:sz w:val="24"/>
          <w:szCs w:val="24"/>
        </w:rPr>
      </w:pPr>
    </w:p>
    <w:p>
      <w:pPr>
        <w:ind w:firstLine="480" w:firstLineChars="200"/>
        <w:rPr>
          <w:rFonts w:asciiTheme="minorEastAsia" w:hAnsiTheme="minorEastAsia" w:eastAsiaTheme="minorEastAsia" w:cstheme="minorEastAsia"/>
          <w:b/>
          <w:bCs/>
          <w:kern w:val="0"/>
          <w:sz w:val="24"/>
          <w:szCs w:val="24"/>
        </w:rPr>
      </w:pPr>
    </w:p>
    <w:p>
      <w:pPr>
        <w:pStyle w:val="22"/>
        <w:spacing w:line="360" w:lineRule="auto"/>
        <w:ind w:firstLine="560" w:firstLineChars="20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附件10</w:t>
      </w:r>
    </w:p>
    <w:p>
      <w:pPr>
        <w:pStyle w:val="22"/>
        <w:ind w:firstLine="560" w:firstLineChars="200"/>
        <w:jc w:val="center"/>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color w:val="auto"/>
          <w:sz w:val="28"/>
          <w:szCs w:val="28"/>
        </w:rPr>
        <w:t>类似项目业绩</w:t>
      </w:r>
    </w:p>
    <w:p>
      <w:pPr>
        <w:pStyle w:val="22"/>
        <w:rPr>
          <w:rFonts w:asciiTheme="minorEastAsia" w:hAnsiTheme="minorEastAsia" w:eastAsiaTheme="minorEastAsia" w:cstheme="minorEastAsia"/>
          <w:b/>
          <w:bCs/>
          <w:color w:val="auto"/>
          <w:sz w:val="28"/>
          <w:szCs w:val="28"/>
        </w:rPr>
      </w:pPr>
    </w:p>
    <w:p>
      <w:pPr>
        <w:pStyle w:val="22"/>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提供2021年-至今类似项目业绩。注：业绩须提供（合同及中标（成交）通知书，合同需包含首页、标的内容及合同金额、双方签字盖章等关键页）</w:t>
      </w:r>
    </w:p>
    <w:p>
      <w:pPr>
        <w:pStyle w:val="22"/>
        <w:rPr>
          <w:rFonts w:asciiTheme="minorEastAsia" w:hAnsiTheme="minorEastAsia" w:eastAsiaTheme="minorEastAsia" w:cstheme="minorEastAsia"/>
          <w:b/>
          <w:bCs/>
          <w:color w:val="auto"/>
          <w:sz w:val="28"/>
          <w:szCs w:val="28"/>
        </w:rPr>
      </w:pPr>
    </w:p>
    <w:p>
      <w:pPr>
        <w:ind w:firstLine="480" w:firstLineChars="200"/>
        <w:rPr>
          <w:rFonts w:asciiTheme="minorEastAsia" w:hAnsiTheme="minorEastAsia" w:eastAsiaTheme="minorEastAsia" w:cstheme="minorEastAsia"/>
          <w:b/>
          <w:bCs/>
          <w:sz w:val="24"/>
          <w:szCs w:val="22"/>
        </w:rPr>
      </w:pPr>
    </w:p>
    <w:p>
      <w:pPr>
        <w:pStyle w:val="22"/>
        <w:spacing w:line="360" w:lineRule="auto"/>
        <w:ind w:firstLine="560" w:firstLineChars="20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附件11</w:t>
      </w:r>
    </w:p>
    <w:p>
      <w:pPr>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技术响应文件</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供应商根据磋商文件技术要求自行编写。包含但不限于下列内容：</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1、服务工作范围和任务；</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2、服务工作程序；</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3、服务管理方案；</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4、实施相关说明；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5、工作周期、进度计划、具体服务措施；</w:t>
      </w:r>
    </w:p>
    <w:p>
      <w:pPr>
        <w:pStyle w:val="22"/>
        <w:ind w:firstLine="560" w:firstLineChars="200"/>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6、供应商认为需要提供的其他资料。</w:t>
      </w:r>
    </w:p>
    <w:p>
      <w:pPr>
        <w:pStyle w:val="22"/>
        <w:ind w:firstLine="560" w:firstLineChars="200"/>
        <w:rPr>
          <w:rFonts w:asciiTheme="minorEastAsia" w:hAnsiTheme="minorEastAsia" w:eastAsiaTheme="minorEastAsia" w:cstheme="minorEastAsia"/>
          <w:bCs/>
          <w:color w:val="auto"/>
          <w:sz w:val="28"/>
          <w:szCs w:val="28"/>
        </w:rPr>
      </w:pPr>
    </w:p>
    <w:p>
      <w:pPr>
        <w:pStyle w:val="22"/>
        <w:ind w:firstLine="560" w:firstLineChars="200"/>
        <w:rPr>
          <w:rFonts w:asciiTheme="minorEastAsia" w:hAnsiTheme="minorEastAsia" w:eastAsiaTheme="minorEastAsia" w:cstheme="minorEastAsia"/>
          <w:bCs/>
          <w:color w:val="auto"/>
          <w:sz w:val="28"/>
          <w:szCs w:val="28"/>
        </w:rPr>
      </w:pPr>
    </w:p>
    <w:p>
      <w:pPr>
        <w:pStyle w:val="22"/>
        <w:ind w:firstLine="560" w:firstLineChars="200"/>
        <w:rPr>
          <w:rFonts w:asciiTheme="minorEastAsia" w:hAnsiTheme="minorEastAsia" w:eastAsiaTheme="minorEastAsia" w:cstheme="minorEastAsia"/>
          <w:bCs/>
          <w:color w:val="auto"/>
          <w:sz w:val="28"/>
          <w:szCs w:val="28"/>
        </w:rPr>
      </w:pPr>
    </w:p>
    <w:p>
      <w:pPr>
        <w:pStyle w:val="22"/>
        <w:ind w:firstLine="560" w:firstLineChars="200"/>
        <w:rPr>
          <w:rFonts w:asciiTheme="minorEastAsia" w:hAnsiTheme="minorEastAsia" w:eastAsiaTheme="minorEastAsia" w:cstheme="minorEastAsia"/>
          <w:bCs/>
          <w:color w:val="auto"/>
          <w:sz w:val="28"/>
          <w:szCs w:val="28"/>
        </w:rPr>
      </w:pPr>
    </w:p>
    <w:p>
      <w:pPr>
        <w:pStyle w:val="22"/>
        <w:ind w:firstLine="560" w:firstLineChars="200"/>
        <w:rPr>
          <w:rFonts w:asciiTheme="minorEastAsia" w:hAnsiTheme="minorEastAsia" w:eastAsiaTheme="minorEastAsia" w:cstheme="minorEastAsia"/>
          <w:b/>
          <w:bCs/>
          <w:color w:val="auto"/>
          <w:kern w:val="0"/>
          <w:sz w:val="28"/>
          <w:szCs w:val="28"/>
        </w:rPr>
      </w:pPr>
    </w:p>
    <w:p>
      <w:pPr>
        <w:pStyle w:val="22"/>
        <w:ind w:firstLine="560" w:firstLineChars="200"/>
        <w:rPr>
          <w:rFonts w:asciiTheme="minorEastAsia" w:hAnsiTheme="minorEastAsia" w:eastAsiaTheme="minorEastAsia" w:cstheme="minorEastAsia"/>
          <w:b/>
          <w:bCs/>
          <w:color w:val="auto"/>
          <w:kern w:val="0"/>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附件12</w:t>
      </w:r>
    </w:p>
    <w:p>
      <w:pPr>
        <w:pStyle w:val="3"/>
        <w:ind w:left="0" w:firstLine="560" w:firstLineChars="200"/>
        <w:jc w:val="center"/>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反商业贿赂承诺书</w:t>
      </w:r>
    </w:p>
    <w:p>
      <w:pPr>
        <w:spacing w:line="360" w:lineRule="auto"/>
        <w:ind w:firstLine="560" w:firstLineChars="200"/>
        <w:rPr>
          <w:rFonts w:asciiTheme="minorEastAsia" w:hAnsiTheme="minorEastAsia" w:eastAsiaTheme="minorEastAsia" w:cstheme="minorEastAsia"/>
          <w:sz w:val="28"/>
          <w:szCs w:val="28"/>
        </w:rPr>
      </w:pP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公司承诺绝不会给采购人及采购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tabs>
          <w:tab w:val="left" w:pos="6300"/>
        </w:tabs>
        <w:snapToGrid w:val="0"/>
        <w:spacing w:line="360" w:lineRule="auto"/>
        <w:ind w:right="480" w:firstLine="6720" w:firstLineChars="2400"/>
        <w:rPr>
          <w:rFonts w:asciiTheme="minorEastAsia" w:hAnsiTheme="minorEastAsia" w:eastAsiaTheme="minorEastAsia" w:cstheme="minorEastAsia"/>
          <w:sz w:val="28"/>
          <w:szCs w:val="28"/>
        </w:rPr>
      </w:pPr>
    </w:p>
    <w:p>
      <w:pPr>
        <w:tabs>
          <w:tab w:val="left" w:pos="6300"/>
        </w:tabs>
        <w:snapToGrid w:val="0"/>
        <w:spacing w:line="360" w:lineRule="auto"/>
        <w:ind w:right="480" w:firstLine="560" w:firstLineChars="200"/>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供应商（公章）</w:t>
      </w:r>
    </w:p>
    <w:p>
      <w:pPr>
        <w:tabs>
          <w:tab w:val="left" w:pos="6300"/>
        </w:tabs>
        <w:snapToGrid w:val="0"/>
        <w:spacing w:line="360" w:lineRule="auto"/>
        <w:ind w:right="480" w:firstLine="5880" w:firstLineChars="2100"/>
        <w:rPr>
          <w:rFonts w:asciiTheme="minorEastAsia" w:hAnsiTheme="minorEastAsia" w:eastAsiaTheme="minorEastAsia" w:cstheme="minorEastAsia"/>
          <w:sz w:val="28"/>
          <w:szCs w:val="28"/>
        </w:rPr>
      </w:pPr>
    </w:p>
    <w:p>
      <w:pPr>
        <w:spacing w:line="360" w:lineRule="auto"/>
        <w:ind w:firstLine="560" w:firstLineChars="200"/>
        <w:jc w:val="center"/>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 xml:space="preserve">                                     年   月    日</w:t>
      </w:r>
      <w:r>
        <w:rPr>
          <w:rFonts w:hint="eastAsia" w:asciiTheme="minorEastAsia" w:hAnsiTheme="minorEastAsia" w:eastAsiaTheme="minorEastAsia" w:cstheme="minorEastAsia"/>
          <w:kern w:val="0"/>
          <w:sz w:val="28"/>
          <w:szCs w:val="28"/>
        </w:rPr>
        <w:t xml:space="preserve"> </w:t>
      </w:r>
    </w:p>
    <w:p>
      <w:pPr>
        <w:spacing w:line="360" w:lineRule="auto"/>
        <w:ind w:firstLine="560" w:firstLineChars="200"/>
        <w:jc w:val="center"/>
        <w:rPr>
          <w:rFonts w:asciiTheme="minorEastAsia" w:hAnsiTheme="minorEastAsia" w:eastAsiaTheme="minorEastAsia" w:cstheme="minorEastAsia"/>
          <w:kern w:val="0"/>
          <w:sz w:val="28"/>
          <w:szCs w:val="28"/>
        </w:rPr>
      </w:pPr>
    </w:p>
    <w:p>
      <w:pPr>
        <w:spacing w:line="360" w:lineRule="auto"/>
        <w:ind w:firstLine="560" w:firstLineChars="200"/>
        <w:jc w:val="center"/>
        <w:rPr>
          <w:rFonts w:asciiTheme="minorEastAsia" w:hAnsiTheme="minorEastAsia" w:eastAsiaTheme="minorEastAsia" w:cstheme="minorEastAsia"/>
          <w:kern w:val="0"/>
          <w:sz w:val="28"/>
          <w:szCs w:val="28"/>
        </w:rPr>
      </w:pPr>
    </w:p>
    <w:p>
      <w:pPr>
        <w:spacing w:line="360" w:lineRule="auto"/>
        <w:ind w:firstLine="560" w:firstLineChars="200"/>
        <w:jc w:val="center"/>
        <w:rPr>
          <w:rFonts w:asciiTheme="minorEastAsia" w:hAnsiTheme="minorEastAsia" w:eastAsiaTheme="minorEastAsia" w:cstheme="minorEastAsia"/>
          <w:kern w:val="0"/>
          <w:sz w:val="28"/>
          <w:szCs w:val="28"/>
        </w:rPr>
      </w:pPr>
    </w:p>
    <w:p>
      <w:pPr>
        <w:spacing w:line="360" w:lineRule="auto"/>
        <w:ind w:firstLine="560" w:firstLineChars="200"/>
        <w:jc w:val="center"/>
        <w:rPr>
          <w:rFonts w:asciiTheme="minorEastAsia" w:hAnsiTheme="minorEastAsia" w:eastAsiaTheme="minorEastAsia" w:cstheme="minorEastAsia"/>
          <w:kern w:val="0"/>
          <w:sz w:val="28"/>
          <w:szCs w:val="28"/>
        </w:rPr>
      </w:pPr>
    </w:p>
    <w:p>
      <w:pPr>
        <w:spacing w:line="360" w:lineRule="auto"/>
        <w:ind w:firstLine="560" w:firstLineChars="200"/>
        <w:jc w:val="center"/>
        <w:rPr>
          <w:rFonts w:asciiTheme="minorEastAsia" w:hAnsiTheme="minorEastAsia" w:eastAsiaTheme="minorEastAsia" w:cstheme="minorEastAsia"/>
          <w:kern w:val="0"/>
          <w:sz w:val="28"/>
          <w:szCs w:val="28"/>
        </w:rPr>
      </w:pPr>
    </w:p>
    <w:p>
      <w:pPr>
        <w:spacing w:line="360" w:lineRule="auto"/>
        <w:ind w:firstLine="560" w:firstLineChars="200"/>
        <w:jc w:val="center"/>
        <w:rPr>
          <w:rFonts w:asciiTheme="minorEastAsia" w:hAnsiTheme="minorEastAsia" w:eastAsiaTheme="minorEastAsia" w:cstheme="minorEastAsia"/>
          <w:kern w:val="0"/>
          <w:sz w:val="28"/>
          <w:szCs w:val="28"/>
        </w:rPr>
      </w:pPr>
    </w:p>
    <w:p>
      <w:pPr>
        <w:spacing w:line="360" w:lineRule="auto"/>
        <w:ind w:firstLine="560" w:firstLineChars="200"/>
        <w:jc w:val="center"/>
        <w:rPr>
          <w:rFonts w:asciiTheme="minorEastAsia" w:hAnsiTheme="minorEastAsia" w:eastAsiaTheme="minorEastAsia" w:cstheme="minorEastAsia"/>
          <w:kern w:val="0"/>
          <w:sz w:val="28"/>
          <w:szCs w:val="28"/>
        </w:rPr>
      </w:pPr>
    </w:p>
    <w:p>
      <w:pPr>
        <w:spacing w:line="360" w:lineRule="auto"/>
        <w:ind w:firstLine="560" w:firstLineChars="200"/>
        <w:jc w:val="center"/>
        <w:rPr>
          <w:rFonts w:asciiTheme="minorEastAsia" w:hAnsiTheme="minorEastAsia" w:eastAsiaTheme="minorEastAsia" w:cstheme="minorEastAsia"/>
          <w:kern w:val="0"/>
          <w:sz w:val="28"/>
          <w:szCs w:val="28"/>
        </w:rPr>
      </w:pPr>
    </w:p>
    <w:p>
      <w:pPr>
        <w:spacing w:line="360" w:lineRule="auto"/>
        <w:ind w:firstLine="560" w:firstLineChars="200"/>
        <w:jc w:val="center"/>
        <w:rPr>
          <w:rFonts w:asciiTheme="minorEastAsia" w:hAnsiTheme="minorEastAsia" w:eastAsiaTheme="minorEastAsia" w:cstheme="minorEastAsia"/>
          <w:kern w:val="0"/>
          <w:sz w:val="28"/>
          <w:szCs w:val="28"/>
        </w:rPr>
      </w:pPr>
    </w:p>
    <w:p>
      <w:pPr>
        <w:spacing w:line="360" w:lineRule="auto"/>
        <w:ind w:firstLine="560" w:firstLineChars="200"/>
        <w:jc w:val="center"/>
        <w:rPr>
          <w:rFonts w:asciiTheme="minorEastAsia" w:hAnsiTheme="minorEastAsia" w:eastAsiaTheme="minorEastAsia" w:cstheme="minorEastAsia"/>
          <w:kern w:val="0"/>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附件13</w:t>
      </w:r>
    </w:p>
    <w:p>
      <w:pPr>
        <w:spacing w:line="360" w:lineRule="auto"/>
        <w:jc w:val="center"/>
        <w:rPr>
          <w:rStyle w:val="24"/>
          <w:rFonts w:asciiTheme="minorEastAsia" w:hAnsiTheme="minorEastAsia" w:eastAsiaTheme="minorEastAsia" w:cstheme="minorEastAsia"/>
          <w:b/>
          <w:szCs w:val="28"/>
        </w:rPr>
      </w:pPr>
    </w:p>
    <w:p>
      <w:pPr>
        <w:spacing w:line="360" w:lineRule="auto"/>
        <w:ind w:firstLine="560" w:firstLineChars="200"/>
        <w:jc w:val="center"/>
        <w:rPr>
          <w:rStyle w:val="24"/>
          <w:rFonts w:asciiTheme="minorEastAsia" w:hAnsiTheme="minorEastAsia" w:eastAsiaTheme="minorEastAsia" w:cstheme="minorEastAsia"/>
          <w:b/>
          <w:szCs w:val="28"/>
        </w:rPr>
      </w:pPr>
      <w:r>
        <w:rPr>
          <w:rStyle w:val="24"/>
          <w:rFonts w:hint="eastAsia" w:asciiTheme="minorEastAsia" w:hAnsiTheme="minorEastAsia" w:eastAsiaTheme="minorEastAsia" w:cstheme="minorEastAsia"/>
          <w:b/>
          <w:szCs w:val="28"/>
        </w:rPr>
        <w:t>接受采购文件付款方式承诺函</w:t>
      </w:r>
    </w:p>
    <w:p>
      <w:pPr>
        <w:spacing w:line="360" w:lineRule="auto"/>
        <w:jc w:val="center"/>
        <w:rPr>
          <w:rStyle w:val="24"/>
          <w:rFonts w:asciiTheme="minorEastAsia" w:hAnsiTheme="minorEastAsia" w:eastAsiaTheme="minorEastAsia" w:cstheme="minorEastAsia"/>
          <w:b/>
          <w:szCs w:val="28"/>
        </w:rPr>
      </w:pPr>
    </w:p>
    <w:p>
      <w:pPr>
        <w:spacing w:line="360" w:lineRule="auto"/>
        <w:ind w:firstLine="560" w:firstLineChars="200"/>
        <w:rPr>
          <w:rStyle w:val="24"/>
          <w:rFonts w:asciiTheme="minorEastAsia" w:hAnsiTheme="minorEastAsia" w:eastAsiaTheme="minorEastAsia" w:cstheme="minorEastAsia"/>
          <w:bCs/>
          <w:szCs w:val="28"/>
        </w:rPr>
      </w:pPr>
      <w:r>
        <w:rPr>
          <w:rStyle w:val="24"/>
          <w:rFonts w:hint="eastAsia" w:asciiTheme="minorEastAsia" w:hAnsiTheme="minorEastAsia" w:eastAsiaTheme="minorEastAsia" w:cstheme="minorEastAsia"/>
          <w:bCs/>
          <w:szCs w:val="28"/>
        </w:rPr>
        <w:t>格式自拟</w:t>
      </w:r>
    </w:p>
    <w:p>
      <w:pPr>
        <w:spacing w:line="360" w:lineRule="auto"/>
        <w:jc w:val="left"/>
        <w:rPr>
          <w:rStyle w:val="24"/>
          <w:rFonts w:asciiTheme="minorEastAsia" w:hAnsiTheme="minorEastAsia" w:eastAsiaTheme="minorEastAsia" w:cstheme="minorEastAsia"/>
          <w:b/>
          <w:szCs w:val="28"/>
        </w:rPr>
      </w:pPr>
    </w:p>
    <w:p>
      <w:pPr>
        <w:tabs>
          <w:tab w:val="left" w:pos="6300"/>
        </w:tabs>
        <w:snapToGrid w:val="0"/>
        <w:spacing w:line="360" w:lineRule="auto"/>
        <w:ind w:right="480" w:firstLine="560" w:firstLineChars="200"/>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供应商（公章）</w:t>
      </w:r>
    </w:p>
    <w:p>
      <w:pPr>
        <w:tabs>
          <w:tab w:val="left" w:pos="6300"/>
        </w:tabs>
        <w:snapToGrid w:val="0"/>
        <w:spacing w:line="360" w:lineRule="auto"/>
        <w:ind w:right="480" w:firstLine="5880" w:firstLineChars="2100"/>
        <w:rPr>
          <w:rFonts w:asciiTheme="minorEastAsia" w:hAnsiTheme="minorEastAsia" w:eastAsiaTheme="minorEastAsia" w:cstheme="minorEastAsia"/>
          <w:sz w:val="28"/>
          <w:szCs w:val="28"/>
        </w:rPr>
      </w:pPr>
    </w:p>
    <w:p>
      <w:pPr>
        <w:spacing w:line="360" w:lineRule="auto"/>
        <w:ind w:firstLine="560" w:firstLineChars="200"/>
        <w:rPr>
          <w:rStyle w:val="24"/>
          <w:rFonts w:asciiTheme="minorEastAsia" w:hAnsiTheme="minorEastAsia" w:eastAsiaTheme="minorEastAsia" w:cstheme="minorEastAsia"/>
          <w:b/>
          <w:szCs w:val="28"/>
        </w:rPr>
      </w:pPr>
      <w:r>
        <w:rPr>
          <w:rFonts w:hint="eastAsia" w:asciiTheme="minorEastAsia" w:hAnsiTheme="minorEastAsia" w:eastAsiaTheme="minorEastAsia" w:cstheme="minorEastAsia"/>
          <w:sz w:val="28"/>
          <w:szCs w:val="28"/>
        </w:rPr>
        <w:t xml:space="preserve"> 年   月    日</w:t>
      </w:r>
      <w:r>
        <w:rPr>
          <w:rFonts w:hint="eastAsia" w:asciiTheme="minorEastAsia" w:hAnsiTheme="minorEastAsia" w:eastAsiaTheme="minorEastAsia" w:cstheme="minorEastAsia"/>
          <w:kern w:val="0"/>
          <w:sz w:val="28"/>
          <w:szCs w:val="28"/>
        </w:rPr>
        <w:t xml:space="preserve"> </w:t>
      </w:r>
    </w:p>
    <w:p>
      <w:pPr>
        <w:pStyle w:val="3"/>
        <w:ind w:left="0" w:firstLine="480" w:firstLineChars="200"/>
        <w:rPr>
          <w:rFonts w:asciiTheme="minorEastAsia" w:hAnsiTheme="minorEastAsia" w:eastAsiaTheme="minorEastAsia" w:cstheme="minorEastAsia"/>
          <w:bCs/>
        </w:rPr>
      </w:pPr>
    </w:p>
    <w:p>
      <w:pPr>
        <w:pStyle w:val="3"/>
        <w:ind w:left="0" w:firstLine="480" w:firstLineChars="200"/>
        <w:rPr>
          <w:rFonts w:asciiTheme="minorEastAsia" w:hAnsiTheme="minorEastAsia" w:eastAsiaTheme="minorEastAsia" w:cstheme="minorEastAsia"/>
          <w:bCs/>
        </w:rPr>
      </w:pPr>
    </w:p>
    <w:p>
      <w:pPr>
        <w:pStyle w:val="3"/>
        <w:ind w:left="0" w:firstLine="480" w:firstLineChars="200"/>
        <w:rPr>
          <w:rFonts w:asciiTheme="minorEastAsia" w:hAnsiTheme="minorEastAsia" w:eastAsiaTheme="minorEastAsia" w:cstheme="minorEastAsia"/>
          <w:bCs/>
        </w:rPr>
      </w:pPr>
    </w:p>
    <w:p>
      <w:pPr>
        <w:pStyle w:val="3"/>
        <w:ind w:left="0" w:firstLine="480" w:firstLineChars="200"/>
        <w:rPr>
          <w:rFonts w:asciiTheme="minorEastAsia" w:hAnsiTheme="minorEastAsia" w:eastAsiaTheme="minorEastAsia" w:cstheme="minorEastAsia"/>
          <w:bCs/>
        </w:rPr>
      </w:pPr>
    </w:p>
    <w:p>
      <w:pPr>
        <w:pStyle w:val="22"/>
        <w:spacing w:line="360" w:lineRule="auto"/>
        <w:ind w:firstLine="560" w:firstLineChars="20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附件14</w:t>
      </w:r>
    </w:p>
    <w:p>
      <w:pPr>
        <w:spacing w:line="360" w:lineRule="auto"/>
        <w:jc w:val="center"/>
        <w:rPr>
          <w:rStyle w:val="24"/>
          <w:rFonts w:asciiTheme="minorEastAsia" w:hAnsiTheme="minorEastAsia" w:eastAsiaTheme="minorEastAsia" w:cstheme="minorEastAsia"/>
          <w:b/>
          <w:szCs w:val="28"/>
        </w:rPr>
      </w:pPr>
    </w:p>
    <w:p>
      <w:pPr>
        <w:spacing w:line="360" w:lineRule="auto"/>
        <w:ind w:firstLine="560" w:firstLineChars="200"/>
        <w:jc w:val="center"/>
        <w:rPr>
          <w:rStyle w:val="24"/>
          <w:rFonts w:asciiTheme="minorEastAsia" w:hAnsiTheme="minorEastAsia" w:eastAsiaTheme="minorEastAsia" w:cstheme="minorEastAsia"/>
          <w:b/>
          <w:szCs w:val="28"/>
        </w:rPr>
      </w:pPr>
      <w:r>
        <w:rPr>
          <w:rStyle w:val="24"/>
          <w:rFonts w:hint="eastAsia" w:asciiTheme="minorEastAsia" w:hAnsiTheme="minorEastAsia" w:eastAsiaTheme="minorEastAsia" w:cstheme="minorEastAsia"/>
          <w:b/>
          <w:szCs w:val="28"/>
        </w:rPr>
        <w:t>接受采购文件服务时间承诺函</w:t>
      </w:r>
    </w:p>
    <w:p>
      <w:pPr>
        <w:spacing w:line="360" w:lineRule="auto"/>
        <w:jc w:val="center"/>
        <w:rPr>
          <w:rStyle w:val="24"/>
          <w:rFonts w:asciiTheme="minorEastAsia" w:hAnsiTheme="minorEastAsia" w:eastAsiaTheme="minorEastAsia" w:cstheme="minorEastAsia"/>
          <w:b/>
          <w:szCs w:val="28"/>
        </w:rPr>
      </w:pPr>
    </w:p>
    <w:p>
      <w:pPr>
        <w:spacing w:line="360" w:lineRule="auto"/>
        <w:ind w:firstLine="560" w:firstLineChars="200"/>
        <w:rPr>
          <w:rStyle w:val="24"/>
          <w:rFonts w:asciiTheme="minorEastAsia" w:hAnsiTheme="minorEastAsia" w:eastAsiaTheme="minorEastAsia" w:cstheme="minorEastAsia"/>
          <w:bCs/>
          <w:szCs w:val="28"/>
        </w:rPr>
      </w:pPr>
      <w:r>
        <w:rPr>
          <w:rStyle w:val="24"/>
          <w:rFonts w:hint="eastAsia" w:asciiTheme="minorEastAsia" w:hAnsiTheme="minorEastAsia" w:eastAsiaTheme="minorEastAsia" w:cstheme="minorEastAsia"/>
          <w:bCs/>
          <w:szCs w:val="28"/>
        </w:rPr>
        <w:t>格式自拟</w:t>
      </w:r>
    </w:p>
    <w:p>
      <w:pPr>
        <w:spacing w:line="360" w:lineRule="auto"/>
        <w:jc w:val="left"/>
        <w:rPr>
          <w:rStyle w:val="24"/>
          <w:rFonts w:asciiTheme="minorEastAsia" w:hAnsiTheme="minorEastAsia" w:eastAsiaTheme="minorEastAsia" w:cstheme="minorEastAsia"/>
          <w:b/>
          <w:szCs w:val="28"/>
        </w:rPr>
      </w:pPr>
    </w:p>
    <w:p>
      <w:pPr>
        <w:tabs>
          <w:tab w:val="left" w:pos="6300"/>
        </w:tabs>
        <w:snapToGrid w:val="0"/>
        <w:spacing w:line="360" w:lineRule="auto"/>
        <w:ind w:right="480" w:firstLine="560" w:firstLineChars="200"/>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供应商（公章）</w:t>
      </w:r>
    </w:p>
    <w:p>
      <w:pPr>
        <w:tabs>
          <w:tab w:val="left" w:pos="6300"/>
        </w:tabs>
        <w:snapToGrid w:val="0"/>
        <w:spacing w:line="360" w:lineRule="auto"/>
        <w:ind w:right="480" w:firstLine="5880" w:firstLineChars="2100"/>
        <w:rPr>
          <w:rFonts w:asciiTheme="minorEastAsia" w:hAnsiTheme="minorEastAsia" w:eastAsiaTheme="minorEastAsia" w:cstheme="minorEastAsia"/>
          <w:sz w:val="28"/>
          <w:szCs w:val="28"/>
        </w:rPr>
      </w:pPr>
    </w:p>
    <w:p>
      <w:pPr>
        <w:tabs>
          <w:tab w:val="left" w:pos="6300"/>
        </w:tabs>
        <w:snapToGrid w:val="0"/>
        <w:spacing w:line="360" w:lineRule="auto"/>
        <w:ind w:right="480" w:firstLine="5880" w:firstLineChars="2100"/>
        <w:rPr>
          <w:rFonts w:asciiTheme="minorEastAsia" w:hAnsiTheme="minorEastAsia" w:eastAsiaTheme="minorEastAsia" w:cstheme="minorEastAsia"/>
          <w:sz w:val="28"/>
          <w:szCs w:val="28"/>
        </w:rPr>
      </w:pPr>
    </w:p>
    <w:p>
      <w:pPr>
        <w:spacing w:line="360" w:lineRule="auto"/>
        <w:ind w:firstLine="560" w:firstLineChars="200"/>
        <w:rPr>
          <w:rStyle w:val="24"/>
          <w:rFonts w:asciiTheme="minorEastAsia" w:hAnsiTheme="minorEastAsia" w:eastAsiaTheme="minorEastAsia" w:cstheme="minorEastAsia"/>
          <w:b/>
          <w:szCs w:val="28"/>
        </w:rPr>
      </w:pPr>
      <w:r>
        <w:rPr>
          <w:rFonts w:hint="eastAsia" w:asciiTheme="minorEastAsia" w:hAnsiTheme="minorEastAsia" w:eastAsiaTheme="minorEastAsia" w:cstheme="minorEastAsia"/>
          <w:sz w:val="28"/>
          <w:szCs w:val="28"/>
        </w:rPr>
        <w:t xml:space="preserve"> 年   月    日</w:t>
      </w:r>
      <w:r>
        <w:rPr>
          <w:rFonts w:hint="eastAsia" w:asciiTheme="minorEastAsia" w:hAnsiTheme="minorEastAsia" w:eastAsiaTheme="minorEastAsia" w:cstheme="minorEastAsia"/>
          <w:kern w:val="0"/>
          <w:sz w:val="28"/>
          <w:szCs w:val="28"/>
        </w:rPr>
        <w:t xml:space="preserve"> </w:t>
      </w:r>
    </w:p>
    <w:p>
      <w:pPr>
        <w:pStyle w:val="22"/>
        <w:spacing w:line="360" w:lineRule="auto"/>
        <w:ind w:firstLine="560" w:firstLineChars="200"/>
        <w:rPr>
          <w:rFonts w:asciiTheme="minorEastAsia" w:hAnsiTheme="minorEastAsia" w:eastAsiaTheme="minorEastAsia" w:cstheme="minorEastAsia"/>
          <w:b/>
          <w:bCs/>
          <w:color w:val="auto"/>
          <w:sz w:val="28"/>
          <w:szCs w:val="28"/>
        </w:rPr>
      </w:pPr>
    </w:p>
    <w:p>
      <w:pPr>
        <w:pStyle w:val="22"/>
        <w:spacing w:line="360" w:lineRule="auto"/>
        <w:ind w:firstLine="560" w:firstLineChars="20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附件15</w:t>
      </w:r>
    </w:p>
    <w:p>
      <w:pPr>
        <w:pStyle w:val="3"/>
        <w:ind w:left="0" w:firstLine="560" w:firstLineChars="200"/>
        <w:jc w:val="center"/>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人员名单及工作岗位</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559"/>
        <w:gridCol w:w="1985"/>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17" w:type="dxa"/>
            <w:vAlign w:val="center"/>
          </w:tcPr>
          <w:p>
            <w:pPr>
              <w:pStyle w:val="31"/>
              <w:spacing w:line="360" w:lineRule="auto"/>
              <w:jc w:val="center"/>
              <w:rPr>
                <w:rFonts w:ascii="宋体" w:hAnsi="宋体" w:cs="宋体"/>
              </w:rPr>
            </w:pPr>
            <w:r>
              <w:rPr>
                <w:rFonts w:hint="eastAsia" w:ascii="宋体" w:hAnsi="宋体" w:cs="宋体"/>
              </w:rPr>
              <w:t>序号</w:t>
            </w:r>
          </w:p>
        </w:tc>
        <w:tc>
          <w:tcPr>
            <w:tcW w:w="1559" w:type="dxa"/>
            <w:vAlign w:val="center"/>
          </w:tcPr>
          <w:p>
            <w:pPr>
              <w:pStyle w:val="31"/>
              <w:spacing w:line="360" w:lineRule="auto"/>
              <w:jc w:val="center"/>
              <w:rPr>
                <w:rFonts w:ascii="宋体" w:hAnsi="宋体" w:cs="宋体"/>
              </w:rPr>
            </w:pPr>
            <w:r>
              <w:rPr>
                <w:rFonts w:hint="eastAsia" w:ascii="宋体" w:hAnsi="宋体" w:cs="宋体"/>
              </w:rPr>
              <w:t>姓名</w:t>
            </w:r>
          </w:p>
        </w:tc>
        <w:tc>
          <w:tcPr>
            <w:tcW w:w="1559" w:type="dxa"/>
            <w:vAlign w:val="center"/>
          </w:tcPr>
          <w:p>
            <w:pPr>
              <w:pStyle w:val="31"/>
              <w:spacing w:line="360" w:lineRule="auto"/>
              <w:jc w:val="center"/>
              <w:rPr>
                <w:rFonts w:ascii="宋体" w:hAnsi="宋体" w:cs="宋体"/>
              </w:rPr>
            </w:pPr>
            <w:r>
              <w:rPr>
                <w:rFonts w:hint="eastAsia" w:ascii="宋体" w:hAnsi="宋体" w:cs="宋体"/>
              </w:rPr>
              <w:t>性别</w:t>
            </w:r>
          </w:p>
        </w:tc>
        <w:tc>
          <w:tcPr>
            <w:tcW w:w="1985" w:type="dxa"/>
            <w:vAlign w:val="center"/>
          </w:tcPr>
          <w:p>
            <w:pPr>
              <w:pStyle w:val="31"/>
              <w:spacing w:line="360" w:lineRule="auto"/>
              <w:jc w:val="center"/>
              <w:rPr>
                <w:rFonts w:ascii="宋体" w:hAnsi="宋体" w:cs="宋体"/>
              </w:rPr>
            </w:pPr>
            <w:r>
              <w:rPr>
                <w:rFonts w:hint="eastAsia" w:ascii="宋体" w:hAnsi="宋体" w:cs="宋体"/>
              </w:rPr>
              <w:t>年龄</w:t>
            </w:r>
          </w:p>
        </w:tc>
        <w:tc>
          <w:tcPr>
            <w:tcW w:w="3119" w:type="dxa"/>
            <w:vAlign w:val="center"/>
          </w:tcPr>
          <w:p>
            <w:pPr>
              <w:pStyle w:val="31"/>
              <w:spacing w:line="360" w:lineRule="auto"/>
              <w:jc w:val="center"/>
              <w:rPr>
                <w:rFonts w:ascii="宋体" w:hAnsi="宋体" w:cs="宋体"/>
              </w:rPr>
            </w:pPr>
            <w:r>
              <w:rPr>
                <w:rFonts w:hint="eastAsia" w:ascii="宋体" w:hAnsi="宋体" w:cs="宋体"/>
              </w:rPr>
              <w:t>职务/工作岗位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17" w:type="dxa"/>
            <w:vAlign w:val="center"/>
          </w:tcPr>
          <w:p>
            <w:pPr>
              <w:pStyle w:val="31"/>
              <w:spacing w:line="360" w:lineRule="auto"/>
              <w:jc w:val="center"/>
              <w:rPr>
                <w:rFonts w:ascii="宋体" w:hAnsi="宋体" w:cs="宋体"/>
              </w:rPr>
            </w:pPr>
            <w:r>
              <w:rPr>
                <w:rFonts w:hint="eastAsia" w:ascii="宋体" w:hAnsi="宋体" w:cs="宋体"/>
              </w:rPr>
              <w:t>1</w:t>
            </w:r>
          </w:p>
        </w:tc>
        <w:tc>
          <w:tcPr>
            <w:tcW w:w="1559" w:type="dxa"/>
            <w:vAlign w:val="center"/>
          </w:tcPr>
          <w:p>
            <w:pPr>
              <w:pStyle w:val="31"/>
              <w:spacing w:line="360" w:lineRule="auto"/>
              <w:jc w:val="center"/>
              <w:rPr>
                <w:rFonts w:ascii="宋体" w:hAnsi="宋体" w:cs="宋体"/>
              </w:rPr>
            </w:pPr>
          </w:p>
        </w:tc>
        <w:tc>
          <w:tcPr>
            <w:tcW w:w="1559" w:type="dxa"/>
            <w:vAlign w:val="center"/>
          </w:tcPr>
          <w:p>
            <w:pPr>
              <w:pStyle w:val="31"/>
              <w:spacing w:line="360" w:lineRule="auto"/>
              <w:jc w:val="center"/>
              <w:rPr>
                <w:rFonts w:ascii="宋体" w:hAnsi="宋体" w:cs="宋体"/>
              </w:rPr>
            </w:pPr>
          </w:p>
        </w:tc>
        <w:tc>
          <w:tcPr>
            <w:tcW w:w="1985" w:type="dxa"/>
            <w:vAlign w:val="center"/>
          </w:tcPr>
          <w:p>
            <w:pPr>
              <w:pStyle w:val="31"/>
              <w:spacing w:line="360" w:lineRule="auto"/>
              <w:jc w:val="center"/>
              <w:rPr>
                <w:rFonts w:ascii="宋体" w:hAnsi="宋体" w:cs="宋体"/>
              </w:rPr>
            </w:pPr>
          </w:p>
        </w:tc>
        <w:tc>
          <w:tcPr>
            <w:tcW w:w="3119" w:type="dxa"/>
            <w:vAlign w:val="center"/>
          </w:tcPr>
          <w:p>
            <w:pPr>
              <w:pStyle w:val="31"/>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17" w:type="dxa"/>
            <w:vAlign w:val="center"/>
          </w:tcPr>
          <w:p>
            <w:pPr>
              <w:pStyle w:val="31"/>
              <w:spacing w:line="360" w:lineRule="auto"/>
              <w:jc w:val="center"/>
              <w:rPr>
                <w:rFonts w:ascii="宋体" w:hAnsi="宋体" w:cs="宋体"/>
              </w:rPr>
            </w:pPr>
            <w:r>
              <w:rPr>
                <w:rFonts w:hint="eastAsia" w:ascii="宋体" w:hAnsi="宋体" w:cs="宋体"/>
              </w:rPr>
              <w:t>2</w:t>
            </w:r>
          </w:p>
        </w:tc>
        <w:tc>
          <w:tcPr>
            <w:tcW w:w="1559" w:type="dxa"/>
            <w:vAlign w:val="center"/>
          </w:tcPr>
          <w:p>
            <w:pPr>
              <w:pStyle w:val="31"/>
              <w:spacing w:line="360" w:lineRule="auto"/>
              <w:jc w:val="center"/>
              <w:rPr>
                <w:rFonts w:ascii="宋体" w:hAnsi="宋体" w:cs="宋体"/>
              </w:rPr>
            </w:pPr>
          </w:p>
        </w:tc>
        <w:tc>
          <w:tcPr>
            <w:tcW w:w="1559" w:type="dxa"/>
            <w:vAlign w:val="center"/>
          </w:tcPr>
          <w:p>
            <w:pPr>
              <w:pStyle w:val="31"/>
              <w:spacing w:line="360" w:lineRule="auto"/>
              <w:jc w:val="center"/>
              <w:rPr>
                <w:rFonts w:ascii="宋体" w:hAnsi="宋体" w:cs="宋体"/>
              </w:rPr>
            </w:pPr>
          </w:p>
        </w:tc>
        <w:tc>
          <w:tcPr>
            <w:tcW w:w="1985" w:type="dxa"/>
            <w:vAlign w:val="center"/>
          </w:tcPr>
          <w:p>
            <w:pPr>
              <w:pStyle w:val="31"/>
              <w:spacing w:line="360" w:lineRule="auto"/>
              <w:jc w:val="center"/>
              <w:rPr>
                <w:rFonts w:ascii="宋体" w:hAnsi="宋体" w:cs="宋体"/>
              </w:rPr>
            </w:pPr>
          </w:p>
        </w:tc>
        <w:tc>
          <w:tcPr>
            <w:tcW w:w="3119" w:type="dxa"/>
            <w:vAlign w:val="center"/>
          </w:tcPr>
          <w:p>
            <w:pPr>
              <w:pStyle w:val="31"/>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17" w:type="dxa"/>
            <w:vAlign w:val="center"/>
          </w:tcPr>
          <w:p>
            <w:pPr>
              <w:pStyle w:val="31"/>
              <w:spacing w:line="360" w:lineRule="auto"/>
              <w:jc w:val="center"/>
              <w:rPr>
                <w:rFonts w:ascii="宋体" w:hAnsi="宋体" w:cs="宋体"/>
              </w:rPr>
            </w:pPr>
          </w:p>
        </w:tc>
        <w:tc>
          <w:tcPr>
            <w:tcW w:w="1559" w:type="dxa"/>
            <w:vAlign w:val="center"/>
          </w:tcPr>
          <w:p>
            <w:pPr>
              <w:pStyle w:val="31"/>
              <w:spacing w:line="360" w:lineRule="auto"/>
              <w:jc w:val="center"/>
              <w:rPr>
                <w:rFonts w:ascii="宋体" w:hAnsi="宋体" w:cs="宋体"/>
              </w:rPr>
            </w:pPr>
          </w:p>
        </w:tc>
        <w:tc>
          <w:tcPr>
            <w:tcW w:w="1559" w:type="dxa"/>
            <w:vAlign w:val="center"/>
          </w:tcPr>
          <w:p>
            <w:pPr>
              <w:pStyle w:val="31"/>
              <w:spacing w:line="360" w:lineRule="auto"/>
              <w:jc w:val="center"/>
              <w:rPr>
                <w:rFonts w:ascii="宋体" w:hAnsi="宋体" w:cs="宋体"/>
              </w:rPr>
            </w:pPr>
          </w:p>
        </w:tc>
        <w:tc>
          <w:tcPr>
            <w:tcW w:w="1985" w:type="dxa"/>
            <w:vAlign w:val="center"/>
          </w:tcPr>
          <w:p>
            <w:pPr>
              <w:pStyle w:val="31"/>
              <w:spacing w:line="360" w:lineRule="auto"/>
              <w:jc w:val="center"/>
              <w:rPr>
                <w:rFonts w:ascii="宋体" w:hAnsi="宋体" w:cs="宋体"/>
              </w:rPr>
            </w:pPr>
          </w:p>
        </w:tc>
        <w:tc>
          <w:tcPr>
            <w:tcW w:w="3119" w:type="dxa"/>
            <w:vAlign w:val="center"/>
          </w:tcPr>
          <w:p>
            <w:pPr>
              <w:pStyle w:val="31"/>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817" w:type="dxa"/>
            <w:vAlign w:val="center"/>
          </w:tcPr>
          <w:p>
            <w:pPr>
              <w:pStyle w:val="31"/>
              <w:spacing w:line="360" w:lineRule="auto"/>
              <w:jc w:val="center"/>
              <w:rPr>
                <w:rFonts w:ascii="宋体" w:hAnsi="宋体" w:cs="宋体"/>
              </w:rPr>
            </w:pPr>
            <w:r>
              <w:rPr>
                <w:rFonts w:hint="eastAsia" w:ascii="宋体" w:hAnsi="宋体" w:cs="宋体"/>
              </w:rPr>
              <w:t>...</w:t>
            </w:r>
          </w:p>
        </w:tc>
        <w:tc>
          <w:tcPr>
            <w:tcW w:w="1559" w:type="dxa"/>
            <w:vAlign w:val="center"/>
          </w:tcPr>
          <w:p>
            <w:pPr>
              <w:pStyle w:val="31"/>
              <w:spacing w:line="360" w:lineRule="auto"/>
              <w:jc w:val="center"/>
              <w:rPr>
                <w:rFonts w:ascii="宋体" w:hAnsi="宋体" w:cs="宋体"/>
              </w:rPr>
            </w:pPr>
          </w:p>
        </w:tc>
        <w:tc>
          <w:tcPr>
            <w:tcW w:w="1559" w:type="dxa"/>
            <w:vAlign w:val="center"/>
          </w:tcPr>
          <w:p>
            <w:pPr>
              <w:pStyle w:val="31"/>
              <w:spacing w:line="360" w:lineRule="auto"/>
              <w:jc w:val="center"/>
              <w:rPr>
                <w:rFonts w:ascii="宋体" w:hAnsi="宋体" w:cs="宋体"/>
              </w:rPr>
            </w:pPr>
          </w:p>
        </w:tc>
        <w:tc>
          <w:tcPr>
            <w:tcW w:w="1985" w:type="dxa"/>
            <w:vAlign w:val="center"/>
          </w:tcPr>
          <w:p>
            <w:pPr>
              <w:pStyle w:val="31"/>
              <w:spacing w:line="360" w:lineRule="auto"/>
              <w:jc w:val="center"/>
              <w:rPr>
                <w:rFonts w:ascii="宋体" w:hAnsi="宋体" w:cs="宋体"/>
              </w:rPr>
            </w:pPr>
          </w:p>
        </w:tc>
        <w:tc>
          <w:tcPr>
            <w:tcW w:w="3119" w:type="dxa"/>
            <w:vAlign w:val="center"/>
          </w:tcPr>
          <w:p>
            <w:pPr>
              <w:pStyle w:val="31"/>
              <w:spacing w:line="360" w:lineRule="auto"/>
              <w:jc w:val="center"/>
              <w:rPr>
                <w:rFonts w:ascii="宋体" w:hAnsi="宋体" w:cs="宋体"/>
              </w:rPr>
            </w:pPr>
          </w:p>
        </w:tc>
      </w:tr>
    </w:tbl>
    <w:p>
      <w:pPr>
        <w:spacing w:line="360" w:lineRule="auto"/>
      </w:pPr>
    </w:p>
    <w:sectPr>
      <w:footerReference r:id="rId4" w:type="first"/>
      <w:footerReference r:id="rId3" w:type="default"/>
      <w:pgSz w:w="11906" w:h="16838"/>
      <w:pgMar w:top="1440" w:right="1800" w:bottom="1020" w:left="1689" w:header="851" w:footer="851"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- 59 -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- 59 -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dashDotStroked" w:color="auto" w:sz="24" w:space="1"/>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fBbHGAQAAiwMAAA4AAABkcnMvZTJvRG9jLnhtbK1TzY7TMBC+I/EO&#10;lu/UTbeLIGq6AlWLkBAgLTyA69iNJf/J4zbpC8AbcOLCnefqc+zYSbuwXPbAxRnPjL+Z75vJ6maw&#10;hhxkBO1dQ6vZnBLphG+12zX065fbF68ogcRdy413sqFHCfRm/fzZqg+1XPjOm1ZGgiAO6j40tEsp&#10;1IyB6KTlMPNBOgwqHy1PeI071kbeI7o1bDGfv2S9j22IXkgA9G7GIJ0Q41MAvVJayI0XeytdGlGj&#10;NDwhJeh0ALou3SolRfqkFMhETEORaSonFkF7m0+2XvF6F3notJha4E9p4REny7XDoheoDU+c7KP+&#10;B8pqET14lWbCWzYSKYogi2r+SJu7jgdZuKDUEC6iw/+DFR8PnyPRbUMXlDhuceCnH99PP3+ffn0j&#10;iyxPH6DGrLuAeWl46wdcmrMf0JlZDyra/EU+BOMo7vEirhwSEflRtXx9dU2JwFB1VS2X1xmFPTwO&#10;EdI76S3JRkMjzq5Iyg8fII2p55Rcy/lbbUyZn3F/ORAze1jufOwwW2nYDhOdrW+PyKbHsTfU4ZZT&#10;Yt47VDVvyNmIZ2M7GbkGhDf7hIVLPxl1hJqK4YwKo2mf8hL8eS9ZD//Q+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5d8FscYBAACLAwAADgAAAAAAAAABACAAAAAfAQAAZHJzL2Uyb0RvYy54&#10;bWxQSwUGAAAAAAYABgBZAQAAV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mc:Fallback>
      </mc:AlternateContent>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AC7CD"/>
    <w:multiLevelType w:val="singleLevel"/>
    <w:tmpl w:val="95AAC7CD"/>
    <w:lvl w:ilvl="0" w:tentative="0">
      <w:start w:val="4"/>
      <w:numFmt w:val="decimal"/>
      <w:suff w:val="nothing"/>
      <w:lvlText w:val="%1、"/>
      <w:lvlJc w:val="left"/>
    </w:lvl>
  </w:abstractNum>
  <w:abstractNum w:abstractNumId="1">
    <w:nsid w:val="B9AF3D13"/>
    <w:multiLevelType w:val="singleLevel"/>
    <w:tmpl w:val="B9AF3D13"/>
    <w:lvl w:ilvl="0" w:tentative="0">
      <w:start w:val="1"/>
      <w:numFmt w:val="decimal"/>
      <w:suff w:val="space"/>
      <w:lvlText w:val="%1、"/>
      <w:lvlJc w:val="left"/>
    </w:lvl>
  </w:abstractNum>
  <w:abstractNum w:abstractNumId="2">
    <w:nsid w:val="00000002"/>
    <w:multiLevelType w:val="singleLevel"/>
    <w:tmpl w:val="00000002"/>
    <w:lvl w:ilvl="0" w:tentative="0">
      <w:start w:val="1"/>
      <w:numFmt w:val="upperLetter"/>
      <w:pStyle w:val="33"/>
      <w:lvlText w:val="%1."/>
      <w:lvlJc w:val="left"/>
      <w:pPr>
        <w:tabs>
          <w:tab w:val="left" w:pos="330"/>
        </w:tabs>
        <w:ind w:left="330" w:hanging="330"/>
      </w:pPr>
    </w:lvl>
  </w:abstractNum>
  <w:abstractNum w:abstractNumId="3">
    <w:nsid w:val="05FD5B66"/>
    <w:multiLevelType w:val="multilevel"/>
    <w:tmpl w:val="05FD5B66"/>
    <w:lvl w:ilvl="0" w:tentative="0">
      <w:start w:val="1"/>
      <w:numFmt w:val="upperLetter"/>
      <w:pStyle w:val="4"/>
      <w:lvlText w:val="%1."/>
      <w:lvlJc w:val="left"/>
      <w:pPr>
        <w:tabs>
          <w:tab w:val="left" w:pos="468"/>
        </w:tabs>
        <w:ind w:left="468" w:hanging="468"/>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360"/>
        </w:tabs>
        <w:ind w:left="3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129100B"/>
    <w:multiLevelType w:val="singleLevel"/>
    <w:tmpl w:val="4129100B"/>
    <w:lvl w:ilvl="0" w:tentative="0">
      <w:start w:val="1"/>
      <w:numFmt w:val="decimal"/>
      <w:suff w:val="nothing"/>
      <w:lvlText w:val="（%1）"/>
      <w:lvlJc w:val="left"/>
    </w:lvl>
  </w:abstractNum>
  <w:abstractNum w:abstractNumId="5">
    <w:nsid w:val="4E7F1824"/>
    <w:multiLevelType w:val="multilevel"/>
    <w:tmpl w:val="4E7F182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163C2DF"/>
    <w:multiLevelType w:val="singleLevel"/>
    <w:tmpl w:val="7163C2DF"/>
    <w:lvl w:ilvl="0" w:tentative="0">
      <w:start w:val="5"/>
      <w:numFmt w:val="chineseCounting"/>
      <w:suff w:val="space"/>
      <w:lvlText w:val="第%1部分"/>
      <w:lvlJc w:val="left"/>
      <w:rPr>
        <w:rFonts w:hint="eastAsia"/>
      </w:rPr>
    </w:lvl>
  </w:abstractNum>
  <w:num w:numId="1">
    <w:abstractNumId w:val="3"/>
  </w:num>
  <w:num w:numId="2">
    <w:abstractNumId w:val="2"/>
  </w:num>
  <w:num w:numId="3">
    <w:abstractNumId w:val="5"/>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JhOGUxYWYwY2NlMGJiNTM5YTFmOGIyMGE0M2IifQ=="/>
  </w:docVars>
  <w:rsids>
    <w:rsidRoot w:val="003D3C82"/>
    <w:rsid w:val="000526AC"/>
    <w:rsid w:val="00090051"/>
    <w:rsid w:val="000A3DB7"/>
    <w:rsid w:val="000F22FC"/>
    <w:rsid w:val="00125468"/>
    <w:rsid w:val="0015382F"/>
    <w:rsid w:val="001B61F6"/>
    <w:rsid w:val="0020077B"/>
    <w:rsid w:val="0020577A"/>
    <w:rsid w:val="00211B87"/>
    <w:rsid w:val="00224DB1"/>
    <w:rsid w:val="00251CE7"/>
    <w:rsid w:val="00260253"/>
    <w:rsid w:val="002871AC"/>
    <w:rsid w:val="002A030B"/>
    <w:rsid w:val="00302DDA"/>
    <w:rsid w:val="00313228"/>
    <w:rsid w:val="00321173"/>
    <w:rsid w:val="00373468"/>
    <w:rsid w:val="003A7563"/>
    <w:rsid w:val="003B46D6"/>
    <w:rsid w:val="003B4CF8"/>
    <w:rsid w:val="003C1DE5"/>
    <w:rsid w:val="003D3C82"/>
    <w:rsid w:val="003D6D10"/>
    <w:rsid w:val="00406377"/>
    <w:rsid w:val="00432480"/>
    <w:rsid w:val="00450F2E"/>
    <w:rsid w:val="004567BF"/>
    <w:rsid w:val="004A52D8"/>
    <w:rsid w:val="004D699D"/>
    <w:rsid w:val="00517539"/>
    <w:rsid w:val="005B5169"/>
    <w:rsid w:val="005C1383"/>
    <w:rsid w:val="005C519F"/>
    <w:rsid w:val="006016FF"/>
    <w:rsid w:val="006540B4"/>
    <w:rsid w:val="00676C9A"/>
    <w:rsid w:val="006E5241"/>
    <w:rsid w:val="007213B4"/>
    <w:rsid w:val="00725610"/>
    <w:rsid w:val="007349FC"/>
    <w:rsid w:val="00743988"/>
    <w:rsid w:val="00784130"/>
    <w:rsid w:val="008346B7"/>
    <w:rsid w:val="00850025"/>
    <w:rsid w:val="008651CE"/>
    <w:rsid w:val="00907A20"/>
    <w:rsid w:val="00A12653"/>
    <w:rsid w:val="00A4276D"/>
    <w:rsid w:val="00A42D93"/>
    <w:rsid w:val="00A932D5"/>
    <w:rsid w:val="00B03460"/>
    <w:rsid w:val="00B10645"/>
    <w:rsid w:val="00B17015"/>
    <w:rsid w:val="00B336A5"/>
    <w:rsid w:val="00B64E7C"/>
    <w:rsid w:val="00BA30D1"/>
    <w:rsid w:val="00BA6FFC"/>
    <w:rsid w:val="00BA7ABB"/>
    <w:rsid w:val="00BE38CF"/>
    <w:rsid w:val="00BE51D3"/>
    <w:rsid w:val="00C07F52"/>
    <w:rsid w:val="00C23BF6"/>
    <w:rsid w:val="00C30C2E"/>
    <w:rsid w:val="00C73BB8"/>
    <w:rsid w:val="00CB0464"/>
    <w:rsid w:val="00CC3086"/>
    <w:rsid w:val="00CE02A9"/>
    <w:rsid w:val="00D02B28"/>
    <w:rsid w:val="00D16414"/>
    <w:rsid w:val="00D3449A"/>
    <w:rsid w:val="00D42461"/>
    <w:rsid w:val="00DA6F53"/>
    <w:rsid w:val="00DC766A"/>
    <w:rsid w:val="00DF4F7F"/>
    <w:rsid w:val="00DF518E"/>
    <w:rsid w:val="00E1030A"/>
    <w:rsid w:val="00E22C5D"/>
    <w:rsid w:val="00E31248"/>
    <w:rsid w:val="00E4768E"/>
    <w:rsid w:val="00E95E57"/>
    <w:rsid w:val="00EC43BA"/>
    <w:rsid w:val="00F01D11"/>
    <w:rsid w:val="00FB46D7"/>
    <w:rsid w:val="00FC40D6"/>
    <w:rsid w:val="04FF1261"/>
    <w:rsid w:val="08774BDA"/>
    <w:rsid w:val="08E42771"/>
    <w:rsid w:val="19817246"/>
    <w:rsid w:val="1B040BA5"/>
    <w:rsid w:val="22845011"/>
    <w:rsid w:val="265439AD"/>
    <w:rsid w:val="27DF24DC"/>
    <w:rsid w:val="2D4D226C"/>
    <w:rsid w:val="2D7807C2"/>
    <w:rsid w:val="39575490"/>
    <w:rsid w:val="3AE41114"/>
    <w:rsid w:val="3B076A69"/>
    <w:rsid w:val="3C6E609E"/>
    <w:rsid w:val="47A9596B"/>
    <w:rsid w:val="49D746C2"/>
    <w:rsid w:val="54A20958"/>
    <w:rsid w:val="564D305A"/>
    <w:rsid w:val="5A110BE4"/>
    <w:rsid w:val="5BF53387"/>
    <w:rsid w:val="5DF51313"/>
    <w:rsid w:val="607E1ECA"/>
    <w:rsid w:val="6CE46821"/>
    <w:rsid w:val="6D00042F"/>
    <w:rsid w:val="6EF07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4"/>
    <w:autoRedefine/>
    <w:qFormat/>
    <w:uiPriority w:val="0"/>
    <w:pPr>
      <w:keepNext/>
      <w:jc w:val="center"/>
      <w:outlineLvl w:val="0"/>
    </w:pPr>
    <w:rPr>
      <w:rFonts w:ascii="仿宋_GB2312" w:eastAsia="仿宋_GB2312"/>
      <w:kern w:val="0"/>
      <w:sz w:val="28"/>
    </w:rPr>
  </w:style>
  <w:style w:type="paragraph" w:styleId="3">
    <w:name w:val="heading 2"/>
    <w:basedOn w:val="1"/>
    <w:next w:val="1"/>
    <w:autoRedefine/>
    <w:qFormat/>
    <w:uiPriority w:val="0"/>
    <w:pPr>
      <w:keepNext/>
      <w:tabs>
        <w:tab w:val="left" w:pos="420"/>
      </w:tabs>
      <w:spacing w:line="360" w:lineRule="auto"/>
      <w:ind w:left="330" w:hanging="330"/>
      <w:outlineLvl w:val="1"/>
    </w:pPr>
    <w:rPr>
      <w:b/>
      <w:kern w:val="0"/>
      <w:sz w:val="24"/>
      <w:szCs w:val="24"/>
    </w:rPr>
  </w:style>
  <w:style w:type="paragraph" w:styleId="4">
    <w:name w:val="heading 3"/>
    <w:basedOn w:val="1"/>
    <w:next w:val="1"/>
    <w:autoRedefine/>
    <w:qFormat/>
    <w:uiPriority w:val="0"/>
    <w:pPr>
      <w:keepNext/>
      <w:numPr>
        <w:ilvl w:val="0"/>
        <w:numId w:val="1"/>
      </w:numPr>
      <w:outlineLvl w:val="2"/>
    </w:pPr>
    <w:rPr>
      <w:bCs/>
      <w:sz w:val="28"/>
      <w:szCs w:val="24"/>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oa heading"/>
    <w:basedOn w:val="1"/>
    <w:next w:val="1"/>
    <w:autoRedefine/>
    <w:qFormat/>
    <w:uiPriority w:val="0"/>
    <w:pPr>
      <w:spacing w:before="120"/>
    </w:pPr>
    <w:rPr>
      <w:rFonts w:ascii="Cambria" w:hAnsi="Cambria"/>
      <w:sz w:val="24"/>
    </w:rPr>
  </w:style>
  <w:style w:type="paragraph" w:styleId="6">
    <w:name w:val="Body Text"/>
    <w:basedOn w:val="1"/>
    <w:next w:val="1"/>
    <w:autoRedefine/>
    <w:qFormat/>
    <w:uiPriority w:val="0"/>
    <w:pPr>
      <w:spacing w:after="120"/>
    </w:pPr>
  </w:style>
  <w:style w:type="paragraph" w:styleId="7">
    <w:name w:val="Body Text Indent"/>
    <w:basedOn w:val="1"/>
    <w:autoRedefine/>
    <w:qFormat/>
    <w:uiPriority w:val="0"/>
    <w:pPr>
      <w:spacing w:line="800" w:lineRule="exact"/>
      <w:ind w:left="315" w:leftChars="150" w:firstLine="664" w:firstLineChars="237"/>
    </w:pPr>
    <w:rPr>
      <w:rFonts w:ascii="仿宋_GB2312" w:eastAsia="仿宋_GB2312"/>
      <w:sz w:val="28"/>
    </w:rPr>
  </w:style>
  <w:style w:type="paragraph" w:styleId="8">
    <w:name w:val="Plain Text"/>
    <w:basedOn w:val="1"/>
    <w:autoRedefine/>
    <w:qFormat/>
    <w:uiPriority w:val="0"/>
    <w:rPr>
      <w:rFonts w:ascii="宋体" w:hAnsi="宋体"/>
    </w:rPr>
  </w:style>
  <w:style w:type="paragraph" w:styleId="9">
    <w:name w:val="Balloon Text"/>
    <w:basedOn w:val="1"/>
    <w:link w:val="38"/>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2">
    <w:name w:val="footnote text"/>
    <w:basedOn w:val="1"/>
    <w:autoRedefine/>
    <w:qFormat/>
    <w:uiPriority w:val="0"/>
    <w:pPr>
      <w:snapToGrid w:val="0"/>
      <w:spacing w:line="312" w:lineRule="atLeast"/>
    </w:pPr>
    <w:rPr>
      <w:sz w:val="18"/>
      <w:szCs w:val="18"/>
    </w:rPr>
  </w:style>
  <w:style w:type="paragraph" w:styleId="13">
    <w:name w:val="Normal (Web)"/>
    <w:basedOn w:val="1"/>
    <w:autoRedefine/>
    <w:qFormat/>
    <w:uiPriority w:val="0"/>
    <w:pPr>
      <w:widowControl/>
      <w:jc w:val="left"/>
    </w:pPr>
    <w:rPr>
      <w:rFonts w:ascii="宋体" w:hAnsi="宋体" w:cs="宋体"/>
      <w:kern w:val="0"/>
      <w:sz w:val="24"/>
      <w:szCs w:val="24"/>
    </w:rPr>
  </w:style>
  <w:style w:type="paragraph" w:styleId="14">
    <w:name w:val="Body Text First Indent"/>
    <w:basedOn w:val="6"/>
    <w:autoRedefine/>
    <w:qFormat/>
    <w:uiPriority w:val="0"/>
    <w:pPr>
      <w:ind w:firstLine="420" w:firstLineChars="100"/>
    </w:pPr>
  </w:style>
  <w:style w:type="paragraph" w:styleId="15">
    <w:name w:val="Body Text First Indent 2"/>
    <w:basedOn w:val="7"/>
    <w:autoRedefine/>
    <w:qFormat/>
    <w:uiPriority w:val="0"/>
    <w:pPr>
      <w:spacing w:after="120"/>
      <w:ind w:left="420" w:leftChars="200" w:firstLine="420" w:firstLineChars="200"/>
    </w:pPr>
  </w:style>
  <w:style w:type="table" w:styleId="17">
    <w:name w:val="Table Grid"/>
    <w:basedOn w:val="16"/>
    <w:autoRedefine/>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bCs/>
    </w:rPr>
  </w:style>
  <w:style w:type="character" w:styleId="20">
    <w:name w:val="Hyperlink"/>
    <w:qFormat/>
    <w:uiPriority w:val="0"/>
    <w:rPr>
      <w:color w:val="0000FF"/>
      <w:u w:val="single"/>
    </w:rPr>
  </w:style>
  <w:style w:type="character" w:styleId="21">
    <w:name w:val="HTML Sample"/>
    <w:basedOn w:val="18"/>
    <w:autoRedefine/>
    <w:qFormat/>
    <w:uiPriority w:val="0"/>
    <w:rPr>
      <w:rFonts w:ascii="Courier New" w:hAnsi="Courier New"/>
    </w:rPr>
  </w:style>
  <w:style w:type="paragraph" w:customStyle="1" w:styleId="22">
    <w:name w:val="Default Text"/>
    <w:basedOn w:val="23"/>
    <w:autoRedefine/>
    <w:qFormat/>
    <w:uiPriority w:val="0"/>
    <w:pPr>
      <w:autoSpaceDE w:val="0"/>
      <w:autoSpaceDN w:val="0"/>
      <w:adjustRightInd w:val="0"/>
    </w:pPr>
    <w:rPr>
      <w:color w:val="000000"/>
      <w:sz w:val="24"/>
    </w:rPr>
  </w:style>
  <w:style w:type="paragraph" w:customStyle="1" w:styleId="23">
    <w:name w:val="正文_0"/>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24">
    <w:name w:val="标题 1 Char"/>
    <w:link w:val="2"/>
    <w:autoRedefine/>
    <w:qFormat/>
    <w:uiPriority w:val="0"/>
    <w:rPr>
      <w:rFonts w:ascii="仿宋_GB2312" w:eastAsia="仿宋_GB2312"/>
      <w:kern w:val="0"/>
      <w:sz w:val="28"/>
    </w:rPr>
  </w:style>
  <w:style w:type="paragraph" w:customStyle="1" w:styleId="25">
    <w:name w:val="Table Paragraph"/>
    <w:basedOn w:val="1"/>
    <w:autoRedefine/>
    <w:qFormat/>
    <w:uiPriority w:val="1"/>
    <w:pPr>
      <w:autoSpaceDE w:val="0"/>
      <w:autoSpaceDN w:val="0"/>
      <w:jc w:val="left"/>
    </w:pPr>
    <w:rPr>
      <w:rFonts w:ascii="仿宋" w:hAnsi="仿宋" w:eastAsia="仿宋" w:cs="仿宋"/>
      <w:kern w:val="0"/>
      <w:sz w:val="22"/>
      <w:lang w:val="zh-CN" w:bidi="zh-CN"/>
    </w:rPr>
  </w:style>
  <w:style w:type="character" w:customStyle="1" w:styleId="26">
    <w:name w:val="case31"/>
    <w:autoRedefine/>
    <w:qFormat/>
    <w:uiPriority w:val="0"/>
    <w:rPr>
      <w:rFonts w:ascii="ˎ̥" w:hAnsi="ˎ̥"/>
      <w:sz w:val="21"/>
      <w:szCs w:val="21"/>
    </w:rPr>
  </w:style>
  <w:style w:type="paragraph" w:customStyle="1" w:styleId="27">
    <w:name w:val="【正文】"/>
    <w:basedOn w:val="1"/>
    <w:autoRedefine/>
    <w:qFormat/>
    <w:uiPriority w:val="0"/>
    <w:pPr>
      <w:spacing w:line="360" w:lineRule="auto"/>
      <w:ind w:firstLine="200" w:firstLineChars="200"/>
    </w:pPr>
    <w:rPr>
      <w:rFonts w:cs="黑体"/>
      <w:sz w:val="24"/>
    </w:rPr>
  </w:style>
  <w:style w:type="paragraph" w:customStyle="1" w:styleId="28">
    <w:name w:val="正文缩进_0"/>
    <w:basedOn w:val="23"/>
    <w:autoRedefine/>
    <w:unhideWhenUsed/>
    <w:qFormat/>
    <w:uiPriority w:val="0"/>
    <w:pPr>
      <w:ind w:firstLine="420" w:firstLineChars="200"/>
    </w:pPr>
    <w:rPr>
      <w:szCs w:val="22"/>
    </w:rPr>
  </w:style>
  <w:style w:type="paragraph" w:customStyle="1" w:styleId="29">
    <w:name w:val="标题 3_0_0"/>
    <w:basedOn w:val="30"/>
    <w:next w:val="30"/>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kern w:val="0"/>
      <w:sz w:val="28"/>
      <w:szCs w:val="28"/>
    </w:rPr>
  </w:style>
  <w:style w:type="paragraph" w:customStyle="1" w:styleId="30">
    <w:name w:val="正文_1_0"/>
    <w:autoRedefine/>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 w:type="paragraph" w:customStyle="1" w:styleId="31">
    <w:name w:val="È±Ê¡ÎÄ±¾"/>
    <w:basedOn w:val="1"/>
    <w:autoRedefine/>
    <w:qFormat/>
    <w:uiPriority w:val="0"/>
    <w:pPr>
      <w:widowControl/>
      <w:overflowPunct w:val="0"/>
      <w:autoSpaceDE w:val="0"/>
      <w:autoSpaceDN w:val="0"/>
      <w:adjustRightInd w:val="0"/>
      <w:jc w:val="left"/>
    </w:pPr>
    <w:rPr>
      <w:kern w:val="0"/>
      <w:sz w:val="24"/>
    </w:rPr>
  </w:style>
  <w:style w:type="paragraph" w:customStyle="1" w:styleId="32">
    <w:name w:val="正文1"/>
    <w:basedOn w:val="33"/>
    <w:autoRedefine/>
    <w:qFormat/>
    <w:uiPriority w:val="0"/>
    <w:pPr>
      <w:tabs>
        <w:tab w:val="left" w:pos="425"/>
      </w:tabs>
    </w:pPr>
    <w:rPr>
      <w:rFonts w:ascii="Times New Roman" w:eastAsia="Times New Roman"/>
    </w:rPr>
  </w:style>
  <w:style w:type="paragraph" w:customStyle="1" w:styleId="33">
    <w:name w:val="样式1"/>
    <w:basedOn w:val="1"/>
    <w:autoRedefine/>
    <w:qFormat/>
    <w:uiPriority w:val="0"/>
    <w:pPr>
      <w:numPr>
        <w:ilvl w:val="0"/>
        <w:numId w:val="2"/>
      </w:numPr>
      <w:tabs>
        <w:tab w:val="left" w:pos="425"/>
        <w:tab w:val="clear" w:pos="330"/>
      </w:tabs>
      <w:adjustRightInd w:val="0"/>
      <w:spacing w:line="480" w:lineRule="exact"/>
      <w:textAlignment w:val="baseline"/>
    </w:pPr>
    <w:rPr>
      <w:rFonts w:ascii="宋体"/>
      <w:b/>
      <w:color w:val="0000FF"/>
      <w:spacing w:val="4"/>
      <w:kern w:val="0"/>
      <w:sz w:val="24"/>
    </w:rPr>
  </w:style>
  <w:style w:type="paragraph" w:customStyle="1" w:styleId="34">
    <w:name w:val="Normal_0"/>
    <w:autoRedefine/>
    <w:qFormat/>
    <w:uiPriority w:val="0"/>
    <w:rPr>
      <w:rFonts w:ascii="Calibri" w:hAnsi="Calibri" w:eastAsia="Times New Roman" w:cs="Times New Roman"/>
      <w:sz w:val="24"/>
      <w:szCs w:val="24"/>
      <w:lang w:val="en-US" w:eastAsia="zh-CN" w:bidi="ar-SA"/>
    </w:rPr>
  </w:style>
  <w:style w:type="paragraph" w:customStyle="1" w:styleId="35">
    <w:name w:val="Body Text First Indent 21"/>
    <w:basedOn w:val="36"/>
    <w:autoRedefine/>
    <w:qFormat/>
    <w:uiPriority w:val="99"/>
    <w:pPr>
      <w:ind w:firstLine="420"/>
    </w:pPr>
  </w:style>
  <w:style w:type="paragraph" w:customStyle="1" w:styleId="36">
    <w:name w:val="Body Text Indent1"/>
    <w:basedOn w:val="1"/>
    <w:autoRedefine/>
    <w:qFormat/>
    <w:uiPriority w:val="99"/>
    <w:pPr>
      <w:ind w:left="420" w:leftChars="200"/>
    </w:pPr>
  </w:style>
  <w:style w:type="paragraph" w:styleId="37">
    <w:name w:val="List Paragraph"/>
    <w:basedOn w:val="1"/>
    <w:autoRedefine/>
    <w:unhideWhenUsed/>
    <w:qFormat/>
    <w:uiPriority w:val="99"/>
    <w:pPr>
      <w:ind w:firstLine="420" w:firstLineChars="200"/>
    </w:pPr>
  </w:style>
  <w:style w:type="character" w:customStyle="1" w:styleId="38">
    <w:name w:val="批注框文本 Char"/>
    <w:basedOn w:val="18"/>
    <w:link w:val="9"/>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630B60-E817-41B9-B1AA-2ABC955A2D51}">
  <ds:schemaRefs/>
</ds:datastoreItem>
</file>

<file path=docProps/app.xml><?xml version="1.0" encoding="utf-8"?>
<Properties xmlns="http://schemas.openxmlformats.org/officeDocument/2006/extended-properties" xmlns:vt="http://schemas.openxmlformats.org/officeDocument/2006/docPropsVTypes">
  <Template>Normal.dotm</Template>
  <Company>Bing Lan Electronic Technology</Company>
  <Pages>59</Pages>
  <Words>3643</Words>
  <Characters>20767</Characters>
  <Lines>173</Lines>
  <Paragraphs>48</Paragraphs>
  <TotalTime>0</TotalTime>
  <ScaleCrop>false</ScaleCrop>
  <LinksUpToDate>false</LinksUpToDate>
  <CharactersWithSpaces>24362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2023-08-28T09:28:00Z</dcterms:created>
  <dc:creator>aCER</dc:creator>
  <cp:lastModifiedBy>happy every day</cp:lastModifiedBy>
  <cp:lastPrinted>2024-03-11T04:10:00Z</cp:lastPrinted>
  <dcterms:modified xsi:type="dcterms:W3CDTF">2024-03-20T04:23:13Z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79FBFD6959E442519FD997BED7F6BE19_12</vt:lpwstr>
  </property>
</Properties>
</file>