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144"/>
          <w:szCs w:val="72"/>
          <w:highlight w:val="none"/>
        </w:rPr>
      </w:pPr>
      <w:r>
        <w:rPr>
          <w:rFonts w:hint="eastAsia" w:ascii="宋体" w:cs="宋体"/>
          <w:highlight w:val="none"/>
        </w:rPr>
        <w:t xml:space="preserve"> </w:t>
      </w:r>
      <w:r>
        <w:rPr>
          <w:rFonts w:ascii="宋体" w:cs="宋体"/>
          <w:highlight w:val="none"/>
        </w:rPr>
        <w:t xml:space="preserve"> </w:t>
      </w:r>
    </w:p>
    <w:p>
      <w:pPr>
        <w:pStyle w:val="16"/>
        <w:ind w:left="420" w:hanging="420"/>
        <w:jc w:val="center"/>
        <w:rPr>
          <w:rFonts w:hint="eastAsia" w:ascii="宋体" w:hAnsi="宋体" w:cs="宋体"/>
        </w:rPr>
      </w:pPr>
      <w:r>
        <w:rPr>
          <w:rFonts w:hint="eastAsia" w:ascii="宋体" w:hAnsi="宋体" w:cs="宋体"/>
          <w:b/>
          <w:bCs/>
          <w:color w:val="auto"/>
          <w:sz w:val="52"/>
          <w:szCs w:val="52"/>
          <w:lang w:val="en-US" w:eastAsia="zh-CN"/>
        </w:rPr>
        <w:t>苇子峡乡林业管护社会化服务</w:t>
      </w:r>
    </w:p>
    <w:p>
      <w:pPr>
        <w:pStyle w:val="24"/>
        <w:keepNext/>
        <w:jc w:val="center"/>
        <w:rPr>
          <w:rFonts w:hint="eastAsia" w:hAnsi="宋体" w:cs="宋体"/>
          <w:b/>
          <w:sz w:val="36"/>
          <w:szCs w:val="22"/>
        </w:rPr>
      </w:pPr>
      <w:r>
        <w:rPr>
          <w:rFonts w:hint="eastAsia" w:hAnsi="宋体" w:cs="宋体"/>
          <w:b/>
          <w:sz w:val="96"/>
          <w:szCs w:val="96"/>
          <w:lang w:eastAsia="zh-CN"/>
        </w:rPr>
        <w:t>招标</w:t>
      </w:r>
      <w:r>
        <w:rPr>
          <w:rFonts w:hint="eastAsia" w:hAnsi="宋体" w:cs="宋体"/>
          <w:b/>
          <w:sz w:val="96"/>
          <w:szCs w:val="96"/>
        </w:rPr>
        <w:t>文件</w:t>
      </w:r>
    </w:p>
    <w:p>
      <w:pPr>
        <w:pStyle w:val="24"/>
        <w:keepNext/>
        <w:jc w:val="center"/>
        <w:rPr>
          <w:rFonts w:hint="eastAsia" w:hAnsi="宋体" w:cs="宋体"/>
          <w:b/>
          <w:sz w:val="52"/>
          <w:szCs w:val="52"/>
          <w:u w:val="single"/>
        </w:rPr>
      </w:pPr>
      <w:r>
        <w:rPr>
          <w:rFonts w:hint="eastAsia" w:hAnsi="宋体" w:cs="宋体"/>
          <w:b/>
          <w:sz w:val="52"/>
          <w:szCs w:val="52"/>
          <w:u w:val="single"/>
        </w:rPr>
        <w:t>（全过程电子化评标）</w:t>
      </w:r>
    </w:p>
    <w:p>
      <w:pPr>
        <w:pStyle w:val="24"/>
        <w:keepNext/>
        <w:rPr>
          <w:rFonts w:hint="eastAsia" w:hAnsi="宋体" w:cs="宋体"/>
          <w:b/>
          <w:sz w:val="32"/>
          <w:u w:val="single"/>
        </w:rPr>
      </w:pPr>
    </w:p>
    <w:p>
      <w:pPr>
        <w:pStyle w:val="24"/>
        <w:keepNext/>
        <w:rPr>
          <w:rFonts w:hint="eastAsia" w:hAnsi="宋体" w:cs="宋体"/>
          <w:sz w:val="28"/>
          <w:szCs w:val="28"/>
          <w:u w:val="single"/>
        </w:rPr>
      </w:pPr>
    </w:p>
    <w:p>
      <w:pPr>
        <w:spacing w:line="500" w:lineRule="exact"/>
        <w:ind w:left="1400" w:hanging="1400" w:hangingChars="500"/>
        <w:jc w:val="left"/>
        <w:rPr>
          <w:rFonts w:hint="eastAsia" w:ascii="宋体" w:hAnsi="宋体" w:cs="宋体"/>
          <w:sz w:val="28"/>
          <w:szCs w:val="28"/>
          <w:u w:val="single"/>
        </w:rPr>
      </w:pPr>
      <w:r>
        <w:rPr>
          <w:rFonts w:hint="eastAsia" w:ascii="宋体" w:hAnsi="宋体" w:cs="宋体"/>
          <w:sz w:val="28"/>
          <w:szCs w:val="28"/>
        </w:rPr>
        <w:t xml:space="preserve">     </w:t>
      </w:r>
    </w:p>
    <w:p>
      <w:pPr>
        <w:spacing w:line="800" w:lineRule="exact"/>
        <w:ind w:left="2251" w:hanging="2251" w:hangingChars="804"/>
        <w:rPr>
          <w:rFonts w:hint="default" w:ascii="宋体" w:hAnsi="宋体" w:cs="宋体"/>
          <w:sz w:val="28"/>
          <w:szCs w:val="28"/>
          <w:lang w:val="en-US" w:eastAsia="zh-CN"/>
        </w:rPr>
      </w:pPr>
      <w:r>
        <w:rPr>
          <w:rFonts w:hint="eastAsia" w:ascii="宋体" w:hAnsi="宋体" w:cs="宋体"/>
          <w:sz w:val="28"/>
          <w:szCs w:val="28"/>
        </w:rPr>
        <w:t>项目编号：</w:t>
      </w:r>
      <w:r>
        <w:rPr>
          <w:rFonts w:hint="eastAsia" w:ascii="宋体" w:hAnsi="宋体" w:cs="宋体"/>
          <w:sz w:val="28"/>
          <w:szCs w:val="28"/>
          <w:lang w:val="en-US" w:eastAsia="zh-CN"/>
        </w:rPr>
        <w:t>TCBY2024-07</w:t>
      </w:r>
    </w:p>
    <w:p>
      <w:pPr>
        <w:spacing w:line="800" w:lineRule="exact"/>
        <w:ind w:left="2251" w:hanging="2251" w:hangingChars="804"/>
        <w:rPr>
          <w:rFonts w:hint="eastAsia" w:ascii="宋体" w:hAnsi="宋体" w:cs="宋体"/>
          <w:sz w:val="28"/>
          <w:szCs w:val="28"/>
          <w:u w:val="single"/>
        </w:rPr>
      </w:pPr>
      <w:r>
        <w:rPr>
          <w:rFonts w:hint="eastAsia" w:ascii="宋体" w:hAnsi="宋体" w:cs="宋体"/>
          <w:sz w:val="28"/>
          <w:szCs w:val="28"/>
        </w:rPr>
        <w:t>采购单位：</w:t>
      </w:r>
      <w:r>
        <w:rPr>
          <w:rFonts w:hint="eastAsia" w:ascii="宋体" w:hAnsi="宋体" w:eastAsia="宋体" w:cs="宋体"/>
          <w:sz w:val="28"/>
          <w:szCs w:val="28"/>
          <w:lang w:val="en-US" w:eastAsia="zh-CN"/>
        </w:rPr>
        <w:t>伊吾县</w:t>
      </w:r>
      <w:r>
        <w:rPr>
          <w:rFonts w:hint="eastAsia" w:ascii="宋体" w:hAnsi="宋体" w:cs="宋体"/>
          <w:sz w:val="28"/>
          <w:szCs w:val="28"/>
          <w:lang w:val="en-US" w:eastAsia="zh-CN"/>
        </w:rPr>
        <w:t>苇子峡乡</w:t>
      </w:r>
      <w:r>
        <w:rPr>
          <w:rFonts w:hint="eastAsia" w:ascii="宋体" w:hAnsi="宋体" w:eastAsia="宋体" w:cs="宋体"/>
          <w:sz w:val="28"/>
          <w:szCs w:val="28"/>
          <w:lang w:val="en-US" w:eastAsia="zh-CN"/>
        </w:rPr>
        <w:t>人民政府</w:t>
      </w:r>
      <w:r>
        <w:rPr>
          <w:rFonts w:hint="eastAsia" w:ascii="宋体" w:hAnsi="宋体" w:eastAsia="宋体" w:cs="宋体"/>
          <w:sz w:val="28"/>
          <w:szCs w:val="28"/>
          <w:lang w:val="zh-CN"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rPr>
        <w:t xml:space="preserve">                    </w:t>
      </w:r>
    </w:p>
    <w:p>
      <w:pPr>
        <w:spacing w:line="800" w:lineRule="exact"/>
        <w:ind w:left="2251" w:hanging="2251" w:hangingChars="804"/>
        <w:rPr>
          <w:rFonts w:hint="eastAsia" w:ascii="宋体" w:hAnsi="宋体" w:cs="宋体"/>
          <w:sz w:val="28"/>
          <w:szCs w:val="28"/>
        </w:rPr>
      </w:pPr>
      <w:r>
        <w:rPr>
          <w:rFonts w:hint="eastAsia" w:ascii="宋体" w:hAnsi="宋体" w:cs="宋体"/>
          <w:sz w:val="28"/>
          <w:szCs w:val="28"/>
        </w:rPr>
        <w:t xml:space="preserve">采购代理机构：新疆同创博远项目管理咨询有限责任公司                 </w:t>
      </w:r>
    </w:p>
    <w:p>
      <w:pPr>
        <w:spacing w:line="800" w:lineRule="exact"/>
        <w:ind w:left="2251" w:hanging="2251" w:hangingChars="804"/>
        <w:rPr>
          <w:rFonts w:hint="eastAsia" w:ascii="宋体" w:hAnsi="宋体" w:eastAsia="宋体" w:cs="宋体"/>
          <w:sz w:val="28"/>
          <w:szCs w:val="28"/>
          <w:lang w:val="en-US" w:eastAsia="zh-CN"/>
        </w:rPr>
      </w:pPr>
      <w:r>
        <w:rPr>
          <w:rFonts w:hint="eastAsia" w:ascii="宋体" w:hAnsi="宋体" w:cs="宋体"/>
          <w:sz w:val="28"/>
          <w:szCs w:val="28"/>
          <w:lang w:val="zh-CN"/>
        </w:rPr>
        <w:t>日期：</w:t>
      </w:r>
      <w:r>
        <w:rPr>
          <w:rFonts w:hint="eastAsia" w:ascii="宋体" w:hAnsi="宋体" w:cs="宋体"/>
          <w:sz w:val="28"/>
          <w:szCs w:val="28"/>
        </w:rPr>
        <w:t>202</w:t>
      </w:r>
      <w:r>
        <w:rPr>
          <w:rFonts w:hint="eastAsia" w:ascii="宋体" w:hAnsi="宋体" w:cs="宋体"/>
          <w:sz w:val="28"/>
          <w:szCs w:val="28"/>
          <w:lang w:val="en-US" w:eastAsia="zh-CN"/>
        </w:rPr>
        <w:t>4</w:t>
      </w:r>
      <w:r>
        <w:rPr>
          <w:rFonts w:hint="eastAsia" w:ascii="宋体" w:hAnsi="宋体" w:cs="宋体"/>
          <w:sz w:val="28"/>
          <w:szCs w:val="28"/>
        </w:rPr>
        <w:t>年</w:t>
      </w:r>
      <w:r>
        <w:rPr>
          <w:rFonts w:hint="eastAsia" w:ascii="宋体" w:hAnsi="宋体" w:cs="宋体"/>
          <w:sz w:val="28"/>
          <w:szCs w:val="28"/>
          <w:lang w:val="en-US" w:eastAsia="zh-CN"/>
        </w:rPr>
        <w:t>3</w:t>
      </w:r>
      <w:r>
        <w:rPr>
          <w:rFonts w:hint="eastAsia" w:ascii="宋体" w:hAnsi="宋体" w:cs="宋体"/>
          <w:sz w:val="28"/>
          <w:szCs w:val="28"/>
        </w:rPr>
        <w:t xml:space="preserve">月 </w:t>
      </w:r>
      <w:r>
        <w:rPr>
          <w:rFonts w:hint="eastAsia" w:ascii="宋体" w:hAnsi="宋体" w:cs="宋体"/>
          <w:sz w:val="28"/>
          <w:szCs w:val="28"/>
          <w:lang w:val="en-US" w:eastAsia="zh-CN"/>
        </w:rPr>
        <w:t>7日</w:t>
      </w:r>
    </w:p>
    <w:p>
      <w:pPr>
        <w:rPr>
          <w:rFonts w:hint="eastAsia" w:ascii="宋体" w:hAnsi="宋体" w:cs="宋体"/>
        </w:rPr>
      </w:pPr>
    </w:p>
    <w:p>
      <w:pPr>
        <w:rPr>
          <w:rFonts w:hint="eastAsia" w:ascii="宋体" w:hAnsi="宋体" w:cs="宋体"/>
          <w:highlight w:val="cyan"/>
        </w:rPr>
      </w:pPr>
      <w:bookmarkStart w:id="0" w:name="EB97aba6455570434e9ad5cf401cdecacc"/>
      <w:r>
        <w:rPr>
          <w:rFonts w:hint="eastAsia" w:ascii="宋体" w:hAnsi="宋体" w:cs="宋体"/>
          <w:color w:val="000080"/>
          <w:sz w:val="20"/>
          <w:highlight w:val="white"/>
        </w:rPr>
        <w:t xml:space="preserve"> </w:t>
      </w:r>
      <w:bookmarkEnd w:id="0"/>
    </w:p>
    <w:p>
      <w:pPr>
        <w:pStyle w:val="24"/>
        <w:adjustRightInd w:val="0"/>
        <w:snapToGrid w:val="0"/>
        <w:spacing w:line="360" w:lineRule="auto"/>
        <w:jc w:val="center"/>
        <w:rPr>
          <w:rFonts w:hint="eastAsia" w:hAnsi="宋体" w:cs="宋体"/>
          <w:b/>
          <w:spacing w:val="160"/>
          <w:sz w:val="32"/>
          <w:szCs w:val="32"/>
          <w:highlight w:val="white"/>
        </w:rPr>
        <w:sectPr>
          <w:headerReference r:id="rId5" w:type="first"/>
          <w:headerReference r:id="rId3" w:type="default"/>
          <w:footerReference r:id="rId6" w:type="default"/>
          <w:headerReference r:id="rId4" w:type="even"/>
          <w:pgSz w:w="11906" w:h="16838"/>
          <w:pgMar w:top="1440" w:right="1531" w:bottom="1440" w:left="1531" w:header="851" w:footer="992" w:gutter="0"/>
          <w:cols w:space="720" w:num="1"/>
          <w:titlePg/>
          <w:docGrid w:type="lines" w:linePitch="312" w:charSpace="0"/>
        </w:sectPr>
      </w:pPr>
    </w:p>
    <w:p>
      <w:pPr>
        <w:pStyle w:val="24"/>
        <w:tabs>
          <w:tab w:val="center" w:pos="4212"/>
          <w:tab w:val="left" w:pos="6108"/>
        </w:tabs>
        <w:adjustRightInd w:val="0"/>
        <w:snapToGrid w:val="0"/>
        <w:spacing w:line="360" w:lineRule="auto"/>
        <w:jc w:val="left"/>
      </w:pPr>
      <w:bookmarkStart w:id="1" w:name="_Toc44705049"/>
      <w:bookmarkStart w:id="2" w:name="_Toc44704902"/>
      <w:bookmarkStart w:id="3" w:name="_Toc26602"/>
      <w:r>
        <w:rPr>
          <w:rFonts w:hint="eastAsia" w:hAnsi="宋体" w:cs="宋体"/>
          <w:b/>
          <w:spacing w:val="160"/>
          <w:sz w:val="32"/>
          <w:szCs w:val="32"/>
          <w:highlight w:val="white"/>
          <w:lang w:eastAsia="zh-CN"/>
        </w:rPr>
        <w:tab/>
      </w:r>
      <w:r>
        <w:rPr>
          <w:rFonts w:hint="eastAsia" w:hAnsi="宋体" w:cs="宋体"/>
          <w:b/>
          <w:spacing w:val="160"/>
          <w:sz w:val="32"/>
          <w:szCs w:val="32"/>
          <w:highlight w:val="white"/>
        </w:rPr>
        <w:t>目录</w:t>
      </w:r>
      <w:r>
        <w:rPr>
          <w:rFonts w:hint="eastAsia" w:hAnsi="宋体" w:cs="宋体"/>
          <w:b/>
          <w:spacing w:val="160"/>
          <w:sz w:val="32"/>
          <w:szCs w:val="32"/>
          <w:highlight w:val="white"/>
          <w:lang w:eastAsia="zh-CN"/>
        </w:rPr>
        <w:tab/>
      </w:r>
      <w:r>
        <w:rPr>
          <w:rFonts w:hint="eastAsia" w:hAnsi="宋体" w:cs="宋体"/>
          <w:spacing w:val="160"/>
        </w:rPr>
        <w:fldChar w:fldCharType="begin"/>
      </w:r>
      <w:r>
        <w:rPr>
          <w:rFonts w:hint="eastAsia" w:hAnsi="宋体" w:cs="宋体"/>
          <w:spacing w:val="160"/>
          <w:highlight w:val="white"/>
        </w:rPr>
        <w:instrText xml:space="preserve">TOC \o "1-3" \h \u </w:instrText>
      </w:r>
      <w:r>
        <w:rPr>
          <w:rFonts w:hint="eastAsia" w:hAnsi="宋体" w:cs="宋体"/>
          <w:spacing w:val="160"/>
        </w:rPr>
        <w:fldChar w:fldCharType="separate"/>
      </w:r>
    </w:p>
    <w:p>
      <w:pPr>
        <w:pStyle w:val="31"/>
        <w:tabs>
          <w:tab w:val="right" w:leader="dot" w:pos="8834"/>
        </w:tabs>
        <w:rPr>
          <w:rFonts w:ascii="宋体" w:hAnsi="宋体" w:eastAsia="宋体"/>
          <w:sz w:val="36"/>
          <w:szCs w:val="36"/>
        </w:rPr>
      </w:pPr>
      <w:r>
        <w:rPr>
          <w:rFonts w:ascii="宋体" w:hAnsi="宋体" w:eastAsia="宋体"/>
          <w:sz w:val="36"/>
          <w:szCs w:val="36"/>
        </w:rPr>
        <w:fldChar w:fldCharType="begin"/>
      </w:r>
      <w:r>
        <w:rPr>
          <w:rStyle w:val="60"/>
          <w:rFonts w:ascii="宋体" w:hAnsi="宋体" w:eastAsia="宋体"/>
          <w:sz w:val="36"/>
          <w:szCs w:val="36"/>
        </w:rPr>
        <w:instrText xml:space="preserve"> </w:instrText>
      </w:r>
      <w:r>
        <w:rPr>
          <w:rFonts w:ascii="宋体" w:hAnsi="宋体" w:eastAsia="宋体"/>
          <w:sz w:val="36"/>
          <w:szCs w:val="36"/>
        </w:rPr>
        <w:instrText xml:space="preserve">HYPERLINK \l "_Toc108609061"</w:instrText>
      </w:r>
      <w:r>
        <w:rPr>
          <w:rStyle w:val="60"/>
          <w:rFonts w:ascii="宋体" w:hAnsi="宋体" w:eastAsia="宋体"/>
          <w:sz w:val="36"/>
          <w:szCs w:val="36"/>
        </w:rPr>
        <w:instrText xml:space="preserve"> </w:instrText>
      </w:r>
      <w:r>
        <w:rPr>
          <w:rFonts w:ascii="宋体" w:hAnsi="宋体" w:eastAsia="宋体"/>
          <w:sz w:val="36"/>
          <w:szCs w:val="36"/>
        </w:rPr>
        <w:fldChar w:fldCharType="separate"/>
      </w:r>
      <w:r>
        <w:rPr>
          <w:rStyle w:val="60"/>
          <w:rFonts w:hint="eastAsia" w:ascii="宋体" w:hAnsi="宋体" w:eastAsia="宋体" w:cs="宋体"/>
          <w:sz w:val="36"/>
          <w:szCs w:val="36"/>
          <w:highlight w:val="white"/>
        </w:rPr>
        <w:t>第一章</w:t>
      </w:r>
      <w:r>
        <w:rPr>
          <w:rStyle w:val="60"/>
          <w:rFonts w:ascii="宋体" w:hAnsi="宋体" w:eastAsia="宋体" w:cs="宋体"/>
          <w:sz w:val="36"/>
          <w:szCs w:val="36"/>
          <w:highlight w:val="white"/>
        </w:rPr>
        <w:t xml:space="preserve">  </w:t>
      </w:r>
      <w:r>
        <w:rPr>
          <w:rStyle w:val="60"/>
          <w:rFonts w:hint="eastAsia" w:ascii="宋体" w:hAnsi="宋体" w:cs="宋体"/>
          <w:sz w:val="36"/>
          <w:szCs w:val="36"/>
          <w:highlight w:val="white"/>
          <w:lang w:eastAsia="zh-CN"/>
        </w:rPr>
        <w:t>招标</w:t>
      </w:r>
      <w:r>
        <w:rPr>
          <w:rStyle w:val="60"/>
          <w:rFonts w:hint="eastAsia" w:ascii="宋体" w:hAnsi="宋体" w:eastAsia="宋体" w:cs="宋体"/>
          <w:sz w:val="36"/>
          <w:szCs w:val="36"/>
          <w:highlight w:val="white"/>
        </w:rPr>
        <w:t>公告</w:t>
      </w:r>
      <w:r>
        <w:rPr>
          <w:rFonts w:ascii="宋体" w:hAnsi="宋体" w:eastAsia="宋体"/>
          <w:sz w:val="36"/>
          <w:szCs w:val="36"/>
        </w:rPr>
        <w:tab/>
      </w:r>
      <w:r>
        <w:rPr>
          <w:rFonts w:ascii="宋体" w:hAnsi="宋体" w:eastAsia="宋体"/>
          <w:sz w:val="36"/>
          <w:szCs w:val="36"/>
        </w:rPr>
        <w:fldChar w:fldCharType="begin"/>
      </w:r>
      <w:r>
        <w:rPr>
          <w:rFonts w:ascii="宋体" w:hAnsi="宋体" w:eastAsia="宋体"/>
          <w:sz w:val="36"/>
          <w:szCs w:val="36"/>
        </w:rPr>
        <w:instrText xml:space="preserve"> PAGEREF _Toc108609061 \h </w:instrText>
      </w:r>
      <w:r>
        <w:rPr>
          <w:rFonts w:ascii="宋体" w:hAnsi="宋体" w:eastAsia="宋体"/>
          <w:sz w:val="36"/>
          <w:szCs w:val="36"/>
        </w:rPr>
        <w:fldChar w:fldCharType="separate"/>
      </w:r>
      <w:r>
        <w:rPr>
          <w:rFonts w:ascii="宋体" w:hAnsi="宋体" w:eastAsia="宋体"/>
          <w:sz w:val="36"/>
          <w:szCs w:val="36"/>
        </w:rPr>
        <w:t>2</w:t>
      </w:r>
      <w:r>
        <w:rPr>
          <w:rFonts w:ascii="宋体" w:hAnsi="宋体" w:eastAsia="宋体"/>
          <w:sz w:val="36"/>
          <w:szCs w:val="36"/>
        </w:rPr>
        <w:fldChar w:fldCharType="end"/>
      </w:r>
      <w:r>
        <w:rPr>
          <w:rFonts w:ascii="宋体" w:hAnsi="宋体" w:eastAsia="宋体"/>
          <w:sz w:val="36"/>
          <w:szCs w:val="36"/>
        </w:rPr>
        <w:fldChar w:fldCharType="end"/>
      </w:r>
    </w:p>
    <w:p>
      <w:pPr>
        <w:pStyle w:val="31"/>
        <w:tabs>
          <w:tab w:val="right" w:leader="dot" w:pos="8834"/>
        </w:tabs>
        <w:rPr>
          <w:rFonts w:ascii="宋体" w:hAnsi="宋体" w:eastAsia="宋体"/>
          <w:sz w:val="36"/>
          <w:szCs w:val="36"/>
        </w:rPr>
      </w:pPr>
      <w:r>
        <w:rPr>
          <w:rFonts w:ascii="宋体" w:hAnsi="宋体" w:eastAsia="宋体"/>
          <w:sz w:val="36"/>
          <w:szCs w:val="36"/>
        </w:rPr>
        <w:fldChar w:fldCharType="begin"/>
      </w:r>
      <w:r>
        <w:rPr>
          <w:rStyle w:val="60"/>
          <w:rFonts w:ascii="宋体" w:hAnsi="宋体" w:eastAsia="宋体"/>
          <w:sz w:val="36"/>
          <w:szCs w:val="36"/>
        </w:rPr>
        <w:instrText xml:space="preserve"> </w:instrText>
      </w:r>
      <w:r>
        <w:rPr>
          <w:rFonts w:ascii="宋体" w:hAnsi="宋体" w:eastAsia="宋体"/>
          <w:sz w:val="36"/>
          <w:szCs w:val="36"/>
        </w:rPr>
        <w:instrText xml:space="preserve">HYPERLINK \l "_Toc108609062"</w:instrText>
      </w:r>
      <w:r>
        <w:rPr>
          <w:rStyle w:val="60"/>
          <w:rFonts w:ascii="宋体" w:hAnsi="宋体" w:eastAsia="宋体"/>
          <w:sz w:val="36"/>
          <w:szCs w:val="36"/>
        </w:rPr>
        <w:instrText xml:space="preserve"> </w:instrText>
      </w:r>
      <w:r>
        <w:rPr>
          <w:rFonts w:ascii="宋体" w:hAnsi="宋体" w:eastAsia="宋体"/>
          <w:sz w:val="36"/>
          <w:szCs w:val="36"/>
        </w:rPr>
        <w:fldChar w:fldCharType="separate"/>
      </w:r>
      <w:r>
        <w:rPr>
          <w:rStyle w:val="60"/>
          <w:rFonts w:hint="eastAsia" w:ascii="宋体" w:hAnsi="宋体" w:eastAsia="宋体" w:cs="宋体"/>
          <w:sz w:val="36"/>
          <w:szCs w:val="36"/>
          <w:highlight w:val="white"/>
        </w:rPr>
        <w:t>第二章</w:t>
      </w:r>
      <w:r>
        <w:rPr>
          <w:rStyle w:val="60"/>
          <w:rFonts w:ascii="宋体" w:hAnsi="宋体" w:eastAsia="宋体" w:cs="宋体"/>
          <w:sz w:val="36"/>
          <w:szCs w:val="36"/>
          <w:highlight w:val="white"/>
        </w:rPr>
        <w:t xml:space="preserve"> </w:t>
      </w:r>
      <w:r>
        <w:rPr>
          <w:rStyle w:val="60"/>
          <w:rFonts w:hint="eastAsia" w:ascii="宋体" w:hAnsi="宋体" w:cs="宋体"/>
          <w:sz w:val="36"/>
          <w:szCs w:val="36"/>
          <w:highlight w:val="white"/>
          <w:lang w:val="en-US" w:eastAsia="zh-CN"/>
        </w:rPr>
        <w:t>投标人</w:t>
      </w:r>
      <w:r>
        <w:rPr>
          <w:rStyle w:val="60"/>
          <w:rFonts w:hint="eastAsia" w:ascii="宋体" w:hAnsi="宋体" w:eastAsia="宋体" w:cs="宋体"/>
          <w:sz w:val="36"/>
          <w:szCs w:val="36"/>
          <w:highlight w:val="white"/>
        </w:rPr>
        <w:t>须知</w:t>
      </w:r>
      <w:r>
        <w:rPr>
          <w:rStyle w:val="60"/>
          <w:rFonts w:hint="eastAsia" w:ascii="宋体" w:hAnsi="宋体" w:cs="宋体"/>
          <w:sz w:val="36"/>
          <w:szCs w:val="36"/>
          <w:highlight w:val="white"/>
          <w:lang w:val="en-US" w:eastAsia="zh-CN"/>
        </w:rPr>
        <w:t>前附表</w:t>
      </w:r>
      <w:r>
        <w:rPr>
          <w:rFonts w:ascii="宋体" w:hAnsi="宋体" w:eastAsia="宋体"/>
          <w:sz w:val="36"/>
          <w:szCs w:val="36"/>
        </w:rPr>
        <w:tab/>
      </w:r>
      <w:r>
        <w:rPr>
          <w:rFonts w:ascii="宋体" w:hAnsi="宋体" w:eastAsia="宋体"/>
          <w:sz w:val="36"/>
          <w:szCs w:val="36"/>
        </w:rPr>
        <w:fldChar w:fldCharType="begin"/>
      </w:r>
      <w:r>
        <w:rPr>
          <w:rFonts w:ascii="宋体" w:hAnsi="宋体" w:eastAsia="宋体"/>
          <w:sz w:val="36"/>
          <w:szCs w:val="36"/>
        </w:rPr>
        <w:instrText xml:space="preserve"> PAGEREF _Toc108609062 \h </w:instrText>
      </w:r>
      <w:r>
        <w:rPr>
          <w:rFonts w:ascii="宋体" w:hAnsi="宋体" w:eastAsia="宋体"/>
          <w:sz w:val="36"/>
          <w:szCs w:val="36"/>
        </w:rPr>
        <w:fldChar w:fldCharType="separate"/>
      </w:r>
      <w:r>
        <w:rPr>
          <w:rFonts w:ascii="宋体" w:hAnsi="宋体" w:eastAsia="宋体"/>
          <w:sz w:val="36"/>
          <w:szCs w:val="36"/>
        </w:rPr>
        <w:t>6</w:t>
      </w:r>
      <w:r>
        <w:rPr>
          <w:rFonts w:ascii="宋体" w:hAnsi="宋体" w:eastAsia="宋体"/>
          <w:sz w:val="36"/>
          <w:szCs w:val="36"/>
        </w:rPr>
        <w:fldChar w:fldCharType="end"/>
      </w:r>
      <w:r>
        <w:rPr>
          <w:rFonts w:ascii="宋体" w:hAnsi="宋体" w:eastAsia="宋体"/>
          <w:sz w:val="36"/>
          <w:szCs w:val="36"/>
        </w:rPr>
        <w:fldChar w:fldCharType="end"/>
      </w:r>
    </w:p>
    <w:p>
      <w:pPr>
        <w:pStyle w:val="31"/>
        <w:tabs>
          <w:tab w:val="right" w:leader="dot" w:pos="8834"/>
        </w:tabs>
        <w:rPr>
          <w:rFonts w:ascii="宋体" w:hAnsi="宋体" w:eastAsia="宋体"/>
          <w:sz w:val="36"/>
          <w:szCs w:val="36"/>
        </w:rPr>
      </w:pPr>
      <w:r>
        <w:rPr>
          <w:rFonts w:ascii="宋体" w:hAnsi="宋体" w:eastAsia="宋体"/>
          <w:sz w:val="36"/>
          <w:szCs w:val="36"/>
        </w:rPr>
        <w:fldChar w:fldCharType="begin"/>
      </w:r>
      <w:r>
        <w:rPr>
          <w:rStyle w:val="60"/>
          <w:rFonts w:ascii="宋体" w:hAnsi="宋体" w:eastAsia="宋体"/>
          <w:sz w:val="36"/>
          <w:szCs w:val="36"/>
        </w:rPr>
        <w:instrText xml:space="preserve"> </w:instrText>
      </w:r>
      <w:r>
        <w:rPr>
          <w:rFonts w:ascii="宋体" w:hAnsi="宋体" w:eastAsia="宋体"/>
          <w:sz w:val="36"/>
          <w:szCs w:val="36"/>
        </w:rPr>
        <w:instrText xml:space="preserve">HYPERLINK \l "_Toc108609087"</w:instrText>
      </w:r>
      <w:r>
        <w:rPr>
          <w:rStyle w:val="60"/>
          <w:rFonts w:ascii="宋体" w:hAnsi="宋体" w:eastAsia="宋体"/>
          <w:sz w:val="36"/>
          <w:szCs w:val="36"/>
        </w:rPr>
        <w:instrText xml:space="preserve"> </w:instrText>
      </w:r>
      <w:r>
        <w:rPr>
          <w:rFonts w:ascii="宋体" w:hAnsi="宋体" w:eastAsia="宋体"/>
          <w:sz w:val="36"/>
          <w:szCs w:val="36"/>
        </w:rPr>
        <w:fldChar w:fldCharType="separate"/>
      </w:r>
      <w:r>
        <w:rPr>
          <w:rStyle w:val="60"/>
          <w:rFonts w:hint="eastAsia" w:ascii="宋体" w:hAnsi="宋体" w:eastAsia="宋体" w:cs="宋体"/>
          <w:sz w:val="36"/>
          <w:szCs w:val="36"/>
          <w:highlight w:val="white"/>
        </w:rPr>
        <w:t>第三章</w:t>
      </w:r>
      <w:r>
        <w:rPr>
          <w:rStyle w:val="60"/>
          <w:rFonts w:ascii="宋体" w:hAnsi="宋体" w:eastAsia="宋体" w:cs="宋体"/>
          <w:sz w:val="36"/>
          <w:szCs w:val="36"/>
          <w:highlight w:val="white"/>
        </w:rPr>
        <w:t xml:space="preserve"> </w:t>
      </w:r>
      <w:r>
        <w:rPr>
          <w:rStyle w:val="60"/>
          <w:rFonts w:hint="eastAsia" w:ascii="宋体" w:hAnsi="宋体" w:cs="宋体"/>
          <w:sz w:val="36"/>
          <w:szCs w:val="36"/>
          <w:highlight w:val="white"/>
          <w:lang w:val="en-US" w:eastAsia="zh-CN"/>
        </w:rPr>
        <w:t>投标人须知</w:t>
      </w:r>
      <w:r>
        <w:rPr>
          <w:rFonts w:ascii="宋体" w:hAnsi="宋体" w:eastAsia="宋体"/>
          <w:sz w:val="36"/>
          <w:szCs w:val="36"/>
        </w:rPr>
        <w:tab/>
      </w:r>
      <w:r>
        <w:rPr>
          <w:rFonts w:hint="eastAsia" w:ascii="宋体" w:hAnsi="宋体"/>
          <w:sz w:val="36"/>
          <w:szCs w:val="36"/>
          <w:lang w:val="en-US" w:eastAsia="zh-CN"/>
        </w:rPr>
        <w:t>9</w:t>
      </w:r>
      <w:r>
        <w:rPr>
          <w:rFonts w:ascii="宋体" w:hAnsi="宋体" w:eastAsia="宋体"/>
          <w:sz w:val="36"/>
          <w:szCs w:val="36"/>
        </w:rPr>
        <w:fldChar w:fldCharType="end"/>
      </w:r>
    </w:p>
    <w:p>
      <w:pPr>
        <w:pStyle w:val="31"/>
        <w:tabs>
          <w:tab w:val="right" w:leader="dot" w:pos="8834"/>
        </w:tabs>
        <w:rPr>
          <w:rFonts w:hint="eastAsia" w:ascii="宋体" w:hAnsi="宋体" w:eastAsia="宋体"/>
          <w:sz w:val="36"/>
          <w:szCs w:val="36"/>
          <w:lang w:val="en-US" w:eastAsia="zh-CN"/>
        </w:rPr>
      </w:pPr>
      <w:r>
        <w:rPr>
          <w:rFonts w:ascii="宋体" w:hAnsi="宋体" w:eastAsia="宋体"/>
          <w:sz w:val="36"/>
          <w:szCs w:val="36"/>
        </w:rPr>
        <w:fldChar w:fldCharType="begin"/>
      </w:r>
      <w:r>
        <w:rPr>
          <w:rStyle w:val="60"/>
          <w:rFonts w:ascii="宋体" w:hAnsi="宋体" w:eastAsia="宋体"/>
          <w:sz w:val="36"/>
          <w:szCs w:val="36"/>
        </w:rPr>
        <w:instrText xml:space="preserve"> </w:instrText>
      </w:r>
      <w:r>
        <w:rPr>
          <w:rFonts w:ascii="宋体" w:hAnsi="宋体" w:eastAsia="宋体"/>
          <w:sz w:val="36"/>
          <w:szCs w:val="36"/>
        </w:rPr>
        <w:instrText xml:space="preserve">HYPERLINK \l "_Toc108609094"</w:instrText>
      </w:r>
      <w:r>
        <w:rPr>
          <w:rStyle w:val="60"/>
          <w:rFonts w:ascii="宋体" w:hAnsi="宋体" w:eastAsia="宋体"/>
          <w:sz w:val="36"/>
          <w:szCs w:val="36"/>
        </w:rPr>
        <w:instrText xml:space="preserve"> </w:instrText>
      </w:r>
      <w:r>
        <w:rPr>
          <w:rFonts w:ascii="宋体" w:hAnsi="宋体" w:eastAsia="宋体"/>
          <w:sz w:val="36"/>
          <w:szCs w:val="36"/>
        </w:rPr>
        <w:fldChar w:fldCharType="separate"/>
      </w:r>
      <w:r>
        <w:rPr>
          <w:rStyle w:val="60"/>
          <w:rFonts w:hint="eastAsia" w:ascii="宋体" w:hAnsi="宋体" w:eastAsia="宋体" w:cs="宋体"/>
          <w:sz w:val="36"/>
          <w:szCs w:val="36"/>
          <w:highlight w:val="white"/>
        </w:rPr>
        <w:t>第四章</w:t>
      </w:r>
      <w:r>
        <w:rPr>
          <w:rStyle w:val="60"/>
          <w:rFonts w:ascii="宋体" w:hAnsi="宋体" w:eastAsia="宋体" w:cs="宋体"/>
          <w:sz w:val="36"/>
          <w:szCs w:val="36"/>
          <w:highlight w:val="white"/>
        </w:rPr>
        <w:t xml:space="preserve"> </w:t>
      </w:r>
      <w:r>
        <w:rPr>
          <w:rStyle w:val="60"/>
          <w:rFonts w:hint="eastAsia" w:ascii="宋体" w:hAnsi="宋体" w:eastAsia="宋体" w:cs="宋体"/>
          <w:sz w:val="36"/>
          <w:szCs w:val="36"/>
          <w:highlight w:val="white"/>
        </w:rPr>
        <w:t>合同</w:t>
      </w:r>
      <w:r>
        <w:rPr>
          <w:rStyle w:val="60"/>
          <w:rFonts w:hint="eastAsia" w:ascii="宋体" w:hAnsi="宋体" w:cs="宋体"/>
          <w:sz w:val="36"/>
          <w:szCs w:val="36"/>
          <w:highlight w:val="white"/>
          <w:lang w:val="en-US" w:eastAsia="zh-CN"/>
        </w:rPr>
        <w:t>文本</w:t>
      </w:r>
      <w:r>
        <w:rPr>
          <w:rStyle w:val="60"/>
          <w:rFonts w:hint="eastAsia" w:ascii="宋体" w:hAnsi="宋体" w:eastAsia="宋体" w:cs="宋体"/>
          <w:sz w:val="36"/>
          <w:szCs w:val="36"/>
          <w:highlight w:val="white"/>
        </w:rPr>
        <w:t>格式</w:t>
      </w:r>
      <w:r>
        <w:rPr>
          <w:rFonts w:ascii="宋体" w:hAnsi="宋体" w:eastAsia="宋体"/>
          <w:sz w:val="36"/>
          <w:szCs w:val="36"/>
        </w:rPr>
        <w:tab/>
      </w:r>
      <w:r>
        <w:rPr>
          <w:rFonts w:hint="eastAsia" w:ascii="宋体" w:hAnsi="宋体"/>
          <w:sz w:val="36"/>
          <w:szCs w:val="36"/>
          <w:lang w:val="en-US" w:eastAsia="zh-CN"/>
        </w:rPr>
        <w:t>2</w:t>
      </w:r>
      <w:r>
        <w:rPr>
          <w:rFonts w:ascii="宋体" w:hAnsi="宋体" w:eastAsia="宋体"/>
          <w:sz w:val="36"/>
          <w:szCs w:val="36"/>
        </w:rPr>
        <w:fldChar w:fldCharType="end"/>
      </w:r>
      <w:r>
        <w:rPr>
          <w:rFonts w:hint="eastAsia" w:ascii="宋体" w:hAnsi="宋体"/>
          <w:sz w:val="36"/>
          <w:szCs w:val="36"/>
          <w:lang w:val="en-US" w:eastAsia="zh-CN"/>
        </w:rPr>
        <w:t>3</w:t>
      </w:r>
    </w:p>
    <w:p>
      <w:pPr>
        <w:pStyle w:val="31"/>
        <w:tabs>
          <w:tab w:val="right" w:leader="dot" w:pos="8834"/>
        </w:tabs>
        <w:rPr>
          <w:rFonts w:hint="eastAsia" w:ascii="宋体" w:hAnsi="宋体" w:eastAsia="宋体"/>
          <w:sz w:val="36"/>
          <w:szCs w:val="36"/>
          <w:lang w:val="en-US" w:eastAsia="zh-CN"/>
        </w:rPr>
      </w:pPr>
      <w:r>
        <w:rPr>
          <w:rFonts w:ascii="宋体" w:hAnsi="宋体" w:eastAsia="宋体"/>
          <w:sz w:val="36"/>
          <w:szCs w:val="36"/>
        </w:rPr>
        <w:fldChar w:fldCharType="begin"/>
      </w:r>
      <w:r>
        <w:rPr>
          <w:rStyle w:val="60"/>
          <w:rFonts w:ascii="宋体" w:hAnsi="宋体" w:eastAsia="宋体"/>
          <w:sz w:val="36"/>
          <w:szCs w:val="36"/>
        </w:rPr>
        <w:instrText xml:space="preserve"> </w:instrText>
      </w:r>
      <w:r>
        <w:rPr>
          <w:rFonts w:ascii="宋体" w:hAnsi="宋体" w:eastAsia="宋体"/>
          <w:sz w:val="36"/>
          <w:szCs w:val="36"/>
        </w:rPr>
        <w:instrText xml:space="preserve">HYPERLINK \l "_Toc108609098"</w:instrText>
      </w:r>
      <w:r>
        <w:rPr>
          <w:rStyle w:val="60"/>
          <w:rFonts w:ascii="宋体" w:hAnsi="宋体" w:eastAsia="宋体"/>
          <w:sz w:val="36"/>
          <w:szCs w:val="36"/>
        </w:rPr>
        <w:instrText xml:space="preserve"> </w:instrText>
      </w:r>
      <w:r>
        <w:rPr>
          <w:rFonts w:ascii="宋体" w:hAnsi="宋体" w:eastAsia="宋体"/>
          <w:sz w:val="36"/>
          <w:szCs w:val="36"/>
        </w:rPr>
        <w:fldChar w:fldCharType="separate"/>
      </w:r>
      <w:r>
        <w:rPr>
          <w:rStyle w:val="60"/>
          <w:rFonts w:hint="eastAsia" w:ascii="宋体" w:hAnsi="宋体" w:eastAsia="宋体" w:cs="宋体"/>
          <w:sz w:val="36"/>
          <w:szCs w:val="36"/>
          <w:highlight w:val="white"/>
        </w:rPr>
        <w:t>第五章</w:t>
      </w:r>
      <w:r>
        <w:rPr>
          <w:rStyle w:val="60"/>
          <w:rFonts w:ascii="宋体" w:hAnsi="宋体" w:eastAsia="宋体" w:cs="宋体"/>
          <w:sz w:val="36"/>
          <w:szCs w:val="36"/>
          <w:highlight w:val="white"/>
        </w:rPr>
        <w:t xml:space="preserve"> </w:t>
      </w:r>
      <w:r>
        <w:rPr>
          <w:rStyle w:val="60"/>
          <w:rFonts w:hint="eastAsia" w:ascii="宋体" w:hAnsi="宋体" w:cs="宋体"/>
          <w:sz w:val="36"/>
          <w:szCs w:val="36"/>
          <w:highlight w:val="white"/>
          <w:lang w:val="en-US" w:eastAsia="zh-CN"/>
        </w:rPr>
        <w:t>采购需求</w:t>
      </w:r>
      <w:r>
        <w:rPr>
          <w:rFonts w:ascii="宋体" w:hAnsi="宋体" w:eastAsia="宋体"/>
          <w:sz w:val="36"/>
          <w:szCs w:val="36"/>
        </w:rPr>
        <w:tab/>
      </w:r>
      <w:r>
        <w:rPr>
          <w:rFonts w:hint="eastAsia" w:ascii="宋体" w:hAnsi="宋体"/>
          <w:sz w:val="36"/>
          <w:szCs w:val="36"/>
          <w:lang w:val="en-US" w:eastAsia="zh-CN"/>
        </w:rPr>
        <w:t>3</w:t>
      </w:r>
      <w:r>
        <w:rPr>
          <w:rFonts w:ascii="宋体" w:hAnsi="宋体" w:eastAsia="宋体"/>
          <w:sz w:val="36"/>
          <w:szCs w:val="36"/>
        </w:rPr>
        <w:fldChar w:fldCharType="end"/>
      </w:r>
      <w:r>
        <w:rPr>
          <w:rFonts w:hint="eastAsia" w:ascii="宋体" w:hAnsi="宋体"/>
          <w:sz w:val="36"/>
          <w:szCs w:val="36"/>
          <w:lang w:val="en-US" w:eastAsia="zh-CN"/>
        </w:rPr>
        <w:t>0</w:t>
      </w:r>
    </w:p>
    <w:p>
      <w:pPr>
        <w:pStyle w:val="31"/>
        <w:tabs>
          <w:tab w:val="right" w:leader="dot" w:pos="8834"/>
        </w:tabs>
        <w:rPr>
          <w:rStyle w:val="60"/>
          <w:rFonts w:hint="eastAsia" w:ascii="宋体" w:hAnsi="宋体" w:eastAsia="宋体"/>
          <w:sz w:val="36"/>
          <w:szCs w:val="36"/>
          <w:lang w:val="en-US" w:eastAsia="zh-CN"/>
        </w:rPr>
      </w:pPr>
      <w:r>
        <w:rPr>
          <w:rFonts w:ascii="宋体" w:hAnsi="宋体" w:eastAsia="宋体"/>
          <w:sz w:val="36"/>
          <w:szCs w:val="36"/>
        </w:rPr>
        <w:fldChar w:fldCharType="begin"/>
      </w:r>
      <w:r>
        <w:rPr>
          <w:rStyle w:val="60"/>
          <w:rFonts w:ascii="宋体" w:hAnsi="宋体" w:eastAsia="宋体"/>
          <w:sz w:val="36"/>
          <w:szCs w:val="36"/>
        </w:rPr>
        <w:instrText xml:space="preserve"> </w:instrText>
      </w:r>
      <w:r>
        <w:rPr>
          <w:rFonts w:ascii="宋体" w:hAnsi="宋体" w:eastAsia="宋体"/>
          <w:sz w:val="36"/>
          <w:szCs w:val="36"/>
        </w:rPr>
        <w:instrText xml:space="preserve">HYPERLINK \l "_Toc108609102"</w:instrText>
      </w:r>
      <w:r>
        <w:rPr>
          <w:rStyle w:val="60"/>
          <w:rFonts w:ascii="宋体" w:hAnsi="宋体" w:eastAsia="宋体"/>
          <w:sz w:val="36"/>
          <w:szCs w:val="36"/>
        </w:rPr>
        <w:instrText xml:space="preserve"> </w:instrText>
      </w:r>
      <w:r>
        <w:rPr>
          <w:rFonts w:ascii="宋体" w:hAnsi="宋体" w:eastAsia="宋体"/>
          <w:sz w:val="36"/>
          <w:szCs w:val="36"/>
        </w:rPr>
        <w:fldChar w:fldCharType="separate"/>
      </w:r>
      <w:r>
        <w:rPr>
          <w:rStyle w:val="60"/>
          <w:rFonts w:hint="eastAsia" w:ascii="宋体" w:hAnsi="宋体" w:eastAsia="宋体" w:cs="宋体"/>
          <w:sz w:val="36"/>
          <w:szCs w:val="36"/>
          <w:highlight w:val="white"/>
        </w:rPr>
        <w:t>第六章</w:t>
      </w:r>
      <w:r>
        <w:rPr>
          <w:rStyle w:val="60"/>
          <w:rFonts w:ascii="宋体" w:hAnsi="宋体" w:eastAsia="宋体" w:cs="宋体"/>
          <w:sz w:val="36"/>
          <w:szCs w:val="36"/>
          <w:highlight w:val="white"/>
        </w:rPr>
        <w:t xml:space="preserve"> </w:t>
      </w:r>
      <w:r>
        <w:rPr>
          <w:rStyle w:val="60"/>
          <w:rFonts w:hint="eastAsia" w:ascii="宋体" w:hAnsi="宋体" w:cs="宋体"/>
          <w:sz w:val="36"/>
          <w:szCs w:val="36"/>
          <w:highlight w:val="white"/>
          <w:lang w:val="en-US" w:eastAsia="zh-CN"/>
        </w:rPr>
        <w:t>评审标准和办法</w:t>
      </w:r>
      <w:r>
        <w:rPr>
          <w:rFonts w:ascii="宋体" w:hAnsi="宋体" w:eastAsia="宋体"/>
          <w:sz w:val="36"/>
          <w:szCs w:val="36"/>
        </w:rPr>
        <w:tab/>
      </w:r>
      <w:r>
        <w:rPr>
          <w:rFonts w:hint="eastAsia" w:ascii="宋体" w:hAnsi="宋体"/>
          <w:sz w:val="36"/>
          <w:szCs w:val="36"/>
          <w:lang w:val="en-US" w:eastAsia="zh-CN"/>
        </w:rPr>
        <w:t>3</w:t>
      </w:r>
      <w:r>
        <w:rPr>
          <w:rFonts w:ascii="宋体" w:hAnsi="宋体" w:eastAsia="宋体"/>
          <w:sz w:val="36"/>
          <w:szCs w:val="36"/>
        </w:rPr>
        <w:fldChar w:fldCharType="end"/>
      </w:r>
      <w:r>
        <w:rPr>
          <w:rFonts w:hint="eastAsia" w:ascii="宋体" w:hAnsi="宋体"/>
          <w:sz w:val="36"/>
          <w:szCs w:val="36"/>
          <w:lang w:val="en-US" w:eastAsia="zh-CN"/>
        </w:rPr>
        <w:t>1</w:t>
      </w:r>
    </w:p>
    <w:p>
      <w:pPr>
        <w:pStyle w:val="31"/>
        <w:tabs>
          <w:tab w:val="right" w:leader="dot" w:pos="8834"/>
        </w:tabs>
        <w:rPr>
          <w:rFonts w:ascii="Calibri" w:eastAsia="宋体"/>
          <w:sz w:val="21"/>
        </w:rPr>
      </w:pPr>
      <w:r>
        <w:rPr>
          <w:rFonts w:ascii="宋体" w:hAnsi="宋体" w:eastAsia="宋体"/>
          <w:sz w:val="36"/>
          <w:szCs w:val="36"/>
        </w:rPr>
        <w:fldChar w:fldCharType="begin"/>
      </w:r>
      <w:r>
        <w:rPr>
          <w:rStyle w:val="60"/>
          <w:rFonts w:ascii="宋体" w:hAnsi="宋体" w:eastAsia="宋体"/>
          <w:sz w:val="36"/>
          <w:szCs w:val="36"/>
        </w:rPr>
        <w:instrText xml:space="preserve"> </w:instrText>
      </w:r>
      <w:r>
        <w:rPr>
          <w:rFonts w:ascii="宋体" w:hAnsi="宋体" w:eastAsia="宋体"/>
          <w:sz w:val="36"/>
          <w:szCs w:val="36"/>
        </w:rPr>
        <w:instrText xml:space="preserve">HYPERLINK \l "_Toc108609102"</w:instrText>
      </w:r>
      <w:r>
        <w:rPr>
          <w:rStyle w:val="60"/>
          <w:rFonts w:ascii="宋体" w:hAnsi="宋体" w:eastAsia="宋体"/>
          <w:sz w:val="36"/>
          <w:szCs w:val="36"/>
        </w:rPr>
        <w:instrText xml:space="preserve"> </w:instrText>
      </w:r>
      <w:r>
        <w:rPr>
          <w:rFonts w:ascii="宋体" w:hAnsi="宋体" w:eastAsia="宋体"/>
          <w:sz w:val="36"/>
          <w:szCs w:val="36"/>
        </w:rPr>
        <w:fldChar w:fldCharType="separate"/>
      </w:r>
      <w:r>
        <w:rPr>
          <w:rStyle w:val="60"/>
          <w:rFonts w:hint="eastAsia" w:ascii="宋体" w:hAnsi="宋体" w:eastAsia="宋体" w:cs="宋体"/>
          <w:sz w:val="36"/>
          <w:szCs w:val="36"/>
          <w:highlight w:val="white"/>
        </w:rPr>
        <w:t>第六章</w:t>
      </w:r>
      <w:r>
        <w:rPr>
          <w:rStyle w:val="60"/>
          <w:rFonts w:ascii="宋体" w:hAnsi="宋体" w:eastAsia="宋体" w:cs="宋体"/>
          <w:sz w:val="36"/>
          <w:szCs w:val="36"/>
          <w:highlight w:val="white"/>
        </w:rPr>
        <w:t xml:space="preserve"> </w:t>
      </w:r>
      <w:r>
        <w:rPr>
          <w:rStyle w:val="60"/>
          <w:rFonts w:hint="eastAsia" w:ascii="宋体" w:hAnsi="宋体" w:cs="宋体"/>
          <w:sz w:val="36"/>
          <w:szCs w:val="36"/>
          <w:highlight w:val="white"/>
          <w:lang w:val="en-US" w:eastAsia="zh-CN"/>
        </w:rPr>
        <w:t>投标</w:t>
      </w:r>
      <w:r>
        <w:rPr>
          <w:rStyle w:val="60"/>
          <w:rFonts w:hint="eastAsia" w:ascii="宋体" w:hAnsi="宋体" w:eastAsia="宋体" w:cs="宋体"/>
          <w:sz w:val="36"/>
          <w:szCs w:val="36"/>
          <w:highlight w:val="white"/>
        </w:rPr>
        <w:t>文件格式</w:t>
      </w:r>
      <w:r>
        <w:rPr>
          <w:rFonts w:ascii="宋体" w:hAnsi="宋体" w:eastAsia="宋体"/>
          <w:sz w:val="36"/>
          <w:szCs w:val="36"/>
        </w:rPr>
        <w:tab/>
      </w:r>
      <w:r>
        <w:rPr>
          <w:rFonts w:hint="eastAsia" w:ascii="宋体" w:hAnsi="宋体"/>
          <w:sz w:val="36"/>
          <w:szCs w:val="36"/>
          <w:lang w:val="en-US" w:eastAsia="zh-CN"/>
        </w:rPr>
        <w:t>3</w:t>
      </w:r>
      <w:r>
        <w:rPr>
          <w:rFonts w:ascii="宋体" w:hAnsi="宋体" w:eastAsia="宋体"/>
          <w:sz w:val="36"/>
          <w:szCs w:val="36"/>
        </w:rPr>
        <w:fldChar w:fldCharType="end"/>
      </w:r>
      <w:r>
        <w:rPr>
          <w:rFonts w:hint="eastAsia" w:ascii="宋体" w:hAnsi="宋体"/>
          <w:sz w:val="36"/>
          <w:szCs w:val="36"/>
          <w:lang w:val="en-US" w:eastAsia="zh-CN"/>
        </w:rPr>
        <w:t>8</w:t>
      </w:r>
      <w:r>
        <w:rPr>
          <w:rStyle w:val="60"/>
        </w:rPr>
        <w:br w:type="page"/>
      </w:r>
    </w:p>
    <w:p>
      <w:pPr>
        <w:pStyle w:val="2"/>
        <w:bidi w:val="0"/>
        <w:jc w:val="center"/>
        <w:rPr>
          <w:rFonts w:hint="eastAsia" w:ascii="宋体" w:hAnsi="宋体" w:cs="宋体"/>
          <w:w w:val="90"/>
          <w:highlight w:val="none"/>
        </w:rPr>
      </w:pPr>
      <w:r>
        <w:rPr>
          <w:rFonts w:hint="eastAsia" w:ascii="宋体" w:hAnsi="宋体" w:cs="宋体"/>
        </w:rPr>
        <w:fldChar w:fldCharType="end"/>
      </w:r>
      <w:bookmarkStart w:id="4" w:name="_Toc532543563"/>
      <w:bookmarkStart w:id="5" w:name="_Toc17923"/>
      <w:bookmarkStart w:id="6" w:name="_Toc108609061"/>
      <w:bookmarkStart w:id="7" w:name="EBd1a6136fe5144227b12ab2e6f6004aca"/>
      <w:r>
        <w:rPr>
          <w:rFonts w:hint="eastAsia" w:ascii="宋体" w:hAnsi="宋体" w:cs="宋体"/>
          <w:w w:val="90"/>
          <w:highlight w:val="none"/>
        </w:rPr>
        <w:t xml:space="preserve">第一章  </w:t>
      </w:r>
      <w:bookmarkEnd w:id="4"/>
      <w:r>
        <w:rPr>
          <w:rFonts w:hint="eastAsia" w:ascii="宋体" w:hAnsi="宋体" w:cs="宋体"/>
          <w:w w:val="90"/>
          <w:highlight w:val="none"/>
          <w:lang w:eastAsia="zh-CN"/>
        </w:rPr>
        <w:t>招标</w:t>
      </w:r>
      <w:r>
        <w:rPr>
          <w:rFonts w:hint="eastAsia" w:ascii="宋体" w:hAnsi="宋体" w:cs="宋体"/>
          <w:w w:val="90"/>
          <w:highlight w:val="none"/>
        </w:rPr>
        <w:t>公告</w:t>
      </w:r>
      <w:bookmarkEnd w:id="5"/>
      <w:bookmarkEnd w:id="6"/>
    </w:p>
    <w:p>
      <w:pPr>
        <w:rPr>
          <w:rFonts w:hint="eastAsia" w:ascii="宋体" w:hAnsi="宋体" w:cs="宋体"/>
        </w:rPr>
      </w:pPr>
    </w:p>
    <w:p>
      <w:pPr>
        <w:numPr>
          <w:ilvl w:val="0"/>
          <w:numId w:val="0"/>
        </w:numPr>
        <w:snapToGrid w:val="0"/>
        <w:spacing w:line="760" w:lineRule="exact"/>
        <w:ind w:leftChars="0" w:right="17" w:rightChars="0"/>
        <w:jc w:val="center"/>
        <w:rPr>
          <w:rFonts w:hint="eastAsia" w:ascii="宋体" w:hAnsi="宋体" w:cs="宋体"/>
          <w:b/>
          <w:bCs/>
          <w:kern w:val="0"/>
          <w:sz w:val="30"/>
          <w:szCs w:val="30"/>
        </w:rPr>
      </w:pPr>
      <w:r>
        <w:rPr>
          <w:rFonts w:hint="eastAsia" w:ascii="宋体" w:hAnsi="宋体" w:cs="宋体"/>
          <w:b/>
          <w:bCs/>
          <w:kern w:val="0"/>
          <w:sz w:val="30"/>
          <w:szCs w:val="30"/>
          <w:lang w:val="en-US" w:eastAsia="zh-CN"/>
        </w:rPr>
        <w:t>苇子峡乡林业管护社会化服务</w:t>
      </w:r>
      <w:r>
        <w:rPr>
          <w:rFonts w:hint="eastAsia" w:ascii="宋体" w:hAnsi="宋体" w:cs="宋体"/>
          <w:b/>
          <w:bCs/>
          <w:kern w:val="0"/>
          <w:sz w:val="30"/>
          <w:szCs w:val="30"/>
          <w:lang w:eastAsia="zh-CN"/>
        </w:rPr>
        <w:t>招标</w:t>
      </w:r>
      <w:r>
        <w:rPr>
          <w:rFonts w:hint="eastAsia" w:ascii="宋体" w:hAnsi="宋体" w:cs="宋体"/>
          <w:b/>
          <w:bCs/>
          <w:kern w:val="0"/>
          <w:sz w:val="30"/>
          <w:szCs w:val="30"/>
        </w:rPr>
        <w:t>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highlight w:val="yellow"/>
        </w:rPr>
      </w:pPr>
      <w:r>
        <w:rPr>
          <w:rFonts w:hint="eastAsia" w:ascii="宋体" w:hAnsi="宋体" w:cs="宋体"/>
          <w:sz w:val="24"/>
          <w:szCs w:val="24"/>
          <w:lang w:val="en-US" w:eastAsia="zh-CN"/>
        </w:rPr>
        <w:t>苇子峡乡林业管护社会化服务</w:t>
      </w:r>
      <w:r>
        <w:rPr>
          <w:rFonts w:hint="eastAsia" w:ascii="宋体" w:hAnsi="宋体" w:eastAsia="宋体" w:cs="宋体"/>
          <w:sz w:val="24"/>
          <w:szCs w:val="24"/>
        </w:rPr>
        <w:t>的潜</w:t>
      </w:r>
      <w:r>
        <w:rPr>
          <w:rFonts w:hint="eastAsia" w:ascii="宋体" w:hAnsi="宋体" w:cs="宋体"/>
          <w:sz w:val="24"/>
          <w:szCs w:val="24"/>
        </w:rPr>
        <w:t>在供应商应登陆政采云平台</w:t>
      </w:r>
      <w:r>
        <w:rPr>
          <w:rFonts w:ascii="宋体" w:hAnsi="宋体" w:cs="宋体"/>
          <w:sz w:val="24"/>
          <w:szCs w:val="24"/>
        </w:rPr>
        <w:t>http://www.ccgp-xinjiang.gov.cn</w:t>
      </w:r>
      <w:r>
        <w:rPr>
          <w:rFonts w:hint="eastAsia" w:ascii="宋体" w:hAnsi="宋体" w:cs="宋体"/>
          <w:sz w:val="24"/>
          <w:szCs w:val="24"/>
        </w:rPr>
        <w:t>在线申请获取采购文件，</w:t>
      </w:r>
      <w:r>
        <w:rPr>
          <w:rFonts w:hint="eastAsia" w:ascii="宋体" w:hAnsi="宋体" w:cs="宋体"/>
          <w:sz w:val="24"/>
          <w:szCs w:val="24"/>
          <w:highlight w:val="none"/>
        </w:rPr>
        <w:t>并于</w:t>
      </w:r>
      <w:r>
        <w:rPr>
          <w:rFonts w:hint="eastAsia" w:ascii="宋体" w:hAnsi="宋体" w:cs="宋体"/>
          <w:b/>
          <w:bCs/>
          <w:color w:val="000000"/>
          <w:sz w:val="24"/>
          <w:szCs w:val="24"/>
          <w:highlight w:val="yellow"/>
        </w:rPr>
        <w:t>202</w:t>
      </w:r>
      <w:r>
        <w:rPr>
          <w:rFonts w:hint="eastAsia" w:ascii="宋体" w:hAnsi="宋体" w:cs="宋体"/>
          <w:b/>
          <w:bCs/>
          <w:color w:val="000000"/>
          <w:sz w:val="24"/>
          <w:szCs w:val="24"/>
          <w:highlight w:val="yellow"/>
          <w:lang w:val="en-US" w:eastAsia="zh-CN"/>
        </w:rPr>
        <w:t>4</w:t>
      </w:r>
      <w:r>
        <w:rPr>
          <w:rFonts w:hint="eastAsia" w:ascii="宋体" w:hAnsi="宋体" w:cs="宋体"/>
          <w:b/>
          <w:bCs/>
          <w:color w:val="000000"/>
          <w:sz w:val="24"/>
          <w:szCs w:val="24"/>
          <w:highlight w:val="yellow"/>
        </w:rPr>
        <w:t>年</w:t>
      </w:r>
      <w:r>
        <w:rPr>
          <w:rFonts w:hint="eastAsia" w:ascii="宋体" w:hAnsi="宋体" w:cs="宋体"/>
          <w:b/>
          <w:bCs/>
          <w:color w:val="000000"/>
          <w:sz w:val="24"/>
          <w:szCs w:val="24"/>
          <w:highlight w:val="yellow"/>
          <w:lang w:val="en-US" w:eastAsia="zh-CN"/>
        </w:rPr>
        <w:t>4</w:t>
      </w:r>
      <w:r>
        <w:rPr>
          <w:rFonts w:hint="eastAsia" w:ascii="宋体" w:hAnsi="宋体" w:cs="宋体"/>
          <w:b/>
          <w:bCs/>
          <w:color w:val="000000"/>
          <w:sz w:val="24"/>
          <w:szCs w:val="24"/>
          <w:highlight w:val="yellow"/>
        </w:rPr>
        <w:t>月</w:t>
      </w:r>
      <w:r>
        <w:rPr>
          <w:rFonts w:hint="eastAsia" w:ascii="宋体" w:hAnsi="宋体" w:cs="宋体"/>
          <w:b/>
          <w:bCs/>
          <w:color w:val="000000"/>
          <w:sz w:val="24"/>
          <w:szCs w:val="24"/>
          <w:highlight w:val="yellow"/>
          <w:lang w:val="en-US" w:eastAsia="zh-CN"/>
        </w:rPr>
        <w:t>2</w:t>
      </w:r>
      <w:r>
        <w:rPr>
          <w:rFonts w:hint="eastAsia" w:ascii="宋体" w:hAnsi="宋体" w:cs="宋体"/>
          <w:b/>
          <w:bCs/>
          <w:color w:val="000000"/>
          <w:sz w:val="24"/>
          <w:szCs w:val="24"/>
          <w:highlight w:val="yellow"/>
        </w:rPr>
        <w:t>日1</w:t>
      </w:r>
      <w:r>
        <w:rPr>
          <w:rFonts w:hint="eastAsia" w:ascii="宋体" w:hAnsi="宋体" w:cs="宋体"/>
          <w:b/>
          <w:bCs/>
          <w:color w:val="000000"/>
          <w:sz w:val="24"/>
          <w:szCs w:val="24"/>
          <w:highlight w:val="yellow"/>
          <w:lang w:val="en-US" w:eastAsia="zh-CN"/>
        </w:rPr>
        <w:t>6</w:t>
      </w:r>
      <w:r>
        <w:rPr>
          <w:rFonts w:hint="eastAsia" w:ascii="宋体" w:hAnsi="宋体" w:cs="宋体"/>
          <w:b/>
          <w:bCs/>
          <w:color w:val="000000"/>
          <w:sz w:val="24"/>
          <w:szCs w:val="24"/>
          <w:highlight w:val="yellow"/>
        </w:rPr>
        <w:t>:</w:t>
      </w:r>
      <w:r>
        <w:rPr>
          <w:rFonts w:hint="eastAsia" w:ascii="宋体" w:hAnsi="宋体" w:cs="宋体"/>
          <w:b/>
          <w:bCs/>
          <w:color w:val="000000"/>
          <w:sz w:val="24"/>
          <w:szCs w:val="24"/>
          <w:highlight w:val="yellow"/>
          <w:lang w:val="en-US" w:eastAsia="zh-CN"/>
        </w:rPr>
        <w:t>0</w:t>
      </w:r>
      <w:r>
        <w:rPr>
          <w:rFonts w:hint="eastAsia" w:ascii="宋体" w:hAnsi="宋体" w:cs="宋体"/>
          <w:b/>
          <w:bCs/>
          <w:color w:val="000000"/>
          <w:sz w:val="24"/>
          <w:szCs w:val="24"/>
          <w:highlight w:val="yellow"/>
        </w:rPr>
        <w:t>0</w:t>
      </w:r>
      <w:r>
        <w:rPr>
          <w:rFonts w:hint="eastAsia" w:ascii="宋体" w:hAnsi="宋体" w:cs="宋体"/>
          <w:sz w:val="24"/>
          <w:szCs w:val="24"/>
          <w:highlight w:val="yellow"/>
        </w:rPr>
        <w:t>（北京时间）前提交投标文件。</w:t>
      </w:r>
    </w:p>
    <w:p>
      <w:pPr>
        <w:rPr>
          <w:rFonts w:hint="eastAsia" w:ascii="宋体" w:hAnsi="宋体" w:cs="宋体"/>
        </w:rPr>
      </w:pPr>
    </w:p>
    <w:p>
      <w:pPr>
        <w:pStyle w:val="16"/>
        <w:spacing w:line="312" w:lineRule="auto"/>
        <w:ind w:left="0" w:firstLine="0" w:firstLineChars="0"/>
        <w:rPr>
          <w:rFonts w:hint="eastAsia" w:ascii="宋体" w:hAnsi="宋体" w:cs="宋体"/>
        </w:rPr>
      </w:pPr>
    </w:p>
    <w:p>
      <w:pPr>
        <w:pStyle w:val="119"/>
        <w:widowControl/>
        <w:numPr>
          <w:ilvl w:val="0"/>
          <w:numId w:val="6"/>
        </w:numPr>
        <w:spacing w:line="360" w:lineRule="auto"/>
        <w:ind w:firstLineChars="0"/>
        <w:rPr>
          <w:rFonts w:hint="eastAsia" w:ascii="宋体" w:hAnsi="宋体" w:cs="宋体"/>
        </w:rPr>
      </w:pPr>
      <w:r>
        <w:rPr>
          <w:rFonts w:hint="eastAsia" w:ascii="宋体" w:hAnsi="宋体" w:cs="宋体"/>
          <w:b/>
          <w:color w:val="000000"/>
          <w:sz w:val="24"/>
          <w:szCs w:val="24"/>
        </w:rPr>
        <w:t>项目基本情况</w:t>
      </w:r>
    </w:p>
    <w:p>
      <w:pPr>
        <w:pStyle w:val="120"/>
        <w:spacing w:line="360" w:lineRule="auto"/>
        <w:rPr>
          <w:rFonts w:hint="eastAsia" w:ascii="宋体" w:hAnsi="宋体" w:cs="宋体"/>
          <w:sz w:val="28"/>
          <w:szCs w:val="28"/>
          <w:lang w:val="en-US" w:eastAsia="zh-CN"/>
        </w:rPr>
      </w:pPr>
      <w:r>
        <w:rPr>
          <w:rFonts w:hint="eastAsia" w:ascii="宋体" w:hAnsi="宋体" w:cs="宋体"/>
          <w:color w:val="000000"/>
          <w:sz w:val="24"/>
          <w:szCs w:val="24"/>
          <w:lang w:eastAsia="zh-CN" w:bidi="ar"/>
        </w:rPr>
        <w:t>项目</w:t>
      </w:r>
      <w:r>
        <w:rPr>
          <w:rFonts w:hint="eastAsia" w:ascii="宋体" w:hAnsi="宋体" w:cs="宋体"/>
          <w:color w:val="000000"/>
          <w:sz w:val="24"/>
          <w:szCs w:val="24"/>
          <w:lang w:bidi="ar"/>
        </w:rPr>
        <w:t>编号</w:t>
      </w:r>
      <w:r>
        <w:rPr>
          <w:rFonts w:hint="eastAsia" w:ascii="宋体" w:hAnsi="宋体" w:cs="宋体"/>
          <w:color w:val="000000"/>
          <w:sz w:val="24"/>
          <w:szCs w:val="24"/>
          <w:lang w:eastAsia="zh-CN" w:bidi="ar"/>
        </w:rPr>
        <w:t>：</w:t>
      </w:r>
      <w:r>
        <w:rPr>
          <w:rFonts w:hint="eastAsia" w:ascii="宋体" w:hAnsi="宋体" w:cs="宋体"/>
          <w:sz w:val="28"/>
          <w:szCs w:val="28"/>
          <w:lang w:val="en-US" w:eastAsia="zh-CN"/>
        </w:rPr>
        <w:t>TCBY2024-07</w:t>
      </w:r>
    </w:p>
    <w:p>
      <w:pPr>
        <w:pStyle w:val="120"/>
        <w:spacing w:line="360" w:lineRule="auto"/>
        <w:rPr>
          <w:rFonts w:hint="eastAsia" w:ascii="宋体" w:hAnsi="宋体" w:cs="宋体"/>
          <w:sz w:val="24"/>
          <w:szCs w:val="24"/>
          <w:lang w:val="en-US" w:eastAsia="zh-CN"/>
        </w:rPr>
      </w:pPr>
      <w:r>
        <w:rPr>
          <w:rFonts w:hint="eastAsia" w:hAnsi="宋体" w:cs="宋体"/>
          <w:sz w:val="24"/>
          <w:szCs w:val="28"/>
        </w:rPr>
        <w:t>项目名称：</w:t>
      </w:r>
      <w:r>
        <w:rPr>
          <w:rFonts w:hint="eastAsia" w:ascii="宋体" w:hAnsi="宋体" w:cs="宋体"/>
          <w:sz w:val="24"/>
          <w:szCs w:val="24"/>
          <w:lang w:val="en-US" w:eastAsia="zh-CN"/>
        </w:rPr>
        <w:t>苇子峡乡林业管护社会化服务</w:t>
      </w:r>
    </w:p>
    <w:p>
      <w:pPr>
        <w:pStyle w:val="120"/>
        <w:spacing w:line="360" w:lineRule="auto"/>
        <w:rPr>
          <w:rFonts w:hint="eastAsia" w:hAnsi="宋体" w:eastAsia="宋体" w:cs="宋体"/>
          <w:sz w:val="24"/>
          <w:szCs w:val="28"/>
          <w:lang w:eastAsia="zh-CN"/>
        </w:rPr>
      </w:pPr>
      <w:r>
        <w:rPr>
          <w:rFonts w:hint="eastAsia" w:hAnsi="宋体" w:cs="宋体"/>
          <w:sz w:val="24"/>
          <w:szCs w:val="28"/>
        </w:rPr>
        <w:t>采购方式：</w:t>
      </w:r>
      <w:r>
        <w:rPr>
          <w:rFonts w:hint="eastAsia" w:hAnsi="宋体" w:cs="宋体"/>
          <w:sz w:val="24"/>
          <w:szCs w:val="28"/>
          <w:lang w:val="en-US" w:eastAsia="zh-CN"/>
        </w:rPr>
        <w:t>公开</w:t>
      </w:r>
      <w:r>
        <w:rPr>
          <w:rFonts w:hint="eastAsia" w:hAnsi="宋体" w:cs="宋体"/>
          <w:sz w:val="24"/>
          <w:szCs w:val="28"/>
          <w:lang w:eastAsia="zh-CN"/>
        </w:rPr>
        <w:t>招标</w:t>
      </w:r>
    </w:p>
    <w:p>
      <w:pPr>
        <w:pStyle w:val="120"/>
        <w:spacing w:line="360" w:lineRule="auto"/>
        <w:rPr>
          <w:rFonts w:hint="eastAsia" w:hAnsi="宋体" w:cs="宋体"/>
          <w:sz w:val="24"/>
          <w:szCs w:val="28"/>
          <w:highlight w:val="none"/>
        </w:rPr>
      </w:pPr>
      <w:r>
        <w:rPr>
          <w:rFonts w:hint="eastAsia" w:hAnsi="宋体" w:cs="宋体"/>
          <w:sz w:val="24"/>
          <w:szCs w:val="28"/>
          <w:highlight w:val="none"/>
        </w:rPr>
        <w:t>预算金额：</w:t>
      </w:r>
      <w:r>
        <w:rPr>
          <w:rFonts w:hint="eastAsia" w:hAnsi="宋体" w:eastAsia="宋体" w:cs="宋体"/>
          <w:sz w:val="24"/>
          <w:szCs w:val="28"/>
          <w:highlight w:val="none"/>
          <w:lang w:val="en-US" w:eastAsia="zh-CN" w:bidi="ar-SA"/>
        </w:rPr>
        <w:t>26</w:t>
      </w:r>
      <w:r>
        <w:rPr>
          <w:rFonts w:hint="eastAsia" w:hAnsi="宋体" w:cs="宋体"/>
          <w:sz w:val="24"/>
          <w:szCs w:val="28"/>
          <w:highlight w:val="none"/>
          <w:lang w:val="en-US" w:eastAsia="zh-CN" w:bidi="ar-SA"/>
        </w:rPr>
        <w:t>0</w:t>
      </w:r>
      <w:r>
        <w:rPr>
          <w:rFonts w:hint="eastAsia" w:hAnsi="宋体" w:eastAsia="宋体" w:cs="宋体"/>
          <w:sz w:val="24"/>
          <w:szCs w:val="28"/>
          <w:highlight w:val="none"/>
          <w:lang w:val="en-US" w:eastAsia="zh-CN" w:bidi="ar-SA"/>
        </w:rPr>
        <w:t>0000</w:t>
      </w:r>
      <w:r>
        <w:rPr>
          <w:rFonts w:hint="eastAsia" w:hAnsi="宋体" w:cs="宋体"/>
          <w:sz w:val="24"/>
          <w:szCs w:val="28"/>
          <w:highlight w:val="none"/>
        </w:rPr>
        <w:t>元</w:t>
      </w:r>
    </w:p>
    <w:p>
      <w:pPr>
        <w:spacing w:line="360" w:lineRule="auto"/>
        <w:rPr>
          <w:rFonts w:hint="eastAsia" w:ascii="宋体" w:hAnsi="宋体" w:eastAsia="宋体" w:cs="宋体"/>
          <w:spacing w:val="8"/>
          <w:sz w:val="24"/>
          <w:szCs w:val="24"/>
          <w:highlight w:val="none"/>
          <w:lang w:eastAsia="zh-CN"/>
        </w:rPr>
      </w:pPr>
      <w:r>
        <w:rPr>
          <w:rFonts w:hint="eastAsia" w:ascii="宋体" w:hAnsi="宋体" w:cs="宋体"/>
          <w:sz w:val="24"/>
          <w:szCs w:val="24"/>
          <w:lang w:bidi="ar"/>
        </w:rPr>
        <w:t>采购需求：</w:t>
      </w:r>
      <w:r>
        <w:rPr>
          <w:rFonts w:hint="eastAsia" w:ascii="宋体" w:hAnsi="宋体" w:eastAsia="宋体" w:cs="宋体"/>
          <w:spacing w:val="8"/>
          <w:sz w:val="24"/>
          <w:szCs w:val="24"/>
          <w:highlight w:val="none"/>
          <w:lang w:val="en-US" w:eastAsia="zh-CN"/>
        </w:rPr>
        <w:t>苇子峡乡辖区7532.7亩林带进行托管，其中杏林基地5015.8亩；太阳历广场防护林981.9亩；绿色通道790亩；农田防护林745亩，包含日常灌溉、补植补造、病虫害防治、施肥、修剪涂白、水电设施设备、灌溉设施设备维修管护等内容。（具体内容详见招标文件）。</w:t>
      </w:r>
    </w:p>
    <w:p>
      <w:pPr>
        <w:pStyle w:val="120"/>
        <w:spacing w:line="360" w:lineRule="auto"/>
        <w:rPr>
          <w:rFonts w:hint="eastAsia" w:ascii="宋体" w:hAnsi="宋体" w:cs="宋体"/>
          <w:highlight w:val="red"/>
        </w:rPr>
      </w:pPr>
      <w:r>
        <w:rPr>
          <w:rFonts w:hint="eastAsia" w:ascii="宋体" w:hAnsi="宋体" w:cs="宋体"/>
          <w:sz w:val="24"/>
          <w:szCs w:val="24"/>
          <w:lang w:bidi="ar"/>
        </w:rPr>
        <w:t>本项目（是/否）接受联合体投标：</w:t>
      </w:r>
      <w:r>
        <w:rPr>
          <w:rFonts w:hint="eastAsia" w:ascii="宋体" w:hAnsi="宋体" w:cs="宋体"/>
          <w:sz w:val="24"/>
          <w:szCs w:val="24"/>
          <w:u w:val="single"/>
          <w:lang w:bidi="ar"/>
        </w:rPr>
        <w:t xml:space="preserve">  否  </w:t>
      </w:r>
    </w:p>
    <w:p>
      <w:pPr>
        <w:pStyle w:val="272"/>
        <w:numPr>
          <w:ilvl w:val="0"/>
          <w:numId w:val="6"/>
        </w:numPr>
        <w:spacing w:line="360" w:lineRule="auto"/>
        <w:rPr>
          <w:rFonts w:hint="eastAsia" w:ascii="宋体" w:hAnsi="宋体" w:cs="宋体"/>
          <w:b/>
          <w:bCs/>
          <w:sz w:val="24"/>
          <w:szCs w:val="24"/>
        </w:rPr>
      </w:pPr>
      <w:r>
        <w:rPr>
          <w:rFonts w:hint="eastAsia" w:ascii="宋体" w:hAnsi="宋体" w:cs="宋体"/>
          <w:b/>
          <w:bCs/>
          <w:sz w:val="24"/>
          <w:szCs w:val="24"/>
        </w:rPr>
        <w:t>申请人的资格要求：</w:t>
      </w:r>
    </w:p>
    <w:p>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1.满足《中华人民共和国政府采购法》第二十二条规定；</w:t>
      </w:r>
    </w:p>
    <w:p>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2.落实政府采购政策需满足的资格要求：</w:t>
      </w:r>
    </w:p>
    <w:p>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1）单位负责人为同一人或者存在直接控股、管理关系的不同供应商，不得同时参加本项目同一包的投标；</w:t>
      </w:r>
    </w:p>
    <w:p>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2）为本项目某包提供整体设计、规范编制或者项目管理、监理、检测等服务的供应商，不得参加该包的投标；</w:t>
      </w:r>
    </w:p>
    <w:p>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通过“信用中国”网站（www.creditchina.gov.cn）和中国政府采购网（www.ccgp.gov.cn）查询信用记录（截止时间点为投标截止时间），被列入失信被执行人、重大税收违法案件当事人名单或政府采购严重违法失信行为记录名单的供应商，没有资格参加本项目的采购活动；</w:t>
      </w:r>
    </w:p>
    <w:p>
      <w:pPr>
        <w:pStyle w:val="20"/>
        <w:ind w:firstLine="480" w:firstLineChars="200"/>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4）本项目专门面向中小企业采购。</w:t>
      </w:r>
    </w:p>
    <w:p>
      <w:pPr>
        <w:pStyle w:val="20"/>
        <w:tabs>
          <w:tab w:val="left" w:pos="567"/>
        </w:tabs>
        <w:spacing w:line="360" w:lineRule="auto"/>
        <w:ind w:firstLine="480" w:firstLineChars="200"/>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3.本项目的特定资格要求：</w:t>
      </w:r>
      <w:r>
        <w:rPr>
          <w:rFonts w:hint="eastAsia" w:ascii="宋体" w:hAnsi="宋体" w:cs="宋体"/>
          <w:color w:val="000000"/>
          <w:kern w:val="2"/>
          <w:sz w:val="24"/>
          <w:szCs w:val="24"/>
          <w:lang w:val="en-US" w:eastAsia="zh-CN" w:bidi="ar-SA"/>
        </w:rPr>
        <w:t>无</w:t>
      </w:r>
    </w:p>
    <w:p>
      <w:pPr>
        <w:pStyle w:val="274"/>
        <w:spacing w:line="360" w:lineRule="auto"/>
        <w:ind w:firstLine="482" w:firstLineChars="200"/>
        <w:rPr>
          <w:rFonts w:hint="eastAsia" w:ascii="宋体" w:hAnsi="宋体"/>
          <w:b/>
          <w:bCs/>
          <w:sz w:val="24"/>
          <w:szCs w:val="24"/>
        </w:rPr>
      </w:pPr>
      <w:r>
        <w:rPr>
          <w:rFonts w:hint="eastAsia" w:ascii="宋体" w:hAnsi="宋体"/>
          <w:b/>
          <w:bCs/>
          <w:sz w:val="24"/>
          <w:szCs w:val="24"/>
        </w:rPr>
        <w:t>三、获取采购文件</w:t>
      </w:r>
    </w:p>
    <w:p>
      <w:pPr>
        <w:pStyle w:val="120"/>
        <w:spacing w:line="360" w:lineRule="auto"/>
        <w:ind w:firstLine="482" w:firstLineChars="200"/>
        <w:rPr>
          <w:rFonts w:hint="eastAsia" w:ascii="宋体" w:hAnsi="宋体" w:cs="宋体"/>
          <w:b/>
          <w:bCs/>
          <w:color w:val="000000"/>
          <w:kern w:val="0"/>
          <w:sz w:val="24"/>
          <w:szCs w:val="24"/>
          <w:highlight w:val="yellow"/>
          <w:u w:val="single"/>
          <w:lang w:val="en-US" w:eastAsia="zh-CN" w:bidi="ar-SA"/>
        </w:rPr>
      </w:pPr>
      <w:r>
        <w:rPr>
          <w:rFonts w:hint="eastAsia" w:ascii="宋体" w:hAnsi="宋体" w:cs="宋体"/>
          <w:b/>
          <w:bCs/>
          <w:color w:val="000000"/>
          <w:sz w:val="24"/>
          <w:szCs w:val="24"/>
          <w:highlight w:val="none"/>
          <w:lang w:bidi="ar"/>
        </w:rPr>
        <w:t>时间:</w:t>
      </w:r>
      <w:r>
        <w:rPr>
          <w:rFonts w:hint="eastAsia" w:ascii="宋体" w:hAnsi="宋体" w:cs="宋体"/>
          <w:b/>
          <w:bCs/>
          <w:color w:val="FF0000"/>
          <w:sz w:val="24"/>
          <w:szCs w:val="24"/>
          <w:highlight w:val="yellow"/>
          <w:lang w:bidi="ar"/>
        </w:rPr>
        <w:t xml:space="preserve"> </w:t>
      </w:r>
      <w:r>
        <w:rPr>
          <w:rFonts w:hint="eastAsia" w:ascii="宋体" w:hAnsi="宋体" w:cs="宋体"/>
          <w:b/>
          <w:bCs/>
          <w:color w:val="000000"/>
          <w:kern w:val="0"/>
          <w:sz w:val="24"/>
          <w:szCs w:val="24"/>
          <w:highlight w:val="yellow"/>
          <w:u w:val="single"/>
          <w:lang w:val="en-US" w:eastAsia="zh-CN" w:bidi="ar-SA"/>
        </w:rPr>
        <w:t>2024年3月13日至2024年3月27日每天</w:t>
      </w:r>
      <w:r>
        <w:rPr>
          <w:rFonts w:hint="eastAsia" w:ascii="宋体" w:hAnsi="宋体" w:eastAsia="宋体" w:cs="宋体"/>
          <w:b/>
          <w:bCs/>
          <w:color w:val="000000"/>
          <w:kern w:val="0"/>
          <w:sz w:val="24"/>
          <w:szCs w:val="24"/>
          <w:highlight w:val="yellow"/>
          <w:u w:val="single"/>
          <w:lang w:val="en-US" w:eastAsia="zh-CN" w:bidi="ar-SA"/>
        </w:rPr>
        <w:t>上午00:00至12:00，</w:t>
      </w:r>
      <w:r>
        <w:rPr>
          <w:rFonts w:hint="eastAsia" w:ascii="宋体" w:hAnsi="宋体" w:cs="宋体"/>
          <w:b/>
          <w:bCs/>
          <w:color w:val="000000"/>
          <w:kern w:val="0"/>
          <w:sz w:val="24"/>
          <w:szCs w:val="24"/>
          <w:highlight w:val="yellow"/>
          <w:u w:val="single"/>
          <w:lang w:val="en-US" w:eastAsia="zh-CN" w:bidi="ar-SA"/>
        </w:rPr>
        <w:t>下午12:00至23:59（北京时间，法定节假日除外）</w:t>
      </w:r>
    </w:p>
    <w:p>
      <w:pPr>
        <w:pStyle w:val="120"/>
        <w:spacing w:line="360" w:lineRule="auto"/>
        <w:ind w:firstLine="480" w:firstLineChars="200"/>
        <w:rPr>
          <w:rFonts w:hint="eastAsia" w:ascii="宋体" w:hAnsi="宋体" w:cs="宋体"/>
          <w:color w:val="000000"/>
          <w:sz w:val="24"/>
          <w:szCs w:val="24"/>
          <w:lang w:eastAsia="zh-CN"/>
        </w:rPr>
      </w:pPr>
      <w:r>
        <w:rPr>
          <w:rFonts w:hint="eastAsia" w:ascii="宋体" w:hAnsi="宋体" w:cs="宋体"/>
          <w:sz w:val="24"/>
          <w:szCs w:val="24"/>
          <w:lang w:eastAsia="zh-CN"/>
        </w:rPr>
        <w:t>地点：新疆政府采购网（http://www.ccgp-xinjiang.gov.cn）政采云平台线上获取</w:t>
      </w:r>
      <w:r>
        <w:rPr>
          <w:rFonts w:hint="eastAsia" w:ascii="宋体" w:hAnsi="宋体" w:cs="宋体"/>
          <w:color w:val="000000"/>
          <w:sz w:val="24"/>
          <w:szCs w:val="24"/>
          <w:lang w:eastAsia="zh-CN"/>
        </w:rPr>
        <w:t>方式：供应商登录政采云平台https://www.zcygov.cn/在线申请获取采购文件（进入“项目采购”应用，在获取采购文件菜单中选择项目，申请获取采购文件）投标人获取招标文件时须在政采云平台上提供特定资格要求中需求资料的扫描件。</w:t>
      </w:r>
    </w:p>
    <w:p>
      <w:pPr>
        <w:pStyle w:val="272"/>
        <w:spacing w:line="360" w:lineRule="auto"/>
        <w:ind w:right="-307" w:rightChars="-146"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售价（元）：0</w:t>
      </w:r>
    </w:p>
    <w:p>
      <w:pPr>
        <w:pStyle w:val="272"/>
        <w:spacing w:line="360" w:lineRule="auto"/>
        <w:ind w:right="-307" w:rightChars="-146" w:firstLine="480" w:firstLineChars="200"/>
        <w:rPr>
          <w:rFonts w:hint="eastAsia" w:ascii="宋体" w:hAnsi="宋体" w:cs="宋体"/>
          <w:b/>
          <w:bCs/>
          <w:sz w:val="24"/>
          <w:szCs w:val="24"/>
        </w:rPr>
      </w:pPr>
      <w:r>
        <w:rPr>
          <w:rFonts w:hint="eastAsia" w:ascii="宋体" w:hAnsi="宋体" w:cs="宋体"/>
          <w:color w:val="000000"/>
          <w:sz w:val="24"/>
          <w:szCs w:val="24"/>
          <w:lang w:val="en-US" w:eastAsia="zh-CN"/>
        </w:rPr>
        <w:t>四、</w:t>
      </w:r>
      <w:r>
        <w:rPr>
          <w:rFonts w:hint="eastAsia" w:ascii="宋体" w:hAnsi="宋体" w:cs="宋体"/>
          <w:b/>
          <w:bCs/>
          <w:sz w:val="24"/>
          <w:szCs w:val="24"/>
          <w:highlight w:val="yellow"/>
        </w:rPr>
        <w:t>响应文件提交</w:t>
      </w:r>
      <w:r>
        <w:rPr>
          <w:rFonts w:hint="eastAsia"/>
          <w:szCs w:val="24"/>
          <w:highlight w:val="yellow"/>
        </w:rPr>
        <w:t>截止时间：</w:t>
      </w:r>
      <w:r>
        <w:rPr>
          <w:rFonts w:hint="eastAsia"/>
          <w:b/>
          <w:bCs/>
          <w:color w:val="000000"/>
          <w:szCs w:val="24"/>
          <w:highlight w:val="yellow"/>
          <w:u w:val="single"/>
          <w:lang w:eastAsia="zh-CN"/>
        </w:rPr>
        <w:t>202</w:t>
      </w:r>
      <w:r>
        <w:rPr>
          <w:rFonts w:hint="eastAsia"/>
          <w:b/>
          <w:bCs/>
          <w:color w:val="000000"/>
          <w:szCs w:val="24"/>
          <w:highlight w:val="yellow"/>
          <w:u w:val="single"/>
          <w:lang w:val="en-US" w:eastAsia="zh-CN"/>
        </w:rPr>
        <w:t>4</w:t>
      </w:r>
      <w:r>
        <w:rPr>
          <w:rFonts w:hint="eastAsia"/>
          <w:b/>
          <w:bCs/>
          <w:color w:val="000000"/>
          <w:szCs w:val="24"/>
          <w:highlight w:val="yellow"/>
          <w:u w:val="single"/>
          <w:lang w:eastAsia="zh-CN"/>
        </w:rPr>
        <w:t>年</w:t>
      </w:r>
      <w:r>
        <w:rPr>
          <w:rFonts w:hint="eastAsia"/>
          <w:b/>
          <w:bCs/>
          <w:color w:val="000000"/>
          <w:szCs w:val="24"/>
          <w:highlight w:val="yellow"/>
          <w:u w:val="single"/>
          <w:lang w:val="en-US" w:eastAsia="zh-CN"/>
        </w:rPr>
        <w:t>4</w:t>
      </w:r>
      <w:r>
        <w:rPr>
          <w:rFonts w:hint="eastAsia"/>
          <w:b/>
          <w:bCs/>
          <w:color w:val="000000"/>
          <w:szCs w:val="24"/>
          <w:highlight w:val="yellow"/>
          <w:u w:val="single"/>
          <w:lang w:eastAsia="zh-CN"/>
        </w:rPr>
        <w:t>月</w:t>
      </w:r>
      <w:r>
        <w:rPr>
          <w:rFonts w:hint="eastAsia"/>
          <w:b/>
          <w:bCs/>
          <w:color w:val="000000"/>
          <w:szCs w:val="24"/>
          <w:highlight w:val="yellow"/>
          <w:u w:val="single"/>
          <w:lang w:val="en-US" w:eastAsia="zh-CN"/>
        </w:rPr>
        <w:t>2</w:t>
      </w:r>
      <w:r>
        <w:rPr>
          <w:rFonts w:hint="eastAsia"/>
          <w:b/>
          <w:bCs/>
          <w:color w:val="000000"/>
          <w:szCs w:val="24"/>
          <w:highlight w:val="yellow"/>
          <w:u w:val="single"/>
          <w:lang w:eastAsia="zh-CN"/>
        </w:rPr>
        <w:t>日</w:t>
      </w:r>
      <w:r>
        <w:rPr>
          <w:rFonts w:hint="eastAsia"/>
          <w:b/>
          <w:bCs/>
          <w:color w:val="000000"/>
          <w:szCs w:val="24"/>
          <w:highlight w:val="yellow"/>
          <w:u w:val="single"/>
        </w:rPr>
        <w:t>1</w:t>
      </w:r>
      <w:r>
        <w:rPr>
          <w:rFonts w:hint="eastAsia"/>
          <w:b/>
          <w:bCs/>
          <w:color w:val="000000"/>
          <w:szCs w:val="24"/>
          <w:highlight w:val="yellow"/>
          <w:u w:val="single"/>
          <w:lang w:val="en-US" w:eastAsia="zh-CN"/>
        </w:rPr>
        <w:t>6</w:t>
      </w:r>
      <w:r>
        <w:rPr>
          <w:rFonts w:hint="eastAsia"/>
          <w:b/>
          <w:bCs/>
          <w:color w:val="000000"/>
          <w:szCs w:val="24"/>
          <w:highlight w:val="yellow"/>
          <w:u w:val="single"/>
        </w:rPr>
        <w:t>时</w:t>
      </w:r>
      <w:r>
        <w:rPr>
          <w:rFonts w:hint="eastAsia"/>
          <w:b/>
          <w:bCs/>
          <w:color w:val="000000"/>
          <w:szCs w:val="24"/>
          <w:highlight w:val="yellow"/>
          <w:u w:val="single"/>
          <w:lang w:val="en-US" w:eastAsia="zh-CN"/>
        </w:rPr>
        <w:t>0</w:t>
      </w:r>
      <w:r>
        <w:rPr>
          <w:rFonts w:hint="eastAsia"/>
          <w:b/>
          <w:bCs/>
          <w:color w:val="000000"/>
          <w:szCs w:val="24"/>
          <w:highlight w:val="yellow"/>
          <w:u w:val="single"/>
        </w:rPr>
        <w:t>0分</w:t>
      </w:r>
      <w:r>
        <w:rPr>
          <w:rFonts w:hint="eastAsia"/>
          <w:color w:val="000000"/>
          <w:szCs w:val="24"/>
          <w:highlight w:val="yellow"/>
        </w:rPr>
        <w:t>（</w:t>
      </w:r>
      <w:r>
        <w:rPr>
          <w:rFonts w:hint="eastAsia"/>
          <w:szCs w:val="24"/>
          <w:highlight w:val="yellow"/>
        </w:rPr>
        <w:t>北</w:t>
      </w:r>
      <w:r>
        <w:rPr>
          <w:rFonts w:hint="eastAsia"/>
          <w:szCs w:val="24"/>
          <w:highlight w:val="none"/>
        </w:rPr>
        <w:t>京时间）</w:t>
      </w:r>
    </w:p>
    <w:p>
      <w:pPr>
        <w:pStyle w:val="40"/>
        <w:spacing w:before="0" w:beforeAutospacing="0" w:after="0" w:afterAutospacing="0" w:line="408" w:lineRule="auto"/>
        <w:rPr>
          <w:rFonts w:hint="eastAsia"/>
          <w:szCs w:val="24"/>
        </w:rPr>
      </w:pPr>
      <w:r>
        <w:rPr>
          <w:rFonts w:hint="eastAsia"/>
          <w:szCs w:val="24"/>
        </w:rPr>
        <w:t>地点：新疆政府采购网（http://www.ccgp-xinjiang.gov.cn）政采云平台）</w:t>
      </w:r>
    </w:p>
    <w:p>
      <w:pPr>
        <w:pStyle w:val="40"/>
        <w:spacing w:before="0" w:beforeAutospacing="0" w:after="0" w:afterAutospacing="0" w:line="360" w:lineRule="auto"/>
        <w:ind w:firstLine="480" w:firstLineChars="200"/>
        <w:rPr>
          <w:rFonts w:hint="eastAsia"/>
          <w:szCs w:val="24"/>
        </w:rPr>
      </w:pPr>
      <w:r>
        <w:rPr>
          <w:rFonts w:hint="eastAsia"/>
          <w:szCs w:val="24"/>
        </w:rPr>
        <w:t>（逾期未上传的或不符合规定的投标文件将被拒绝接收）</w:t>
      </w:r>
    </w:p>
    <w:p>
      <w:pPr>
        <w:pStyle w:val="272"/>
        <w:numPr>
          <w:ilvl w:val="0"/>
          <w:numId w:val="0"/>
        </w:numPr>
        <w:spacing w:line="360" w:lineRule="auto"/>
        <w:ind w:leftChars="0"/>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五、</w:t>
      </w:r>
      <w:r>
        <w:rPr>
          <w:rFonts w:hint="eastAsia" w:ascii="宋体" w:hAnsi="宋体" w:cs="宋体"/>
          <w:b/>
          <w:bCs/>
          <w:sz w:val="24"/>
          <w:szCs w:val="24"/>
          <w:highlight w:val="none"/>
        </w:rPr>
        <w:t>开启</w:t>
      </w:r>
    </w:p>
    <w:p>
      <w:pPr>
        <w:pStyle w:val="47"/>
        <w:spacing w:line="360" w:lineRule="auto"/>
        <w:ind w:right="-727" w:rightChars="-346" w:firstLine="480" w:firstLineChars="200"/>
        <w:rPr>
          <w:rFonts w:hint="eastAsia" w:ascii="宋体" w:hAnsi="宋体" w:cs="宋体"/>
          <w:sz w:val="24"/>
          <w:highlight w:val="none"/>
        </w:rPr>
      </w:pPr>
      <w:r>
        <w:rPr>
          <w:rFonts w:hint="eastAsia" w:ascii="宋体" w:hAnsi="宋体" w:cs="宋体"/>
          <w:sz w:val="24"/>
          <w:highlight w:val="none"/>
        </w:rPr>
        <w:t>开标时间</w:t>
      </w:r>
      <w:r>
        <w:rPr>
          <w:rFonts w:hint="eastAsia" w:ascii="宋体" w:hAnsi="宋体" w:cs="宋体"/>
          <w:color w:val="000000"/>
          <w:sz w:val="24"/>
          <w:highlight w:val="none"/>
        </w:rPr>
        <w:t>：</w:t>
      </w:r>
      <w:r>
        <w:rPr>
          <w:rFonts w:hint="eastAsia"/>
          <w:b/>
          <w:bCs/>
          <w:color w:val="000000"/>
          <w:szCs w:val="24"/>
          <w:highlight w:val="yellow"/>
          <w:u w:val="single"/>
          <w:lang w:eastAsia="zh-CN"/>
        </w:rPr>
        <w:t>202</w:t>
      </w:r>
      <w:r>
        <w:rPr>
          <w:rFonts w:hint="eastAsia"/>
          <w:b/>
          <w:bCs/>
          <w:color w:val="000000"/>
          <w:szCs w:val="24"/>
          <w:highlight w:val="yellow"/>
          <w:u w:val="single"/>
          <w:lang w:val="en-US" w:eastAsia="zh-CN"/>
        </w:rPr>
        <w:t>4</w:t>
      </w:r>
      <w:r>
        <w:rPr>
          <w:rFonts w:hint="eastAsia"/>
          <w:b/>
          <w:bCs/>
          <w:color w:val="000000"/>
          <w:szCs w:val="24"/>
          <w:highlight w:val="yellow"/>
          <w:u w:val="single"/>
          <w:lang w:eastAsia="zh-CN"/>
        </w:rPr>
        <w:t>年</w:t>
      </w:r>
      <w:r>
        <w:rPr>
          <w:rFonts w:hint="eastAsia"/>
          <w:b/>
          <w:bCs/>
          <w:color w:val="000000"/>
          <w:szCs w:val="24"/>
          <w:highlight w:val="yellow"/>
          <w:u w:val="single"/>
          <w:lang w:val="en-US" w:eastAsia="zh-CN"/>
        </w:rPr>
        <w:t>4</w:t>
      </w:r>
      <w:r>
        <w:rPr>
          <w:rFonts w:hint="eastAsia"/>
          <w:b/>
          <w:bCs/>
          <w:color w:val="000000"/>
          <w:szCs w:val="24"/>
          <w:highlight w:val="yellow"/>
          <w:u w:val="single"/>
          <w:lang w:eastAsia="zh-CN"/>
        </w:rPr>
        <w:t>月2日1</w:t>
      </w:r>
      <w:r>
        <w:rPr>
          <w:rFonts w:hint="eastAsia"/>
          <w:b/>
          <w:bCs/>
          <w:color w:val="000000"/>
          <w:szCs w:val="24"/>
          <w:highlight w:val="yellow"/>
          <w:u w:val="single"/>
          <w:lang w:val="en-US" w:eastAsia="zh-CN"/>
        </w:rPr>
        <w:t>6</w:t>
      </w:r>
      <w:r>
        <w:rPr>
          <w:rFonts w:hint="eastAsia"/>
          <w:b/>
          <w:bCs/>
          <w:color w:val="000000"/>
          <w:szCs w:val="24"/>
          <w:highlight w:val="yellow"/>
          <w:u w:val="single"/>
          <w:lang w:eastAsia="zh-CN"/>
        </w:rPr>
        <w:t>时00分</w:t>
      </w:r>
      <w:r>
        <w:rPr>
          <w:rFonts w:hint="eastAsia" w:ascii="宋体" w:hAnsi="宋体" w:cs="宋体"/>
          <w:bCs/>
          <w:sz w:val="24"/>
          <w:highlight w:val="none"/>
        </w:rPr>
        <w:t>（北京时间）</w:t>
      </w:r>
    </w:p>
    <w:p>
      <w:pPr>
        <w:pStyle w:val="275"/>
        <w:tabs>
          <w:tab w:val="left" w:pos="1424"/>
        </w:tabs>
        <w:spacing w:line="408" w:lineRule="auto"/>
        <w:ind w:firstLine="480" w:firstLineChars="200"/>
        <w:jc w:val="left"/>
        <w:rPr>
          <w:rFonts w:hint="eastAsia" w:ascii="宋体" w:hAnsi="宋体" w:cs="宋体"/>
          <w:sz w:val="24"/>
        </w:rPr>
      </w:pPr>
      <w:r>
        <w:rPr>
          <w:rFonts w:hint="eastAsia" w:ascii="宋体" w:hAnsi="宋体" w:cs="宋体"/>
          <w:sz w:val="24"/>
        </w:rPr>
        <w:t>开标地点：政采云远程不见面开标大厅（本项目采用远程不见面交易的模式。开标当日，投标人无需到达开标现场，仅需在任意地点登录政采云平台（http://www.ccgp-xinjiang.gov.cn）不见面开标系统（进入“项目采购”应用，在开标评标菜单中选择进入开标大厅）.</w:t>
      </w:r>
    </w:p>
    <w:p>
      <w:pPr>
        <w:pStyle w:val="275"/>
        <w:tabs>
          <w:tab w:val="left" w:pos="1424"/>
        </w:tabs>
        <w:spacing w:line="408" w:lineRule="auto"/>
        <w:ind w:firstLine="482" w:firstLineChars="200"/>
        <w:jc w:val="left"/>
        <w:rPr>
          <w:rFonts w:hint="eastAsia" w:ascii="宋体" w:hAnsi="宋体" w:cs="宋体"/>
          <w:b/>
          <w:bCs/>
          <w:sz w:val="24"/>
        </w:rPr>
      </w:pPr>
      <w:r>
        <w:rPr>
          <w:rFonts w:hint="eastAsia" w:ascii="宋体" w:hAnsi="宋体" w:cs="宋体"/>
          <w:b/>
          <w:bCs/>
          <w:sz w:val="24"/>
        </w:rPr>
        <w:t>六、公告期限</w:t>
      </w:r>
    </w:p>
    <w:p>
      <w:pPr>
        <w:pStyle w:val="272"/>
        <w:spacing w:line="360" w:lineRule="auto"/>
        <w:ind w:firstLine="480" w:firstLineChars="200"/>
        <w:rPr>
          <w:rFonts w:hint="eastAsia" w:ascii="宋体" w:hAnsi="宋体" w:cs="宋体"/>
          <w:sz w:val="24"/>
          <w:szCs w:val="24"/>
        </w:rPr>
      </w:pPr>
      <w:r>
        <w:rPr>
          <w:rFonts w:hint="eastAsia" w:ascii="宋体" w:hAnsi="宋体" w:cs="宋体"/>
          <w:sz w:val="24"/>
          <w:szCs w:val="24"/>
        </w:rPr>
        <w:t>自本公告发布之日起3个工作日。</w:t>
      </w:r>
    </w:p>
    <w:p>
      <w:pPr>
        <w:pStyle w:val="272"/>
        <w:spacing w:line="360" w:lineRule="auto"/>
        <w:rPr>
          <w:rFonts w:hint="eastAsia" w:ascii="宋体" w:hAnsi="宋体" w:cs="宋体"/>
          <w:b/>
          <w:bCs/>
          <w:sz w:val="24"/>
          <w:szCs w:val="24"/>
        </w:rPr>
      </w:pPr>
      <w:r>
        <w:rPr>
          <w:rFonts w:hint="eastAsia" w:ascii="宋体" w:hAnsi="宋体" w:cs="宋体"/>
          <w:b/>
          <w:bCs/>
          <w:sz w:val="24"/>
          <w:szCs w:val="24"/>
        </w:rPr>
        <w:t>七、其他补充事宜</w:t>
      </w:r>
    </w:p>
    <w:p>
      <w:pPr>
        <w:pStyle w:val="272"/>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1、本项目实行网上投标，采用电子投标文件；</w:t>
      </w:r>
    </w:p>
    <w:p>
      <w:pPr>
        <w:pStyle w:val="272"/>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pPr>
        <w:pStyle w:val="272"/>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w:t>
      </w:r>
      <w:r>
        <w:rPr>
          <w:rFonts w:hint="eastAsia" w:ascii="宋体" w:hAnsi="宋体" w:cs="宋体"/>
          <w:color w:val="000000"/>
          <w:kern w:val="0"/>
          <w:sz w:val="24"/>
          <w:szCs w:val="24"/>
          <w:lang w:val="en-US" w:eastAsia="zh-CN"/>
        </w:rPr>
        <w:t>95763</w:t>
      </w:r>
      <w:r>
        <w:rPr>
          <w:rFonts w:hint="eastAsia" w:ascii="宋体" w:hAnsi="宋体" w:cs="宋体"/>
          <w:color w:val="000000"/>
          <w:kern w:val="0"/>
          <w:sz w:val="24"/>
          <w:szCs w:val="24"/>
        </w:rPr>
        <w:t>进行咨询。如因供应商自身原因导致在规定时间内无法正常解密的（如：浏览器故障、未安装相关驱动、网络故障、加密CA与解密CA不一致等），采购中心/代理机构不予异常处理，视为供应商自动弃标。</w:t>
      </w:r>
    </w:p>
    <w:p>
      <w:pPr>
        <w:pStyle w:val="272"/>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4、供应商操作指南详见新疆政府采购网（http://www.ccgp-xinjiang.gov.cn/）—办事指南—操作指南。</w:t>
      </w:r>
    </w:p>
    <w:p>
      <w:pPr>
        <w:pStyle w:val="272"/>
        <w:spacing w:line="360" w:lineRule="auto"/>
        <w:rPr>
          <w:rFonts w:hint="eastAsia" w:ascii="宋体" w:hAnsi="宋体" w:cs="宋体"/>
          <w:b/>
          <w:bCs/>
          <w:sz w:val="24"/>
          <w:szCs w:val="24"/>
        </w:rPr>
      </w:pPr>
      <w:r>
        <w:rPr>
          <w:rFonts w:hint="eastAsia" w:ascii="宋体" w:hAnsi="宋体" w:cs="宋体"/>
          <w:b/>
          <w:bCs/>
          <w:sz w:val="24"/>
          <w:szCs w:val="24"/>
        </w:rPr>
        <w:t>八、对本次招标提出询问，请按以下方式联系。</w:t>
      </w:r>
    </w:p>
    <w:p>
      <w:pPr>
        <w:pStyle w:val="272"/>
        <w:spacing w:line="360" w:lineRule="auto"/>
        <w:rPr>
          <w:rFonts w:hint="eastAsia" w:ascii="宋体" w:hAnsi="宋体" w:cs="宋体"/>
          <w:sz w:val="24"/>
          <w:szCs w:val="24"/>
        </w:rPr>
      </w:pPr>
      <w:r>
        <w:rPr>
          <w:rFonts w:hint="eastAsia" w:ascii="宋体" w:hAnsi="宋体" w:cs="宋体"/>
          <w:sz w:val="24"/>
          <w:szCs w:val="24"/>
        </w:rPr>
        <w:t>1.采购人信息</w:t>
      </w:r>
    </w:p>
    <w:p>
      <w:pPr>
        <w:pStyle w:val="272"/>
        <w:spacing w:line="360" w:lineRule="auto"/>
        <w:rPr>
          <w:rFonts w:hint="eastAsia" w:ascii="宋体" w:hAnsi="宋体" w:cs="宋体"/>
          <w:sz w:val="24"/>
          <w:szCs w:val="24"/>
        </w:rPr>
      </w:pPr>
      <w:r>
        <w:rPr>
          <w:rFonts w:hint="eastAsia" w:ascii="宋体" w:hAnsi="宋体" w:cs="宋体"/>
          <w:sz w:val="24"/>
          <w:szCs w:val="24"/>
        </w:rPr>
        <w:t>名 称：</w:t>
      </w:r>
      <w:r>
        <w:rPr>
          <w:rFonts w:hint="eastAsia" w:ascii="宋体" w:hAnsi="宋体" w:cs="宋体"/>
          <w:sz w:val="24"/>
          <w:szCs w:val="24"/>
          <w:u w:val="single"/>
          <w:lang w:val="en-US" w:eastAsia="zh-CN"/>
        </w:rPr>
        <w:t xml:space="preserve">  </w:t>
      </w:r>
      <w:r>
        <w:rPr>
          <w:rFonts w:hint="eastAsia" w:ascii="宋体" w:hAnsi="宋体" w:eastAsia="宋体" w:cs="宋体"/>
          <w:sz w:val="24"/>
          <w:szCs w:val="28"/>
          <w:highlight w:val="none"/>
          <w:u w:val="single"/>
          <w:lang w:val="en-US" w:eastAsia="zh-CN"/>
        </w:rPr>
        <w:t>伊吾县</w:t>
      </w:r>
      <w:r>
        <w:rPr>
          <w:rFonts w:hint="eastAsia" w:ascii="宋体" w:hAnsi="宋体" w:cs="宋体"/>
          <w:sz w:val="24"/>
          <w:szCs w:val="28"/>
          <w:highlight w:val="none"/>
          <w:u w:val="single"/>
          <w:lang w:val="en-US" w:eastAsia="zh-CN"/>
        </w:rPr>
        <w:t>苇子峡乡</w:t>
      </w:r>
      <w:r>
        <w:rPr>
          <w:rFonts w:hint="eastAsia" w:ascii="宋体" w:hAnsi="宋体" w:eastAsia="宋体" w:cs="宋体"/>
          <w:sz w:val="24"/>
          <w:szCs w:val="28"/>
          <w:highlight w:val="none"/>
          <w:u w:val="single"/>
          <w:lang w:val="en-US" w:eastAsia="zh-CN"/>
        </w:rPr>
        <w:t xml:space="preserve">人民政府  </w:t>
      </w:r>
    </w:p>
    <w:p>
      <w:pPr>
        <w:pStyle w:val="272"/>
        <w:spacing w:line="360" w:lineRule="auto"/>
        <w:rPr>
          <w:rFonts w:hint="eastAsia" w:ascii="宋体" w:hAnsi="宋体" w:cs="宋体"/>
          <w:color w:val="000000"/>
          <w:sz w:val="24"/>
          <w:szCs w:val="24"/>
          <w:highlight w:val="yellow"/>
          <w:u w:val="single"/>
        </w:rPr>
      </w:pPr>
      <w:r>
        <w:rPr>
          <w:rFonts w:hint="eastAsia" w:ascii="宋体" w:hAnsi="宋体" w:cs="宋体"/>
          <w:sz w:val="24"/>
          <w:szCs w:val="24"/>
          <w:highlight w:val="none"/>
        </w:rPr>
        <w:t>地 址：</w:t>
      </w:r>
      <w:r>
        <w:rPr>
          <w:rFonts w:hint="eastAsia" w:ascii="宋体" w:hAnsi="宋体" w:eastAsia="宋体" w:cs="宋体"/>
          <w:color w:val="auto"/>
          <w:sz w:val="24"/>
          <w:szCs w:val="24"/>
          <w:u w:val="single"/>
          <w:lang w:val="en-US" w:eastAsia="zh-CN"/>
        </w:rPr>
        <w:t>苇子峡乡环乡东路696号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pPr>
        <w:pStyle w:val="272"/>
        <w:spacing w:line="360" w:lineRule="auto"/>
        <w:rPr>
          <w:rFonts w:hint="eastAsia" w:ascii="宋体" w:hAnsi="宋体" w:cs="宋体"/>
          <w:sz w:val="24"/>
          <w:szCs w:val="24"/>
        </w:rPr>
      </w:pPr>
      <w:r>
        <w:rPr>
          <w:rFonts w:hint="eastAsia" w:ascii="宋体" w:hAnsi="宋体" w:cs="宋体"/>
          <w:sz w:val="24"/>
          <w:szCs w:val="24"/>
          <w:highlight w:val="none"/>
        </w:rPr>
        <w:t>联系方式：</w:t>
      </w:r>
      <w:r>
        <w:rPr>
          <w:rFonts w:hint="eastAsia" w:ascii="宋体" w:hAnsi="宋体" w:cs="宋体"/>
          <w:color w:val="auto"/>
          <w:sz w:val="24"/>
          <w:szCs w:val="24"/>
          <w:u w:val="single"/>
          <w:lang w:val="en-US" w:eastAsia="zh-CN"/>
        </w:rPr>
        <w:t xml:space="preserve"> 18299949675</w:t>
      </w:r>
      <w:r>
        <w:rPr>
          <w:rFonts w:hint="eastAsia" w:ascii="宋体" w:hAnsi="宋体" w:cs="宋体"/>
          <w:sz w:val="24"/>
          <w:szCs w:val="24"/>
          <w:highlight w:val="none"/>
        </w:rPr>
        <w:t xml:space="preserve">  </w:t>
      </w:r>
      <w:r>
        <w:rPr>
          <w:rFonts w:hint="eastAsia" w:ascii="宋体" w:hAnsi="宋体" w:cs="宋体"/>
          <w:sz w:val="24"/>
          <w:szCs w:val="24"/>
        </w:rPr>
        <w:t xml:space="preserve">   </w:t>
      </w:r>
    </w:p>
    <w:p>
      <w:pPr>
        <w:pStyle w:val="272"/>
        <w:spacing w:line="360" w:lineRule="auto"/>
        <w:rPr>
          <w:rFonts w:hint="eastAsia" w:ascii="宋体" w:hAnsi="宋体" w:cs="宋体"/>
          <w:sz w:val="24"/>
          <w:szCs w:val="24"/>
        </w:rPr>
      </w:pPr>
      <w:r>
        <w:rPr>
          <w:rFonts w:hint="eastAsia" w:ascii="宋体" w:hAnsi="宋体" w:cs="宋体"/>
          <w:sz w:val="24"/>
          <w:szCs w:val="24"/>
        </w:rPr>
        <w:t>2.采购代理机构信息</w:t>
      </w:r>
    </w:p>
    <w:p>
      <w:pPr>
        <w:pStyle w:val="272"/>
        <w:spacing w:line="360" w:lineRule="auto"/>
        <w:rPr>
          <w:rFonts w:hint="eastAsia" w:ascii="宋体" w:hAnsi="宋体" w:cs="宋体"/>
          <w:sz w:val="24"/>
          <w:szCs w:val="24"/>
        </w:rPr>
      </w:pPr>
      <w:r>
        <w:rPr>
          <w:rFonts w:hint="eastAsia" w:ascii="宋体" w:hAnsi="宋体" w:cs="宋体"/>
          <w:sz w:val="24"/>
          <w:szCs w:val="24"/>
        </w:rPr>
        <w:t>名 称：</w:t>
      </w:r>
      <w:r>
        <w:rPr>
          <w:rFonts w:hint="eastAsia" w:ascii="宋体" w:hAnsi="宋体" w:cs="宋体"/>
          <w:color w:val="000000"/>
          <w:sz w:val="24"/>
          <w:szCs w:val="24"/>
          <w:u w:val="single"/>
          <w:lang w:eastAsia="zh-CN"/>
        </w:rPr>
        <w:t>新疆同创博远项目管理咨询有限责任公司</w:t>
      </w:r>
      <w:r>
        <w:rPr>
          <w:rFonts w:hint="eastAsia" w:ascii="宋体" w:hAnsi="宋体" w:cs="宋体"/>
          <w:sz w:val="24"/>
          <w:szCs w:val="24"/>
          <w:u w:val="single"/>
        </w:rPr>
        <w:t xml:space="preserve"> </w:t>
      </w:r>
      <w:r>
        <w:rPr>
          <w:rFonts w:hint="eastAsia" w:ascii="宋体" w:hAnsi="宋体" w:cs="宋体"/>
          <w:sz w:val="24"/>
          <w:szCs w:val="24"/>
        </w:rPr>
        <w:t xml:space="preserve">           </w:t>
      </w:r>
    </w:p>
    <w:p>
      <w:pPr>
        <w:pStyle w:val="272"/>
        <w:spacing w:line="360" w:lineRule="auto"/>
        <w:rPr>
          <w:rFonts w:hint="eastAsia" w:ascii="宋体" w:hAnsi="宋体" w:cs="宋体"/>
          <w:color w:val="000000"/>
          <w:sz w:val="24"/>
          <w:szCs w:val="24"/>
        </w:rPr>
      </w:pPr>
      <w:r>
        <w:rPr>
          <w:rFonts w:hint="eastAsia" w:ascii="宋体" w:hAnsi="宋体" w:cs="宋体"/>
          <w:sz w:val="24"/>
          <w:szCs w:val="24"/>
        </w:rPr>
        <w:t>地 址：</w:t>
      </w:r>
      <w:r>
        <w:rPr>
          <w:rFonts w:hint="eastAsia" w:ascii="宋体" w:hAnsi="宋体" w:cs="宋体"/>
          <w:color w:val="000000"/>
          <w:sz w:val="24"/>
          <w:szCs w:val="24"/>
          <w:u w:val="single"/>
          <w:lang w:eastAsia="zh-CN"/>
        </w:rPr>
        <w:t>新疆哈密市伊州区八一路东侧魔方广场 C 单元 1621</w:t>
      </w:r>
      <w:r>
        <w:rPr>
          <w:rFonts w:hint="eastAsia" w:ascii="宋体" w:hAnsi="宋体" w:cs="宋体"/>
          <w:color w:val="FF0000"/>
          <w:sz w:val="24"/>
          <w:szCs w:val="24"/>
        </w:rPr>
        <w:t xml:space="preserve">  </w:t>
      </w:r>
    </w:p>
    <w:p>
      <w:pPr>
        <w:pStyle w:val="40"/>
        <w:spacing w:before="0" w:beforeAutospacing="0" w:after="0" w:afterAutospacing="0" w:line="408" w:lineRule="auto"/>
        <w:rPr>
          <w:rFonts w:hint="eastAsia" w:ascii="宋体" w:hAnsi="宋体"/>
          <w:color w:val="auto"/>
          <w:sz w:val="24"/>
          <w:szCs w:val="28"/>
          <w:u w:val="single"/>
        </w:rPr>
      </w:pPr>
      <w:r>
        <w:rPr>
          <w:rFonts w:hint="eastAsia"/>
          <w:color w:val="000000"/>
          <w:szCs w:val="24"/>
        </w:rPr>
        <w:t>联系方式：</w:t>
      </w:r>
      <w:r>
        <w:rPr>
          <w:rFonts w:hint="eastAsia" w:ascii="宋体" w:hAnsi="宋体"/>
          <w:color w:val="auto"/>
          <w:sz w:val="24"/>
          <w:szCs w:val="28"/>
          <w:u w:val="single"/>
        </w:rPr>
        <w:t>18199781228</w:t>
      </w:r>
    </w:p>
    <w:p>
      <w:pPr>
        <w:pStyle w:val="40"/>
        <w:spacing w:before="0" w:beforeAutospacing="0" w:after="0" w:afterAutospacing="0" w:line="408" w:lineRule="auto"/>
        <w:rPr>
          <w:rFonts w:hint="eastAsia"/>
          <w:szCs w:val="24"/>
        </w:rPr>
      </w:pPr>
      <w:r>
        <w:rPr>
          <w:rFonts w:hint="eastAsia"/>
          <w:color w:val="000000"/>
          <w:szCs w:val="24"/>
        </w:rPr>
        <w:t>3、项目联系方式：</w:t>
      </w:r>
      <w:r>
        <w:rPr>
          <w:rFonts w:hint="eastAsia"/>
          <w:szCs w:val="24"/>
        </w:rPr>
        <w:t xml:space="preserve">        </w:t>
      </w:r>
    </w:p>
    <w:p>
      <w:pPr>
        <w:pStyle w:val="272"/>
        <w:spacing w:line="360" w:lineRule="auto"/>
        <w:rPr>
          <w:rFonts w:hint="default" w:ascii="宋体" w:hAnsi="宋体" w:eastAsia="宋体" w:cs="宋体"/>
          <w:sz w:val="24"/>
          <w:szCs w:val="24"/>
          <w:lang w:val="en-US" w:eastAsia="zh-CN"/>
        </w:rPr>
      </w:pPr>
      <w:r>
        <w:rPr>
          <w:rFonts w:hint="eastAsia" w:ascii="宋体" w:hAnsi="宋体" w:cs="宋体"/>
          <w:sz w:val="24"/>
          <w:szCs w:val="24"/>
        </w:rPr>
        <w:t>项目联系人</w:t>
      </w:r>
      <w:r>
        <w:rPr>
          <w:rFonts w:hint="eastAsia" w:ascii="宋体" w:hAnsi="宋体" w:cs="宋体"/>
          <w:sz w:val="24"/>
          <w:szCs w:val="24"/>
          <w:lang w:eastAsia="zh-CN"/>
        </w:rPr>
        <w:t>：</w:t>
      </w:r>
      <w:r>
        <w:rPr>
          <w:rFonts w:hint="eastAsia" w:ascii="宋体" w:hAnsi="宋体" w:cs="宋体"/>
          <w:sz w:val="24"/>
          <w:szCs w:val="24"/>
          <w:u w:val="single"/>
          <w:lang w:val="en-US" w:eastAsia="zh-CN"/>
        </w:rPr>
        <w:t>张工</w:t>
      </w:r>
    </w:p>
    <w:p>
      <w:pPr>
        <w:pStyle w:val="272"/>
        <w:widowControl/>
        <w:spacing w:line="360" w:lineRule="auto"/>
        <w:jc w:val="left"/>
        <w:rPr>
          <w:rFonts w:hint="eastAsia" w:ascii="宋体" w:hAnsi="宋体" w:cs="宋体"/>
          <w:color w:val="393939"/>
          <w:kern w:val="0"/>
          <w:sz w:val="24"/>
          <w:szCs w:val="24"/>
        </w:rPr>
      </w:pPr>
      <w:r>
        <w:rPr>
          <w:rFonts w:hint="eastAsia" w:ascii="宋体" w:hAnsi="宋体" w:cs="宋体"/>
          <w:sz w:val="24"/>
          <w:szCs w:val="24"/>
        </w:rPr>
        <w:t>联系方式：</w:t>
      </w:r>
      <w:r>
        <w:rPr>
          <w:rFonts w:hint="eastAsia" w:ascii="宋体" w:hAnsi="宋体"/>
          <w:color w:val="auto"/>
          <w:sz w:val="24"/>
          <w:szCs w:val="28"/>
          <w:u w:val="single"/>
        </w:rPr>
        <w:t>18199781228</w:t>
      </w:r>
    </w:p>
    <w:p>
      <w:pPr>
        <w:pStyle w:val="121"/>
        <w:rPr>
          <w:rFonts w:hint="eastAsia" w:ascii="宋体" w:hAnsi="宋体" w:cs="宋体"/>
          <w:szCs w:val="21"/>
        </w:rPr>
      </w:pPr>
    </w:p>
    <w:bookmarkEnd w:id="7"/>
    <w:p>
      <w:pPr>
        <w:rPr>
          <w:rFonts w:hint="eastAsia" w:ascii="宋体" w:hAnsi="宋体" w:cs="宋体"/>
          <w:color w:val="000080"/>
          <w:sz w:val="20"/>
          <w:highlight w:val="white"/>
        </w:rPr>
      </w:pPr>
    </w:p>
    <w:p>
      <w:pPr>
        <w:pStyle w:val="2"/>
        <w:spacing w:line="360" w:lineRule="auto"/>
        <w:jc w:val="center"/>
        <w:rPr>
          <w:rFonts w:ascii="宋体" w:cs="宋体"/>
          <w:w w:val="90"/>
          <w:sz w:val="56"/>
          <w:highlight w:val="none"/>
        </w:rPr>
      </w:pPr>
      <w:r>
        <w:rPr>
          <w:rFonts w:hint="eastAsia" w:ascii="宋体" w:hAnsi="宋体" w:cs="宋体"/>
          <w:sz w:val="28"/>
          <w:szCs w:val="28"/>
          <w:highlight w:val="white"/>
        </w:rPr>
        <w:br w:type="page"/>
      </w:r>
      <w:r>
        <w:rPr>
          <w:rFonts w:hint="eastAsia" w:ascii="宋体" w:hAnsi="宋体" w:cs="宋体"/>
          <w:w w:val="90"/>
          <w:highlight w:val="none"/>
        </w:rPr>
        <w:t>第二章</w:t>
      </w:r>
      <w:r>
        <w:rPr>
          <w:rFonts w:ascii="宋体" w:hAnsi="宋体" w:cs="宋体"/>
          <w:w w:val="90"/>
          <w:highlight w:val="none"/>
        </w:rPr>
        <w:t xml:space="preserve"> </w:t>
      </w:r>
      <w:r>
        <w:rPr>
          <w:rFonts w:hint="eastAsia" w:ascii="宋体" w:hAnsi="宋体" w:cs="宋体"/>
          <w:w w:val="90"/>
          <w:highlight w:val="none"/>
        </w:rPr>
        <w:t>投标人须知前附表</w:t>
      </w:r>
      <w:bookmarkEnd w:id="1"/>
      <w:bookmarkEnd w:id="2"/>
      <w:bookmarkEnd w:id="3"/>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本表是对投标人须知的具体补充和修改，如有矛盾，应以本表为准。</w:t>
      </w:r>
    </w:p>
    <w:tbl>
      <w:tblPr>
        <w:tblStyle w:val="53"/>
        <w:tblW w:w="9215" w:type="dxa"/>
        <w:tblInd w:w="-25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7"/>
        <w:gridCol w:w="80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trPr>
        <w:tc>
          <w:tcPr>
            <w:tcW w:w="1177" w:type="dxa"/>
            <w:tcBorders>
              <w:top w:val="single" w:color="auto" w:sz="12" w:space="0"/>
              <w:right w:val="single" w:color="auto" w:sz="4" w:space="0"/>
            </w:tcBorders>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条款号</w:t>
            </w:r>
          </w:p>
        </w:tc>
        <w:tc>
          <w:tcPr>
            <w:tcW w:w="8038" w:type="dxa"/>
            <w:tcBorders>
              <w:top w:val="single" w:color="auto" w:sz="12" w:space="0"/>
              <w:left w:val="single" w:color="auto" w:sz="4" w:space="0"/>
            </w:tcBorders>
            <w:vAlign w:val="center"/>
          </w:tcPr>
          <w:p>
            <w:pPr>
              <w:spacing w:line="360" w:lineRule="auto"/>
              <w:jc w:val="center"/>
              <w:rPr>
                <w:rFonts w:ascii="宋体" w:cs="宋体"/>
                <w:b/>
                <w:sz w:val="24"/>
                <w:szCs w:val="24"/>
                <w:highlight w:val="none"/>
              </w:rPr>
            </w:pPr>
            <w:r>
              <w:rPr>
                <w:rFonts w:hint="eastAsia" w:ascii="宋体" w:hAnsi="宋体" w:cs="宋体"/>
                <w:b/>
                <w:sz w:val="24"/>
                <w:szCs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27" w:hRule="atLeast"/>
        </w:trPr>
        <w:tc>
          <w:tcPr>
            <w:tcW w:w="9215" w:type="dxa"/>
            <w:gridSpan w:val="2"/>
            <w:vAlign w:val="center"/>
          </w:tcPr>
          <w:p>
            <w:pPr>
              <w:spacing w:line="360" w:lineRule="auto"/>
              <w:jc w:val="center"/>
              <w:rPr>
                <w:rFonts w:ascii="宋体" w:cs="宋体"/>
                <w:sz w:val="24"/>
                <w:szCs w:val="24"/>
                <w:highlight w:val="none"/>
                <w:lang w:val="zh-CN"/>
              </w:rPr>
            </w:pPr>
            <w:r>
              <w:rPr>
                <w:rFonts w:hint="eastAsia" w:ascii="宋体" w:hAnsi="宋体" w:cs="宋体"/>
                <w:sz w:val="24"/>
                <w:szCs w:val="24"/>
                <w:highlight w:val="none"/>
                <w:lang w:val="zh-CN"/>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autoSpaceDE w:val="0"/>
              <w:autoSpaceDN w:val="0"/>
              <w:adjustRightInd w:val="0"/>
              <w:spacing w:line="360" w:lineRule="auto"/>
              <w:jc w:val="center"/>
              <w:rPr>
                <w:rFonts w:ascii="宋体" w:cs="宋体"/>
                <w:kern w:val="0"/>
                <w:sz w:val="24"/>
                <w:szCs w:val="24"/>
                <w:highlight w:val="none"/>
              </w:rPr>
            </w:pPr>
            <w:r>
              <w:rPr>
                <w:rFonts w:ascii="宋体" w:hAnsi="宋体" w:cs="宋体"/>
                <w:sz w:val="24"/>
                <w:szCs w:val="24"/>
                <w:highlight w:val="none"/>
              </w:rPr>
              <w:t>1.1</w:t>
            </w:r>
          </w:p>
        </w:tc>
        <w:tc>
          <w:tcPr>
            <w:tcW w:w="8038" w:type="dxa"/>
            <w:tcBorders>
              <w:left w:val="single" w:color="auto" w:sz="4" w:space="0"/>
            </w:tcBorders>
            <w:vAlign w:val="center"/>
          </w:tcPr>
          <w:p>
            <w:pPr>
              <w:pStyle w:val="20"/>
              <w:rPr>
                <w:rFonts w:hint="eastAsia" w:ascii="Times New Roman" w:hAnsi="Times New Roman" w:eastAsia="宋体"/>
                <w:highlight w:val="none"/>
                <w:lang w:eastAsia="zh-CN"/>
              </w:rPr>
            </w:pPr>
            <w:r>
              <w:rPr>
                <w:rFonts w:hint="eastAsia" w:ascii="宋体" w:hAnsi="宋体" w:cs="宋体"/>
                <w:kern w:val="0"/>
                <w:sz w:val="24"/>
                <w:szCs w:val="24"/>
                <w:highlight w:val="none"/>
              </w:rPr>
              <w:t>项目名称：</w:t>
            </w:r>
            <w:r>
              <w:rPr>
                <w:rFonts w:hint="eastAsia" w:ascii="宋体" w:hAnsi="宋体" w:cs="宋体"/>
                <w:kern w:val="0"/>
                <w:sz w:val="24"/>
                <w:szCs w:val="24"/>
                <w:highlight w:val="none"/>
                <w:lang w:eastAsia="zh-CN"/>
              </w:rPr>
              <w:t>苇子峡乡林业管护社会化服务</w:t>
            </w:r>
            <w:r>
              <w:rPr>
                <w:rFonts w:hint="eastAsia" w:ascii="宋体" w:hAnsi="宋体" w:cs="宋体"/>
                <w:kern w:val="0"/>
                <w:sz w:val="24"/>
                <w:szCs w:val="24"/>
                <w:highlight w:val="none"/>
                <w:lang w:val="en-US" w:eastAsia="zh-CN"/>
              </w:rPr>
              <w:t xml:space="preserve"> </w:t>
            </w:r>
            <w:r>
              <w:rPr>
                <w:rFonts w:hint="eastAsia" w:ascii="Times New Roman" w:hAnsi="Times New Roman"/>
                <w:highlight w:val="none"/>
              </w:rPr>
              <w:t>编号：</w:t>
            </w:r>
            <w:r>
              <w:rPr>
                <w:rFonts w:hint="eastAsia" w:ascii="宋体" w:hAnsi="宋体" w:cs="宋体"/>
                <w:kern w:val="0"/>
                <w:sz w:val="24"/>
                <w:szCs w:val="24"/>
                <w:highlight w:val="none"/>
                <w:lang w:val="en-US" w:eastAsia="zh-CN" w:bidi="ar-SA"/>
              </w:rPr>
              <w:t>TCBY2024-07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autoSpaceDE w:val="0"/>
              <w:autoSpaceDN w:val="0"/>
              <w:adjustRightInd w:val="0"/>
              <w:spacing w:line="360" w:lineRule="auto"/>
              <w:jc w:val="center"/>
              <w:rPr>
                <w:rFonts w:ascii="宋体" w:cs="宋体"/>
                <w:sz w:val="24"/>
                <w:szCs w:val="24"/>
                <w:highlight w:val="none"/>
              </w:rPr>
            </w:pPr>
            <w:r>
              <w:rPr>
                <w:rFonts w:ascii="宋体" w:hAnsi="宋体" w:cs="宋体"/>
                <w:sz w:val="24"/>
                <w:szCs w:val="24"/>
                <w:highlight w:val="none"/>
              </w:rPr>
              <w:t>1.2</w:t>
            </w:r>
          </w:p>
        </w:tc>
        <w:tc>
          <w:tcPr>
            <w:tcW w:w="8038" w:type="dxa"/>
            <w:tcBorders>
              <w:left w:val="single" w:color="auto" w:sz="4" w:space="0"/>
            </w:tcBorders>
            <w:vAlign w:val="center"/>
          </w:tcPr>
          <w:p>
            <w:pPr>
              <w:autoSpaceDE w:val="0"/>
              <w:autoSpaceDN w:val="0"/>
              <w:adjustRightInd w:val="0"/>
              <w:spacing w:line="360" w:lineRule="auto"/>
              <w:rPr>
                <w:rFonts w:ascii="宋体" w:cs="宋体"/>
                <w:sz w:val="24"/>
                <w:szCs w:val="24"/>
                <w:highlight w:val="none"/>
              </w:rPr>
            </w:pPr>
            <w:r>
              <w:rPr>
                <w:rFonts w:hint="eastAsia" w:ascii="宋体" w:hAnsi="宋体" w:cs="宋体"/>
                <w:sz w:val="24"/>
                <w:szCs w:val="24"/>
                <w:highlight w:val="none"/>
                <w:lang w:val="zh-CN"/>
              </w:rPr>
              <w:t>资金来源：</w:t>
            </w:r>
            <w:r>
              <w:rPr>
                <w:rFonts w:hint="eastAsia" w:ascii="宋体" w:hAnsi="宋体" w:cs="宋体"/>
                <w:sz w:val="24"/>
                <w:szCs w:val="24"/>
                <w:highlight w:val="none"/>
                <w:lang w:val="en-US" w:eastAsia="zh-CN"/>
              </w:rPr>
              <w:t>县</w:t>
            </w:r>
            <w:r>
              <w:rPr>
                <w:rFonts w:hint="eastAsia" w:ascii="宋体" w:hAnsi="宋体" w:cs="宋体"/>
                <w:sz w:val="24"/>
                <w:szCs w:val="24"/>
                <w:highlight w:val="none"/>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autoSpaceDE w:val="0"/>
              <w:autoSpaceDN w:val="0"/>
              <w:adjustRightInd w:val="0"/>
              <w:spacing w:line="360" w:lineRule="auto"/>
              <w:jc w:val="center"/>
              <w:rPr>
                <w:rFonts w:ascii="宋体" w:cs="宋体"/>
                <w:sz w:val="24"/>
                <w:szCs w:val="24"/>
                <w:highlight w:val="none"/>
                <w:lang w:val="zh-CN"/>
              </w:rPr>
            </w:pPr>
            <w:r>
              <w:rPr>
                <w:rFonts w:ascii="宋体" w:hAnsi="宋体" w:cs="宋体"/>
                <w:sz w:val="24"/>
                <w:szCs w:val="24"/>
                <w:highlight w:val="none"/>
                <w:lang w:val="zh-CN"/>
              </w:rPr>
              <w:t>2.1</w:t>
            </w:r>
          </w:p>
        </w:tc>
        <w:tc>
          <w:tcPr>
            <w:tcW w:w="8038" w:type="dxa"/>
            <w:tcBorders>
              <w:left w:val="single" w:color="auto" w:sz="4" w:space="0"/>
            </w:tcBorders>
            <w:vAlign w:val="center"/>
          </w:tcPr>
          <w:p>
            <w:pPr>
              <w:autoSpaceDE w:val="0"/>
              <w:autoSpaceDN w:val="0"/>
              <w:adjustRightInd w:val="0"/>
              <w:spacing w:line="360" w:lineRule="auto"/>
              <w:rPr>
                <w:rFonts w:hint="eastAsia" w:ascii="宋体" w:eastAsia="宋体" w:cs="宋体"/>
                <w:kern w:val="0"/>
                <w:sz w:val="24"/>
                <w:szCs w:val="24"/>
                <w:highlight w:val="none"/>
                <w:lang w:eastAsia="zh-CN"/>
              </w:rPr>
            </w:pPr>
            <w:r>
              <w:rPr>
                <w:rFonts w:hint="eastAsia" w:ascii="宋体" w:hAnsi="宋体" w:cs="宋体"/>
                <w:kern w:val="0"/>
                <w:sz w:val="24"/>
                <w:szCs w:val="24"/>
                <w:highlight w:val="none"/>
              </w:rPr>
              <w:t>采购人名称：</w:t>
            </w:r>
            <w:r>
              <w:rPr>
                <w:rFonts w:hint="eastAsia" w:ascii="宋体" w:hAnsi="宋体" w:cs="宋体"/>
                <w:kern w:val="0"/>
                <w:sz w:val="24"/>
                <w:szCs w:val="24"/>
                <w:highlight w:val="none"/>
                <w:lang w:eastAsia="zh-CN"/>
              </w:rPr>
              <w:t>伊吾县苇子峡乡人民政府</w:t>
            </w:r>
          </w:p>
          <w:p>
            <w:pPr>
              <w:autoSpaceDE w:val="0"/>
              <w:autoSpaceDN w:val="0"/>
              <w:adjustRightInd w:val="0"/>
              <w:spacing w:line="360" w:lineRule="auto"/>
              <w:rPr>
                <w:rFonts w:ascii="宋体" w:cs="宋体"/>
                <w:sz w:val="24"/>
                <w:szCs w:val="24"/>
                <w:highlight w:val="none"/>
                <w:lang w:val="zh-CN"/>
              </w:rPr>
            </w:pPr>
            <w:r>
              <w:rPr>
                <w:rFonts w:hint="eastAsia" w:ascii="宋体" w:hAnsi="宋体" w:cs="宋体"/>
                <w:sz w:val="24"/>
                <w:szCs w:val="24"/>
                <w:highlight w:val="none"/>
                <w:lang w:val="zh-CN"/>
              </w:rPr>
              <w:t>联系电话： 18299949675</w:t>
            </w:r>
          </w:p>
          <w:p>
            <w:pPr>
              <w:autoSpaceDE w:val="0"/>
              <w:autoSpaceDN w:val="0"/>
              <w:adjustRightInd w:val="0"/>
              <w:spacing w:line="360" w:lineRule="auto"/>
              <w:rPr>
                <w:rFonts w:hint="default" w:ascii="宋体" w:cs="宋体"/>
                <w:sz w:val="24"/>
                <w:szCs w:val="24"/>
                <w:highlight w:val="none"/>
                <w:lang w:val="en-US"/>
              </w:rPr>
            </w:pPr>
            <w:r>
              <w:rPr>
                <w:rFonts w:hint="eastAsia" w:ascii="宋体" w:hAnsi="宋体" w:cs="宋体"/>
                <w:sz w:val="24"/>
                <w:szCs w:val="24"/>
                <w:highlight w:val="none"/>
                <w:lang w:val="zh-CN"/>
              </w:rPr>
              <w:t>地址：</w:t>
            </w:r>
            <w:r>
              <w:rPr>
                <w:rFonts w:hint="eastAsia" w:ascii="宋体" w:hAnsi="宋体" w:cs="宋体"/>
                <w:sz w:val="24"/>
                <w:szCs w:val="24"/>
                <w:highlight w:val="none"/>
                <w:lang w:val="zh-CN" w:eastAsia="zh-CN"/>
              </w:rPr>
              <w:t>苇子峡乡环乡东路696号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pacing w:line="360" w:lineRule="auto"/>
              <w:jc w:val="center"/>
              <w:rPr>
                <w:rFonts w:ascii="宋体" w:cs="宋体"/>
                <w:sz w:val="24"/>
                <w:szCs w:val="24"/>
                <w:highlight w:val="none"/>
              </w:rPr>
            </w:pPr>
            <w:r>
              <w:rPr>
                <w:rFonts w:ascii="宋体" w:hAnsi="宋体" w:cs="宋体"/>
                <w:sz w:val="24"/>
                <w:szCs w:val="24"/>
                <w:highlight w:val="none"/>
              </w:rPr>
              <w:t>2.2</w:t>
            </w:r>
          </w:p>
        </w:tc>
        <w:tc>
          <w:tcPr>
            <w:tcW w:w="8038" w:type="dxa"/>
            <w:tcBorders>
              <w:left w:val="single" w:color="auto" w:sz="4" w:space="0"/>
            </w:tcBorders>
            <w:vAlign w:val="center"/>
          </w:tcPr>
          <w:p>
            <w:pPr>
              <w:spacing w:line="360" w:lineRule="auto"/>
              <w:rPr>
                <w:rFonts w:hint="eastAsia" w:ascii="宋体" w:eastAsia="宋体" w:cs="宋体"/>
                <w:sz w:val="24"/>
                <w:szCs w:val="24"/>
                <w:highlight w:val="none"/>
                <w:lang w:eastAsia="zh-CN"/>
              </w:rPr>
            </w:pPr>
            <w:r>
              <w:rPr>
                <w:rFonts w:hint="eastAsia" w:ascii="宋体" w:hAnsi="宋体" w:cs="宋体"/>
                <w:sz w:val="24"/>
                <w:szCs w:val="24"/>
                <w:highlight w:val="none"/>
              </w:rPr>
              <w:t>采购代理机构名称：</w:t>
            </w:r>
            <w:r>
              <w:rPr>
                <w:rFonts w:hint="eastAsia" w:ascii="宋体" w:hAnsi="宋体" w:cs="宋体"/>
                <w:sz w:val="24"/>
                <w:szCs w:val="24"/>
                <w:highlight w:val="none"/>
                <w:lang w:eastAsia="zh-CN"/>
              </w:rPr>
              <w:t>新疆同创博远项目管理咨询有限责任公司</w:t>
            </w:r>
          </w:p>
          <w:p>
            <w:pPr>
              <w:spacing w:line="360" w:lineRule="auto"/>
              <w:rPr>
                <w:rFonts w:hint="eastAsia" w:ascii="宋体" w:eastAsia="宋体" w:cs="宋体"/>
                <w:sz w:val="24"/>
                <w:szCs w:val="24"/>
                <w:highlight w:val="none"/>
                <w:lang w:val="en-US"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 xml:space="preserve">新疆哈密市伊州区八一路东侧魔方广场 C 单元 1621  </w:t>
            </w:r>
          </w:p>
          <w:p>
            <w:pPr>
              <w:spacing w:line="360" w:lineRule="auto"/>
              <w:jc w:val="left"/>
              <w:rPr>
                <w:rFonts w:hint="eastAsia" w:ascii="宋体" w:eastAsia="宋体" w:cs="宋体"/>
                <w:sz w:val="24"/>
                <w:szCs w:val="24"/>
                <w:highlight w:val="none"/>
                <w:lang w:eastAsia="zh-CN"/>
              </w:rPr>
            </w:pPr>
            <w:r>
              <w:rPr>
                <w:rFonts w:hint="eastAsia" w:ascii="宋体" w:hAnsi="宋体" w:cs="宋体"/>
                <w:sz w:val="24"/>
                <w:szCs w:val="24"/>
                <w:highlight w:val="none"/>
              </w:rPr>
              <w:t>电话：</w:t>
            </w:r>
            <w:r>
              <w:rPr>
                <w:rFonts w:hint="eastAsia" w:ascii="宋体" w:hAnsi="宋体"/>
                <w:color w:val="auto"/>
                <w:sz w:val="24"/>
                <w:szCs w:val="28"/>
                <w:u w:val="single"/>
              </w:rPr>
              <w:t>18199781228</w:t>
            </w:r>
          </w:p>
          <w:p>
            <w:pPr>
              <w:autoSpaceDE w:val="0"/>
              <w:autoSpaceDN w:val="0"/>
              <w:adjustRightInd w:val="0"/>
              <w:spacing w:line="360" w:lineRule="auto"/>
              <w:rPr>
                <w:rFonts w:hint="eastAsia" w:asci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张工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pacing w:line="360" w:lineRule="auto"/>
              <w:jc w:val="center"/>
              <w:rPr>
                <w:rFonts w:ascii="宋体" w:cs="宋体"/>
                <w:sz w:val="24"/>
                <w:szCs w:val="24"/>
                <w:highlight w:val="none"/>
              </w:rPr>
            </w:pPr>
            <w:r>
              <w:rPr>
                <w:rFonts w:ascii="宋体" w:hAnsi="宋体" w:cs="宋体"/>
                <w:sz w:val="24"/>
                <w:szCs w:val="24"/>
                <w:highlight w:val="none"/>
              </w:rPr>
              <w:t>2.5</w:t>
            </w:r>
          </w:p>
        </w:tc>
        <w:tc>
          <w:tcPr>
            <w:tcW w:w="8038" w:type="dxa"/>
            <w:tcBorders>
              <w:left w:val="single" w:color="auto" w:sz="4" w:space="0"/>
            </w:tcBorders>
            <w:vAlign w:val="center"/>
          </w:tcPr>
          <w:p>
            <w:pPr>
              <w:spacing w:line="360" w:lineRule="auto"/>
              <w:rPr>
                <w:rFonts w:ascii="宋体" w:cs="宋体"/>
                <w:kern w:val="0"/>
                <w:sz w:val="24"/>
                <w:szCs w:val="24"/>
                <w:highlight w:val="none"/>
              </w:rPr>
            </w:pPr>
            <w:r>
              <w:rPr>
                <w:rFonts w:hint="eastAsia" w:ascii="宋体" w:hAnsi="宋体" w:cs="宋体"/>
                <w:kern w:val="0"/>
                <w:sz w:val="24"/>
                <w:szCs w:val="24"/>
                <w:highlight w:val="none"/>
              </w:rPr>
              <w:t>本项目（否）接受联合体投标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trPr>
        <w:tc>
          <w:tcPr>
            <w:tcW w:w="1177" w:type="dxa"/>
            <w:tcBorders>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.3</w:t>
            </w:r>
          </w:p>
        </w:tc>
        <w:tc>
          <w:tcPr>
            <w:tcW w:w="8038" w:type="dxa"/>
            <w:tcBorders>
              <w:left w:val="single" w:color="auto" w:sz="4" w:space="0"/>
            </w:tcBorders>
            <w:vAlign w:val="center"/>
          </w:tcPr>
          <w:p>
            <w:pPr>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付款方式：</w:t>
            </w:r>
            <w:r>
              <w:rPr>
                <w:rFonts w:hint="eastAsia" w:ascii="宋体" w:hAnsi="宋体" w:cs="宋体"/>
                <w:color w:val="auto"/>
                <w:sz w:val="24"/>
                <w:highlight w:val="none"/>
                <w:lang w:val="en-US" w:eastAsia="zh-CN"/>
              </w:rPr>
              <w:t>合同中另行约定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4.4</w:t>
            </w:r>
          </w:p>
        </w:tc>
        <w:tc>
          <w:tcPr>
            <w:tcW w:w="8038" w:type="dxa"/>
            <w:tcBorders>
              <w:left w:val="single" w:color="auto" w:sz="4" w:space="0"/>
            </w:tcBorders>
            <w:vAlign w:val="center"/>
          </w:tcPr>
          <w:p>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是否允许分包</w:t>
            </w:r>
            <w:r>
              <w:rPr>
                <w:rFonts w:hint="eastAsia" w:ascii="宋体" w:hAnsi="宋体" w:cs="宋体"/>
                <w:sz w:val="24"/>
                <w:szCs w:val="24"/>
                <w:highlight w:val="none"/>
              </w:rPr>
              <w:t>：</w:t>
            </w:r>
            <w:r>
              <w:rPr>
                <w:rFonts w:hint="eastAsia" w:ascii="宋体" w:hAnsi="宋体" w:cs="宋体"/>
                <w:sz w:val="24"/>
                <w:szCs w:val="24"/>
                <w:highlight w:val="none"/>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5" w:hRule="atLeast"/>
        </w:trPr>
        <w:tc>
          <w:tcPr>
            <w:tcW w:w="1177" w:type="dxa"/>
            <w:tcBorders>
              <w:bottom w:val="single" w:color="auto" w:sz="4" w:space="0"/>
              <w:right w:val="single" w:color="auto" w:sz="4" w:space="0"/>
            </w:tcBorders>
            <w:vAlign w:val="center"/>
          </w:tcPr>
          <w:p>
            <w:pPr>
              <w:spacing w:line="360" w:lineRule="auto"/>
              <w:jc w:val="center"/>
              <w:rPr>
                <w:rFonts w:ascii="宋体" w:cs="宋体"/>
                <w:i/>
                <w:sz w:val="24"/>
                <w:szCs w:val="24"/>
                <w:highlight w:val="none"/>
              </w:rPr>
            </w:pPr>
            <w:r>
              <w:rPr>
                <w:rFonts w:ascii="宋体" w:hAnsi="宋体" w:cs="宋体"/>
                <w:sz w:val="24"/>
                <w:szCs w:val="24"/>
                <w:highlight w:val="none"/>
                <w:lang w:val="zh-CN"/>
              </w:rPr>
              <w:t>13.1</w:t>
            </w:r>
          </w:p>
        </w:tc>
        <w:tc>
          <w:tcPr>
            <w:tcW w:w="8038" w:type="dxa"/>
            <w:tcBorders>
              <w:left w:val="single" w:color="auto" w:sz="4" w:space="0"/>
              <w:bottom w:val="single" w:color="auto" w:sz="4" w:space="0"/>
            </w:tcBorders>
            <w:vAlign w:val="center"/>
          </w:tcPr>
          <w:p>
            <w:pPr>
              <w:spacing w:line="360" w:lineRule="auto"/>
              <w:rPr>
                <w:rFonts w:ascii="宋体" w:cs="宋体"/>
                <w:i/>
                <w:sz w:val="24"/>
                <w:szCs w:val="24"/>
                <w:highlight w:val="none"/>
              </w:rPr>
            </w:pPr>
            <w:r>
              <w:rPr>
                <w:rFonts w:hint="eastAsia" w:ascii="宋体" w:hAnsi="宋体" w:cs="宋体"/>
                <w:sz w:val="24"/>
                <w:szCs w:val="24"/>
                <w:highlight w:val="none"/>
                <w:lang w:val="zh-CN"/>
              </w:rPr>
              <w:t>投标报价：</w:t>
            </w:r>
            <w:r>
              <w:rPr>
                <w:rFonts w:hint="eastAsia" w:ascii="宋体" w:hAnsi="宋体" w:cs="宋体"/>
                <w:sz w:val="24"/>
                <w:szCs w:val="24"/>
                <w:highlight w:val="none"/>
              </w:rPr>
              <w:t>最终报价（</w:t>
            </w:r>
            <w:r>
              <w:rPr>
                <w:rFonts w:hint="eastAsia" w:ascii="宋体" w:hAnsi="宋体" w:cs="宋体"/>
                <w:sz w:val="24"/>
                <w:szCs w:val="24"/>
                <w:highlight w:val="none"/>
                <w:lang w:val="zh-CN"/>
              </w:rPr>
              <w:t>包括但不限于技术规格书明确的本项目所有内容，</w:t>
            </w:r>
            <w:r>
              <w:rPr>
                <w:rFonts w:hint="eastAsia" w:ascii="宋体" w:hAnsi="宋体" w:cs="宋体"/>
                <w:sz w:val="24"/>
                <w:szCs w:val="24"/>
                <w:highlight w:val="none"/>
              </w:rPr>
              <w:t>包含但不局限于</w:t>
            </w:r>
            <w:r>
              <w:rPr>
                <w:rFonts w:hint="eastAsia" w:ascii="宋体" w:hAnsi="宋体" w:cs="宋体"/>
                <w:sz w:val="24"/>
                <w:szCs w:val="24"/>
                <w:highlight w:val="none"/>
                <w:lang w:val="zh-CN"/>
              </w:rPr>
              <w:t>运输费，保险费，伴随服务费和税费等）。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1177" w:type="dxa"/>
            <w:tcBorders>
              <w:top w:val="single" w:color="auto" w:sz="4" w:space="0"/>
              <w:right w:val="single" w:color="auto" w:sz="4" w:space="0"/>
            </w:tcBorders>
            <w:vAlign w:val="center"/>
          </w:tcPr>
          <w:p>
            <w:pPr>
              <w:spacing w:line="360" w:lineRule="auto"/>
              <w:jc w:val="center"/>
              <w:rPr>
                <w:rFonts w:ascii="宋体" w:cs="宋体"/>
                <w:sz w:val="24"/>
                <w:szCs w:val="24"/>
                <w:highlight w:val="none"/>
                <w:lang w:val="zh-CN"/>
              </w:rPr>
            </w:pPr>
            <w:r>
              <w:rPr>
                <w:rFonts w:ascii="宋体" w:hAnsi="宋体" w:cs="宋体"/>
                <w:sz w:val="24"/>
                <w:szCs w:val="24"/>
                <w:highlight w:val="none"/>
                <w:lang w:val="zh-CN"/>
              </w:rPr>
              <w:t>14.1</w:t>
            </w:r>
          </w:p>
        </w:tc>
        <w:tc>
          <w:tcPr>
            <w:tcW w:w="8038" w:type="dxa"/>
            <w:tcBorders>
              <w:top w:val="single" w:color="auto" w:sz="4" w:space="0"/>
              <w:left w:val="single" w:color="auto" w:sz="4" w:space="0"/>
            </w:tcBorders>
            <w:vAlign w:val="center"/>
          </w:tcPr>
          <w:p>
            <w:pPr>
              <w:spacing w:line="360" w:lineRule="auto"/>
              <w:jc w:val="left"/>
              <w:rPr>
                <w:rFonts w:ascii="宋体" w:cs="宋体"/>
                <w:sz w:val="24"/>
                <w:szCs w:val="24"/>
                <w:highlight w:val="none"/>
                <w:lang w:val="zh-CN"/>
              </w:rPr>
            </w:pPr>
            <w:r>
              <w:rPr>
                <w:rFonts w:hint="eastAsia" w:ascii="宋体" w:hAnsi="宋体" w:cs="宋体"/>
                <w:sz w:val="24"/>
                <w:szCs w:val="24"/>
                <w:highlight w:val="none"/>
              </w:rPr>
              <w:t>投标货币：人民币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1177" w:type="dxa"/>
            <w:tcBorders>
              <w:right w:val="single" w:color="auto" w:sz="4" w:space="0"/>
            </w:tcBorders>
            <w:vAlign w:val="center"/>
          </w:tcPr>
          <w:p>
            <w:pPr>
              <w:tabs>
                <w:tab w:val="left" w:pos="720"/>
              </w:tabs>
              <w:autoSpaceDE w:val="0"/>
              <w:autoSpaceDN w:val="0"/>
              <w:adjustRightInd w:val="0"/>
              <w:spacing w:line="360" w:lineRule="auto"/>
              <w:ind w:left="278" w:right="17"/>
              <w:jc w:val="center"/>
              <w:rPr>
                <w:rFonts w:ascii="宋体" w:cs="宋体"/>
                <w:kern w:val="0"/>
                <w:sz w:val="24"/>
                <w:szCs w:val="24"/>
                <w:highlight w:val="none"/>
                <w:lang w:val="zh-CN"/>
              </w:rPr>
            </w:pPr>
            <w:r>
              <w:rPr>
                <w:rFonts w:ascii="宋体" w:hAnsi="宋体" w:cs="宋体"/>
                <w:sz w:val="24"/>
                <w:szCs w:val="24"/>
                <w:highlight w:val="none"/>
              </w:rPr>
              <w:t>15.1</w:t>
            </w:r>
          </w:p>
        </w:tc>
        <w:tc>
          <w:tcPr>
            <w:tcW w:w="8038" w:type="dxa"/>
            <w:tcBorders>
              <w:left w:val="single" w:color="auto" w:sz="4" w:space="0"/>
            </w:tcBorders>
            <w:vAlign w:val="center"/>
          </w:tcPr>
          <w:p>
            <w:pPr>
              <w:pStyle w:val="238"/>
              <w:numPr>
                <w:ilvl w:val="0"/>
                <w:numId w:val="0"/>
              </w:numPr>
              <w:spacing w:line="360" w:lineRule="auto"/>
              <w:rPr>
                <w:rFonts w:ascii="宋体" w:hAnsi="宋体" w:cs="宋体"/>
                <w:bCs/>
                <w:sz w:val="24"/>
                <w:szCs w:val="24"/>
                <w:highlight w:val="none"/>
              </w:rPr>
            </w:pPr>
            <w:r>
              <w:rPr>
                <w:rFonts w:hint="eastAsia" w:ascii="宋体" w:hAnsi="宋体" w:cs="宋体"/>
                <w:bCs/>
                <w:sz w:val="24"/>
                <w:szCs w:val="24"/>
                <w:highlight w:val="none"/>
              </w:rPr>
              <w:t>1.满足《中华人民共和国政府采购法》第二十二条规定；</w:t>
            </w:r>
          </w:p>
          <w:p>
            <w:pPr>
              <w:pStyle w:val="238"/>
              <w:numPr>
                <w:ilvl w:val="0"/>
                <w:numId w:val="0"/>
              </w:numPr>
              <w:spacing w:line="360" w:lineRule="auto"/>
              <w:rPr>
                <w:rFonts w:ascii="宋体" w:hAnsi="宋体" w:cs="宋体"/>
                <w:bCs/>
                <w:sz w:val="24"/>
                <w:szCs w:val="24"/>
                <w:highlight w:val="none"/>
              </w:rPr>
            </w:pPr>
            <w:r>
              <w:rPr>
                <w:rFonts w:ascii="宋体" w:hAnsi="宋体" w:cs="宋体"/>
                <w:bCs/>
                <w:sz w:val="24"/>
                <w:szCs w:val="24"/>
                <w:highlight w:val="none"/>
              </w:rPr>
              <w:t>2</w:t>
            </w:r>
            <w:r>
              <w:rPr>
                <w:rFonts w:hint="eastAsia" w:ascii="宋体" w:hAnsi="宋体" w:cs="宋体"/>
                <w:bCs/>
                <w:sz w:val="24"/>
                <w:szCs w:val="24"/>
                <w:highlight w:val="none"/>
              </w:rPr>
              <w:t>.落实政府采购政策需满足的资格要求：</w:t>
            </w:r>
          </w:p>
          <w:p>
            <w:pPr>
              <w:pStyle w:val="238"/>
              <w:numPr>
                <w:ilvl w:val="0"/>
                <w:numId w:val="0"/>
              </w:numPr>
              <w:spacing w:line="360" w:lineRule="auto"/>
              <w:ind w:firstLine="240" w:firstLineChars="100"/>
              <w:rPr>
                <w:rFonts w:ascii="宋体" w:hAnsi="宋体" w:cs="宋体"/>
                <w:bCs/>
                <w:sz w:val="24"/>
                <w:szCs w:val="24"/>
                <w:highlight w:val="none"/>
              </w:rPr>
            </w:pPr>
            <w:r>
              <w:rPr>
                <w:rFonts w:hint="eastAsia" w:ascii="宋体" w:hAnsi="宋体" w:cs="宋体"/>
                <w:bCs/>
                <w:sz w:val="24"/>
                <w:szCs w:val="24"/>
                <w:highlight w:val="none"/>
              </w:rPr>
              <w:t>1）单位负责人为同一人或者存在直接控股、管理关系的不同供应商，不得同时参加本项目同一包的投标；</w:t>
            </w:r>
          </w:p>
          <w:p>
            <w:pPr>
              <w:pStyle w:val="238"/>
              <w:numPr>
                <w:ilvl w:val="0"/>
                <w:numId w:val="0"/>
              </w:numPr>
              <w:spacing w:line="360" w:lineRule="auto"/>
              <w:ind w:firstLine="240" w:firstLineChars="100"/>
              <w:rPr>
                <w:rFonts w:ascii="宋体" w:hAnsi="宋体" w:cs="宋体"/>
                <w:bCs/>
                <w:sz w:val="24"/>
                <w:szCs w:val="24"/>
                <w:highlight w:val="none"/>
              </w:rPr>
            </w:pPr>
            <w:r>
              <w:rPr>
                <w:rFonts w:hint="eastAsia" w:ascii="宋体" w:hAnsi="宋体" w:cs="宋体"/>
                <w:bCs/>
                <w:sz w:val="24"/>
                <w:szCs w:val="24"/>
                <w:highlight w:val="none"/>
              </w:rPr>
              <w:t>2）为本项目某包提供整体设计、规范编制或者项目管理、监理、检测等服务的供应商，不得参加该包的投标；</w:t>
            </w:r>
          </w:p>
          <w:p>
            <w:pPr>
              <w:pStyle w:val="238"/>
              <w:numPr>
                <w:ilvl w:val="0"/>
                <w:numId w:val="0"/>
              </w:numPr>
              <w:spacing w:line="360" w:lineRule="auto"/>
              <w:ind w:firstLine="240" w:firstLineChars="100"/>
              <w:rPr>
                <w:rFonts w:hint="eastAsia" w:ascii="宋体" w:hAnsi="宋体" w:cs="宋体"/>
                <w:bCs/>
                <w:sz w:val="24"/>
                <w:szCs w:val="24"/>
                <w:highlight w:val="none"/>
              </w:rPr>
            </w:pPr>
            <w:r>
              <w:rPr>
                <w:rFonts w:hint="eastAsia" w:ascii="宋体" w:hAnsi="宋体" w:cs="宋体"/>
                <w:bCs/>
                <w:sz w:val="24"/>
                <w:szCs w:val="24"/>
                <w:highlight w:val="none"/>
              </w:rPr>
              <w:t>3）通过“信用中国”网站（www.creditchina.gov.cn）和中国政府采购网（www.ccgp.gov.cn）查询信用记录（截止时间点为投标截止时间），被列入失信被执行人、重大税收违法案件当事人名单或政府采购严重违法失信行为记录名单的供应商，没有资格参加本项目的采购活动；</w:t>
            </w:r>
          </w:p>
          <w:p>
            <w:pPr>
              <w:pStyle w:val="238"/>
              <w:numPr>
                <w:ilvl w:val="0"/>
                <w:numId w:val="0"/>
              </w:numPr>
              <w:spacing w:line="360" w:lineRule="auto"/>
              <w:ind w:firstLine="240" w:firstLineChars="100"/>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4）本项目专门面向中小企业采购</w:t>
            </w:r>
            <w:r>
              <w:rPr>
                <w:rFonts w:hint="eastAsia" w:ascii="宋体" w:hAnsi="宋体" w:cs="宋体"/>
                <w:bCs/>
                <w:sz w:val="24"/>
                <w:szCs w:val="24"/>
                <w:highlight w:val="none"/>
                <w:lang w:eastAsia="zh-CN"/>
              </w:rPr>
              <w:t>。</w:t>
            </w:r>
          </w:p>
          <w:p>
            <w:pPr>
              <w:pStyle w:val="238"/>
              <w:numPr>
                <w:ilvl w:val="0"/>
                <w:numId w:val="0"/>
              </w:numPr>
              <w:spacing w:line="360" w:lineRule="auto"/>
              <w:rPr>
                <w:rFonts w:ascii="宋体" w:hAnsi="宋体" w:cs="宋体"/>
                <w:bCs/>
                <w:sz w:val="24"/>
                <w:szCs w:val="24"/>
                <w:highlight w:val="none"/>
              </w:rPr>
            </w:pPr>
            <w:r>
              <w:rPr>
                <w:rFonts w:ascii="宋体" w:hAnsi="宋体" w:cs="宋体"/>
                <w:bCs/>
                <w:sz w:val="24"/>
                <w:szCs w:val="24"/>
                <w:highlight w:val="none"/>
              </w:rPr>
              <w:t>3</w:t>
            </w:r>
            <w:r>
              <w:rPr>
                <w:rFonts w:hint="eastAsia" w:ascii="宋体" w:hAnsi="宋体" w:cs="宋体"/>
                <w:bCs/>
                <w:sz w:val="24"/>
                <w:szCs w:val="24"/>
                <w:highlight w:val="none"/>
              </w:rPr>
              <w:t>.本项目的特定资格要求：</w:t>
            </w:r>
            <w:r>
              <w:rPr>
                <w:rFonts w:hint="eastAsia" w:ascii="宋体" w:hAnsi="宋体" w:cs="宋体"/>
                <w:bCs/>
                <w:sz w:val="24"/>
                <w:szCs w:val="24"/>
                <w:highlight w:val="none"/>
                <w:u w:val="single"/>
                <w:lang w:val="en-US" w:eastAsia="zh-CN"/>
              </w:rPr>
              <w:t>无</w:t>
            </w:r>
            <w:r>
              <w:rPr>
                <w:rFonts w:hint="eastAsia" w:ascii="宋体" w:hAnsi="宋体" w:cs="宋体"/>
                <w:bCs/>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1177" w:type="dxa"/>
            <w:tcBorders>
              <w:top w:val="single" w:color="auto" w:sz="12" w:space="0"/>
              <w:right w:val="single" w:color="auto" w:sz="4" w:space="0"/>
            </w:tcBorders>
            <w:vAlign w:val="center"/>
          </w:tcPr>
          <w:p>
            <w:pPr>
              <w:spacing w:line="360" w:lineRule="auto"/>
              <w:jc w:val="center"/>
              <w:rPr>
                <w:rFonts w:ascii="宋体" w:cs="宋体"/>
                <w:sz w:val="24"/>
                <w:szCs w:val="24"/>
                <w:highlight w:val="none"/>
              </w:rPr>
            </w:pPr>
            <w:r>
              <w:rPr>
                <w:rFonts w:ascii="宋体" w:hAnsi="宋体" w:cs="宋体"/>
                <w:sz w:val="24"/>
                <w:szCs w:val="24"/>
                <w:highlight w:val="none"/>
              </w:rPr>
              <w:t>17.1</w:t>
            </w:r>
          </w:p>
        </w:tc>
        <w:tc>
          <w:tcPr>
            <w:tcW w:w="8038" w:type="dxa"/>
            <w:tcBorders>
              <w:top w:val="single" w:color="auto" w:sz="12" w:space="0"/>
              <w:left w:val="single" w:color="auto" w:sz="4" w:space="0"/>
            </w:tcBorders>
            <w:vAlign w:val="center"/>
          </w:tcPr>
          <w:p>
            <w:pPr>
              <w:spacing w:line="360" w:lineRule="auto"/>
              <w:rPr>
                <w:rFonts w:hint="eastAsia" w:ascii="宋体" w:hAnsi="宋体" w:eastAsia="宋体" w:cs="宋体"/>
                <w:kern w:val="2"/>
                <w:sz w:val="24"/>
                <w:highlight w:val="none"/>
                <w:lang w:val="en-US" w:eastAsia="zh-CN" w:bidi="ar-SA"/>
              </w:rPr>
            </w:pPr>
            <w:r>
              <w:rPr>
                <w:rFonts w:hint="eastAsia" w:ascii="Calibri" w:hAnsi="Calibri" w:eastAsia="宋体" w:cs="Times New Roman"/>
                <w:kern w:val="2"/>
                <w:sz w:val="24"/>
                <w:highlight w:val="none"/>
                <w:lang w:val="en-US" w:eastAsia="zh-CN" w:bidi="ar-SA"/>
              </w:rPr>
              <w:t>投</w:t>
            </w:r>
            <w:r>
              <w:rPr>
                <w:rFonts w:hint="eastAsia" w:ascii="宋体" w:hAnsi="宋体" w:eastAsia="宋体" w:cs="宋体"/>
                <w:kern w:val="2"/>
                <w:sz w:val="24"/>
                <w:highlight w:val="none"/>
                <w:lang w:val="en-US" w:eastAsia="zh-CN" w:bidi="ar-SA"/>
              </w:rPr>
              <w:t>标保证金金额：（</w:t>
            </w:r>
            <w:r>
              <w:rPr>
                <w:rFonts w:hint="eastAsia" w:ascii="宋体" w:hAnsi="宋体" w:eastAsia="宋体" w:cs="宋体"/>
                <w:kern w:val="2"/>
                <w:sz w:val="24"/>
                <w:highlight w:val="none"/>
                <w:u w:val="single"/>
                <w:lang w:val="en-US" w:eastAsia="zh-CN" w:bidi="ar-SA"/>
              </w:rPr>
              <w:t>￥</w:t>
            </w:r>
            <w:r>
              <w:rPr>
                <w:rFonts w:hint="eastAsia" w:ascii="宋体" w:hAnsi="宋体" w:cs="宋体"/>
                <w:kern w:val="2"/>
                <w:sz w:val="24"/>
                <w:highlight w:val="none"/>
                <w:u w:val="single"/>
                <w:lang w:val="en-US" w:eastAsia="zh-CN" w:bidi="ar-SA"/>
              </w:rPr>
              <w:t>45000</w:t>
            </w:r>
            <w:r>
              <w:rPr>
                <w:rFonts w:hint="eastAsia" w:ascii="宋体" w:hAnsi="宋体" w:eastAsia="宋体" w:cs="宋体"/>
                <w:kern w:val="2"/>
                <w:sz w:val="24"/>
                <w:highlight w:val="none"/>
                <w:u w:val="single"/>
                <w:lang w:val="en-US" w:eastAsia="zh-CN" w:bidi="ar-SA"/>
              </w:rPr>
              <w:t>.00元</w:t>
            </w:r>
            <w:r>
              <w:rPr>
                <w:rFonts w:hint="eastAsia" w:ascii="宋体" w:hAnsi="宋体" w:eastAsia="宋体" w:cs="宋体"/>
                <w:kern w:val="2"/>
                <w:sz w:val="24"/>
                <w:highlight w:val="none"/>
                <w:lang w:val="en-US" w:eastAsia="zh-CN" w:bidi="ar-SA"/>
              </w:rPr>
              <w:t>）（大写：</w:t>
            </w:r>
            <w:r>
              <w:rPr>
                <w:rFonts w:hint="eastAsia" w:ascii="宋体" w:hAnsi="宋体" w:cs="宋体"/>
                <w:kern w:val="2"/>
                <w:sz w:val="24"/>
                <w:highlight w:val="none"/>
                <w:u w:val="single"/>
                <w:lang w:val="en-US" w:eastAsia="zh-CN" w:bidi="ar-SA"/>
              </w:rPr>
              <w:t>肆万伍仟元整</w:t>
            </w:r>
            <w:r>
              <w:rPr>
                <w:rFonts w:hint="eastAsia" w:ascii="宋体" w:hAnsi="宋体" w:eastAsia="宋体" w:cs="宋体"/>
                <w:kern w:val="2"/>
                <w:sz w:val="24"/>
                <w:highlight w:val="none"/>
                <w:lang w:val="en-US" w:eastAsia="zh-CN" w:bidi="ar-SA"/>
              </w:rPr>
              <w:t>）；</w:t>
            </w:r>
          </w:p>
          <w:p>
            <w:pPr>
              <w:spacing w:line="360" w:lineRule="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投标保证金银行及帐号：</w:t>
            </w:r>
          </w:p>
          <w:p>
            <w:pPr>
              <w:spacing w:line="360" w:lineRule="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账户名：</w:t>
            </w:r>
            <w:r>
              <w:rPr>
                <w:rFonts w:hint="eastAsia" w:ascii="宋体" w:hAnsi="宋体" w:cs="宋体"/>
                <w:kern w:val="2"/>
                <w:sz w:val="24"/>
                <w:highlight w:val="none"/>
                <w:lang w:val="en-US" w:eastAsia="zh-CN" w:bidi="ar-SA"/>
              </w:rPr>
              <w:t>新疆同创博远项目管理咨询有限责任公司</w:t>
            </w:r>
            <w:r>
              <w:rPr>
                <w:rFonts w:hint="eastAsia" w:ascii="宋体" w:hAnsi="宋体" w:eastAsia="宋体" w:cs="宋体"/>
                <w:kern w:val="2"/>
                <w:sz w:val="24"/>
                <w:highlight w:val="none"/>
                <w:lang w:val="en-US" w:eastAsia="zh-CN" w:bidi="ar-SA"/>
              </w:rPr>
              <w:t xml:space="preserve"> </w:t>
            </w:r>
          </w:p>
          <w:p>
            <w:pPr>
              <w:spacing w:line="360" w:lineRule="auto"/>
              <w:rPr>
                <w:rFonts w:hint="default"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开户行：新疆银行股份有限公司哈密火车站支行</w:t>
            </w:r>
          </w:p>
          <w:p>
            <w:pPr>
              <w:spacing w:line="360" w:lineRule="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 xml:space="preserve">帐 </w:t>
            </w:r>
            <w:r>
              <w:rPr>
                <w:rFonts w:hint="eastAsia" w:ascii="宋体" w:hAnsi="宋体" w:cs="宋体"/>
                <w:kern w:val="2"/>
                <w:sz w:val="24"/>
                <w:highlight w:val="none"/>
                <w:lang w:val="en-US" w:eastAsia="zh-CN" w:bidi="ar-SA"/>
              </w:rPr>
              <w:t xml:space="preserve"> </w:t>
            </w:r>
            <w:r>
              <w:rPr>
                <w:rFonts w:hint="eastAsia" w:ascii="宋体" w:hAnsi="宋体" w:eastAsia="宋体" w:cs="宋体"/>
                <w:kern w:val="2"/>
                <w:sz w:val="24"/>
                <w:highlight w:val="none"/>
                <w:lang w:val="en-US" w:eastAsia="zh-CN" w:bidi="ar-SA"/>
              </w:rPr>
              <w:t>号：0802260000001231</w:t>
            </w:r>
          </w:p>
          <w:p>
            <w:pPr>
              <w:pStyle w:val="20"/>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投标保证金形式：转账、电汇或银行保函等其他非现金形式，建议各投标单位优先考虑采用电汇形式递交投标保证金，投标保证金缴纳截止时间同投标截止时间；</w:t>
            </w:r>
          </w:p>
          <w:p>
            <w:pPr>
              <w:pStyle w:val="20"/>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投标保证金有效期与投标有效期一致；</w:t>
            </w:r>
          </w:p>
          <w:p>
            <w:pPr>
              <w:pStyle w:val="20"/>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投标保函（或电子保函）有效期与投标有效期一致；</w:t>
            </w:r>
          </w:p>
          <w:p>
            <w:pPr>
              <w:pStyle w:val="20"/>
              <w:rPr>
                <w:highlight w:val="none"/>
              </w:rPr>
            </w:pPr>
            <w:r>
              <w:rPr>
                <w:rFonts w:hint="eastAsia" w:ascii="宋体" w:hAnsi="宋体" w:eastAsia="宋体" w:cs="宋体"/>
                <w:kern w:val="2"/>
                <w:sz w:val="24"/>
                <w:highlight w:val="none"/>
                <w:lang w:val="en-US" w:eastAsia="zh-CN" w:bidi="ar-SA"/>
              </w:rPr>
              <w:t>保证金到账截止时间：同开标时间（响应文件递交截止时间）。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1177" w:type="dxa"/>
            <w:tcBorders>
              <w:right w:val="single" w:color="auto" w:sz="4" w:space="0"/>
            </w:tcBorders>
            <w:vAlign w:val="center"/>
          </w:tcPr>
          <w:p>
            <w:pPr>
              <w:spacing w:line="360" w:lineRule="auto"/>
              <w:jc w:val="center"/>
              <w:rPr>
                <w:rFonts w:ascii="宋体" w:cs="宋体"/>
                <w:i/>
                <w:sz w:val="24"/>
                <w:szCs w:val="24"/>
                <w:highlight w:val="none"/>
              </w:rPr>
            </w:pPr>
            <w:r>
              <w:rPr>
                <w:rFonts w:ascii="宋体" w:hAnsi="宋体" w:cs="宋体"/>
                <w:sz w:val="24"/>
                <w:szCs w:val="24"/>
                <w:highlight w:val="none"/>
              </w:rPr>
              <w:t>18.1</w:t>
            </w:r>
          </w:p>
        </w:tc>
        <w:tc>
          <w:tcPr>
            <w:tcW w:w="8038" w:type="dxa"/>
            <w:tcBorders>
              <w:left w:val="single" w:color="auto" w:sz="4" w:space="0"/>
            </w:tcBorders>
            <w:vAlign w:val="center"/>
          </w:tcPr>
          <w:p>
            <w:pPr>
              <w:spacing w:line="360" w:lineRule="auto"/>
              <w:rPr>
                <w:rFonts w:ascii="宋体" w:cs="宋体"/>
                <w:i/>
                <w:sz w:val="24"/>
                <w:szCs w:val="24"/>
                <w:highlight w:val="none"/>
              </w:rPr>
            </w:pPr>
            <w:r>
              <w:rPr>
                <w:rFonts w:hint="eastAsia" w:ascii="宋体" w:hAnsi="宋体" w:cs="宋体"/>
                <w:sz w:val="24"/>
                <w:szCs w:val="24"/>
                <w:highlight w:val="none"/>
              </w:rPr>
              <w:t>投标有效期：</w:t>
            </w:r>
            <w:r>
              <w:rPr>
                <w:rFonts w:ascii="宋体" w:hAnsi="宋体" w:cs="宋体"/>
                <w:sz w:val="24"/>
                <w:szCs w:val="24"/>
                <w:highlight w:val="none"/>
                <w:u w:val="single"/>
              </w:rPr>
              <w:t xml:space="preserve">  90  </w:t>
            </w:r>
            <w:r>
              <w:rPr>
                <w:rFonts w:hint="eastAsia" w:ascii="宋体" w:hAnsi="宋体" w:cs="宋体"/>
                <w:sz w:val="24"/>
                <w:szCs w:val="24"/>
                <w:highlight w:val="none"/>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7" w:hRule="atLeast"/>
        </w:trPr>
        <w:tc>
          <w:tcPr>
            <w:tcW w:w="1177" w:type="dxa"/>
            <w:tcBorders>
              <w:right w:val="single" w:color="auto" w:sz="4" w:space="0"/>
            </w:tcBorders>
            <w:vAlign w:val="center"/>
          </w:tcPr>
          <w:p>
            <w:pPr>
              <w:spacing w:line="360" w:lineRule="auto"/>
              <w:jc w:val="center"/>
              <w:rPr>
                <w:rFonts w:ascii="宋体" w:cs="宋体"/>
                <w:kern w:val="0"/>
                <w:sz w:val="24"/>
                <w:szCs w:val="24"/>
                <w:highlight w:val="none"/>
              </w:rPr>
            </w:pPr>
            <w:r>
              <w:rPr>
                <w:rFonts w:ascii="宋体" w:hAnsi="宋体" w:cs="宋体"/>
                <w:sz w:val="24"/>
                <w:szCs w:val="24"/>
                <w:highlight w:val="none"/>
              </w:rPr>
              <w:t>19.1</w:t>
            </w:r>
          </w:p>
        </w:tc>
        <w:tc>
          <w:tcPr>
            <w:tcW w:w="8038" w:type="dxa"/>
            <w:tcBorders>
              <w:left w:val="single" w:color="auto" w:sz="4" w:space="0"/>
            </w:tcBorders>
            <w:vAlign w:val="center"/>
          </w:tcPr>
          <w:p>
            <w:pPr>
              <w:spacing w:line="360" w:lineRule="auto"/>
              <w:rPr>
                <w:rFonts w:hint="eastAsia" w:ascii="宋体" w:hAnsi="宋体" w:cs="宋体"/>
                <w:sz w:val="24"/>
                <w:szCs w:val="24"/>
                <w:highlight w:val="none"/>
                <w:lang w:val="en-US" w:eastAsia="zh-CN"/>
              </w:rPr>
            </w:pPr>
            <w:r>
              <w:rPr>
                <w:rFonts w:hint="eastAsia" w:ascii="宋体" w:hAnsi="宋体" w:cs="宋体"/>
                <w:color w:val="auto"/>
                <w:sz w:val="24"/>
                <w:szCs w:val="24"/>
                <w:lang w:val="en-US" w:eastAsia="zh-CN"/>
              </w:rPr>
              <w:t>投标人应在投标截止日期前在政采云网上上传电子版投标文件。</w:t>
            </w:r>
          </w:p>
          <w:p>
            <w:pPr>
              <w:spacing w:line="360" w:lineRule="auto"/>
              <w:rPr>
                <w:rFonts w:ascii="宋体" w:cs="宋体"/>
                <w:sz w:val="24"/>
                <w:szCs w:val="24"/>
                <w:highlight w:val="none"/>
              </w:rPr>
            </w:pPr>
            <w:r>
              <w:rPr>
                <w:rFonts w:hint="eastAsia" w:ascii="宋体" w:hAnsi="宋体" w:cs="宋体"/>
                <w:sz w:val="24"/>
                <w:szCs w:val="24"/>
                <w:highlight w:val="none"/>
                <w:lang w:val="en-US" w:eastAsia="zh-CN"/>
              </w:rPr>
              <w:t>中标人需在中标公告发布后递交纸质版投标文件至代理机构处，</w:t>
            </w:r>
            <w:r>
              <w:rPr>
                <w:rFonts w:hint="eastAsia" w:ascii="宋体" w:hAnsi="宋体" w:cs="宋体"/>
                <w:sz w:val="24"/>
                <w:szCs w:val="24"/>
                <w:highlight w:val="none"/>
              </w:rPr>
              <w:t>资格证明材料部分及商务、技术部分（</w:t>
            </w:r>
            <w:r>
              <w:rPr>
                <w:rFonts w:hint="eastAsia" w:ascii="宋体" w:hAnsi="宋体" w:cs="宋体"/>
                <w:b/>
                <w:sz w:val="24"/>
                <w:szCs w:val="24"/>
                <w:highlight w:val="none"/>
              </w:rPr>
              <w:t>所有部分胶装成一册</w:t>
            </w:r>
            <w:r>
              <w:rPr>
                <w:rFonts w:hint="eastAsia" w:ascii="宋体" w:hAnsi="宋体" w:cs="宋体"/>
                <w:sz w:val="24"/>
                <w:szCs w:val="24"/>
                <w:highlight w:val="none"/>
              </w:rPr>
              <w:t>）正本</w:t>
            </w:r>
            <w:r>
              <w:rPr>
                <w:rFonts w:ascii="宋体" w:hAnsi="宋体" w:cs="宋体"/>
                <w:sz w:val="24"/>
                <w:szCs w:val="24"/>
                <w:highlight w:val="none"/>
              </w:rPr>
              <w:t>1</w:t>
            </w:r>
            <w:r>
              <w:rPr>
                <w:rFonts w:hint="eastAsia" w:ascii="宋体" w:hAnsi="宋体" w:cs="宋体"/>
                <w:sz w:val="24"/>
                <w:szCs w:val="24"/>
                <w:highlight w:val="none"/>
              </w:rPr>
              <w:t>份，副本</w:t>
            </w:r>
            <w:r>
              <w:rPr>
                <w:rFonts w:hint="eastAsia" w:ascii="宋体" w:hAnsi="宋体" w:cs="宋体"/>
                <w:sz w:val="24"/>
                <w:szCs w:val="24"/>
                <w:highlight w:val="none"/>
                <w:lang w:val="en-US" w:eastAsia="zh-CN"/>
              </w:rPr>
              <w:t>2</w:t>
            </w:r>
            <w:r>
              <w:rPr>
                <w:rFonts w:hint="eastAsia" w:ascii="宋体" w:hAnsi="宋体" w:cs="宋体"/>
                <w:sz w:val="24"/>
                <w:szCs w:val="24"/>
                <w:highlight w:val="none"/>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pacing w:line="360" w:lineRule="auto"/>
              <w:jc w:val="center"/>
              <w:rPr>
                <w:rFonts w:ascii="宋体" w:cs="宋体"/>
                <w:sz w:val="24"/>
                <w:szCs w:val="24"/>
                <w:highlight w:val="none"/>
              </w:rPr>
            </w:pPr>
            <w:r>
              <w:rPr>
                <w:rFonts w:ascii="宋体" w:hAnsi="宋体" w:cs="宋体"/>
                <w:sz w:val="24"/>
                <w:szCs w:val="24"/>
                <w:highlight w:val="none"/>
              </w:rPr>
              <w:t>19.2</w:t>
            </w:r>
          </w:p>
        </w:tc>
        <w:tc>
          <w:tcPr>
            <w:tcW w:w="8038" w:type="dxa"/>
            <w:tcBorders>
              <w:left w:val="single" w:color="auto" w:sz="4" w:space="0"/>
            </w:tcBorders>
            <w:vAlign w:val="center"/>
          </w:tcPr>
          <w:p>
            <w:pPr>
              <w:spacing w:line="360" w:lineRule="auto"/>
              <w:rPr>
                <w:rFonts w:ascii="宋体" w:cs="宋体"/>
                <w:sz w:val="24"/>
                <w:szCs w:val="24"/>
                <w:highlight w:val="none"/>
              </w:rPr>
            </w:pPr>
            <w:r>
              <w:rPr>
                <w:rFonts w:hint="eastAsia" w:ascii="宋体" w:hAnsi="宋体" w:cs="宋体"/>
                <w:sz w:val="24"/>
                <w:szCs w:val="24"/>
                <w:highlight w:val="none"/>
                <w:lang w:val="en-US" w:eastAsia="zh-CN"/>
              </w:rPr>
              <w:t>中标人的</w:t>
            </w:r>
            <w:r>
              <w:rPr>
                <w:rFonts w:hint="eastAsia" w:ascii="宋体" w:hAnsi="宋体" w:cs="宋体"/>
                <w:sz w:val="24"/>
                <w:szCs w:val="24"/>
                <w:highlight w:val="none"/>
              </w:rPr>
              <w:t>投标文件的正本建议采用双面打印，副本可采用正本的复印件（建议双面复印）。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pacing w:line="360" w:lineRule="auto"/>
              <w:jc w:val="center"/>
              <w:rPr>
                <w:rFonts w:ascii="宋体" w:cs="宋体"/>
                <w:sz w:val="24"/>
                <w:szCs w:val="24"/>
                <w:highlight w:val="none"/>
              </w:rPr>
            </w:pPr>
            <w:r>
              <w:rPr>
                <w:rFonts w:ascii="宋体" w:hAnsi="宋体" w:cs="宋体"/>
                <w:sz w:val="24"/>
                <w:szCs w:val="24"/>
                <w:highlight w:val="none"/>
              </w:rPr>
              <w:t>21.1</w:t>
            </w:r>
          </w:p>
        </w:tc>
        <w:tc>
          <w:tcPr>
            <w:tcW w:w="8038" w:type="dxa"/>
            <w:tcBorders>
              <w:left w:val="single" w:color="auto" w:sz="4" w:space="0"/>
            </w:tcBorders>
            <w:vAlign w:val="center"/>
          </w:tcPr>
          <w:p>
            <w:pPr>
              <w:pStyle w:val="40"/>
              <w:spacing w:before="0" w:beforeAutospacing="0" w:after="0" w:afterAutospacing="0" w:line="360" w:lineRule="auto"/>
              <w:rPr>
                <w:rFonts w:cs="宋体"/>
                <w:kern w:val="2"/>
                <w:highlight w:val="yellow"/>
              </w:rPr>
            </w:pPr>
            <w:r>
              <w:rPr>
                <w:rFonts w:hint="eastAsia" w:cs="宋体"/>
                <w:kern w:val="2"/>
                <w:highlight w:val="yellow"/>
              </w:rPr>
              <w:t>投标截止时间：</w:t>
            </w:r>
            <w:r>
              <w:rPr>
                <w:rFonts w:hint="eastAsia" w:cs="宋体"/>
                <w:kern w:val="2"/>
                <w:highlight w:val="yellow"/>
                <w:lang w:eastAsia="zh-CN"/>
              </w:rPr>
              <w:t>202</w:t>
            </w:r>
            <w:r>
              <w:rPr>
                <w:rFonts w:hint="eastAsia" w:cs="宋体"/>
                <w:kern w:val="2"/>
                <w:highlight w:val="yellow"/>
                <w:lang w:val="en-US" w:eastAsia="zh-CN"/>
              </w:rPr>
              <w:t>4</w:t>
            </w:r>
            <w:r>
              <w:rPr>
                <w:rFonts w:hint="eastAsia" w:cs="宋体"/>
                <w:kern w:val="2"/>
                <w:highlight w:val="yellow"/>
                <w:lang w:eastAsia="zh-CN"/>
              </w:rPr>
              <w:t>年</w:t>
            </w:r>
            <w:r>
              <w:rPr>
                <w:rFonts w:hint="eastAsia" w:cs="宋体"/>
                <w:kern w:val="2"/>
                <w:highlight w:val="yellow"/>
                <w:lang w:val="en-US" w:eastAsia="zh-CN"/>
              </w:rPr>
              <w:t>4</w:t>
            </w:r>
            <w:r>
              <w:rPr>
                <w:rFonts w:hint="eastAsia" w:cs="宋体"/>
                <w:kern w:val="2"/>
                <w:highlight w:val="yellow"/>
                <w:lang w:eastAsia="zh-CN"/>
              </w:rPr>
              <w:t>月2日</w:t>
            </w:r>
            <w:r>
              <w:rPr>
                <w:rFonts w:hint="eastAsia" w:cs="宋体"/>
                <w:kern w:val="2"/>
                <w:highlight w:val="yellow"/>
                <w:lang w:val="en-US" w:eastAsia="zh-CN"/>
              </w:rPr>
              <w:t>16</w:t>
            </w:r>
            <w:r>
              <w:rPr>
                <w:rFonts w:hint="eastAsia" w:cs="宋体"/>
                <w:kern w:val="2"/>
                <w:highlight w:val="yellow"/>
                <w:lang w:eastAsia="zh-CN"/>
              </w:rPr>
              <w:t>时00分</w:t>
            </w:r>
            <w:r>
              <w:rPr>
                <w:rFonts w:hint="eastAsia" w:cs="宋体"/>
                <w:kern w:val="2"/>
                <w:highlight w:val="yellow"/>
              </w:rPr>
              <w:t>（北京时间）</w:t>
            </w:r>
          </w:p>
          <w:p>
            <w:pPr>
              <w:pStyle w:val="40"/>
              <w:spacing w:before="0" w:beforeAutospacing="0" w:after="0" w:afterAutospacing="0" w:line="360" w:lineRule="auto"/>
              <w:rPr>
                <w:rFonts w:cs="宋体"/>
                <w:kern w:val="2"/>
                <w:highlight w:val="yellow"/>
              </w:rPr>
            </w:pPr>
            <w:r>
              <w:rPr>
                <w:rFonts w:hint="eastAsia" w:cs="宋体"/>
                <w:kern w:val="2"/>
                <w:highlight w:val="yellow"/>
              </w:rPr>
              <w:t>投标文件递交地点：新疆政府采购云平台（https://www.zcygov.cn/）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1" w:hRule="atLeast"/>
        </w:trPr>
        <w:tc>
          <w:tcPr>
            <w:tcW w:w="1177" w:type="dxa"/>
            <w:tcBorders>
              <w:right w:val="single" w:color="auto" w:sz="4" w:space="0"/>
            </w:tcBorders>
            <w:vAlign w:val="center"/>
          </w:tcPr>
          <w:p>
            <w:pPr>
              <w:spacing w:line="360" w:lineRule="auto"/>
              <w:jc w:val="center"/>
              <w:rPr>
                <w:rFonts w:ascii="宋体" w:cs="宋体"/>
                <w:sz w:val="24"/>
                <w:szCs w:val="24"/>
                <w:highlight w:val="none"/>
              </w:rPr>
            </w:pPr>
            <w:r>
              <w:rPr>
                <w:rFonts w:ascii="宋体" w:hAnsi="宋体" w:cs="宋体"/>
                <w:sz w:val="24"/>
                <w:szCs w:val="24"/>
                <w:highlight w:val="none"/>
              </w:rPr>
              <w:t>24.1</w:t>
            </w:r>
          </w:p>
        </w:tc>
        <w:tc>
          <w:tcPr>
            <w:tcW w:w="8038" w:type="dxa"/>
            <w:tcBorders>
              <w:left w:val="single" w:color="auto" w:sz="4" w:space="0"/>
            </w:tcBorders>
            <w:vAlign w:val="center"/>
          </w:tcPr>
          <w:p>
            <w:pPr>
              <w:tabs>
                <w:tab w:val="left" w:pos="720"/>
              </w:tabs>
              <w:spacing w:line="360" w:lineRule="auto"/>
              <w:rPr>
                <w:rFonts w:ascii="宋体" w:cs="宋体"/>
                <w:kern w:val="0"/>
                <w:sz w:val="24"/>
                <w:szCs w:val="24"/>
                <w:highlight w:val="yellow"/>
              </w:rPr>
            </w:pPr>
            <w:r>
              <w:rPr>
                <w:rFonts w:hint="eastAsia" w:ascii="宋体" w:hAnsi="宋体" w:cs="宋体"/>
                <w:kern w:val="0"/>
                <w:sz w:val="24"/>
                <w:szCs w:val="24"/>
                <w:highlight w:val="yellow"/>
              </w:rPr>
              <w:t>开标时间：</w:t>
            </w:r>
            <w:r>
              <w:rPr>
                <w:rFonts w:hint="eastAsia" w:ascii="宋体" w:hAnsi="宋体" w:cs="宋体"/>
                <w:kern w:val="0"/>
                <w:sz w:val="24"/>
                <w:szCs w:val="24"/>
                <w:highlight w:val="yellow"/>
                <w:lang w:eastAsia="zh-CN"/>
              </w:rPr>
              <w:t>202</w:t>
            </w:r>
            <w:r>
              <w:rPr>
                <w:rFonts w:hint="eastAsia" w:ascii="宋体" w:hAnsi="宋体" w:cs="宋体"/>
                <w:kern w:val="0"/>
                <w:sz w:val="24"/>
                <w:szCs w:val="24"/>
                <w:highlight w:val="yellow"/>
                <w:lang w:val="en-US" w:eastAsia="zh-CN"/>
              </w:rPr>
              <w:t>4</w:t>
            </w:r>
            <w:r>
              <w:rPr>
                <w:rFonts w:hint="eastAsia" w:ascii="宋体" w:hAnsi="宋体" w:cs="宋体"/>
                <w:kern w:val="0"/>
                <w:sz w:val="24"/>
                <w:szCs w:val="24"/>
                <w:highlight w:val="yellow"/>
                <w:lang w:eastAsia="zh-CN"/>
              </w:rPr>
              <w:t>年</w:t>
            </w:r>
            <w:r>
              <w:rPr>
                <w:rFonts w:hint="eastAsia" w:ascii="宋体" w:hAnsi="宋体" w:cs="宋体"/>
                <w:kern w:val="0"/>
                <w:sz w:val="24"/>
                <w:szCs w:val="24"/>
                <w:highlight w:val="yellow"/>
                <w:lang w:val="en-US" w:eastAsia="zh-CN"/>
              </w:rPr>
              <w:t>4</w:t>
            </w:r>
            <w:r>
              <w:rPr>
                <w:rFonts w:hint="eastAsia" w:ascii="宋体" w:hAnsi="宋体" w:cs="宋体"/>
                <w:kern w:val="0"/>
                <w:sz w:val="24"/>
                <w:szCs w:val="24"/>
                <w:highlight w:val="yellow"/>
                <w:lang w:eastAsia="zh-CN"/>
              </w:rPr>
              <w:t>月2日1</w:t>
            </w:r>
            <w:r>
              <w:rPr>
                <w:rFonts w:hint="eastAsia" w:ascii="宋体" w:hAnsi="宋体" w:cs="宋体"/>
                <w:kern w:val="0"/>
                <w:sz w:val="24"/>
                <w:szCs w:val="24"/>
                <w:highlight w:val="yellow"/>
                <w:lang w:val="en-US" w:eastAsia="zh-CN"/>
              </w:rPr>
              <w:t>6</w:t>
            </w:r>
            <w:r>
              <w:rPr>
                <w:rFonts w:hint="eastAsia" w:ascii="宋体" w:hAnsi="宋体" w:cs="宋体"/>
                <w:kern w:val="0"/>
                <w:sz w:val="24"/>
                <w:szCs w:val="24"/>
                <w:highlight w:val="yellow"/>
                <w:lang w:eastAsia="zh-CN"/>
              </w:rPr>
              <w:t>时00分</w:t>
            </w:r>
            <w:r>
              <w:rPr>
                <w:rFonts w:hint="eastAsia" w:ascii="宋体" w:hAnsi="宋体" w:eastAsia="宋体" w:cs="宋体"/>
                <w:kern w:val="2"/>
                <w:sz w:val="24"/>
                <w:szCs w:val="24"/>
                <w:highlight w:val="yellow"/>
                <w:lang w:val="en-US" w:eastAsia="zh-CN" w:bidi="ar-SA"/>
              </w:rPr>
              <w:t>（北</w:t>
            </w:r>
            <w:r>
              <w:rPr>
                <w:rFonts w:hint="eastAsia" w:ascii="宋体" w:hAnsi="宋体" w:cs="宋体"/>
                <w:kern w:val="0"/>
                <w:sz w:val="24"/>
                <w:szCs w:val="24"/>
                <w:highlight w:val="yellow"/>
              </w:rPr>
              <w:t>京时间）</w:t>
            </w:r>
          </w:p>
          <w:p>
            <w:pPr>
              <w:spacing w:line="360" w:lineRule="auto"/>
              <w:rPr>
                <w:rFonts w:ascii="宋体" w:cs="宋体"/>
                <w:kern w:val="0"/>
                <w:sz w:val="24"/>
                <w:szCs w:val="24"/>
                <w:highlight w:val="yellow"/>
              </w:rPr>
            </w:pPr>
            <w:r>
              <w:rPr>
                <w:rFonts w:hint="eastAsia" w:ascii="宋体" w:hAnsi="宋体" w:cs="宋体"/>
                <w:kern w:val="0"/>
                <w:sz w:val="24"/>
                <w:szCs w:val="24"/>
                <w:highlight w:val="yellow"/>
              </w:rPr>
              <w:t>开标地点：新疆政府采购云平台（https://www.zcygov.cn/）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6" w:hRule="atLeast"/>
        </w:trPr>
        <w:tc>
          <w:tcPr>
            <w:tcW w:w="1177" w:type="dxa"/>
            <w:tcBorders>
              <w:right w:val="single" w:color="auto" w:sz="4" w:space="0"/>
            </w:tcBorders>
            <w:vAlign w:val="center"/>
          </w:tcPr>
          <w:p>
            <w:pPr>
              <w:spacing w:line="360" w:lineRule="auto"/>
              <w:jc w:val="center"/>
              <w:rPr>
                <w:rFonts w:ascii="宋体" w:cs="宋体"/>
                <w:sz w:val="24"/>
                <w:szCs w:val="24"/>
                <w:highlight w:val="none"/>
              </w:rPr>
            </w:pPr>
            <w:r>
              <w:rPr>
                <w:rFonts w:ascii="宋体" w:hAnsi="宋体" w:cs="宋体"/>
                <w:sz w:val="24"/>
                <w:szCs w:val="24"/>
                <w:highlight w:val="none"/>
              </w:rPr>
              <w:t>26.1</w:t>
            </w:r>
          </w:p>
        </w:tc>
        <w:tc>
          <w:tcPr>
            <w:tcW w:w="8038" w:type="dxa"/>
            <w:tcBorders>
              <w:left w:val="single" w:color="auto" w:sz="4" w:space="0"/>
            </w:tcBorders>
            <w:vAlign w:val="center"/>
          </w:tcPr>
          <w:p>
            <w:pPr>
              <w:spacing w:line="360" w:lineRule="auto"/>
              <w:rPr>
                <w:rFonts w:ascii="宋体" w:cs="宋体"/>
                <w:sz w:val="24"/>
                <w:szCs w:val="24"/>
                <w:highlight w:val="none"/>
              </w:rPr>
            </w:pPr>
            <w:r>
              <w:rPr>
                <w:rFonts w:hint="eastAsia" w:ascii="宋体" w:hAnsi="宋体" w:cs="宋体"/>
                <w:sz w:val="24"/>
                <w:szCs w:val="24"/>
                <w:highlight w:val="none"/>
              </w:rPr>
              <w:t>本项目评标委员会负责确定中标候选人名单（三名），由采购人根据相关法律法规确定中标人。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6" w:hRule="atLeast"/>
        </w:trPr>
        <w:tc>
          <w:tcPr>
            <w:tcW w:w="1177" w:type="dxa"/>
            <w:tcBorders>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26.1.2</w:t>
            </w:r>
          </w:p>
        </w:tc>
        <w:tc>
          <w:tcPr>
            <w:tcW w:w="8038" w:type="dxa"/>
            <w:tcBorders>
              <w:left w:val="single" w:color="auto" w:sz="4" w:space="0"/>
            </w:tcBorders>
            <w:vAlign w:val="center"/>
          </w:tcPr>
          <w:p>
            <w:pPr>
              <w:spacing w:line="360" w:lineRule="auto"/>
              <w:rPr>
                <w:rFonts w:ascii="宋体" w:cs="宋体"/>
                <w:sz w:val="24"/>
                <w:szCs w:val="24"/>
                <w:highlight w:val="none"/>
              </w:rPr>
            </w:pPr>
            <w:r>
              <w:rPr>
                <w:rFonts w:hint="eastAsia" w:ascii="宋体" w:hAnsi="宋体" w:cs="宋体"/>
                <w:sz w:val="24"/>
                <w:szCs w:val="24"/>
                <w:highlight w:val="none"/>
              </w:rPr>
              <w:t>本项目评标委员会人数为</w:t>
            </w:r>
            <w:r>
              <w:rPr>
                <w:rFonts w:hint="eastAsia" w:ascii="宋体" w:hAnsi="宋体" w:cs="宋体"/>
                <w:sz w:val="24"/>
                <w:szCs w:val="24"/>
                <w:highlight w:val="none"/>
                <w:u w:val="single"/>
                <w:lang w:val="en-US" w:eastAsia="zh-CN"/>
              </w:rPr>
              <w:t>5</w:t>
            </w:r>
            <w:r>
              <w:rPr>
                <w:rFonts w:ascii="宋体" w:hAnsi="宋体" w:cs="宋体"/>
                <w:sz w:val="24"/>
                <w:szCs w:val="24"/>
                <w:highlight w:val="none"/>
              </w:rPr>
              <w:t>人及以上单数组成</w:t>
            </w:r>
            <w:r>
              <w:rPr>
                <w:rFonts w:hint="eastAsia" w:ascii="宋体" w:hAnsi="宋体" w:cs="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6" w:hRule="atLeast"/>
        </w:trPr>
        <w:tc>
          <w:tcPr>
            <w:tcW w:w="1177" w:type="dxa"/>
            <w:tcBorders>
              <w:right w:val="single" w:color="auto" w:sz="4" w:space="0"/>
            </w:tcBorders>
            <w:vAlign w:val="center"/>
          </w:tcPr>
          <w:p>
            <w:pPr>
              <w:spacing w:line="360" w:lineRule="auto"/>
              <w:jc w:val="center"/>
              <w:rPr>
                <w:rFonts w:ascii="宋体" w:cs="宋体"/>
                <w:sz w:val="24"/>
                <w:szCs w:val="24"/>
                <w:highlight w:val="none"/>
              </w:rPr>
            </w:pPr>
            <w:r>
              <w:rPr>
                <w:rFonts w:ascii="宋体" w:hAnsi="宋体" w:cs="宋体"/>
                <w:sz w:val="24"/>
                <w:szCs w:val="24"/>
                <w:highlight w:val="none"/>
              </w:rPr>
              <w:t>26.2</w:t>
            </w:r>
          </w:p>
        </w:tc>
        <w:tc>
          <w:tcPr>
            <w:tcW w:w="8038" w:type="dxa"/>
            <w:tcBorders>
              <w:left w:val="single" w:color="auto" w:sz="4" w:space="0"/>
            </w:tcBorders>
            <w:vAlign w:val="center"/>
          </w:tcPr>
          <w:p>
            <w:pPr>
              <w:spacing w:line="360" w:lineRule="auto"/>
              <w:rPr>
                <w:rFonts w:hint="eastAsia" w:ascii="宋体" w:eastAsia="宋体" w:cs="宋体"/>
                <w:sz w:val="24"/>
                <w:szCs w:val="24"/>
                <w:highlight w:val="none"/>
                <w:lang w:eastAsia="zh-CN"/>
              </w:rPr>
            </w:pPr>
            <w:r>
              <w:rPr>
                <w:rFonts w:hint="eastAsia" w:ascii="宋体" w:hAnsi="宋体" w:cs="宋体"/>
                <w:sz w:val="24"/>
                <w:szCs w:val="24"/>
                <w:highlight w:val="none"/>
              </w:rPr>
              <w:t>评标方法：</w:t>
            </w:r>
            <w:r>
              <w:rPr>
                <w:rFonts w:hint="eastAsia" w:ascii="宋体" w:hAnsi="宋体" w:cs="宋体"/>
                <w:sz w:val="24"/>
                <w:szCs w:val="24"/>
                <w:highlight w:val="none"/>
                <w:lang w:eastAsia="zh-CN"/>
              </w:rPr>
              <w:t>综合评估法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6" w:hRule="atLeast"/>
        </w:trPr>
        <w:tc>
          <w:tcPr>
            <w:tcW w:w="1177" w:type="dxa"/>
            <w:tcBorders>
              <w:right w:val="single" w:color="auto" w:sz="4" w:space="0"/>
            </w:tcBorders>
            <w:vAlign w:val="center"/>
          </w:tcPr>
          <w:p>
            <w:pPr>
              <w:spacing w:line="360" w:lineRule="auto"/>
              <w:jc w:val="center"/>
              <w:rPr>
                <w:rFonts w:ascii="宋体" w:cs="宋体"/>
                <w:sz w:val="24"/>
                <w:szCs w:val="24"/>
                <w:highlight w:val="none"/>
              </w:rPr>
            </w:pPr>
            <w:r>
              <w:rPr>
                <w:rFonts w:ascii="宋体" w:hAnsi="宋体" w:cs="宋体"/>
                <w:sz w:val="24"/>
                <w:szCs w:val="24"/>
                <w:highlight w:val="none"/>
              </w:rPr>
              <w:t>26.4.5</w:t>
            </w:r>
          </w:p>
        </w:tc>
        <w:tc>
          <w:tcPr>
            <w:tcW w:w="8038" w:type="dxa"/>
            <w:tcBorders>
              <w:left w:val="single" w:color="auto" w:sz="4" w:space="0"/>
            </w:tcBorders>
            <w:vAlign w:val="center"/>
          </w:tcPr>
          <w:p>
            <w:pPr>
              <w:spacing w:line="360" w:lineRule="auto"/>
              <w:rPr>
                <w:rFonts w:ascii="宋体" w:cs="宋体"/>
                <w:sz w:val="24"/>
                <w:szCs w:val="24"/>
                <w:highlight w:val="none"/>
              </w:rPr>
            </w:pPr>
            <w:r>
              <w:rPr>
                <w:rFonts w:hint="eastAsia" w:ascii="宋体" w:hAnsi="宋体" w:cs="宋体"/>
                <w:sz w:val="24"/>
                <w:szCs w:val="24"/>
                <w:highlight w:val="none"/>
              </w:rPr>
              <w:t>本次投标最高限价：</w:t>
            </w:r>
            <w:r>
              <w:rPr>
                <w:rFonts w:hint="eastAsia" w:ascii="宋体" w:hAnsi="宋体" w:cs="宋体"/>
                <w:sz w:val="24"/>
                <w:szCs w:val="24"/>
                <w:highlight w:val="none"/>
                <w:lang w:val="en-US" w:eastAsia="zh-CN"/>
              </w:rPr>
              <w:t>260万</w:t>
            </w:r>
            <w:r>
              <w:rPr>
                <w:rFonts w:hint="eastAsia" w:ascii="宋体" w:hAnsi="宋体" w:cs="宋体"/>
                <w:sz w:val="24"/>
                <w:szCs w:val="24"/>
                <w:highlight w:val="none"/>
              </w:rPr>
              <w:t>元</w:t>
            </w:r>
            <w:r>
              <w:rPr>
                <w:rFonts w:hint="eastAsia" w:ascii="宋体" w:hAnsi="宋体" w:cs="宋体"/>
                <w:kern w:val="0"/>
                <w:sz w:val="24"/>
                <w:szCs w:val="24"/>
                <w:highlight w:val="none"/>
              </w:rPr>
              <w:t>，各投标人的投标报价超出此限价将做废标处理。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90" w:hRule="atLeast"/>
        </w:trPr>
        <w:tc>
          <w:tcPr>
            <w:tcW w:w="1177" w:type="dxa"/>
            <w:tcBorders>
              <w:right w:val="single" w:color="auto" w:sz="4" w:space="0"/>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27</w:t>
            </w:r>
          </w:p>
        </w:tc>
        <w:tc>
          <w:tcPr>
            <w:tcW w:w="8038" w:type="dxa"/>
            <w:tcBorders>
              <w:left w:val="single" w:color="auto" w:sz="4" w:space="0"/>
            </w:tcBorders>
            <w:vAlign w:val="center"/>
          </w:tcPr>
          <w:p>
            <w:pPr>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合同履约期限：1年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6" w:hRule="atLeast"/>
        </w:trPr>
        <w:tc>
          <w:tcPr>
            <w:tcW w:w="9215" w:type="dxa"/>
            <w:gridSpan w:val="2"/>
            <w:vAlign w:val="center"/>
          </w:tcPr>
          <w:p>
            <w:pPr>
              <w:spacing w:line="360" w:lineRule="auto"/>
              <w:jc w:val="center"/>
              <w:rPr>
                <w:rFonts w:ascii="宋体" w:cs="宋体"/>
                <w:b/>
                <w:sz w:val="24"/>
                <w:szCs w:val="24"/>
                <w:highlight w:val="none"/>
              </w:rPr>
            </w:pPr>
            <w:r>
              <w:rPr>
                <w:rFonts w:hint="eastAsia" w:ascii="宋体" w:hAnsi="宋体" w:cs="宋体"/>
                <w:b/>
                <w:sz w:val="24"/>
                <w:szCs w:val="24"/>
                <w:highlight w:val="none"/>
              </w:rPr>
              <w:t>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615" w:hRule="atLeast"/>
        </w:trPr>
        <w:tc>
          <w:tcPr>
            <w:tcW w:w="9215" w:type="dxa"/>
            <w:gridSpan w:val="2"/>
            <w:tcBorders>
              <w:bottom w:val="single" w:color="auto" w:sz="12" w:space="0"/>
            </w:tcBorders>
            <w:vAlign w:val="center"/>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1.招标文件中要求提供的资格证明材料等，均为企业法人提供，投标人如为事业单位法人、其他组织或者自然人，可提供符合要求的相对应的证明文件。</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2.招标文件中要求加盖单位公章的，投标人如为自然人，自然人本人签字即可。</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3.采购人不接受投标人给予的赠品、回扣或者与采购无关的其他商品、服务。</w:t>
            </w:r>
          </w:p>
          <w:p>
            <w:pPr>
              <w:spacing w:line="360" w:lineRule="auto"/>
              <w:rPr>
                <w:rFonts w:hint="eastAsia" w:ascii="宋体" w:hAnsi="宋体" w:cs="宋体"/>
                <w:b/>
                <w:bCs/>
                <w:sz w:val="24"/>
                <w:szCs w:val="24"/>
                <w:highlight w:val="none"/>
                <w:lang w:eastAsia="zh-CN"/>
              </w:rPr>
            </w:pP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.本项目所属行业：其他未列明行业</w:t>
            </w:r>
            <w:r>
              <w:rPr>
                <w:rFonts w:hint="eastAsia" w:ascii="宋体" w:hAnsi="宋体" w:cs="宋体"/>
                <w:b/>
                <w:bCs/>
                <w:sz w:val="24"/>
                <w:szCs w:val="24"/>
                <w:highlight w:val="none"/>
                <w:lang w:eastAsia="zh-CN"/>
              </w:rPr>
              <w:t>。</w:t>
            </w:r>
          </w:p>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5.投标文件在线解密时长为30分钟，因投标人自身原因未在规定时间内解密投标文件导致废标的，由投标人自行承担后果。</w:t>
            </w:r>
          </w:p>
          <w:p>
            <w:pPr>
              <w:pStyle w:val="20"/>
              <w:rPr>
                <w:rFonts w:hint="default"/>
                <w:lang w:val="en-US" w:eastAsia="zh-CN"/>
              </w:rPr>
            </w:pPr>
            <w:r>
              <w:rPr>
                <w:rFonts w:hint="eastAsia" w:ascii="宋体" w:hAnsi="宋体" w:cs="宋体"/>
                <w:b/>
                <w:bCs/>
                <w:sz w:val="24"/>
                <w:szCs w:val="24"/>
                <w:highlight w:val="none"/>
                <w:lang w:val="en-US" w:eastAsia="zh-CN"/>
              </w:rPr>
              <w:t>6.本项目专门面向中小企业采购。</w:t>
            </w:r>
          </w:p>
          <w:p>
            <w:pPr>
              <w:spacing w:line="360" w:lineRule="auto"/>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7</w:t>
            </w:r>
            <w:r>
              <w:rPr>
                <w:rFonts w:hint="default" w:ascii="宋体" w:hAnsi="宋体" w:cs="宋体"/>
                <w:b/>
                <w:bCs/>
                <w:sz w:val="24"/>
                <w:szCs w:val="24"/>
                <w:highlight w:val="none"/>
                <w:lang w:val="en-US" w:eastAsia="zh-CN"/>
              </w:rPr>
              <w:t>.潜在供应商属于中小微企业的，请在响应文件中提供“中小企业声明函”，如果未提供或提供虚假的“中小企业声明函”，供应商将承担由此造成的一切不利后果。</w:t>
            </w:r>
          </w:p>
          <w:p>
            <w:pPr>
              <w:pStyle w:val="20"/>
              <w:rPr>
                <w:rFonts w:hint="default"/>
                <w:lang w:val="en-US" w:eastAsia="zh-CN"/>
              </w:rPr>
            </w:pPr>
            <w:r>
              <w:rPr>
                <w:rFonts w:hint="eastAsia" w:ascii="宋体" w:hAnsi="宋体" w:cs="宋体"/>
                <w:b/>
                <w:bCs/>
                <w:sz w:val="24"/>
                <w:szCs w:val="24"/>
                <w:highlight w:val="none"/>
                <w:lang w:val="en-US" w:eastAsia="zh-CN"/>
              </w:rPr>
              <w:t>8.投标人须提供不拖欠农名工工资的承诺函，格式自拟。</w:t>
            </w:r>
          </w:p>
        </w:tc>
      </w:tr>
    </w:tbl>
    <w:p>
      <w:pPr>
        <w:rPr>
          <w:rFonts w:ascii="宋体" w:cs="宋体"/>
          <w:w w:val="90"/>
          <w:highlight w:val="none"/>
        </w:rPr>
        <w:sectPr>
          <w:headerReference r:id="rId8" w:type="first"/>
          <w:headerReference r:id="rId7" w:type="default"/>
          <w:footerReference r:id="rId9" w:type="default"/>
          <w:pgSz w:w="11906" w:h="16838"/>
          <w:pgMar w:top="1440" w:right="1800" w:bottom="1440" w:left="1800" w:header="624" w:footer="964" w:gutter="0"/>
          <w:cols w:space="720" w:num="1"/>
          <w:titlePg/>
          <w:rtlGutter w:val="1"/>
          <w:docGrid w:type="lines" w:linePitch="312" w:charSpace="0"/>
        </w:sectPr>
      </w:pPr>
    </w:p>
    <w:p>
      <w:pPr>
        <w:pStyle w:val="2"/>
        <w:spacing w:line="360" w:lineRule="auto"/>
        <w:jc w:val="center"/>
        <w:rPr>
          <w:rFonts w:ascii="宋体" w:cs="宋体"/>
          <w:w w:val="90"/>
          <w:highlight w:val="none"/>
        </w:rPr>
      </w:pPr>
      <w:bookmarkStart w:id="8" w:name="_Toc9645"/>
      <w:bookmarkStart w:id="9" w:name="_Toc44704903"/>
      <w:bookmarkStart w:id="10" w:name="_Toc44705050"/>
      <w:bookmarkStart w:id="11" w:name="_Toc2511968"/>
      <w:bookmarkStart w:id="12" w:name="_Toc14776835"/>
      <w:r>
        <w:rPr>
          <w:rFonts w:hint="eastAsia" w:ascii="宋体" w:hAnsi="宋体" w:cs="宋体"/>
          <w:w w:val="90"/>
          <w:highlight w:val="none"/>
        </w:rPr>
        <w:t>第三章</w:t>
      </w:r>
      <w:r>
        <w:rPr>
          <w:rFonts w:ascii="宋体" w:hAnsi="宋体" w:cs="宋体"/>
          <w:w w:val="90"/>
          <w:highlight w:val="none"/>
        </w:rPr>
        <w:t xml:space="preserve"> </w:t>
      </w:r>
      <w:r>
        <w:rPr>
          <w:rFonts w:hint="eastAsia" w:ascii="宋体" w:hAnsi="宋体" w:cs="宋体"/>
          <w:w w:val="90"/>
          <w:highlight w:val="none"/>
        </w:rPr>
        <w:t>投标人须知</w:t>
      </w:r>
      <w:bookmarkEnd w:id="8"/>
      <w:bookmarkEnd w:id="9"/>
      <w:bookmarkEnd w:id="10"/>
      <w:bookmarkEnd w:id="11"/>
      <w:bookmarkEnd w:id="12"/>
    </w:p>
    <w:p>
      <w:pPr>
        <w:spacing w:line="360" w:lineRule="auto"/>
        <w:rPr>
          <w:rFonts w:ascii="宋体" w:cs="宋体"/>
          <w:b/>
          <w:sz w:val="24"/>
          <w:szCs w:val="24"/>
          <w:highlight w:val="none"/>
        </w:rPr>
      </w:pPr>
      <w:r>
        <w:rPr>
          <w:rFonts w:hint="eastAsia" w:ascii="宋体" w:hAnsi="宋体" w:cs="宋体"/>
          <w:b/>
          <w:sz w:val="24"/>
          <w:szCs w:val="24"/>
          <w:highlight w:val="none"/>
        </w:rPr>
        <w:t>一、说明</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w:t>
      </w:r>
      <w:r>
        <w:rPr>
          <w:rFonts w:hint="eastAsia" w:ascii="宋体" w:hAnsi="宋体" w:cs="宋体"/>
          <w:b/>
          <w:sz w:val="24"/>
          <w:szCs w:val="24"/>
          <w:highlight w:val="none"/>
        </w:rPr>
        <w:t>项目说明</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1.1</w:t>
      </w:r>
      <w:r>
        <w:rPr>
          <w:rFonts w:hint="eastAsia" w:ascii="宋体" w:hAnsi="宋体" w:cs="宋体"/>
          <w:sz w:val="24"/>
          <w:szCs w:val="24"/>
          <w:highlight w:val="none"/>
        </w:rPr>
        <w:t>项目名称及编号：详见投标人须知前附表。</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1.2</w:t>
      </w:r>
      <w:r>
        <w:rPr>
          <w:rFonts w:hint="eastAsia" w:ascii="宋体" w:hAnsi="宋体" w:cs="宋体"/>
          <w:sz w:val="24"/>
          <w:szCs w:val="24"/>
          <w:highlight w:val="none"/>
        </w:rPr>
        <w:t>资金来源：详见投标人须知前附表。采购人已获得足以支付本次采购后所签订的合同项下的款项（包括财政性资金和自筹资金）。</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采购人、采购代理机构、投标人、合格投标人</w:t>
      </w:r>
    </w:p>
    <w:p>
      <w:pPr>
        <w:spacing w:line="360" w:lineRule="auto"/>
        <w:ind w:firstLine="480" w:firstLineChars="200"/>
        <w:rPr>
          <w:rFonts w:ascii="宋体" w:cs="宋体"/>
          <w:sz w:val="24"/>
          <w:szCs w:val="24"/>
          <w:highlight w:val="none"/>
          <w:u w:val="single"/>
        </w:rPr>
      </w:pPr>
      <w:r>
        <w:rPr>
          <w:rFonts w:ascii="宋体" w:hAnsi="宋体" w:cs="宋体"/>
          <w:sz w:val="24"/>
          <w:szCs w:val="24"/>
          <w:highlight w:val="none"/>
        </w:rPr>
        <w:t xml:space="preserve">2.1 </w:t>
      </w:r>
      <w:r>
        <w:rPr>
          <w:rFonts w:hint="eastAsia" w:ascii="宋体" w:hAnsi="宋体" w:cs="宋体"/>
          <w:sz w:val="24"/>
          <w:szCs w:val="24"/>
          <w:highlight w:val="none"/>
        </w:rPr>
        <w:t>采购人：详见投标人须知前附表。</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2.2</w:t>
      </w:r>
      <w:r>
        <w:rPr>
          <w:rFonts w:hint="eastAsia" w:ascii="宋体" w:hAnsi="宋体" w:cs="宋体"/>
          <w:sz w:val="24"/>
          <w:szCs w:val="24"/>
          <w:highlight w:val="none"/>
        </w:rPr>
        <w:t>采购代理机构：详见投标人须知前附表。</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 </w:t>
      </w:r>
      <w:r>
        <w:rPr>
          <w:rFonts w:hint="eastAsia" w:ascii="宋体" w:hAnsi="宋体" w:cs="宋体"/>
          <w:sz w:val="24"/>
          <w:szCs w:val="24"/>
          <w:highlight w:val="none"/>
        </w:rPr>
        <w:t>投标人</w:t>
      </w:r>
    </w:p>
    <w:p>
      <w:pPr>
        <w:numPr>
          <w:ilvl w:val="1"/>
          <w:numId w:val="5"/>
        </w:numP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投标人必须向采购代理机构领取招标文件，未向采购代理机构领取招标文件的潜在投标人均无资格参加投标。</w:t>
      </w:r>
    </w:p>
    <w:p>
      <w:pPr>
        <w:spacing w:line="360" w:lineRule="auto"/>
        <w:ind w:left="480"/>
        <w:rPr>
          <w:rFonts w:ascii="宋体" w:cs="宋体"/>
          <w:sz w:val="24"/>
          <w:szCs w:val="24"/>
          <w:highlight w:val="none"/>
        </w:rPr>
      </w:pPr>
      <w:r>
        <w:rPr>
          <w:rFonts w:ascii="宋体" w:hAnsi="宋体" w:cs="宋体"/>
          <w:sz w:val="24"/>
          <w:szCs w:val="24"/>
          <w:highlight w:val="none"/>
        </w:rPr>
        <w:t>2.4</w:t>
      </w:r>
      <w:r>
        <w:rPr>
          <w:rFonts w:hint="eastAsia" w:ascii="宋体" w:hAnsi="宋体" w:cs="宋体"/>
          <w:sz w:val="24"/>
          <w:szCs w:val="24"/>
          <w:highlight w:val="none"/>
        </w:rPr>
        <w:t>合格投标人</w:t>
      </w:r>
    </w:p>
    <w:p>
      <w:pPr>
        <w:numPr>
          <w:ilvl w:val="0"/>
          <w:numId w:val="7"/>
        </w:numPr>
        <w:spacing w:line="360" w:lineRule="auto"/>
        <w:rPr>
          <w:rFonts w:ascii="宋体" w:cs="宋体"/>
          <w:sz w:val="24"/>
          <w:szCs w:val="24"/>
          <w:highlight w:val="none"/>
        </w:rPr>
      </w:pPr>
      <w:r>
        <w:rPr>
          <w:rFonts w:hint="eastAsia" w:ascii="宋体" w:hAnsi="宋体" w:cs="宋体"/>
          <w:sz w:val="24"/>
          <w:szCs w:val="24"/>
          <w:highlight w:val="none"/>
        </w:rPr>
        <w:t>合格投标人是指依法通过资格审查的投标人。</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w:t>
      </w:r>
      <w:r>
        <w:rPr>
          <w:rFonts w:hint="eastAsia" w:ascii="宋体" w:hAnsi="宋体" w:cs="宋体"/>
          <w:sz w:val="24"/>
          <w:szCs w:val="24"/>
          <w:highlight w:val="none"/>
        </w:rPr>
        <w:t>联合体投标（不适用）</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2.5.1</w:t>
      </w:r>
      <w:r>
        <w:rPr>
          <w:rFonts w:hint="eastAsia" w:ascii="宋体" w:hAnsi="宋体" w:cs="宋体"/>
          <w:sz w:val="24"/>
          <w:szCs w:val="24"/>
          <w:highlight w:val="none"/>
        </w:rPr>
        <w:t>两个以上的自然人、法人或者其他组织可以组成一个联合体，以一个投标人的身份共同参加政府采购。</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2.5.2</w:t>
      </w:r>
      <w:r>
        <w:rPr>
          <w:rFonts w:hint="eastAsia" w:ascii="宋体" w:hAnsi="宋体" w:cs="宋体"/>
          <w:sz w:val="24"/>
          <w:szCs w:val="24"/>
          <w:highlight w:val="none"/>
        </w:rPr>
        <w:t>以联合体形式进行政府采购的，参加联合体的投标人均应当具备《中华人民共和国政府采购法》第二十二条规定的条件。采购人根据采购项目的特殊要求，规定投标人的特定条件，联合体各方中至少应当有一方符合采购人规定的特定条件。并应当向采购人提交联合协议，载明联合体各方承担的工作和义务。联合体投标协议应该在投标文件中提交。</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2.5.3</w:t>
      </w:r>
      <w:r>
        <w:rPr>
          <w:rFonts w:hint="eastAsia" w:ascii="宋体" w:hAnsi="宋体" w:cs="宋体"/>
          <w:sz w:val="24"/>
          <w:szCs w:val="24"/>
          <w:highlight w:val="none"/>
        </w:rPr>
        <w:t>联合体中有同类资质的投标人按照联合体分工承担相同工作的，按照资质等级较低的投标人确定资质等级。</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2.5.4</w:t>
      </w:r>
      <w:r>
        <w:rPr>
          <w:rFonts w:hint="eastAsia" w:ascii="宋体" w:hAnsi="宋体" w:cs="宋体"/>
          <w:sz w:val="24"/>
          <w:szCs w:val="24"/>
          <w:highlight w:val="none"/>
        </w:rPr>
        <w:t>以联合体形式参加政府采购活动的，联合体各方不得再单独参加或者与其他投标人另外组成联合体参加同一合同项下的政府采购活动。</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2.5.5</w:t>
      </w:r>
      <w:r>
        <w:rPr>
          <w:rFonts w:hint="eastAsia" w:ascii="宋体" w:hAnsi="宋体" w:cs="宋体"/>
          <w:sz w:val="24"/>
          <w:szCs w:val="24"/>
          <w:highlight w:val="none"/>
        </w:rPr>
        <w:t>联合体各方应当共同与采购人签订采购合同，就采购合同约定的事项对采购人承担连带责任。</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3.</w:t>
      </w:r>
      <w:r>
        <w:rPr>
          <w:rFonts w:hint="eastAsia" w:ascii="宋体" w:hAnsi="宋体" w:cs="宋体"/>
          <w:b/>
          <w:sz w:val="24"/>
          <w:szCs w:val="24"/>
          <w:highlight w:val="none"/>
        </w:rPr>
        <w:t>合格的货物和服务</w:t>
      </w:r>
    </w:p>
    <w:p>
      <w:pPr>
        <w:tabs>
          <w:tab w:val="left" w:pos="900"/>
        </w:tabs>
        <w:spacing w:line="360" w:lineRule="auto"/>
        <w:ind w:firstLine="480" w:firstLineChars="200"/>
        <w:rPr>
          <w:rFonts w:ascii="宋体" w:cs="宋体"/>
          <w:sz w:val="24"/>
          <w:szCs w:val="24"/>
          <w:highlight w:val="none"/>
        </w:rPr>
      </w:pPr>
      <w:r>
        <w:rPr>
          <w:rFonts w:ascii="宋体" w:hAnsi="宋体" w:cs="宋体"/>
          <w:sz w:val="24"/>
          <w:szCs w:val="24"/>
          <w:highlight w:val="none"/>
        </w:rPr>
        <w:t>3.1</w:t>
      </w:r>
      <w:r>
        <w:rPr>
          <w:rFonts w:hint="eastAsia" w:ascii="宋体" w:hAnsi="宋体" w:cs="宋体"/>
          <w:sz w:val="24"/>
          <w:szCs w:val="24"/>
          <w:highlight w:val="none"/>
        </w:rPr>
        <w:t>合同中提供的所有货物及其有关服务，均应来自上述</w:t>
      </w:r>
      <w:r>
        <w:rPr>
          <w:rFonts w:ascii="宋体" w:hAnsi="宋体" w:cs="宋体"/>
          <w:sz w:val="24"/>
          <w:szCs w:val="24"/>
          <w:highlight w:val="none"/>
        </w:rPr>
        <w:t>2.4</w:t>
      </w:r>
      <w:r>
        <w:rPr>
          <w:rFonts w:hint="eastAsia" w:ascii="宋体" w:hAnsi="宋体" w:cs="宋体"/>
          <w:sz w:val="24"/>
          <w:szCs w:val="24"/>
          <w:highlight w:val="none"/>
        </w:rPr>
        <w:t>条款所规定的合格投标人。</w:t>
      </w:r>
    </w:p>
    <w:p>
      <w:pPr>
        <w:tabs>
          <w:tab w:val="left" w:pos="900"/>
        </w:tabs>
        <w:spacing w:line="360" w:lineRule="auto"/>
        <w:ind w:firstLine="480" w:firstLineChars="200"/>
        <w:rPr>
          <w:rFonts w:ascii="宋体" w:cs="宋体"/>
          <w:sz w:val="24"/>
          <w:szCs w:val="24"/>
          <w:highlight w:val="none"/>
        </w:rPr>
      </w:pPr>
      <w:r>
        <w:rPr>
          <w:rFonts w:ascii="宋体" w:hAnsi="宋体" w:cs="宋体"/>
          <w:sz w:val="24"/>
          <w:szCs w:val="24"/>
          <w:highlight w:val="none"/>
        </w:rPr>
        <w:t>3.2</w:t>
      </w:r>
      <w:r>
        <w:rPr>
          <w:rFonts w:hint="eastAsia" w:ascii="宋体" w:hAnsi="宋体" w:cs="宋体"/>
          <w:sz w:val="24"/>
          <w:szCs w:val="24"/>
          <w:highlight w:val="none"/>
        </w:rPr>
        <w:t>货物是指投标人按招标文件规定，须向采购人提供的符合招标文件要求的相关的货物。</w:t>
      </w:r>
    </w:p>
    <w:p>
      <w:pPr>
        <w:tabs>
          <w:tab w:val="left" w:pos="900"/>
        </w:tabs>
        <w:spacing w:line="360" w:lineRule="auto"/>
        <w:ind w:firstLine="480" w:firstLineChars="200"/>
        <w:rPr>
          <w:rFonts w:ascii="宋体" w:cs="宋体"/>
          <w:sz w:val="24"/>
          <w:szCs w:val="24"/>
          <w:highlight w:val="none"/>
        </w:rPr>
      </w:pPr>
      <w:r>
        <w:rPr>
          <w:rFonts w:ascii="宋体" w:hAnsi="宋体" w:cs="宋体"/>
          <w:sz w:val="24"/>
          <w:szCs w:val="24"/>
          <w:highlight w:val="none"/>
        </w:rPr>
        <w:t>3.3</w:t>
      </w:r>
      <w:r>
        <w:rPr>
          <w:rFonts w:hint="eastAsia" w:ascii="宋体" w:hAnsi="宋体" w:cs="宋体"/>
          <w:sz w:val="24"/>
          <w:szCs w:val="24"/>
          <w:highlight w:val="none"/>
        </w:rPr>
        <w:t>服务是指招标文件规定的投标人须承担的与投标货物有关的辅助服务</w:t>
      </w:r>
      <w:r>
        <w:rPr>
          <w:rFonts w:ascii="宋体" w:cs="宋体"/>
          <w:sz w:val="24"/>
          <w:szCs w:val="24"/>
          <w:highlight w:val="none"/>
        </w:rPr>
        <w:t>,</w:t>
      </w:r>
      <w:r>
        <w:rPr>
          <w:rFonts w:hint="eastAsia" w:ascii="宋体" w:hAnsi="宋体" w:cs="宋体"/>
          <w:sz w:val="24"/>
          <w:szCs w:val="24"/>
          <w:highlight w:val="none"/>
        </w:rPr>
        <w:t>如运输、保险、安装、调试、技术培训、售后服务等以及其他类似的义务。</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4.</w:t>
      </w:r>
      <w:r>
        <w:rPr>
          <w:rFonts w:hint="eastAsia" w:ascii="宋体" w:hAnsi="宋体" w:cs="宋体"/>
          <w:b/>
          <w:sz w:val="24"/>
          <w:szCs w:val="24"/>
          <w:highlight w:val="none"/>
        </w:rPr>
        <w:t>投标费用</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4.1 </w:t>
      </w:r>
      <w:r>
        <w:rPr>
          <w:rFonts w:hint="eastAsia" w:ascii="宋体" w:hAnsi="宋体" w:cs="宋体"/>
          <w:sz w:val="24"/>
          <w:szCs w:val="24"/>
          <w:highlight w:val="none"/>
        </w:rPr>
        <w:t>投标人应承担所有与准备和参加投标有关的费用。不论投标的结果如何，采购人或采购代理机构均无义务和责任承担这些费用。</w:t>
      </w:r>
    </w:p>
    <w:p>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 xml:space="preserve">4.2 </w:t>
      </w:r>
      <w:r>
        <w:rPr>
          <w:rFonts w:hint="eastAsia" w:ascii="宋体" w:hAnsi="宋体" w:cs="宋体"/>
          <w:sz w:val="24"/>
          <w:szCs w:val="24"/>
          <w:highlight w:val="none"/>
        </w:rPr>
        <w:t>无论招标结果如何，投标文件均不予退还。</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.3</w:t>
      </w:r>
      <w:r>
        <w:rPr>
          <w:rFonts w:hint="eastAsia" w:ascii="宋体" w:hAnsi="宋体" w:cs="宋体"/>
          <w:sz w:val="24"/>
          <w:szCs w:val="24"/>
          <w:highlight w:val="none"/>
        </w:rPr>
        <w:t xml:space="preserve"> 付款方式：见须知前附表。</w:t>
      </w:r>
    </w:p>
    <w:p>
      <w:pPr>
        <w:pStyle w:val="69"/>
        <w:rPr>
          <w:rFonts w:hint="default" w:eastAsia="宋体"/>
          <w:highlight w:val="none"/>
          <w:lang w:val="en-US" w:eastAsia="zh-CN"/>
        </w:rPr>
      </w:pPr>
      <w:r>
        <w:rPr>
          <w:rFonts w:hint="eastAsia" w:ascii="宋体" w:hAnsi="宋体" w:cs="宋体"/>
          <w:sz w:val="24"/>
          <w:szCs w:val="24"/>
          <w:highlight w:val="none"/>
          <w:lang w:val="en-US" w:eastAsia="zh-CN"/>
        </w:rPr>
        <w:t>4.4 是否允许分包：</w:t>
      </w:r>
      <w:r>
        <w:rPr>
          <w:rFonts w:hint="eastAsia" w:ascii="宋体" w:hAnsi="宋体" w:cs="宋体"/>
          <w:sz w:val="24"/>
          <w:szCs w:val="24"/>
          <w:highlight w:val="none"/>
        </w:rPr>
        <w:t>见须知前附表。</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5.</w:t>
      </w:r>
      <w:r>
        <w:rPr>
          <w:rFonts w:hint="eastAsia" w:ascii="宋体" w:hAnsi="宋体" w:cs="宋体"/>
          <w:b/>
          <w:sz w:val="24"/>
          <w:szCs w:val="24"/>
          <w:highlight w:val="none"/>
        </w:rPr>
        <w:t>废标说明</w:t>
      </w:r>
    </w:p>
    <w:p>
      <w:pPr>
        <w:spacing w:line="360" w:lineRule="auto"/>
        <w:ind w:firstLine="482" w:firstLineChars="200"/>
        <w:rPr>
          <w:rFonts w:ascii="宋体" w:cs="宋体"/>
          <w:b/>
          <w:sz w:val="24"/>
          <w:szCs w:val="24"/>
          <w:highlight w:val="none"/>
          <w:u w:val="single"/>
        </w:rPr>
      </w:pPr>
      <w:r>
        <w:rPr>
          <w:rFonts w:hint="eastAsia" w:ascii="宋体" w:hAnsi="宋体" w:cs="宋体"/>
          <w:b/>
          <w:sz w:val="24"/>
          <w:szCs w:val="24"/>
          <w:highlight w:val="none"/>
          <w:u w:val="single"/>
        </w:rPr>
        <w:t>在招标采购中，出现下列情形之一的，应予废标：</w:t>
      </w:r>
    </w:p>
    <w:p>
      <w:pPr>
        <w:spacing w:line="360" w:lineRule="auto"/>
        <w:ind w:firstLine="482" w:firstLineChars="200"/>
        <w:rPr>
          <w:rFonts w:ascii="宋体" w:cs="宋体"/>
          <w:b/>
          <w:sz w:val="24"/>
          <w:szCs w:val="24"/>
          <w:highlight w:val="none"/>
          <w:u w:val="single"/>
        </w:rPr>
      </w:pPr>
      <w:r>
        <w:rPr>
          <w:rFonts w:ascii="宋体" w:hAnsi="宋体" w:cs="宋体"/>
          <w:b/>
          <w:sz w:val="24"/>
          <w:szCs w:val="24"/>
          <w:highlight w:val="none"/>
          <w:u w:val="single"/>
        </w:rPr>
        <w:t>5.1</w:t>
      </w:r>
      <w:r>
        <w:rPr>
          <w:rFonts w:hint="eastAsia" w:ascii="宋体" w:hAnsi="宋体" w:cs="宋体"/>
          <w:b/>
          <w:sz w:val="24"/>
          <w:szCs w:val="24"/>
          <w:highlight w:val="none"/>
          <w:u w:val="single"/>
        </w:rPr>
        <w:t>符合专业条件的供应商或者对招标文件作实质响应的供应商不足三家的；</w:t>
      </w:r>
      <w:r>
        <w:rPr>
          <w:rFonts w:ascii="宋体" w:hAnsi="宋体" w:cs="宋体"/>
          <w:b/>
          <w:sz w:val="24"/>
          <w:szCs w:val="24"/>
          <w:highlight w:val="none"/>
          <w:u w:val="single"/>
        </w:rPr>
        <w:t xml:space="preserve"> </w:t>
      </w:r>
    </w:p>
    <w:p>
      <w:pPr>
        <w:spacing w:line="360" w:lineRule="auto"/>
        <w:ind w:firstLine="482" w:firstLineChars="200"/>
        <w:rPr>
          <w:rFonts w:ascii="宋体" w:cs="宋体"/>
          <w:b/>
          <w:sz w:val="24"/>
          <w:szCs w:val="24"/>
          <w:highlight w:val="none"/>
          <w:u w:val="single"/>
        </w:rPr>
      </w:pPr>
      <w:r>
        <w:rPr>
          <w:rFonts w:ascii="宋体" w:hAnsi="宋体" w:cs="宋体"/>
          <w:b/>
          <w:sz w:val="24"/>
          <w:szCs w:val="24"/>
          <w:highlight w:val="none"/>
          <w:u w:val="single"/>
        </w:rPr>
        <w:t>5.2</w:t>
      </w:r>
      <w:r>
        <w:rPr>
          <w:rFonts w:hint="eastAsia" w:ascii="宋体" w:hAnsi="宋体" w:cs="宋体"/>
          <w:b/>
          <w:sz w:val="24"/>
          <w:szCs w:val="24"/>
          <w:highlight w:val="none"/>
          <w:u w:val="single"/>
        </w:rPr>
        <w:t>出现影响采购公正的违法、违规行为的；</w:t>
      </w:r>
    </w:p>
    <w:p>
      <w:pPr>
        <w:spacing w:line="360" w:lineRule="auto"/>
        <w:ind w:firstLine="482" w:firstLineChars="200"/>
        <w:rPr>
          <w:rFonts w:ascii="宋体" w:cs="宋体"/>
          <w:b/>
          <w:sz w:val="24"/>
          <w:szCs w:val="24"/>
          <w:highlight w:val="none"/>
          <w:u w:val="single"/>
        </w:rPr>
      </w:pPr>
      <w:r>
        <w:rPr>
          <w:rFonts w:ascii="宋体" w:hAnsi="宋体" w:cs="宋体"/>
          <w:b/>
          <w:sz w:val="24"/>
          <w:szCs w:val="24"/>
          <w:highlight w:val="none"/>
          <w:u w:val="single"/>
        </w:rPr>
        <w:t>5.3</w:t>
      </w:r>
      <w:r>
        <w:rPr>
          <w:rFonts w:hint="eastAsia" w:ascii="宋体" w:hAnsi="宋体" w:cs="宋体"/>
          <w:b/>
          <w:sz w:val="24"/>
          <w:szCs w:val="24"/>
          <w:highlight w:val="none"/>
          <w:u w:val="single"/>
        </w:rPr>
        <w:t>投标人的报价均超过了采购预算，采购人不能够支付的；</w:t>
      </w:r>
    </w:p>
    <w:p>
      <w:pPr>
        <w:spacing w:line="360" w:lineRule="auto"/>
        <w:ind w:firstLine="482" w:firstLineChars="200"/>
        <w:rPr>
          <w:rFonts w:ascii="宋体" w:cs="宋体"/>
          <w:b/>
          <w:sz w:val="24"/>
          <w:szCs w:val="24"/>
          <w:highlight w:val="none"/>
          <w:u w:val="single"/>
        </w:rPr>
      </w:pPr>
      <w:r>
        <w:rPr>
          <w:rFonts w:ascii="宋体" w:hAnsi="宋体" w:cs="宋体"/>
          <w:b/>
          <w:sz w:val="24"/>
          <w:szCs w:val="24"/>
          <w:highlight w:val="none"/>
          <w:u w:val="single"/>
        </w:rPr>
        <w:t>5.4</w:t>
      </w:r>
      <w:r>
        <w:rPr>
          <w:rFonts w:hint="eastAsia" w:ascii="宋体" w:hAnsi="宋体" w:cs="宋体"/>
          <w:b/>
          <w:sz w:val="24"/>
          <w:szCs w:val="24"/>
          <w:highlight w:val="none"/>
          <w:u w:val="single"/>
        </w:rPr>
        <w:t>因重大变故，采购任务取消的。</w:t>
      </w:r>
      <w:bookmarkStart w:id="13" w:name="_Toc2511970"/>
      <w:bookmarkStart w:id="14" w:name="_Toc2355229"/>
      <w:bookmarkStart w:id="15" w:name="_Toc493422649"/>
      <w:bookmarkStart w:id="16" w:name="_Toc497167392"/>
      <w:bookmarkStart w:id="17" w:name="_Toc322446890"/>
      <w:bookmarkStart w:id="18" w:name="_Toc14776837"/>
    </w:p>
    <w:p>
      <w:pPr>
        <w:spacing w:line="360" w:lineRule="auto"/>
        <w:rPr>
          <w:rFonts w:ascii="宋体" w:cs="宋体"/>
          <w:b/>
          <w:sz w:val="24"/>
          <w:szCs w:val="24"/>
          <w:highlight w:val="none"/>
          <w:u w:val="single"/>
        </w:rPr>
      </w:pPr>
      <w:r>
        <w:rPr>
          <w:rFonts w:hint="eastAsia" w:ascii="宋体" w:hAnsi="宋体" w:cs="宋体"/>
          <w:b/>
          <w:sz w:val="24"/>
          <w:szCs w:val="24"/>
          <w:highlight w:val="none"/>
        </w:rPr>
        <w:t>二、招标文件</w:t>
      </w:r>
      <w:bookmarkEnd w:id="13"/>
      <w:bookmarkEnd w:id="14"/>
      <w:bookmarkEnd w:id="15"/>
      <w:bookmarkEnd w:id="16"/>
      <w:bookmarkEnd w:id="17"/>
      <w:bookmarkEnd w:id="18"/>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6.</w:t>
      </w:r>
      <w:r>
        <w:rPr>
          <w:rFonts w:hint="eastAsia" w:ascii="宋体" w:hAnsi="宋体" w:cs="宋体"/>
          <w:b/>
          <w:sz w:val="24"/>
          <w:szCs w:val="24"/>
          <w:highlight w:val="none"/>
        </w:rPr>
        <w:t>招标文件构成</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6.1 </w:t>
      </w:r>
      <w:r>
        <w:rPr>
          <w:rFonts w:hint="eastAsia" w:ascii="宋体" w:hAnsi="宋体" w:cs="宋体"/>
          <w:sz w:val="24"/>
          <w:szCs w:val="24"/>
          <w:highlight w:val="none"/>
        </w:rPr>
        <w:t>招标文件包括下列内容：</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（一）招标文件的组成部分</w:t>
      </w:r>
    </w:p>
    <w:p>
      <w:pPr>
        <w:numPr>
          <w:ilvl w:val="1"/>
          <w:numId w:val="8"/>
        </w:numP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招标公告</w:t>
      </w:r>
    </w:p>
    <w:p>
      <w:pPr>
        <w:numPr>
          <w:ilvl w:val="1"/>
          <w:numId w:val="8"/>
        </w:numP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投标人须知前附表</w:t>
      </w:r>
    </w:p>
    <w:p>
      <w:pPr>
        <w:numPr>
          <w:ilvl w:val="1"/>
          <w:numId w:val="8"/>
        </w:numP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投标人须知</w:t>
      </w:r>
    </w:p>
    <w:p>
      <w:pPr>
        <w:numPr>
          <w:ilvl w:val="1"/>
          <w:numId w:val="8"/>
        </w:numP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合同文本格式</w:t>
      </w:r>
    </w:p>
    <w:p>
      <w:pPr>
        <w:numPr>
          <w:ilvl w:val="1"/>
          <w:numId w:val="8"/>
        </w:numP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采购需求</w:t>
      </w:r>
    </w:p>
    <w:p>
      <w:pPr>
        <w:numPr>
          <w:ilvl w:val="1"/>
          <w:numId w:val="8"/>
        </w:numP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评标方法及评标标准</w:t>
      </w:r>
    </w:p>
    <w:p>
      <w:pPr>
        <w:numPr>
          <w:ilvl w:val="1"/>
          <w:numId w:val="8"/>
        </w:numP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投标文件格式</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（二）采购人所作的一切有效的书面通知都是招标文件不可分割的组成部分。</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7.</w:t>
      </w:r>
      <w:r>
        <w:rPr>
          <w:rFonts w:hint="eastAsia" w:ascii="宋体" w:hAnsi="宋体" w:cs="宋体"/>
          <w:b/>
          <w:sz w:val="24"/>
          <w:szCs w:val="24"/>
          <w:highlight w:val="none"/>
        </w:rPr>
        <w:t>招标文件的澄清</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7.1 </w:t>
      </w:r>
      <w:r>
        <w:rPr>
          <w:rFonts w:hint="eastAsia" w:ascii="宋体" w:hAnsi="宋体" w:cs="宋体"/>
          <w:sz w:val="24"/>
          <w:szCs w:val="24"/>
          <w:highlight w:val="none"/>
        </w:rPr>
        <w:t>任何要求对招标文件进行澄清的投标人，均应以书面形式</w:t>
      </w:r>
      <w:r>
        <w:rPr>
          <w:rFonts w:hint="eastAsia" w:ascii="宋体" w:hAnsi="宋体" w:cs="宋体"/>
          <w:sz w:val="24"/>
          <w:szCs w:val="24"/>
          <w:highlight w:val="none"/>
          <w:lang w:val="en-US" w:eastAsia="zh-CN"/>
        </w:rPr>
        <w:t>或在政采云平台在线询问</w:t>
      </w:r>
      <w:r>
        <w:rPr>
          <w:rFonts w:hint="eastAsia" w:ascii="宋体" w:hAnsi="宋体" w:cs="宋体"/>
          <w:sz w:val="24"/>
          <w:szCs w:val="24"/>
          <w:highlight w:val="none"/>
        </w:rPr>
        <w:t>通知采购人或采购代理机构。采购人或者采购代理机构对在投标截止时间</w:t>
      </w:r>
      <w:r>
        <w:rPr>
          <w:rFonts w:ascii="宋体" w:hAnsi="宋体" w:cs="宋体"/>
          <w:sz w:val="24"/>
          <w:szCs w:val="24"/>
          <w:highlight w:val="none"/>
        </w:rPr>
        <w:t>15</w:t>
      </w:r>
      <w:r>
        <w:rPr>
          <w:rFonts w:hint="eastAsia" w:ascii="宋体" w:hAnsi="宋体" w:cs="宋体"/>
          <w:sz w:val="24"/>
          <w:szCs w:val="24"/>
          <w:highlight w:val="none"/>
        </w:rPr>
        <w:t>日以前收到的澄清要求应以书面形式</w:t>
      </w:r>
      <w:r>
        <w:rPr>
          <w:rFonts w:hint="eastAsia" w:ascii="宋体" w:hAnsi="宋体" w:cs="宋体"/>
          <w:sz w:val="24"/>
          <w:szCs w:val="24"/>
          <w:highlight w:val="none"/>
          <w:lang w:val="en-US" w:eastAsia="zh-CN"/>
        </w:rPr>
        <w:t>或在政采云平台</w:t>
      </w:r>
      <w:r>
        <w:rPr>
          <w:rFonts w:hint="eastAsia" w:ascii="宋体" w:hAnsi="宋体" w:cs="宋体"/>
          <w:sz w:val="24"/>
          <w:szCs w:val="24"/>
          <w:highlight w:val="none"/>
        </w:rPr>
        <w:t>予以答复。</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8.</w:t>
      </w:r>
      <w:r>
        <w:rPr>
          <w:rFonts w:hint="eastAsia" w:ascii="宋体" w:hAnsi="宋体" w:cs="宋体"/>
          <w:b/>
          <w:sz w:val="24"/>
          <w:szCs w:val="24"/>
          <w:highlight w:val="none"/>
        </w:rPr>
        <w:t>招标文件的修改</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8.1 </w:t>
      </w:r>
      <w:r>
        <w:rPr>
          <w:rFonts w:hint="eastAsia" w:ascii="宋体" w:hAnsi="宋体" w:cs="宋体"/>
          <w:sz w:val="24"/>
          <w:szCs w:val="24"/>
          <w:highlight w:val="none"/>
        </w:rPr>
        <w:t>在投标截止时间</w:t>
      </w:r>
      <w:r>
        <w:rPr>
          <w:rFonts w:ascii="宋体" w:hAnsi="宋体" w:cs="宋体"/>
          <w:sz w:val="24"/>
          <w:szCs w:val="24"/>
          <w:highlight w:val="none"/>
        </w:rPr>
        <w:t>15</w:t>
      </w:r>
      <w:r>
        <w:rPr>
          <w:rFonts w:hint="eastAsia" w:ascii="宋体" w:hAnsi="宋体" w:cs="宋体"/>
          <w:sz w:val="24"/>
          <w:szCs w:val="24"/>
          <w:highlight w:val="none"/>
        </w:rPr>
        <w:t>日前，无论出于何种原因，采购人或采购代理机构可主动地或在解答投标人提出的澄清问题时对招标文件进行修改，修改的内容为招标文件的组成部分。</w:t>
      </w:r>
    </w:p>
    <w:p>
      <w:pPr>
        <w:spacing w:line="360" w:lineRule="auto"/>
        <w:ind w:firstLine="480" w:firstLineChars="200"/>
        <w:rPr>
          <w:rFonts w:hint="default" w:ascii="宋体" w:eastAsia="宋体" w:cs="宋体"/>
          <w:sz w:val="24"/>
          <w:szCs w:val="24"/>
          <w:highlight w:val="none"/>
          <w:lang w:val="en-US" w:eastAsia="zh-CN"/>
        </w:rPr>
      </w:pPr>
      <w:r>
        <w:rPr>
          <w:rFonts w:ascii="宋体" w:hAnsi="宋体" w:cs="宋体"/>
          <w:sz w:val="24"/>
          <w:szCs w:val="24"/>
          <w:highlight w:val="none"/>
        </w:rPr>
        <w:t xml:space="preserve">8.2 </w:t>
      </w:r>
      <w:r>
        <w:rPr>
          <w:rFonts w:hint="eastAsia" w:ascii="宋体" w:hAnsi="宋体" w:cs="宋体"/>
          <w:sz w:val="24"/>
          <w:szCs w:val="24"/>
          <w:highlight w:val="none"/>
        </w:rPr>
        <w:t>对招标文件的修改，将以变更形式上传至新疆政府采购网（政采云平台），澄清和修改将作为招标文件的组成部分，对所有投标人具有约束力。投标人自行网上查阅上传的每一份补充文件。如投标人因个人原因未在新疆政府采购网（政采云平台）查阅已上传的补充文件，造成的后果由投标人自行承担</w:t>
      </w:r>
      <w:r>
        <w:rPr>
          <w:rFonts w:hint="eastAsia" w:ascii="宋体" w:hAnsi="宋体" w:cs="宋体"/>
          <w:sz w:val="24"/>
          <w:szCs w:val="24"/>
          <w:highlight w:val="none"/>
          <w:lang w:val="en-US" w:eastAsia="zh-CN"/>
        </w:rPr>
        <w:t>。</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8.3</w:t>
      </w:r>
      <w:r>
        <w:rPr>
          <w:rFonts w:hint="eastAsia" w:ascii="宋体" w:hAnsi="宋体" w:cs="宋体"/>
          <w:sz w:val="24"/>
          <w:szCs w:val="24"/>
          <w:highlight w:val="none"/>
        </w:rPr>
        <w:t>澄清或者修改的内容可能影响投标文件编制的，为使投标人准备投标时有充分时间对招标文件的修改部分进行研究，采购人或采购代理机构可适当延长投标截止时间。并以</w:t>
      </w:r>
      <w:r>
        <w:rPr>
          <w:rFonts w:hint="eastAsia" w:ascii="宋体" w:hAnsi="宋体" w:cs="宋体"/>
          <w:sz w:val="24"/>
          <w:szCs w:val="24"/>
          <w:highlight w:val="none"/>
          <w:lang w:val="en-US" w:eastAsia="zh-CN"/>
        </w:rPr>
        <w:t>书面</w:t>
      </w:r>
      <w:r>
        <w:rPr>
          <w:rFonts w:hint="eastAsia" w:ascii="宋体" w:hAnsi="宋体" w:cs="宋体"/>
          <w:sz w:val="24"/>
          <w:szCs w:val="24"/>
          <w:highlight w:val="none"/>
        </w:rPr>
        <w:t>形式通知所有购买招标文件的投标人。</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9.</w:t>
      </w:r>
      <w:r>
        <w:rPr>
          <w:rFonts w:hint="eastAsia" w:ascii="宋体" w:hAnsi="宋体" w:cs="宋体"/>
          <w:b/>
          <w:sz w:val="24"/>
          <w:szCs w:val="24"/>
          <w:highlight w:val="none"/>
        </w:rPr>
        <w:t>询问和质疑</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9.1</w:t>
      </w:r>
      <w:r>
        <w:rPr>
          <w:rFonts w:hint="eastAsia" w:ascii="宋体" w:hAnsi="宋体" w:cs="宋体"/>
          <w:sz w:val="24"/>
          <w:szCs w:val="24"/>
          <w:highlight w:val="none"/>
        </w:rPr>
        <w:t>投标人对政府采购活动事项有疑问的，可以提出询问；</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9.2</w:t>
      </w:r>
      <w:r>
        <w:rPr>
          <w:rFonts w:hint="eastAsia" w:ascii="宋体" w:hAnsi="宋体" w:cs="宋体"/>
          <w:sz w:val="24"/>
          <w:szCs w:val="24"/>
          <w:highlight w:val="none"/>
        </w:rPr>
        <w:t>投标人认为采购文件、采购过程、中标或者中标结果使自己的权益受到损害的，可以在知道或者应知权益受到损害之日起</w:t>
      </w:r>
      <w:r>
        <w:rPr>
          <w:rFonts w:ascii="宋体" w:hAnsi="宋体" w:cs="宋体"/>
          <w:sz w:val="24"/>
          <w:szCs w:val="24"/>
          <w:highlight w:val="none"/>
        </w:rPr>
        <w:t>7</w:t>
      </w:r>
      <w:r>
        <w:rPr>
          <w:rFonts w:hint="eastAsia" w:ascii="宋体" w:hAnsi="宋体" w:cs="宋体"/>
          <w:sz w:val="24"/>
          <w:szCs w:val="24"/>
          <w:highlight w:val="none"/>
        </w:rPr>
        <w:t>个工作日内，提出质疑。</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9.3</w:t>
      </w:r>
      <w:r>
        <w:rPr>
          <w:rFonts w:hint="eastAsia" w:ascii="宋体" w:hAnsi="宋体" w:cs="宋体"/>
          <w:sz w:val="24"/>
          <w:szCs w:val="24"/>
          <w:highlight w:val="none"/>
        </w:rPr>
        <w:t>接收质疑函的方式：投标人应提交书面质疑函，投标人应在法定质疑期内一次性提出针对同一采购程序环节的质疑。</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9.4</w:t>
      </w:r>
      <w:r>
        <w:rPr>
          <w:rFonts w:hint="eastAsia" w:ascii="宋体" w:hAnsi="宋体" w:cs="宋体"/>
          <w:sz w:val="24"/>
          <w:szCs w:val="24"/>
          <w:highlight w:val="none"/>
        </w:rPr>
        <w:t>投标人提出质疑应当提交质疑函和必要的证明材料。质疑函应当包括下列内容：</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）投标人的姓名或者名称、地址、邮编、联系人及联系电话；</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）质疑项目的名称、编号；</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）具体、明确的质疑事项和与质疑事项相关的请求；</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）事实依据；</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）必要的法律依据；</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）提出质疑的日期。</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9.5</w:t>
      </w:r>
      <w:r>
        <w:rPr>
          <w:rFonts w:hint="eastAsia" w:ascii="宋体" w:hAnsi="宋体" w:cs="宋体"/>
          <w:sz w:val="24"/>
          <w:szCs w:val="24"/>
          <w:highlight w:val="none"/>
        </w:rPr>
        <w:t>投标人为自然人的，质疑函应当由本人签字；投标人为法人或者其他组织的，质疑函应当由法定代表人、主要负责人，或者其授权代表签字或者盖章，并加盖公章。</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9.6</w:t>
      </w:r>
      <w:r>
        <w:rPr>
          <w:rFonts w:hint="eastAsia" w:ascii="宋体" w:hAnsi="宋体" w:cs="宋体"/>
          <w:sz w:val="24"/>
          <w:szCs w:val="24"/>
          <w:highlight w:val="none"/>
        </w:rPr>
        <w:t>投标人委托代理人递交质疑函的，应提供法定代表人授权委托书和代理人身份证复印件。授权委托书应当载明代理人的姓名、授权事项、具体权限、期限和相关事项。投标人为自然人的，授权委托书应当由本人签字；投标人为法人或者其他组织的，授权委托书应当由法定代表人、主要负责人签字或者盖章，并加盖公章。</w:t>
      </w:r>
      <w:bookmarkStart w:id="19" w:name="_Toc322446891"/>
      <w:bookmarkStart w:id="20" w:name="_Toc493422650"/>
      <w:bookmarkStart w:id="21" w:name="_Toc2355230"/>
      <w:bookmarkStart w:id="22" w:name="_Toc497167393"/>
      <w:bookmarkStart w:id="23" w:name="_Toc2511971"/>
      <w:bookmarkStart w:id="24" w:name="_Toc14776838"/>
    </w:p>
    <w:p>
      <w:pPr>
        <w:spacing w:line="360" w:lineRule="auto"/>
        <w:rPr>
          <w:rFonts w:ascii="宋体" w:cs="宋体"/>
          <w:b/>
          <w:sz w:val="24"/>
          <w:szCs w:val="24"/>
          <w:highlight w:val="none"/>
        </w:rPr>
      </w:pPr>
      <w:r>
        <w:rPr>
          <w:rFonts w:hint="eastAsia" w:ascii="宋体" w:hAnsi="宋体" w:cs="宋体"/>
          <w:b/>
          <w:sz w:val="24"/>
          <w:szCs w:val="24"/>
          <w:highlight w:val="none"/>
        </w:rPr>
        <w:t>三、投标文件的编制</w:t>
      </w:r>
      <w:bookmarkEnd w:id="19"/>
      <w:bookmarkEnd w:id="20"/>
      <w:bookmarkEnd w:id="21"/>
      <w:bookmarkEnd w:id="22"/>
      <w:bookmarkEnd w:id="23"/>
      <w:bookmarkEnd w:id="24"/>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10.</w:t>
      </w:r>
      <w:r>
        <w:rPr>
          <w:rFonts w:hint="eastAsia" w:ascii="宋体" w:hAnsi="宋体" w:cs="宋体"/>
          <w:b/>
          <w:sz w:val="24"/>
          <w:szCs w:val="24"/>
          <w:highlight w:val="none"/>
        </w:rPr>
        <w:t>编制要求</w:t>
      </w:r>
    </w:p>
    <w:p>
      <w:pPr>
        <w:tabs>
          <w:tab w:val="left" w:pos="900"/>
        </w:tabs>
        <w:spacing w:line="360" w:lineRule="auto"/>
        <w:ind w:firstLine="480" w:firstLineChars="200"/>
        <w:rPr>
          <w:rFonts w:ascii="宋体" w:cs="宋体"/>
          <w:sz w:val="24"/>
          <w:szCs w:val="24"/>
          <w:highlight w:val="none"/>
        </w:rPr>
      </w:pPr>
      <w:r>
        <w:rPr>
          <w:rFonts w:ascii="宋体" w:hAnsi="宋体" w:cs="宋体"/>
          <w:sz w:val="24"/>
          <w:szCs w:val="24"/>
          <w:highlight w:val="none"/>
        </w:rPr>
        <w:t>10.1</w:t>
      </w:r>
      <w:r>
        <w:rPr>
          <w:rFonts w:hint="eastAsia" w:ascii="宋体" w:hAnsi="宋体" w:cs="宋体"/>
          <w:sz w:val="24"/>
          <w:szCs w:val="24"/>
          <w:highlight w:val="none"/>
        </w:rPr>
        <w:t>投标人应认真阅读招标文件的所有内容，按招标文件的要求提供投标文件，投标文件应当对招标文件提出的要求和条件作出明确响应，并保证所提供的全部资料的真实性、完整性，以使其投标文件对招标文件做出实质性响应。</w:t>
      </w:r>
    </w:p>
    <w:p>
      <w:pPr>
        <w:tabs>
          <w:tab w:val="left" w:pos="900"/>
        </w:tabs>
        <w:spacing w:line="360" w:lineRule="auto"/>
        <w:ind w:firstLine="480" w:firstLineChars="200"/>
        <w:rPr>
          <w:rFonts w:ascii="宋体" w:cs="宋体"/>
          <w:sz w:val="24"/>
          <w:szCs w:val="24"/>
          <w:highlight w:val="none"/>
        </w:rPr>
      </w:pPr>
      <w:r>
        <w:rPr>
          <w:rFonts w:ascii="宋体" w:hAnsi="宋体" w:cs="宋体"/>
          <w:sz w:val="24"/>
          <w:szCs w:val="24"/>
          <w:highlight w:val="none"/>
        </w:rPr>
        <w:t>10.2</w:t>
      </w:r>
      <w:r>
        <w:rPr>
          <w:rFonts w:hint="eastAsia" w:ascii="宋体" w:hAnsi="宋体" w:cs="宋体"/>
          <w:sz w:val="24"/>
          <w:szCs w:val="24"/>
          <w:highlight w:val="none"/>
        </w:rPr>
        <w:t>采购人或采购代理机构有权随时检查投标人所提供的全部资料的真实性。如果发现投标人在投标资料中使用有虚假的证明材料的，由此所产生的经济责任和法律责任由投标人自行承担。</w:t>
      </w:r>
    </w:p>
    <w:p>
      <w:pPr>
        <w:pStyle w:val="4"/>
        <w:tabs>
          <w:tab w:val="left" w:pos="840"/>
        </w:tabs>
        <w:spacing w:line="360" w:lineRule="auto"/>
        <w:ind w:firstLine="480" w:firstLineChars="200"/>
        <w:rPr>
          <w:rFonts w:ascii="宋体" w:cs="宋体"/>
          <w:sz w:val="24"/>
          <w:szCs w:val="24"/>
          <w:highlight w:val="none"/>
        </w:rPr>
      </w:pPr>
      <w:r>
        <w:rPr>
          <w:rFonts w:ascii="宋体" w:hAnsi="宋体" w:cs="宋体"/>
          <w:sz w:val="24"/>
          <w:szCs w:val="24"/>
          <w:highlight w:val="none"/>
        </w:rPr>
        <w:t>10.3</w:t>
      </w:r>
      <w:r>
        <w:rPr>
          <w:rFonts w:hint="eastAsia" w:ascii="宋体" w:hAnsi="宋体" w:cs="宋体"/>
          <w:sz w:val="24"/>
          <w:szCs w:val="24"/>
          <w:highlight w:val="none"/>
        </w:rPr>
        <w:t>投标的语言</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投标人提交的投标文件以及投标人与采购代理机构就有关投标的所有来往函电均应以中文书写，且以之为准。</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11.</w:t>
      </w:r>
      <w:r>
        <w:rPr>
          <w:rFonts w:hint="eastAsia" w:ascii="宋体" w:hAnsi="宋体" w:cs="宋体"/>
          <w:b/>
          <w:sz w:val="24"/>
          <w:szCs w:val="24"/>
          <w:highlight w:val="none"/>
        </w:rPr>
        <w:t>投标文件构成</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11.1</w:t>
      </w:r>
      <w:r>
        <w:rPr>
          <w:rFonts w:hint="eastAsia" w:ascii="宋体" w:hAnsi="宋体" w:cs="宋体"/>
          <w:sz w:val="24"/>
          <w:szCs w:val="24"/>
          <w:highlight w:val="none"/>
        </w:rPr>
        <w:t>投标人编写的投标文件应包括下列部分：</w:t>
      </w:r>
    </w:p>
    <w:p>
      <w:pP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）资格证明材料部分：按照本须知第</w:t>
      </w:r>
      <w:r>
        <w:rPr>
          <w:rFonts w:ascii="宋体" w:hAnsi="宋体" w:cs="宋体"/>
          <w:sz w:val="24"/>
          <w:szCs w:val="24"/>
          <w:highlight w:val="none"/>
        </w:rPr>
        <w:t>15</w:t>
      </w:r>
      <w:r>
        <w:rPr>
          <w:rFonts w:hint="eastAsia" w:ascii="宋体" w:hAnsi="宋体" w:cs="宋体"/>
          <w:sz w:val="24"/>
          <w:szCs w:val="24"/>
          <w:highlight w:val="none"/>
        </w:rPr>
        <w:t>条规定和第七章提供的格式提交。</w:t>
      </w:r>
    </w:p>
    <w:p>
      <w:pP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）商务部分：投标书、开标一览表、投标分项（明细）报价表、服务说明一览表、商务条款偏离表、法人代表授权书等，按照本须知第</w:t>
      </w:r>
      <w:r>
        <w:rPr>
          <w:rFonts w:ascii="宋体" w:hAnsi="宋体" w:cs="宋体"/>
          <w:sz w:val="24"/>
          <w:szCs w:val="24"/>
          <w:highlight w:val="none"/>
        </w:rPr>
        <w:t>15</w:t>
      </w:r>
      <w:r>
        <w:rPr>
          <w:rFonts w:hint="eastAsia" w:ascii="宋体" w:hAnsi="宋体" w:cs="宋体"/>
          <w:sz w:val="24"/>
          <w:szCs w:val="24"/>
          <w:highlight w:val="none"/>
        </w:rPr>
        <w:t>条规定和第七章提供的格式提交。</w:t>
      </w:r>
    </w:p>
    <w:p>
      <w:pP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技术部分：服务技术描述（人员配置；规章制度；服务实施方案；附属设施维护维修实施方案；投入本项目机械、材料、器具设备配置；安全生产作业措施方案；应急预案；服务达标承诺及不达标改善措施等；）、招标文件技术需求部分要求提供的内容、综合说明、服务偏离表等。</w:t>
      </w:r>
    </w:p>
    <w:p>
      <w:pP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）投标服务技术符合招标文件规定的证明文件及投标人认为需加以说明的其他内容。</w:t>
      </w:r>
    </w:p>
    <w:p>
      <w:pP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）投标人应将投标文件详列目录，并填写“投标文件资料清单、目录、页码”，以便阅读。</w:t>
      </w:r>
    </w:p>
    <w:p>
      <w:pP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）证明投标人履约能力的文件（本须知</w:t>
      </w:r>
      <w:r>
        <w:rPr>
          <w:rFonts w:ascii="宋体" w:hAnsi="宋体" w:cs="宋体"/>
          <w:sz w:val="24"/>
          <w:szCs w:val="24"/>
          <w:highlight w:val="none"/>
        </w:rPr>
        <w:t>15</w:t>
      </w:r>
      <w:r>
        <w:rPr>
          <w:rFonts w:hint="eastAsia" w:ascii="宋体" w:hAnsi="宋体" w:cs="宋体"/>
          <w:sz w:val="24"/>
          <w:szCs w:val="24"/>
          <w:highlight w:val="none"/>
        </w:rPr>
        <w:t>条内容）</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12.</w:t>
      </w:r>
      <w:r>
        <w:rPr>
          <w:rFonts w:hint="eastAsia" w:ascii="宋体" w:hAnsi="宋体" w:cs="宋体"/>
          <w:b/>
          <w:sz w:val="24"/>
          <w:szCs w:val="24"/>
          <w:highlight w:val="none"/>
        </w:rPr>
        <w:t>投标文件格式</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12.1 </w:t>
      </w:r>
      <w:r>
        <w:rPr>
          <w:rFonts w:hint="eastAsia" w:ascii="宋体" w:hAnsi="宋体" w:cs="宋体"/>
          <w:sz w:val="24"/>
          <w:szCs w:val="24"/>
          <w:highlight w:val="none"/>
        </w:rPr>
        <w:t>投标人应按招标文件第</w:t>
      </w:r>
      <w:r>
        <w:rPr>
          <w:rFonts w:ascii="宋体" w:hAnsi="宋体" w:cs="宋体"/>
          <w:sz w:val="24"/>
          <w:szCs w:val="24"/>
          <w:highlight w:val="none"/>
        </w:rPr>
        <w:t>11</w:t>
      </w:r>
      <w:r>
        <w:rPr>
          <w:rFonts w:hint="eastAsia" w:ascii="宋体" w:hAnsi="宋体" w:cs="宋体"/>
          <w:sz w:val="24"/>
          <w:szCs w:val="24"/>
          <w:highlight w:val="none"/>
        </w:rPr>
        <w:t>条的内容与要求和第七章提供的格式编写其投标文件，投标人不得缺少或留空任何招标文件要求填写的表格或提交的资料。</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12.2</w:t>
      </w:r>
      <w:r>
        <w:rPr>
          <w:rFonts w:hint="eastAsia" w:ascii="宋体" w:hAnsi="宋体" w:cs="宋体"/>
          <w:sz w:val="24"/>
          <w:szCs w:val="24"/>
          <w:highlight w:val="none"/>
        </w:rPr>
        <w:t>投标人应将投标文件按第</w:t>
      </w:r>
      <w:r>
        <w:rPr>
          <w:rFonts w:ascii="宋体" w:hAnsi="宋体" w:cs="宋体"/>
          <w:sz w:val="24"/>
          <w:szCs w:val="24"/>
          <w:highlight w:val="none"/>
        </w:rPr>
        <w:t>11</w:t>
      </w:r>
      <w:r>
        <w:rPr>
          <w:rFonts w:hint="eastAsia" w:ascii="宋体" w:hAnsi="宋体" w:cs="宋体"/>
          <w:sz w:val="24"/>
          <w:szCs w:val="24"/>
          <w:highlight w:val="none"/>
        </w:rPr>
        <w:t>条规定的顺序编排、并应编制目录、逐页标注连续页码。</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13.</w:t>
      </w:r>
      <w:r>
        <w:rPr>
          <w:rFonts w:hint="eastAsia" w:ascii="宋体" w:hAnsi="宋体" w:cs="宋体"/>
          <w:b/>
          <w:sz w:val="24"/>
          <w:szCs w:val="24"/>
          <w:highlight w:val="none"/>
        </w:rPr>
        <w:t>投标报价</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13.1 </w:t>
      </w:r>
      <w:r>
        <w:rPr>
          <w:rFonts w:hint="eastAsia" w:ascii="宋体" w:hAnsi="宋体" w:cs="宋体"/>
          <w:sz w:val="24"/>
          <w:szCs w:val="24"/>
          <w:highlight w:val="none"/>
        </w:rPr>
        <w:t>投标人应在投标分项报价表上标明本合同拟提供服务的单价和总价。</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13.2 </w:t>
      </w:r>
      <w:r>
        <w:rPr>
          <w:rFonts w:hint="eastAsia" w:ascii="宋体" w:hAnsi="宋体" w:cs="宋体"/>
          <w:sz w:val="24"/>
          <w:szCs w:val="24"/>
          <w:highlight w:val="none"/>
        </w:rPr>
        <w:t>投标人对每种</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只允许有一个报价，采购人不接受有任何选择的报价。</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13.3 </w:t>
      </w:r>
      <w:r>
        <w:rPr>
          <w:rFonts w:hint="eastAsia" w:ascii="宋体" w:hAnsi="宋体" w:cs="宋体"/>
          <w:sz w:val="24"/>
          <w:szCs w:val="24"/>
          <w:highlight w:val="none"/>
        </w:rPr>
        <w:t>投标人根据本须知的规定将投标价分成几部分，只是为了方便采购人或采购代理机构对投标文件进行比较，并不限制采购人以上述任何条件订立合同的权利。</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13.4 </w:t>
      </w:r>
      <w:r>
        <w:rPr>
          <w:rFonts w:hint="eastAsia" w:ascii="宋体" w:hAnsi="宋体" w:cs="宋体"/>
          <w:sz w:val="24"/>
          <w:szCs w:val="24"/>
          <w:highlight w:val="none"/>
        </w:rPr>
        <w:t>投标人所报的投标价在合同执行过程中是固定不变的，不得以任何理由予以变更。任何包含价格调整要求的投标，将被认为是非响应性投标而作无效投标处理。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13.5</w:t>
      </w:r>
      <w:r>
        <w:rPr>
          <w:rFonts w:hint="eastAsia" w:ascii="宋体" w:hAnsi="宋体" w:cs="宋体"/>
          <w:sz w:val="24"/>
          <w:szCs w:val="24"/>
          <w:highlight w:val="none"/>
        </w:rPr>
        <w:t>投标人不得违反《中华人民共和国反不正当竞争法》的规定，以低于成本的价格销售货物或服务，否则应对其价格构成情况做出详细说明并提供相关证明资料。</w:t>
      </w:r>
      <w:r>
        <w:rPr>
          <w:rFonts w:hint="eastAsia" w:ascii="宋体" w:hAnsi="宋体" w:cs="宋体"/>
          <w:b/>
          <w:sz w:val="24"/>
          <w:szCs w:val="24"/>
          <w:highlight w:val="none"/>
          <w:u w:val="single"/>
        </w:rPr>
        <w:t>评标委员会认为投标人的报价明显低于其他通过符合性审查投标人的报价，有可能影响产品质量或者不能诚信履约的，应当要求其在评标现场合理的时间内</w:t>
      </w:r>
      <w:r>
        <w:rPr>
          <w:rFonts w:hint="eastAsia" w:ascii="宋体" w:hAnsi="宋体" w:cs="宋体"/>
          <w:b/>
          <w:sz w:val="24"/>
          <w:szCs w:val="24"/>
          <w:highlight w:val="none"/>
          <w:u w:val="single"/>
          <w:lang w:val="en-US" w:eastAsia="zh-CN"/>
        </w:rPr>
        <w:t>在线</w:t>
      </w:r>
      <w:r>
        <w:rPr>
          <w:rFonts w:hint="eastAsia" w:ascii="宋体" w:hAnsi="宋体" w:cs="宋体"/>
          <w:b/>
          <w:sz w:val="24"/>
          <w:szCs w:val="24"/>
          <w:highlight w:val="none"/>
          <w:u w:val="single"/>
        </w:rPr>
        <w:t>提供书面说明，必要时提交相关证明材料；投标人不能证明其报价合理性的，评标委员会应当将其作为无效投标处理。</w:t>
      </w:r>
      <w:r>
        <w:rPr>
          <w:rFonts w:hint="eastAsia" w:ascii="宋体" w:hAnsi="宋体" w:cs="宋体"/>
          <w:sz w:val="24"/>
          <w:szCs w:val="24"/>
          <w:highlight w:val="none"/>
        </w:rPr>
        <w:t>投标人的澄清、说明或者补正应当采用书面形式，由其授权代表签字</w:t>
      </w:r>
      <w:r>
        <w:rPr>
          <w:rFonts w:hint="eastAsia" w:ascii="宋体" w:hAnsi="宋体" w:cs="宋体"/>
          <w:sz w:val="24"/>
          <w:szCs w:val="24"/>
          <w:highlight w:val="none"/>
          <w:lang w:val="en-US" w:eastAsia="zh-CN"/>
        </w:rPr>
        <w:t>或盖投标人公章（电子章）</w:t>
      </w:r>
      <w:r>
        <w:rPr>
          <w:rFonts w:hint="eastAsia" w:ascii="宋体" w:hAnsi="宋体" w:cs="宋体"/>
          <w:sz w:val="24"/>
          <w:szCs w:val="24"/>
          <w:highlight w:val="none"/>
        </w:rPr>
        <w:t>，并不得超出投标文件的范围或者改变投标文件的实质性内容，书面承诺为其投标文件的组成部分。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13.6</w:t>
      </w:r>
      <w:r>
        <w:rPr>
          <w:rFonts w:hint="eastAsia" w:ascii="宋体" w:hAnsi="宋体" w:cs="宋体"/>
          <w:sz w:val="24"/>
          <w:szCs w:val="24"/>
          <w:highlight w:val="none"/>
        </w:rPr>
        <w:t>对于投标报价不全，应当提交的报价而在标书中没有提交的投标人，将作无效投标处理。</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14.</w:t>
      </w:r>
      <w:r>
        <w:rPr>
          <w:rFonts w:hint="eastAsia" w:ascii="宋体" w:hAnsi="宋体" w:cs="宋体"/>
          <w:b/>
          <w:sz w:val="24"/>
          <w:szCs w:val="24"/>
          <w:highlight w:val="none"/>
        </w:rPr>
        <w:t>投标货币</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14.1 </w:t>
      </w:r>
      <w:r>
        <w:rPr>
          <w:rFonts w:hint="eastAsia" w:ascii="宋体" w:hAnsi="宋体" w:cs="宋体"/>
          <w:sz w:val="24"/>
          <w:szCs w:val="24"/>
          <w:highlight w:val="none"/>
        </w:rPr>
        <w:t>投标人提供的货物和服务一律用人民币报价。</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15.</w:t>
      </w:r>
      <w:r>
        <w:rPr>
          <w:rFonts w:hint="eastAsia" w:ascii="宋体" w:hAnsi="宋体" w:cs="宋体"/>
          <w:b/>
          <w:sz w:val="24"/>
          <w:szCs w:val="24"/>
          <w:highlight w:val="none"/>
        </w:rPr>
        <w:t>证明投标人合格的资格证明材料</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15.1 </w:t>
      </w:r>
      <w:r>
        <w:rPr>
          <w:rFonts w:hint="eastAsia" w:ascii="宋体" w:hAnsi="宋体" w:cs="宋体"/>
          <w:sz w:val="24"/>
          <w:szCs w:val="24"/>
          <w:highlight w:val="none"/>
        </w:rPr>
        <w:t>投标人应提交证明其有资格参加投标和中标后有能力履行合同的材料，并作为其投标文件的一部分。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15.2 </w:t>
      </w:r>
      <w:r>
        <w:rPr>
          <w:rFonts w:hint="eastAsia" w:ascii="宋体" w:hAnsi="宋体" w:cs="宋体"/>
          <w:sz w:val="24"/>
          <w:szCs w:val="24"/>
          <w:highlight w:val="none"/>
        </w:rPr>
        <w:t>投标人提交的资格证明材料应符合第七章投标文件格式“一、投标文件</w:t>
      </w:r>
      <w:r>
        <w:rPr>
          <w:rFonts w:ascii="宋体" w:cs="宋体"/>
          <w:sz w:val="24"/>
          <w:szCs w:val="24"/>
          <w:highlight w:val="none"/>
        </w:rPr>
        <w:t>-</w:t>
      </w:r>
      <w:r>
        <w:rPr>
          <w:rFonts w:hint="eastAsia" w:ascii="宋体" w:hAnsi="宋体" w:cs="宋体"/>
          <w:sz w:val="24"/>
          <w:szCs w:val="24"/>
          <w:highlight w:val="none"/>
        </w:rPr>
        <w:t>资格证明材料”的要求。</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15.3</w:t>
      </w:r>
      <w:r>
        <w:rPr>
          <w:rFonts w:hint="eastAsia" w:ascii="宋体" w:hAnsi="宋体" w:cs="宋体"/>
          <w:sz w:val="24"/>
          <w:szCs w:val="24"/>
          <w:highlight w:val="none"/>
        </w:rPr>
        <w:t>投标人在收到中标通知书前后或签署合同前后对于采购人或采购代理机构提出的质疑能够在</w:t>
      </w:r>
      <w:r>
        <w:rPr>
          <w:rFonts w:ascii="宋体" w:hAnsi="宋体" w:cs="宋体"/>
          <w:sz w:val="24"/>
          <w:szCs w:val="24"/>
          <w:highlight w:val="none"/>
        </w:rPr>
        <w:t>3</w:t>
      </w:r>
      <w:r>
        <w:rPr>
          <w:rFonts w:hint="eastAsia" w:ascii="宋体" w:hAnsi="宋体" w:cs="宋体"/>
          <w:sz w:val="24"/>
          <w:szCs w:val="24"/>
          <w:highlight w:val="none"/>
        </w:rPr>
        <w:t>个工作日内给予满意合理的解释。</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16.</w:t>
      </w:r>
      <w:r>
        <w:rPr>
          <w:rFonts w:hint="eastAsia" w:ascii="宋体" w:hAnsi="宋体" w:cs="宋体"/>
          <w:b/>
          <w:sz w:val="24"/>
          <w:szCs w:val="24"/>
          <w:highlight w:val="none"/>
        </w:rPr>
        <w:t>证明货物或服务的合格性和符合招标文件规定的文件</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16.1 </w:t>
      </w:r>
      <w:r>
        <w:rPr>
          <w:rFonts w:hint="eastAsia" w:ascii="宋体" w:hAnsi="宋体" w:cs="宋体"/>
          <w:sz w:val="24"/>
          <w:szCs w:val="24"/>
          <w:highlight w:val="none"/>
        </w:rPr>
        <w:t>投标人应提交证明文件证明其拟投标的</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的合格性符合招标文件规定。该证明文件作为投标文件的一部分。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16.2 </w:t>
      </w:r>
      <w:r>
        <w:rPr>
          <w:rFonts w:hint="eastAsia" w:ascii="宋体" w:hAnsi="宋体" w:cs="宋体"/>
          <w:sz w:val="24"/>
          <w:szCs w:val="24"/>
          <w:highlight w:val="none"/>
        </w:rPr>
        <w:t>证明货物和服务与招标文件的要求一致的文件，可以是文字资料、图纸和数据，它包括但不限于以下内容：</w:t>
      </w:r>
    </w:p>
    <w:p>
      <w:pPr>
        <w:pStyle w:val="20"/>
        <w:ind w:firstLine="480" w:firstLineChars="200"/>
        <w:rPr>
          <w:highlight w:val="none"/>
        </w:rPr>
      </w:pPr>
      <w:r>
        <w:rPr>
          <w:rFonts w:hint="eastAsia"/>
          <w:highlight w:val="none"/>
        </w:rPr>
        <w:t>（1）投标人所拥有相应的资质证书；</w:t>
      </w:r>
    </w:p>
    <w:p>
      <w:pPr>
        <w:pStyle w:val="20"/>
        <w:ind w:firstLine="480" w:firstLineChars="200"/>
        <w:rPr>
          <w:highlight w:val="none"/>
        </w:rPr>
      </w:pPr>
      <w:r>
        <w:rPr>
          <w:rFonts w:hint="eastAsia"/>
          <w:highlight w:val="none"/>
        </w:rPr>
        <w:t>（2）投标人所拥有具有相应专业技术能力的人员证书；</w:t>
      </w:r>
    </w:p>
    <w:p>
      <w:pPr>
        <w:pStyle w:val="20"/>
        <w:ind w:firstLine="480" w:firstLineChars="200"/>
        <w:rPr>
          <w:highlight w:val="none"/>
        </w:rPr>
      </w:pPr>
      <w:r>
        <w:rPr>
          <w:rFonts w:hint="eastAsia"/>
          <w:highlight w:val="none"/>
        </w:rPr>
        <w:t>（3）相关设备的购置发票；</w:t>
      </w:r>
    </w:p>
    <w:p>
      <w:pPr>
        <w:pStyle w:val="20"/>
        <w:ind w:firstLine="480" w:firstLineChars="200"/>
        <w:rPr>
          <w:highlight w:val="none"/>
        </w:rPr>
      </w:pPr>
      <w:r>
        <w:rPr>
          <w:rFonts w:hint="eastAsia"/>
          <w:highlight w:val="none"/>
        </w:rPr>
        <w:t>（4）对照招标文件技术服务需求要求，逐条说明所提供服务已对招标文件的技术服务需求、内容与要求做出了实质性的响应、技术服务需求与要求条文的偏差和例外（按第七章服务需求偏离表格式填写）。</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16.3 </w:t>
      </w:r>
      <w:r>
        <w:rPr>
          <w:rFonts w:hint="eastAsia" w:ascii="宋体" w:hAnsi="宋体" w:cs="宋体"/>
          <w:sz w:val="24"/>
          <w:szCs w:val="24"/>
          <w:highlight w:val="none"/>
        </w:rPr>
        <w:t>投标人在阐述上述第</w:t>
      </w:r>
      <w:r>
        <w:rPr>
          <w:rFonts w:ascii="宋体" w:hAnsi="宋体" w:cs="宋体"/>
          <w:sz w:val="24"/>
          <w:szCs w:val="24"/>
          <w:highlight w:val="none"/>
        </w:rPr>
        <w:t>16.2</w:t>
      </w:r>
      <w:r>
        <w:rPr>
          <w:rFonts w:hint="eastAsia" w:ascii="宋体" w:hAnsi="宋体" w:cs="宋体"/>
          <w:sz w:val="24"/>
          <w:szCs w:val="24"/>
          <w:highlight w:val="none"/>
        </w:rPr>
        <w:t>时应注意招标文件技术部分中“采购需求”指出的工艺、材料和设备的标准以及参照的牌号或分类号仅起说明作用，并没有任何限制性。投标人在投标中可以选用替代标准、牌号或分类号，但这些替代要实质上相当于</w:t>
      </w:r>
      <w:r>
        <w:rPr>
          <w:rFonts w:hint="eastAsia" w:ascii="宋体" w:hAnsi="宋体" w:cs="宋体"/>
          <w:color w:val="000000"/>
          <w:sz w:val="24"/>
          <w:szCs w:val="24"/>
          <w:highlight w:val="none"/>
        </w:rPr>
        <w:t>或优于</w:t>
      </w:r>
      <w:r>
        <w:rPr>
          <w:rFonts w:hint="eastAsia" w:ascii="宋体" w:hAnsi="宋体" w:cs="宋体"/>
          <w:sz w:val="24"/>
          <w:szCs w:val="24"/>
          <w:highlight w:val="none"/>
        </w:rPr>
        <w:t>技术规格（服务需求）的要求。</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17.</w:t>
      </w:r>
      <w:r>
        <w:rPr>
          <w:rFonts w:hint="eastAsia" w:ascii="宋体" w:hAnsi="宋体" w:cs="宋体"/>
          <w:b/>
          <w:sz w:val="24"/>
          <w:szCs w:val="24"/>
          <w:highlight w:val="none"/>
        </w:rPr>
        <w:t>投标保证金与中标服务费</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17.1 </w:t>
      </w:r>
      <w:r>
        <w:rPr>
          <w:rFonts w:hint="eastAsia" w:ascii="宋体" w:hAnsi="宋体" w:cs="宋体"/>
          <w:sz w:val="24"/>
          <w:szCs w:val="24"/>
          <w:highlight w:val="none"/>
        </w:rPr>
        <w:t>投标人应提交“投标人须知前附表”规定数额的投标保证金，并作为其投标的一部分，投标保证金的接收单位为</w:t>
      </w:r>
      <w:r>
        <w:rPr>
          <w:rFonts w:hint="eastAsia" w:ascii="宋体" w:hAnsi="宋体" w:cs="宋体"/>
          <w:sz w:val="24"/>
          <w:szCs w:val="24"/>
          <w:highlight w:val="none"/>
          <w:lang w:eastAsia="zh-CN"/>
        </w:rPr>
        <w:t>新疆同创博远项目管理咨询有限责任公司</w:t>
      </w:r>
      <w:r>
        <w:rPr>
          <w:rFonts w:hint="eastAsia" w:ascii="宋体" w:hAnsi="宋体" w:cs="宋体"/>
          <w:sz w:val="24"/>
          <w:szCs w:val="24"/>
          <w:highlight w:val="none"/>
        </w:rPr>
        <w:t>，依据《中华人民共和国政府法采购实施》第三十三条相关规定，投标保证金不得超过采购项目预算金额的</w:t>
      </w:r>
      <w:r>
        <w:rPr>
          <w:rFonts w:ascii="宋体" w:hAnsi="宋体" w:cs="宋体"/>
          <w:sz w:val="24"/>
          <w:szCs w:val="24"/>
          <w:highlight w:val="none"/>
        </w:rPr>
        <w:t>2%</w:t>
      </w:r>
      <w:r>
        <w:rPr>
          <w:rFonts w:hint="eastAsia" w:ascii="宋体" w:hAnsi="宋体" w:cs="宋体"/>
          <w:sz w:val="24"/>
          <w:szCs w:val="24"/>
          <w:highlight w:val="none"/>
        </w:rPr>
        <w:t>。</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17.2 </w:t>
      </w:r>
      <w:r>
        <w:rPr>
          <w:rFonts w:hint="eastAsia" w:ascii="宋体" w:hAnsi="宋体" w:cs="宋体"/>
          <w:sz w:val="24"/>
          <w:szCs w:val="24"/>
          <w:highlight w:val="none"/>
        </w:rPr>
        <w:t>投标保证金的货币为人民币，并采用下列任何一种形式：</w:t>
      </w:r>
    </w:p>
    <w:p>
      <w:pPr>
        <w:numPr>
          <w:ilvl w:val="0"/>
          <w:numId w:val="9"/>
        </w:numP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电汇；</w:t>
      </w:r>
      <w:r>
        <w:rPr>
          <w:rFonts w:ascii="宋体" w:hAnsi="宋体" w:cs="宋体"/>
          <w:sz w:val="24"/>
          <w:szCs w:val="24"/>
          <w:highlight w:val="none"/>
        </w:rPr>
        <w:t xml:space="preserve"> </w:t>
      </w:r>
    </w:p>
    <w:p>
      <w:pPr>
        <w:numPr>
          <w:ilvl w:val="0"/>
          <w:numId w:val="9"/>
        </w:numP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支票（须提前一个工作日）；</w:t>
      </w:r>
      <w:r>
        <w:rPr>
          <w:rFonts w:ascii="宋体" w:hAnsi="宋体" w:cs="宋体"/>
          <w:sz w:val="24"/>
          <w:szCs w:val="24"/>
          <w:highlight w:val="none"/>
        </w:rPr>
        <w:t xml:space="preserve"> </w:t>
      </w:r>
    </w:p>
    <w:p>
      <w:pPr>
        <w:numPr>
          <w:ilvl w:val="0"/>
          <w:numId w:val="9"/>
        </w:numP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银行汇票；</w:t>
      </w:r>
    </w:p>
    <w:p>
      <w:pPr>
        <w:numPr>
          <w:ilvl w:val="0"/>
          <w:numId w:val="9"/>
        </w:numP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本票；</w:t>
      </w:r>
    </w:p>
    <w:p>
      <w:pPr>
        <w:numPr>
          <w:ilvl w:val="0"/>
          <w:numId w:val="9"/>
        </w:numP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金融机构、担保机构出具的保函。</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17.3 </w:t>
      </w:r>
      <w:r>
        <w:rPr>
          <w:rFonts w:hint="eastAsia" w:ascii="宋体" w:hAnsi="宋体" w:cs="宋体"/>
          <w:sz w:val="24"/>
          <w:szCs w:val="24"/>
          <w:highlight w:val="none"/>
        </w:rPr>
        <w:t>凡没有根据本须知第</w:t>
      </w:r>
      <w:r>
        <w:rPr>
          <w:rFonts w:ascii="宋体" w:hAnsi="宋体" w:cs="宋体"/>
          <w:sz w:val="24"/>
          <w:szCs w:val="24"/>
          <w:highlight w:val="none"/>
        </w:rPr>
        <w:t>17.1</w:t>
      </w:r>
      <w:r>
        <w:rPr>
          <w:rFonts w:hint="eastAsia" w:ascii="宋体" w:hAnsi="宋体" w:cs="宋体"/>
          <w:sz w:val="24"/>
          <w:szCs w:val="24"/>
          <w:highlight w:val="none"/>
        </w:rPr>
        <w:t>和</w:t>
      </w:r>
      <w:r>
        <w:rPr>
          <w:rFonts w:ascii="宋体" w:hAnsi="宋体" w:cs="宋体"/>
          <w:sz w:val="24"/>
          <w:szCs w:val="24"/>
          <w:highlight w:val="none"/>
        </w:rPr>
        <w:t>17.2</w:t>
      </w:r>
      <w:r>
        <w:rPr>
          <w:rFonts w:hint="eastAsia" w:ascii="宋体" w:hAnsi="宋体" w:cs="宋体"/>
          <w:sz w:val="24"/>
          <w:szCs w:val="24"/>
          <w:highlight w:val="none"/>
        </w:rPr>
        <w:t>条的规定随附投标保证金的投标，投标无效。投标人提交的投标保证金，将以转账形式予以退回。请各投标人在中标公告公布之后将单位退保证金公账户信息发送电子邮件至采购代理机构指定邮箱，如未发送，保证金逾期未退还将由投标人承担。</w:t>
      </w:r>
    </w:p>
    <w:p>
      <w:pPr>
        <w:spacing w:line="360" w:lineRule="auto"/>
        <w:ind w:firstLine="480" w:firstLineChars="200"/>
        <w:rPr>
          <w:rFonts w:ascii="宋体" w:cs="宋体"/>
          <w:sz w:val="24"/>
          <w:highlight w:val="none"/>
        </w:rPr>
      </w:pPr>
      <w:r>
        <w:rPr>
          <w:rFonts w:ascii="宋体" w:hAnsi="宋体" w:cs="宋体"/>
          <w:sz w:val="24"/>
          <w:szCs w:val="24"/>
          <w:highlight w:val="none"/>
        </w:rPr>
        <w:t xml:space="preserve">17.4 </w:t>
      </w:r>
      <w:r>
        <w:rPr>
          <w:rFonts w:hint="eastAsia" w:ascii="宋体" w:hAnsi="宋体" w:cs="宋体"/>
          <w:sz w:val="24"/>
          <w:szCs w:val="24"/>
          <w:highlight w:val="none"/>
        </w:rPr>
        <w:t>未中标投标人的投标保证金</w:t>
      </w:r>
      <w:r>
        <w:rPr>
          <w:rFonts w:ascii="宋体" w:hAnsi="宋体" w:cs="宋体"/>
          <w:sz w:val="24"/>
          <w:szCs w:val="24"/>
          <w:highlight w:val="none"/>
        </w:rPr>
        <w:t xml:space="preserve">, </w:t>
      </w:r>
      <w:r>
        <w:rPr>
          <w:rFonts w:hint="eastAsia" w:ascii="宋体" w:hAnsi="宋体" w:cs="宋体"/>
          <w:sz w:val="24"/>
          <w:highlight w:val="none"/>
        </w:rPr>
        <w:t>自中标通知书发出之日起</w:t>
      </w:r>
      <w:r>
        <w:rPr>
          <w:rFonts w:ascii="宋体" w:hAnsi="宋体" w:cs="宋体"/>
          <w:sz w:val="24"/>
          <w:highlight w:val="none"/>
        </w:rPr>
        <w:t>5</w:t>
      </w:r>
      <w:r>
        <w:rPr>
          <w:rFonts w:hint="eastAsia" w:ascii="宋体" w:hAnsi="宋体" w:cs="宋体"/>
          <w:sz w:val="24"/>
          <w:highlight w:val="none"/>
        </w:rPr>
        <w:t>个工作日内退还投标人。</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17.5 </w:t>
      </w:r>
      <w:r>
        <w:rPr>
          <w:rFonts w:hint="eastAsia" w:ascii="宋体" w:hAnsi="宋体" w:cs="宋体"/>
          <w:sz w:val="24"/>
          <w:szCs w:val="24"/>
          <w:highlight w:val="none"/>
        </w:rPr>
        <w:t>中标投标人的投标保证金，自政府采购合同签订之日起</w:t>
      </w:r>
      <w:r>
        <w:rPr>
          <w:rFonts w:ascii="宋体" w:hAnsi="宋体" w:cs="宋体"/>
          <w:sz w:val="24"/>
          <w:szCs w:val="24"/>
          <w:highlight w:val="none"/>
        </w:rPr>
        <w:t>5</w:t>
      </w:r>
      <w:r>
        <w:rPr>
          <w:rFonts w:hint="eastAsia" w:ascii="宋体" w:hAnsi="宋体" w:cs="宋体"/>
          <w:sz w:val="24"/>
          <w:szCs w:val="24"/>
          <w:highlight w:val="none"/>
        </w:rPr>
        <w:t>个工作日内退还。</w:t>
      </w:r>
    </w:p>
    <w:p>
      <w:pPr>
        <w:numPr>
          <w:ilvl w:val="1"/>
          <w:numId w:val="10"/>
        </w:numPr>
        <w:spacing w:line="360" w:lineRule="auto"/>
        <w:rPr>
          <w:rFonts w:ascii="宋体" w:cs="宋体"/>
          <w:sz w:val="24"/>
          <w:szCs w:val="24"/>
          <w:highlight w:val="none"/>
        </w:rPr>
      </w:pPr>
      <w:r>
        <w:rPr>
          <w:rFonts w:hint="eastAsia" w:ascii="宋体" w:hAnsi="宋体" w:cs="宋体"/>
          <w:sz w:val="24"/>
          <w:szCs w:val="24"/>
          <w:highlight w:val="none"/>
        </w:rPr>
        <w:t>下列任何情况发生时，投标保证金将不予退还：</w:t>
      </w:r>
    </w:p>
    <w:p>
      <w:pPr>
        <w:tabs>
          <w:tab w:val="left" w:pos="900"/>
        </w:tabs>
        <w:spacing w:line="360" w:lineRule="auto"/>
        <w:ind w:left="48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）投标人在招标文件中规定的投标有效期内撤回其投标；</w:t>
      </w:r>
    </w:p>
    <w:p>
      <w:pPr>
        <w:tabs>
          <w:tab w:val="left" w:pos="900"/>
        </w:tabs>
        <w:spacing w:line="360" w:lineRule="auto"/>
        <w:ind w:left="48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）投标人行贿采购人或采购代理机构或评标专家或试图影响招标结果的行为；</w:t>
      </w:r>
    </w:p>
    <w:p>
      <w:pPr>
        <w:tabs>
          <w:tab w:val="left" w:pos="900"/>
        </w:tabs>
        <w:spacing w:line="360" w:lineRule="auto"/>
        <w:ind w:left="48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）中标人在规定期限内未能根据本须知第</w:t>
      </w:r>
      <w:r>
        <w:rPr>
          <w:rFonts w:ascii="宋体" w:hAnsi="宋体" w:cs="宋体"/>
          <w:sz w:val="24"/>
          <w:szCs w:val="24"/>
          <w:highlight w:val="none"/>
        </w:rPr>
        <w:t>31</w:t>
      </w:r>
      <w:r>
        <w:rPr>
          <w:rFonts w:hint="eastAsia" w:ascii="宋体" w:hAnsi="宋体" w:cs="宋体"/>
          <w:sz w:val="24"/>
          <w:szCs w:val="24"/>
          <w:highlight w:val="none"/>
        </w:rPr>
        <w:t>条规定签订合同；</w:t>
      </w:r>
    </w:p>
    <w:p>
      <w:pPr>
        <w:tabs>
          <w:tab w:val="left" w:pos="900"/>
        </w:tabs>
        <w:spacing w:line="360" w:lineRule="auto"/>
        <w:ind w:left="48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）投标人在提交投标文件时或答复质疑及澄清时提供虚假或伪造的证明材料及数据；</w:t>
      </w:r>
    </w:p>
    <w:p>
      <w:pPr>
        <w:spacing w:line="360" w:lineRule="auto"/>
        <w:ind w:left="480"/>
        <w:rPr>
          <w:rFonts w:hint="eastAsia" w:ascii="宋体" w:hAnsi="宋体" w:cs="宋体"/>
          <w:color w:val="000000"/>
          <w:kern w:val="0"/>
          <w:sz w:val="24"/>
          <w:szCs w:val="24"/>
          <w:highlight w:val="none"/>
          <w:lang w:val="zh-CN"/>
        </w:rPr>
      </w:pPr>
      <w:r>
        <w:rPr>
          <w:rFonts w:hint="eastAsia" w:ascii="宋体" w:hAnsi="宋体" w:cs="宋体"/>
          <w:color w:val="000000"/>
          <w:kern w:val="0"/>
          <w:sz w:val="24"/>
          <w:szCs w:val="24"/>
          <w:highlight w:val="none"/>
        </w:rPr>
        <w:t>（</w:t>
      </w:r>
      <w:r>
        <w:rPr>
          <w:rFonts w:ascii="宋体" w:hAnsi="宋体" w:cs="宋体"/>
          <w:color w:val="000000"/>
          <w:kern w:val="0"/>
          <w:sz w:val="24"/>
          <w:szCs w:val="24"/>
          <w:highlight w:val="none"/>
        </w:rPr>
        <w:t>5</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zh-CN"/>
        </w:rPr>
        <w:t>法律、行政法规和招标文件规定的其他情况。</w:t>
      </w:r>
    </w:p>
    <w:p>
      <w:pPr>
        <w:pStyle w:val="20"/>
        <w:ind w:leftChars="200"/>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17.7其他注意事项：</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 xml:space="preserve">1.入账方式缴纳的保证金以保证金实际到达采购代理机构账户时间为准； </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 xml:space="preserve">以支票、汇票、本票或者金融机构、担保机构出具的保函、电汇、网银转账等非现金形式提交保证金的注意事项如下： </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（1）保证金单位名称必须与</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登记的单位名称一致,不得以</w:t>
      </w:r>
      <w:r>
        <w:rPr>
          <w:rFonts w:hint="eastAsia" w:ascii="宋体" w:hAnsi="宋体" w:cs="宋体"/>
          <w:sz w:val="24"/>
          <w:szCs w:val="24"/>
          <w:highlight w:val="none"/>
          <w:lang w:val="en-US" w:eastAsia="zh-CN"/>
        </w:rPr>
        <w:t>其</w:t>
      </w:r>
      <w:r>
        <w:rPr>
          <w:rFonts w:hint="default" w:ascii="宋体" w:hAnsi="宋体" w:cs="宋体"/>
          <w:sz w:val="24"/>
          <w:szCs w:val="24"/>
          <w:highlight w:val="none"/>
          <w:lang w:val="en-US" w:eastAsia="zh-CN"/>
        </w:rPr>
        <w:t>分公司、办事处或其或其他机构名义交纳,否则其投标将被拒绝。</w:t>
      </w:r>
      <w:r>
        <w:rPr>
          <w:rFonts w:hint="eastAsia" w:ascii="宋体" w:hAnsi="宋体" w:cs="宋体"/>
          <w:sz w:val="24"/>
          <w:szCs w:val="24"/>
          <w:highlight w:val="none"/>
          <w:lang w:val="en-US" w:eastAsia="zh-CN"/>
        </w:rPr>
        <w:t>（以</w:t>
      </w:r>
      <w:r>
        <w:rPr>
          <w:rFonts w:hint="default" w:ascii="宋体" w:hAnsi="宋体" w:cs="宋体"/>
          <w:sz w:val="24"/>
          <w:szCs w:val="24"/>
          <w:highlight w:val="none"/>
          <w:lang w:val="en-US" w:eastAsia="zh-CN"/>
        </w:rPr>
        <w:t>分公司、办事处或其或其他机构</w:t>
      </w:r>
      <w:r>
        <w:rPr>
          <w:rFonts w:hint="eastAsia" w:ascii="宋体" w:hAnsi="宋体" w:cs="宋体"/>
          <w:sz w:val="24"/>
          <w:szCs w:val="24"/>
          <w:highlight w:val="none"/>
          <w:lang w:val="en-US" w:eastAsia="zh-CN"/>
        </w:rPr>
        <w:t>登记领取文件的除外）</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须在投标截止时间前由投标单位账户一次性汇入采购文件指定帐号,</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须自行评估因异地、跨行、公休日等因素造成的保证金到账延迟风险,并承担相应责任。</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（3）</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请自行查询是否到账,</w:t>
      </w:r>
      <w:r>
        <w:rPr>
          <w:rFonts w:hint="eastAsia" w:ascii="宋体" w:hAnsi="宋体" w:cs="宋体"/>
          <w:sz w:val="24"/>
          <w:szCs w:val="24"/>
          <w:highlight w:val="none"/>
          <w:lang w:val="en-US" w:eastAsia="zh-CN"/>
        </w:rPr>
        <w:t>投标人</w:t>
      </w:r>
      <w:r>
        <w:rPr>
          <w:rFonts w:hint="default" w:ascii="宋体" w:hAnsi="宋体" w:cs="宋体"/>
          <w:sz w:val="24"/>
          <w:szCs w:val="24"/>
          <w:highlight w:val="none"/>
          <w:lang w:val="en-US" w:eastAsia="zh-CN"/>
        </w:rPr>
        <w:t>以网银转账、电汇汇款方式缴纳保证金的须从供应商账户转出,请备注项目名称或项目编号。</w:t>
      </w:r>
    </w:p>
    <w:p>
      <w:pPr>
        <w:spacing w:line="360" w:lineRule="auto"/>
        <w:ind w:firstLine="480" w:firstLineChars="200"/>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（4）采用电子保函形式</w:t>
      </w:r>
      <w:r>
        <w:rPr>
          <w:rFonts w:hint="eastAsia" w:ascii="宋体" w:hAnsi="宋体" w:cs="宋体"/>
          <w:sz w:val="24"/>
          <w:szCs w:val="24"/>
          <w:highlight w:val="none"/>
          <w:lang w:val="en-US" w:eastAsia="zh-CN"/>
        </w:rPr>
        <w:t>缴纳的请自行至新疆政府采购网（政采云平台）电子保函平台进行办理。投标人在办理电子保函过程中</w:t>
      </w:r>
    </w:p>
    <w:p>
      <w:pPr>
        <w:spacing w:line="360" w:lineRule="auto"/>
        <w:ind w:firstLine="482" w:firstLineChars="200"/>
        <w:rPr>
          <w:rFonts w:ascii="宋体" w:cs="宋体"/>
          <w:b/>
          <w:kern w:val="0"/>
          <w:sz w:val="24"/>
          <w:szCs w:val="24"/>
          <w:highlight w:val="none"/>
          <w:lang w:val="zh-CN"/>
        </w:rPr>
      </w:pPr>
      <w:r>
        <w:rPr>
          <w:rFonts w:ascii="宋体" w:hAnsi="宋体" w:cs="宋体"/>
          <w:b/>
          <w:color w:val="000000"/>
          <w:sz w:val="24"/>
          <w:szCs w:val="24"/>
          <w:highlight w:val="none"/>
        </w:rPr>
        <w:t>1</w:t>
      </w:r>
      <w:r>
        <w:rPr>
          <w:rFonts w:ascii="宋体" w:hAnsi="宋体" w:cs="宋体"/>
          <w:b/>
          <w:kern w:val="0"/>
          <w:sz w:val="24"/>
          <w:szCs w:val="24"/>
          <w:highlight w:val="none"/>
          <w:lang w:val="zh-CN"/>
        </w:rPr>
        <w:t xml:space="preserve">7.7 </w:t>
      </w:r>
      <w:r>
        <w:rPr>
          <w:rFonts w:hint="eastAsia" w:ascii="宋体" w:hAnsi="宋体" w:cs="宋体"/>
          <w:b/>
          <w:kern w:val="0"/>
          <w:sz w:val="24"/>
          <w:szCs w:val="24"/>
          <w:highlight w:val="none"/>
          <w:lang w:val="zh-CN"/>
        </w:rPr>
        <w:t>中标服务费</w:t>
      </w:r>
    </w:p>
    <w:p>
      <w:pPr>
        <w:spacing w:line="360" w:lineRule="auto"/>
        <w:ind w:firstLine="482" w:firstLineChars="200"/>
        <w:rPr>
          <w:rFonts w:ascii="宋体" w:cs="宋体"/>
          <w:b/>
          <w:sz w:val="24"/>
          <w:szCs w:val="24"/>
          <w:highlight w:val="none"/>
        </w:rPr>
      </w:pPr>
      <w:r>
        <w:rPr>
          <w:rFonts w:ascii="宋体" w:hAnsi="宋体" w:cs="宋体"/>
          <w:b/>
          <w:kern w:val="0"/>
          <w:sz w:val="24"/>
          <w:szCs w:val="24"/>
          <w:highlight w:val="none"/>
          <w:lang w:val="zh-CN"/>
        </w:rPr>
        <w:t>17.7.1</w:t>
      </w:r>
      <w:r>
        <w:rPr>
          <w:rFonts w:hint="eastAsia" w:ascii="宋体" w:hAnsi="宋体" w:cs="宋体"/>
          <w:b/>
          <w:kern w:val="0"/>
          <w:sz w:val="24"/>
          <w:szCs w:val="24"/>
          <w:highlight w:val="none"/>
          <w:lang w:val="zh-CN"/>
        </w:rPr>
        <w:t>中标人应</w:t>
      </w:r>
      <w:r>
        <w:rPr>
          <w:rFonts w:hint="eastAsia" w:ascii="宋体" w:hAnsi="宋体" w:cs="宋体"/>
          <w:b/>
          <w:sz w:val="24"/>
          <w:szCs w:val="24"/>
          <w:highlight w:val="none"/>
        </w:rPr>
        <w:t>在领取中标通知书时向采购代理机构交纳中标服务费。</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17.7.2</w:t>
      </w:r>
      <w:r>
        <w:rPr>
          <w:rFonts w:hint="eastAsia" w:ascii="宋体" w:hAnsi="宋体" w:cs="宋体"/>
          <w:b/>
          <w:sz w:val="24"/>
          <w:szCs w:val="24"/>
          <w:highlight w:val="none"/>
        </w:rPr>
        <w:t>中标服务费</w:t>
      </w:r>
      <w:r>
        <w:rPr>
          <w:rFonts w:hint="eastAsia" w:ascii="宋体" w:hAnsi="宋体" w:cs="宋体"/>
          <w:b/>
          <w:sz w:val="24"/>
          <w:highlight w:val="none"/>
        </w:rPr>
        <w:t>以中标通知书的中标金额作为收取的计算基数，参照原《招标代理服务收费管理暂行办法》（计价格</w:t>
      </w:r>
      <w:r>
        <w:rPr>
          <w:rFonts w:ascii="宋体" w:hAnsi="宋体" w:cs="宋体"/>
          <w:b/>
          <w:sz w:val="24"/>
          <w:highlight w:val="none"/>
        </w:rPr>
        <w:t>[20</w:t>
      </w:r>
      <w:r>
        <w:rPr>
          <w:rFonts w:hint="eastAsia" w:ascii="宋体" w:hAnsi="宋体" w:cs="宋体"/>
          <w:b/>
          <w:sz w:val="24"/>
          <w:highlight w:val="none"/>
          <w:lang w:val="en-US" w:eastAsia="zh-CN"/>
        </w:rPr>
        <w:t>15</w:t>
      </w:r>
      <w:r>
        <w:rPr>
          <w:rFonts w:ascii="宋体" w:hAnsi="宋体" w:cs="宋体"/>
          <w:b/>
          <w:sz w:val="24"/>
          <w:highlight w:val="none"/>
        </w:rPr>
        <w:t>]</w:t>
      </w:r>
      <w:r>
        <w:rPr>
          <w:rFonts w:hint="eastAsia" w:ascii="宋体" w:hAnsi="宋体" w:cs="宋体"/>
          <w:b/>
          <w:sz w:val="24"/>
          <w:highlight w:val="none"/>
          <w:lang w:val="en-US" w:eastAsia="zh-CN"/>
        </w:rPr>
        <w:t>299</w:t>
      </w:r>
      <w:r>
        <w:rPr>
          <w:rFonts w:hint="eastAsia" w:ascii="宋体" w:hAnsi="宋体" w:cs="宋体"/>
          <w:b/>
          <w:sz w:val="24"/>
          <w:highlight w:val="none"/>
        </w:rPr>
        <w:t>号）的规定，按差额定率累进法计算。</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18.</w:t>
      </w:r>
      <w:r>
        <w:rPr>
          <w:rFonts w:hint="eastAsia" w:ascii="宋体" w:hAnsi="宋体" w:cs="宋体"/>
          <w:b/>
          <w:sz w:val="24"/>
          <w:szCs w:val="24"/>
          <w:highlight w:val="none"/>
        </w:rPr>
        <w:t>投标有效期</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18.1 </w:t>
      </w:r>
      <w:r>
        <w:rPr>
          <w:rFonts w:hint="eastAsia" w:ascii="宋体" w:hAnsi="宋体" w:cs="宋体"/>
          <w:sz w:val="24"/>
          <w:szCs w:val="24"/>
          <w:highlight w:val="none"/>
        </w:rPr>
        <w:t>投标应自本须知第</w:t>
      </w:r>
      <w:r>
        <w:rPr>
          <w:rFonts w:ascii="宋体" w:hAnsi="宋体" w:cs="宋体"/>
          <w:sz w:val="24"/>
          <w:szCs w:val="24"/>
          <w:highlight w:val="none"/>
        </w:rPr>
        <w:t>24.1</w:t>
      </w:r>
      <w:r>
        <w:rPr>
          <w:rFonts w:hint="eastAsia" w:ascii="宋体" w:hAnsi="宋体" w:cs="宋体"/>
          <w:sz w:val="24"/>
          <w:szCs w:val="24"/>
          <w:highlight w:val="none"/>
        </w:rPr>
        <w:t>条规定的开标日起，并在“投标人须知前附表”中所述时期内保持有效。投标有效期不足的投标将被视为非响应性投标而作无效投标处理。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18.2 </w:t>
      </w:r>
      <w:r>
        <w:rPr>
          <w:rFonts w:hint="eastAsia" w:ascii="宋体" w:hAnsi="宋体" w:cs="宋体"/>
          <w:sz w:val="24"/>
          <w:szCs w:val="24"/>
          <w:highlight w:val="none"/>
        </w:rPr>
        <w:t>特殊情况下，在原投标有效期截止之前，采购人可要求合格投标人同意延长投标有效期。这种要求与答复均应以书面形式提交。合格投标人可拒绝采购代理机构的这种要求，其投标保证金将予以退还。接受延长投标有效期的合格投标人将不会被要求和允许修正其投标，而只会被要求相应地延长其投标保证金的有效期。在这种情况下，本须知第</w:t>
      </w:r>
      <w:r>
        <w:rPr>
          <w:rFonts w:ascii="宋体" w:hAnsi="宋体" w:cs="宋体"/>
          <w:sz w:val="24"/>
          <w:szCs w:val="24"/>
          <w:highlight w:val="none"/>
        </w:rPr>
        <w:t>17</w:t>
      </w:r>
      <w:r>
        <w:rPr>
          <w:rFonts w:hint="eastAsia" w:ascii="宋体" w:hAnsi="宋体" w:cs="宋体"/>
          <w:sz w:val="24"/>
          <w:szCs w:val="24"/>
          <w:highlight w:val="none"/>
        </w:rPr>
        <w:t>条有关投标保证金的退还和不予退还的规定将在延长了的有效期内继续有效。</w:t>
      </w:r>
    </w:p>
    <w:p>
      <w:pPr>
        <w:spacing w:line="360" w:lineRule="auto"/>
        <w:ind w:firstLine="482" w:firstLineChars="200"/>
        <w:rPr>
          <w:rFonts w:hint="eastAsia" w:ascii="宋体" w:eastAsia="宋体" w:cs="宋体"/>
          <w:b/>
          <w:sz w:val="24"/>
          <w:szCs w:val="24"/>
          <w:highlight w:val="none"/>
          <w:lang w:eastAsia="zh-CN"/>
        </w:rPr>
      </w:pPr>
      <w:r>
        <w:rPr>
          <w:rFonts w:ascii="宋体" w:hAnsi="宋体" w:cs="宋体"/>
          <w:b/>
          <w:sz w:val="24"/>
          <w:szCs w:val="24"/>
          <w:highlight w:val="none"/>
        </w:rPr>
        <w:t>19.</w:t>
      </w:r>
      <w:r>
        <w:rPr>
          <w:rFonts w:hint="eastAsia" w:ascii="宋体" w:hAnsi="宋体" w:cs="宋体"/>
          <w:b/>
          <w:sz w:val="24"/>
          <w:szCs w:val="24"/>
          <w:highlight w:val="none"/>
        </w:rPr>
        <w:t>投标文件的制作和签署</w:t>
      </w:r>
    </w:p>
    <w:p>
      <w:pPr>
        <w:spacing w:line="360" w:lineRule="auto"/>
        <w:ind w:firstLine="480" w:firstLineChars="200"/>
        <w:rPr>
          <w:rFonts w:ascii="宋体" w:cs="宋体"/>
          <w:sz w:val="24"/>
          <w:szCs w:val="24"/>
          <w:highlight w:val="none"/>
        </w:rPr>
      </w:pPr>
      <w:bookmarkStart w:id="25" w:name="_Toc493422651"/>
      <w:bookmarkStart w:id="26" w:name="_Toc2511972"/>
      <w:bookmarkStart w:id="27" w:name="_Toc322446892"/>
      <w:bookmarkStart w:id="28" w:name="_Toc2355231"/>
      <w:bookmarkStart w:id="29" w:name="_Toc14776839"/>
      <w:r>
        <w:rPr>
          <w:rFonts w:ascii="宋体" w:hAnsi="宋体" w:cs="宋体"/>
          <w:sz w:val="24"/>
          <w:szCs w:val="24"/>
          <w:highlight w:val="none"/>
        </w:rPr>
        <w:t xml:space="preserve">19.1 </w:t>
      </w:r>
      <w:r>
        <w:rPr>
          <w:rFonts w:hint="eastAsia" w:ascii="宋体" w:hAnsi="宋体" w:cs="宋体"/>
          <w:sz w:val="24"/>
          <w:szCs w:val="24"/>
          <w:highlight w:val="none"/>
        </w:rPr>
        <w:t>投标人应准备一份投标文件正本，</w:t>
      </w:r>
      <w:r>
        <w:rPr>
          <w:rFonts w:hint="eastAsia" w:ascii="宋体" w:hAnsi="宋体" w:cs="宋体"/>
          <w:sz w:val="24"/>
          <w:szCs w:val="24"/>
          <w:highlight w:val="none"/>
          <w:lang w:val="en-US" w:eastAsia="zh-CN"/>
        </w:rPr>
        <w:t>并按要求上传至政采云平台（https://www.zcygov.cn/）</w:t>
      </w:r>
      <w:r>
        <w:rPr>
          <w:rFonts w:hint="eastAsia" w:ascii="宋体" w:hAnsi="宋体" w:cs="宋体"/>
          <w:sz w:val="24"/>
          <w:szCs w:val="24"/>
          <w:highlight w:val="none"/>
        </w:rPr>
        <w:t>。</w:t>
      </w:r>
    </w:p>
    <w:p>
      <w:pPr>
        <w:spacing w:line="360" w:lineRule="auto"/>
        <w:ind w:firstLine="480" w:firstLineChars="200"/>
        <w:rPr>
          <w:rFonts w:hint="eastAsia" w:ascii="宋体" w:eastAsia="宋体" w:cs="宋体"/>
          <w:b/>
          <w:bCs/>
          <w:sz w:val="24"/>
          <w:szCs w:val="24"/>
          <w:highlight w:val="none"/>
          <w:lang w:eastAsia="zh-CN"/>
        </w:rPr>
      </w:pPr>
      <w:r>
        <w:rPr>
          <w:rFonts w:ascii="宋体" w:hAnsi="宋体" w:cs="宋体"/>
          <w:sz w:val="24"/>
          <w:szCs w:val="24"/>
          <w:highlight w:val="none"/>
        </w:rPr>
        <w:t xml:space="preserve">19.2 </w:t>
      </w:r>
      <w:r>
        <w:rPr>
          <w:rFonts w:hint="eastAsia" w:ascii="宋体" w:hAnsi="宋体" w:cs="宋体"/>
          <w:sz w:val="24"/>
          <w:szCs w:val="24"/>
          <w:highlight w:val="none"/>
        </w:rPr>
        <w:t>投标文件的正本建议双面打印，并由投标人法定代表人或经正式授权的代表在投标文件上签字或盖章并加盖公司公章。投标文件的副本可采用正本签字盖章后的复印件（双面复印）加盖公司公章。</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仅针对中标人</w:t>
      </w:r>
      <w:r>
        <w:rPr>
          <w:rFonts w:hint="eastAsia" w:ascii="宋体" w:hAnsi="宋体" w:cs="宋体"/>
          <w:b/>
          <w:bCs/>
          <w:sz w:val="24"/>
          <w:szCs w:val="24"/>
          <w:highlight w:val="none"/>
          <w:lang w:eastAsia="zh-CN"/>
        </w:rPr>
        <w:t>）</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19.3 </w:t>
      </w:r>
      <w:r>
        <w:rPr>
          <w:rFonts w:hint="eastAsia" w:ascii="宋体" w:hAnsi="宋体" w:cs="宋体"/>
          <w:sz w:val="24"/>
          <w:szCs w:val="24"/>
          <w:highlight w:val="none"/>
        </w:rPr>
        <w:t>任何行间插字、涂改或增删，必须由投标文件签字人姓或首字母在旁边签字才有效。</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19.4 </w:t>
      </w:r>
      <w:r>
        <w:rPr>
          <w:rFonts w:hint="eastAsia" w:ascii="宋体" w:hAnsi="宋体" w:cs="宋体"/>
          <w:sz w:val="24"/>
          <w:szCs w:val="24"/>
          <w:highlight w:val="none"/>
        </w:rPr>
        <w:t>投标文件应包含资格性证明材料部分、商务部分和技术部分。投标文件正本需要经正式授权的授权代表签字并加盖公章</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电子章</w:t>
      </w:r>
      <w:r>
        <w:rPr>
          <w:rFonts w:hint="eastAsia" w:ascii="宋体" w:hAnsi="宋体" w:cs="宋体"/>
          <w:sz w:val="24"/>
          <w:szCs w:val="24"/>
          <w:highlight w:val="none"/>
          <w:lang w:eastAsia="zh-CN"/>
        </w:rPr>
        <w:t>）</w:t>
      </w:r>
      <w:r>
        <w:rPr>
          <w:rFonts w:hint="eastAsia" w:ascii="宋体" w:hAnsi="宋体" w:cs="宋体"/>
          <w:sz w:val="24"/>
          <w:szCs w:val="24"/>
          <w:highlight w:val="none"/>
        </w:rPr>
        <w:t>。</w:t>
      </w:r>
    </w:p>
    <w:p>
      <w:pPr>
        <w:spacing w:line="360" w:lineRule="auto"/>
        <w:ind w:firstLine="480" w:firstLineChars="200"/>
        <w:rPr>
          <w:rFonts w:hint="default" w:ascii="宋体" w:hAnsi="宋体" w:eastAsia="宋体" w:cs="宋体"/>
          <w:sz w:val="24"/>
          <w:szCs w:val="24"/>
          <w:highlight w:val="none"/>
          <w:lang w:val="en-US" w:eastAsia="zh-CN"/>
        </w:rPr>
      </w:pPr>
      <w:r>
        <w:rPr>
          <w:rFonts w:ascii="宋体" w:hAnsi="宋体" w:cs="宋体"/>
          <w:sz w:val="24"/>
          <w:szCs w:val="24"/>
          <w:highlight w:val="none"/>
        </w:rPr>
        <w:t>19.5</w:t>
      </w:r>
      <w:r>
        <w:rPr>
          <w:rFonts w:hint="eastAsia" w:ascii="宋体" w:hAnsi="宋体" w:cs="宋体"/>
          <w:sz w:val="24"/>
          <w:highlight w:val="none"/>
        </w:rPr>
        <w:t>投标文件封面应标注： “投标文件”、项目名称、招标编号</w:t>
      </w:r>
      <w:r>
        <w:rPr>
          <w:rFonts w:ascii="宋体" w:hAnsi="宋体" w:cs="宋体"/>
          <w:sz w:val="24"/>
          <w:highlight w:val="none"/>
        </w:rPr>
        <w:t>[</w:t>
      </w:r>
      <w:r>
        <w:rPr>
          <w:rFonts w:hint="eastAsia" w:ascii="宋体" w:hAnsi="宋体" w:cs="宋体"/>
          <w:sz w:val="24"/>
          <w:highlight w:val="none"/>
        </w:rPr>
        <w:t>包号</w:t>
      </w:r>
      <w:r>
        <w:rPr>
          <w:rFonts w:ascii="宋体" w:hAnsi="宋体" w:cs="宋体"/>
          <w:sz w:val="24"/>
          <w:highlight w:val="none"/>
        </w:rPr>
        <w:t>]</w:t>
      </w:r>
      <w:r>
        <w:rPr>
          <w:rFonts w:hint="eastAsia" w:ascii="宋体" w:hAnsi="宋体" w:cs="宋体"/>
          <w:sz w:val="24"/>
          <w:highlight w:val="none"/>
        </w:rPr>
        <w:t>、投标人名称并加盖投标人公章</w:t>
      </w:r>
      <w:r>
        <w:rPr>
          <w:rFonts w:hint="eastAsia" w:ascii="宋体" w:hAnsi="宋体" w:cs="宋体"/>
          <w:sz w:val="24"/>
          <w:highlight w:val="none"/>
          <w:lang w:eastAsia="zh-CN"/>
        </w:rPr>
        <w:t>（</w:t>
      </w:r>
      <w:r>
        <w:rPr>
          <w:rFonts w:hint="eastAsia" w:ascii="宋体" w:hAnsi="宋体" w:cs="宋体"/>
          <w:sz w:val="24"/>
          <w:highlight w:val="none"/>
          <w:lang w:val="en-US" w:eastAsia="zh-CN"/>
        </w:rPr>
        <w:t>电子章</w:t>
      </w:r>
      <w:r>
        <w:rPr>
          <w:rFonts w:hint="eastAsia" w:ascii="宋体" w:hAnsi="宋体" w:cs="宋体"/>
          <w:sz w:val="24"/>
          <w:highlight w:val="none"/>
          <w:lang w:eastAsia="zh-CN"/>
        </w:rPr>
        <w:t>）</w:t>
      </w:r>
      <w:r>
        <w:rPr>
          <w:rFonts w:hint="eastAsia" w:ascii="宋体" w:hAnsi="宋体" w:cs="宋体"/>
          <w:sz w:val="24"/>
          <w:highlight w:val="none"/>
        </w:rPr>
        <w:t>、正本或副本。</w:t>
      </w:r>
    </w:p>
    <w:p>
      <w:pPr>
        <w:spacing w:line="360" w:lineRule="auto"/>
        <w:rPr>
          <w:rFonts w:ascii="宋体" w:cs="宋体"/>
          <w:b/>
          <w:sz w:val="24"/>
          <w:szCs w:val="24"/>
          <w:highlight w:val="none"/>
        </w:rPr>
      </w:pPr>
      <w:r>
        <w:rPr>
          <w:rFonts w:hint="eastAsia" w:ascii="宋体" w:hAnsi="宋体" w:cs="宋体"/>
          <w:b/>
          <w:sz w:val="24"/>
          <w:szCs w:val="24"/>
          <w:highlight w:val="none"/>
        </w:rPr>
        <w:t>四、投标文件的密封和递交</w:t>
      </w:r>
      <w:bookmarkEnd w:id="25"/>
      <w:bookmarkEnd w:id="26"/>
      <w:bookmarkEnd w:id="27"/>
      <w:bookmarkEnd w:id="28"/>
      <w:bookmarkEnd w:id="29"/>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20.</w:t>
      </w:r>
      <w:r>
        <w:rPr>
          <w:rFonts w:hint="eastAsia" w:ascii="宋体" w:hAnsi="宋体" w:cs="宋体"/>
          <w:b/>
          <w:sz w:val="24"/>
          <w:szCs w:val="24"/>
          <w:highlight w:val="none"/>
        </w:rPr>
        <w:t>投标文件的密封和标记（</w:t>
      </w:r>
      <w:r>
        <w:rPr>
          <w:rFonts w:hint="eastAsia" w:ascii="宋体" w:hAnsi="宋体" w:cs="宋体"/>
          <w:b/>
          <w:sz w:val="24"/>
          <w:szCs w:val="24"/>
          <w:highlight w:val="none"/>
          <w:lang w:val="en-US" w:eastAsia="zh-CN"/>
        </w:rPr>
        <w:t>采用</w:t>
      </w:r>
      <w:r>
        <w:rPr>
          <w:rFonts w:hint="eastAsia" w:ascii="宋体" w:hAnsi="宋体" w:cs="宋体"/>
          <w:b/>
          <w:sz w:val="24"/>
          <w:szCs w:val="24"/>
          <w:highlight w:val="none"/>
        </w:rPr>
        <w:t>电子开评标</w:t>
      </w:r>
      <w:r>
        <w:rPr>
          <w:rFonts w:hint="eastAsia" w:ascii="宋体" w:hAnsi="宋体" w:cs="宋体"/>
          <w:b/>
          <w:sz w:val="24"/>
          <w:szCs w:val="24"/>
          <w:highlight w:val="none"/>
          <w:lang w:val="en-US" w:eastAsia="zh-CN"/>
        </w:rPr>
        <w:t>的，在确定中标单位前，所有投标人的投标文件均</w:t>
      </w:r>
      <w:r>
        <w:rPr>
          <w:rFonts w:hint="eastAsia" w:ascii="宋体" w:hAnsi="宋体" w:cs="宋体"/>
          <w:b/>
          <w:sz w:val="24"/>
          <w:szCs w:val="24"/>
          <w:highlight w:val="none"/>
        </w:rPr>
        <w:t>无需</w:t>
      </w:r>
      <w:r>
        <w:rPr>
          <w:rFonts w:hint="eastAsia" w:ascii="宋体" w:hAnsi="宋体" w:cs="宋体"/>
          <w:b/>
          <w:sz w:val="24"/>
          <w:szCs w:val="24"/>
          <w:highlight w:val="none"/>
          <w:lang w:val="en-US" w:eastAsia="zh-CN"/>
        </w:rPr>
        <w:t>打印、胶装、</w:t>
      </w:r>
      <w:r>
        <w:rPr>
          <w:rFonts w:hint="eastAsia" w:ascii="宋体" w:hAnsi="宋体" w:cs="宋体"/>
          <w:b/>
          <w:sz w:val="24"/>
          <w:szCs w:val="24"/>
          <w:highlight w:val="none"/>
        </w:rPr>
        <w:t>密封</w:t>
      </w: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任何纸质投标文件的要求仅针对中标单位</w:t>
      </w:r>
      <w:r>
        <w:rPr>
          <w:rFonts w:hint="eastAsia" w:ascii="宋体" w:hAnsi="宋体" w:cs="宋体"/>
          <w:b/>
          <w:sz w:val="24"/>
          <w:szCs w:val="24"/>
          <w:highlight w:val="none"/>
        </w:rPr>
        <w:t>）</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20.1</w:t>
      </w:r>
      <w:r>
        <w:rPr>
          <w:rFonts w:hint="eastAsia" w:ascii="宋体" w:hAnsi="宋体" w:cs="宋体"/>
          <w:sz w:val="24"/>
          <w:szCs w:val="24"/>
          <w:highlight w:val="none"/>
        </w:rPr>
        <w:t>投标人应完整地按招标文件要求填写投标文件，“投标文件</w:t>
      </w:r>
      <w:r>
        <w:rPr>
          <w:rFonts w:ascii="宋体" w:cs="宋体"/>
          <w:sz w:val="24"/>
          <w:szCs w:val="24"/>
          <w:highlight w:val="none"/>
        </w:rPr>
        <w:t>-</w:t>
      </w:r>
      <w:r>
        <w:rPr>
          <w:rFonts w:hint="eastAsia" w:ascii="宋体" w:hAnsi="宋体" w:cs="宋体"/>
          <w:sz w:val="24"/>
          <w:szCs w:val="24"/>
          <w:highlight w:val="none"/>
        </w:rPr>
        <w:t>资格证明材料”和“投标文件”所有部分胶装成一册，所有文件均须左侧胶装，胶装须牢固不易拆散和换页，不得采用活页方式装订。</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20.</w:t>
      </w:r>
      <w:r>
        <w:rPr>
          <w:rFonts w:hint="eastAsia" w:ascii="宋体" w:hAnsi="宋体" w:cs="宋体"/>
          <w:sz w:val="24"/>
          <w:szCs w:val="24"/>
          <w:highlight w:val="none"/>
          <w:lang w:val="en-US" w:eastAsia="zh-CN"/>
        </w:rPr>
        <w:t>2</w:t>
      </w:r>
      <w:r>
        <w:rPr>
          <w:rFonts w:hint="eastAsia" w:ascii="宋体" w:hAnsi="宋体" w:cs="宋体"/>
          <w:sz w:val="24"/>
          <w:szCs w:val="24"/>
          <w:highlight w:val="none"/>
        </w:rPr>
        <w:t>采购人、采购代理机构对误投或过早启封概不负责。</w:t>
      </w:r>
      <w:r>
        <w:rPr>
          <w:rFonts w:hint="eastAsia" w:ascii="宋体" w:hAnsi="宋体" w:cs="宋体"/>
          <w:b/>
          <w:sz w:val="24"/>
          <w:szCs w:val="24"/>
          <w:highlight w:val="none"/>
          <w:u w:val="single"/>
        </w:rPr>
        <w:t>逾期送达或者未按照招标文件要求密封的投标文件，采购人、采购代理机构应当拒收。</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21.</w:t>
      </w:r>
      <w:r>
        <w:rPr>
          <w:rFonts w:hint="eastAsia" w:ascii="宋体" w:hAnsi="宋体" w:cs="宋体"/>
          <w:b/>
          <w:sz w:val="24"/>
          <w:szCs w:val="24"/>
          <w:highlight w:val="none"/>
        </w:rPr>
        <w:t>投标截止时间</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21.1 </w:t>
      </w:r>
      <w:r>
        <w:rPr>
          <w:rFonts w:hint="eastAsia" w:ascii="宋体" w:hAnsi="宋体" w:cs="宋体"/>
          <w:sz w:val="24"/>
          <w:szCs w:val="24"/>
          <w:highlight w:val="none"/>
        </w:rPr>
        <w:t>投标人应当在投标截止时间（详见“投标人须知前附表”）前将投标文件密封送达至指定的投标文件递交地点，递交地点应是“投标人须知前附表”中指明的地址。</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21.2 </w:t>
      </w:r>
      <w:r>
        <w:rPr>
          <w:rFonts w:hint="eastAsia" w:ascii="宋体" w:hAnsi="宋体" w:cs="宋体"/>
          <w:sz w:val="24"/>
          <w:szCs w:val="24"/>
          <w:highlight w:val="none"/>
        </w:rPr>
        <w:t>采购代理机构可以按本须知第</w:t>
      </w:r>
      <w:r>
        <w:rPr>
          <w:rFonts w:ascii="宋体" w:hAnsi="宋体" w:cs="宋体"/>
          <w:sz w:val="24"/>
          <w:szCs w:val="24"/>
          <w:highlight w:val="none"/>
        </w:rPr>
        <w:t>8</w:t>
      </w:r>
      <w:r>
        <w:rPr>
          <w:rFonts w:hint="eastAsia" w:ascii="宋体" w:hAnsi="宋体" w:cs="宋体"/>
          <w:sz w:val="24"/>
          <w:szCs w:val="24"/>
          <w:highlight w:val="none"/>
        </w:rPr>
        <w:t>条规定，通知修改招标文件适当延长投标截止时间。在此情况下，采购代理机构、采购人和投标人受投标截止时间制约的所有权利和义务均应延长至新的截止期。</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22.</w:t>
      </w:r>
      <w:r>
        <w:rPr>
          <w:rFonts w:hint="eastAsia" w:ascii="宋体" w:hAnsi="宋体" w:cs="宋体"/>
          <w:b/>
          <w:sz w:val="24"/>
          <w:szCs w:val="24"/>
          <w:highlight w:val="none"/>
        </w:rPr>
        <w:t>迟交的投标文件</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 xml:space="preserve">22.1 </w:t>
      </w:r>
      <w:r>
        <w:rPr>
          <w:rFonts w:hint="eastAsia" w:ascii="宋体" w:hAnsi="宋体" w:cs="宋体"/>
          <w:b/>
          <w:sz w:val="24"/>
          <w:szCs w:val="24"/>
          <w:highlight w:val="none"/>
        </w:rPr>
        <w:t>采购人、采购代理机构将拒绝接收在本须知第</w:t>
      </w:r>
      <w:r>
        <w:rPr>
          <w:rFonts w:ascii="宋体" w:hAnsi="宋体" w:cs="宋体"/>
          <w:b/>
          <w:sz w:val="24"/>
          <w:szCs w:val="24"/>
          <w:highlight w:val="none"/>
        </w:rPr>
        <w:t>21</w:t>
      </w:r>
      <w:r>
        <w:rPr>
          <w:rFonts w:hint="eastAsia" w:ascii="宋体" w:hAnsi="宋体" w:cs="宋体"/>
          <w:b/>
          <w:sz w:val="24"/>
          <w:szCs w:val="24"/>
          <w:highlight w:val="none"/>
        </w:rPr>
        <w:t>条规定的截止期后送达的任何投标文件。</w:t>
      </w:r>
      <w:r>
        <w:rPr>
          <w:rFonts w:ascii="宋体" w:hAnsi="宋体" w:cs="宋体"/>
          <w:b/>
          <w:sz w:val="24"/>
          <w:szCs w:val="24"/>
          <w:highlight w:val="none"/>
        </w:rPr>
        <w:t xml:space="preserve"> </w:t>
      </w:r>
    </w:p>
    <w:p>
      <w:pPr>
        <w:spacing w:line="360" w:lineRule="auto"/>
        <w:ind w:firstLine="482" w:firstLineChars="200"/>
        <w:rPr>
          <w:rFonts w:ascii="宋体" w:cs="宋体"/>
          <w:b/>
          <w:sz w:val="24"/>
          <w:szCs w:val="24"/>
          <w:highlight w:val="none"/>
        </w:rPr>
      </w:pPr>
      <w:bookmarkStart w:id="30" w:name="_Toc14776840"/>
      <w:bookmarkStart w:id="31" w:name="_Toc322446893"/>
      <w:bookmarkStart w:id="32" w:name="_Toc2511973"/>
      <w:bookmarkStart w:id="33" w:name="_Toc2355232"/>
      <w:bookmarkStart w:id="34" w:name="_Toc493422652"/>
      <w:r>
        <w:rPr>
          <w:rFonts w:ascii="宋体" w:hAnsi="宋体" w:cs="宋体"/>
          <w:b/>
          <w:sz w:val="24"/>
          <w:szCs w:val="24"/>
          <w:highlight w:val="none"/>
        </w:rPr>
        <w:t>23.</w:t>
      </w:r>
      <w:r>
        <w:rPr>
          <w:rFonts w:hint="eastAsia" w:ascii="宋体" w:hAnsi="宋体" w:cs="宋体"/>
          <w:b/>
          <w:sz w:val="24"/>
          <w:szCs w:val="24"/>
          <w:highlight w:val="none"/>
        </w:rPr>
        <w:t>投标文件的修改与撤回</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23.1 </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应通过电子</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文件制作工具严格按</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文件要求制作</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文件，在</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截止时间前完成上传经过数字证书电子签章并加密的</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文件（加密和解密须用同一把数字证书）。</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在响应截止时间前，可以对其所递交的</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文件进行修改并重新上传，但以</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截止时间前最后一次上传的</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文件为有效</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23.2 </w:t>
      </w:r>
      <w:r>
        <w:rPr>
          <w:rFonts w:hint="eastAsia" w:ascii="宋体" w:hAnsi="宋体" w:cs="宋体"/>
          <w:sz w:val="24"/>
          <w:szCs w:val="24"/>
          <w:highlight w:val="none"/>
        </w:rPr>
        <w:t>投标人的修改或撤回通知应按本须知第</w:t>
      </w:r>
      <w:r>
        <w:rPr>
          <w:rFonts w:ascii="宋体" w:hAnsi="宋体" w:cs="宋体"/>
          <w:sz w:val="24"/>
          <w:szCs w:val="24"/>
          <w:highlight w:val="none"/>
        </w:rPr>
        <w:t>20</w:t>
      </w:r>
      <w:r>
        <w:rPr>
          <w:rFonts w:hint="eastAsia" w:ascii="宋体" w:hAnsi="宋体" w:cs="宋体"/>
          <w:sz w:val="24"/>
          <w:szCs w:val="24"/>
          <w:highlight w:val="none"/>
        </w:rPr>
        <w:t>条规定编制、标记和递交。</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23.3 </w:t>
      </w:r>
      <w:r>
        <w:rPr>
          <w:rFonts w:hint="eastAsia" w:ascii="宋体" w:hAnsi="宋体" w:cs="宋体"/>
          <w:sz w:val="24"/>
          <w:szCs w:val="24"/>
          <w:highlight w:val="none"/>
        </w:rPr>
        <w:t>在投标截止时间之后，投标人不得对其投标做任何修改。</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23.4 </w:t>
      </w:r>
      <w:r>
        <w:rPr>
          <w:rFonts w:hint="eastAsia" w:ascii="宋体" w:hAnsi="宋体" w:cs="宋体"/>
          <w:sz w:val="24"/>
          <w:szCs w:val="24"/>
          <w:highlight w:val="none"/>
        </w:rPr>
        <w:t>从投标截止时间至投标人在投标书格式中确定的投标有效期期满这段时间内，投标人不得撤回其投标，否则其投标保证金将按照本须知第</w:t>
      </w:r>
      <w:r>
        <w:rPr>
          <w:rFonts w:ascii="宋体" w:hAnsi="宋体" w:cs="宋体"/>
          <w:sz w:val="24"/>
          <w:szCs w:val="24"/>
          <w:highlight w:val="none"/>
        </w:rPr>
        <w:t>17.7</w:t>
      </w:r>
      <w:r>
        <w:rPr>
          <w:rFonts w:hint="eastAsia" w:ascii="宋体" w:hAnsi="宋体" w:cs="宋体"/>
          <w:sz w:val="24"/>
          <w:szCs w:val="24"/>
          <w:highlight w:val="none"/>
        </w:rPr>
        <w:t>条的规定不予退还。</w:t>
      </w:r>
    </w:p>
    <w:p>
      <w:pPr>
        <w:spacing w:line="360" w:lineRule="auto"/>
        <w:rPr>
          <w:rFonts w:ascii="宋体" w:cs="宋体"/>
          <w:b/>
          <w:sz w:val="24"/>
          <w:szCs w:val="24"/>
          <w:highlight w:val="none"/>
        </w:rPr>
      </w:pPr>
      <w:r>
        <w:rPr>
          <w:rFonts w:hint="eastAsia" w:ascii="宋体" w:hAnsi="宋体" w:cs="宋体"/>
          <w:b/>
          <w:sz w:val="24"/>
          <w:szCs w:val="24"/>
          <w:highlight w:val="none"/>
        </w:rPr>
        <w:t>五、开标与评标</w:t>
      </w:r>
      <w:bookmarkEnd w:id="30"/>
      <w:bookmarkEnd w:id="31"/>
      <w:bookmarkEnd w:id="32"/>
      <w:bookmarkEnd w:id="33"/>
      <w:bookmarkEnd w:id="34"/>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24.</w:t>
      </w:r>
      <w:r>
        <w:rPr>
          <w:rFonts w:hint="eastAsia" w:ascii="宋体" w:hAnsi="宋体" w:cs="宋体"/>
          <w:b/>
          <w:sz w:val="24"/>
          <w:szCs w:val="24"/>
          <w:highlight w:val="none"/>
        </w:rPr>
        <w:t>开标</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24.1 </w:t>
      </w:r>
      <w:r>
        <w:rPr>
          <w:rFonts w:hint="eastAsia" w:ascii="宋体" w:hAnsi="宋体"/>
          <w:kern w:val="0"/>
          <w:sz w:val="24"/>
          <w:szCs w:val="24"/>
          <w:highlight w:val="none"/>
        </w:rPr>
        <w:t>采购单位</w:t>
      </w:r>
      <w:r>
        <w:rPr>
          <w:rFonts w:hint="eastAsia" w:ascii="宋体" w:hAnsi="宋体"/>
          <w:kern w:val="0"/>
          <w:sz w:val="24"/>
          <w:szCs w:val="21"/>
          <w:highlight w:val="none"/>
        </w:rPr>
        <w:t>应当按采购邀请的规定，在响应文件递交截止时间的同一时间和预先确定的</w:t>
      </w:r>
      <w:r>
        <w:rPr>
          <w:rFonts w:hint="eastAsia" w:ascii="宋体" w:hAnsi="宋体"/>
          <w:kern w:val="0"/>
          <w:sz w:val="24"/>
          <w:szCs w:val="21"/>
          <w:highlight w:val="none"/>
          <w:lang w:val="en-US" w:eastAsia="zh-CN"/>
        </w:rPr>
        <w:t>平台网址</w:t>
      </w:r>
      <w:r>
        <w:rPr>
          <w:rFonts w:hint="eastAsia" w:ascii="宋体" w:hAnsi="宋体"/>
          <w:kern w:val="0"/>
          <w:sz w:val="24"/>
          <w:szCs w:val="21"/>
          <w:highlight w:val="none"/>
        </w:rPr>
        <w:t>组织</w:t>
      </w:r>
      <w:r>
        <w:rPr>
          <w:rFonts w:hint="eastAsia" w:ascii="宋体" w:hAnsi="宋体"/>
          <w:kern w:val="0"/>
          <w:sz w:val="24"/>
          <w:szCs w:val="21"/>
          <w:highlight w:val="none"/>
          <w:lang w:val="en-US" w:eastAsia="zh-CN"/>
        </w:rPr>
        <w:t>采购</w:t>
      </w:r>
      <w:r>
        <w:rPr>
          <w:rFonts w:hint="eastAsia" w:ascii="宋体" w:hAnsi="宋体"/>
          <w:kern w:val="0"/>
          <w:sz w:val="24"/>
          <w:szCs w:val="21"/>
          <w:highlight w:val="none"/>
        </w:rPr>
        <w:t>活动，并邀请所有</w:t>
      </w:r>
      <w:r>
        <w:rPr>
          <w:rFonts w:hint="eastAsia" w:ascii="宋体" w:hAnsi="宋体"/>
          <w:kern w:val="0"/>
          <w:sz w:val="24"/>
          <w:szCs w:val="21"/>
          <w:highlight w:val="none"/>
          <w:lang w:val="en-US" w:eastAsia="zh-CN"/>
        </w:rPr>
        <w:t>投标人</w:t>
      </w:r>
      <w:r>
        <w:rPr>
          <w:rFonts w:hint="eastAsia" w:ascii="宋体" w:hAnsi="宋体"/>
          <w:kern w:val="0"/>
          <w:sz w:val="24"/>
          <w:szCs w:val="21"/>
          <w:highlight w:val="none"/>
        </w:rPr>
        <w:t>代表参加。</w:t>
      </w:r>
      <w:r>
        <w:rPr>
          <w:rFonts w:hint="eastAsia" w:ascii="宋体" w:hAnsi="宋体"/>
          <w:kern w:val="0"/>
          <w:sz w:val="24"/>
          <w:szCs w:val="21"/>
          <w:highlight w:val="none"/>
          <w:lang w:val="en-US" w:eastAsia="zh-CN"/>
        </w:rPr>
        <w:t>投标人</w:t>
      </w:r>
      <w:r>
        <w:rPr>
          <w:rFonts w:hint="eastAsia" w:ascii="宋体" w:hAnsi="宋体"/>
          <w:kern w:val="0"/>
          <w:sz w:val="24"/>
          <w:szCs w:val="21"/>
          <w:highlight w:val="none"/>
        </w:rPr>
        <w:t>代表应签名报到以证明其出席</w:t>
      </w:r>
      <w:r>
        <w:rPr>
          <w:rFonts w:hint="eastAsia" w:ascii="宋体" w:hAnsi="宋体"/>
          <w:kern w:val="0"/>
          <w:sz w:val="24"/>
          <w:szCs w:val="21"/>
          <w:highlight w:val="none"/>
          <w:lang w:eastAsia="zh-CN"/>
        </w:rPr>
        <w:t>，</w:t>
      </w:r>
      <w:r>
        <w:rPr>
          <w:rFonts w:hint="eastAsia" w:ascii="宋体" w:hAnsi="宋体"/>
          <w:kern w:val="0"/>
          <w:sz w:val="24"/>
          <w:szCs w:val="21"/>
          <w:highlight w:val="none"/>
          <w:lang w:val="en-US" w:eastAsia="zh-CN"/>
        </w:rPr>
        <w:t>并在开启环节全程保持在线</w:t>
      </w:r>
      <w:r>
        <w:rPr>
          <w:rFonts w:hint="eastAsia" w:ascii="宋体" w:hAnsi="宋体"/>
          <w:kern w:val="0"/>
          <w:sz w:val="24"/>
          <w:szCs w:val="21"/>
          <w:highlight w:val="none"/>
        </w:rPr>
        <w:t>。采购代理机构在线上开启</w:t>
      </w:r>
      <w:r>
        <w:rPr>
          <w:rFonts w:hint="eastAsia" w:ascii="宋体" w:hAnsi="宋体"/>
          <w:kern w:val="0"/>
          <w:sz w:val="24"/>
          <w:szCs w:val="21"/>
          <w:highlight w:val="none"/>
          <w:lang w:val="en-US" w:eastAsia="zh-CN"/>
        </w:rPr>
        <w:t>投标</w:t>
      </w:r>
      <w:r>
        <w:rPr>
          <w:rFonts w:hint="eastAsia" w:ascii="宋体" w:hAnsi="宋体"/>
          <w:kern w:val="0"/>
          <w:sz w:val="24"/>
          <w:szCs w:val="21"/>
          <w:highlight w:val="none"/>
        </w:rPr>
        <w:t>文件解密，后由各</w:t>
      </w:r>
      <w:r>
        <w:rPr>
          <w:rFonts w:hint="eastAsia" w:ascii="宋体" w:hAnsi="宋体"/>
          <w:kern w:val="0"/>
          <w:sz w:val="24"/>
          <w:szCs w:val="21"/>
          <w:highlight w:val="none"/>
          <w:lang w:val="en-US" w:eastAsia="zh-CN"/>
        </w:rPr>
        <w:t>投标人</w:t>
      </w:r>
      <w:r>
        <w:rPr>
          <w:rFonts w:hint="eastAsia" w:ascii="宋体" w:hAnsi="宋体"/>
          <w:kern w:val="0"/>
          <w:sz w:val="24"/>
          <w:szCs w:val="21"/>
          <w:highlight w:val="none"/>
        </w:rPr>
        <w:t>在规定时间内在线解密</w:t>
      </w:r>
      <w:r>
        <w:rPr>
          <w:rFonts w:hint="eastAsia" w:ascii="宋体" w:hAnsi="宋体"/>
          <w:kern w:val="0"/>
          <w:sz w:val="24"/>
          <w:szCs w:val="21"/>
          <w:highlight w:val="none"/>
          <w:lang w:val="en-US" w:eastAsia="zh-CN"/>
        </w:rPr>
        <w:t>其投标</w:t>
      </w:r>
      <w:r>
        <w:rPr>
          <w:rFonts w:hint="eastAsia" w:ascii="宋体" w:hAnsi="宋体"/>
          <w:kern w:val="0"/>
          <w:sz w:val="24"/>
          <w:szCs w:val="21"/>
          <w:highlight w:val="none"/>
        </w:rPr>
        <w:t>文件。未在规定时间内解密</w:t>
      </w:r>
      <w:r>
        <w:rPr>
          <w:rFonts w:hint="eastAsia" w:ascii="宋体" w:hAnsi="宋体"/>
          <w:kern w:val="0"/>
          <w:sz w:val="24"/>
          <w:szCs w:val="21"/>
          <w:highlight w:val="none"/>
          <w:lang w:val="en-US" w:eastAsia="zh-CN"/>
        </w:rPr>
        <w:t>投标</w:t>
      </w:r>
      <w:r>
        <w:rPr>
          <w:rFonts w:hint="eastAsia" w:ascii="宋体" w:hAnsi="宋体"/>
          <w:kern w:val="0"/>
          <w:sz w:val="24"/>
          <w:szCs w:val="21"/>
          <w:highlight w:val="none"/>
        </w:rPr>
        <w:t>文件的视为放弃</w:t>
      </w:r>
      <w:r>
        <w:rPr>
          <w:rFonts w:hint="eastAsia" w:ascii="宋体" w:hAnsi="宋体"/>
          <w:kern w:val="0"/>
          <w:sz w:val="24"/>
          <w:szCs w:val="21"/>
          <w:highlight w:val="none"/>
          <w:lang w:val="en-US" w:eastAsia="zh-CN"/>
        </w:rPr>
        <w:t>投标</w:t>
      </w:r>
      <w:r>
        <w:rPr>
          <w:rFonts w:hint="eastAsia" w:ascii="宋体" w:hAnsi="宋体"/>
          <w:kern w:val="0"/>
          <w:sz w:val="24"/>
          <w:szCs w:val="21"/>
          <w:highlight w:val="none"/>
        </w:rPr>
        <w:t>资格，</w:t>
      </w:r>
      <w:r>
        <w:rPr>
          <w:rFonts w:hint="eastAsia" w:ascii="宋体" w:hAnsi="宋体"/>
          <w:kern w:val="0"/>
          <w:sz w:val="24"/>
          <w:szCs w:val="21"/>
          <w:highlight w:val="none"/>
          <w:lang w:val="en-US" w:eastAsia="zh-CN"/>
        </w:rPr>
        <w:t>投标</w:t>
      </w:r>
      <w:r>
        <w:rPr>
          <w:rFonts w:hint="eastAsia" w:ascii="宋体" w:hAnsi="宋体"/>
          <w:kern w:val="0"/>
          <w:sz w:val="24"/>
          <w:szCs w:val="21"/>
          <w:highlight w:val="none"/>
        </w:rPr>
        <w:t>文件在线解密时长为30分钟，因</w:t>
      </w:r>
      <w:r>
        <w:rPr>
          <w:rFonts w:hint="eastAsia" w:ascii="宋体" w:hAnsi="宋体"/>
          <w:kern w:val="0"/>
          <w:sz w:val="24"/>
          <w:szCs w:val="21"/>
          <w:highlight w:val="none"/>
          <w:lang w:val="en-US" w:eastAsia="zh-CN"/>
        </w:rPr>
        <w:t>投标人</w:t>
      </w:r>
      <w:r>
        <w:rPr>
          <w:rFonts w:hint="eastAsia" w:ascii="宋体" w:hAnsi="宋体"/>
          <w:kern w:val="0"/>
          <w:sz w:val="24"/>
          <w:szCs w:val="21"/>
          <w:highlight w:val="none"/>
        </w:rPr>
        <w:t>自身原因未在规定时间内解密</w:t>
      </w:r>
      <w:r>
        <w:rPr>
          <w:rFonts w:hint="eastAsia" w:ascii="宋体" w:hAnsi="宋体"/>
          <w:kern w:val="0"/>
          <w:sz w:val="24"/>
          <w:szCs w:val="21"/>
          <w:highlight w:val="none"/>
          <w:lang w:val="en-US" w:eastAsia="zh-CN"/>
        </w:rPr>
        <w:t>投标</w:t>
      </w:r>
      <w:r>
        <w:rPr>
          <w:rFonts w:hint="eastAsia" w:ascii="宋体" w:hAnsi="宋体"/>
          <w:kern w:val="0"/>
          <w:sz w:val="24"/>
          <w:szCs w:val="21"/>
          <w:highlight w:val="none"/>
        </w:rPr>
        <w:t>文件导致废标的，由</w:t>
      </w:r>
      <w:r>
        <w:rPr>
          <w:rFonts w:hint="eastAsia" w:ascii="宋体" w:hAnsi="宋体"/>
          <w:kern w:val="0"/>
          <w:sz w:val="24"/>
          <w:szCs w:val="21"/>
          <w:highlight w:val="none"/>
          <w:lang w:val="en-US" w:eastAsia="zh-CN"/>
        </w:rPr>
        <w:t>投标人</w:t>
      </w:r>
      <w:r>
        <w:rPr>
          <w:rFonts w:hint="eastAsia" w:ascii="宋体" w:hAnsi="宋体"/>
          <w:kern w:val="0"/>
          <w:sz w:val="24"/>
          <w:szCs w:val="21"/>
          <w:highlight w:val="none"/>
        </w:rPr>
        <w:t>自行承担后果。除了按照本须知第</w:t>
      </w:r>
      <w:r>
        <w:rPr>
          <w:rFonts w:hint="eastAsia" w:ascii="宋体" w:hAnsi="宋体"/>
          <w:kern w:val="0"/>
          <w:sz w:val="24"/>
          <w:szCs w:val="21"/>
          <w:highlight w:val="none"/>
          <w:lang w:val="en-US" w:eastAsia="zh-CN"/>
        </w:rPr>
        <w:t>19</w:t>
      </w:r>
      <w:r>
        <w:rPr>
          <w:rFonts w:hint="eastAsia" w:ascii="宋体" w:hAnsi="宋体"/>
          <w:kern w:val="0"/>
          <w:sz w:val="24"/>
          <w:szCs w:val="21"/>
          <w:highlight w:val="none"/>
        </w:rPr>
        <w:t>条的规定原封退回迟到的</w:t>
      </w:r>
      <w:r>
        <w:rPr>
          <w:rFonts w:hint="eastAsia" w:ascii="宋体" w:hAnsi="宋体"/>
          <w:kern w:val="0"/>
          <w:sz w:val="24"/>
          <w:szCs w:val="21"/>
          <w:highlight w:val="none"/>
          <w:lang w:val="en-US" w:eastAsia="zh-CN"/>
        </w:rPr>
        <w:t>投标人</w:t>
      </w:r>
      <w:r>
        <w:rPr>
          <w:rFonts w:hint="eastAsia" w:ascii="宋体" w:hAnsi="宋体"/>
          <w:kern w:val="0"/>
          <w:sz w:val="24"/>
          <w:szCs w:val="21"/>
          <w:highlight w:val="none"/>
        </w:rPr>
        <w:t>之外，</w:t>
      </w:r>
      <w:r>
        <w:rPr>
          <w:rFonts w:hint="eastAsia" w:ascii="宋体" w:hAnsi="宋体"/>
          <w:kern w:val="0"/>
          <w:sz w:val="24"/>
          <w:szCs w:val="21"/>
          <w:highlight w:val="none"/>
          <w:lang w:val="en-US" w:eastAsia="zh-CN"/>
        </w:rPr>
        <w:t>开启</w:t>
      </w:r>
      <w:r>
        <w:rPr>
          <w:rFonts w:hint="eastAsia" w:ascii="宋体" w:hAnsi="宋体"/>
          <w:kern w:val="0"/>
          <w:sz w:val="24"/>
          <w:szCs w:val="21"/>
          <w:highlight w:val="none"/>
        </w:rPr>
        <w:t>时将不得拒绝任何投标。</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24.2 </w:t>
      </w:r>
      <w:r>
        <w:rPr>
          <w:rFonts w:hint="eastAsia" w:ascii="宋体" w:hAnsi="宋体" w:cs="宋体"/>
          <w:sz w:val="24"/>
          <w:szCs w:val="24"/>
          <w:highlight w:val="none"/>
        </w:rPr>
        <w:t>开标时，</w:t>
      </w:r>
      <w:r>
        <w:rPr>
          <w:rFonts w:hint="eastAsia" w:ascii="宋体" w:hAnsi="宋体"/>
          <w:b w:val="0"/>
          <w:bCs w:val="0"/>
          <w:sz w:val="24"/>
          <w:szCs w:val="24"/>
          <w:highlight w:val="none"/>
          <w:lang w:val="en-US" w:eastAsia="zh-CN"/>
        </w:rPr>
        <w:t>采购代理机构在线上开启投标文件解密，后由各投标人在规定时间内在线解密投标文件</w:t>
      </w:r>
      <w:r>
        <w:rPr>
          <w:rFonts w:hint="eastAsia" w:ascii="宋体" w:hAnsi="宋体" w:cs="宋体"/>
          <w:sz w:val="24"/>
          <w:szCs w:val="24"/>
          <w:highlight w:val="none"/>
        </w:rPr>
        <w:t>。</w:t>
      </w:r>
      <w:r>
        <w:rPr>
          <w:rFonts w:hint="eastAsia" w:ascii="宋体" w:hAnsi="宋体" w:cs="宋体"/>
          <w:sz w:val="24"/>
          <w:szCs w:val="24"/>
          <w:highlight w:val="none"/>
          <w:lang w:val="en-US" w:eastAsia="zh-CN"/>
        </w:rPr>
        <w:t>未在规定时间内解密投标文件的视为放弃投标资格，投标文件在线解密时长为30分钟，因投标人自身原因未在规定时间内解密投标文件导致废标的，由投标人自行承担后果。在所有投标人解密投标文件或投标文件解密时间截止后，由采购代理机构在线公布投标人的报价、合同履行期限等内容。</w:t>
      </w:r>
      <w:r>
        <w:rPr>
          <w:rFonts w:hint="eastAsia" w:ascii="宋体" w:hAnsi="宋体" w:cs="宋体"/>
          <w:sz w:val="24"/>
          <w:szCs w:val="24"/>
          <w:highlight w:val="none"/>
        </w:rPr>
        <w:t>除了按照本须知第</w:t>
      </w:r>
      <w:r>
        <w:rPr>
          <w:rFonts w:ascii="宋体" w:hAnsi="宋体" w:cs="宋体"/>
          <w:sz w:val="24"/>
          <w:szCs w:val="24"/>
          <w:highlight w:val="none"/>
        </w:rPr>
        <w:t>22</w:t>
      </w:r>
      <w:r>
        <w:rPr>
          <w:rFonts w:hint="eastAsia" w:ascii="宋体" w:hAnsi="宋体" w:cs="宋体"/>
          <w:sz w:val="24"/>
          <w:szCs w:val="24"/>
          <w:highlight w:val="none"/>
        </w:rPr>
        <w:t>条的规定原封退回迟到的投标之外，开标时将不得拒绝任何投标。</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24.3</w:t>
      </w:r>
      <w:r>
        <w:rPr>
          <w:rFonts w:hint="eastAsia" w:ascii="宋体" w:hAnsi="宋体" w:cs="宋体"/>
          <w:sz w:val="24"/>
          <w:szCs w:val="24"/>
          <w:highlight w:val="none"/>
        </w:rPr>
        <w:t>投标人授权代表对开标过程和开标记录有疑义，以及认为采购人、采购代理机构相关工作人员有需要回避的情形的，应当场提出询问或者回避申请。</w:t>
      </w:r>
      <w:r>
        <w:rPr>
          <w:rFonts w:hint="eastAsia" w:ascii="宋体" w:hAnsi="宋体" w:cs="宋体"/>
          <w:sz w:val="24"/>
          <w:szCs w:val="32"/>
          <w:highlight w:val="none"/>
        </w:rPr>
        <w:t>若投标人当场未提出疑义，则认为投标人已确认开标过程和开标记录。</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24.4 </w:t>
      </w:r>
      <w:r>
        <w:rPr>
          <w:rFonts w:hint="eastAsia" w:ascii="宋体" w:hAnsi="宋体" w:cs="宋体"/>
          <w:sz w:val="24"/>
          <w:szCs w:val="24"/>
          <w:highlight w:val="none"/>
        </w:rPr>
        <w:t>开标过程由采购代理机构将做开标记录，由参加开标的各投标人代表</w:t>
      </w:r>
      <w:r>
        <w:rPr>
          <w:rFonts w:hint="eastAsia" w:ascii="宋体" w:hAnsi="宋体" w:cs="宋体"/>
          <w:sz w:val="24"/>
          <w:szCs w:val="24"/>
          <w:highlight w:val="none"/>
          <w:lang w:val="en-US" w:eastAsia="zh-CN"/>
        </w:rPr>
        <w:t>在线</w:t>
      </w:r>
      <w:r>
        <w:rPr>
          <w:rFonts w:hint="eastAsia" w:ascii="宋体" w:hAnsi="宋体" w:cs="宋体"/>
          <w:sz w:val="24"/>
          <w:szCs w:val="24"/>
          <w:highlight w:val="none"/>
        </w:rPr>
        <w:t>签字确认。</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25.</w:t>
      </w:r>
      <w:r>
        <w:rPr>
          <w:rFonts w:hint="eastAsia" w:ascii="宋体" w:hAnsi="宋体" w:cs="宋体"/>
          <w:b/>
          <w:sz w:val="24"/>
          <w:szCs w:val="24"/>
          <w:highlight w:val="none"/>
        </w:rPr>
        <w:t>投标人的资格性审查</w:t>
      </w:r>
    </w:p>
    <w:p>
      <w:pPr>
        <w:spacing w:line="360" w:lineRule="auto"/>
        <w:ind w:firstLine="480" w:firstLineChars="200"/>
        <w:jc w:val="left"/>
        <w:rPr>
          <w:rFonts w:ascii="宋体" w:cs="宋体"/>
          <w:sz w:val="24"/>
          <w:szCs w:val="24"/>
          <w:highlight w:val="none"/>
        </w:rPr>
      </w:pPr>
      <w:r>
        <w:rPr>
          <w:rFonts w:hint="eastAsia" w:ascii="宋体" w:hAnsi="宋体" w:cs="宋体"/>
          <w:sz w:val="24"/>
          <w:szCs w:val="24"/>
          <w:highlight w:val="none"/>
        </w:rPr>
        <w:t>公开招标采购项目开标结束后，采购人或采购代理机构对投标人提交的资格证明材料进行审查，并在对应的审查意见一栏记录审查意见，合格投标人不足</w:t>
      </w:r>
      <w:r>
        <w:rPr>
          <w:rFonts w:ascii="宋体" w:hAnsi="宋体" w:cs="宋体"/>
          <w:sz w:val="24"/>
          <w:szCs w:val="24"/>
          <w:highlight w:val="none"/>
        </w:rPr>
        <w:t>3</w:t>
      </w:r>
      <w:r>
        <w:rPr>
          <w:rFonts w:hint="eastAsia" w:ascii="宋体" w:hAnsi="宋体" w:cs="宋体"/>
          <w:sz w:val="24"/>
          <w:szCs w:val="24"/>
          <w:highlight w:val="none"/>
        </w:rPr>
        <w:t>家的，不再开展评标工作。</w:t>
      </w:r>
    </w:p>
    <w:p>
      <w:pPr>
        <w:spacing w:line="360" w:lineRule="auto"/>
        <w:ind w:firstLine="482" w:firstLineChars="200"/>
        <w:rPr>
          <w:rFonts w:ascii="宋体" w:cs="宋体"/>
          <w:sz w:val="24"/>
          <w:szCs w:val="24"/>
          <w:highlight w:val="none"/>
        </w:rPr>
      </w:pPr>
      <w:r>
        <w:rPr>
          <w:rFonts w:ascii="宋体" w:hAnsi="宋体" w:cs="宋体"/>
          <w:b/>
          <w:sz w:val="24"/>
          <w:szCs w:val="24"/>
          <w:highlight w:val="none"/>
        </w:rPr>
        <w:t>26.</w:t>
      </w:r>
      <w:r>
        <w:rPr>
          <w:rFonts w:hint="eastAsia" w:ascii="宋体" w:hAnsi="宋体" w:cs="宋体"/>
          <w:b/>
          <w:sz w:val="24"/>
          <w:szCs w:val="24"/>
          <w:highlight w:val="none"/>
        </w:rPr>
        <w:t>评标</w:t>
      </w:r>
    </w:p>
    <w:p>
      <w:pPr>
        <w:spacing w:line="360" w:lineRule="auto"/>
        <w:ind w:firstLine="482" w:firstLineChars="200"/>
        <w:rPr>
          <w:rFonts w:ascii="宋体" w:cs="宋体"/>
          <w:sz w:val="24"/>
          <w:szCs w:val="24"/>
          <w:highlight w:val="none"/>
        </w:rPr>
      </w:pPr>
      <w:r>
        <w:rPr>
          <w:rFonts w:ascii="宋体" w:hAnsi="宋体" w:cs="宋体"/>
          <w:b/>
          <w:bCs/>
          <w:sz w:val="24"/>
          <w:szCs w:val="24"/>
          <w:highlight w:val="none"/>
        </w:rPr>
        <w:t xml:space="preserve">26.1 </w:t>
      </w:r>
      <w:r>
        <w:rPr>
          <w:rFonts w:hint="eastAsia" w:ascii="宋体" w:hAnsi="宋体" w:cs="宋体"/>
          <w:b/>
          <w:bCs/>
          <w:sz w:val="24"/>
          <w:szCs w:val="24"/>
          <w:highlight w:val="none"/>
        </w:rPr>
        <w:t>评标委员会</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26.1.1</w:t>
      </w:r>
      <w:r>
        <w:rPr>
          <w:rFonts w:hint="eastAsia" w:ascii="宋体" w:hAnsi="宋体" w:cs="宋体"/>
          <w:sz w:val="24"/>
          <w:szCs w:val="24"/>
          <w:highlight w:val="none"/>
        </w:rPr>
        <w:t>采购人或者采购代理机构将从新疆政府采购网的政府采购评审专家库中，通过随机方式抽取评审专家。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26.1.2 评标委员会由采购人代表和评审专家组成，成员人数应当为5人以上单数，其中评审专家不得少于成员总数的三分之二。</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26.1.3</w:t>
      </w:r>
      <w:r>
        <w:rPr>
          <w:rFonts w:hint="eastAsia" w:ascii="宋体" w:hAnsi="宋体" w:cs="宋体"/>
          <w:sz w:val="24"/>
          <w:szCs w:val="24"/>
          <w:highlight w:val="none"/>
        </w:rPr>
        <w:t>评标委员会负责评标工作，应当对合格投标人（通过资格审查）的投标文件进行审查、评价投标文件是否符合招标文件的商务、技术等实质性要求，要求投标人对投标文件有关事项作出澄清或者说明，对投标文件进行比较和评价等，确定中标候选人名单或根据采购人委托直接确定中标人，根据全体评标成员签字的原始评标记录和评标结果编写评标报告。</w:t>
      </w:r>
    </w:p>
    <w:p>
      <w:pPr>
        <w:spacing w:line="360" w:lineRule="auto"/>
        <w:ind w:firstLine="482" w:firstLineChars="200"/>
        <w:rPr>
          <w:rFonts w:ascii="宋体" w:cs="宋体"/>
          <w:b/>
          <w:bCs/>
          <w:sz w:val="24"/>
          <w:szCs w:val="24"/>
          <w:highlight w:val="none"/>
        </w:rPr>
      </w:pPr>
      <w:r>
        <w:rPr>
          <w:rFonts w:ascii="宋体" w:hAnsi="宋体" w:cs="宋体"/>
          <w:b/>
          <w:bCs/>
          <w:sz w:val="24"/>
          <w:szCs w:val="24"/>
          <w:highlight w:val="none"/>
        </w:rPr>
        <w:t>26.2</w:t>
      </w:r>
      <w:r>
        <w:rPr>
          <w:rFonts w:hint="eastAsia" w:ascii="宋体" w:hAnsi="宋体" w:cs="宋体"/>
          <w:b/>
          <w:bCs/>
          <w:sz w:val="24"/>
          <w:szCs w:val="24"/>
          <w:highlight w:val="none"/>
        </w:rPr>
        <w:t>评标方法：</w:t>
      </w:r>
      <w:r>
        <w:rPr>
          <w:rFonts w:hint="eastAsia" w:ascii="宋体" w:hAnsi="宋体" w:cs="宋体"/>
          <w:sz w:val="24"/>
          <w:szCs w:val="24"/>
          <w:highlight w:val="none"/>
        </w:rPr>
        <w:t>详见投标人须知前附表。</w:t>
      </w:r>
    </w:p>
    <w:p>
      <w:pPr>
        <w:spacing w:line="360" w:lineRule="auto"/>
        <w:ind w:firstLine="482" w:firstLineChars="200"/>
        <w:rPr>
          <w:rFonts w:ascii="宋体" w:cs="宋体"/>
          <w:sz w:val="24"/>
          <w:szCs w:val="24"/>
          <w:highlight w:val="none"/>
        </w:rPr>
      </w:pPr>
      <w:r>
        <w:rPr>
          <w:rFonts w:ascii="宋体" w:hAnsi="宋体" w:cs="宋体"/>
          <w:b/>
          <w:bCs/>
          <w:sz w:val="24"/>
          <w:szCs w:val="24"/>
          <w:highlight w:val="none"/>
        </w:rPr>
        <w:t xml:space="preserve">26.3 </w:t>
      </w:r>
      <w:r>
        <w:rPr>
          <w:rFonts w:hint="eastAsia" w:ascii="宋体" w:hAnsi="宋体" w:cs="宋体"/>
          <w:b/>
          <w:bCs/>
          <w:sz w:val="24"/>
          <w:szCs w:val="24"/>
          <w:highlight w:val="none"/>
        </w:rPr>
        <w:t>投标文件的澄清</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26.3.1 </w:t>
      </w:r>
      <w:r>
        <w:rPr>
          <w:rFonts w:hint="eastAsia" w:ascii="宋体" w:hAnsi="宋体" w:cs="宋体"/>
          <w:sz w:val="24"/>
          <w:szCs w:val="24"/>
          <w:highlight w:val="none"/>
        </w:rPr>
        <w:t>在评标期间，对于投标文件中含义不明确、同类问题表述不一致或者有明显文字和计算错误的内容，评标委员会应当</w:t>
      </w:r>
      <w:r>
        <w:rPr>
          <w:rFonts w:hint="eastAsia" w:ascii="宋体" w:hAnsi="宋体" w:cs="宋体"/>
          <w:sz w:val="24"/>
          <w:szCs w:val="24"/>
          <w:highlight w:val="none"/>
          <w:lang w:val="en-US" w:eastAsia="zh-CN"/>
        </w:rPr>
        <w:t>在线</w:t>
      </w:r>
      <w:r>
        <w:rPr>
          <w:rFonts w:hint="eastAsia" w:ascii="宋体" w:hAnsi="宋体" w:cs="宋体"/>
          <w:sz w:val="24"/>
          <w:szCs w:val="24"/>
          <w:highlight w:val="none"/>
        </w:rPr>
        <w:t>以书面形式要求投标人作出必要的澄清、说明或者补正。投标人的澄清、说明或者补正应当采用书面形式</w:t>
      </w:r>
      <w:r>
        <w:rPr>
          <w:rFonts w:hint="eastAsia" w:ascii="宋体" w:hAnsi="宋体" w:cs="宋体"/>
          <w:sz w:val="24"/>
          <w:szCs w:val="24"/>
          <w:highlight w:val="none"/>
          <w:lang w:val="en-US" w:eastAsia="zh-CN"/>
        </w:rPr>
        <w:t>线上回函</w:t>
      </w:r>
      <w:r>
        <w:rPr>
          <w:rFonts w:hint="eastAsia" w:ascii="宋体" w:hAnsi="宋体" w:cs="宋体"/>
          <w:sz w:val="24"/>
          <w:szCs w:val="24"/>
          <w:highlight w:val="none"/>
        </w:rPr>
        <w:t>，并加盖公章</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或电子章</w:t>
      </w:r>
      <w:r>
        <w:rPr>
          <w:rFonts w:hint="eastAsia" w:ascii="宋体" w:hAnsi="宋体" w:cs="宋体"/>
          <w:sz w:val="24"/>
          <w:szCs w:val="24"/>
          <w:highlight w:val="none"/>
          <w:lang w:eastAsia="zh-CN"/>
        </w:rPr>
        <w:t>）</w:t>
      </w:r>
      <w:r>
        <w:rPr>
          <w:rFonts w:hint="eastAsia" w:ascii="宋体" w:hAnsi="宋体" w:cs="宋体"/>
          <w:sz w:val="24"/>
          <w:szCs w:val="24"/>
          <w:highlight w:val="none"/>
        </w:rPr>
        <w:t>，或者由法定代表人或其授权的代表签字。投标人的澄清、说明或者补正不得超出投标文件的范围或者改变投标文件的实质性内容。澄清的内容为投标文件的组成部分。</w:t>
      </w:r>
    </w:p>
    <w:p>
      <w:pPr>
        <w:spacing w:line="360" w:lineRule="auto"/>
        <w:ind w:firstLine="482" w:firstLineChars="200"/>
        <w:rPr>
          <w:rFonts w:ascii="宋体" w:cs="宋体"/>
          <w:sz w:val="24"/>
          <w:szCs w:val="24"/>
          <w:highlight w:val="none"/>
        </w:rPr>
      </w:pPr>
      <w:r>
        <w:rPr>
          <w:rFonts w:ascii="宋体" w:hAnsi="宋体" w:cs="宋体"/>
          <w:b/>
          <w:bCs/>
          <w:sz w:val="24"/>
          <w:szCs w:val="24"/>
          <w:highlight w:val="none"/>
        </w:rPr>
        <w:t xml:space="preserve">26.4 </w:t>
      </w:r>
      <w:r>
        <w:rPr>
          <w:rFonts w:hint="eastAsia" w:ascii="宋体" w:hAnsi="宋体" w:cs="宋体"/>
          <w:b/>
          <w:sz w:val="24"/>
          <w:szCs w:val="24"/>
          <w:highlight w:val="none"/>
        </w:rPr>
        <w:t>投标文件的初审（符合性审查）</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26.4.1</w:t>
      </w:r>
      <w:r>
        <w:rPr>
          <w:rFonts w:hint="eastAsia" w:ascii="宋体" w:hAnsi="宋体" w:cs="宋体"/>
          <w:sz w:val="24"/>
          <w:szCs w:val="24"/>
          <w:highlight w:val="none"/>
        </w:rPr>
        <w:t>评标委员会将对符合资格的投标人的投标文件进行符合性审查，以确定其是否满足招标文件的实质性要求。</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26.4.2 </w:t>
      </w:r>
      <w:r>
        <w:rPr>
          <w:rFonts w:hint="eastAsia" w:ascii="宋体" w:hAnsi="宋体" w:cs="宋体"/>
          <w:sz w:val="24"/>
          <w:szCs w:val="24"/>
          <w:highlight w:val="none"/>
        </w:rPr>
        <w:t>投标文件报价出现前后不一致的，按照下列规定修正：</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）开标一览表内容与投标文件中相应内容不一致的，以开标一览表为准；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）大写金额和小写金额不一致的，以大写金额为准；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）单价金额小数点或者百分比有明显错位的，以开标一览表的总价为准，并修改单价；</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）总价金额与按单价汇总金额不一致的，以单价金额计算结果为准。</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同时出现两种以上不一致的，按照前款规定的顺序修正。修正后的报价按照本须知第</w:t>
      </w:r>
      <w:r>
        <w:rPr>
          <w:rFonts w:ascii="宋体" w:hAnsi="宋体" w:cs="宋体"/>
          <w:sz w:val="24"/>
          <w:szCs w:val="24"/>
          <w:highlight w:val="none"/>
        </w:rPr>
        <w:t>26.3.1</w:t>
      </w:r>
      <w:r>
        <w:rPr>
          <w:rFonts w:hint="eastAsia" w:ascii="宋体" w:hAnsi="宋体" w:cs="宋体"/>
          <w:sz w:val="24"/>
          <w:szCs w:val="24"/>
          <w:highlight w:val="none"/>
        </w:rPr>
        <w:t>条的规定经投标人确认后产生约束力，投标人不确认的，其投标无效。</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26.4.3 </w:t>
      </w:r>
      <w:r>
        <w:rPr>
          <w:rFonts w:hint="eastAsia" w:ascii="宋体" w:hAnsi="宋体" w:cs="宋体"/>
          <w:sz w:val="24"/>
          <w:szCs w:val="24"/>
          <w:highlight w:val="none"/>
        </w:rPr>
        <w:t>对于投标文件中不构成实质性偏差的不正规、不一致或不规则，评标委员会将进行综合打分。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26.4.4 </w:t>
      </w:r>
      <w:r>
        <w:rPr>
          <w:rFonts w:hint="eastAsia" w:ascii="宋体" w:hAnsi="宋体" w:cs="宋体"/>
          <w:sz w:val="24"/>
          <w:szCs w:val="24"/>
          <w:highlight w:val="none"/>
        </w:rPr>
        <w:t>在详细评标之前，根据本须知第</w:t>
      </w:r>
      <w:r>
        <w:rPr>
          <w:rFonts w:ascii="宋体" w:hAnsi="宋体" w:cs="宋体"/>
          <w:sz w:val="24"/>
          <w:szCs w:val="24"/>
          <w:highlight w:val="none"/>
        </w:rPr>
        <w:t>26.4.5</w:t>
      </w:r>
      <w:r>
        <w:rPr>
          <w:rFonts w:hint="eastAsia" w:ascii="宋体" w:hAnsi="宋体" w:cs="宋体"/>
          <w:sz w:val="24"/>
          <w:szCs w:val="24"/>
          <w:highlight w:val="none"/>
        </w:rPr>
        <w:t>条和第</w:t>
      </w:r>
      <w:r>
        <w:rPr>
          <w:rFonts w:ascii="宋体" w:hAnsi="宋体" w:cs="宋体"/>
          <w:sz w:val="24"/>
          <w:szCs w:val="24"/>
          <w:highlight w:val="none"/>
        </w:rPr>
        <w:t>26.4.6</w:t>
      </w:r>
      <w:r>
        <w:rPr>
          <w:rFonts w:hint="eastAsia" w:ascii="宋体" w:hAnsi="宋体" w:cs="宋体"/>
          <w:sz w:val="24"/>
          <w:szCs w:val="24"/>
          <w:highlight w:val="none"/>
        </w:rPr>
        <w:t>条的规定，评标委员会要审查每份投标文件是否实质上响应了招标文件的要求。实质上响应的投标应该是与招标文件要求的全部条款、条件和规格参数相符，没有重大偏离的投标。对关键条文的偏离、保留或反对将被认为是实质上的偏离。评标委员会决定投标的响应性只根据投标本身的内容，而不寻求外部的证据。</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 xml:space="preserve">26.4.5 </w:t>
      </w:r>
      <w:r>
        <w:rPr>
          <w:rFonts w:hint="eastAsia" w:ascii="宋体" w:hAnsi="宋体" w:cs="宋体"/>
          <w:b/>
          <w:sz w:val="24"/>
          <w:szCs w:val="24"/>
          <w:highlight w:val="none"/>
        </w:rPr>
        <w:t>实质上没有响应招标文件要求的投标将作无效投标处理。投标人不得通过修正或撤销不合要求的偏离或保留从而使其投标成为实质上响应的投标。投标人存在下列情况之一的，投标无效：</w:t>
      </w:r>
    </w:p>
    <w:p>
      <w:pPr>
        <w:numPr>
          <w:ilvl w:val="0"/>
          <w:numId w:val="11"/>
        </w:numPr>
        <w:tabs>
          <w:tab w:val="left" w:pos="780"/>
          <w:tab w:val="left" w:pos="900"/>
          <w:tab w:val="clear" w:pos="1140"/>
        </w:tabs>
        <w:spacing w:line="360" w:lineRule="auto"/>
        <w:ind w:left="0" w:firstLine="482" w:firstLineChars="200"/>
        <w:rPr>
          <w:highlight w:val="none"/>
        </w:rPr>
      </w:pPr>
      <w:r>
        <w:rPr>
          <w:rFonts w:hint="eastAsia" w:ascii="宋体" w:hAnsi="宋体" w:cs="宋体"/>
          <w:b/>
          <w:sz w:val="24"/>
          <w:szCs w:val="24"/>
          <w:highlight w:val="none"/>
          <w:u w:val="single"/>
        </w:rPr>
        <w:t>投标文件未按照招标文件要求签署、盖章、提交的，或签字人无法定代表人有效委托书的；</w:t>
      </w:r>
    </w:p>
    <w:p>
      <w:pPr>
        <w:numPr>
          <w:ilvl w:val="0"/>
          <w:numId w:val="11"/>
        </w:numP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报价超过招标文件中规定的预算金额或者最高限价的；</w:t>
      </w:r>
    </w:p>
    <w:p>
      <w:pPr>
        <w:numPr>
          <w:ilvl w:val="0"/>
          <w:numId w:val="11"/>
        </w:numP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合同履行期限不满足招标文件要求的；</w:t>
      </w:r>
    </w:p>
    <w:p>
      <w:pPr>
        <w:numPr>
          <w:ilvl w:val="0"/>
          <w:numId w:val="11"/>
        </w:numP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投标文件含有采购人不能接受的附加条件的；</w:t>
      </w:r>
    </w:p>
    <w:p>
      <w:pPr>
        <w:numPr>
          <w:ilvl w:val="0"/>
          <w:numId w:val="11"/>
        </w:numP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投标有效期不足；</w:t>
      </w:r>
    </w:p>
    <w:p>
      <w:pPr>
        <w:numPr>
          <w:ilvl w:val="0"/>
          <w:numId w:val="11"/>
        </w:numP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投标报价不全，或投标人在同一份投标文件中对同一招标货物或服务报有两个或多个报价的，但招标文件要求提交备选投标的除外；</w:t>
      </w:r>
    </w:p>
    <w:p>
      <w:pPr>
        <w:numPr>
          <w:ilvl w:val="0"/>
          <w:numId w:val="11"/>
        </w:numP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不接受评委对投标文件报价出现前后不一致的修正；</w:t>
      </w:r>
    </w:p>
    <w:p>
      <w:pPr>
        <w:numPr>
          <w:ilvl w:val="0"/>
          <w:numId w:val="11"/>
        </w:numP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投标人有串通投标、弄虚作假、行贿等违法行为；</w:t>
      </w:r>
    </w:p>
    <w:p>
      <w:pPr>
        <w:numPr>
          <w:ilvl w:val="0"/>
          <w:numId w:val="11"/>
        </w:numP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投标文件没有对招标文件的实质性要求和条件作出响应的；</w:t>
      </w:r>
    </w:p>
    <w:p>
      <w:pPr>
        <w:numPr>
          <w:ilvl w:val="0"/>
          <w:numId w:val="11"/>
        </w:numP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法律、法规和招标文件中规定的其他无效情形；</w:t>
      </w:r>
    </w:p>
    <w:p>
      <w:pPr>
        <w:tabs>
          <w:tab w:val="left" w:pos="780"/>
          <w:tab w:val="left" w:pos="900"/>
        </w:tabs>
        <w:spacing w:line="360" w:lineRule="auto"/>
        <w:ind w:left="482"/>
        <w:rPr>
          <w:rFonts w:ascii="宋体" w:cs="宋体"/>
          <w:b/>
          <w:sz w:val="24"/>
          <w:szCs w:val="24"/>
          <w:highlight w:val="none"/>
        </w:rPr>
      </w:pPr>
      <w:r>
        <w:rPr>
          <w:rFonts w:ascii="宋体" w:hAnsi="宋体" w:cs="宋体"/>
          <w:b/>
          <w:sz w:val="24"/>
          <w:szCs w:val="24"/>
          <w:highlight w:val="none"/>
        </w:rPr>
        <w:t>26.4.6</w:t>
      </w:r>
      <w:r>
        <w:rPr>
          <w:rFonts w:hint="eastAsia" w:ascii="宋体" w:hAnsi="宋体" w:cs="宋体"/>
          <w:b/>
          <w:sz w:val="24"/>
          <w:szCs w:val="24"/>
          <w:highlight w:val="none"/>
        </w:rPr>
        <w:t>有下列情形之一的，视为投标人串通投标，其投标无效：</w:t>
      </w:r>
    </w:p>
    <w:p>
      <w:pP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1</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不同投标人的投标文件由同一单位或者个人编制；</w:t>
      </w:r>
    </w:p>
    <w:p>
      <w:pP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2</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不同投标人委托同一单位或者个人办理投标事宜；</w:t>
      </w:r>
    </w:p>
    <w:p>
      <w:pP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3</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不同投标人的投标文件载明的项目管理成员或者联系人员为同一人；</w:t>
      </w:r>
    </w:p>
    <w:p>
      <w:pP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4</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不同投标人的投标文件异常一致或者投标报价呈规律性差异；</w:t>
      </w:r>
    </w:p>
    <w:p>
      <w:pP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5</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不同投标人的投标文件相互混装；</w:t>
      </w:r>
    </w:p>
    <w:p>
      <w:pP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6</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不同投标人的投标保证金从同一单位或者个人的账户转出。</w:t>
      </w:r>
    </w:p>
    <w:p>
      <w:pPr>
        <w:spacing w:line="360" w:lineRule="auto"/>
        <w:ind w:firstLine="482" w:firstLineChars="200"/>
        <w:rPr>
          <w:rFonts w:ascii="宋体" w:cs="宋体"/>
          <w:sz w:val="24"/>
          <w:szCs w:val="24"/>
          <w:highlight w:val="none"/>
        </w:rPr>
      </w:pPr>
      <w:r>
        <w:rPr>
          <w:rFonts w:ascii="宋体" w:hAnsi="宋体" w:cs="宋体"/>
          <w:b/>
          <w:bCs/>
          <w:sz w:val="24"/>
          <w:szCs w:val="24"/>
          <w:highlight w:val="none"/>
        </w:rPr>
        <w:t xml:space="preserve">26.5 </w:t>
      </w:r>
      <w:r>
        <w:rPr>
          <w:rFonts w:hint="eastAsia" w:ascii="宋体" w:hAnsi="宋体" w:cs="宋体"/>
          <w:b/>
          <w:sz w:val="24"/>
          <w:szCs w:val="24"/>
          <w:highlight w:val="none"/>
        </w:rPr>
        <w:t>投标文件的详细评审</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26.5.1 </w:t>
      </w:r>
      <w:r>
        <w:rPr>
          <w:rFonts w:hint="eastAsia" w:ascii="宋体" w:hAnsi="宋体" w:cs="宋体"/>
          <w:sz w:val="24"/>
          <w:szCs w:val="24"/>
          <w:highlight w:val="none"/>
        </w:rPr>
        <w:t>评标委员会将按照本须知第</w:t>
      </w:r>
      <w:r>
        <w:rPr>
          <w:rFonts w:ascii="宋体" w:hAnsi="宋体" w:cs="宋体"/>
          <w:sz w:val="24"/>
          <w:szCs w:val="24"/>
          <w:highlight w:val="none"/>
        </w:rPr>
        <w:t>26.4</w:t>
      </w:r>
      <w:r>
        <w:rPr>
          <w:rFonts w:hint="eastAsia" w:ascii="宋体" w:hAnsi="宋体" w:cs="宋体"/>
          <w:sz w:val="24"/>
          <w:szCs w:val="24"/>
          <w:highlight w:val="none"/>
        </w:rPr>
        <w:t>条规定，只对确定为实质上响应招标文件要求的投标进行详细评审。</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26.5.2 </w:t>
      </w:r>
      <w:r>
        <w:rPr>
          <w:rFonts w:hint="eastAsia" w:ascii="宋体" w:hAnsi="宋体" w:cs="宋体"/>
          <w:sz w:val="24"/>
          <w:szCs w:val="24"/>
          <w:highlight w:val="none"/>
        </w:rPr>
        <w:t>详细评审即以招标文件为依据，对所有实质上响应的投标分别从“商务”、“技术”和“价格”三个方面进行评审并按照百分制进行综合打分（详见第六章评标标准）。</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26.6</w:t>
      </w:r>
      <w:r>
        <w:rPr>
          <w:rFonts w:hint="eastAsia" w:ascii="宋体" w:hAnsi="宋体" w:cs="宋体"/>
          <w:b/>
          <w:sz w:val="24"/>
          <w:szCs w:val="24"/>
          <w:highlight w:val="none"/>
        </w:rPr>
        <w:t>中标人的确定</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评标委员会对进入详细评审的投标人进行综合评分并按得分由高到低顺序排列，得分相同的，按投标报价由低到高顺序排列，得分且投标报价相同的，按评审因素的技术指标评审得分高低顺序。由采购人按照评标委员会推荐的中标候选人顺序确定中标投标人。</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27.</w:t>
      </w:r>
      <w:r>
        <w:rPr>
          <w:rFonts w:hint="eastAsia" w:ascii="宋体" w:hAnsi="宋体" w:cs="宋体"/>
          <w:b/>
          <w:sz w:val="24"/>
          <w:szCs w:val="24"/>
          <w:highlight w:val="none"/>
        </w:rPr>
        <w:t>与采购代理机构、采购人和评标委员会的接触</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27.1 </w:t>
      </w:r>
      <w:r>
        <w:rPr>
          <w:rFonts w:hint="eastAsia" w:ascii="宋体" w:hAnsi="宋体" w:cs="宋体"/>
          <w:sz w:val="24"/>
          <w:szCs w:val="24"/>
          <w:highlight w:val="none"/>
        </w:rPr>
        <w:t>除本须知第</w:t>
      </w:r>
      <w:r>
        <w:rPr>
          <w:rFonts w:ascii="宋体" w:hAnsi="宋体" w:cs="宋体"/>
          <w:sz w:val="24"/>
          <w:szCs w:val="24"/>
          <w:highlight w:val="none"/>
        </w:rPr>
        <w:t>26.3</w:t>
      </w:r>
      <w:r>
        <w:rPr>
          <w:rFonts w:hint="eastAsia" w:ascii="宋体" w:hAnsi="宋体" w:cs="宋体"/>
          <w:sz w:val="24"/>
          <w:szCs w:val="24"/>
          <w:highlight w:val="none"/>
        </w:rPr>
        <w:t>条的规定外，从开标之日起至公布中标结果之日止，投标人不得就与其投标有关的事项与采购代理机构、采购人以及评标委员会成员接触，但经评标委员会同意的澄清、答疑期间除外。</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27.2 </w:t>
      </w:r>
      <w:r>
        <w:rPr>
          <w:rFonts w:hint="eastAsia" w:ascii="宋体" w:hAnsi="宋体" w:cs="宋体"/>
          <w:sz w:val="24"/>
          <w:szCs w:val="24"/>
          <w:highlight w:val="none"/>
        </w:rPr>
        <w:t>投标人试图对采购代理机构、采购人和评标委员会的评标、比较或授予合同的决定进行影响，都可能导致其投标无效。</w:t>
      </w:r>
      <w:bookmarkStart w:id="35" w:name="_Toc2511974"/>
      <w:bookmarkStart w:id="36" w:name="_Toc2355233"/>
      <w:bookmarkStart w:id="37" w:name="_Toc14776841"/>
      <w:bookmarkStart w:id="38" w:name="_Toc322446894"/>
      <w:bookmarkStart w:id="39" w:name="_Toc493422653"/>
    </w:p>
    <w:p>
      <w:pPr>
        <w:spacing w:line="360" w:lineRule="auto"/>
        <w:rPr>
          <w:rFonts w:ascii="宋体" w:cs="宋体"/>
          <w:sz w:val="24"/>
          <w:szCs w:val="24"/>
          <w:highlight w:val="none"/>
        </w:rPr>
      </w:pPr>
    </w:p>
    <w:p>
      <w:pPr>
        <w:spacing w:line="360" w:lineRule="auto"/>
        <w:rPr>
          <w:rFonts w:ascii="宋体" w:cs="宋体"/>
          <w:b/>
          <w:sz w:val="24"/>
          <w:szCs w:val="24"/>
          <w:highlight w:val="none"/>
        </w:rPr>
      </w:pPr>
      <w:r>
        <w:rPr>
          <w:rFonts w:hint="eastAsia" w:ascii="宋体" w:hAnsi="宋体" w:cs="宋体"/>
          <w:b/>
          <w:sz w:val="24"/>
          <w:szCs w:val="24"/>
          <w:highlight w:val="none"/>
        </w:rPr>
        <w:t>六、授予合同</w:t>
      </w:r>
      <w:bookmarkEnd w:id="35"/>
      <w:bookmarkEnd w:id="36"/>
      <w:bookmarkEnd w:id="37"/>
      <w:bookmarkEnd w:id="38"/>
      <w:bookmarkEnd w:id="39"/>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28.</w:t>
      </w:r>
      <w:r>
        <w:rPr>
          <w:rFonts w:hint="eastAsia" w:ascii="宋体" w:hAnsi="宋体" w:cs="宋体"/>
          <w:b/>
          <w:sz w:val="24"/>
          <w:szCs w:val="24"/>
          <w:highlight w:val="none"/>
        </w:rPr>
        <w:t>合同授予标准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28.1 </w:t>
      </w:r>
      <w:r>
        <w:rPr>
          <w:rFonts w:hint="eastAsia" w:ascii="宋体" w:hAnsi="宋体" w:cs="宋体"/>
          <w:sz w:val="24"/>
          <w:szCs w:val="24"/>
          <w:highlight w:val="none"/>
        </w:rPr>
        <w:t>除第</w:t>
      </w:r>
      <w:r>
        <w:rPr>
          <w:rFonts w:ascii="宋体" w:hAnsi="宋体" w:cs="宋体"/>
          <w:sz w:val="24"/>
          <w:szCs w:val="24"/>
          <w:highlight w:val="none"/>
        </w:rPr>
        <w:t>31</w:t>
      </w:r>
      <w:r>
        <w:rPr>
          <w:rFonts w:hint="eastAsia" w:ascii="宋体" w:hAnsi="宋体" w:cs="宋体"/>
          <w:sz w:val="24"/>
          <w:szCs w:val="24"/>
          <w:highlight w:val="none"/>
        </w:rPr>
        <w:t>条的规定之外，采购代理机构将把合同授予被确定为实质上响应招标文件的要求并有履行合同能力的具有合理报价的合格投标人。</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29.</w:t>
      </w:r>
      <w:r>
        <w:rPr>
          <w:rFonts w:hint="eastAsia" w:ascii="宋体" w:hAnsi="宋体" w:cs="宋体"/>
          <w:b/>
          <w:sz w:val="24"/>
          <w:szCs w:val="24"/>
          <w:highlight w:val="none"/>
        </w:rPr>
        <w:t>接受和拒绝任何或所有投标的权利</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29.1</w:t>
      </w:r>
      <w:r>
        <w:rPr>
          <w:rFonts w:hint="eastAsia" w:ascii="宋体" w:hAnsi="宋体" w:cs="宋体"/>
          <w:sz w:val="24"/>
          <w:szCs w:val="24"/>
          <w:highlight w:val="none"/>
        </w:rPr>
        <w:t>采购人或采购代理机构保留依法定事由、不可抗力或政府采购主管部门相关要求，拒绝任何或所有投标的权利，或宣布招标无效的权利。对受影响的投标人不承担任何责任。</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30.</w:t>
      </w:r>
      <w:r>
        <w:rPr>
          <w:rFonts w:hint="eastAsia" w:ascii="宋体" w:hAnsi="宋体" w:cs="宋体"/>
          <w:b/>
          <w:sz w:val="24"/>
          <w:szCs w:val="24"/>
          <w:highlight w:val="none"/>
        </w:rPr>
        <w:t>中标通知书</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30.1 </w:t>
      </w:r>
      <w:r>
        <w:rPr>
          <w:rFonts w:hint="eastAsia" w:ascii="宋体" w:hAnsi="宋体" w:cs="宋体"/>
          <w:sz w:val="24"/>
          <w:szCs w:val="24"/>
          <w:highlight w:val="none"/>
        </w:rPr>
        <w:t>中标人确定后，采购代理机构将向中标人发出中标通知书，告知未中标人本人的评审得分与排序。</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30.2 </w:t>
      </w:r>
      <w:r>
        <w:rPr>
          <w:rFonts w:hint="eastAsia" w:ascii="宋体" w:hAnsi="宋体" w:cs="宋体"/>
          <w:sz w:val="24"/>
          <w:szCs w:val="24"/>
          <w:highlight w:val="none"/>
        </w:rPr>
        <w:t>中标通知书是合同的一个组成部分，没有提交书面中标通知书所签署的合同属于无效合同。</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30.3</w:t>
      </w:r>
      <w:r>
        <w:rPr>
          <w:rFonts w:hint="eastAsia" w:ascii="宋体" w:hAnsi="宋体" w:cs="宋体"/>
          <w:sz w:val="24"/>
          <w:szCs w:val="24"/>
          <w:highlight w:val="none"/>
        </w:rPr>
        <w:t>中标结果公告发布后，中标人到代理机构领取中标通知书，未中标的投标人到代理机构领取落标通知书。</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31.</w:t>
      </w:r>
      <w:r>
        <w:rPr>
          <w:rFonts w:hint="eastAsia" w:ascii="宋体" w:hAnsi="宋体" w:cs="宋体"/>
          <w:b/>
          <w:sz w:val="24"/>
          <w:szCs w:val="24"/>
          <w:highlight w:val="none"/>
        </w:rPr>
        <w:t>签订合同</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31.1</w:t>
      </w:r>
      <w:r>
        <w:rPr>
          <w:rFonts w:hint="eastAsia" w:ascii="宋体" w:hAnsi="宋体" w:cs="宋体"/>
          <w:sz w:val="24"/>
          <w:szCs w:val="24"/>
          <w:highlight w:val="none"/>
        </w:rPr>
        <w:t>中标人应当自中标通知书发出之日起三十日内，按照招标文件和中标人投标文件的约定，与采购人签订书面合同。所签订的合同不得对招标文件和中标供商投标文件作实质性修改。</w:t>
      </w:r>
    </w:p>
    <w:p>
      <w:pPr>
        <w:spacing w:line="360" w:lineRule="auto"/>
        <w:ind w:firstLine="480" w:firstLineChars="200"/>
        <w:rPr>
          <w:rFonts w:ascii="宋体" w:hAnsi="宋体" w:cs="宋体"/>
          <w:sz w:val="24"/>
          <w:highlight w:val="none"/>
        </w:rPr>
      </w:pPr>
      <w:r>
        <w:rPr>
          <w:rFonts w:ascii="宋体" w:hAnsi="宋体" w:cs="宋体"/>
          <w:sz w:val="24"/>
          <w:szCs w:val="24"/>
          <w:highlight w:val="none"/>
        </w:rPr>
        <w:t>31.2</w:t>
      </w:r>
      <w:r>
        <w:rPr>
          <w:rFonts w:hint="eastAsia" w:ascii="宋体" w:hAnsi="宋体" w:cs="宋体"/>
          <w:sz w:val="24"/>
          <w:highlight w:val="none"/>
        </w:rPr>
        <w:t>如中标人没有按照本须知</w:t>
      </w:r>
      <w:r>
        <w:rPr>
          <w:rFonts w:ascii="宋体" w:hAnsi="宋体" w:cs="宋体"/>
          <w:sz w:val="24"/>
          <w:highlight w:val="none"/>
        </w:rPr>
        <w:t>31.1</w:t>
      </w:r>
      <w:r>
        <w:rPr>
          <w:rFonts w:hint="eastAsia" w:ascii="宋体" w:hAnsi="宋体" w:cs="宋体"/>
          <w:sz w:val="24"/>
          <w:highlight w:val="none"/>
        </w:rPr>
        <w:t>条规定执行，应当依法承担法律责任，投标保证金也将不予退还。在此情况下，招标采购单位可将合同授予排名在中标人下一位的中标候选人，也可以重新招标。</w:t>
      </w:r>
    </w:p>
    <w:p>
      <w:pPr>
        <w:pStyle w:val="20"/>
        <w:ind w:firstLine="480" w:firstLineChars="200"/>
        <w:rPr>
          <w:rFonts w:hint="eastAsia" w:ascii="宋体" w:hAnsi="宋体" w:cs="宋体"/>
          <w:highlight w:val="none"/>
        </w:rPr>
      </w:pPr>
      <w:r>
        <w:rPr>
          <w:rFonts w:hint="eastAsia" w:ascii="宋体" w:hAnsi="宋体" w:cs="宋体"/>
          <w:highlight w:val="none"/>
        </w:rPr>
        <w:t>31.3政府采购合同履行中，采购人需追加与合同标的相同的货物、工程或者服务的，在不改变合同其他条款的前提下，可以与中标人协商签订补充合同，但所有补充合同的采购金额不得超过原合同采购金额的百分之十。</w:t>
      </w:r>
    </w:p>
    <w:p>
      <w:pPr>
        <w:spacing w:line="360" w:lineRule="auto"/>
        <w:ind w:firstLine="482" w:firstLineChars="200"/>
        <w:rPr>
          <w:rFonts w:hint="default" w:ascii="宋体" w:hAnsi="宋体" w:cs="宋体"/>
          <w:sz w:val="24"/>
          <w:highlight w:val="none"/>
          <w:lang w:val="en-US" w:eastAsia="zh-CN"/>
        </w:rPr>
        <w:sectPr>
          <w:pgSz w:w="11906" w:h="16838"/>
          <w:pgMar w:top="1440" w:right="1800" w:bottom="1440" w:left="1800" w:header="624" w:footer="964" w:gutter="0"/>
          <w:cols w:space="720" w:num="1"/>
          <w:docGrid w:type="lines" w:linePitch="312" w:charSpace="0"/>
        </w:sectPr>
      </w:pPr>
      <w:r>
        <w:rPr>
          <w:rFonts w:hint="eastAsia" w:ascii="宋体" w:hAnsi="宋体" w:cs="宋体"/>
          <w:b/>
          <w:bCs/>
          <w:sz w:val="24"/>
          <w:highlight w:val="none"/>
          <w:lang w:val="en-US" w:eastAsia="zh-CN"/>
        </w:rPr>
        <w:t>32履约保证金</w:t>
      </w:r>
      <w:r>
        <w:rPr>
          <w:rFonts w:hint="eastAsia" w:ascii="宋体" w:hAnsi="宋体" w:cs="宋体"/>
          <w:sz w:val="24"/>
          <w:highlight w:val="none"/>
          <w:lang w:val="en-US" w:eastAsia="zh-CN"/>
        </w:rPr>
        <w:t>：详见投标人须知前附表</w:t>
      </w:r>
    </w:p>
    <w:p>
      <w:pPr>
        <w:pStyle w:val="2"/>
        <w:spacing w:before="100" w:beforeAutospacing="1" w:after="100" w:afterAutospacing="1" w:line="360" w:lineRule="auto"/>
        <w:jc w:val="center"/>
        <w:rPr>
          <w:rFonts w:ascii="宋体" w:cs="宋体"/>
          <w:w w:val="90"/>
          <w:sz w:val="36"/>
          <w:highlight w:val="none"/>
        </w:rPr>
        <w:sectPr>
          <w:footerReference r:id="rId10" w:type="default"/>
          <w:pgSz w:w="11907" w:h="16840"/>
          <w:pgMar w:top="1440" w:right="1469" w:bottom="1440" w:left="1622" w:header="624" w:footer="964" w:gutter="0"/>
          <w:cols w:space="720" w:num="1"/>
          <w:docGrid w:linePitch="312" w:charSpace="0"/>
        </w:sectPr>
      </w:pPr>
      <w:bookmarkStart w:id="40" w:name="_Toc44705051"/>
      <w:bookmarkStart w:id="41" w:name="_Toc2511975"/>
      <w:bookmarkStart w:id="42" w:name="_Toc15042"/>
      <w:bookmarkStart w:id="43" w:name="_Toc14776842"/>
      <w:bookmarkStart w:id="44" w:name="_Toc44704904"/>
      <w:r>
        <w:rPr>
          <w:rFonts w:hint="eastAsia" w:ascii="宋体" w:hAnsi="宋体" w:cs="宋体"/>
          <w:w w:val="90"/>
          <w:highlight w:val="none"/>
        </w:rPr>
        <w:t>第四章</w:t>
      </w:r>
      <w:r>
        <w:rPr>
          <w:rFonts w:ascii="宋体" w:hAnsi="宋体" w:cs="宋体"/>
          <w:w w:val="90"/>
          <w:highlight w:val="none"/>
        </w:rPr>
        <w:t xml:space="preserve"> </w:t>
      </w:r>
      <w:r>
        <w:rPr>
          <w:rFonts w:hint="eastAsia" w:ascii="宋体" w:hAnsi="宋体" w:cs="宋体"/>
          <w:w w:val="90"/>
          <w:highlight w:val="none"/>
        </w:rPr>
        <w:t>合同文本格式</w:t>
      </w:r>
      <w:bookmarkEnd w:id="40"/>
      <w:bookmarkEnd w:id="41"/>
      <w:bookmarkEnd w:id="42"/>
      <w:bookmarkEnd w:id="43"/>
      <w:bookmarkEnd w:id="44"/>
    </w:p>
    <w:p>
      <w:pPr>
        <w:spacing w:line="360" w:lineRule="auto"/>
        <w:jc w:val="both"/>
        <w:outlineLvl w:val="1"/>
        <w:rPr>
          <w:rFonts w:ascii="宋体" w:hAnsi="宋体" w:cs="宋体"/>
          <w:b/>
          <w:sz w:val="36"/>
          <w:szCs w:val="24"/>
        </w:rPr>
      </w:pPr>
      <w:bookmarkStart w:id="45" w:name="_Toc26260"/>
      <w:bookmarkStart w:id="46" w:name="_Toc507586162"/>
      <w:bookmarkStart w:id="47" w:name="_Toc53757930"/>
      <w:bookmarkStart w:id="48" w:name="_Toc8512"/>
      <w:bookmarkStart w:id="49" w:name="_Toc44705052"/>
      <w:bookmarkStart w:id="50" w:name="_Toc2511976"/>
      <w:bookmarkStart w:id="51" w:name="_Toc14776843"/>
      <w:bookmarkStart w:id="52" w:name="_Toc44704905"/>
      <w:r>
        <w:rPr>
          <w:rFonts w:hint="eastAsia" w:ascii="宋体" w:hAnsi="宋体" w:cs="宋体"/>
          <w:b/>
          <w:sz w:val="36"/>
          <w:szCs w:val="24"/>
        </w:rPr>
        <w:t>合同条款及格式</w:t>
      </w:r>
      <w:bookmarkEnd w:id="45"/>
      <w:bookmarkEnd w:id="46"/>
      <w:bookmarkEnd w:id="47"/>
      <w:bookmarkEnd w:id="48"/>
    </w:p>
    <w:p>
      <w:pPr>
        <w:spacing w:line="360" w:lineRule="auto"/>
        <w:jc w:val="center"/>
        <w:rPr>
          <w:rFonts w:hint="eastAsia" w:ascii="宋体" w:hAnsi="宋体" w:cs="宋体"/>
          <w:b/>
          <w:sz w:val="24"/>
          <w:szCs w:val="24"/>
        </w:rPr>
      </w:pPr>
      <w:r>
        <w:rPr>
          <w:rFonts w:hint="eastAsia" w:ascii="宋体" w:hAnsi="宋体" w:cs="宋体"/>
          <w:b/>
          <w:sz w:val="24"/>
          <w:szCs w:val="24"/>
        </w:rPr>
        <w:t>（仅供参考，以采购人实际签订为准）</w:t>
      </w:r>
    </w:p>
    <w:p>
      <w:pPr>
        <w:spacing w:line="360" w:lineRule="auto"/>
        <w:rPr>
          <w:rFonts w:hint="eastAsia" w:ascii="宋体" w:hAnsi="宋体" w:eastAsia="宋体"/>
          <w:sz w:val="24"/>
          <w:szCs w:val="24"/>
          <w:lang w:val="en-US" w:eastAsia="zh-CN"/>
        </w:rPr>
      </w:pPr>
      <w:r>
        <w:rPr>
          <w:rFonts w:hint="eastAsia" w:ascii="宋体" w:hAnsi="宋体"/>
          <w:b/>
          <w:sz w:val="24"/>
          <w:szCs w:val="24"/>
        </w:rPr>
        <w:t>甲 方：</w:t>
      </w:r>
      <w:r>
        <w:rPr>
          <w:rFonts w:hint="eastAsia" w:ascii="宋体" w:hAnsi="宋体"/>
          <w:sz w:val="24"/>
          <w:szCs w:val="24"/>
          <w:u w:val="single"/>
          <w:lang w:eastAsia="zh-CN"/>
        </w:rPr>
        <w:t>伊吾县苇子峡乡人民政府</w:t>
      </w:r>
    </w:p>
    <w:p>
      <w:pPr>
        <w:spacing w:line="360" w:lineRule="auto"/>
        <w:rPr>
          <w:rFonts w:ascii="宋体" w:hAnsi="宋体"/>
          <w:b/>
          <w:sz w:val="24"/>
          <w:szCs w:val="24"/>
        </w:rPr>
      </w:pPr>
      <w:r>
        <w:rPr>
          <w:rFonts w:hint="eastAsia" w:ascii="宋体" w:hAnsi="宋体"/>
          <w:b/>
          <w:sz w:val="24"/>
          <w:szCs w:val="24"/>
        </w:rPr>
        <w:t>乙 方：</w:t>
      </w:r>
      <w:r>
        <w:rPr>
          <w:rFonts w:hint="eastAsia" w:ascii="宋体" w:hAnsi="宋体"/>
          <w:b/>
          <w:sz w:val="24"/>
          <w:szCs w:val="24"/>
          <w:u w:val="single"/>
        </w:rPr>
        <w:t xml:space="preserve">                </w:t>
      </w:r>
    </w:p>
    <w:p>
      <w:pPr>
        <w:spacing w:line="360" w:lineRule="auto"/>
        <w:ind w:firstLine="480" w:firstLineChars="200"/>
        <w:rPr>
          <w:rFonts w:ascii="宋体" w:hAnsi="宋体"/>
          <w:sz w:val="24"/>
          <w:szCs w:val="24"/>
        </w:rPr>
      </w:pPr>
      <w:r>
        <w:rPr>
          <w:rFonts w:hint="eastAsia" w:ascii="宋体" w:hAnsi="宋体"/>
          <w:sz w:val="24"/>
          <w:szCs w:val="24"/>
        </w:rPr>
        <w:t>为提高造林管护质量，落实管护责任，甲乙双方根据《中华人民共和国</w:t>
      </w:r>
      <w:r>
        <w:rPr>
          <w:rFonts w:hint="eastAsia" w:ascii="宋体" w:hAnsi="宋体"/>
          <w:sz w:val="24"/>
          <w:szCs w:val="24"/>
          <w:lang w:val="en-US" w:eastAsia="zh-CN"/>
        </w:rPr>
        <w:t>民法典</w:t>
      </w:r>
      <w:r>
        <w:rPr>
          <w:rFonts w:hint="eastAsia" w:ascii="宋体" w:hAnsi="宋体"/>
          <w:sz w:val="24"/>
          <w:szCs w:val="24"/>
        </w:rPr>
        <w:t>》有关规定和管护招标结果，本着平等、自愿的原则，就林地管护签订如下协议。</w:t>
      </w:r>
    </w:p>
    <w:p>
      <w:pPr>
        <w:spacing w:line="360" w:lineRule="auto"/>
        <w:rPr>
          <w:rFonts w:ascii="宋体" w:hAnsi="宋体"/>
          <w:b/>
          <w:sz w:val="24"/>
          <w:szCs w:val="24"/>
        </w:rPr>
      </w:pPr>
      <w:r>
        <w:rPr>
          <w:rFonts w:hint="eastAsia" w:ascii="宋体" w:hAnsi="宋体"/>
          <w:b/>
          <w:sz w:val="24"/>
          <w:szCs w:val="24"/>
        </w:rPr>
        <w:t>一、管护的地点、面积、期限、费用、任务</w:t>
      </w:r>
    </w:p>
    <w:p>
      <w:pPr>
        <w:spacing w:line="360" w:lineRule="auto"/>
        <w:ind w:firstLine="480" w:firstLineChars="200"/>
        <w:rPr>
          <w:rFonts w:ascii="宋体" w:hAnsi="宋体"/>
          <w:sz w:val="24"/>
          <w:szCs w:val="24"/>
        </w:rPr>
      </w:pPr>
      <w:r>
        <w:rPr>
          <w:rFonts w:hint="eastAsia" w:ascii="宋体" w:hAnsi="宋体"/>
          <w:sz w:val="24"/>
          <w:szCs w:val="24"/>
        </w:rPr>
        <w:t>（一）管护地点及面积：</w:t>
      </w:r>
      <w:r>
        <w:rPr>
          <w:rFonts w:hint="eastAsia" w:ascii="宋体" w:hAnsi="宋体"/>
          <w:sz w:val="24"/>
          <w:szCs w:val="24"/>
          <w:u w:val="single"/>
        </w:rPr>
        <w:t xml:space="preserve">      </w:t>
      </w:r>
      <w:r>
        <w:rPr>
          <w:rFonts w:hint="eastAsia" w:ascii="宋体" w:hAnsi="宋体"/>
          <w:sz w:val="24"/>
          <w:szCs w:val="24"/>
        </w:rPr>
        <w:t>（亩）</w:t>
      </w:r>
    </w:p>
    <w:p>
      <w:pPr>
        <w:spacing w:line="360" w:lineRule="auto"/>
        <w:ind w:firstLine="480" w:firstLineChars="200"/>
        <w:rPr>
          <w:rFonts w:ascii="宋体" w:hAnsi="宋体"/>
          <w:sz w:val="24"/>
          <w:szCs w:val="24"/>
        </w:rPr>
      </w:pPr>
      <w:r>
        <w:rPr>
          <w:rFonts w:hint="eastAsia" w:ascii="宋体" w:hAnsi="宋体"/>
          <w:sz w:val="24"/>
          <w:szCs w:val="24"/>
        </w:rPr>
        <w:t>（二）管护期限：</w:t>
      </w:r>
    </w:p>
    <w:p>
      <w:pPr>
        <w:spacing w:line="360" w:lineRule="auto"/>
        <w:rPr>
          <w:rFonts w:ascii="宋体" w:hAnsi="宋体"/>
          <w:sz w:val="24"/>
          <w:szCs w:val="24"/>
        </w:rPr>
      </w:pPr>
      <w:r>
        <w:rPr>
          <w:rFonts w:hint="eastAsia" w:ascii="宋体" w:hAnsi="宋体"/>
          <w:sz w:val="24"/>
          <w:szCs w:val="24"/>
        </w:rPr>
        <w:t>林地林木管护期限</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hint="eastAsia" w:ascii="宋体" w:hAnsi="宋体"/>
          <w:sz w:val="24"/>
          <w:szCs w:val="24"/>
        </w:rPr>
        <w:t>年，自</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日起至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日止。</w:t>
      </w:r>
    </w:p>
    <w:p>
      <w:pPr>
        <w:spacing w:line="360" w:lineRule="auto"/>
        <w:ind w:firstLine="480" w:firstLineChars="200"/>
        <w:rPr>
          <w:rFonts w:ascii="宋体" w:hAnsi="宋体"/>
          <w:sz w:val="24"/>
          <w:szCs w:val="24"/>
        </w:rPr>
      </w:pPr>
      <w:r>
        <w:rPr>
          <w:rFonts w:hint="eastAsia" w:ascii="宋体" w:hAnsi="宋体"/>
          <w:sz w:val="24"/>
          <w:szCs w:val="24"/>
        </w:rPr>
        <w:t>（三）管护费用：</w:t>
      </w:r>
    </w:p>
    <w:p>
      <w:pPr>
        <w:spacing w:line="360" w:lineRule="auto"/>
        <w:rPr>
          <w:rFonts w:ascii="宋体" w:hAnsi="宋体"/>
          <w:sz w:val="24"/>
          <w:szCs w:val="24"/>
        </w:rPr>
      </w:pPr>
      <w:r>
        <w:rPr>
          <w:rFonts w:hint="eastAsia" w:ascii="宋体" w:hAnsi="宋体"/>
          <w:sz w:val="24"/>
          <w:szCs w:val="24"/>
        </w:rPr>
        <w:t>林地林木管护期限为一年。年管护费用计</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元。大写（</w:t>
      </w:r>
      <w:r>
        <w:rPr>
          <w:rFonts w:hint="eastAsia" w:ascii="宋体" w:hAnsi="宋体"/>
          <w:sz w:val="24"/>
          <w:szCs w:val="24"/>
          <w:u w:val="single"/>
        </w:rPr>
        <w:t xml:space="preserve">              </w:t>
      </w:r>
      <w:r>
        <w:rPr>
          <w:rFonts w:hint="eastAsia" w:ascii="宋体" w:hAnsi="宋体"/>
          <w:sz w:val="24"/>
          <w:szCs w:val="24"/>
        </w:rPr>
        <w:t>）。按实际面积和投标清单核算管护面积及费用。</w:t>
      </w:r>
    </w:p>
    <w:p>
      <w:pPr>
        <w:spacing w:line="360" w:lineRule="auto"/>
        <w:ind w:firstLine="480" w:firstLineChars="200"/>
        <w:rPr>
          <w:rFonts w:ascii="宋体" w:hAnsi="宋体"/>
          <w:sz w:val="24"/>
          <w:szCs w:val="24"/>
        </w:rPr>
      </w:pPr>
      <w:r>
        <w:rPr>
          <w:rFonts w:hint="eastAsia" w:ascii="宋体" w:hAnsi="宋体"/>
          <w:sz w:val="24"/>
          <w:szCs w:val="24"/>
        </w:rPr>
        <w:t>（四）乙方管护任务及要求：</w:t>
      </w:r>
    </w:p>
    <w:p>
      <w:pPr>
        <w:spacing w:line="360" w:lineRule="auto"/>
        <w:ind w:firstLine="480" w:firstLineChars="200"/>
        <w:rPr>
          <w:rFonts w:ascii="宋体" w:hAnsi="宋体"/>
          <w:sz w:val="24"/>
          <w:szCs w:val="24"/>
        </w:rPr>
      </w:pPr>
      <w:r>
        <w:rPr>
          <w:rFonts w:hint="eastAsia" w:ascii="宋体" w:hAnsi="宋体"/>
          <w:sz w:val="24"/>
          <w:szCs w:val="24"/>
        </w:rPr>
        <w:t>对林地林木讲行：1、蓄水池维修及清淤，2、看管蓄水池，3、林地林木浇水灌溉，4、修枝、除草、凃杆、林地清理，5、管网材料费用6、水泵维护费用7、清理沉淀池8、围栏维护，9、冬季巡护10、管护期间电费。1</w:t>
      </w:r>
      <w:r>
        <w:rPr>
          <w:rFonts w:ascii="宋体" w:hAnsi="宋体"/>
          <w:sz w:val="24"/>
          <w:szCs w:val="24"/>
        </w:rPr>
        <w:t>1</w:t>
      </w:r>
      <w:r>
        <w:rPr>
          <w:rFonts w:hint="eastAsia" w:ascii="宋体" w:hAnsi="宋体"/>
          <w:sz w:val="24"/>
          <w:szCs w:val="24"/>
        </w:rPr>
        <w:t>、对林带浇水、除草、修枝、树干涂白。按照季节及天气变化进行全面灌溉，每年不少于10次，并做好相关记录；及时组织清理杂草，清理后杂草不得高于地表30cm,修枝至少1次（修枝高度为树高的1/3以下），并及时清理树枝，保证树木通风透光。被确定为抚育项目地的林带，要按照要求施肥。保证原有造林株数存活率95%以上，面积保存率100%;存活率高于85%,但不足95%的及时进行补植补造，相关费用由管护单位自理。</w:t>
      </w:r>
    </w:p>
    <w:p>
      <w:pPr>
        <w:spacing w:line="360" w:lineRule="auto"/>
        <w:ind w:firstLine="480" w:firstLineChars="200"/>
        <w:rPr>
          <w:rFonts w:ascii="宋体" w:hAnsi="宋体"/>
          <w:sz w:val="24"/>
          <w:szCs w:val="24"/>
        </w:rPr>
      </w:pPr>
      <w:r>
        <w:rPr>
          <w:rFonts w:hint="eastAsia" w:ascii="宋体" w:hAnsi="宋体"/>
          <w:sz w:val="24"/>
          <w:szCs w:val="24"/>
        </w:rPr>
        <w:t>（五）具体工作时间、节点；</w:t>
      </w:r>
    </w:p>
    <w:p>
      <w:pPr>
        <w:spacing w:line="360" w:lineRule="auto"/>
        <w:ind w:firstLine="480" w:firstLineChars="200"/>
        <w:rPr>
          <w:rFonts w:hint="eastAsia" w:ascii="宋体" w:hAnsi="宋体"/>
          <w:sz w:val="24"/>
          <w:szCs w:val="24"/>
        </w:rPr>
      </w:pPr>
      <w:r>
        <w:rPr>
          <w:rFonts w:hint="eastAsia" w:ascii="宋体" w:hAnsi="宋体"/>
          <w:sz w:val="24"/>
          <w:szCs w:val="24"/>
        </w:rPr>
        <w:t>1、培土坑：对每棵树根部的土坑进行恢复并除草，土坑标准为半径20厘米以上。</w:t>
      </w:r>
    </w:p>
    <w:p>
      <w:pPr>
        <w:spacing w:line="360" w:lineRule="auto"/>
        <w:ind w:firstLine="480" w:firstLineChars="200"/>
        <w:rPr>
          <w:rFonts w:hint="eastAsia" w:ascii="宋体" w:hAnsi="宋体"/>
          <w:sz w:val="24"/>
          <w:szCs w:val="24"/>
        </w:rPr>
      </w:pPr>
      <w:r>
        <w:rPr>
          <w:rFonts w:hint="eastAsia" w:ascii="宋体" w:hAnsi="宋体"/>
          <w:sz w:val="24"/>
          <w:szCs w:val="24"/>
        </w:rPr>
        <w:t>2、过滤器：保证水力设施正常运行，洪水严禁进入自压滴灌过滤器，水池内沙子每年清淤二次 （开春前、冬灌前），过滤器每次浇水前清理，田间毛管滴水时巡线检查。</w:t>
      </w:r>
    </w:p>
    <w:p>
      <w:pPr>
        <w:spacing w:line="360" w:lineRule="auto"/>
        <w:ind w:firstLine="480" w:firstLineChars="200"/>
        <w:rPr>
          <w:rFonts w:hint="eastAsia" w:ascii="宋体" w:hAnsi="宋体"/>
          <w:sz w:val="24"/>
          <w:szCs w:val="24"/>
        </w:rPr>
      </w:pPr>
      <w:r>
        <w:rPr>
          <w:rFonts w:hint="eastAsia" w:ascii="宋体" w:hAnsi="宋体"/>
          <w:sz w:val="24"/>
          <w:szCs w:val="24"/>
        </w:rPr>
        <w:t>3、滴灌带：滴灌带必须在每棵树根部，确保滴头正常滴水，滴灌带末端要固定在树干下。</w:t>
      </w:r>
    </w:p>
    <w:p>
      <w:pPr>
        <w:spacing w:line="360" w:lineRule="auto"/>
        <w:ind w:firstLine="480" w:firstLineChars="200"/>
        <w:rPr>
          <w:rFonts w:hint="eastAsia" w:ascii="宋体" w:hAnsi="宋体"/>
          <w:sz w:val="24"/>
          <w:szCs w:val="24"/>
        </w:rPr>
      </w:pPr>
      <w:r>
        <w:rPr>
          <w:rFonts w:hint="eastAsia" w:ascii="宋体" w:hAnsi="宋体"/>
          <w:sz w:val="24"/>
          <w:szCs w:val="24"/>
        </w:rPr>
        <w:t>4、灌溉：做好灌溉情况的记录，每年漫灌区不少于4次，自压滴灌区不少于4次（不含冬灌），滴灌不少于7次。</w:t>
      </w:r>
    </w:p>
    <w:p>
      <w:pPr>
        <w:spacing w:line="360" w:lineRule="auto"/>
        <w:ind w:firstLine="480" w:firstLineChars="200"/>
        <w:rPr>
          <w:rFonts w:hint="eastAsia" w:ascii="宋体" w:hAnsi="宋体"/>
          <w:sz w:val="24"/>
          <w:szCs w:val="24"/>
        </w:rPr>
      </w:pPr>
      <w:r>
        <w:rPr>
          <w:rFonts w:hint="eastAsia" w:ascii="宋体" w:hAnsi="宋体"/>
          <w:sz w:val="24"/>
          <w:szCs w:val="24"/>
        </w:rPr>
        <w:t>灌溉要求：每次浇水要浇透，水利设施损坏及时维修，不能出现管道跑冒滴漏现象，要根据干渠供水量合理安排罐区，保证树木正常供水。</w:t>
      </w:r>
    </w:p>
    <w:p>
      <w:pPr>
        <w:spacing w:line="360" w:lineRule="auto"/>
        <w:ind w:firstLine="480" w:firstLineChars="200"/>
        <w:rPr>
          <w:rFonts w:hint="eastAsia" w:ascii="宋体" w:hAnsi="宋体"/>
          <w:sz w:val="24"/>
          <w:szCs w:val="24"/>
        </w:rPr>
      </w:pPr>
      <w:r>
        <w:rPr>
          <w:rFonts w:hint="eastAsia" w:ascii="宋体" w:hAnsi="宋体"/>
          <w:sz w:val="24"/>
          <w:szCs w:val="24"/>
        </w:rPr>
        <w:t>在漫灌浇水前先疏通渠道，保证输水干线畅通，浇水设施出现故障影响正常灌溉时及时进行维修。</w:t>
      </w:r>
    </w:p>
    <w:p>
      <w:pPr>
        <w:spacing w:line="360" w:lineRule="auto"/>
        <w:ind w:firstLine="480" w:firstLineChars="200"/>
        <w:rPr>
          <w:rFonts w:hint="eastAsia" w:ascii="宋体" w:hAnsi="宋体"/>
          <w:sz w:val="24"/>
          <w:szCs w:val="24"/>
        </w:rPr>
      </w:pPr>
      <w:r>
        <w:rPr>
          <w:rFonts w:hint="eastAsia" w:ascii="宋体" w:hAnsi="宋体"/>
          <w:sz w:val="24"/>
          <w:szCs w:val="24"/>
        </w:rPr>
        <w:t>5、控水及冬水时间：苇子峡控水时间是10月1号左右；控水完成后，按照水利部门的轮灌安排进行冬灌，冬灌要灌透冬水。</w:t>
      </w:r>
    </w:p>
    <w:p>
      <w:pPr>
        <w:spacing w:line="360" w:lineRule="auto"/>
        <w:ind w:firstLine="480" w:firstLineChars="200"/>
        <w:rPr>
          <w:rFonts w:hint="eastAsia" w:ascii="宋体" w:hAnsi="宋体"/>
          <w:sz w:val="24"/>
          <w:szCs w:val="24"/>
        </w:rPr>
      </w:pPr>
      <w:r>
        <w:rPr>
          <w:rFonts w:hint="eastAsia" w:ascii="宋体" w:hAnsi="宋体"/>
          <w:sz w:val="24"/>
          <w:szCs w:val="24"/>
        </w:rPr>
        <w:t>6、施肥：每年春秋季进行施肥。春季施肥时间为4月15日至25日，以尿素和磷酸二铵为主，拌均后埋入树木根部，每棵100-150克为宜；秋季施肥时间为9月15日至30日，以有机肥，叶面施肥为主，有机肥用量为2-3公斤每棵。</w:t>
      </w:r>
    </w:p>
    <w:p>
      <w:pPr>
        <w:spacing w:line="360" w:lineRule="auto"/>
        <w:ind w:firstLine="480" w:firstLineChars="200"/>
        <w:rPr>
          <w:rFonts w:hint="eastAsia" w:ascii="宋体" w:hAnsi="宋体"/>
          <w:sz w:val="24"/>
          <w:szCs w:val="24"/>
        </w:rPr>
      </w:pPr>
      <w:r>
        <w:rPr>
          <w:rFonts w:hint="eastAsia" w:ascii="宋体" w:hAnsi="宋体"/>
          <w:sz w:val="24"/>
          <w:szCs w:val="24"/>
        </w:rPr>
        <w:t>7、病虫，鼠，兔害防治；根据实际和森防人员预测预报情况，按林业局防治要求完成。</w:t>
      </w:r>
    </w:p>
    <w:p>
      <w:pPr>
        <w:spacing w:line="360" w:lineRule="auto"/>
        <w:ind w:firstLine="480" w:firstLineChars="200"/>
        <w:rPr>
          <w:rFonts w:hint="eastAsia" w:ascii="宋体" w:hAnsi="宋体"/>
          <w:sz w:val="24"/>
          <w:szCs w:val="24"/>
        </w:rPr>
      </w:pPr>
      <w:r>
        <w:rPr>
          <w:rFonts w:hint="eastAsia" w:ascii="宋体" w:hAnsi="宋体"/>
          <w:sz w:val="24"/>
          <w:szCs w:val="24"/>
        </w:rPr>
        <w:t>8、修枝：秋季控水后进行。</w:t>
      </w:r>
    </w:p>
    <w:p>
      <w:pPr>
        <w:spacing w:line="360" w:lineRule="auto"/>
        <w:ind w:firstLine="480" w:firstLineChars="200"/>
        <w:rPr>
          <w:rFonts w:hint="eastAsia" w:ascii="宋体" w:hAnsi="宋体"/>
          <w:sz w:val="24"/>
          <w:szCs w:val="24"/>
        </w:rPr>
      </w:pPr>
      <w:r>
        <w:rPr>
          <w:rFonts w:hint="eastAsia" w:ascii="宋体" w:hAnsi="宋体"/>
          <w:sz w:val="24"/>
          <w:szCs w:val="24"/>
        </w:rPr>
        <w:t>9、树木涂白:与修剪同步进行。</w:t>
      </w:r>
    </w:p>
    <w:p>
      <w:pPr>
        <w:spacing w:line="360" w:lineRule="auto"/>
        <w:ind w:firstLine="480" w:firstLineChars="200"/>
        <w:rPr>
          <w:rFonts w:ascii="宋体" w:hAnsi="宋体"/>
          <w:sz w:val="24"/>
          <w:szCs w:val="24"/>
        </w:rPr>
      </w:pPr>
      <w:r>
        <w:rPr>
          <w:rFonts w:hint="eastAsia" w:ascii="宋体" w:hAnsi="宋体"/>
          <w:sz w:val="24"/>
          <w:szCs w:val="24"/>
        </w:rPr>
        <w:t>2、做好防火工作，发现火情及时扑救并第一时间上报市防火指挥部。</w:t>
      </w:r>
    </w:p>
    <w:p>
      <w:pPr>
        <w:spacing w:line="360" w:lineRule="auto"/>
        <w:ind w:firstLine="480" w:firstLineChars="200"/>
        <w:rPr>
          <w:rFonts w:ascii="宋体" w:hAnsi="宋体"/>
          <w:sz w:val="24"/>
          <w:szCs w:val="24"/>
        </w:rPr>
      </w:pPr>
      <w:r>
        <w:rPr>
          <w:rFonts w:hint="eastAsia" w:ascii="宋体" w:hAnsi="宋体"/>
          <w:sz w:val="24"/>
          <w:szCs w:val="24"/>
        </w:rPr>
        <w:t>3、严格按照森林病虫害监测的要求，做好林木监测工作；病虫害情要第一时间上报林草资源科及执法大队，并配合执法大队进行防治，及时清除林中的枯枝病株，并进行烧毁或填埋；对林木发生中度及中度以上的病虫危害时，必须配合执法大队派遣专人进行人工防治，防治费用由管护单位承担。</w:t>
      </w:r>
    </w:p>
    <w:p>
      <w:pPr>
        <w:spacing w:line="360" w:lineRule="auto"/>
        <w:ind w:firstLine="480" w:firstLineChars="200"/>
        <w:rPr>
          <w:rFonts w:ascii="宋体" w:hAnsi="宋体"/>
          <w:sz w:val="24"/>
          <w:szCs w:val="24"/>
        </w:rPr>
      </w:pPr>
      <w:r>
        <w:rPr>
          <w:rFonts w:hint="eastAsia" w:ascii="宋体" w:hAnsi="宋体"/>
          <w:sz w:val="24"/>
          <w:szCs w:val="24"/>
        </w:rPr>
        <w:t>4、定期对管护设施进行维护，做好围栏维护、维修等工作，保证树木，不受牲畜啃食。所有林带围栏完好率100%,在检查过程中发现围栏损毁的，按比例扣除管护费，围栏维修及人工费用由管护单位承担。对造成严重后果的将追究乙方责任。</w:t>
      </w:r>
    </w:p>
    <w:p>
      <w:pPr>
        <w:spacing w:line="360" w:lineRule="auto"/>
        <w:ind w:firstLine="480" w:firstLineChars="200"/>
        <w:rPr>
          <w:rFonts w:ascii="宋体" w:hAnsi="宋体"/>
          <w:sz w:val="24"/>
          <w:szCs w:val="24"/>
        </w:rPr>
      </w:pPr>
      <w:r>
        <w:rPr>
          <w:rFonts w:hint="eastAsia" w:ascii="宋体" w:hAnsi="宋体"/>
          <w:sz w:val="24"/>
          <w:szCs w:val="24"/>
        </w:rPr>
        <w:t>5.在管护期内，机井、蓄水池、水泵、变压器、管网漠溉设施维护、维修费用由乙方承担。其中绿化灌溉管维护包括：地面管材5年之内、地下PVC管线15年之内、P管线30年之内的零星维修</w:t>
      </w:r>
    </w:p>
    <w:p>
      <w:pPr>
        <w:spacing w:line="360" w:lineRule="auto"/>
        <w:ind w:firstLine="480" w:firstLineChars="200"/>
        <w:rPr>
          <w:rFonts w:ascii="宋体" w:hAnsi="宋体"/>
          <w:sz w:val="24"/>
          <w:szCs w:val="24"/>
        </w:rPr>
      </w:pPr>
      <w:r>
        <w:rPr>
          <w:rFonts w:hint="eastAsia" w:ascii="宋体" w:hAnsi="宋体"/>
          <w:sz w:val="24"/>
          <w:szCs w:val="24"/>
        </w:rPr>
        <w:t>6、其它费用：管护产生的水电费用由甲方承担。管护单位不得擅自将绿化用水、用电，挪作他用，严禁徇私舞弊、谋取私利，如发现此类情况，由管护单位承担所有水电费用，甲方直接从管护费用中扣除。情节严重的甲方有权解除合同。</w:t>
      </w:r>
    </w:p>
    <w:p>
      <w:pPr>
        <w:spacing w:line="360" w:lineRule="auto"/>
        <w:rPr>
          <w:rFonts w:ascii="宋体" w:hAnsi="宋体"/>
          <w:b/>
          <w:sz w:val="24"/>
          <w:szCs w:val="24"/>
        </w:rPr>
      </w:pPr>
      <w:r>
        <w:rPr>
          <w:rFonts w:hint="eastAsia" w:ascii="宋体" w:hAnsi="宋体"/>
          <w:b/>
          <w:sz w:val="24"/>
          <w:szCs w:val="24"/>
        </w:rPr>
        <w:t>二、甲方的权利和义务</w:t>
      </w:r>
    </w:p>
    <w:p>
      <w:pPr>
        <w:spacing w:line="360" w:lineRule="auto"/>
        <w:ind w:firstLine="480" w:firstLineChars="200"/>
        <w:rPr>
          <w:rFonts w:ascii="宋体" w:hAnsi="宋体"/>
          <w:sz w:val="24"/>
          <w:szCs w:val="24"/>
        </w:rPr>
      </w:pPr>
      <w:r>
        <w:rPr>
          <w:rFonts w:hint="eastAsia" w:ascii="宋体" w:hAnsi="宋体"/>
          <w:sz w:val="24"/>
          <w:szCs w:val="24"/>
        </w:rPr>
        <w:t>（一）甲方有权对乙方管护工作进行检查验收，并依据检查验收结果支付管护费。</w:t>
      </w:r>
    </w:p>
    <w:p>
      <w:pPr>
        <w:spacing w:line="360" w:lineRule="auto"/>
        <w:ind w:firstLine="480" w:firstLineChars="200"/>
        <w:rPr>
          <w:rFonts w:ascii="宋体" w:hAnsi="宋体"/>
          <w:sz w:val="24"/>
          <w:szCs w:val="24"/>
        </w:rPr>
      </w:pPr>
      <w:r>
        <w:rPr>
          <w:rFonts w:hint="eastAsia" w:ascii="宋体" w:hAnsi="宋体"/>
          <w:sz w:val="24"/>
          <w:szCs w:val="24"/>
        </w:rPr>
        <w:t>（二）在本承包期限内，本合同所涉及林地和林木所有权归甲方，乙方不得对外承包和处置。不得擅自挪作他用。</w:t>
      </w:r>
    </w:p>
    <w:p>
      <w:pPr>
        <w:spacing w:line="360" w:lineRule="auto"/>
        <w:ind w:firstLine="480" w:firstLineChars="200"/>
        <w:rPr>
          <w:rFonts w:ascii="宋体" w:hAnsi="宋体"/>
          <w:sz w:val="24"/>
          <w:szCs w:val="24"/>
        </w:rPr>
      </w:pPr>
      <w:r>
        <w:rPr>
          <w:rFonts w:hint="eastAsia" w:ascii="宋体" w:hAnsi="宋体"/>
          <w:sz w:val="24"/>
          <w:szCs w:val="24"/>
        </w:rPr>
        <w:t>（三）绿化灌溉管材使用超过年限，不能继续使用，乙方提出更换申请后，由甲方负责更换并承担相关费用。</w:t>
      </w:r>
    </w:p>
    <w:p>
      <w:pPr>
        <w:spacing w:line="360" w:lineRule="auto"/>
        <w:rPr>
          <w:rFonts w:ascii="宋体" w:hAnsi="宋体"/>
          <w:b/>
          <w:sz w:val="24"/>
          <w:szCs w:val="24"/>
        </w:rPr>
      </w:pPr>
      <w:r>
        <w:rPr>
          <w:rFonts w:hint="eastAsia" w:ascii="宋体" w:hAnsi="宋体"/>
          <w:b/>
          <w:sz w:val="24"/>
          <w:szCs w:val="24"/>
        </w:rPr>
        <w:t xml:space="preserve">三、乙方的权利和义务 </w:t>
      </w:r>
    </w:p>
    <w:p>
      <w:pPr>
        <w:spacing w:line="360" w:lineRule="auto"/>
        <w:ind w:firstLine="480" w:firstLineChars="200"/>
        <w:rPr>
          <w:rFonts w:ascii="宋体" w:hAnsi="宋体"/>
          <w:sz w:val="24"/>
          <w:szCs w:val="24"/>
        </w:rPr>
      </w:pPr>
      <w:r>
        <w:rPr>
          <w:rFonts w:hint="eastAsia" w:ascii="宋体" w:hAnsi="宋体"/>
          <w:sz w:val="24"/>
          <w:szCs w:val="24"/>
        </w:rPr>
        <w:t>（一）乙方严格按合同管护要求开展管护工作。保护林地、林木资源不受破坏，发现破坏森林资源的行为要及时制止并向相关部门举报，积极协助案件查处；负责做好管护林地的防火工作，加强巡查、加强林地火源管理、及时发现、扑救和报告火情；林地内发现有害生物情况要以书面形式及时报告。</w:t>
      </w:r>
    </w:p>
    <w:p>
      <w:pPr>
        <w:spacing w:line="360" w:lineRule="auto"/>
        <w:ind w:firstLine="480" w:firstLineChars="200"/>
        <w:rPr>
          <w:rFonts w:ascii="宋体" w:hAnsi="宋体"/>
          <w:sz w:val="24"/>
          <w:szCs w:val="24"/>
        </w:rPr>
      </w:pPr>
      <w:r>
        <w:rPr>
          <w:rFonts w:hint="eastAsia" w:ascii="宋体" w:hAnsi="宋体"/>
          <w:sz w:val="24"/>
          <w:szCs w:val="24"/>
        </w:rPr>
        <w:t>（二）乙方在开展管护工作过程中，如果造成乙方或其他人员人身、财产侵害和受损的事故时，由乙方承担全部责任，如因乙方原因引起各类法律纠纷，造成甲方承担法律责任的，则甲方所有损失由乙方全部承担。</w:t>
      </w:r>
    </w:p>
    <w:p>
      <w:pPr>
        <w:spacing w:line="360" w:lineRule="auto"/>
        <w:ind w:firstLine="480" w:firstLineChars="200"/>
        <w:rPr>
          <w:rFonts w:ascii="宋体" w:hAnsi="宋体"/>
          <w:sz w:val="24"/>
          <w:szCs w:val="24"/>
        </w:rPr>
      </w:pPr>
      <w:r>
        <w:rPr>
          <w:rFonts w:hint="eastAsia" w:ascii="宋体" w:hAnsi="宋体"/>
          <w:sz w:val="24"/>
          <w:szCs w:val="24"/>
        </w:rPr>
        <w:t>（三）乙方应保障其管护人员劳动安全，加强劳动安全教育。为降低损失，避免风险，乙方应为其管护人员购买人身意外伤害保险。</w:t>
      </w:r>
    </w:p>
    <w:p>
      <w:pPr>
        <w:spacing w:line="360" w:lineRule="auto"/>
        <w:ind w:firstLine="480" w:firstLineChars="200"/>
        <w:rPr>
          <w:rFonts w:ascii="宋体" w:hAnsi="宋体"/>
          <w:sz w:val="24"/>
          <w:szCs w:val="24"/>
        </w:rPr>
      </w:pPr>
      <w:r>
        <w:rPr>
          <w:rFonts w:hint="eastAsia" w:ascii="宋体" w:hAnsi="宋体"/>
          <w:sz w:val="24"/>
          <w:szCs w:val="24"/>
        </w:rPr>
        <w:t>（四）乙方根据相关法律、法规聘用工作人员，如因违法产生的一切法律责任后果，由乙方全部承担。</w:t>
      </w:r>
    </w:p>
    <w:p>
      <w:pPr>
        <w:spacing w:line="360" w:lineRule="auto"/>
        <w:ind w:firstLine="480" w:firstLineChars="200"/>
        <w:rPr>
          <w:rFonts w:ascii="宋体" w:hAnsi="宋体"/>
          <w:sz w:val="24"/>
          <w:szCs w:val="24"/>
        </w:rPr>
      </w:pPr>
      <w:r>
        <w:rPr>
          <w:rFonts w:hint="eastAsia" w:ascii="宋体" w:hAnsi="宋体"/>
          <w:sz w:val="24"/>
          <w:szCs w:val="24"/>
        </w:rPr>
        <w:t>（五）乙方在合同期内不得私自转包林地。</w:t>
      </w:r>
    </w:p>
    <w:p>
      <w:pPr>
        <w:spacing w:line="360" w:lineRule="auto"/>
        <w:ind w:firstLine="480" w:firstLineChars="200"/>
        <w:rPr>
          <w:rFonts w:ascii="宋体" w:hAnsi="宋体"/>
          <w:sz w:val="24"/>
          <w:szCs w:val="24"/>
        </w:rPr>
      </w:pPr>
      <w:r>
        <w:rPr>
          <w:rFonts w:hint="eastAsia" w:ascii="宋体" w:hAnsi="宋体"/>
          <w:sz w:val="24"/>
          <w:szCs w:val="24"/>
        </w:rPr>
        <w:t>（六）绿化管材、机井使用超过年限的，不能继续使用的，乙方可以书面形式向甲方提出申请和更换要求。</w:t>
      </w:r>
    </w:p>
    <w:p>
      <w:pPr>
        <w:spacing w:line="360" w:lineRule="auto"/>
        <w:rPr>
          <w:rFonts w:ascii="宋体" w:hAnsi="宋体"/>
          <w:b/>
          <w:sz w:val="24"/>
          <w:szCs w:val="24"/>
        </w:rPr>
      </w:pPr>
      <w:r>
        <w:rPr>
          <w:rFonts w:hint="eastAsia" w:ascii="宋体" w:hAnsi="宋体"/>
          <w:b/>
          <w:sz w:val="24"/>
          <w:szCs w:val="24"/>
        </w:rPr>
        <w:t>四、检查验收</w:t>
      </w:r>
    </w:p>
    <w:p>
      <w:pPr>
        <w:spacing w:line="360" w:lineRule="auto"/>
        <w:ind w:firstLine="480" w:firstLineChars="200"/>
        <w:rPr>
          <w:rFonts w:ascii="宋体" w:hAnsi="宋体"/>
          <w:sz w:val="24"/>
          <w:szCs w:val="24"/>
        </w:rPr>
      </w:pPr>
      <w:r>
        <w:rPr>
          <w:rFonts w:hint="eastAsia" w:ascii="宋体" w:hAnsi="宋体"/>
          <w:sz w:val="24"/>
          <w:szCs w:val="24"/>
        </w:rPr>
        <w:t>甲方定期安排监管工作人员对管护情况进行检查，检查结果、扣分计入验收结果；每半年对管护情况进行验收、并组织进行满意度测评，结合平时检查综合评分后出具验收报告，据此确定管护费支付比例和数额。</w:t>
      </w:r>
    </w:p>
    <w:p>
      <w:pPr>
        <w:spacing w:line="360" w:lineRule="auto"/>
        <w:rPr>
          <w:rFonts w:ascii="宋体" w:hAnsi="宋体"/>
          <w:b/>
          <w:sz w:val="24"/>
          <w:szCs w:val="24"/>
        </w:rPr>
      </w:pPr>
      <w:r>
        <w:rPr>
          <w:rFonts w:hint="eastAsia" w:ascii="宋体" w:hAnsi="宋体"/>
          <w:b/>
          <w:sz w:val="24"/>
          <w:szCs w:val="24"/>
        </w:rPr>
        <w:t>五、付款方式</w:t>
      </w:r>
    </w:p>
    <w:p>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u w:val="single"/>
          <w:lang w:val="en-US" w:eastAsia="zh-CN"/>
        </w:rPr>
        <w:t xml:space="preserve">                                                                       </w:t>
      </w:r>
    </w:p>
    <w:p>
      <w:pPr>
        <w:spacing w:line="360" w:lineRule="auto"/>
        <w:rPr>
          <w:rFonts w:ascii="宋体" w:hAnsi="宋体"/>
          <w:b/>
          <w:sz w:val="24"/>
          <w:szCs w:val="24"/>
        </w:rPr>
      </w:pPr>
      <w:r>
        <w:rPr>
          <w:rFonts w:hint="eastAsia" w:ascii="宋体" w:hAnsi="宋体"/>
          <w:b/>
          <w:sz w:val="24"/>
          <w:szCs w:val="24"/>
        </w:rPr>
        <w:t>六、合同的终止、解除及违约责任</w:t>
      </w:r>
    </w:p>
    <w:p>
      <w:pPr>
        <w:spacing w:line="360" w:lineRule="auto"/>
        <w:ind w:firstLine="480" w:firstLineChars="200"/>
        <w:rPr>
          <w:rFonts w:ascii="宋体" w:hAnsi="宋体"/>
          <w:sz w:val="24"/>
          <w:szCs w:val="24"/>
        </w:rPr>
      </w:pPr>
      <w:r>
        <w:rPr>
          <w:rFonts w:hint="eastAsia" w:ascii="宋体" w:hAnsi="宋体"/>
          <w:sz w:val="24"/>
          <w:szCs w:val="24"/>
        </w:rPr>
        <w:t>（一）乙方在管护合同期内有下列行为之一的，甲方可终止、解除合同。</w:t>
      </w:r>
    </w:p>
    <w:p>
      <w:pPr>
        <w:spacing w:line="360" w:lineRule="auto"/>
        <w:ind w:firstLine="480" w:firstLineChars="200"/>
        <w:rPr>
          <w:rFonts w:ascii="宋体" w:hAnsi="宋体"/>
          <w:sz w:val="24"/>
          <w:szCs w:val="24"/>
        </w:rPr>
      </w:pPr>
      <w:r>
        <w:rPr>
          <w:rFonts w:hint="eastAsia" w:ascii="宋体" w:hAnsi="宋体"/>
          <w:sz w:val="24"/>
          <w:szCs w:val="24"/>
        </w:rPr>
        <w:t xml:space="preserve">1、乙方未尽到管护林地林木义务的，原栽植林株数存活率低于85%,面积保存率低于100%;每年下发整改通知书累计达3次的 </w:t>
      </w:r>
      <w:r>
        <w:rPr>
          <w:rFonts w:ascii="宋体" w:hAnsi="宋体"/>
          <w:sz w:val="24"/>
          <w:szCs w:val="24"/>
        </w:rPr>
        <w:t xml:space="preserve"> </w:t>
      </w:r>
      <w:r>
        <w:rPr>
          <w:rFonts w:hint="eastAsia" w:ascii="宋体" w:hAnsi="宋体"/>
          <w:sz w:val="24"/>
          <w:szCs w:val="24"/>
        </w:rPr>
        <w:t>，甲方有权终止、解除合同；</w:t>
      </w:r>
    </w:p>
    <w:p>
      <w:pPr>
        <w:spacing w:line="360" w:lineRule="auto"/>
        <w:ind w:firstLine="480" w:firstLineChars="200"/>
        <w:rPr>
          <w:rFonts w:ascii="宋体" w:hAnsi="宋体"/>
          <w:sz w:val="24"/>
          <w:szCs w:val="24"/>
        </w:rPr>
      </w:pPr>
      <w:r>
        <w:rPr>
          <w:rFonts w:hint="eastAsia" w:ascii="宋体" w:hAnsi="宋体"/>
          <w:sz w:val="24"/>
          <w:szCs w:val="24"/>
        </w:rPr>
        <w:t>2、乙方自身条件确实难以继续履行本合同的；</w:t>
      </w:r>
    </w:p>
    <w:p>
      <w:pPr>
        <w:spacing w:line="360" w:lineRule="auto"/>
        <w:ind w:firstLine="480" w:firstLineChars="200"/>
        <w:rPr>
          <w:rFonts w:ascii="宋体" w:hAnsi="宋体"/>
          <w:sz w:val="24"/>
          <w:szCs w:val="24"/>
        </w:rPr>
      </w:pPr>
      <w:r>
        <w:rPr>
          <w:rFonts w:hint="eastAsia" w:ascii="宋体" w:hAnsi="宋体"/>
          <w:sz w:val="24"/>
          <w:szCs w:val="24"/>
        </w:rPr>
        <w:t>3、甲方对乙方年度管护工作检查验收不合格的；</w:t>
      </w:r>
    </w:p>
    <w:p>
      <w:pPr>
        <w:spacing w:line="360" w:lineRule="auto"/>
        <w:ind w:firstLine="480" w:firstLineChars="200"/>
        <w:rPr>
          <w:rFonts w:ascii="宋体" w:hAnsi="宋体"/>
          <w:sz w:val="24"/>
          <w:szCs w:val="24"/>
        </w:rPr>
      </w:pPr>
      <w:r>
        <w:rPr>
          <w:rFonts w:hint="eastAsia" w:ascii="宋体" w:hAnsi="宋体"/>
          <w:sz w:val="24"/>
          <w:szCs w:val="24"/>
        </w:rPr>
        <w:t>4、乙方明确放弃履行本合同义务，或通过其行为可以默认是放弃履行本合同义务的：</w:t>
      </w:r>
    </w:p>
    <w:p>
      <w:pPr>
        <w:spacing w:line="360" w:lineRule="auto"/>
        <w:ind w:firstLine="480" w:firstLineChars="200"/>
        <w:rPr>
          <w:rFonts w:ascii="宋体" w:hAnsi="宋体"/>
          <w:sz w:val="24"/>
          <w:szCs w:val="24"/>
        </w:rPr>
      </w:pPr>
      <w:r>
        <w:rPr>
          <w:rFonts w:hint="eastAsia" w:ascii="宋体" w:hAnsi="宋体"/>
          <w:sz w:val="24"/>
          <w:szCs w:val="24"/>
        </w:rPr>
        <w:t>5、如因政府规划建设、征用等原因导致部分林地不能继续管护的，解除部分林地的管护约定，甲方按实际面积和投标清单报价核算管护面积及费用。</w:t>
      </w:r>
    </w:p>
    <w:p>
      <w:pPr>
        <w:spacing w:line="360" w:lineRule="auto"/>
        <w:ind w:firstLine="480" w:firstLineChars="200"/>
        <w:rPr>
          <w:rFonts w:ascii="宋体" w:hAnsi="宋体"/>
          <w:sz w:val="24"/>
          <w:szCs w:val="24"/>
        </w:rPr>
      </w:pPr>
      <w:r>
        <w:rPr>
          <w:rFonts w:hint="eastAsia" w:ascii="宋体" w:hAnsi="宋体"/>
          <w:sz w:val="24"/>
          <w:szCs w:val="24"/>
        </w:rPr>
        <w:t>6、乙方违反合同约定，没有尽到管护责任、履行义务的，方有权终止、解除合同。</w:t>
      </w:r>
    </w:p>
    <w:p>
      <w:pPr>
        <w:spacing w:line="360" w:lineRule="auto"/>
        <w:ind w:firstLine="480" w:firstLineChars="200"/>
        <w:rPr>
          <w:rFonts w:ascii="宋体" w:hAnsi="宋体"/>
          <w:sz w:val="24"/>
          <w:szCs w:val="24"/>
        </w:rPr>
      </w:pPr>
      <w:r>
        <w:rPr>
          <w:rFonts w:hint="eastAsia" w:ascii="宋体" w:hAnsi="宋体"/>
          <w:sz w:val="24"/>
          <w:szCs w:val="24"/>
        </w:rPr>
        <w:t>7、合同中提出各种情形的；</w:t>
      </w:r>
    </w:p>
    <w:p>
      <w:pPr>
        <w:spacing w:line="360" w:lineRule="auto"/>
        <w:ind w:firstLine="480" w:firstLineChars="200"/>
        <w:rPr>
          <w:rFonts w:ascii="宋体" w:hAnsi="宋体"/>
          <w:sz w:val="24"/>
          <w:szCs w:val="24"/>
        </w:rPr>
      </w:pPr>
      <w:r>
        <w:rPr>
          <w:rFonts w:hint="eastAsia" w:ascii="宋体" w:hAnsi="宋体"/>
          <w:sz w:val="24"/>
          <w:szCs w:val="24"/>
        </w:rPr>
        <w:t>8、法律规定其他情形。</w:t>
      </w:r>
    </w:p>
    <w:p>
      <w:pPr>
        <w:spacing w:line="360" w:lineRule="auto"/>
        <w:ind w:firstLine="480" w:firstLineChars="200"/>
        <w:rPr>
          <w:rFonts w:ascii="宋体" w:hAnsi="宋体"/>
          <w:sz w:val="24"/>
          <w:szCs w:val="24"/>
        </w:rPr>
      </w:pPr>
      <w:r>
        <w:rPr>
          <w:rFonts w:hint="eastAsia" w:ascii="宋体" w:hAnsi="宋体"/>
          <w:sz w:val="24"/>
          <w:szCs w:val="24"/>
        </w:rPr>
        <w:t>（二）违约责任</w:t>
      </w:r>
    </w:p>
    <w:p>
      <w:pPr>
        <w:spacing w:line="360" w:lineRule="auto"/>
        <w:ind w:firstLine="480" w:firstLineChars="200"/>
        <w:rPr>
          <w:rFonts w:ascii="宋体" w:hAnsi="宋体"/>
          <w:sz w:val="24"/>
          <w:szCs w:val="24"/>
        </w:rPr>
      </w:pPr>
      <w:r>
        <w:rPr>
          <w:rFonts w:hint="eastAsia" w:ascii="宋体" w:hAnsi="宋体"/>
          <w:sz w:val="24"/>
          <w:szCs w:val="24"/>
        </w:rPr>
        <w:t>1、乙方不能履行本合同的，甲方有权扣除履约保证金。</w:t>
      </w:r>
    </w:p>
    <w:p>
      <w:pPr>
        <w:spacing w:line="360" w:lineRule="auto"/>
        <w:ind w:firstLine="480" w:firstLineChars="200"/>
        <w:rPr>
          <w:rFonts w:ascii="宋体" w:hAnsi="宋体"/>
          <w:sz w:val="24"/>
          <w:szCs w:val="24"/>
        </w:rPr>
      </w:pPr>
      <w:r>
        <w:rPr>
          <w:rFonts w:hint="eastAsia" w:ascii="宋体" w:hAnsi="宋体"/>
          <w:sz w:val="24"/>
          <w:szCs w:val="24"/>
        </w:rPr>
        <w:t>2、乙方因管护不力造成甲方林地、林木、设施被毁被盗等损失的，乙方应承担全部赔偿责任。</w:t>
      </w:r>
    </w:p>
    <w:p>
      <w:pPr>
        <w:spacing w:line="360" w:lineRule="auto"/>
        <w:ind w:firstLine="480" w:firstLineChars="200"/>
        <w:rPr>
          <w:rFonts w:ascii="宋体" w:hAnsi="宋体"/>
          <w:sz w:val="24"/>
          <w:szCs w:val="24"/>
        </w:rPr>
      </w:pPr>
      <w:r>
        <w:rPr>
          <w:rFonts w:hint="eastAsia" w:ascii="宋体" w:hAnsi="宋体"/>
          <w:sz w:val="24"/>
          <w:szCs w:val="24"/>
        </w:rPr>
        <w:t>3、非乙方原因，甲方无故解除和不履行合同的，由甲方赔偿合同总价款10%的违约金。</w:t>
      </w:r>
    </w:p>
    <w:p>
      <w:pPr>
        <w:spacing w:line="360" w:lineRule="auto"/>
        <w:rPr>
          <w:rFonts w:ascii="宋体" w:hAnsi="宋体"/>
          <w:b/>
          <w:sz w:val="24"/>
          <w:szCs w:val="24"/>
        </w:rPr>
      </w:pPr>
      <w:r>
        <w:rPr>
          <w:rFonts w:hint="eastAsia" w:ascii="宋体" w:hAnsi="宋体"/>
          <w:b/>
          <w:sz w:val="24"/>
          <w:szCs w:val="24"/>
        </w:rPr>
        <w:t>七、争议解决</w:t>
      </w:r>
    </w:p>
    <w:p>
      <w:pPr>
        <w:spacing w:line="360" w:lineRule="auto"/>
        <w:ind w:firstLine="480" w:firstLineChars="200"/>
        <w:rPr>
          <w:rFonts w:ascii="宋体" w:hAnsi="宋体"/>
          <w:sz w:val="24"/>
          <w:szCs w:val="24"/>
        </w:rPr>
      </w:pPr>
      <w:r>
        <w:rPr>
          <w:rFonts w:hint="eastAsia" w:ascii="宋体" w:hAnsi="宋体"/>
          <w:sz w:val="24"/>
          <w:szCs w:val="24"/>
        </w:rPr>
        <w:t>由于本合同而发生的争议，双方先协商解决。如协商不成，由土地所在地法院管辖，通过法律渠道处理解决、</w:t>
      </w:r>
    </w:p>
    <w:p>
      <w:pPr>
        <w:spacing w:line="360" w:lineRule="auto"/>
        <w:rPr>
          <w:rFonts w:ascii="宋体" w:hAnsi="宋体"/>
          <w:b/>
          <w:sz w:val="24"/>
          <w:szCs w:val="24"/>
        </w:rPr>
      </w:pPr>
      <w:r>
        <w:rPr>
          <w:rFonts w:hint="eastAsia" w:ascii="宋体" w:hAnsi="宋体"/>
          <w:b/>
          <w:sz w:val="24"/>
          <w:szCs w:val="24"/>
        </w:rPr>
        <w:t>八、遇到不可抗拒的自然灾害，造成管护林木和面积损失的，经调查核实属实的，乙方无需对自然灾害造成的损失负责。</w:t>
      </w:r>
    </w:p>
    <w:p>
      <w:pPr>
        <w:spacing w:line="360" w:lineRule="auto"/>
        <w:rPr>
          <w:rFonts w:ascii="宋体" w:hAnsi="宋体"/>
          <w:b/>
          <w:sz w:val="24"/>
          <w:szCs w:val="24"/>
        </w:rPr>
      </w:pPr>
      <w:r>
        <w:rPr>
          <w:rFonts w:hint="eastAsia" w:ascii="宋体" w:hAnsi="宋体"/>
          <w:b/>
          <w:sz w:val="24"/>
          <w:szCs w:val="24"/>
        </w:rPr>
        <w:t>九、本合同未尽事宜，经双方协商同意，签订补充协议</w:t>
      </w:r>
    </w:p>
    <w:p>
      <w:pPr>
        <w:spacing w:line="360" w:lineRule="auto"/>
        <w:ind w:firstLine="480" w:firstLineChars="200"/>
        <w:rPr>
          <w:rFonts w:ascii="宋体" w:hAnsi="宋体"/>
          <w:sz w:val="24"/>
          <w:szCs w:val="24"/>
        </w:rPr>
      </w:pPr>
      <w:r>
        <w:rPr>
          <w:rFonts w:hint="eastAsia" w:ascii="宋体" w:hAnsi="宋体"/>
          <w:sz w:val="24"/>
          <w:szCs w:val="24"/>
        </w:rPr>
        <w:t>作合同附件，与本合同具有同等效力。</w:t>
      </w:r>
    </w:p>
    <w:p>
      <w:pPr>
        <w:spacing w:line="360" w:lineRule="auto"/>
        <w:rPr>
          <w:rFonts w:ascii="宋体" w:hAnsi="宋体"/>
          <w:b/>
          <w:sz w:val="24"/>
          <w:szCs w:val="24"/>
        </w:rPr>
      </w:pPr>
      <w:r>
        <w:rPr>
          <w:rFonts w:hint="eastAsia" w:ascii="宋体" w:hAnsi="宋体"/>
          <w:b/>
          <w:sz w:val="24"/>
          <w:szCs w:val="24"/>
        </w:rPr>
        <w:t>十、本合同自双方签字盖章之日起生效。</w:t>
      </w:r>
    </w:p>
    <w:p>
      <w:pPr>
        <w:spacing w:line="360" w:lineRule="auto"/>
        <w:rPr>
          <w:rFonts w:ascii="宋体" w:hAnsi="宋体"/>
          <w:sz w:val="24"/>
          <w:szCs w:val="24"/>
        </w:rPr>
      </w:pPr>
      <w:r>
        <w:rPr>
          <w:rFonts w:hint="eastAsia" w:ascii="宋体" w:hAnsi="宋体"/>
          <w:b/>
          <w:sz w:val="24"/>
          <w:szCs w:val="24"/>
        </w:rPr>
        <w:t>十一、附件：</w:t>
      </w:r>
      <w:r>
        <w:rPr>
          <w:rFonts w:hint="eastAsia" w:ascii="宋体" w:hAnsi="宋体"/>
          <w:sz w:val="24"/>
          <w:szCs w:val="24"/>
        </w:rPr>
        <w:t>量化考核明细表</w:t>
      </w:r>
    </w:p>
    <w:p>
      <w:pPr>
        <w:spacing w:line="360" w:lineRule="auto"/>
        <w:rPr>
          <w:rFonts w:ascii="宋体" w:hAnsi="宋体"/>
          <w:b/>
          <w:sz w:val="24"/>
          <w:szCs w:val="24"/>
        </w:rPr>
      </w:pPr>
      <w:r>
        <w:rPr>
          <w:rFonts w:hint="eastAsia" w:ascii="宋体" w:hAnsi="宋体"/>
          <w:b/>
          <w:sz w:val="24"/>
          <w:szCs w:val="24"/>
        </w:rPr>
        <w:t>十二、本合同一式肆份，甲乙双方各执贰份。</w:t>
      </w:r>
    </w:p>
    <w:p>
      <w:pPr>
        <w:spacing w:line="360" w:lineRule="auto"/>
        <w:rPr>
          <w:rFonts w:ascii="宋体" w:hAnsi="宋体"/>
          <w:sz w:val="24"/>
          <w:szCs w:val="24"/>
        </w:rPr>
      </w:pPr>
    </w:p>
    <w:p>
      <w:pPr>
        <w:pStyle w:val="20"/>
        <w:tabs>
          <w:tab w:val="left" w:pos="567"/>
        </w:tabs>
        <w:rPr>
          <w:rFonts w:ascii="宋体" w:hAnsi="宋体"/>
          <w:szCs w:val="24"/>
        </w:rPr>
      </w:pPr>
    </w:p>
    <w:p>
      <w:pPr>
        <w:pStyle w:val="20"/>
        <w:tabs>
          <w:tab w:val="left" w:pos="567"/>
        </w:tabs>
        <w:rPr>
          <w:rFonts w:ascii="宋体" w:hAnsi="宋体"/>
          <w:szCs w:val="24"/>
        </w:rPr>
      </w:pPr>
    </w:p>
    <w:p>
      <w:pPr>
        <w:pStyle w:val="20"/>
        <w:tabs>
          <w:tab w:val="left" w:pos="567"/>
        </w:tabs>
        <w:rPr>
          <w:rFonts w:ascii="宋体" w:hAnsi="宋体"/>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b/>
          <w:sz w:val="24"/>
          <w:szCs w:val="24"/>
        </w:rPr>
        <w:t>甲   方：</w:t>
      </w:r>
      <w:r>
        <w:rPr>
          <w:rFonts w:hint="eastAsia" w:ascii="宋体" w:hAnsi="宋体"/>
          <w:sz w:val="24"/>
          <w:szCs w:val="24"/>
          <w:lang w:eastAsia="zh-CN"/>
        </w:rPr>
        <w:t>伊吾县苇子峡乡人民政府</w:t>
      </w:r>
      <w:r>
        <w:rPr>
          <w:rFonts w:hint="eastAsia" w:ascii="宋体" w:hAnsi="宋体"/>
          <w:sz w:val="24"/>
          <w:szCs w:val="24"/>
        </w:rPr>
        <w:t xml:space="preserve">   </w:t>
      </w:r>
      <w:r>
        <w:rPr>
          <w:rFonts w:ascii="宋体" w:hAnsi="宋体"/>
          <w:sz w:val="24"/>
          <w:szCs w:val="24"/>
        </w:rPr>
        <w:t xml:space="preserve">      </w:t>
      </w:r>
      <w:r>
        <w:rPr>
          <w:rFonts w:hint="eastAsia" w:ascii="宋体" w:hAnsi="宋体"/>
          <w:b/>
          <w:sz w:val="24"/>
          <w:szCs w:val="24"/>
        </w:rPr>
        <w:t>乙   方：</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b/>
          <w:sz w:val="24"/>
          <w:szCs w:val="24"/>
        </w:rPr>
        <w:t>法人代表签字：</w:t>
      </w:r>
      <w:r>
        <w:rPr>
          <w:rFonts w:hint="eastAsia" w:ascii="宋体" w:hAnsi="宋体"/>
          <w:sz w:val="24"/>
          <w:szCs w:val="24"/>
        </w:rPr>
        <w:t xml:space="preserve">              </w:t>
      </w:r>
      <w:r>
        <w:rPr>
          <w:rFonts w:ascii="宋体" w:hAnsi="宋体"/>
          <w:sz w:val="24"/>
          <w:szCs w:val="24"/>
        </w:rPr>
        <w:t xml:space="preserve">      </w:t>
      </w:r>
      <w:r>
        <w:rPr>
          <w:rFonts w:hint="eastAsia" w:ascii="宋体" w:hAnsi="宋体"/>
          <w:b/>
          <w:sz w:val="24"/>
          <w:szCs w:val="24"/>
        </w:rPr>
        <w:t>法人代表签字：</w:t>
      </w:r>
    </w:p>
    <w:p>
      <w:pPr>
        <w:spacing w:line="360" w:lineRule="auto"/>
        <w:rPr>
          <w:rFonts w:ascii="宋体" w:hAnsi="宋体"/>
          <w:sz w:val="24"/>
          <w:szCs w:val="24"/>
        </w:rPr>
      </w:pPr>
    </w:p>
    <w:p>
      <w:pPr>
        <w:pStyle w:val="20"/>
        <w:tabs>
          <w:tab w:val="left" w:pos="567"/>
        </w:tabs>
        <w:rPr>
          <w:rFonts w:ascii="宋体" w:hAnsi="宋体"/>
          <w:szCs w:val="24"/>
        </w:rPr>
      </w:pPr>
    </w:p>
    <w:p>
      <w:pPr>
        <w:pStyle w:val="20"/>
        <w:tabs>
          <w:tab w:val="left" w:pos="567"/>
        </w:tabs>
        <w:rPr>
          <w:rFonts w:ascii="宋体" w:hAnsi="宋体"/>
          <w:szCs w:val="24"/>
        </w:rPr>
      </w:pPr>
    </w:p>
    <w:p>
      <w:pPr>
        <w:pStyle w:val="20"/>
        <w:tabs>
          <w:tab w:val="left" w:pos="567"/>
        </w:tabs>
        <w:ind w:firstLine="361" w:firstLineChars="150"/>
        <w:rPr>
          <w:rFonts w:ascii="宋体" w:hAnsi="宋体"/>
          <w:b/>
          <w:szCs w:val="24"/>
        </w:rPr>
      </w:pPr>
      <w:r>
        <w:rPr>
          <w:rFonts w:hint="eastAsia" w:ascii="宋体" w:hAnsi="宋体"/>
          <w:b/>
          <w:szCs w:val="24"/>
        </w:rPr>
        <w:t xml:space="preserve">年 </w:t>
      </w:r>
      <w:r>
        <w:rPr>
          <w:rFonts w:ascii="宋体" w:hAnsi="宋体"/>
          <w:b/>
          <w:szCs w:val="24"/>
        </w:rPr>
        <w:t xml:space="preserve">  </w:t>
      </w:r>
      <w:r>
        <w:rPr>
          <w:rFonts w:hint="eastAsia" w:ascii="宋体" w:hAnsi="宋体"/>
          <w:b/>
          <w:szCs w:val="24"/>
        </w:rPr>
        <w:t xml:space="preserve"> 月    日 </w:t>
      </w:r>
      <w:r>
        <w:rPr>
          <w:rFonts w:hint="eastAsia" w:ascii="宋体" w:hAnsi="宋体"/>
          <w:szCs w:val="24"/>
        </w:rPr>
        <w:t xml:space="preserve">          </w:t>
      </w:r>
      <w:r>
        <w:rPr>
          <w:rFonts w:ascii="宋体" w:hAnsi="宋体"/>
          <w:szCs w:val="24"/>
        </w:rPr>
        <w:t xml:space="preserve">    </w:t>
      </w:r>
      <w:r>
        <w:rPr>
          <w:rFonts w:hint="eastAsia" w:ascii="宋体" w:hAnsi="宋体"/>
          <w:szCs w:val="24"/>
        </w:rPr>
        <w:t xml:space="preserve"> </w:t>
      </w:r>
      <w:r>
        <w:rPr>
          <w:rFonts w:ascii="宋体" w:hAnsi="宋体"/>
          <w:szCs w:val="24"/>
        </w:rPr>
        <w:t xml:space="preserve"> </w:t>
      </w:r>
      <w:r>
        <w:rPr>
          <w:rFonts w:ascii="宋体" w:hAnsi="宋体"/>
          <w:b/>
          <w:szCs w:val="24"/>
        </w:rPr>
        <w:t xml:space="preserve">   </w:t>
      </w:r>
      <w:r>
        <w:rPr>
          <w:rFonts w:hint="eastAsia" w:ascii="宋体" w:hAnsi="宋体"/>
          <w:b/>
          <w:szCs w:val="24"/>
        </w:rPr>
        <w:t xml:space="preserve">年  </w:t>
      </w:r>
      <w:r>
        <w:rPr>
          <w:rFonts w:ascii="宋体" w:hAnsi="宋体"/>
          <w:b/>
          <w:szCs w:val="24"/>
        </w:rPr>
        <w:t xml:space="preserve">  </w:t>
      </w:r>
      <w:r>
        <w:rPr>
          <w:rFonts w:hint="eastAsia" w:ascii="宋体" w:hAnsi="宋体"/>
          <w:b/>
          <w:szCs w:val="24"/>
        </w:rPr>
        <w:t>月    日</w:t>
      </w:r>
    </w:p>
    <w:p>
      <w:pPr>
        <w:pStyle w:val="20"/>
        <w:tabs>
          <w:tab w:val="left" w:pos="567"/>
        </w:tabs>
        <w:jc w:val="center"/>
        <w:rPr>
          <w:rFonts w:ascii="宋体" w:hAnsi="宋体"/>
          <w:b/>
          <w:kern w:val="0"/>
          <w:sz w:val="30"/>
          <w:szCs w:val="30"/>
          <w:lang w:val="zh-CN"/>
        </w:rPr>
      </w:pPr>
      <w:r>
        <w:br w:type="page"/>
      </w:r>
    </w:p>
    <w:p>
      <w:pPr>
        <w:pStyle w:val="2"/>
        <w:bidi w:val="0"/>
        <w:jc w:val="center"/>
        <w:rPr>
          <w:rFonts w:hint="eastAsia"/>
          <w:lang w:val="en-US" w:eastAsia="zh-CN"/>
        </w:rPr>
      </w:pPr>
      <w:bookmarkStart w:id="53" w:name="_Toc24413"/>
      <w:r>
        <w:rPr>
          <w:rFonts w:hint="eastAsia"/>
          <w:lang w:val="en-US" w:eastAsia="zh-CN"/>
        </w:rPr>
        <w:t>第五章 采购需求</w:t>
      </w:r>
      <w:bookmarkEnd w:id="49"/>
      <w:bookmarkEnd w:id="50"/>
      <w:bookmarkEnd w:id="51"/>
      <w:bookmarkEnd w:id="52"/>
      <w:bookmarkEnd w:id="53"/>
      <w:bookmarkStart w:id="54" w:name="_Toc2511994"/>
      <w:bookmarkStart w:id="55" w:name="_Toc14776844"/>
    </w:p>
    <w:bookmarkEnd w:id="54"/>
    <w:bookmarkEnd w:id="55"/>
    <w:p>
      <w:pPr>
        <w:pStyle w:val="2"/>
        <w:bidi w:val="0"/>
        <w:spacing w:line="360" w:lineRule="auto"/>
        <w:ind w:firstLine="964" w:firstLineChars="300"/>
        <w:jc w:val="both"/>
        <w:rPr>
          <w:rFonts w:hint="eastAsia" w:ascii="宋体" w:hAnsi="宋体" w:eastAsia="宋体" w:cs="宋体"/>
          <w:b/>
          <w:bCs/>
          <w:kern w:val="2"/>
          <w:sz w:val="32"/>
          <w:szCs w:val="32"/>
          <w:highlight w:val="none"/>
          <w:lang w:val="en-US" w:eastAsia="en-US" w:bidi="ar-SA"/>
        </w:rPr>
      </w:pPr>
      <w:r>
        <w:rPr>
          <w:rFonts w:hint="eastAsia" w:ascii="宋体" w:hAnsi="宋体" w:eastAsia="宋体" w:cs="宋体"/>
          <w:b/>
          <w:bCs/>
          <w:kern w:val="2"/>
          <w:sz w:val="32"/>
          <w:szCs w:val="32"/>
          <w:highlight w:val="none"/>
          <w:lang w:val="en-US" w:eastAsia="en-US" w:bidi="ar-SA"/>
        </w:rPr>
        <w:t>一、背景</w:t>
      </w:r>
    </w:p>
    <w:p>
      <w:pPr>
        <w:pageBreakBefore w:val="0"/>
        <w:kinsoku/>
        <w:wordWrap/>
        <w:overflowPunct/>
        <w:topLinePunct w:val="0"/>
        <w:autoSpaceDN/>
        <w:bidi w:val="0"/>
        <w:spacing w:line="580" w:lineRule="exact"/>
        <w:ind w:firstLine="480" w:firstLineChars="200"/>
        <w:textAlignment w:val="auto"/>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苇子峡乡林业工作站管护范围达到7532.7亩，其中杏林基地5015.8亩；太阳历广场防护林981.9亩；绿色通道790亩；农田防护林745亩。</w:t>
      </w:r>
    </w:p>
    <w:p>
      <w:pPr>
        <w:pageBreakBefore w:val="0"/>
        <w:kinsoku/>
        <w:wordWrap/>
        <w:overflowPunct/>
        <w:topLinePunct w:val="0"/>
        <w:autoSpaceDN/>
        <w:bidi w:val="0"/>
        <w:spacing w:line="580" w:lineRule="exact"/>
        <w:ind w:firstLine="480" w:firstLineChars="200"/>
        <w:textAlignment w:val="auto"/>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近年来，由于受气候、人员短缺等其他因素影响导致灌溉不足、灌溉设施不完善，管护管理跟不上造成部分地区以防护林为主的生态防护林不同程度影响，生态防护效能无法充分发挥。同时随着编外人员清退、公益性岗位人员减少，公益林管护员不从事本职以外的其他工作规定等影响，乡镇对防护林管护压力日益增大，导致生态防护效能无法充分发挥。</w:t>
      </w:r>
    </w:p>
    <w:p>
      <w:pPr>
        <w:pageBreakBefore w:val="0"/>
        <w:kinsoku/>
        <w:wordWrap/>
        <w:overflowPunct/>
        <w:topLinePunct w:val="0"/>
        <w:autoSpaceDN/>
        <w:bidi w:val="0"/>
        <w:spacing w:line="580" w:lineRule="exact"/>
        <w:ind w:firstLine="480" w:firstLineChars="200"/>
        <w:textAlignment w:val="auto"/>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因此通过乡级林地保护利用规划，实现林地科学管理，优化用地结构，规范林地用途，遏止乱垦滥占林地，提高林地利用效益，充分发挥林地的生产潜力，为乡域林地严格保护和合理利用提供科学依据。</w:t>
      </w:r>
    </w:p>
    <w:p>
      <w:pPr>
        <w:pageBreakBefore w:val="0"/>
        <w:kinsoku/>
        <w:wordWrap/>
        <w:overflowPunct/>
        <w:topLinePunct w:val="0"/>
        <w:autoSpaceDN/>
        <w:bidi w:val="0"/>
        <w:spacing w:line="5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  托管内容</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托管范围：</w:t>
      </w:r>
      <w:r>
        <w:rPr>
          <w:rFonts w:hint="eastAsia" w:asciiTheme="minorEastAsia" w:hAnsiTheme="minorEastAsia" w:eastAsiaTheme="minorEastAsia" w:cstheme="minorEastAsia"/>
          <w:b w:val="0"/>
          <w:bCs w:val="0"/>
          <w:kern w:val="2"/>
          <w:sz w:val="24"/>
          <w:szCs w:val="24"/>
          <w:lang w:val="en-US" w:eastAsia="zh-CN" w:bidi="ar-SA"/>
        </w:rPr>
        <w:t>苇子峡乡辖区7532.7亩林带进行托管，其中杏林基地5015.8亩；太阳历广场防护林981.9亩；绿色通道790亩；农田防护林745亩，包含日常灌溉、补植补造、病虫害防治、施肥、修剪涂白、水电设施设备、灌溉设施设备维修管护等内容。</w:t>
      </w:r>
    </w:p>
    <w:p>
      <w:pPr>
        <w:pageBreakBefore w:val="0"/>
        <w:kinsoku/>
        <w:wordWrap/>
        <w:overflowPunct/>
        <w:topLinePunct w:val="0"/>
        <w:autoSpaceDN/>
        <w:bidi w:val="0"/>
        <w:spacing w:line="580" w:lineRule="exact"/>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kern w:val="2"/>
          <w:sz w:val="24"/>
          <w:szCs w:val="24"/>
          <w:lang w:val="en-US" w:eastAsia="zh-CN" w:bidi="ar-SA"/>
        </w:rPr>
        <w:t>（二）护林防火。</w:t>
      </w:r>
      <w:r>
        <w:rPr>
          <w:rFonts w:hint="eastAsia" w:asciiTheme="minorEastAsia" w:hAnsiTheme="minorEastAsia" w:eastAsiaTheme="minorEastAsia" w:cstheme="minorEastAsia"/>
          <w:sz w:val="24"/>
          <w:szCs w:val="24"/>
          <w:lang w:val="en-US" w:eastAsia="zh-CN"/>
        </w:rPr>
        <w:t>责任人要承担起责任区森林防火巡查、管护工作，及时发现和报告火情。</w:t>
      </w:r>
    </w:p>
    <w:p>
      <w:pPr>
        <w:pageBreakBefore w:val="0"/>
        <w:kinsoku/>
        <w:wordWrap/>
        <w:overflowPunct/>
        <w:topLinePunct w:val="0"/>
        <w:autoSpaceDN/>
        <w:bidi w:val="0"/>
        <w:spacing w:line="580" w:lineRule="exact"/>
        <w:ind w:firstLine="482"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（二）保护林地。</w:t>
      </w:r>
      <w:r>
        <w:rPr>
          <w:rFonts w:hint="eastAsia" w:asciiTheme="minorEastAsia" w:hAnsiTheme="minorEastAsia" w:eastAsiaTheme="minorEastAsia" w:cstheme="minorEastAsia"/>
          <w:sz w:val="24"/>
          <w:szCs w:val="24"/>
          <w:lang w:val="en-US" w:eastAsia="zh-CN"/>
        </w:rPr>
        <w:t>责任人要承担责任区内森林管理工作，确保森林资源不受破坏和侵犯，及时发现和制止一切毁林行为。</w:t>
      </w:r>
    </w:p>
    <w:p>
      <w:pPr>
        <w:pageBreakBefore w:val="0"/>
        <w:kinsoku/>
        <w:wordWrap/>
        <w:overflowPunct/>
        <w:topLinePunct w:val="0"/>
        <w:autoSpaceDN/>
        <w:bidi w:val="0"/>
        <w:spacing w:line="580" w:lineRule="exact"/>
        <w:ind w:firstLine="482"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（三）预测预防森林病虫害。</w:t>
      </w:r>
      <w:r>
        <w:rPr>
          <w:rFonts w:hint="eastAsia" w:asciiTheme="minorEastAsia" w:hAnsiTheme="minorEastAsia" w:eastAsiaTheme="minorEastAsia" w:cstheme="minorEastAsia"/>
          <w:sz w:val="24"/>
          <w:szCs w:val="24"/>
          <w:lang w:val="en-US" w:eastAsia="zh-CN"/>
        </w:rPr>
        <w:t>责任人要承担起责任区内森林病虫、鼠害的预测预防工作，并及时报告疫情。</w:t>
      </w:r>
    </w:p>
    <w:p>
      <w:pPr>
        <w:pageBreakBefore w:val="0"/>
        <w:kinsoku/>
        <w:wordWrap/>
        <w:overflowPunct/>
        <w:topLinePunct w:val="0"/>
        <w:autoSpaceDN/>
        <w:bidi w:val="0"/>
        <w:spacing w:line="580" w:lineRule="exact"/>
        <w:ind w:firstLine="482"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（四）保护野生动植物。</w:t>
      </w:r>
      <w:r>
        <w:rPr>
          <w:rFonts w:hint="eastAsia" w:asciiTheme="minorEastAsia" w:hAnsiTheme="minorEastAsia" w:eastAsiaTheme="minorEastAsia" w:cstheme="minorEastAsia"/>
          <w:sz w:val="24"/>
          <w:szCs w:val="24"/>
          <w:lang w:val="en-US" w:eastAsia="zh-CN"/>
        </w:rPr>
        <w:t>责任人要承担起责任区内野生动植物保护责任，及时制止乱捕滥猎、乱挖滥采行为。</w:t>
      </w:r>
    </w:p>
    <w:p>
      <w:pPr>
        <w:pageBreakBefore w:val="0"/>
        <w:kinsoku/>
        <w:wordWrap/>
        <w:overflowPunct/>
        <w:topLinePunct w:val="0"/>
        <w:autoSpaceDN/>
        <w:bidi w:val="0"/>
        <w:spacing w:line="580" w:lineRule="exact"/>
        <w:ind w:firstLine="482"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（五）生态环境治理修复。</w:t>
      </w:r>
      <w:r>
        <w:rPr>
          <w:rFonts w:hint="eastAsia" w:asciiTheme="minorEastAsia" w:hAnsiTheme="minorEastAsia" w:eastAsiaTheme="minorEastAsia" w:cstheme="minorEastAsia"/>
          <w:sz w:val="24"/>
          <w:szCs w:val="24"/>
          <w:lang w:val="en-US" w:eastAsia="zh-CN"/>
        </w:rPr>
        <w:t>责任人要承担起责任区内对已经受损的生态系统进行修复和重建的措施。例如，通过重新植树造林、清理废弃物、防治病虫害等手段来恢复和改善林地的生态功能。</w:t>
      </w:r>
    </w:p>
    <w:p>
      <w:pPr>
        <w:pageBreakBefore w:val="0"/>
        <w:kinsoku/>
        <w:wordWrap/>
        <w:overflowPunct/>
        <w:topLinePunct w:val="0"/>
        <w:autoSpaceDN/>
        <w:bidi w:val="0"/>
        <w:spacing w:line="580" w:lineRule="exact"/>
        <w:ind w:firstLine="482"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（六）生态保护。</w:t>
      </w:r>
      <w:r>
        <w:rPr>
          <w:rFonts w:hint="eastAsia" w:asciiTheme="minorEastAsia" w:hAnsiTheme="minorEastAsia" w:eastAsiaTheme="minorEastAsia" w:cstheme="minorEastAsia"/>
          <w:sz w:val="24"/>
          <w:szCs w:val="24"/>
          <w:lang w:val="en-US" w:eastAsia="zh-CN"/>
        </w:rPr>
        <w:t>责任人要承担起责任区内加强对森林资源的保护和管理，减少违法伐木和滥砍滥伐现象，提高森林的健康水平，促进生物多样性保护。</w:t>
      </w:r>
    </w:p>
    <w:p>
      <w:pPr>
        <w:pageBreakBefore w:val="0"/>
        <w:kinsoku/>
        <w:wordWrap/>
        <w:overflowPunct/>
        <w:topLinePunct w:val="0"/>
        <w:autoSpaceDN/>
        <w:bidi w:val="0"/>
        <w:spacing w:line="58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管护要求</w:t>
      </w:r>
    </w:p>
    <w:p>
      <w:pPr>
        <w:pageBreakBefore w:val="0"/>
        <w:kinsoku/>
        <w:wordWrap/>
        <w:overflowPunct/>
        <w:topLinePunct w:val="0"/>
        <w:autoSpaceDN/>
        <w:bidi w:val="0"/>
        <w:spacing w:line="5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1、培土坑：对每棵树根部的土坑进行恢复并除草，土坑标准为半径20厘米以上。</w:t>
      </w:r>
    </w:p>
    <w:p>
      <w:pPr>
        <w:pageBreakBefore w:val="0"/>
        <w:kinsoku/>
        <w:wordWrap/>
        <w:overflowPunct/>
        <w:topLinePunct w:val="0"/>
        <w:autoSpaceDN/>
        <w:bidi w:val="0"/>
        <w:spacing w:line="5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2、过滤器：保证水力设施正常运行，洪水严禁进入自压滴灌过滤器，水池内沙子每年清淤二次 （开春前、冬灌前），过滤器每次浇水前清理，田间毛管滴水时巡线检查。</w:t>
      </w:r>
    </w:p>
    <w:p>
      <w:pPr>
        <w:pageBreakBefore w:val="0"/>
        <w:kinsoku/>
        <w:wordWrap/>
        <w:overflowPunct/>
        <w:topLinePunct w:val="0"/>
        <w:autoSpaceDN/>
        <w:bidi w:val="0"/>
        <w:spacing w:line="5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3、滴灌带：滴灌带必须在每棵树根部，确保滴头正常滴水，滴灌带末端要固定在树干下。</w:t>
      </w:r>
    </w:p>
    <w:p>
      <w:pPr>
        <w:pageBreakBefore w:val="0"/>
        <w:kinsoku/>
        <w:wordWrap/>
        <w:overflowPunct/>
        <w:topLinePunct w:val="0"/>
        <w:autoSpaceDN/>
        <w:bidi w:val="0"/>
        <w:spacing w:line="5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4、灌溉：做好灌溉情况的记录，每年漫灌区不少于4次，自压滴灌区不少于4次（不含冬灌），滴灌不少于7次。</w:t>
      </w:r>
    </w:p>
    <w:p>
      <w:pPr>
        <w:pageBreakBefore w:val="0"/>
        <w:kinsoku/>
        <w:wordWrap/>
        <w:overflowPunct/>
        <w:topLinePunct w:val="0"/>
        <w:autoSpaceDN/>
        <w:bidi w:val="0"/>
        <w:spacing w:line="5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灌溉要求：每次浇水要浇透，水利设施损坏及时维修，不能出现管道跑冒滴漏现象，要根据干渠供水量合理安排罐区，保证树木正常供水。</w:t>
      </w:r>
    </w:p>
    <w:p>
      <w:pPr>
        <w:pageBreakBefore w:val="0"/>
        <w:kinsoku/>
        <w:wordWrap/>
        <w:overflowPunct/>
        <w:topLinePunct w:val="0"/>
        <w:autoSpaceDN/>
        <w:bidi w:val="0"/>
        <w:spacing w:line="5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在漫灌浇水前先疏通渠道，保证输水干线畅通，浇水设施出现故障影响正常灌溉时及时进行维修。</w:t>
      </w:r>
    </w:p>
    <w:p>
      <w:pPr>
        <w:pageBreakBefore w:val="0"/>
        <w:kinsoku/>
        <w:wordWrap/>
        <w:overflowPunct/>
        <w:topLinePunct w:val="0"/>
        <w:autoSpaceDN/>
        <w:bidi w:val="0"/>
        <w:spacing w:line="5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5、控水及冬水时间：苇子峡控水时间是10月1号左右；控水完成后，按照水利部门的轮灌安排进行冬灌，冬灌要灌透冬水。</w:t>
      </w:r>
    </w:p>
    <w:p>
      <w:pPr>
        <w:pageBreakBefore w:val="0"/>
        <w:kinsoku/>
        <w:wordWrap/>
        <w:overflowPunct/>
        <w:topLinePunct w:val="0"/>
        <w:autoSpaceDN/>
        <w:bidi w:val="0"/>
        <w:spacing w:line="5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施肥：每年春秋季进行施肥。春季施肥时间为4月15日至25日，以尿素和磷酸二铵为主，拌均后埋入树木根部，每棵100-150克为宜；秋季施肥时间为9月15日至30日，以有机肥，叶面施肥为主，有机肥用量为2-3公斤每棵。</w:t>
      </w:r>
    </w:p>
    <w:p>
      <w:pPr>
        <w:pageBreakBefore w:val="0"/>
        <w:kinsoku/>
        <w:wordWrap/>
        <w:overflowPunct/>
        <w:topLinePunct w:val="0"/>
        <w:autoSpaceDN/>
        <w:bidi w:val="0"/>
        <w:spacing w:line="5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7、病虫，鼠，兔害防治；根据实际和森防人员预测预报情况，按林业局防治要求完成。</w:t>
      </w:r>
    </w:p>
    <w:p>
      <w:pPr>
        <w:pageBreakBefore w:val="0"/>
        <w:kinsoku/>
        <w:wordWrap/>
        <w:overflowPunct/>
        <w:topLinePunct w:val="0"/>
        <w:autoSpaceDN/>
        <w:bidi w:val="0"/>
        <w:spacing w:line="5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8、修枝：秋季控水后进行。</w:t>
      </w:r>
    </w:p>
    <w:p>
      <w:pPr>
        <w:pageBreakBefore w:val="0"/>
        <w:kinsoku/>
        <w:wordWrap/>
        <w:overflowPunct/>
        <w:topLinePunct w:val="0"/>
        <w:autoSpaceDN/>
        <w:bidi w:val="0"/>
        <w:spacing w:line="5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9、树木涂白:与修剪同步进行。</w:t>
      </w:r>
    </w:p>
    <w:p>
      <w:pPr>
        <w:pageBreakBefore w:val="0"/>
        <w:kinsoku/>
        <w:wordWrap/>
        <w:overflowPunct/>
        <w:topLinePunct w:val="0"/>
        <w:autoSpaceDN/>
        <w:bidi w:val="0"/>
        <w:spacing w:line="580" w:lineRule="exact"/>
        <w:ind w:firstLine="480" w:firstLineChars="200"/>
        <w:textAlignment w:val="auto"/>
        <w:rPr>
          <w:rFonts w:hint="eastAsia" w:asciiTheme="minorEastAsia" w:hAnsiTheme="minorEastAsia" w:eastAsiaTheme="minorEastAsia" w:cstheme="minorEastAsia"/>
          <w:sz w:val="24"/>
          <w:szCs w:val="24"/>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rPr>
          <w:rFonts w:hint="eastAsia"/>
          <w:lang w:val="en-US" w:eastAsia="zh-CN"/>
        </w:rPr>
      </w:pPr>
    </w:p>
    <w:p>
      <w:pPr>
        <w:pStyle w:val="2"/>
        <w:bidi w:val="0"/>
        <w:rPr>
          <w:rFonts w:hint="eastAsia"/>
        </w:rPr>
      </w:pPr>
      <w:r>
        <w:rPr>
          <w:rFonts w:hint="eastAsia"/>
          <w:lang w:val="en-US" w:eastAsia="zh-CN"/>
        </w:rPr>
        <w:t>第六章   评审标准和办法</w:t>
      </w:r>
    </w:p>
    <w:p>
      <w:pPr>
        <w:spacing w:line="360" w:lineRule="auto"/>
        <w:jc w:val="left"/>
        <w:rPr>
          <w:rFonts w:hint="eastAsia" w:ascii="宋体" w:hAnsi="宋体" w:cs="宋体"/>
          <w:sz w:val="24"/>
          <w:szCs w:val="24"/>
          <w:highlight w:val="none"/>
        </w:rPr>
      </w:pPr>
      <w:r>
        <w:rPr>
          <w:rFonts w:hint="eastAsia" w:ascii="宋体" w:hAnsi="宋体" w:cs="宋体"/>
          <w:b/>
          <w:bCs/>
          <w:sz w:val="24"/>
          <w:szCs w:val="24"/>
          <w:highlight w:val="none"/>
        </w:rPr>
        <w:t>（一）资格评审</w:t>
      </w:r>
    </w:p>
    <w:p>
      <w:pPr>
        <w:spacing w:line="360" w:lineRule="auto"/>
        <w:ind w:firstLine="480" w:firstLineChars="200"/>
        <w:jc w:val="left"/>
        <w:rPr>
          <w:rFonts w:ascii="宋体" w:cs="宋体"/>
          <w:szCs w:val="21"/>
          <w:highlight w:val="none"/>
        </w:rPr>
      </w:pPr>
      <w:r>
        <w:rPr>
          <w:rFonts w:hint="eastAsia" w:ascii="宋体" w:hAnsi="宋体" w:cs="宋体"/>
          <w:sz w:val="24"/>
          <w:szCs w:val="24"/>
          <w:highlight w:val="none"/>
        </w:rPr>
        <w:t>采购项目开标结束后，采购人或者采购代理机构将依法对投标人的资格进行审查。审查记录表如下：</w:t>
      </w:r>
    </w:p>
    <w:tbl>
      <w:tblPr>
        <w:tblStyle w:val="53"/>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8"/>
        <w:gridCol w:w="2369"/>
        <w:gridCol w:w="4713"/>
        <w:gridCol w:w="483"/>
        <w:gridCol w:w="483"/>
        <w:gridCol w:w="4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5" w:hRule="atLeast"/>
          <w:jc w:val="center"/>
        </w:trPr>
        <w:tc>
          <w:tcPr>
            <w:tcW w:w="568" w:type="dxa"/>
            <w:tcBorders>
              <w:top w:val="single" w:color="auto" w:sz="4" w:space="0"/>
              <w:right w:val="single" w:color="auto" w:sz="4" w:space="0"/>
            </w:tcBorders>
            <w:vAlign w:val="center"/>
          </w:tcPr>
          <w:p>
            <w:pPr>
              <w:spacing w:before="60" w:beforeLines="25" w:after="60" w:afterLines="25" w:line="360" w:lineRule="auto"/>
              <w:jc w:val="center"/>
              <w:rPr>
                <w:rFonts w:ascii="宋体" w:cs="宋体"/>
                <w:sz w:val="24"/>
                <w:szCs w:val="24"/>
                <w:highlight w:val="none"/>
              </w:rPr>
            </w:pPr>
            <w:r>
              <w:rPr>
                <w:rFonts w:hint="eastAsia" w:ascii="宋体" w:hAnsi="宋体" w:cs="宋体"/>
                <w:sz w:val="24"/>
                <w:szCs w:val="24"/>
                <w:highlight w:val="none"/>
              </w:rPr>
              <w:t>序号</w:t>
            </w:r>
          </w:p>
        </w:tc>
        <w:tc>
          <w:tcPr>
            <w:tcW w:w="2369" w:type="dxa"/>
            <w:tcBorders>
              <w:top w:val="single" w:color="auto" w:sz="4" w:space="0"/>
              <w:left w:val="single" w:color="auto" w:sz="4" w:space="0"/>
              <w:right w:val="single" w:color="auto" w:sz="4" w:space="0"/>
            </w:tcBorders>
            <w:vAlign w:val="center"/>
          </w:tcPr>
          <w:p>
            <w:pPr>
              <w:spacing w:before="60" w:beforeLines="25" w:after="60" w:afterLines="25" w:line="360" w:lineRule="auto"/>
              <w:jc w:val="center"/>
              <w:rPr>
                <w:rFonts w:ascii="宋体" w:cs="宋体"/>
                <w:sz w:val="24"/>
                <w:szCs w:val="24"/>
                <w:highlight w:val="none"/>
              </w:rPr>
            </w:pPr>
            <w:r>
              <w:rPr>
                <w:rFonts w:hint="eastAsia" w:ascii="宋体" w:hAnsi="宋体" w:cs="宋体"/>
                <w:sz w:val="24"/>
                <w:szCs w:val="24"/>
                <w:highlight w:val="none"/>
              </w:rPr>
              <w:t>审查因素</w:t>
            </w:r>
          </w:p>
        </w:tc>
        <w:tc>
          <w:tcPr>
            <w:tcW w:w="4713" w:type="dxa"/>
            <w:tcBorders>
              <w:top w:val="single" w:color="auto" w:sz="4" w:space="0"/>
              <w:left w:val="single" w:color="auto" w:sz="4" w:space="0"/>
              <w:bottom w:val="single" w:color="auto" w:sz="4" w:space="0"/>
            </w:tcBorders>
            <w:vAlign w:val="center"/>
          </w:tcPr>
          <w:p>
            <w:pPr>
              <w:widowControl/>
              <w:spacing w:line="360" w:lineRule="auto"/>
              <w:jc w:val="center"/>
              <w:rPr>
                <w:rFonts w:ascii="宋体" w:cs="宋体"/>
                <w:sz w:val="24"/>
                <w:szCs w:val="24"/>
                <w:highlight w:val="none"/>
              </w:rPr>
            </w:pPr>
            <w:r>
              <w:rPr>
                <w:rFonts w:hint="eastAsia" w:ascii="宋体" w:hAnsi="宋体" w:cs="宋体"/>
                <w:sz w:val="24"/>
                <w:szCs w:val="24"/>
                <w:highlight w:val="none"/>
              </w:rPr>
              <w:t>审查标准</w:t>
            </w:r>
          </w:p>
        </w:tc>
        <w:tc>
          <w:tcPr>
            <w:tcW w:w="1449" w:type="dxa"/>
            <w:gridSpan w:val="3"/>
            <w:tcBorders>
              <w:top w:val="single" w:color="auto" w:sz="4" w:space="0"/>
              <w:left w:val="single" w:color="auto" w:sz="4" w:space="0"/>
              <w:bottom w:val="single" w:color="auto" w:sz="4" w:space="0"/>
            </w:tcBorders>
            <w:vAlign w:val="center"/>
          </w:tcPr>
          <w:p>
            <w:pPr>
              <w:widowControl/>
              <w:spacing w:line="360" w:lineRule="auto"/>
              <w:jc w:val="center"/>
              <w:rPr>
                <w:rFonts w:ascii="宋体" w:cs="宋体"/>
                <w:sz w:val="24"/>
                <w:szCs w:val="24"/>
                <w:highlight w:val="none"/>
              </w:rPr>
            </w:pPr>
            <w:r>
              <w:rPr>
                <w:rFonts w:hint="eastAsia" w:ascii="宋体" w:hAnsi="宋体" w:cs="宋体"/>
                <w:sz w:val="24"/>
                <w:szCs w:val="24"/>
                <w:highlight w:val="none"/>
              </w:rPr>
              <w:t>投标人名称及审查意见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2" w:hRule="atLeast"/>
          <w:jc w:val="center"/>
        </w:trPr>
        <w:tc>
          <w:tcPr>
            <w:tcW w:w="568" w:type="dxa"/>
            <w:tcBorders>
              <w:top w:val="single" w:color="auto" w:sz="4" w:space="0"/>
              <w:bottom w:val="single" w:color="auto" w:sz="4" w:space="0"/>
              <w:right w:val="single" w:color="auto" w:sz="4" w:space="0"/>
            </w:tcBorders>
            <w:vAlign w:val="center"/>
          </w:tcPr>
          <w:p>
            <w:pPr>
              <w:spacing w:before="60" w:beforeLines="25" w:after="60" w:afterLines="25" w:line="360" w:lineRule="auto"/>
              <w:jc w:val="center"/>
              <w:rPr>
                <w:rFonts w:ascii="宋体" w:cs="宋体"/>
                <w:sz w:val="24"/>
                <w:szCs w:val="24"/>
                <w:highlight w:val="none"/>
              </w:rPr>
            </w:pPr>
            <w:r>
              <w:rPr>
                <w:rFonts w:ascii="宋体" w:hAnsi="宋体" w:cs="宋体"/>
                <w:sz w:val="24"/>
                <w:szCs w:val="24"/>
                <w:highlight w:val="none"/>
              </w:rPr>
              <w:t>1</w:t>
            </w:r>
          </w:p>
        </w:tc>
        <w:tc>
          <w:tcPr>
            <w:tcW w:w="2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具有独立承担民事责任的能力</w:t>
            </w:r>
          </w:p>
        </w:tc>
        <w:tc>
          <w:tcPr>
            <w:tcW w:w="4713" w:type="dxa"/>
            <w:tcBorders>
              <w:top w:val="single" w:color="auto" w:sz="4" w:space="0"/>
              <w:left w:val="single" w:color="auto" w:sz="4" w:space="0"/>
              <w:bottom w:val="single" w:color="auto" w:sz="4" w:space="0"/>
              <w:right w:val="single" w:color="auto" w:sz="4" w:space="0"/>
            </w:tcBorders>
            <w:vAlign w:val="center"/>
          </w:tcPr>
          <w:p>
            <w:pPr>
              <w:spacing w:before="60" w:beforeLines="25" w:after="60" w:afterLines="25" w:line="360" w:lineRule="auto"/>
              <w:jc w:val="left"/>
              <w:rPr>
                <w:rFonts w:ascii="宋体" w:cs="宋体"/>
                <w:sz w:val="24"/>
                <w:szCs w:val="24"/>
                <w:highlight w:val="none"/>
              </w:rPr>
            </w:pPr>
            <w:r>
              <w:rPr>
                <w:rFonts w:hint="eastAsia" w:ascii="宋体" w:hAnsi="宋体" w:cs="宋体"/>
                <w:sz w:val="24"/>
                <w:szCs w:val="24"/>
                <w:highlight w:val="none"/>
              </w:rPr>
              <w:t>有效的营业执照，具有独立法人资格</w:t>
            </w: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68" w:type="dxa"/>
            <w:tcBorders>
              <w:top w:val="single" w:color="auto" w:sz="4" w:space="0"/>
              <w:bottom w:val="single" w:color="auto" w:sz="4" w:space="0"/>
              <w:right w:val="single" w:color="auto" w:sz="4" w:space="0"/>
            </w:tcBorders>
            <w:vAlign w:val="center"/>
          </w:tcPr>
          <w:p>
            <w:pPr>
              <w:spacing w:before="60" w:beforeLines="25" w:after="60" w:afterLines="25" w:line="360" w:lineRule="auto"/>
              <w:jc w:val="center"/>
              <w:rPr>
                <w:rFonts w:ascii="宋体" w:cs="宋体"/>
                <w:sz w:val="24"/>
                <w:szCs w:val="24"/>
                <w:highlight w:val="none"/>
              </w:rPr>
            </w:pPr>
            <w:r>
              <w:rPr>
                <w:rFonts w:ascii="宋体" w:hAnsi="宋体" w:cs="宋体"/>
                <w:sz w:val="24"/>
                <w:szCs w:val="24"/>
                <w:highlight w:val="none"/>
              </w:rPr>
              <w:t>2</w:t>
            </w:r>
          </w:p>
        </w:tc>
        <w:tc>
          <w:tcPr>
            <w:tcW w:w="2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具有良好的商业信誉和健全的财务会计制度</w:t>
            </w:r>
          </w:p>
        </w:tc>
        <w:tc>
          <w:tcPr>
            <w:tcW w:w="47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s="宋体"/>
                <w:sz w:val="24"/>
                <w:szCs w:val="24"/>
                <w:highlight w:val="none"/>
              </w:rPr>
            </w:pPr>
            <w:r>
              <w:rPr>
                <w:rFonts w:hint="eastAsia" w:ascii="宋体" w:hAnsi="宋体" w:cs="宋体"/>
                <w:color w:val="000000"/>
                <w:sz w:val="24"/>
                <w:highlight w:val="none"/>
              </w:rPr>
              <w:t>投标人提供本</w:t>
            </w:r>
            <w:r>
              <w:rPr>
                <w:rFonts w:hint="eastAsia" w:ascii="宋体" w:hAnsi="宋体" w:cs="宋体"/>
                <w:sz w:val="24"/>
                <w:highlight w:val="none"/>
              </w:rPr>
              <w:t>单位</w:t>
            </w:r>
            <w:r>
              <w:rPr>
                <w:rFonts w:hint="eastAsia" w:ascii="宋体" w:hAnsi="宋体" w:cs="宋体"/>
                <w:sz w:val="24"/>
                <w:highlight w:val="none"/>
                <w:lang w:val="en-US" w:eastAsia="zh-CN"/>
              </w:rPr>
              <w:t>2022年度</w:t>
            </w:r>
            <w:r>
              <w:rPr>
                <w:rFonts w:hint="eastAsia" w:ascii="宋体" w:hAnsi="宋体" w:cs="宋体"/>
                <w:sz w:val="24"/>
                <w:highlight w:val="none"/>
              </w:rPr>
              <w:t>经会计师事务所出具的审计报告</w:t>
            </w:r>
            <w:r>
              <w:rPr>
                <w:rFonts w:hint="eastAsia" w:ascii="宋体" w:hAnsi="宋体" w:cs="宋体"/>
                <w:color w:val="000000"/>
                <w:sz w:val="24"/>
                <w:highlight w:val="none"/>
              </w:rPr>
              <w:t>复印件并加盖投标人公章</w:t>
            </w:r>
            <w:r>
              <w:rPr>
                <w:rFonts w:hint="eastAsia" w:ascii="宋体" w:hAnsi="宋体"/>
                <w:sz w:val="24"/>
                <w:szCs w:val="24"/>
                <w:highlight w:val="none"/>
                <w:lang w:eastAsia="zh-CN"/>
              </w:rPr>
              <w:t>（</w:t>
            </w:r>
            <w:r>
              <w:rPr>
                <w:rFonts w:hint="eastAsia" w:ascii="宋体" w:hAnsi="宋体" w:cs="宋体"/>
                <w:sz w:val="24"/>
                <w:szCs w:val="24"/>
                <w:highlight w:val="none"/>
                <w:lang w:val="en-US" w:eastAsia="zh-CN"/>
              </w:rPr>
              <w:t>或电子章</w:t>
            </w:r>
            <w:r>
              <w:rPr>
                <w:rFonts w:hint="eastAsia" w:ascii="宋体" w:hAnsi="宋体"/>
                <w:sz w:val="24"/>
                <w:szCs w:val="24"/>
                <w:highlight w:val="none"/>
                <w:lang w:eastAsia="zh-CN"/>
              </w:rPr>
              <w:t>）</w:t>
            </w:r>
            <w:r>
              <w:rPr>
                <w:rFonts w:hint="eastAsia" w:ascii="宋体" w:hAnsi="宋体" w:cs="宋体"/>
                <w:color w:val="000000"/>
                <w:sz w:val="24"/>
                <w:highlight w:val="none"/>
              </w:rPr>
              <w:t>。</w:t>
            </w:r>
            <w:r>
              <w:rPr>
                <w:rFonts w:hint="eastAsia" w:ascii="宋体" w:hAnsi="宋体" w:cs="宋体"/>
                <w:color w:val="000000"/>
                <w:sz w:val="24"/>
                <w:highlight w:val="none"/>
                <w:lang w:eastAsia="zh-CN"/>
              </w:rPr>
              <w:t>成立不足一年的，则需提供近期的财务报表。</w:t>
            </w:r>
            <w:r>
              <w:rPr>
                <w:rFonts w:hint="eastAsia" w:ascii="宋体" w:hAnsi="宋体" w:cs="宋体"/>
                <w:color w:val="000000"/>
                <w:sz w:val="24"/>
                <w:highlight w:val="none"/>
              </w:rPr>
              <w:t>说明：审计报告复印件至少应包括资产负债表、利润表、现金流量表及其附注、加盖会计师事务所公章页。</w:t>
            </w:r>
            <w:bookmarkStart w:id="290" w:name="_GoBack"/>
            <w:bookmarkEnd w:id="290"/>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68" w:type="dxa"/>
            <w:tcBorders>
              <w:top w:val="single" w:color="auto" w:sz="4" w:space="0"/>
              <w:bottom w:val="single" w:color="auto" w:sz="4" w:space="0"/>
              <w:right w:val="single" w:color="auto" w:sz="4" w:space="0"/>
            </w:tcBorders>
            <w:vAlign w:val="center"/>
          </w:tcPr>
          <w:p>
            <w:pPr>
              <w:spacing w:before="60" w:beforeLines="25" w:after="60" w:afterLines="25" w:line="360" w:lineRule="auto"/>
              <w:jc w:val="center"/>
              <w:rPr>
                <w:rFonts w:ascii="宋体" w:cs="宋体"/>
                <w:sz w:val="24"/>
                <w:szCs w:val="24"/>
                <w:highlight w:val="none"/>
              </w:rPr>
            </w:pPr>
            <w:r>
              <w:rPr>
                <w:rFonts w:ascii="宋体" w:hAnsi="宋体" w:cs="宋体"/>
                <w:sz w:val="24"/>
                <w:szCs w:val="24"/>
                <w:highlight w:val="none"/>
              </w:rPr>
              <w:t>3</w:t>
            </w:r>
          </w:p>
        </w:tc>
        <w:tc>
          <w:tcPr>
            <w:tcW w:w="2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4"/>
                <w:highlight w:val="none"/>
              </w:rPr>
            </w:pPr>
            <w:r>
              <w:rPr>
                <w:rFonts w:hint="eastAsia" w:ascii="宋体" w:hAnsi="宋体" w:cs="宋体"/>
                <w:color w:val="000000"/>
                <w:sz w:val="24"/>
                <w:szCs w:val="24"/>
                <w:highlight w:val="none"/>
              </w:rPr>
              <w:t>具有履行合同所必需的设备和专业技术能力</w:t>
            </w:r>
          </w:p>
        </w:tc>
        <w:tc>
          <w:tcPr>
            <w:tcW w:w="4713" w:type="dxa"/>
            <w:tcBorders>
              <w:top w:val="single" w:color="auto" w:sz="4" w:space="0"/>
              <w:left w:val="single" w:color="auto" w:sz="4" w:space="0"/>
              <w:bottom w:val="single" w:color="auto" w:sz="4" w:space="0"/>
              <w:right w:val="single" w:color="auto" w:sz="4" w:space="0"/>
            </w:tcBorders>
            <w:vAlign w:val="center"/>
          </w:tcPr>
          <w:p>
            <w:pPr>
              <w:spacing w:before="60" w:beforeLines="25" w:after="60" w:afterLines="25" w:line="360" w:lineRule="auto"/>
              <w:jc w:val="left"/>
              <w:rPr>
                <w:rFonts w:ascii="宋体" w:cs="宋体"/>
                <w:sz w:val="24"/>
                <w:szCs w:val="24"/>
                <w:highlight w:val="none"/>
              </w:rPr>
            </w:pPr>
            <w:r>
              <w:rPr>
                <w:rFonts w:hint="eastAsia" w:ascii="宋体" w:hAnsi="宋体" w:cs="宋体"/>
                <w:sz w:val="24"/>
                <w:highlight w:val="none"/>
              </w:rPr>
              <w:t>供应商履行合同所必须的设备和专业技术能力的证明材料或声明</w:t>
            </w: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68" w:type="dxa"/>
            <w:tcBorders>
              <w:top w:val="single" w:color="auto" w:sz="4" w:space="0"/>
              <w:bottom w:val="single" w:color="auto" w:sz="4" w:space="0"/>
              <w:right w:val="single" w:color="auto" w:sz="4" w:space="0"/>
            </w:tcBorders>
            <w:vAlign w:val="center"/>
          </w:tcPr>
          <w:p>
            <w:pPr>
              <w:spacing w:before="60" w:beforeLines="25" w:after="60" w:afterLines="25" w:line="360" w:lineRule="auto"/>
              <w:jc w:val="center"/>
              <w:rPr>
                <w:rFonts w:ascii="宋体" w:cs="宋体"/>
                <w:sz w:val="24"/>
                <w:szCs w:val="24"/>
                <w:highlight w:val="none"/>
              </w:rPr>
            </w:pPr>
            <w:r>
              <w:rPr>
                <w:rFonts w:ascii="宋体" w:hAnsi="宋体" w:cs="宋体"/>
                <w:sz w:val="24"/>
                <w:szCs w:val="24"/>
                <w:highlight w:val="none"/>
              </w:rPr>
              <w:t>4</w:t>
            </w:r>
          </w:p>
        </w:tc>
        <w:tc>
          <w:tcPr>
            <w:tcW w:w="2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4"/>
                <w:highlight w:val="none"/>
              </w:rPr>
            </w:pPr>
            <w:r>
              <w:rPr>
                <w:rFonts w:hint="eastAsia" w:ascii="宋体" w:hAnsi="宋体" w:cs="宋体"/>
                <w:color w:val="000000"/>
                <w:kern w:val="0"/>
                <w:sz w:val="24"/>
                <w:szCs w:val="24"/>
                <w:highlight w:val="none"/>
                <w:lang w:val="zh-CN"/>
              </w:rPr>
              <w:t>有依法缴纳税收和社会保障资金的良好记录</w:t>
            </w:r>
          </w:p>
        </w:tc>
        <w:tc>
          <w:tcPr>
            <w:tcW w:w="4713" w:type="dxa"/>
            <w:tcBorders>
              <w:top w:val="single" w:color="auto" w:sz="4" w:space="0"/>
              <w:left w:val="single" w:color="auto" w:sz="4" w:space="0"/>
              <w:bottom w:val="single" w:color="auto" w:sz="4" w:space="0"/>
              <w:right w:val="single" w:color="auto" w:sz="4" w:space="0"/>
            </w:tcBorders>
            <w:vAlign w:val="center"/>
          </w:tcPr>
          <w:p>
            <w:pPr>
              <w:spacing w:before="60" w:beforeLines="25" w:after="60" w:afterLines="25" w:line="360" w:lineRule="auto"/>
              <w:jc w:val="left"/>
              <w:rPr>
                <w:rFonts w:hint="eastAsia" w:ascii="宋体" w:hAnsi="宋体" w:cs="宋体"/>
                <w:sz w:val="24"/>
                <w:szCs w:val="24"/>
                <w:highlight w:val="none"/>
              </w:rPr>
            </w:pPr>
            <w:r>
              <w:rPr>
                <w:rFonts w:hint="eastAsia" w:ascii="宋体" w:hAnsi="宋体" w:cs="宋体"/>
                <w:sz w:val="24"/>
                <w:szCs w:val="24"/>
                <w:highlight w:val="none"/>
              </w:rPr>
              <w:t>1、有依法缴纳社会保障资金的良好记录，须提供参加本次政府采购活动近六个月内的任意一月缴纳社会保障资金的银行入账票据凭证或社保部门证明材料复印件，并加盖投标人公章（或电子章）。投标人逐年交纳社会保障资金的，须提供上年度缴纳社会保障资金的入账票据凭证复印件。缴纳社会保障资金的入账票据凭证复印件须加盖本单位公章（或电子章）；如投标人无法提供缴纳社会保障资金的记录，则需提供有依法缴纳社会保障资金的承诺函（格式自拟）并加盖投标人公章（或电子章）。</w:t>
            </w:r>
          </w:p>
          <w:p>
            <w:pPr>
              <w:spacing w:before="60" w:beforeLines="25" w:after="60" w:afterLines="25" w:line="360" w:lineRule="auto"/>
              <w:jc w:val="left"/>
              <w:rPr>
                <w:rFonts w:ascii="宋体" w:cs="宋体"/>
                <w:sz w:val="24"/>
                <w:szCs w:val="24"/>
                <w:highlight w:val="none"/>
              </w:rPr>
            </w:pPr>
            <w:r>
              <w:rPr>
                <w:rFonts w:hint="eastAsia" w:ascii="宋体" w:hAnsi="宋体" w:cs="宋体"/>
                <w:sz w:val="24"/>
                <w:szCs w:val="24"/>
                <w:highlight w:val="none"/>
              </w:rPr>
              <w:t>2、纳税证明（个人所得税除外），须提供参加本次政府采购活动近六个月内的任意一月银行有效票据或税务部门证明材料凭证复印件，并加盖投标人公章（或电子章）。如近六个月未达到应缴税标准，须提供相应说明及证明材料（如：增值税纳税申报表或零纳税申报表），并加盖投标人公章（或电子章）；如投标人无法提供纳税证明记录，则需提供依法缴纳税收的承诺函（格式自拟）并加盖投标人公章。 3、依法免税或不需要缴纳社会保障资金的投标人，应提供相应的文件证明并加盖本单位公章（或电子章）。</w:t>
            </w: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568" w:type="dxa"/>
            <w:tcBorders>
              <w:top w:val="single" w:color="auto" w:sz="4" w:space="0"/>
              <w:bottom w:val="single" w:color="auto" w:sz="4" w:space="0"/>
              <w:right w:val="single" w:color="auto" w:sz="4" w:space="0"/>
            </w:tcBorders>
            <w:vAlign w:val="center"/>
          </w:tcPr>
          <w:p>
            <w:pPr>
              <w:spacing w:before="60" w:beforeLines="25" w:after="60" w:afterLines="25" w:line="360" w:lineRule="auto"/>
              <w:jc w:val="center"/>
              <w:rPr>
                <w:rFonts w:ascii="宋体" w:cs="宋体"/>
                <w:color w:val="000000"/>
                <w:sz w:val="24"/>
                <w:szCs w:val="24"/>
                <w:highlight w:val="none"/>
              </w:rPr>
            </w:pPr>
            <w:r>
              <w:rPr>
                <w:rFonts w:ascii="宋体" w:hAnsi="宋体" w:cs="宋体"/>
                <w:color w:val="000000"/>
                <w:sz w:val="24"/>
                <w:szCs w:val="24"/>
                <w:highlight w:val="none"/>
              </w:rPr>
              <w:t>5</w:t>
            </w:r>
          </w:p>
        </w:tc>
        <w:tc>
          <w:tcPr>
            <w:tcW w:w="2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参加政府采购活动前三年内，在经营活动中没有重大违法记录</w:t>
            </w:r>
          </w:p>
        </w:tc>
        <w:tc>
          <w:tcPr>
            <w:tcW w:w="4713" w:type="dxa"/>
            <w:tcBorders>
              <w:top w:val="single" w:color="auto" w:sz="4" w:space="0"/>
              <w:left w:val="single" w:color="auto" w:sz="4" w:space="0"/>
              <w:bottom w:val="single" w:color="auto" w:sz="4" w:space="0"/>
              <w:right w:val="single" w:color="auto" w:sz="4" w:space="0"/>
            </w:tcBorders>
            <w:vAlign w:val="center"/>
          </w:tcPr>
          <w:p>
            <w:pPr>
              <w:spacing w:before="60" w:beforeLines="25" w:after="60" w:afterLines="25" w:line="360" w:lineRule="auto"/>
              <w:jc w:val="left"/>
              <w:rPr>
                <w:rFonts w:hint="eastAsia" w:ascii="宋体" w:eastAsia="宋体" w:cs="宋体"/>
                <w:color w:val="000000"/>
                <w:sz w:val="24"/>
                <w:szCs w:val="24"/>
                <w:highlight w:val="none"/>
                <w:lang w:eastAsia="zh-CN"/>
              </w:rPr>
            </w:pPr>
            <w:r>
              <w:rPr>
                <w:rFonts w:hint="eastAsia" w:ascii="宋体" w:hAnsi="宋体" w:cs="宋体"/>
                <w:color w:val="000000"/>
                <w:sz w:val="24"/>
                <w:szCs w:val="24"/>
                <w:highlight w:val="none"/>
              </w:rPr>
              <w:t>提供参加政府采购活动前3年内，在经营活动中没有重大违法记录的书面声明函</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格式以招标文件为准</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详见</w:t>
            </w:r>
            <w:r>
              <w:rPr>
                <w:rFonts w:hint="eastAsia" w:ascii="宋体" w:hAnsi="宋体" w:cs="宋体"/>
                <w:color w:val="000000"/>
                <w:sz w:val="24"/>
                <w:szCs w:val="24"/>
                <w:highlight w:val="none"/>
              </w:rPr>
              <w:t>第七章投标文件格式“一、投标文件</w:t>
            </w:r>
            <w:r>
              <w:rPr>
                <w:rFonts w:ascii="宋体" w:cs="宋体"/>
                <w:color w:val="000000"/>
                <w:sz w:val="24"/>
                <w:szCs w:val="24"/>
                <w:highlight w:val="none"/>
              </w:rPr>
              <w:t>-</w:t>
            </w:r>
            <w:r>
              <w:rPr>
                <w:rFonts w:hint="eastAsia" w:ascii="宋体" w:hAnsi="宋体" w:cs="宋体"/>
                <w:color w:val="000000"/>
                <w:sz w:val="24"/>
                <w:szCs w:val="24"/>
                <w:highlight w:val="none"/>
              </w:rPr>
              <w:t>资格证明材料”第</w:t>
            </w:r>
            <w:r>
              <w:rPr>
                <w:rFonts w:ascii="宋体" w:hAnsi="宋体" w:cs="宋体"/>
                <w:color w:val="000000"/>
                <w:sz w:val="24"/>
                <w:szCs w:val="24"/>
                <w:highlight w:val="none"/>
              </w:rPr>
              <w:t>1.</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568" w:type="dxa"/>
            <w:tcBorders>
              <w:top w:val="single" w:color="auto" w:sz="4" w:space="0"/>
              <w:bottom w:val="single" w:color="auto" w:sz="4" w:space="0"/>
              <w:right w:val="single" w:color="auto" w:sz="4" w:space="0"/>
            </w:tcBorders>
            <w:vAlign w:val="center"/>
          </w:tcPr>
          <w:p>
            <w:pPr>
              <w:spacing w:before="60" w:beforeLines="25" w:after="60" w:afterLines="25" w:line="360" w:lineRule="auto"/>
              <w:jc w:val="center"/>
              <w:rPr>
                <w:rFonts w:ascii="宋体" w:cs="宋体"/>
                <w:color w:val="000000"/>
                <w:sz w:val="24"/>
                <w:szCs w:val="24"/>
                <w:highlight w:val="none"/>
              </w:rPr>
            </w:pPr>
            <w:r>
              <w:rPr>
                <w:rFonts w:ascii="宋体" w:hAnsi="宋体" w:cs="宋体"/>
                <w:color w:val="000000"/>
                <w:sz w:val="24"/>
                <w:szCs w:val="24"/>
                <w:highlight w:val="none"/>
              </w:rPr>
              <w:t>6</w:t>
            </w:r>
          </w:p>
        </w:tc>
        <w:tc>
          <w:tcPr>
            <w:tcW w:w="2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000000"/>
                <w:sz w:val="24"/>
                <w:szCs w:val="24"/>
                <w:highlight w:val="none"/>
              </w:rPr>
            </w:pPr>
            <w:r>
              <w:rPr>
                <w:rFonts w:hint="eastAsia" w:ascii="宋体" w:hAnsi="宋体" w:cs="宋体"/>
                <w:bCs/>
                <w:sz w:val="24"/>
                <w:szCs w:val="24"/>
                <w:highlight w:val="none"/>
              </w:rPr>
              <w:t>落实政府采购政策需满足的资格要求</w:t>
            </w:r>
          </w:p>
        </w:tc>
        <w:tc>
          <w:tcPr>
            <w:tcW w:w="4713" w:type="dxa"/>
            <w:tcBorders>
              <w:top w:val="single" w:color="auto" w:sz="4" w:space="0"/>
              <w:left w:val="single" w:color="auto" w:sz="4" w:space="0"/>
              <w:bottom w:val="single" w:color="auto" w:sz="4" w:space="0"/>
              <w:right w:val="single" w:color="auto" w:sz="4" w:space="0"/>
            </w:tcBorders>
            <w:vAlign w:val="center"/>
          </w:tcPr>
          <w:p>
            <w:pPr>
              <w:spacing w:before="60" w:beforeLines="25" w:after="60" w:afterLines="25"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承诺函及网页查询截图，格式以招标文件为准</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详见</w:t>
            </w:r>
            <w:r>
              <w:rPr>
                <w:rFonts w:hint="eastAsia" w:ascii="宋体" w:hAnsi="宋体" w:cs="宋体"/>
                <w:color w:val="000000"/>
                <w:sz w:val="24"/>
                <w:szCs w:val="24"/>
                <w:highlight w:val="none"/>
              </w:rPr>
              <w:t>第七章投标文件格式“一、投标文件</w:t>
            </w:r>
            <w:r>
              <w:rPr>
                <w:rFonts w:ascii="宋体" w:cs="宋体"/>
                <w:color w:val="000000"/>
                <w:sz w:val="24"/>
                <w:szCs w:val="24"/>
                <w:highlight w:val="none"/>
              </w:rPr>
              <w:t>-</w:t>
            </w:r>
            <w:r>
              <w:rPr>
                <w:rFonts w:hint="eastAsia" w:ascii="宋体" w:hAnsi="宋体" w:cs="宋体"/>
                <w:color w:val="000000"/>
                <w:sz w:val="24"/>
                <w:szCs w:val="24"/>
                <w:highlight w:val="none"/>
              </w:rPr>
              <w:t>资格证明材料”第</w:t>
            </w:r>
            <w:r>
              <w:rPr>
                <w:rFonts w:ascii="宋体" w:hAnsi="宋体" w:cs="宋体"/>
                <w:color w:val="000000"/>
                <w:sz w:val="24"/>
                <w:szCs w:val="24"/>
                <w:highlight w:val="none"/>
              </w:rPr>
              <w:t>1.6</w:t>
            </w:r>
            <w:r>
              <w:rPr>
                <w:rFonts w:hint="eastAsia" w:ascii="宋体" w:hAnsi="宋体" w:cs="宋体"/>
                <w:color w:val="000000"/>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5" w:hRule="atLeast"/>
          <w:jc w:val="center"/>
        </w:trPr>
        <w:tc>
          <w:tcPr>
            <w:tcW w:w="568" w:type="dxa"/>
            <w:tcBorders>
              <w:top w:val="single" w:color="auto" w:sz="4" w:space="0"/>
              <w:bottom w:val="single" w:color="auto" w:sz="4" w:space="0"/>
              <w:right w:val="single" w:color="auto" w:sz="4" w:space="0"/>
            </w:tcBorders>
            <w:vAlign w:val="center"/>
          </w:tcPr>
          <w:p>
            <w:pPr>
              <w:spacing w:before="60" w:beforeLines="25" w:after="60" w:afterLines="25" w:line="360" w:lineRule="auto"/>
              <w:jc w:val="center"/>
              <w:rPr>
                <w:rFonts w:hint="eastAsia" w:asci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p>
        </w:tc>
        <w:tc>
          <w:tcPr>
            <w:tcW w:w="2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投标承诺书</w:t>
            </w:r>
          </w:p>
        </w:tc>
        <w:tc>
          <w:tcPr>
            <w:tcW w:w="4713" w:type="dxa"/>
            <w:tcBorders>
              <w:top w:val="single" w:color="auto" w:sz="4" w:space="0"/>
              <w:left w:val="single" w:color="auto" w:sz="4" w:space="0"/>
              <w:bottom w:val="single" w:color="auto" w:sz="4" w:space="0"/>
              <w:right w:val="single" w:color="auto" w:sz="4" w:space="0"/>
            </w:tcBorders>
            <w:vAlign w:val="center"/>
          </w:tcPr>
          <w:p>
            <w:pPr>
              <w:spacing w:before="60" w:beforeLines="25" w:after="60" w:afterLines="25"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承诺函，格式以招标文件为准</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详见</w:t>
            </w:r>
            <w:r>
              <w:rPr>
                <w:rFonts w:hint="eastAsia" w:ascii="宋体" w:hAnsi="宋体" w:cs="宋体"/>
                <w:color w:val="000000"/>
                <w:sz w:val="24"/>
                <w:szCs w:val="24"/>
                <w:highlight w:val="none"/>
              </w:rPr>
              <w:t>第七章投标文件格式“一、投标文件</w:t>
            </w:r>
            <w:r>
              <w:rPr>
                <w:rFonts w:ascii="宋体" w:cs="宋体"/>
                <w:color w:val="000000"/>
                <w:sz w:val="24"/>
                <w:szCs w:val="24"/>
                <w:highlight w:val="none"/>
              </w:rPr>
              <w:t>-</w:t>
            </w:r>
            <w:r>
              <w:rPr>
                <w:rFonts w:hint="eastAsia" w:ascii="宋体" w:hAnsi="宋体" w:cs="宋体"/>
                <w:color w:val="000000"/>
                <w:sz w:val="24"/>
                <w:szCs w:val="24"/>
                <w:highlight w:val="none"/>
              </w:rPr>
              <w:t>资格证明材料”第</w:t>
            </w:r>
            <w:r>
              <w:rPr>
                <w:rFonts w:ascii="宋体" w:hAnsi="宋体" w:cs="宋体"/>
                <w:color w:val="000000"/>
                <w:sz w:val="24"/>
                <w:szCs w:val="24"/>
                <w:highlight w:val="none"/>
              </w:rPr>
              <w:t>1.</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9" w:hRule="atLeast"/>
          <w:jc w:val="center"/>
        </w:trPr>
        <w:tc>
          <w:tcPr>
            <w:tcW w:w="568" w:type="dxa"/>
            <w:tcBorders>
              <w:top w:val="single" w:color="auto" w:sz="4" w:space="0"/>
              <w:bottom w:val="single" w:color="auto" w:sz="4" w:space="0"/>
              <w:right w:val="single" w:color="auto" w:sz="4" w:space="0"/>
            </w:tcBorders>
            <w:vAlign w:val="center"/>
          </w:tcPr>
          <w:p>
            <w:pPr>
              <w:spacing w:before="60" w:beforeLines="25" w:after="60" w:afterLines="25" w:line="360" w:lineRule="auto"/>
              <w:jc w:val="center"/>
              <w:rPr>
                <w:rFonts w:hint="eastAsia" w:asci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w:t>
            </w:r>
          </w:p>
        </w:tc>
        <w:tc>
          <w:tcPr>
            <w:tcW w:w="2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000000"/>
                <w:sz w:val="24"/>
                <w:szCs w:val="24"/>
                <w:highlight w:val="none"/>
              </w:rPr>
            </w:pPr>
            <w:r>
              <w:rPr>
                <w:rFonts w:hint="eastAsia" w:ascii="宋体" w:hAnsi="宋体" w:cs="宋体"/>
                <w:color w:val="000000"/>
                <w:sz w:val="24"/>
                <w:szCs w:val="22"/>
                <w:highlight w:val="none"/>
              </w:rPr>
              <w:t>投标保证金凭证</w:t>
            </w:r>
          </w:p>
        </w:tc>
        <w:tc>
          <w:tcPr>
            <w:tcW w:w="4713" w:type="dxa"/>
            <w:tcBorders>
              <w:top w:val="single" w:color="auto" w:sz="4" w:space="0"/>
              <w:left w:val="single" w:color="auto" w:sz="4" w:space="0"/>
              <w:bottom w:val="single" w:color="auto" w:sz="4" w:space="0"/>
              <w:right w:val="single" w:color="auto" w:sz="4" w:space="0"/>
            </w:tcBorders>
            <w:vAlign w:val="center"/>
          </w:tcPr>
          <w:p>
            <w:pPr>
              <w:spacing w:before="60" w:beforeLines="25" w:after="60" w:afterLines="25"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提供投标保证金缴纳凭证</w:t>
            </w: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02" w:hRule="atLeast"/>
          <w:jc w:val="center"/>
        </w:trPr>
        <w:tc>
          <w:tcPr>
            <w:tcW w:w="568" w:type="dxa"/>
            <w:tcBorders>
              <w:top w:val="single" w:color="auto" w:sz="4" w:space="0"/>
              <w:bottom w:val="single" w:color="auto" w:sz="4" w:space="0"/>
              <w:right w:val="single" w:color="auto" w:sz="4" w:space="0"/>
            </w:tcBorders>
            <w:vAlign w:val="center"/>
          </w:tcPr>
          <w:p>
            <w:pPr>
              <w:spacing w:before="60" w:beforeLines="25" w:after="60" w:afterLines="25"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9</w:t>
            </w:r>
          </w:p>
        </w:tc>
        <w:tc>
          <w:tcPr>
            <w:tcW w:w="2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kern w:val="2"/>
                <w:sz w:val="24"/>
                <w:szCs w:val="22"/>
                <w:highlight w:val="none"/>
                <w:lang w:val="en-US" w:eastAsia="zh-CN" w:bidi="ar-SA"/>
              </w:rPr>
            </w:pPr>
            <w:r>
              <w:rPr>
                <w:rFonts w:hint="eastAsia" w:ascii="宋体" w:hAnsi="宋体" w:cs="宋体"/>
                <w:color w:val="000000"/>
                <w:sz w:val="24"/>
                <w:szCs w:val="22"/>
                <w:highlight w:val="none"/>
                <w:lang w:val="en-US" w:eastAsia="zh-CN"/>
              </w:rPr>
              <w:t>中小企业声明函</w:t>
            </w:r>
          </w:p>
        </w:tc>
        <w:tc>
          <w:tcPr>
            <w:tcW w:w="4713" w:type="dxa"/>
            <w:tcBorders>
              <w:top w:val="single" w:color="auto" w:sz="4" w:space="0"/>
              <w:left w:val="single" w:color="auto" w:sz="4" w:space="0"/>
              <w:bottom w:val="single" w:color="auto" w:sz="4" w:space="0"/>
              <w:right w:val="single" w:color="auto" w:sz="4" w:space="0"/>
            </w:tcBorders>
            <w:vAlign w:val="center"/>
          </w:tcPr>
          <w:p>
            <w:pPr>
              <w:spacing w:before="60" w:beforeLines="25" w:after="60" w:afterLines="25" w:line="36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本项目为专门面向中小企业采购，</w:t>
            </w:r>
            <w:r>
              <w:rPr>
                <w:rFonts w:hint="eastAsia" w:ascii="宋体" w:hAnsi="宋体"/>
                <w:kern w:val="0"/>
                <w:sz w:val="24"/>
                <w:szCs w:val="21"/>
                <w:highlight w:val="none"/>
                <w:lang w:val="en-US" w:eastAsia="zh-CN"/>
              </w:rPr>
              <w:t>投标人</w:t>
            </w:r>
            <w:r>
              <w:rPr>
                <w:rFonts w:hint="eastAsia" w:ascii="宋体" w:hAnsi="宋体" w:cs="宋体"/>
                <w:color w:val="000000"/>
                <w:sz w:val="24"/>
                <w:szCs w:val="24"/>
                <w:highlight w:val="none"/>
                <w:lang w:val="en-US" w:eastAsia="zh-CN"/>
              </w:rPr>
              <w:t>应按格式要求提供中小企业声明函并承诺为中型/小型/微型企业</w:t>
            </w: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7650" w:type="dxa"/>
            <w:gridSpan w:val="3"/>
            <w:tcBorders>
              <w:top w:val="single" w:color="auto" w:sz="4" w:space="0"/>
              <w:bottom w:val="single" w:color="auto" w:sz="4" w:space="0"/>
              <w:right w:val="single" w:color="auto" w:sz="4" w:space="0"/>
            </w:tcBorders>
          </w:tcPr>
          <w:p>
            <w:pPr>
              <w:spacing w:before="60" w:beforeLines="25" w:after="60" w:afterLines="25" w:line="360" w:lineRule="auto"/>
              <w:jc w:val="center"/>
              <w:rPr>
                <w:rFonts w:ascii="宋体" w:cs="宋体"/>
                <w:b/>
                <w:color w:val="000000"/>
                <w:sz w:val="24"/>
                <w:szCs w:val="24"/>
                <w:highlight w:val="none"/>
              </w:rPr>
            </w:pPr>
            <w:r>
              <w:rPr>
                <w:rFonts w:hint="eastAsia" w:ascii="宋体" w:hAnsi="宋体" w:cs="宋体"/>
                <w:b/>
                <w:color w:val="000000"/>
                <w:sz w:val="24"/>
                <w:szCs w:val="24"/>
                <w:highlight w:val="none"/>
              </w:rPr>
              <w:t>资格审查结论</w:t>
            </w: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bl>
    <w:p>
      <w:pPr>
        <w:spacing w:line="240" w:lineRule="auto"/>
        <w:ind w:left="809" w:right="685" w:rightChars="326" w:hanging="808" w:hangingChars="337"/>
        <w:rPr>
          <w:rFonts w:ascii="宋体" w:cs="宋体"/>
          <w:b/>
          <w:sz w:val="30"/>
          <w:szCs w:val="30"/>
          <w:highlight w:val="none"/>
        </w:rPr>
      </w:pPr>
      <w:r>
        <w:rPr>
          <w:rFonts w:hint="eastAsia" w:ascii="宋体" w:hAnsi="宋体" w:cs="宋体"/>
          <w:sz w:val="24"/>
          <w:szCs w:val="24"/>
          <w:highlight w:val="none"/>
        </w:rPr>
        <w:t>说明：采购人或者采购代理机构对投标人提交的资格证明材料进行审查，并在对应的审查意见一栏记录审查意见：通过资格审查标注为√；未通过资格审查标注为×。未通过资格审查的投标不进入详细评审。</w:t>
      </w:r>
    </w:p>
    <w:p>
      <w:pPr>
        <w:pStyle w:val="3"/>
        <w:spacing w:line="288" w:lineRule="auto"/>
        <w:rPr>
          <w:rFonts w:ascii="宋体" w:hAnsi="宋体" w:eastAsia="宋体" w:cs="宋体"/>
          <w:sz w:val="36"/>
          <w:szCs w:val="24"/>
          <w:highlight w:val="none"/>
        </w:rPr>
      </w:pPr>
      <w:bookmarkStart w:id="56" w:name="_Toc44704907"/>
      <w:bookmarkStart w:id="57" w:name="_Toc44705054"/>
      <w:bookmarkStart w:id="58" w:name="_Toc23219"/>
      <w:bookmarkStart w:id="59" w:name="_Toc4119"/>
      <w:bookmarkStart w:id="60" w:name="_Toc44705275"/>
      <w:r>
        <w:rPr>
          <w:rFonts w:hint="eastAsia" w:ascii="宋体" w:hAnsi="宋体" w:eastAsia="宋体" w:cs="宋体"/>
          <w:sz w:val="36"/>
          <w:szCs w:val="24"/>
          <w:highlight w:val="none"/>
          <w:lang w:val="en-US" w:eastAsia="zh-CN"/>
        </w:rPr>
        <w:t>A</w:t>
      </w:r>
      <w:r>
        <w:rPr>
          <w:rFonts w:hint="eastAsia" w:ascii="宋体" w:hAnsi="宋体" w:eastAsia="宋体" w:cs="宋体"/>
          <w:sz w:val="36"/>
          <w:szCs w:val="24"/>
          <w:highlight w:val="none"/>
        </w:rPr>
        <w:t>第一部分：评标方法</w:t>
      </w:r>
      <w:bookmarkEnd w:id="56"/>
      <w:bookmarkEnd w:id="57"/>
      <w:bookmarkEnd w:id="58"/>
      <w:bookmarkEnd w:id="59"/>
      <w:bookmarkEnd w:id="60"/>
    </w:p>
    <w:p>
      <w:pPr>
        <w:spacing w:line="360" w:lineRule="auto"/>
        <w:ind w:firstLine="480"/>
        <w:rPr>
          <w:rFonts w:ascii="宋体" w:cs="宋体"/>
          <w:sz w:val="24"/>
          <w:szCs w:val="24"/>
          <w:highlight w:val="none"/>
        </w:rPr>
      </w:pPr>
      <w:r>
        <w:rPr>
          <w:rFonts w:hint="eastAsia" w:ascii="宋体" w:hAnsi="宋体" w:cs="宋体"/>
          <w:sz w:val="24"/>
          <w:szCs w:val="24"/>
          <w:highlight w:val="none"/>
        </w:rPr>
        <w:t>本项目采用</w:t>
      </w:r>
      <w:r>
        <w:rPr>
          <w:rFonts w:hint="eastAsia" w:ascii="宋体" w:hAnsi="宋体" w:cs="宋体"/>
          <w:sz w:val="24"/>
          <w:szCs w:val="24"/>
          <w:highlight w:val="none"/>
          <w:lang w:eastAsia="zh-CN"/>
        </w:rPr>
        <w:t>综合评估法</w:t>
      </w:r>
      <w:r>
        <w:rPr>
          <w:rFonts w:hint="eastAsia" w:ascii="宋体" w:hAnsi="宋体" w:cs="宋体"/>
          <w:sz w:val="24"/>
          <w:szCs w:val="24"/>
          <w:highlight w:val="none"/>
        </w:rPr>
        <w:t>（是指投标文件满足招标文件全部实质性要求，且按照评审因素的量化指标评审得分最高的投标人为中标候选人的评标方法），总分</w:t>
      </w:r>
      <w:r>
        <w:rPr>
          <w:rFonts w:ascii="宋体" w:hAnsi="宋体" w:cs="宋体"/>
          <w:sz w:val="24"/>
          <w:szCs w:val="24"/>
          <w:highlight w:val="none"/>
        </w:rPr>
        <w:t>100</w:t>
      </w:r>
      <w:r>
        <w:rPr>
          <w:rFonts w:hint="eastAsia" w:ascii="宋体" w:hAnsi="宋体" w:cs="宋体"/>
          <w:sz w:val="24"/>
          <w:szCs w:val="24"/>
          <w:highlight w:val="none"/>
        </w:rPr>
        <w:t>分，其中价格占</w:t>
      </w:r>
      <w:r>
        <w:rPr>
          <w:rFonts w:ascii="宋体" w:hAnsi="宋体" w:cs="宋体"/>
          <w:sz w:val="24"/>
          <w:szCs w:val="24"/>
          <w:highlight w:val="none"/>
        </w:rPr>
        <w:t>10</w:t>
      </w:r>
      <w:r>
        <w:rPr>
          <w:rFonts w:hint="eastAsia" w:ascii="宋体" w:hAnsi="宋体" w:cs="宋体"/>
          <w:sz w:val="24"/>
          <w:szCs w:val="24"/>
          <w:highlight w:val="none"/>
        </w:rPr>
        <w:t>分</w:t>
      </w:r>
      <w:r>
        <w:rPr>
          <w:rFonts w:ascii="宋体" w:cs="宋体"/>
          <w:sz w:val="24"/>
          <w:szCs w:val="24"/>
          <w:highlight w:val="none"/>
        </w:rPr>
        <w:t>,</w:t>
      </w:r>
      <w:r>
        <w:rPr>
          <w:rFonts w:hint="eastAsia" w:ascii="宋体" w:hAnsi="宋体" w:cs="宋体"/>
          <w:sz w:val="24"/>
          <w:szCs w:val="24"/>
          <w:highlight w:val="none"/>
        </w:rPr>
        <w:t>商务、技术部分占</w:t>
      </w:r>
      <w:r>
        <w:rPr>
          <w:rFonts w:ascii="宋体" w:hAnsi="宋体" w:cs="宋体"/>
          <w:sz w:val="24"/>
          <w:szCs w:val="24"/>
          <w:highlight w:val="none"/>
        </w:rPr>
        <w:t>90</w:t>
      </w:r>
      <w:r>
        <w:rPr>
          <w:rFonts w:hint="eastAsia" w:ascii="宋体" w:hAnsi="宋体" w:cs="宋体"/>
          <w:sz w:val="24"/>
          <w:szCs w:val="24"/>
          <w:highlight w:val="none"/>
        </w:rPr>
        <w:t>分。</w:t>
      </w:r>
    </w:p>
    <w:p>
      <w:pPr>
        <w:pStyle w:val="3"/>
        <w:spacing w:line="288" w:lineRule="auto"/>
        <w:rPr>
          <w:rFonts w:ascii="宋体" w:hAnsi="宋体" w:eastAsia="宋体" w:cs="宋体"/>
          <w:bCs w:val="0"/>
          <w:sz w:val="36"/>
          <w:szCs w:val="24"/>
          <w:highlight w:val="none"/>
        </w:rPr>
      </w:pPr>
      <w:bookmarkStart w:id="61" w:name="_Toc44705276"/>
      <w:bookmarkStart w:id="62" w:name="_Toc44705055"/>
      <w:bookmarkStart w:id="63" w:name="_Toc44704908"/>
      <w:bookmarkStart w:id="64" w:name="_Toc8631"/>
      <w:bookmarkStart w:id="65" w:name="_Toc15139"/>
      <w:r>
        <w:rPr>
          <w:rFonts w:hint="eastAsia" w:ascii="宋体" w:hAnsi="宋体" w:eastAsia="宋体" w:cs="宋体"/>
          <w:bCs w:val="0"/>
          <w:sz w:val="36"/>
          <w:szCs w:val="24"/>
          <w:highlight w:val="none"/>
        </w:rPr>
        <w:t>第二部分：评标标准</w:t>
      </w:r>
      <w:bookmarkEnd w:id="61"/>
      <w:bookmarkEnd w:id="62"/>
      <w:bookmarkEnd w:id="63"/>
      <w:bookmarkEnd w:id="64"/>
      <w:bookmarkEnd w:id="65"/>
    </w:p>
    <w:p>
      <w:pPr>
        <w:spacing w:line="360" w:lineRule="auto"/>
        <w:ind w:firstLine="482" w:firstLineChars="200"/>
        <w:rPr>
          <w:rFonts w:ascii="宋体" w:cs="宋体"/>
          <w:b/>
          <w:bCs/>
          <w:sz w:val="24"/>
          <w:szCs w:val="24"/>
          <w:highlight w:val="none"/>
        </w:rPr>
      </w:pPr>
      <w:r>
        <w:rPr>
          <w:rFonts w:hint="eastAsia" w:ascii="宋体" w:hAnsi="宋体" w:cs="宋体"/>
          <w:b/>
          <w:bCs/>
          <w:sz w:val="24"/>
          <w:szCs w:val="24"/>
          <w:highlight w:val="none"/>
        </w:rPr>
        <w:t>一、符合性审查</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评标委员会根据招标文件第三章投标人须知第</w:t>
      </w:r>
      <w:r>
        <w:rPr>
          <w:rFonts w:ascii="宋体" w:hAnsi="宋体" w:cs="宋体"/>
          <w:sz w:val="24"/>
          <w:szCs w:val="24"/>
          <w:highlight w:val="none"/>
        </w:rPr>
        <w:t>26.4.5</w:t>
      </w:r>
      <w:r>
        <w:rPr>
          <w:rFonts w:hint="eastAsia" w:ascii="宋体" w:hAnsi="宋体" w:cs="宋体"/>
          <w:sz w:val="24"/>
          <w:szCs w:val="24"/>
          <w:highlight w:val="none"/>
        </w:rPr>
        <w:t>条和第</w:t>
      </w:r>
      <w:r>
        <w:rPr>
          <w:rFonts w:ascii="宋体" w:hAnsi="宋体" w:cs="宋体"/>
          <w:sz w:val="24"/>
          <w:szCs w:val="24"/>
          <w:highlight w:val="none"/>
        </w:rPr>
        <w:t>26.4.6</w:t>
      </w:r>
      <w:r>
        <w:rPr>
          <w:rFonts w:hint="eastAsia" w:ascii="宋体" w:hAnsi="宋体" w:cs="宋体"/>
          <w:sz w:val="24"/>
          <w:szCs w:val="24"/>
          <w:highlight w:val="none"/>
        </w:rPr>
        <w:t>条的规定，对通过资格审查的合格投标人的投标文件进行符合性审查，未通过符合性审查的投标不进入详细评审。</w:t>
      </w:r>
    </w:p>
    <w:p>
      <w:pPr>
        <w:numPr>
          <w:ilvl w:val="0"/>
          <w:numId w:val="0"/>
        </w:numPr>
        <w:rPr>
          <w:rFonts w:hint="eastAsia" w:ascii="宋体" w:hAnsi="宋体" w:eastAsia="宋体" w:cs="宋体"/>
          <w:b/>
          <w:bCs/>
          <w:sz w:val="24"/>
          <w:lang w:val="en-US" w:eastAsia="zh-CN"/>
        </w:rPr>
      </w:pPr>
      <w:r>
        <w:rPr>
          <w:rFonts w:hint="eastAsia" w:ascii="宋体" w:hAnsi="宋体" w:eastAsia="宋体" w:cs="宋体"/>
          <w:b/>
          <w:bCs/>
          <w:kern w:val="2"/>
          <w:sz w:val="24"/>
          <w:lang w:val="en-US" w:eastAsia="zh-CN" w:bidi="ar-SA"/>
        </w:rPr>
        <w:t>（二）</w:t>
      </w:r>
      <w:r>
        <w:rPr>
          <w:rFonts w:hint="eastAsia" w:ascii="宋体" w:hAnsi="宋体" w:eastAsia="宋体" w:cs="宋体"/>
          <w:b/>
          <w:bCs/>
          <w:sz w:val="24"/>
          <w:lang w:val="en-US" w:eastAsia="zh-CN"/>
        </w:rPr>
        <w:t>符合性评审</w:t>
      </w:r>
    </w:p>
    <w:tbl>
      <w:tblPr>
        <w:tblStyle w:val="5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514"/>
        <w:gridCol w:w="5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6" w:type="dxa"/>
            <w:noWrap w:val="0"/>
            <w:vAlign w:val="center"/>
          </w:tcPr>
          <w:p>
            <w:pPr>
              <w:rPr>
                <w:rFonts w:hint="default" w:ascii="宋体" w:hAnsi="宋体" w:eastAsia="宋体" w:cs="宋体"/>
                <w:sz w:val="24"/>
                <w:lang w:val="en-US" w:eastAsia="zh-CN"/>
              </w:rPr>
            </w:pPr>
            <w:r>
              <w:rPr>
                <w:rFonts w:hint="eastAsia" w:ascii="宋体" w:hAnsi="宋体" w:eastAsia="宋体" w:cs="宋体"/>
                <w:sz w:val="24"/>
                <w:lang w:val="en-US" w:eastAsia="zh-CN"/>
              </w:rPr>
              <w:t>序号</w:t>
            </w:r>
          </w:p>
        </w:tc>
        <w:tc>
          <w:tcPr>
            <w:tcW w:w="2514" w:type="dxa"/>
            <w:noWrap w:val="0"/>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评分点</w:t>
            </w:r>
          </w:p>
        </w:tc>
        <w:tc>
          <w:tcPr>
            <w:tcW w:w="5694" w:type="dxa"/>
            <w:noWrap w:val="0"/>
            <w:vAlign w:val="center"/>
          </w:tcPr>
          <w:p>
            <w:pPr>
              <w:rPr>
                <w:rFonts w:hint="eastAsia" w:ascii="宋体" w:hAnsi="宋体" w:eastAsia="宋体" w:cs="宋体"/>
                <w:sz w:val="24"/>
                <w:lang w:val="en-US" w:eastAsia="zh-CN"/>
              </w:rPr>
            </w:pPr>
            <w:r>
              <w:rPr>
                <w:rFonts w:hint="eastAsia" w:ascii="宋体" w:hAnsi="宋体" w:eastAsia="宋体" w:cs="宋体"/>
                <w:sz w:val="24"/>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16" w:type="dxa"/>
            <w:noWrap w:val="0"/>
            <w:vAlign w:val="center"/>
          </w:tcPr>
          <w:p>
            <w:pPr>
              <w:numPr>
                <w:ilvl w:val="0"/>
                <w:numId w:val="13"/>
              </w:numPr>
              <w:ind w:left="425" w:leftChars="0" w:hanging="425" w:firstLineChars="0"/>
              <w:rPr>
                <w:rFonts w:hint="default" w:ascii="宋体" w:hAnsi="宋体" w:eastAsia="宋体" w:cs="宋体"/>
                <w:sz w:val="24"/>
                <w:lang w:val="en-US" w:eastAsia="zh-CN"/>
              </w:rPr>
            </w:pPr>
          </w:p>
        </w:tc>
        <w:tc>
          <w:tcPr>
            <w:tcW w:w="2514" w:type="dxa"/>
            <w:noWrap w:val="0"/>
            <w:vAlign w:val="center"/>
          </w:tcPr>
          <w:p>
            <w:pPr>
              <w:jc w:val="center"/>
              <w:rPr>
                <w:rFonts w:hint="default" w:ascii="宋体" w:hAnsi="宋体" w:cs="宋体"/>
                <w:kern w:val="2"/>
                <w:sz w:val="24"/>
                <w:lang w:val="en-US" w:eastAsia="zh-CN" w:bidi="ar-SA"/>
              </w:rPr>
            </w:pPr>
            <w:r>
              <w:rPr>
                <w:rFonts w:hint="default" w:ascii="宋体" w:hAnsi="宋体" w:cs="宋体"/>
                <w:kern w:val="2"/>
                <w:sz w:val="24"/>
                <w:lang w:val="en-US" w:eastAsia="zh-CN" w:bidi="ar-SA"/>
              </w:rPr>
              <w:t>投标人文件签署</w:t>
            </w:r>
          </w:p>
        </w:tc>
        <w:tc>
          <w:tcPr>
            <w:tcW w:w="5694" w:type="dxa"/>
            <w:noWrap w:val="0"/>
            <w:vAlign w:val="center"/>
          </w:tcPr>
          <w:p>
            <w:pPr>
              <w:rPr>
                <w:rFonts w:hint="default" w:ascii="宋体" w:hAnsi="宋体" w:cs="宋体"/>
                <w:kern w:val="2"/>
                <w:sz w:val="24"/>
                <w:lang w:val="en-US" w:eastAsia="zh-CN" w:bidi="ar-SA"/>
              </w:rPr>
            </w:pPr>
            <w:r>
              <w:rPr>
                <w:rFonts w:hint="default" w:ascii="宋体" w:hAnsi="宋体" w:cs="宋体"/>
                <w:kern w:val="2"/>
                <w:sz w:val="24"/>
                <w:lang w:val="en-US" w:eastAsia="zh-CN" w:bidi="ar-SA"/>
              </w:rPr>
              <w:t>投标文件按照招标文件要求签署、盖章、提交的，</w:t>
            </w:r>
            <w:r>
              <w:rPr>
                <w:rFonts w:hint="eastAsia" w:ascii="宋体" w:hAnsi="宋体" w:cs="宋体"/>
                <w:kern w:val="2"/>
                <w:sz w:val="24"/>
                <w:lang w:val="en-US" w:eastAsia="zh-CN" w:bidi="ar-SA"/>
              </w:rPr>
              <w:t>并且</w:t>
            </w:r>
            <w:r>
              <w:rPr>
                <w:rFonts w:hint="default" w:ascii="宋体" w:hAnsi="宋体" w:cs="宋体"/>
                <w:kern w:val="2"/>
                <w:sz w:val="24"/>
                <w:lang w:val="en-US" w:eastAsia="zh-CN" w:bidi="ar-SA"/>
              </w:rPr>
              <w:t>签字人</w:t>
            </w:r>
            <w:r>
              <w:rPr>
                <w:rFonts w:hint="eastAsia" w:ascii="宋体" w:hAnsi="宋体" w:cs="宋体"/>
                <w:kern w:val="2"/>
                <w:sz w:val="24"/>
                <w:lang w:val="en-US" w:eastAsia="zh-CN" w:bidi="ar-SA"/>
              </w:rPr>
              <w:t>具有</w:t>
            </w:r>
            <w:r>
              <w:rPr>
                <w:rFonts w:hint="default" w:ascii="宋体" w:hAnsi="宋体" w:cs="宋体"/>
                <w:kern w:val="2"/>
                <w:sz w:val="24"/>
                <w:lang w:val="en-US" w:eastAsia="zh-CN" w:bidi="ar-SA"/>
              </w:rPr>
              <w:t>法定代表人有效委托书的；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16" w:type="dxa"/>
            <w:noWrap w:val="0"/>
            <w:vAlign w:val="center"/>
          </w:tcPr>
          <w:p>
            <w:pPr>
              <w:numPr>
                <w:ilvl w:val="0"/>
                <w:numId w:val="13"/>
              </w:numPr>
              <w:ind w:left="425" w:leftChars="0" w:hanging="425" w:firstLineChars="0"/>
              <w:rPr>
                <w:rFonts w:hint="default" w:ascii="宋体" w:hAnsi="宋体" w:eastAsia="宋体" w:cs="宋体"/>
                <w:sz w:val="24"/>
                <w:lang w:val="en-US" w:eastAsia="zh-CN"/>
              </w:rPr>
            </w:pPr>
          </w:p>
        </w:tc>
        <w:tc>
          <w:tcPr>
            <w:tcW w:w="2514" w:type="dxa"/>
            <w:noWrap w:val="0"/>
            <w:vAlign w:val="center"/>
          </w:tcPr>
          <w:p>
            <w:pPr>
              <w:jc w:val="center"/>
              <w:rPr>
                <w:rFonts w:hint="default" w:ascii="宋体" w:hAnsi="宋体" w:cs="宋体"/>
                <w:kern w:val="2"/>
                <w:sz w:val="24"/>
                <w:lang w:val="en-US" w:eastAsia="zh-CN" w:bidi="ar-SA"/>
              </w:rPr>
            </w:pPr>
            <w:r>
              <w:rPr>
                <w:rFonts w:hint="default" w:ascii="宋体" w:hAnsi="宋体" w:cs="宋体"/>
                <w:kern w:val="2"/>
                <w:sz w:val="24"/>
                <w:lang w:val="en-US" w:eastAsia="zh-CN" w:bidi="ar-SA"/>
              </w:rPr>
              <w:t>报价唯一性</w:t>
            </w:r>
          </w:p>
        </w:tc>
        <w:tc>
          <w:tcPr>
            <w:tcW w:w="5694" w:type="dxa"/>
            <w:noWrap w:val="0"/>
            <w:vAlign w:val="center"/>
          </w:tcPr>
          <w:p>
            <w:pPr>
              <w:rPr>
                <w:rFonts w:hint="default" w:ascii="宋体" w:hAnsi="宋体" w:cs="宋体"/>
                <w:kern w:val="2"/>
                <w:sz w:val="24"/>
                <w:lang w:val="en-US" w:eastAsia="zh-CN" w:bidi="ar-SA"/>
              </w:rPr>
            </w:pPr>
            <w:r>
              <w:rPr>
                <w:rFonts w:hint="default" w:ascii="宋体" w:hAnsi="宋体" w:cs="宋体"/>
                <w:kern w:val="2"/>
                <w:sz w:val="24"/>
                <w:lang w:val="en-US" w:eastAsia="zh-CN" w:bidi="ar-SA"/>
              </w:rPr>
              <w:t>投标报价具有唯一性</w:t>
            </w:r>
            <w:r>
              <w:rPr>
                <w:rFonts w:hint="eastAsia" w:ascii="宋体" w:hAnsi="宋体" w:cs="宋体"/>
                <w:kern w:val="2"/>
                <w:sz w:val="24"/>
                <w:lang w:val="en-US" w:eastAsia="zh-CN" w:bidi="ar-SA"/>
              </w:rPr>
              <w:t>，</w:t>
            </w:r>
            <w:r>
              <w:rPr>
                <w:rFonts w:hint="default" w:ascii="宋体" w:hAnsi="宋体" w:cs="宋体"/>
                <w:kern w:val="2"/>
                <w:sz w:val="24"/>
                <w:lang w:val="en-US" w:eastAsia="zh-CN" w:bidi="ar-SA"/>
              </w:rPr>
              <w:t>报价</w:t>
            </w:r>
            <w:r>
              <w:rPr>
                <w:rFonts w:hint="eastAsia" w:ascii="宋体" w:hAnsi="宋体" w:cs="宋体"/>
                <w:kern w:val="2"/>
                <w:sz w:val="24"/>
                <w:lang w:val="en-US" w:eastAsia="zh-CN" w:bidi="ar-SA"/>
              </w:rPr>
              <w:t>未</w:t>
            </w:r>
            <w:r>
              <w:rPr>
                <w:rFonts w:hint="default" w:ascii="宋体" w:hAnsi="宋体" w:cs="宋体"/>
                <w:kern w:val="2"/>
                <w:sz w:val="24"/>
                <w:lang w:val="en-US" w:eastAsia="zh-CN" w:bidi="ar-SA"/>
              </w:rPr>
              <w:t>超过招标文件中规定的预算金额或者最高限价的；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16" w:type="dxa"/>
            <w:noWrap w:val="0"/>
            <w:vAlign w:val="center"/>
          </w:tcPr>
          <w:p>
            <w:pPr>
              <w:numPr>
                <w:ilvl w:val="0"/>
                <w:numId w:val="13"/>
              </w:numPr>
              <w:ind w:left="425" w:leftChars="0" w:hanging="425" w:firstLineChars="0"/>
              <w:rPr>
                <w:rFonts w:hint="default" w:ascii="宋体" w:hAnsi="宋体" w:eastAsia="宋体" w:cs="宋体"/>
                <w:sz w:val="24"/>
                <w:lang w:val="en-US" w:eastAsia="zh-CN"/>
              </w:rPr>
            </w:pPr>
          </w:p>
        </w:tc>
        <w:tc>
          <w:tcPr>
            <w:tcW w:w="2514" w:type="dxa"/>
            <w:noWrap w:val="0"/>
            <w:vAlign w:val="center"/>
          </w:tcPr>
          <w:p>
            <w:pPr>
              <w:jc w:val="center"/>
              <w:rPr>
                <w:rFonts w:hint="default" w:ascii="宋体" w:hAnsi="宋体" w:cs="宋体"/>
                <w:kern w:val="2"/>
                <w:sz w:val="24"/>
                <w:lang w:val="en-US" w:eastAsia="zh-CN" w:bidi="ar-SA"/>
              </w:rPr>
            </w:pPr>
            <w:r>
              <w:rPr>
                <w:rFonts w:hint="default" w:ascii="宋体" w:hAnsi="宋体" w:cs="宋体"/>
                <w:kern w:val="2"/>
                <w:sz w:val="24"/>
                <w:lang w:val="en-US" w:eastAsia="zh-CN" w:bidi="ar-SA"/>
              </w:rPr>
              <w:t>投标文件内容</w:t>
            </w:r>
          </w:p>
        </w:tc>
        <w:tc>
          <w:tcPr>
            <w:tcW w:w="5694" w:type="dxa"/>
            <w:noWrap w:val="0"/>
            <w:vAlign w:val="center"/>
          </w:tcPr>
          <w:p>
            <w:pPr>
              <w:rPr>
                <w:rFonts w:hint="default" w:ascii="宋体" w:hAnsi="宋体" w:cs="宋体"/>
                <w:kern w:val="2"/>
                <w:sz w:val="24"/>
                <w:lang w:val="en-US" w:eastAsia="zh-CN" w:bidi="ar-SA"/>
              </w:rPr>
            </w:pPr>
            <w:r>
              <w:rPr>
                <w:rFonts w:hint="default" w:ascii="宋体" w:hAnsi="宋体" w:cs="宋体"/>
                <w:kern w:val="2"/>
                <w:sz w:val="24"/>
                <w:lang w:val="en-US" w:eastAsia="zh-CN" w:bidi="ar-SA"/>
              </w:rPr>
              <w:t>投标文件</w:t>
            </w:r>
            <w:r>
              <w:rPr>
                <w:rFonts w:hint="eastAsia" w:ascii="宋体" w:hAnsi="宋体" w:cs="宋体"/>
                <w:kern w:val="2"/>
                <w:sz w:val="24"/>
                <w:lang w:val="en-US" w:eastAsia="zh-CN" w:bidi="ar-SA"/>
              </w:rPr>
              <w:t>未</w:t>
            </w:r>
            <w:r>
              <w:rPr>
                <w:rFonts w:hint="default" w:ascii="宋体" w:hAnsi="宋体" w:cs="宋体"/>
                <w:kern w:val="2"/>
                <w:sz w:val="24"/>
                <w:lang w:val="en-US" w:eastAsia="zh-CN" w:bidi="ar-SA"/>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16" w:type="dxa"/>
            <w:noWrap w:val="0"/>
            <w:vAlign w:val="center"/>
          </w:tcPr>
          <w:p>
            <w:pPr>
              <w:numPr>
                <w:ilvl w:val="0"/>
                <w:numId w:val="13"/>
              </w:numPr>
              <w:ind w:left="425" w:leftChars="0" w:hanging="425" w:firstLineChars="0"/>
              <w:rPr>
                <w:rFonts w:hint="default" w:ascii="宋体" w:hAnsi="宋体" w:eastAsia="宋体" w:cs="宋体"/>
                <w:sz w:val="24"/>
                <w:lang w:val="en-US" w:eastAsia="zh-CN"/>
              </w:rPr>
            </w:pPr>
          </w:p>
        </w:tc>
        <w:tc>
          <w:tcPr>
            <w:tcW w:w="2514" w:type="dxa"/>
            <w:noWrap w:val="0"/>
            <w:vAlign w:val="center"/>
          </w:tcPr>
          <w:p>
            <w:pPr>
              <w:jc w:val="center"/>
              <w:rPr>
                <w:rFonts w:hint="default" w:ascii="宋体" w:hAnsi="宋体" w:cs="宋体"/>
                <w:kern w:val="2"/>
                <w:sz w:val="24"/>
                <w:lang w:val="en-US" w:eastAsia="zh-CN" w:bidi="ar-SA"/>
              </w:rPr>
            </w:pPr>
            <w:r>
              <w:rPr>
                <w:rFonts w:hint="default" w:ascii="宋体" w:hAnsi="宋体" w:cs="宋体"/>
                <w:kern w:val="2"/>
                <w:sz w:val="24"/>
                <w:lang w:val="en-US" w:eastAsia="zh-CN" w:bidi="ar-SA"/>
              </w:rPr>
              <w:t>投标有效期</w:t>
            </w:r>
          </w:p>
        </w:tc>
        <w:tc>
          <w:tcPr>
            <w:tcW w:w="5694" w:type="dxa"/>
            <w:noWrap w:val="0"/>
            <w:vAlign w:val="center"/>
          </w:tcPr>
          <w:p>
            <w:pPr>
              <w:rPr>
                <w:rFonts w:hint="default" w:ascii="宋体" w:hAnsi="宋体" w:cs="宋体"/>
                <w:kern w:val="2"/>
                <w:sz w:val="24"/>
                <w:lang w:val="en-US" w:eastAsia="zh-CN" w:bidi="ar-SA"/>
              </w:rPr>
            </w:pPr>
            <w:r>
              <w:rPr>
                <w:rFonts w:hint="default" w:ascii="宋体" w:hAnsi="宋体" w:cs="宋体"/>
                <w:kern w:val="2"/>
                <w:sz w:val="24"/>
                <w:lang w:val="en-US" w:eastAsia="zh-CN" w:bidi="ar-SA"/>
              </w:rPr>
              <w:t>投标有效期</w:t>
            </w:r>
            <w:r>
              <w:rPr>
                <w:rFonts w:hint="eastAsia" w:ascii="宋体" w:hAnsi="宋体" w:cs="宋体"/>
                <w:kern w:val="2"/>
                <w:sz w:val="24"/>
                <w:lang w:val="en-US" w:eastAsia="zh-CN" w:bidi="ar-SA"/>
              </w:rPr>
              <w:t>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16" w:type="dxa"/>
            <w:noWrap w:val="0"/>
            <w:vAlign w:val="center"/>
          </w:tcPr>
          <w:p>
            <w:pPr>
              <w:numPr>
                <w:ilvl w:val="0"/>
                <w:numId w:val="13"/>
              </w:numPr>
              <w:ind w:left="425" w:leftChars="0" w:hanging="425" w:firstLineChars="0"/>
              <w:rPr>
                <w:rFonts w:hint="default" w:ascii="宋体" w:hAnsi="宋体" w:eastAsia="宋体" w:cs="宋体"/>
                <w:sz w:val="24"/>
                <w:lang w:val="en-US" w:eastAsia="zh-CN"/>
              </w:rPr>
            </w:pPr>
          </w:p>
        </w:tc>
        <w:tc>
          <w:tcPr>
            <w:tcW w:w="2514" w:type="dxa"/>
            <w:noWrap w:val="0"/>
            <w:vAlign w:val="center"/>
          </w:tcPr>
          <w:p>
            <w:pPr>
              <w:jc w:val="center"/>
              <w:rPr>
                <w:rFonts w:hint="default" w:ascii="宋体" w:hAnsi="宋体" w:cs="宋体"/>
                <w:kern w:val="2"/>
                <w:sz w:val="24"/>
                <w:lang w:val="en-US" w:eastAsia="zh-CN" w:bidi="ar-SA"/>
              </w:rPr>
            </w:pPr>
            <w:r>
              <w:rPr>
                <w:rFonts w:hint="default" w:ascii="宋体" w:hAnsi="宋体" w:cs="宋体"/>
                <w:kern w:val="2"/>
                <w:sz w:val="24"/>
                <w:lang w:val="en-US" w:eastAsia="zh-CN" w:bidi="ar-SA"/>
              </w:rPr>
              <w:t>投标文件内容</w:t>
            </w:r>
          </w:p>
        </w:tc>
        <w:tc>
          <w:tcPr>
            <w:tcW w:w="5694" w:type="dxa"/>
            <w:noWrap w:val="0"/>
            <w:vAlign w:val="center"/>
          </w:tcPr>
          <w:p>
            <w:pPr>
              <w:rPr>
                <w:rFonts w:hint="default" w:ascii="宋体" w:hAnsi="宋体" w:cs="宋体"/>
                <w:kern w:val="2"/>
                <w:sz w:val="24"/>
                <w:lang w:val="en-US" w:eastAsia="zh-CN" w:bidi="ar-SA"/>
              </w:rPr>
            </w:pPr>
            <w:r>
              <w:rPr>
                <w:rFonts w:hint="default" w:ascii="宋体" w:hAnsi="宋体" w:cs="宋体"/>
                <w:kern w:val="2"/>
                <w:sz w:val="24"/>
                <w:lang w:val="en-US" w:eastAsia="zh-CN" w:bidi="ar-SA"/>
              </w:rPr>
              <w:t>接受评委对投标文件报价出现前后不一致的修正；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716" w:type="dxa"/>
            <w:noWrap w:val="0"/>
            <w:vAlign w:val="center"/>
          </w:tcPr>
          <w:p>
            <w:pPr>
              <w:numPr>
                <w:ilvl w:val="0"/>
                <w:numId w:val="13"/>
              </w:numPr>
              <w:ind w:left="425" w:leftChars="0" w:hanging="425" w:firstLineChars="0"/>
              <w:rPr>
                <w:rFonts w:hint="default" w:ascii="宋体" w:hAnsi="宋体" w:eastAsia="宋体" w:cs="宋体"/>
                <w:sz w:val="24"/>
                <w:lang w:val="en-US" w:eastAsia="zh-CN"/>
              </w:rPr>
            </w:pPr>
          </w:p>
        </w:tc>
        <w:tc>
          <w:tcPr>
            <w:tcW w:w="2514" w:type="dxa"/>
            <w:noWrap w:val="0"/>
            <w:vAlign w:val="center"/>
          </w:tcPr>
          <w:p>
            <w:pPr>
              <w:jc w:val="center"/>
              <w:rPr>
                <w:rFonts w:hint="default" w:ascii="宋体" w:hAnsi="宋体" w:cs="宋体"/>
                <w:kern w:val="2"/>
                <w:sz w:val="24"/>
                <w:lang w:val="en-US" w:eastAsia="zh-CN" w:bidi="ar-SA"/>
              </w:rPr>
            </w:pPr>
            <w:r>
              <w:rPr>
                <w:rFonts w:hint="default" w:ascii="宋体" w:hAnsi="宋体" w:cs="宋体"/>
                <w:kern w:val="2"/>
                <w:sz w:val="24"/>
                <w:lang w:val="en-US" w:eastAsia="zh-CN" w:bidi="ar-SA"/>
              </w:rPr>
              <w:t>投标文件内容</w:t>
            </w:r>
          </w:p>
        </w:tc>
        <w:tc>
          <w:tcPr>
            <w:tcW w:w="5694" w:type="dxa"/>
            <w:noWrap w:val="0"/>
            <w:vAlign w:val="center"/>
          </w:tcPr>
          <w:p>
            <w:pPr>
              <w:rPr>
                <w:rFonts w:hint="default" w:ascii="宋体" w:hAnsi="宋体" w:cs="宋体"/>
                <w:kern w:val="2"/>
                <w:sz w:val="24"/>
                <w:lang w:val="en-US" w:eastAsia="zh-CN" w:bidi="ar-SA"/>
              </w:rPr>
            </w:pPr>
            <w:r>
              <w:rPr>
                <w:rFonts w:hint="default" w:ascii="宋体" w:hAnsi="宋体" w:cs="宋体"/>
                <w:kern w:val="2"/>
                <w:sz w:val="24"/>
                <w:lang w:val="en-US" w:eastAsia="zh-CN" w:bidi="ar-SA"/>
              </w:rPr>
              <w:t>投标人</w:t>
            </w:r>
            <w:r>
              <w:rPr>
                <w:rFonts w:hint="eastAsia" w:ascii="宋体" w:hAnsi="宋体" w:cs="宋体"/>
                <w:kern w:val="2"/>
                <w:sz w:val="24"/>
                <w:lang w:val="en-US" w:eastAsia="zh-CN" w:bidi="ar-SA"/>
              </w:rPr>
              <w:t>无</w:t>
            </w:r>
            <w:r>
              <w:rPr>
                <w:rFonts w:hint="default" w:ascii="宋体" w:hAnsi="宋体" w:cs="宋体"/>
                <w:kern w:val="2"/>
                <w:sz w:val="24"/>
                <w:lang w:val="en-US" w:eastAsia="zh-CN" w:bidi="ar-SA"/>
              </w:rPr>
              <w:t>串通投标、弄虚作假、行贿等违法行为；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6" w:type="dxa"/>
            <w:noWrap w:val="0"/>
            <w:vAlign w:val="center"/>
          </w:tcPr>
          <w:p>
            <w:pPr>
              <w:numPr>
                <w:ilvl w:val="0"/>
                <w:numId w:val="13"/>
              </w:numPr>
              <w:ind w:left="425" w:leftChars="0" w:hanging="425" w:firstLineChars="0"/>
              <w:rPr>
                <w:rFonts w:hint="default" w:ascii="宋体" w:hAnsi="宋体" w:eastAsia="宋体" w:cs="宋体"/>
                <w:sz w:val="24"/>
                <w:lang w:val="en-US" w:eastAsia="zh-CN"/>
              </w:rPr>
            </w:pPr>
          </w:p>
        </w:tc>
        <w:tc>
          <w:tcPr>
            <w:tcW w:w="2514" w:type="dxa"/>
            <w:noWrap w:val="0"/>
            <w:vAlign w:val="center"/>
          </w:tcPr>
          <w:p>
            <w:pPr>
              <w:jc w:val="center"/>
              <w:rPr>
                <w:rFonts w:hint="default" w:ascii="宋体" w:hAnsi="宋体" w:cs="宋体"/>
                <w:kern w:val="2"/>
                <w:sz w:val="24"/>
                <w:lang w:val="en-US" w:eastAsia="zh-CN" w:bidi="ar-SA"/>
              </w:rPr>
            </w:pPr>
            <w:r>
              <w:rPr>
                <w:rFonts w:hint="default" w:ascii="宋体" w:hAnsi="宋体" w:cs="宋体"/>
                <w:kern w:val="2"/>
                <w:sz w:val="24"/>
                <w:lang w:val="en-US" w:eastAsia="zh-CN" w:bidi="ar-SA"/>
              </w:rPr>
              <w:t>投标文件内容</w:t>
            </w:r>
          </w:p>
        </w:tc>
        <w:tc>
          <w:tcPr>
            <w:tcW w:w="5694" w:type="dxa"/>
            <w:noWrap w:val="0"/>
            <w:vAlign w:val="center"/>
          </w:tcPr>
          <w:p>
            <w:pPr>
              <w:rPr>
                <w:rFonts w:hint="default" w:ascii="宋体" w:hAnsi="宋体" w:cs="宋体"/>
                <w:kern w:val="2"/>
                <w:sz w:val="24"/>
                <w:lang w:val="en-US" w:eastAsia="zh-CN" w:bidi="ar-SA"/>
              </w:rPr>
            </w:pPr>
            <w:r>
              <w:rPr>
                <w:rFonts w:hint="default" w:ascii="宋体" w:hAnsi="宋体" w:cs="宋体"/>
                <w:kern w:val="2"/>
                <w:sz w:val="24"/>
                <w:lang w:val="en-US" w:eastAsia="zh-CN" w:bidi="ar-SA"/>
              </w:rPr>
              <w:t>投标文件对招标文件的实质性要求和条件作出响应的；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16" w:type="dxa"/>
            <w:noWrap w:val="0"/>
            <w:vAlign w:val="center"/>
          </w:tcPr>
          <w:p>
            <w:pPr>
              <w:numPr>
                <w:ilvl w:val="0"/>
                <w:numId w:val="13"/>
              </w:numPr>
              <w:ind w:left="425" w:leftChars="0" w:hanging="425" w:firstLineChars="0"/>
              <w:rPr>
                <w:rFonts w:hint="default" w:ascii="宋体" w:hAnsi="宋体" w:eastAsia="宋体" w:cs="宋体"/>
                <w:sz w:val="24"/>
                <w:lang w:val="en-US" w:eastAsia="zh-CN"/>
              </w:rPr>
            </w:pPr>
          </w:p>
        </w:tc>
        <w:tc>
          <w:tcPr>
            <w:tcW w:w="2514" w:type="dxa"/>
            <w:noWrap w:val="0"/>
            <w:vAlign w:val="center"/>
          </w:tcPr>
          <w:p>
            <w:pPr>
              <w:jc w:val="center"/>
              <w:rPr>
                <w:rFonts w:hint="default" w:ascii="宋体" w:hAnsi="宋体" w:cs="宋体"/>
                <w:kern w:val="2"/>
                <w:sz w:val="24"/>
                <w:lang w:val="en-US" w:eastAsia="zh-CN" w:bidi="ar-SA"/>
              </w:rPr>
            </w:pPr>
            <w:r>
              <w:rPr>
                <w:rFonts w:hint="default" w:ascii="宋体" w:hAnsi="宋体" w:cs="宋体"/>
                <w:kern w:val="2"/>
                <w:sz w:val="24"/>
                <w:lang w:val="en-US" w:eastAsia="zh-CN" w:bidi="ar-SA"/>
              </w:rPr>
              <w:t>合同履约期限</w:t>
            </w:r>
          </w:p>
        </w:tc>
        <w:tc>
          <w:tcPr>
            <w:tcW w:w="5694" w:type="dxa"/>
            <w:noWrap w:val="0"/>
            <w:vAlign w:val="center"/>
          </w:tcPr>
          <w:p>
            <w:pPr>
              <w:rPr>
                <w:rFonts w:hint="default" w:ascii="宋体" w:hAnsi="宋体" w:cs="宋体"/>
                <w:kern w:val="2"/>
                <w:sz w:val="24"/>
                <w:lang w:val="en-US" w:eastAsia="zh-CN" w:bidi="ar-SA"/>
              </w:rPr>
            </w:pPr>
            <w:r>
              <w:rPr>
                <w:rFonts w:hint="default" w:ascii="宋体" w:hAnsi="宋体" w:cs="宋体"/>
                <w:kern w:val="2"/>
                <w:sz w:val="24"/>
                <w:lang w:val="en-US" w:eastAsia="zh-CN" w:bidi="ar-SA"/>
              </w:rPr>
              <w:t>合同履约期限（或服务期）满足招标文件要求；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6" w:type="dxa"/>
            <w:noWrap w:val="0"/>
            <w:vAlign w:val="center"/>
          </w:tcPr>
          <w:p>
            <w:pPr>
              <w:numPr>
                <w:ilvl w:val="0"/>
                <w:numId w:val="13"/>
              </w:numPr>
              <w:ind w:left="425" w:leftChars="0" w:hanging="425" w:firstLineChars="0"/>
              <w:rPr>
                <w:rFonts w:hint="default" w:ascii="宋体" w:hAnsi="宋体" w:eastAsia="宋体" w:cs="宋体"/>
                <w:sz w:val="24"/>
                <w:lang w:val="en-US" w:eastAsia="zh-CN"/>
              </w:rPr>
            </w:pPr>
          </w:p>
        </w:tc>
        <w:tc>
          <w:tcPr>
            <w:tcW w:w="2514" w:type="dxa"/>
            <w:noWrap w:val="0"/>
            <w:vAlign w:val="center"/>
          </w:tcPr>
          <w:p>
            <w:pPr>
              <w:jc w:val="center"/>
              <w:rPr>
                <w:rFonts w:hint="default" w:ascii="宋体" w:hAnsi="宋体" w:cs="宋体"/>
                <w:kern w:val="2"/>
                <w:sz w:val="24"/>
                <w:lang w:val="en-US" w:eastAsia="zh-CN" w:bidi="ar-SA"/>
              </w:rPr>
            </w:pPr>
            <w:r>
              <w:rPr>
                <w:rFonts w:hint="eastAsia" w:ascii="宋体" w:hAnsi="宋体" w:cs="宋体"/>
                <w:kern w:val="2"/>
                <w:sz w:val="24"/>
                <w:lang w:val="en-US" w:eastAsia="zh-CN" w:bidi="ar-SA"/>
              </w:rPr>
              <w:t>法律法规</w:t>
            </w:r>
          </w:p>
        </w:tc>
        <w:tc>
          <w:tcPr>
            <w:tcW w:w="5694" w:type="dxa"/>
            <w:noWrap w:val="0"/>
            <w:vAlign w:val="center"/>
          </w:tcPr>
          <w:p>
            <w:pP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不存在</w:t>
            </w:r>
            <w:r>
              <w:rPr>
                <w:rFonts w:hint="default" w:ascii="宋体" w:hAnsi="宋体" w:cs="宋体"/>
                <w:kern w:val="2"/>
                <w:sz w:val="24"/>
                <w:szCs w:val="24"/>
                <w:lang w:val="en-US" w:eastAsia="zh-CN" w:bidi="ar-SA"/>
              </w:rPr>
              <w:t>法律、法规和招标文件中规定的其他无效情形。</w:t>
            </w:r>
          </w:p>
        </w:tc>
      </w:tr>
    </w:tbl>
    <w:p>
      <w:pPr>
        <w:widowControl/>
        <w:ind w:firstLine="482" w:firstLineChars="200"/>
        <w:jc w:val="left"/>
        <w:rPr>
          <w:rFonts w:ascii="宋体" w:cs="宋体"/>
          <w:b/>
          <w:bCs/>
          <w:sz w:val="24"/>
          <w:szCs w:val="24"/>
          <w:highlight w:val="none"/>
        </w:rPr>
      </w:pPr>
      <w:r>
        <w:rPr>
          <w:rFonts w:hint="eastAsia" w:ascii="宋体" w:hAnsi="宋体" w:cs="宋体"/>
          <w:b/>
          <w:bCs/>
          <w:sz w:val="24"/>
          <w:szCs w:val="24"/>
          <w:highlight w:val="none"/>
        </w:rPr>
        <w:t>二、详细评审</w:t>
      </w:r>
    </w:p>
    <w:p>
      <w:pPr>
        <w:spacing w:line="360" w:lineRule="auto"/>
        <w:ind w:firstLine="360" w:firstLineChars="150"/>
        <w:rPr>
          <w:rFonts w:ascii="宋体" w:cs="宋体"/>
          <w:sz w:val="24"/>
          <w:szCs w:val="24"/>
          <w:highlight w:val="none"/>
        </w:rPr>
      </w:pPr>
      <w:r>
        <w:rPr>
          <w:rFonts w:hint="eastAsia" w:ascii="宋体" w:hAnsi="宋体" w:cs="宋体"/>
          <w:sz w:val="24"/>
          <w:szCs w:val="24"/>
          <w:highlight w:val="none"/>
        </w:rPr>
        <w:t>（一）、价格分（</w:t>
      </w:r>
      <w:r>
        <w:rPr>
          <w:rFonts w:ascii="宋体" w:hAnsi="宋体" w:cs="宋体"/>
          <w:sz w:val="24"/>
          <w:szCs w:val="24"/>
          <w:highlight w:val="none"/>
        </w:rPr>
        <w:t>10</w:t>
      </w:r>
      <w:r>
        <w:rPr>
          <w:rFonts w:hint="eastAsia" w:ascii="宋体" w:hAnsi="宋体" w:cs="宋体"/>
          <w:sz w:val="24"/>
          <w:szCs w:val="24"/>
          <w:highlight w:val="none"/>
        </w:rPr>
        <w:t>分）</w:t>
      </w:r>
    </w:p>
    <w:p>
      <w:pPr>
        <w:spacing w:line="360" w:lineRule="auto"/>
        <w:ind w:firstLine="360" w:firstLineChars="150"/>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价格分统一采用低价优先法计算即满足招标文件要求且投标价格最低的有效投标报价（即除低于成本报价以外的所有报价）为评标基准价，其价格分为满分。有效投标报价必须不高于本采购项目的预算价，否则为无效报价。</w:t>
      </w:r>
    </w:p>
    <w:p>
      <w:pPr>
        <w:spacing w:line="360" w:lineRule="auto"/>
        <w:ind w:firstLine="360" w:firstLineChars="150"/>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．其他投标人的价格分统一按照以下公式计算：</w:t>
      </w:r>
    </w:p>
    <w:p>
      <w:pPr>
        <w:spacing w:line="360" w:lineRule="auto"/>
        <w:ind w:firstLine="360" w:firstLineChars="150"/>
        <w:rPr>
          <w:rFonts w:hint="default" w:ascii="宋体" w:eastAsia="宋体" w:cs="宋体"/>
          <w:sz w:val="24"/>
          <w:szCs w:val="24"/>
          <w:highlight w:val="none"/>
          <w:lang w:val="en-US" w:eastAsia="zh-CN"/>
        </w:rPr>
      </w:pPr>
      <w:r>
        <w:rPr>
          <w:rFonts w:hint="eastAsia" w:ascii="宋体" w:hAnsi="宋体" w:cs="宋体"/>
          <w:sz w:val="24"/>
          <w:szCs w:val="24"/>
          <w:highlight w:val="none"/>
        </w:rPr>
        <w:t>投标报价得分</w:t>
      </w:r>
      <w:r>
        <w:rPr>
          <w:rFonts w:ascii="宋体" w:hAnsi="宋体" w:cs="宋体"/>
          <w:sz w:val="24"/>
          <w:szCs w:val="24"/>
          <w:highlight w:val="none"/>
        </w:rPr>
        <w:t>=</w:t>
      </w:r>
      <w:r>
        <w:rPr>
          <w:rFonts w:hint="eastAsia" w:ascii="宋体" w:hAnsi="宋体" w:cs="宋体"/>
          <w:sz w:val="24"/>
          <w:szCs w:val="24"/>
          <w:highlight w:val="none"/>
        </w:rPr>
        <w:t>（评标基准价</w:t>
      </w:r>
      <w:r>
        <w:rPr>
          <w:rFonts w:ascii="宋体" w:hAnsi="宋体" w:cs="宋体"/>
          <w:sz w:val="24"/>
          <w:szCs w:val="24"/>
          <w:highlight w:val="none"/>
        </w:rPr>
        <w:t>/</w:t>
      </w:r>
      <w:r>
        <w:rPr>
          <w:rFonts w:hint="eastAsia" w:ascii="宋体" w:hAnsi="宋体" w:cs="宋体"/>
          <w:sz w:val="24"/>
          <w:szCs w:val="24"/>
          <w:highlight w:val="none"/>
        </w:rPr>
        <w:t>投标报价）×</w:t>
      </w:r>
      <w:r>
        <w:rPr>
          <w:rFonts w:hint="eastAsia" w:ascii="宋体" w:hAnsi="宋体" w:cs="宋体"/>
          <w:sz w:val="24"/>
          <w:szCs w:val="24"/>
          <w:highlight w:val="none"/>
          <w:lang w:val="en-US" w:eastAsia="zh-CN"/>
        </w:rPr>
        <w:t>10</w:t>
      </w:r>
    </w:p>
    <w:p>
      <w:pPr>
        <w:spacing w:line="360" w:lineRule="auto"/>
        <w:ind w:firstLine="360" w:firstLineChars="150"/>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最低报价不作为中标的保证。</w:t>
      </w:r>
    </w:p>
    <w:p>
      <w:pPr>
        <w:spacing w:line="360" w:lineRule="auto"/>
        <w:ind w:firstLine="360" w:firstLineChars="150"/>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.中、小型和微型企业的规定</w:t>
      </w:r>
    </w:p>
    <w:p>
      <w:pPr>
        <w:spacing w:line="360" w:lineRule="auto"/>
        <w:ind w:firstLine="360" w:firstLineChars="150"/>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1中小企业划分标准参照《关于印发&lt;政府采购促进中小企业发展管理办法&gt;的通知》(财库〔2020〕46号）及《关于印发中小企业划型标准规定的通知》（工信部联企业[2011]300号）。提供对应的《中小企业声明函》（详见附件）</w:t>
      </w:r>
    </w:p>
    <w:p>
      <w:pPr>
        <w:spacing w:line="360" w:lineRule="auto"/>
        <w:ind w:firstLine="360" w:firstLineChars="150"/>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.2监狱企业视同小型、微型企业, 监狱企业应当提供由省级以上监狱管理局、戒毒管理局(含新疆生产建设兵团)出具的属于监狱企业的证明文件。监狱企业应当提供市监狱管理局、市教育矫治局出具的监狱企业的证明文件。</w:t>
      </w:r>
    </w:p>
    <w:p>
      <w:pPr>
        <w:spacing w:line="360" w:lineRule="auto"/>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4.3残疾人福利性单位视同小型、微型企业，符合条件的残疾人福利性单位在参加政府采购活动时，应当提供本通知规定的《残疾人福利性单位声明函》，并对声明的真实性负责。</w:t>
      </w:r>
    </w:p>
    <w:p>
      <w:pPr>
        <w:spacing w:line="360" w:lineRule="auto"/>
        <w:ind w:firstLine="360" w:firstLineChars="15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4.4本项目专门面向中小企业采购，不再对小微企业的报价进行价格扣除优惠。</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（二）、商务技术部分（</w:t>
      </w:r>
      <w:r>
        <w:rPr>
          <w:rFonts w:ascii="宋体" w:hAnsi="宋体" w:cs="宋体"/>
          <w:sz w:val="24"/>
          <w:szCs w:val="24"/>
          <w:highlight w:val="none"/>
        </w:rPr>
        <w:t>90</w:t>
      </w:r>
      <w:r>
        <w:rPr>
          <w:rFonts w:hint="eastAsia" w:ascii="宋体" w:hAnsi="宋体" w:cs="宋体"/>
          <w:sz w:val="24"/>
          <w:szCs w:val="24"/>
          <w:highlight w:val="none"/>
        </w:rPr>
        <w:t>分）</w:t>
      </w:r>
    </w:p>
    <w:tbl>
      <w:tblPr>
        <w:tblStyle w:val="276"/>
        <w:tblW w:w="87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8"/>
        <w:gridCol w:w="1090"/>
        <w:gridCol w:w="1311"/>
        <w:gridCol w:w="5310"/>
        <w:gridCol w:w="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528" w:type="dxa"/>
            <w:gridSpan w:val="2"/>
            <w:vAlign w:val="top"/>
          </w:tcPr>
          <w:p>
            <w:pPr>
              <w:spacing w:before="115" w:line="219" w:lineRule="auto"/>
              <w:ind w:left="297"/>
              <w:rPr>
                <w:rFonts w:ascii="宋体" w:hAnsi="宋体" w:eastAsia="宋体" w:cs="宋体"/>
                <w:sz w:val="24"/>
                <w:szCs w:val="24"/>
              </w:rPr>
            </w:pPr>
            <w:bookmarkStart w:id="66" w:name="_Toc2511995"/>
            <w:r>
              <w:rPr>
                <w:rFonts w:ascii="宋体" w:hAnsi="宋体" w:eastAsia="宋体" w:cs="宋体"/>
                <w:spacing w:val="-3"/>
                <w:sz w:val="24"/>
                <w:szCs w:val="24"/>
              </w:rPr>
              <w:t>评分因素</w:t>
            </w:r>
          </w:p>
        </w:tc>
        <w:tc>
          <w:tcPr>
            <w:tcW w:w="1311" w:type="dxa"/>
            <w:vAlign w:val="top"/>
          </w:tcPr>
          <w:p>
            <w:pPr>
              <w:spacing w:before="160" w:line="220" w:lineRule="auto"/>
              <w:ind w:left="304"/>
              <w:rPr>
                <w:rFonts w:ascii="宋体" w:hAnsi="宋体" w:eastAsia="宋体" w:cs="宋体"/>
                <w:sz w:val="24"/>
                <w:szCs w:val="24"/>
              </w:rPr>
            </w:pPr>
            <w:r>
              <w:rPr>
                <w:rFonts w:ascii="宋体" w:hAnsi="宋体" w:eastAsia="宋体" w:cs="宋体"/>
                <w:spacing w:val="-3"/>
                <w:sz w:val="24"/>
                <w:szCs w:val="24"/>
              </w:rPr>
              <w:t>评分点</w:t>
            </w:r>
          </w:p>
        </w:tc>
        <w:tc>
          <w:tcPr>
            <w:tcW w:w="5310" w:type="dxa"/>
            <w:vAlign w:val="top"/>
          </w:tcPr>
          <w:p>
            <w:pPr>
              <w:spacing w:before="160" w:line="220" w:lineRule="auto"/>
              <w:ind w:left="2217"/>
              <w:rPr>
                <w:rFonts w:ascii="宋体" w:hAnsi="宋体" w:eastAsia="宋体" w:cs="宋体"/>
                <w:sz w:val="24"/>
                <w:szCs w:val="24"/>
              </w:rPr>
            </w:pPr>
            <w:r>
              <w:rPr>
                <w:rFonts w:ascii="宋体" w:hAnsi="宋体" w:eastAsia="宋体" w:cs="宋体"/>
                <w:spacing w:val="-3"/>
                <w:sz w:val="24"/>
                <w:szCs w:val="24"/>
              </w:rPr>
              <w:t>评分标准</w:t>
            </w:r>
          </w:p>
        </w:tc>
        <w:tc>
          <w:tcPr>
            <w:tcW w:w="648" w:type="dxa"/>
            <w:vAlign w:val="top"/>
          </w:tcPr>
          <w:p>
            <w:pPr>
              <w:spacing w:before="161" w:line="219" w:lineRule="auto"/>
              <w:ind w:left="96"/>
              <w:rPr>
                <w:rFonts w:ascii="宋体" w:hAnsi="宋体" w:eastAsia="宋体" w:cs="宋体"/>
                <w:sz w:val="24"/>
                <w:szCs w:val="24"/>
              </w:rPr>
            </w:pPr>
            <w:r>
              <w:rPr>
                <w:rFonts w:ascii="宋体" w:hAnsi="宋体" w:eastAsia="宋体" w:cs="宋体"/>
                <w:spacing w:val="-7"/>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438" w:type="dxa"/>
            <w:vMerge w:val="restart"/>
            <w:tcBorders>
              <w:bottom w:val="nil"/>
            </w:tcBorders>
            <w:textDirection w:val="tbRlV"/>
            <w:vAlign w:val="top"/>
          </w:tcPr>
          <w:p>
            <w:pPr>
              <w:spacing w:before="98" w:line="209" w:lineRule="auto"/>
              <w:ind w:left="5253"/>
              <w:rPr>
                <w:rFonts w:ascii="宋体" w:hAnsi="宋体" w:eastAsia="宋体" w:cs="宋体"/>
                <w:sz w:val="24"/>
                <w:szCs w:val="24"/>
              </w:rPr>
            </w:pPr>
            <w:r>
              <w:rPr>
                <w:rFonts w:ascii="宋体" w:hAnsi="宋体" w:eastAsia="宋体" w:cs="宋体"/>
                <w:spacing w:val="45"/>
                <w:sz w:val="24"/>
                <w:szCs w:val="24"/>
              </w:rPr>
              <w:t>详细评审</w:t>
            </w:r>
          </w:p>
        </w:tc>
        <w:tc>
          <w:tcPr>
            <w:tcW w:w="1090" w:type="dxa"/>
            <w:vAlign w:val="top"/>
          </w:tcPr>
          <w:p>
            <w:pPr>
              <w:spacing w:before="260" w:line="227" w:lineRule="auto"/>
              <w:ind w:right="31"/>
              <w:rPr>
                <w:rFonts w:ascii="宋体" w:hAnsi="宋体" w:eastAsia="宋体" w:cs="宋体"/>
                <w:sz w:val="24"/>
                <w:szCs w:val="24"/>
              </w:rPr>
            </w:pPr>
            <w:r>
              <w:rPr>
                <w:rFonts w:ascii="宋体" w:hAnsi="宋体" w:eastAsia="宋体" w:cs="宋体"/>
                <w:spacing w:val="-4"/>
                <w:sz w:val="24"/>
                <w:szCs w:val="24"/>
              </w:rPr>
              <w:t>经济标</w:t>
            </w:r>
            <w:r>
              <w:rPr>
                <w:rFonts w:ascii="宋体" w:hAnsi="宋体" w:eastAsia="宋体" w:cs="宋体"/>
                <w:sz w:val="24"/>
                <w:szCs w:val="24"/>
              </w:rPr>
              <w:t xml:space="preserve">  </w:t>
            </w:r>
            <w:r>
              <w:rPr>
                <w:rFonts w:ascii="宋体" w:hAnsi="宋体" w:eastAsia="宋体" w:cs="宋体"/>
                <w:spacing w:val="48"/>
                <w:w w:val="125"/>
                <w:sz w:val="24"/>
                <w:szCs w:val="24"/>
              </w:rPr>
              <w:t>评审</w:t>
            </w:r>
            <w:r>
              <w:rPr>
                <w:rFonts w:ascii="宋体" w:hAnsi="宋体" w:eastAsia="宋体" w:cs="宋体"/>
                <w:sz w:val="24"/>
                <w:szCs w:val="24"/>
              </w:rPr>
              <w:t xml:space="preserve">   </w:t>
            </w:r>
            <w:r>
              <w:rPr>
                <w:rFonts w:ascii="宋体" w:hAnsi="宋体" w:eastAsia="宋体" w:cs="宋体"/>
                <w:spacing w:val="-11"/>
                <w:sz w:val="24"/>
                <w:szCs w:val="24"/>
              </w:rPr>
              <w:t>（10</w:t>
            </w:r>
            <w:r>
              <w:rPr>
                <w:rFonts w:ascii="宋体" w:hAnsi="宋体" w:eastAsia="宋体" w:cs="宋体"/>
                <w:spacing w:val="-48"/>
                <w:sz w:val="24"/>
                <w:szCs w:val="24"/>
              </w:rPr>
              <w:t xml:space="preserve"> </w:t>
            </w:r>
            <w:r>
              <w:rPr>
                <w:rFonts w:ascii="宋体" w:hAnsi="宋体" w:eastAsia="宋体" w:cs="宋体"/>
                <w:spacing w:val="-11"/>
                <w:sz w:val="24"/>
                <w:szCs w:val="24"/>
              </w:rPr>
              <w:t>分）</w:t>
            </w:r>
          </w:p>
        </w:tc>
        <w:tc>
          <w:tcPr>
            <w:tcW w:w="1311" w:type="dxa"/>
            <w:vAlign w:val="top"/>
          </w:tcPr>
          <w:p>
            <w:pPr>
              <w:spacing w:line="327" w:lineRule="auto"/>
              <w:rPr>
                <w:rFonts w:ascii="Arial"/>
                <w:sz w:val="21"/>
              </w:rPr>
            </w:pPr>
          </w:p>
          <w:p>
            <w:pPr>
              <w:spacing w:before="78" w:line="218" w:lineRule="auto"/>
              <w:ind w:left="188"/>
              <w:rPr>
                <w:rFonts w:ascii="宋体" w:hAnsi="宋体" w:eastAsia="宋体" w:cs="宋体"/>
                <w:sz w:val="24"/>
                <w:szCs w:val="24"/>
              </w:rPr>
            </w:pPr>
            <w:r>
              <w:rPr>
                <w:rFonts w:ascii="宋体" w:hAnsi="宋体" w:eastAsia="宋体" w:cs="宋体"/>
                <w:spacing w:val="-4"/>
                <w:sz w:val="24"/>
                <w:szCs w:val="24"/>
              </w:rPr>
              <w:t>投标报价</w:t>
            </w:r>
          </w:p>
        </w:tc>
        <w:tc>
          <w:tcPr>
            <w:tcW w:w="5310" w:type="dxa"/>
            <w:vAlign w:val="top"/>
          </w:tcPr>
          <w:p>
            <w:pPr>
              <w:spacing w:before="105" w:line="228" w:lineRule="auto"/>
              <w:ind w:left="75" w:right="66"/>
              <w:jc w:val="both"/>
              <w:rPr>
                <w:rFonts w:ascii="宋体" w:hAnsi="宋体" w:eastAsia="宋体" w:cs="宋体"/>
                <w:sz w:val="24"/>
                <w:szCs w:val="24"/>
              </w:rPr>
            </w:pPr>
            <w:r>
              <w:rPr>
                <w:rFonts w:ascii="宋体" w:hAnsi="宋体" w:eastAsia="宋体" w:cs="宋体"/>
                <w:spacing w:val="-3"/>
                <w:sz w:val="24"/>
                <w:szCs w:val="24"/>
              </w:rPr>
              <w:t>评标基准价 =所有有效投标报价的最低值，有效投</w:t>
            </w:r>
            <w:r>
              <w:rPr>
                <w:rFonts w:ascii="宋体" w:hAnsi="宋体" w:eastAsia="宋体" w:cs="宋体"/>
                <w:spacing w:val="18"/>
                <w:sz w:val="24"/>
                <w:szCs w:val="24"/>
              </w:rPr>
              <w:t xml:space="preserve"> </w:t>
            </w:r>
            <w:r>
              <w:rPr>
                <w:rFonts w:ascii="宋体" w:hAnsi="宋体" w:eastAsia="宋体" w:cs="宋体"/>
                <w:spacing w:val="-2"/>
                <w:sz w:val="24"/>
                <w:szCs w:val="24"/>
              </w:rPr>
              <w:t>标报价等于基准值的得满分，投标报价得分=</w:t>
            </w:r>
            <w:r>
              <w:rPr>
                <w:rFonts w:ascii="宋体" w:hAnsi="宋体" w:eastAsia="宋体" w:cs="宋体"/>
                <w:spacing w:val="-6"/>
                <w:sz w:val="24"/>
                <w:szCs w:val="24"/>
              </w:rPr>
              <w:t xml:space="preserve"> </w:t>
            </w:r>
            <w:r>
              <w:rPr>
                <w:rFonts w:ascii="宋体" w:hAnsi="宋体" w:eastAsia="宋体" w:cs="宋体"/>
                <w:spacing w:val="-2"/>
                <w:sz w:val="24"/>
                <w:szCs w:val="24"/>
              </w:rPr>
              <w:t>（评</w:t>
            </w:r>
            <w:r>
              <w:rPr>
                <w:rFonts w:ascii="宋体" w:hAnsi="宋体" w:eastAsia="宋体" w:cs="宋体"/>
                <w:sz w:val="24"/>
                <w:szCs w:val="24"/>
              </w:rPr>
              <w:t xml:space="preserve"> </w:t>
            </w:r>
            <w:r>
              <w:rPr>
                <w:rFonts w:ascii="宋体" w:hAnsi="宋体" w:eastAsia="宋体" w:cs="宋体"/>
                <w:spacing w:val="-2"/>
                <w:sz w:val="24"/>
                <w:szCs w:val="24"/>
              </w:rPr>
              <w:t>标基准价/投标报价）×价格权重×100。有效</w:t>
            </w:r>
            <w:r>
              <w:rPr>
                <w:rFonts w:ascii="宋体" w:hAnsi="宋体" w:eastAsia="宋体" w:cs="宋体"/>
                <w:spacing w:val="-3"/>
                <w:sz w:val="24"/>
                <w:szCs w:val="24"/>
              </w:rPr>
              <w:t>投标</w:t>
            </w:r>
            <w:r>
              <w:rPr>
                <w:rFonts w:ascii="宋体" w:hAnsi="宋体" w:eastAsia="宋体" w:cs="宋体"/>
                <w:sz w:val="24"/>
                <w:szCs w:val="24"/>
              </w:rPr>
              <w:t xml:space="preserve"> </w:t>
            </w:r>
            <w:r>
              <w:rPr>
                <w:rFonts w:ascii="宋体" w:hAnsi="宋体" w:eastAsia="宋体" w:cs="宋体"/>
                <w:spacing w:val="-1"/>
                <w:sz w:val="24"/>
                <w:szCs w:val="24"/>
              </w:rPr>
              <w:t>报价为通过初步审查的投标人报价</w:t>
            </w:r>
          </w:p>
        </w:tc>
        <w:tc>
          <w:tcPr>
            <w:tcW w:w="648" w:type="dxa"/>
            <w:vAlign w:val="top"/>
          </w:tcPr>
          <w:p>
            <w:pPr>
              <w:spacing w:line="365" w:lineRule="auto"/>
              <w:rPr>
                <w:rFonts w:ascii="Arial"/>
                <w:sz w:val="21"/>
              </w:rPr>
            </w:pPr>
          </w:p>
          <w:p>
            <w:pPr>
              <w:spacing w:before="78" w:line="202" w:lineRule="auto"/>
              <w:ind w:left="231"/>
              <w:rPr>
                <w:rFonts w:ascii="宋体" w:hAnsi="宋体" w:eastAsia="宋体" w:cs="宋体"/>
                <w:sz w:val="24"/>
                <w:szCs w:val="24"/>
              </w:rPr>
            </w:pPr>
            <w:r>
              <w:rPr>
                <w:rFonts w:ascii="宋体" w:hAnsi="宋体" w:eastAsia="宋体" w:cs="宋体"/>
                <w:spacing w:val="-14"/>
                <w:sz w:val="24"/>
                <w:szCs w:val="24"/>
              </w:rPr>
              <w:t>10</w:t>
            </w:r>
          </w:p>
          <w:p>
            <w:pPr>
              <w:spacing w:line="220" w:lineRule="auto"/>
              <w:ind w:left="216"/>
              <w:rPr>
                <w:rFonts w:ascii="宋体" w:hAnsi="宋体" w:eastAsia="宋体" w:cs="宋体"/>
                <w:sz w:val="24"/>
                <w:szCs w:val="24"/>
              </w:rPr>
            </w:pPr>
            <w:r>
              <w:rPr>
                <w:rFonts w:ascii="宋体" w:hAnsi="宋体" w:eastAsia="宋体" w:cs="宋体"/>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6" w:hRule="atLeast"/>
        </w:trPr>
        <w:tc>
          <w:tcPr>
            <w:tcW w:w="438" w:type="dxa"/>
            <w:vMerge w:val="continue"/>
            <w:tcBorders>
              <w:top w:val="nil"/>
              <w:bottom w:val="nil"/>
            </w:tcBorders>
            <w:textDirection w:val="tbRlV"/>
            <w:vAlign w:val="top"/>
          </w:tcPr>
          <w:p>
            <w:pPr>
              <w:rPr>
                <w:rFonts w:ascii="Arial"/>
                <w:sz w:val="21"/>
              </w:rPr>
            </w:pPr>
          </w:p>
        </w:tc>
        <w:tc>
          <w:tcPr>
            <w:tcW w:w="1090" w:type="dxa"/>
            <w:vMerge w:val="restart"/>
            <w:tcBorders>
              <w:bottom w:val="nil"/>
            </w:tcBorders>
            <w:vAlign w:val="top"/>
          </w:tcPr>
          <w:p>
            <w:pPr>
              <w:spacing w:line="314" w:lineRule="auto"/>
              <w:rPr>
                <w:rFonts w:ascii="Arial"/>
                <w:sz w:val="21"/>
              </w:rPr>
            </w:pPr>
          </w:p>
          <w:p>
            <w:pPr>
              <w:spacing w:line="314" w:lineRule="auto"/>
              <w:rPr>
                <w:rFonts w:ascii="Arial"/>
                <w:sz w:val="21"/>
              </w:rPr>
            </w:pPr>
          </w:p>
          <w:p>
            <w:pPr>
              <w:spacing w:line="314" w:lineRule="auto"/>
              <w:rPr>
                <w:rFonts w:ascii="Arial"/>
                <w:sz w:val="21"/>
              </w:rPr>
            </w:pPr>
          </w:p>
          <w:p>
            <w:pPr>
              <w:spacing w:before="78" w:line="227" w:lineRule="auto"/>
              <w:ind w:right="31"/>
              <w:rPr>
                <w:rFonts w:ascii="宋体" w:hAnsi="宋体" w:eastAsia="宋体" w:cs="宋体"/>
                <w:sz w:val="24"/>
                <w:szCs w:val="24"/>
              </w:rPr>
            </w:pPr>
            <w:r>
              <w:rPr>
                <w:rFonts w:ascii="宋体" w:hAnsi="宋体" w:eastAsia="宋体" w:cs="宋体"/>
                <w:spacing w:val="-5"/>
                <w:sz w:val="24"/>
                <w:szCs w:val="24"/>
              </w:rPr>
              <w:t>商务标</w:t>
            </w:r>
            <w:r>
              <w:rPr>
                <w:rFonts w:ascii="宋体" w:hAnsi="宋体" w:eastAsia="宋体" w:cs="宋体"/>
                <w:sz w:val="24"/>
                <w:szCs w:val="24"/>
              </w:rPr>
              <w:t xml:space="preserve">  </w:t>
            </w:r>
            <w:r>
              <w:rPr>
                <w:rFonts w:ascii="宋体" w:hAnsi="宋体" w:eastAsia="宋体" w:cs="宋体"/>
                <w:spacing w:val="48"/>
                <w:w w:val="125"/>
                <w:sz w:val="24"/>
                <w:szCs w:val="24"/>
              </w:rPr>
              <w:t>评审</w:t>
            </w:r>
            <w:r>
              <w:rPr>
                <w:rFonts w:ascii="宋体" w:hAnsi="宋体" w:eastAsia="宋体" w:cs="宋体"/>
                <w:sz w:val="24"/>
                <w:szCs w:val="24"/>
              </w:rPr>
              <w:t xml:space="preserve">   </w:t>
            </w:r>
            <w:r>
              <w:rPr>
                <w:rFonts w:ascii="宋体" w:hAnsi="宋体" w:eastAsia="宋体" w:cs="宋体"/>
                <w:spacing w:val="-11"/>
                <w:sz w:val="24"/>
                <w:szCs w:val="24"/>
              </w:rPr>
              <w:t>（30</w:t>
            </w:r>
            <w:r>
              <w:rPr>
                <w:rFonts w:ascii="宋体" w:hAnsi="宋体" w:eastAsia="宋体" w:cs="宋体"/>
                <w:spacing w:val="-48"/>
                <w:sz w:val="24"/>
                <w:szCs w:val="24"/>
              </w:rPr>
              <w:t xml:space="preserve"> </w:t>
            </w:r>
            <w:r>
              <w:rPr>
                <w:rFonts w:ascii="宋体" w:hAnsi="宋体" w:eastAsia="宋体" w:cs="宋体"/>
                <w:spacing w:val="-11"/>
                <w:sz w:val="24"/>
                <w:szCs w:val="24"/>
              </w:rPr>
              <w:t>分）</w:t>
            </w:r>
          </w:p>
        </w:tc>
        <w:tc>
          <w:tcPr>
            <w:tcW w:w="1311" w:type="dxa"/>
            <w:vAlign w:val="top"/>
          </w:tcPr>
          <w:p>
            <w:pPr>
              <w:spacing w:before="111" w:line="221" w:lineRule="auto"/>
              <w:ind w:left="187"/>
              <w:rPr>
                <w:rFonts w:ascii="宋体" w:hAnsi="宋体" w:eastAsia="宋体" w:cs="宋体"/>
                <w:spacing w:val="-3"/>
                <w:sz w:val="24"/>
                <w:szCs w:val="24"/>
              </w:rPr>
            </w:pPr>
          </w:p>
          <w:p>
            <w:pPr>
              <w:spacing w:before="15" w:line="225" w:lineRule="auto"/>
              <w:rPr>
                <w:rFonts w:hint="eastAsia" w:ascii="宋体" w:hAnsi="宋体" w:cs="宋体"/>
                <w:sz w:val="24"/>
                <w:szCs w:val="24"/>
                <w:lang w:val="en-US" w:eastAsia="zh-CN"/>
              </w:rPr>
            </w:pPr>
          </w:p>
          <w:p>
            <w:pPr>
              <w:spacing w:before="15" w:line="225" w:lineRule="auto"/>
              <w:rPr>
                <w:rFonts w:hint="eastAsia" w:ascii="宋体" w:hAnsi="宋体" w:cs="宋体"/>
                <w:sz w:val="24"/>
                <w:szCs w:val="24"/>
                <w:lang w:val="en-US" w:eastAsia="zh-CN"/>
              </w:rPr>
            </w:pPr>
          </w:p>
          <w:p>
            <w:pPr>
              <w:spacing w:before="15" w:line="225" w:lineRule="auto"/>
              <w:rPr>
                <w:rFonts w:hint="eastAsia" w:ascii="宋体" w:hAnsi="宋体" w:cs="宋体"/>
                <w:sz w:val="24"/>
                <w:szCs w:val="24"/>
                <w:lang w:val="en-US" w:eastAsia="zh-CN"/>
              </w:rPr>
            </w:pPr>
          </w:p>
          <w:p>
            <w:pPr>
              <w:spacing w:before="15" w:line="225" w:lineRule="auto"/>
              <w:ind w:firstLine="240" w:firstLineChars="100"/>
              <w:rPr>
                <w:rFonts w:ascii="宋体" w:hAnsi="宋体" w:eastAsia="宋体" w:cs="宋体"/>
                <w:sz w:val="24"/>
                <w:szCs w:val="24"/>
              </w:rPr>
            </w:pPr>
            <w:r>
              <w:rPr>
                <w:rFonts w:hint="eastAsia" w:ascii="宋体" w:hAnsi="宋体" w:cs="宋体"/>
                <w:sz w:val="24"/>
                <w:szCs w:val="24"/>
                <w:lang w:val="en-US" w:eastAsia="zh-CN"/>
              </w:rPr>
              <w:t>人员证书</w:t>
            </w:r>
          </w:p>
        </w:tc>
        <w:tc>
          <w:tcPr>
            <w:tcW w:w="5310" w:type="dxa"/>
            <w:vAlign w:val="top"/>
          </w:tcPr>
          <w:p>
            <w:pPr>
              <w:spacing w:line="360" w:lineRule="exact"/>
              <w:jc w:val="left"/>
              <w:rPr>
                <w:rFonts w:hint="eastAsia" w:ascii="宋体" w:hAnsi="宋体" w:eastAsia="宋体" w:cs="宋体"/>
                <w:sz w:val="24"/>
                <w:highlight w:val="none"/>
                <w:lang w:val="zh-CN"/>
              </w:rPr>
            </w:pPr>
            <w:r>
              <w:rPr>
                <w:rFonts w:hint="eastAsia" w:ascii="宋体" w:hAnsi="宋体" w:cs="宋体"/>
                <w:sz w:val="24"/>
                <w:highlight w:val="none"/>
                <w:lang w:val="en-US" w:eastAsia="zh-CN"/>
              </w:rPr>
              <w:t>1</w:t>
            </w:r>
            <w:r>
              <w:rPr>
                <w:rFonts w:hint="eastAsia" w:ascii="宋体" w:hAnsi="宋体" w:eastAsia="宋体" w:cs="宋体"/>
                <w:sz w:val="24"/>
                <w:highlight w:val="none"/>
                <w:lang w:val="zh-CN"/>
              </w:rPr>
              <w:t>.项目负责人具有人力资源管理师或物业管理类专业证书的得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val="zh-CN"/>
              </w:rPr>
              <w:t>分；</w:t>
            </w:r>
          </w:p>
          <w:p>
            <w:pPr>
              <w:spacing w:line="360" w:lineRule="exact"/>
              <w:jc w:val="left"/>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lang w:val="zh-CN"/>
              </w:rPr>
              <w:t>.拟投入人员具有安全管理</w:t>
            </w:r>
            <w:r>
              <w:rPr>
                <w:rFonts w:hint="eastAsia" w:ascii="宋体" w:hAnsi="宋体" w:cs="宋体"/>
                <w:sz w:val="24"/>
                <w:highlight w:val="none"/>
                <w:lang w:val="en-US" w:eastAsia="zh-CN"/>
              </w:rPr>
              <w:t>资格</w:t>
            </w:r>
            <w:r>
              <w:rPr>
                <w:rFonts w:hint="eastAsia" w:ascii="宋体" w:hAnsi="宋体" w:eastAsia="宋体" w:cs="宋体"/>
                <w:sz w:val="24"/>
                <w:highlight w:val="none"/>
                <w:lang w:val="zh-CN"/>
              </w:rPr>
              <w:t>的得</w:t>
            </w:r>
            <w:r>
              <w:rPr>
                <w:rFonts w:hint="eastAsia" w:ascii="宋体" w:hAnsi="宋体" w:cs="宋体"/>
                <w:sz w:val="24"/>
                <w:highlight w:val="none"/>
                <w:lang w:val="en-US" w:eastAsia="zh-CN"/>
              </w:rPr>
              <w:t>2</w:t>
            </w:r>
            <w:r>
              <w:rPr>
                <w:rFonts w:hint="eastAsia" w:ascii="宋体" w:hAnsi="宋体" w:eastAsia="宋体" w:cs="宋体"/>
                <w:sz w:val="24"/>
                <w:highlight w:val="none"/>
                <w:lang w:val="zh-CN"/>
              </w:rPr>
              <w:t>分；</w:t>
            </w:r>
          </w:p>
          <w:p>
            <w:pPr>
              <w:spacing w:line="360" w:lineRule="exact"/>
              <w:jc w:val="left"/>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lang w:val="zh-CN"/>
              </w:rPr>
              <w:t>.拟投入人员具有电工证的每有一项得</w:t>
            </w:r>
            <w:r>
              <w:rPr>
                <w:rFonts w:hint="eastAsia" w:ascii="宋体" w:hAnsi="宋体" w:cs="宋体"/>
                <w:sz w:val="24"/>
                <w:highlight w:val="none"/>
                <w:lang w:val="en-US" w:eastAsia="zh-CN"/>
              </w:rPr>
              <w:t>1</w:t>
            </w:r>
            <w:r>
              <w:rPr>
                <w:rFonts w:hint="eastAsia" w:ascii="宋体" w:hAnsi="宋体" w:eastAsia="宋体" w:cs="宋体"/>
                <w:sz w:val="24"/>
                <w:highlight w:val="none"/>
                <w:lang w:val="zh-CN"/>
              </w:rPr>
              <w:t>分，至多得</w:t>
            </w:r>
            <w:r>
              <w:rPr>
                <w:rFonts w:hint="eastAsia" w:ascii="宋体" w:hAnsi="宋体" w:cs="宋体"/>
                <w:sz w:val="24"/>
                <w:highlight w:val="none"/>
                <w:lang w:val="en-US" w:eastAsia="zh-CN"/>
              </w:rPr>
              <w:t>2</w:t>
            </w:r>
            <w:r>
              <w:rPr>
                <w:rFonts w:hint="eastAsia" w:ascii="宋体" w:hAnsi="宋体" w:eastAsia="宋体" w:cs="宋体"/>
                <w:sz w:val="24"/>
                <w:highlight w:val="none"/>
                <w:lang w:val="zh-CN"/>
              </w:rPr>
              <w:t>分；</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val="zh-CN"/>
              </w:rPr>
              <w:t>.拟投入人员具有</w:t>
            </w:r>
            <w:r>
              <w:rPr>
                <w:rFonts w:hint="eastAsia" w:ascii="宋体" w:hAnsi="宋体" w:cs="宋体"/>
                <w:sz w:val="24"/>
                <w:highlight w:val="none"/>
                <w:lang w:val="en-US" w:eastAsia="zh-CN"/>
              </w:rPr>
              <w:t>林业管护</w:t>
            </w:r>
            <w:r>
              <w:rPr>
                <w:rFonts w:hint="eastAsia" w:ascii="宋体" w:hAnsi="宋体" w:eastAsia="宋体" w:cs="宋体"/>
                <w:sz w:val="24"/>
                <w:highlight w:val="none"/>
                <w:lang w:val="zh-CN"/>
              </w:rPr>
              <w:t>资格的每有一位得</w:t>
            </w:r>
            <w:r>
              <w:rPr>
                <w:rFonts w:hint="eastAsia" w:ascii="宋体" w:hAnsi="宋体" w:cs="宋体"/>
                <w:sz w:val="24"/>
                <w:highlight w:val="none"/>
                <w:lang w:val="en-US" w:eastAsia="zh-CN"/>
              </w:rPr>
              <w:t>1</w:t>
            </w:r>
            <w:r>
              <w:rPr>
                <w:rFonts w:hint="eastAsia" w:ascii="宋体" w:hAnsi="宋体" w:eastAsia="宋体" w:cs="宋体"/>
                <w:sz w:val="24"/>
                <w:highlight w:val="none"/>
                <w:lang w:val="zh-CN"/>
              </w:rPr>
              <w:t>分，至多得</w:t>
            </w:r>
            <w:r>
              <w:rPr>
                <w:rFonts w:hint="eastAsia" w:ascii="宋体" w:hAnsi="宋体" w:cs="宋体"/>
                <w:sz w:val="24"/>
                <w:highlight w:val="none"/>
                <w:lang w:val="en-US" w:eastAsia="zh-CN"/>
              </w:rPr>
              <w:t>2</w:t>
            </w:r>
            <w:r>
              <w:rPr>
                <w:rFonts w:hint="eastAsia" w:ascii="宋体" w:hAnsi="宋体" w:eastAsia="宋体" w:cs="宋体"/>
                <w:sz w:val="24"/>
                <w:highlight w:val="none"/>
                <w:lang w:val="zh-CN"/>
              </w:rPr>
              <w:t>分；</w:t>
            </w:r>
          </w:p>
          <w:p>
            <w:pPr>
              <w:spacing w:line="360" w:lineRule="exact"/>
              <w:jc w:val="left"/>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lang w:val="zh-CN"/>
              </w:rPr>
              <w:t>.拟投入人员具有</w:t>
            </w:r>
            <w:r>
              <w:rPr>
                <w:rFonts w:hint="eastAsia" w:ascii="宋体" w:hAnsi="宋体" w:cs="宋体"/>
                <w:sz w:val="24"/>
                <w:highlight w:val="none"/>
                <w:lang w:val="en-US" w:eastAsia="zh-CN"/>
              </w:rPr>
              <w:t>林业管护</w:t>
            </w:r>
            <w:r>
              <w:rPr>
                <w:rFonts w:hint="eastAsia" w:ascii="宋体" w:hAnsi="宋体" w:eastAsia="宋体" w:cs="宋体"/>
                <w:sz w:val="24"/>
                <w:highlight w:val="none"/>
                <w:lang w:val="zh-CN"/>
              </w:rPr>
              <w:t>作业人员证</w:t>
            </w:r>
            <w:r>
              <w:rPr>
                <w:rFonts w:hint="eastAsia" w:ascii="宋体" w:hAnsi="宋体" w:eastAsia="宋体" w:cs="宋体"/>
                <w:sz w:val="24"/>
                <w:highlight w:val="none"/>
                <w:lang w:val="en-US" w:eastAsia="zh-CN"/>
              </w:rPr>
              <w:t>的</w:t>
            </w:r>
            <w:r>
              <w:rPr>
                <w:rFonts w:hint="eastAsia" w:ascii="宋体" w:hAnsi="宋体" w:eastAsia="宋体" w:cs="宋体"/>
                <w:sz w:val="24"/>
                <w:highlight w:val="none"/>
                <w:lang w:val="zh-CN"/>
              </w:rPr>
              <w:t>每有一位得</w:t>
            </w:r>
            <w:r>
              <w:rPr>
                <w:rFonts w:hint="eastAsia" w:ascii="宋体" w:hAnsi="宋体" w:cs="宋体"/>
                <w:sz w:val="24"/>
                <w:highlight w:val="none"/>
                <w:lang w:val="en-US" w:eastAsia="zh-CN"/>
              </w:rPr>
              <w:t>1</w:t>
            </w:r>
            <w:r>
              <w:rPr>
                <w:rFonts w:hint="eastAsia" w:ascii="宋体" w:hAnsi="宋体" w:eastAsia="宋体" w:cs="宋体"/>
                <w:sz w:val="24"/>
                <w:highlight w:val="none"/>
                <w:lang w:val="zh-CN"/>
              </w:rPr>
              <w:t>分，至多得</w:t>
            </w:r>
            <w:r>
              <w:rPr>
                <w:rFonts w:hint="eastAsia" w:ascii="宋体" w:hAnsi="宋体" w:cs="宋体"/>
                <w:sz w:val="24"/>
                <w:highlight w:val="none"/>
                <w:lang w:val="en-US" w:eastAsia="zh-CN"/>
              </w:rPr>
              <w:t>2</w:t>
            </w:r>
            <w:r>
              <w:rPr>
                <w:rFonts w:hint="eastAsia" w:ascii="宋体" w:hAnsi="宋体" w:eastAsia="宋体" w:cs="宋体"/>
                <w:sz w:val="24"/>
                <w:highlight w:val="none"/>
                <w:lang w:val="zh-CN"/>
              </w:rPr>
              <w:t>分。</w:t>
            </w:r>
          </w:p>
          <w:p>
            <w:pPr>
              <w:spacing w:before="112" w:line="227" w:lineRule="auto"/>
              <w:ind w:right="66"/>
              <w:rPr>
                <w:rFonts w:hint="default" w:ascii="宋体" w:hAnsi="宋体" w:eastAsia="宋体" w:cs="宋体"/>
                <w:sz w:val="24"/>
                <w:szCs w:val="24"/>
                <w:lang w:val="en-US" w:eastAsia="zh-CN"/>
              </w:rPr>
            </w:pPr>
            <w:r>
              <w:rPr>
                <w:rFonts w:hint="eastAsia" w:ascii="宋体" w:hAnsi="宋体" w:eastAsia="宋体" w:cs="宋体"/>
                <w:sz w:val="24"/>
                <w:highlight w:val="none"/>
                <w:lang w:val="zh-CN"/>
              </w:rPr>
              <w:t>注：需提供项目负责人身份证复印件、持证人有效证书复印件，提供不齐全或未提供的不得分。</w:t>
            </w:r>
          </w:p>
        </w:tc>
        <w:tc>
          <w:tcPr>
            <w:tcW w:w="648" w:type="dxa"/>
            <w:vAlign w:val="top"/>
          </w:tcPr>
          <w:p>
            <w:pPr>
              <w:spacing w:before="300" w:line="202" w:lineRule="auto"/>
              <w:ind w:firstLine="212" w:firstLineChars="100"/>
              <w:rPr>
                <w:rFonts w:ascii="宋体" w:hAnsi="宋体" w:eastAsia="宋体" w:cs="宋体"/>
                <w:spacing w:val="-14"/>
                <w:sz w:val="24"/>
                <w:szCs w:val="24"/>
              </w:rPr>
            </w:pPr>
          </w:p>
          <w:p>
            <w:pPr>
              <w:spacing w:before="300" w:line="202" w:lineRule="auto"/>
              <w:ind w:firstLine="212" w:firstLineChars="100"/>
              <w:rPr>
                <w:rFonts w:ascii="宋体" w:hAnsi="宋体" w:eastAsia="宋体" w:cs="宋体"/>
                <w:spacing w:val="-14"/>
                <w:sz w:val="24"/>
                <w:szCs w:val="24"/>
              </w:rPr>
            </w:pPr>
          </w:p>
          <w:p>
            <w:pPr>
              <w:spacing w:line="220" w:lineRule="auto"/>
              <w:ind w:left="239" w:leftChars="114" w:firstLine="0" w:firstLineChars="0"/>
              <w:rPr>
                <w:rFonts w:ascii="宋体" w:hAnsi="宋体" w:eastAsia="宋体" w:cs="宋体"/>
                <w:sz w:val="24"/>
                <w:szCs w:val="24"/>
              </w:rPr>
            </w:pPr>
            <w:r>
              <w:rPr>
                <w:rFonts w:hint="eastAsia" w:ascii="宋体" w:hAnsi="宋体" w:cs="宋体"/>
                <w:sz w:val="24"/>
                <w:szCs w:val="24"/>
                <w:lang w:val="en-US" w:eastAsia="zh-CN"/>
              </w:rPr>
              <w:t>10</w:t>
            </w:r>
            <w:r>
              <w:rPr>
                <w:rFonts w:ascii="宋体" w:hAnsi="宋体" w:eastAsia="宋体" w:cs="宋体"/>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438" w:type="dxa"/>
            <w:vMerge w:val="continue"/>
            <w:tcBorders>
              <w:top w:val="nil"/>
              <w:bottom w:val="nil"/>
            </w:tcBorders>
            <w:textDirection w:val="tbRlV"/>
            <w:vAlign w:val="top"/>
          </w:tcPr>
          <w:p>
            <w:pPr>
              <w:rPr>
                <w:rFonts w:ascii="Arial"/>
                <w:sz w:val="21"/>
              </w:rPr>
            </w:pPr>
          </w:p>
        </w:tc>
        <w:tc>
          <w:tcPr>
            <w:tcW w:w="1090" w:type="dxa"/>
            <w:vMerge w:val="continue"/>
            <w:tcBorders>
              <w:top w:val="nil"/>
              <w:bottom w:val="nil"/>
            </w:tcBorders>
            <w:vAlign w:val="top"/>
          </w:tcPr>
          <w:p>
            <w:pPr>
              <w:rPr>
                <w:rFonts w:ascii="Arial"/>
                <w:sz w:val="21"/>
              </w:rPr>
            </w:pPr>
          </w:p>
        </w:tc>
        <w:tc>
          <w:tcPr>
            <w:tcW w:w="1311" w:type="dxa"/>
            <w:vAlign w:val="top"/>
          </w:tcPr>
          <w:p>
            <w:pPr>
              <w:spacing w:before="113" w:line="226" w:lineRule="auto"/>
              <w:ind w:right="183"/>
              <w:jc w:val="center"/>
              <w:rPr>
                <w:rFonts w:hint="default" w:ascii="宋体" w:hAnsi="宋体" w:eastAsia="宋体" w:cs="宋体"/>
                <w:sz w:val="24"/>
                <w:szCs w:val="24"/>
                <w:lang w:val="en-US" w:eastAsia="zh-CN"/>
              </w:rPr>
            </w:pPr>
            <w:r>
              <w:rPr>
                <w:rFonts w:hint="eastAsia" w:ascii="宋体" w:hAnsi="宋体" w:cs="宋体"/>
                <w:spacing w:val="-3"/>
                <w:sz w:val="24"/>
                <w:szCs w:val="24"/>
                <w:lang w:val="en-US" w:eastAsia="zh-CN"/>
              </w:rPr>
              <w:t>服务评价</w:t>
            </w:r>
          </w:p>
        </w:tc>
        <w:tc>
          <w:tcPr>
            <w:tcW w:w="5310" w:type="dxa"/>
            <w:vAlign w:val="top"/>
          </w:tcPr>
          <w:p>
            <w:pPr>
              <w:spacing w:before="114" w:line="225" w:lineRule="auto"/>
              <w:ind w:left="78" w:right="145" w:firstLine="1"/>
              <w:rPr>
                <w:rFonts w:ascii="宋体" w:hAnsi="宋体" w:eastAsia="宋体" w:cs="宋体"/>
                <w:sz w:val="24"/>
                <w:szCs w:val="24"/>
              </w:rPr>
            </w:pPr>
            <w:r>
              <w:rPr>
                <w:rFonts w:hint="eastAsia" w:ascii="宋体" w:hAnsi="宋体" w:cs="宋体"/>
                <w:kern w:val="0"/>
                <w:sz w:val="24"/>
                <w:szCs w:val="24"/>
              </w:rPr>
              <w:t>提供服务良好业主评价证明材料，每提供一个得</w:t>
            </w:r>
            <w:r>
              <w:rPr>
                <w:rFonts w:hint="eastAsia" w:ascii="宋体" w:hAnsi="宋体" w:cs="宋体"/>
                <w:kern w:val="0"/>
                <w:sz w:val="24"/>
                <w:szCs w:val="24"/>
                <w:lang w:val="en-US" w:eastAsia="zh-CN"/>
              </w:rPr>
              <w:t>2</w:t>
            </w:r>
            <w:r>
              <w:rPr>
                <w:rFonts w:hint="eastAsia" w:ascii="宋体" w:hAnsi="宋体" w:cs="宋体"/>
                <w:kern w:val="0"/>
                <w:sz w:val="24"/>
                <w:szCs w:val="24"/>
              </w:rPr>
              <w:t>分，最高得</w:t>
            </w:r>
            <w:r>
              <w:rPr>
                <w:rFonts w:hint="eastAsia" w:ascii="宋体" w:hAnsi="宋体" w:cs="宋体"/>
                <w:kern w:val="0"/>
                <w:sz w:val="24"/>
                <w:szCs w:val="24"/>
                <w:lang w:val="en-US" w:eastAsia="zh-CN"/>
              </w:rPr>
              <w:t>10</w:t>
            </w:r>
            <w:r>
              <w:rPr>
                <w:rFonts w:hint="eastAsia" w:ascii="宋体" w:hAnsi="宋体" w:cs="宋体"/>
                <w:kern w:val="0"/>
                <w:sz w:val="24"/>
                <w:szCs w:val="24"/>
              </w:rPr>
              <w:t>分。（证明材料可以以任何形式，但</w:t>
            </w:r>
            <w:r>
              <w:rPr>
                <w:rFonts w:hint="eastAsia" w:ascii="宋体" w:hAnsi="宋体" w:cs="宋体"/>
                <w:kern w:val="0"/>
                <w:sz w:val="24"/>
                <w:szCs w:val="24"/>
                <w:lang w:val="en-US" w:eastAsia="zh-CN"/>
              </w:rPr>
              <w:t>必</w:t>
            </w:r>
            <w:r>
              <w:rPr>
                <w:rFonts w:hint="eastAsia" w:ascii="宋体" w:hAnsi="宋体" w:cs="宋体"/>
                <w:kern w:val="0"/>
                <w:sz w:val="24"/>
                <w:szCs w:val="24"/>
              </w:rPr>
              <w:t>须有</w:t>
            </w:r>
            <w:r>
              <w:rPr>
                <w:rFonts w:hint="eastAsia" w:ascii="宋体" w:hAnsi="宋体" w:cs="宋体"/>
                <w:kern w:val="0"/>
                <w:sz w:val="24"/>
                <w:szCs w:val="24"/>
                <w:lang w:val="en-US" w:eastAsia="zh-CN"/>
              </w:rPr>
              <w:t>项目名称及</w:t>
            </w:r>
            <w:r>
              <w:rPr>
                <w:rFonts w:hint="eastAsia" w:ascii="宋体" w:hAnsi="宋体" w:cs="宋体"/>
                <w:kern w:val="0"/>
                <w:sz w:val="24"/>
                <w:szCs w:val="24"/>
              </w:rPr>
              <w:t>业主单位公章或负责人签字</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服务评价与企业业绩中的项目不能重复，重复不得分</w:t>
            </w:r>
            <w:r>
              <w:rPr>
                <w:rFonts w:hint="eastAsia" w:ascii="宋体" w:hAnsi="宋体" w:cs="宋体"/>
                <w:kern w:val="0"/>
                <w:sz w:val="24"/>
                <w:szCs w:val="24"/>
              </w:rPr>
              <w:t>）</w:t>
            </w:r>
          </w:p>
        </w:tc>
        <w:tc>
          <w:tcPr>
            <w:tcW w:w="648" w:type="dxa"/>
            <w:vAlign w:val="top"/>
          </w:tcPr>
          <w:p>
            <w:pPr>
              <w:spacing w:line="220" w:lineRule="auto"/>
              <w:ind w:firstLine="240" w:firstLineChars="100"/>
              <w:rPr>
                <w:rFonts w:hint="eastAsia" w:ascii="宋体" w:hAnsi="宋体" w:cs="宋体"/>
                <w:sz w:val="24"/>
                <w:szCs w:val="24"/>
                <w:lang w:val="en-US" w:eastAsia="zh-CN"/>
              </w:rPr>
            </w:pPr>
          </w:p>
          <w:p>
            <w:pPr>
              <w:spacing w:line="220" w:lineRule="auto"/>
              <w:ind w:left="239" w:leftChars="114" w:firstLine="0" w:firstLineChars="0"/>
              <w:rPr>
                <w:rFonts w:ascii="宋体" w:hAnsi="宋体" w:eastAsia="宋体" w:cs="宋体"/>
                <w:sz w:val="24"/>
                <w:szCs w:val="24"/>
              </w:rPr>
            </w:pPr>
            <w:r>
              <w:rPr>
                <w:rFonts w:hint="eastAsia" w:ascii="宋体" w:hAnsi="宋体" w:cs="宋体"/>
                <w:sz w:val="24"/>
                <w:szCs w:val="24"/>
                <w:lang w:val="en-US" w:eastAsia="zh-CN"/>
              </w:rPr>
              <w:t>10</w:t>
            </w:r>
            <w:r>
              <w:rPr>
                <w:rFonts w:ascii="宋体" w:hAnsi="宋体" w:eastAsia="宋体" w:cs="宋体"/>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438" w:type="dxa"/>
            <w:vMerge w:val="continue"/>
            <w:tcBorders>
              <w:top w:val="nil"/>
              <w:bottom w:val="nil"/>
            </w:tcBorders>
            <w:textDirection w:val="tbRlV"/>
            <w:vAlign w:val="top"/>
          </w:tcPr>
          <w:p>
            <w:pPr>
              <w:rPr>
                <w:rFonts w:ascii="Arial"/>
                <w:sz w:val="21"/>
              </w:rPr>
            </w:pPr>
          </w:p>
        </w:tc>
        <w:tc>
          <w:tcPr>
            <w:tcW w:w="1090" w:type="dxa"/>
            <w:vMerge w:val="continue"/>
            <w:tcBorders>
              <w:top w:val="nil"/>
            </w:tcBorders>
            <w:vAlign w:val="top"/>
          </w:tcPr>
          <w:p>
            <w:pPr>
              <w:rPr>
                <w:rFonts w:ascii="Arial"/>
                <w:sz w:val="21"/>
              </w:rPr>
            </w:pPr>
          </w:p>
        </w:tc>
        <w:tc>
          <w:tcPr>
            <w:tcW w:w="1311" w:type="dxa"/>
            <w:vAlign w:val="top"/>
          </w:tcPr>
          <w:p>
            <w:pPr>
              <w:spacing w:line="336" w:lineRule="auto"/>
              <w:rPr>
                <w:rFonts w:ascii="Arial"/>
                <w:sz w:val="21"/>
              </w:rPr>
            </w:pPr>
          </w:p>
          <w:p>
            <w:pPr>
              <w:spacing w:before="78" w:line="220" w:lineRule="auto"/>
              <w:ind w:left="184"/>
              <w:rPr>
                <w:rFonts w:ascii="宋体" w:hAnsi="宋体" w:eastAsia="宋体" w:cs="宋体"/>
                <w:sz w:val="24"/>
                <w:szCs w:val="24"/>
              </w:rPr>
            </w:pPr>
            <w:r>
              <w:rPr>
                <w:rFonts w:ascii="宋体" w:hAnsi="宋体" w:eastAsia="宋体" w:cs="宋体"/>
                <w:spacing w:val="-3"/>
                <w:sz w:val="24"/>
                <w:szCs w:val="24"/>
              </w:rPr>
              <w:t>业绩要求</w:t>
            </w:r>
          </w:p>
        </w:tc>
        <w:tc>
          <w:tcPr>
            <w:tcW w:w="5310" w:type="dxa"/>
            <w:vAlign w:val="top"/>
          </w:tcPr>
          <w:p>
            <w:pPr>
              <w:spacing w:before="116" w:line="227" w:lineRule="auto"/>
              <w:ind w:left="79" w:right="66" w:hanging="1"/>
              <w:jc w:val="both"/>
              <w:rPr>
                <w:rFonts w:ascii="宋体" w:hAnsi="宋体" w:eastAsia="宋体" w:cs="宋体"/>
                <w:sz w:val="24"/>
                <w:szCs w:val="24"/>
              </w:rPr>
            </w:pPr>
            <w:r>
              <w:rPr>
                <w:rFonts w:ascii="宋体" w:hAnsi="宋体" w:eastAsia="宋体" w:cs="宋体"/>
                <w:spacing w:val="-6"/>
                <w:sz w:val="24"/>
                <w:szCs w:val="24"/>
              </w:rPr>
              <w:t>提供</w:t>
            </w:r>
            <w:r>
              <w:rPr>
                <w:rFonts w:ascii="宋体" w:hAnsi="宋体" w:eastAsia="宋体" w:cs="宋体"/>
                <w:spacing w:val="-37"/>
                <w:sz w:val="24"/>
                <w:szCs w:val="24"/>
              </w:rPr>
              <w:t xml:space="preserve"> </w:t>
            </w:r>
            <w:r>
              <w:rPr>
                <w:rFonts w:ascii="宋体" w:hAnsi="宋体" w:eastAsia="宋体" w:cs="宋体"/>
                <w:spacing w:val="-6"/>
                <w:sz w:val="24"/>
                <w:szCs w:val="24"/>
              </w:rPr>
              <w:t>2021</w:t>
            </w:r>
            <w:r>
              <w:rPr>
                <w:rFonts w:ascii="宋体" w:hAnsi="宋体" w:eastAsia="宋体" w:cs="宋体"/>
                <w:spacing w:val="-50"/>
                <w:sz w:val="24"/>
                <w:szCs w:val="24"/>
              </w:rPr>
              <w:t xml:space="preserve"> </w:t>
            </w:r>
            <w:r>
              <w:rPr>
                <w:rFonts w:ascii="宋体" w:hAnsi="宋体" w:eastAsia="宋体" w:cs="宋体"/>
                <w:spacing w:val="-6"/>
                <w:sz w:val="24"/>
                <w:szCs w:val="24"/>
              </w:rPr>
              <w:t>年-至今类似业绩、每具有一个得</w:t>
            </w:r>
            <w:r>
              <w:rPr>
                <w:rFonts w:ascii="宋体" w:hAnsi="宋体" w:eastAsia="宋体" w:cs="宋体"/>
                <w:sz w:val="24"/>
                <w:szCs w:val="24"/>
              </w:rPr>
              <w:t xml:space="preserve"> </w:t>
            </w:r>
            <w:r>
              <w:rPr>
                <w:rFonts w:ascii="宋体" w:hAnsi="宋体" w:eastAsia="宋体" w:cs="宋体"/>
                <w:spacing w:val="-5"/>
                <w:sz w:val="24"/>
                <w:szCs w:val="24"/>
              </w:rPr>
              <w:t>2</w:t>
            </w:r>
            <w:r>
              <w:rPr>
                <w:rFonts w:ascii="宋体" w:hAnsi="宋体" w:eastAsia="宋体" w:cs="宋体"/>
                <w:spacing w:val="-48"/>
                <w:sz w:val="24"/>
                <w:szCs w:val="24"/>
              </w:rPr>
              <w:t xml:space="preserve"> </w:t>
            </w:r>
            <w:r>
              <w:rPr>
                <w:rFonts w:ascii="宋体" w:hAnsi="宋体" w:eastAsia="宋体" w:cs="宋体"/>
                <w:spacing w:val="-5"/>
                <w:sz w:val="24"/>
                <w:szCs w:val="24"/>
              </w:rPr>
              <w:t>分，满分</w:t>
            </w:r>
            <w:r>
              <w:rPr>
                <w:rFonts w:ascii="宋体" w:hAnsi="宋体" w:eastAsia="宋体" w:cs="宋体"/>
                <w:spacing w:val="-33"/>
                <w:sz w:val="24"/>
                <w:szCs w:val="24"/>
              </w:rPr>
              <w:t xml:space="preserve"> </w:t>
            </w:r>
            <w:r>
              <w:rPr>
                <w:rFonts w:hint="eastAsia" w:ascii="宋体" w:hAnsi="宋体" w:cs="宋体"/>
                <w:spacing w:val="-5"/>
                <w:sz w:val="24"/>
                <w:szCs w:val="24"/>
                <w:lang w:val="en-US" w:eastAsia="zh-CN"/>
              </w:rPr>
              <w:t>10</w:t>
            </w:r>
            <w:r>
              <w:rPr>
                <w:rFonts w:ascii="宋体" w:hAnsi="宋体" w:eastAsia="宋体" w:cs="宋体"/>
                <w:spacing w:val="-5"/>
                <w:sz w:val="24"/>
                <w:szCs w:val="24"/>
              </w:rPr>
              <w:t>分。</w:t>
            </w:r>
            <w:r>
              <w:rPr>
                <w:rFonts w:ascii="宋体" w:hAnsi="宋体" w:eastAsia="宋体" w:cs="宋体"/>
                <w:spacing w:val="-69"/>
                <w:sz w:val="24"/>
                <w:szCs w:val="24"/>
              </w:rPr>
              <w:t xml:space="preserve"> </w:t>
            </w:r>
            <w:r>
              <w:rPr>
                <w:rFonts w:ascii="宋体" w:hAnsi="宋体" w:eastAsia="宋体" w:cs="宋体"/>
                <w:spacing w:val="-5"/>
                <w:sz w:val="24"/>
                <w:szCs w:val="24"/>
              </w:rPr>
              <w:t>(提供合同复印件或中标通</w:t>
            </w:r>
            <w:r>
              <w:rPr>
                <w:rFonts w:ascii="宋体" w:hAnsi="宋体" w:eastAsia="宋体" w:cs="宋体"/>
                <w:spacing w:val="-6"/>
                <w:sz w:val="24"/>
                <w:szCs w:val="24"/>
              </w:rPr>
              <w:t>知书</w:t>
            </w:r>
            <w:r>
              <w:rPr>
                <w:rFonts w:ascii="宋体" w:hAnsi="宋体" w:eastAsia="宋体" w:cs="宋体"/>
                <w:sz w:val="24"/>
                <w:szCs w:val="24"/>
              </w:rPr>
              <w:t xml:space="preserve"> </w:t>
            </w:r>
            <w:r>
              <w:rPr>
                <w:rFonts w:ascii="宋体" w:hAnsi="宋体" w:eastAsia="宋体" w:cs="宋体"/>
                <w:spacing w:val="-3"/>
                <w:sz w:val="24"/>
                <w:szCs w:val="24"/>
              </w:rPr>
              <w:t>复印件)。</w:t>
            </w:r>
          </w:p>
        </w:tc>
        <w:tc>
          <w:tcPr>
            <w:tcW w:w="648" w:type="dxa"/>
            <w:vAlign w:val="top"/>
          </w:tcPr>
          <w:p>
            <w:pPr>
              <w:spacing w:before="303" w:line="202" w:lineRule="auto"/>
              <w:ind w:left="231"/>
              <w:rPr>
                <w:rFonts w:hint="eastAsia" w:ascii="宋体" w:hAnsi="宋体" w:eastAsia="宋体" w:cs="宋体"/>
                <w:sz w:val="24"/>
                <w:szCs w:val="24"/>
                <w:lang w:val="en-US" w:eastAsia="zh-CN"/>
              </w:rPr>
            </w:pPr>
            <w:r>
              <w:rPr>
                <w:rFonts w:ascii="宋体" w:hAnsi="宋体" w:eastAsia="宋体" w:cs="宋体"/>
                <w:spacing w:val="-14"/>
                <w:sz w:val="24"/>
                <w:szCs w:val="24"/>
              </w:rPr>
              <w:t>1</w:t>
            </w:r>
            <w:r>
              <w:rPr>
                <w:rFonts w:hint="eastAsia" w:ascii="宋体" w:hAnsi="宋体" w:cs="宋体"/>
                <w:spacing w:val="-14"/>
                <w:sz w:val="24"/>
                <w:szCs w:val="24"/>
                <w:lang w:val="en-US" w:eastAsia="zh-CN"/>
              </w:rPr>
              <w:t>0</w:t>
            </w:r>
          </w:p>
          <w:p>
            <w:pPr>
              <w:spacing w:line="220" w:lineRule="auto"/>
              <w:ind w:left="216"/>
              <w:rPr>
                <w:rFonts w:ascii="宋体" w:hAnsi="宋体" w:eastAsia="宋体" w:cs="宋体"/>
                <w:sz w:val="24"/>
                <w:szCs w:val="24"/>
              </w:rPr>
            </w:pPr>
            <w:r>
              <w:rPr>
                <w:rFonts w:ascii="宋体" w:hAnsi="宋体" w:eastAsia="宋体" w:cs="宋体"/>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3" w:hRule="atLeast"/>
        </w:trPr>
        <w:tc>
          <w:tcPr>
            <w:tcW w:w="438" w:type="dxa"/>
            <w:vMerge w:val="continue"/>
            <w:tcBorders>
              <w:top w:val="nil"/>
              <w:bottom w:val="nil"/>
            </w:tcBorders>
            <w:textDirection w:val="tbRlV"/>
            <w:vAlign w:val="top"/>
          </w:tcPr>
          <w:p>
            <w:pPr>
              <w:rPr>
                <w:rFonts w:ascii="Arial"/>
                <w:sz w:val="21"/>
              </w:rPr>
            </w:pPr>
          </w:p>
        </w:tc>
        <w:tc>
          <w:tcPr>
            <w:tcW w:w="1090"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8" w:line="227" w:lineRule="auto"/>
              <w:ind w:left="85" w:right="31" w:firstLine="107"/>
              <w:rPr>
                <w:rFonts w:ascii="宋体" w:hAnsi="宋体" w:eastAsia="宋体" w:cs="宋体"/>
                <w:sz w:val="24"/>
                <w:szCs w:val="24"/>
              </w:rPr>
            </w:pPr>
            <w:r>
              <w:rPr>
                <w:rFonts w:ascii="宋体" w:hAnsi="宋体" w:eastAsia="宋体" w:cs="宋体"/>
                <w:spacing w:val="-4"/>
                <w:sz w:val="24"/>
                <w:szCs w:val="24"/>
              </w:rPr>
              <w:t>技术标</w:t>
            </w:r>
            <w:r>
              <w:rPr>
                <w:rFonts w:ascii="宋体" w:hAnsi="宋体" w:eastAsia="宋体" w:cs="宋体"/>
                <w:sz w:val="24"/>
                <w:szCs w:val="24"/>
              </w:rPr>
              <w:t xml:space="preserve">  </w:t>
            </w:r>
            <w:r>
              <w:rPr>
                <w:rFonts w:ascii="宋体" w:hAnsi="宋体" w:eastAsia="宋体" w:cs="宋体"/>
                <w:spacing w:val="48"/>
                <w:w w:val="125"/>
                <w:sz w:val="24"/>
                <w:szCs w:val="24"/>
              </w:rPr>
              <w:t>评审</w:t>
            </w:r>
            <w:r>
              <w:rPr>
                <w:rFonts w:ascii="宋体" w:hAnsi="宋体" w:eastAsia="宋体" w:cs="宋体"/>
                <w:sz w:val="24"/>
                <w:szCs w:val="24"/>
              </w:rPr>
              <w:t xml:space="preserve">   </w:t>
            </w:r>
            <w:r>
              <w:rPr>
                <w:rFonts w:ascii="宋体" w:hAnsi="宋体" w:eastAsia="宋体" w:cs="宋体"/>
                <w:spacing w:val="-11"/>
                <w:sz w:val="24"/>
                <w:szCs w:val="24"/>
              </w:rPr>
              <w:t>（60</w:t>
            </w:r>
            <w:r>
              <w:rPr>
                <w:rFonts w:ascii="宋体" w:hAnsi="宋体" w:eastAsia="宋体" w:cs="宋体"/>
                <w:spacing w:val="-48"/>
                <w:sz w:val="24"/>
                <w:szCs w:val="24"/>
              </w:rPr>
              <w:t xml:space="preserve"> </w:t>
            </w:r>
            <w:r>
              <w:rPr>
                <w:rFonts w:ascii="宋体" w:hAnsi="宋体" w:eastAsia="宋体" w:cs="宋体"/>
                <w:spacing w:val="-11"/>
                <w:sz w:val="24"/>
                <w:szCs w:val="24"/>
              </w:rPr>
              <w:t>分）</w:t>
            </w:r>
          </w:p>
        </w:tc>
        <w:tc>
          <w:tcPr>
            <w:tcW w:w="1311"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78" w:line="225" w:lineRule="auto"/>
              <w:ind w:right="183"/>
              <w:rPr>
                <w:rFonts w:ascii="宋体" w:hAnsi="宋体" w:eastAsia="宋体" w:cs="宋体"/>
                <w:sz w:val="24"/>
                <w:szCs w:val="24"/>
              </w:rPr>
            </w:pPr>
            <w:r>
              <w:rPr>
                <w:rFonts w:ascii="宋体" w:hAnsi="宋体" w:eastAsia="宋体" w:cs="宋体"/>
                <w:spacing w:val="-3"/>
                <w:sz w:val="24"/>
                <w:szCs w:val="24"/>
              </w:rPr>
              <w:t>服务技术</w:t>
            </w:r>
            <w:r>
              <w:rPr>
                <w:rFonts w:ascii="宋体" w:hAnsi="宋体" w:eastAsia="宋体" w:cs="宋体"/>
                <w:spacing w:val="1"/>
                <w:sz w:val="24"/>
                <w:szCs w:val="24"/>
              </w:rPr>
              <w:t xml:space="preserve"> </w:t>
            </w:r>
            <w:r>
              <w:rPr>
                <w:rFonts w:ascii="宋体" w:hAnsi="宋体" w:eastAsia="宋体" w:cs="宋体"/>
                <w:spacing w:val="-6"/>
                <w:sz w:val="24"/>
                <w:szCs w:val="24"/>
              </w:rPr>
              <w:t>方案</w:t>
            </w:r>
          </w:p>
        </w:tc>
        <w:tc>
          <w:tcPr>
            <w:tcW w:w="5310" w:type="dxa"/>
            <w:vAlign w:val="top"/>
          </w:tcPr>
          <w:p>
            <w:pPr>
              <w:spacing w:before="12" w:line="227" w:lineRule="auto"/>
              <w:ind w:left="80" w:right="66" w:firstLine="1"/>
              <w:jc w:val="both"/>
              <w:rPr>
                <w:rFonts w:ascii="宋体" w:hAnsi="宋体" w:eastAsia="宋体" w:cs="宋体"/>
                <w:sz w:val="24"/>
                <w:szCs w:val="24"/>
              </w:rPr>
            </w:pPr>
            <w:r>
              <w:rPr>
                <w:rFonts w:hint="eastAsia" w:ascii="宋体" w:hAnsi="宋体" w:eastAsia="宋体" w:cs="宋体"/>
                <w:sz w:val="24"/>
                <w:szCs w:val="24"/>
              </w:rPr>
              <w:t>投标人根据本项目需求提供详细的项目实施方案，</w:t>
            </w:r>
            <w:r>
              <w:rPr>
                <w:rFonts w:hint="eastAsia" w:ascii="宋体" w:hAnsi="宋体" w:cs="宋体"/>
                <w:sz w:val="24"/>
                <w:szCs w:val="24"/>
                <w:lang w:val="en-US" w:eastAsia="zh-CN"/>
              </w:rPr>
              <w:t>实施</w:t>
            </w:r>
            <w:r>
              <w:rPr>
                <w:rFonts w:hint="eastAsia" w:ascii="宋体" w:hAnsi="宋体" w:eastAsia="宋体" w:cs="宋体"/>
                <w:sz w:val="24"/>
                <w:szCs w:val="24"/>
              </w:rPr>
              <w:t>方案结合当地环境及季节变化，考虑各类园林植物特性，养护计划周密，措施有效，且方案能结合实地现场，内容包括但不限于：</w:t>
            </w:r>
          </w:p>
          <w:p>
            <w:pPr>
              <w:spacing w:before="12" w:line="227" w:lineRule="auto"/>
              <w:ind w:left="80" w:right="66" w:firstLine="1"/>
              <w:jc w:val="both"/>
              <w:rPr>
                <w:rFonts w:ascii="宋体" w:hAnsi="宋体" w:eastAsia="宋体" w:cs="宋体"/>
                <w:sz w:val="24"/>
                <w:szCs w:val="24"/>
              </w:rPr>
            </w:pPr>
            <w:r>
              <w:rPr>
                <w:rFonts w:hint="eastAsia" w:ascii="宋体" w:hAnsi="宋体" w:eastAsia="宋体" w:cs="宋体"/>
                <w:sz w:val="24"/>
                <w:szCs w:val="24"/>
              </w:rPr>
              <w:t>①养护方案及措施</w:t>
            </w:r>
            <w:r>
              <w:rPr>
                <w:rFonts w:hint="eastAsia" w:ascii="宋体" w:hAnsi="宋体" w:eastAsia="宋体" w:cs="宋体"/>
                <w:sz w:val="24"/>
                <w:szCs w:val="24"/>
                <w:lang w:eastAsia="zh-CN"/>
              </w:rPr>
              <w:t>（林地灌溉、除草、施肥、修枝、树干涂白）</w:t>
            </w:r>
            <w:r>
              <w:rPr>
                <w:rFonts w:hint="eastAsia" w:ascii="宋体" w:hAnsi="宋体" w:eastAsia="宋体" w:cs="宋体"/>
                <w:sz w:val="24"/>
                <w:szCs w:val="24"/>
              </w:rPr>
              <w:t>；</w:t>
            </w:r>
          </w:p>
          <w:p>
            <w:pPr>
              <w:spacing w:before="12" w:line="227" w:lineRule="auto"/>
              <w:ind w:left="80" w:right="66" w:firstLine="1"/>
              <w:jc w:val="both"/>
              <w:rPr>
                <w:rFonts w:ascii="宋体" w:hAnsi="宋体" w:eastAsia="宋体" w:cs="宋体"/>
                <w:sz w:val="24"/>
                <w:szCs w:val="24"/>
              </w:rPr>
            </w:pPr>
            <w:r>
              <w:rPr>
                <w:rFonts w:hint="eastAsia" w:ascii="宋体" w:hAnsi="宋体" w:eastAsia="宋体" w:cs="宋体"/>
                <w:sz w:val="24"/>
                <w:szCs w:val="24"/>
              </w:rPr>
              <w:t>②虫害防治方案；</w:t>
            </w:r>
          </w:p>
          <w:p>
            <w:pPr>
              <w:spacing w:before="12" w:line="227" w:lineRule="auto"/>
              <w:ind w:left="80" w:right="66" w:firstLine="1"/>
              <w:jc w:val="both"/>
              <w:rPr>
                <w:rFonts w:hint="eastAsia" w:ascii="宋体" w:hAnsi="宋体" w:eastAsia="宋体" w:cs="宋体"/>
                <w:sz w:val="24"/>
                <w:szCs w:val="24"/>
              </w:rPr>
            </w:pPr>
            <w:r>
              <w:rPr>
                <w:rFonts w:hint="eastAsia" w:ascii="宋体" w:hAnsi="宋体" w:eastAsia="宋体" w:cs="宋体"/>
                <w:sz w:val="24"/>
                <w:szCs w:val="24"/>
              </w:rPr>
              <w:t>③</w:t>
            </w:r>
            <w:r>
              <w:rPr>
                <w:rFonts w:hint="eastAsia" w:ascii="宋体" w:hAnsi="宋体" w:eastAsia="宋体" w:cs="宋体"/>
                <w:sz w:val="24"/>
                <w:szCs w:val="24"/>
                <w:lang w:val="en-US" w:eastAsia="zh-CN"/>
              </w:rPr>
              <w:t>牲畜驱赶方案</w:t>
            </w:r>
          </w:p>
          <w:p>
            <w:pPr>
              <w:spacing w:before="12" w:line="227" w:lineRule="auto"/>
              <w:ind w:left="80" w:right="66" w:firstLine="1"/>
              <w:jc w:val="both"/>
              <w:rPr>
                <w:rFonts w:hint="eastAsia" w:ascii="宋体" w:hAnsi="宋体" w:eastAsia="宋体" w:cs="宋体"/>
                <w:sz w:val="24"/>
                <w:szCs w:val="24"/>
              </w:rPr>
            </w:pPr>
            <w:r>
              <w:rPr>
                <w:rFonts w:hint="eastAsia" w:ascii="宋体" w:hAnsi="宋体" w:eastAsia="宋体" w:cs="宋体"/>
                <w:sz w:val="24"/>
                <w:szCs w:val="24"/>
              </w:rPr>
              <w:t>④</w:t>
            </w:r>
            <w:r>
              <w:rPr>
                <w:rFonts w:hint="eastAsia" w:ascii="宋体" w:hAnsi="宋体" w:eastAsia="宋体" w:cs="宋体"/>
                <w:sz w:val="24"/>
                <w:szCs w:val="24"/>
                <w:lang w:val="en-US" w:eastAsia="zh-CN"/>
              </w:rPr>
              <w:t>冬季巡护方案</w:t>
            </w:r>
            <w:r>
              <w:rPr>
                <w:rFonts w:hint="eastAsia" w:ascii="宋体" w:hAnsi="宋体" w:eastAsia="宋体" w:cs="宋体"/>
                <w:sz w:val="24"/>
                <w:szCs w:val="24"/>
              </w:rPr>
              <w:t>；</w:t>
            </w:r>
          </w:p>
          <w:p>
            <w:pPr>
              <w:spacing w:before="12" w:line="227" w:lineRule="auto"/>
              <w:ind w:left="80" w:right="66" w:firstLine="1"/>
              <w:jc w:val="both"/>
              <w:rPr>
                <w:rFonts w:hint="eastAsia" w:ascii="宋体" w:hAnsi="宋体" w:eastAsia="宋体" w:cs="宋体"/>
                <w:sz w:val="24"/>
                <w:szCs w:val="24"/>
                <w:lang w:val="en-US" w:eastAsia="zh-CN"/>
              </w:rPr>
            </w:pPr>
            <w:r>
              <w:rPr>
                <w:rFonts w:hint="eastAsia" w:ascii="宋体" w:hAnsi="宋体" w:eastAsia="宋体" w:cs="宋体"/>
                <w:sz w:val="24"/>
                <w:szCs w:val="24"/>
              </w:rPr>
              <w:t>⑤绿化作业制度管理及各类安全方案</w:t>
            </w:r>
            <w:r>
              <w:rPr>
                <w:rFonts w:hint="eastAsia" w:ascii="宋体" w:hAnsi="宋体" w:eastAsia="宋体" w:cs="宋体"/>
                <w:sz w:val="24"/>
                <w:szCs w:val="24"/>
                <w:lang w:eastAsia="zh-CN"/>
              </w:rPr>
              <w:t>。</w:t>
            </w:r>
          </w:p>
          <w:p>
            <w:pPr>
              <w:spacing w:before="12" w:line="227" w:lineRule="auto"/>
              <w:ind w:left="80" w:right="66" w:firstLine="1"/>
              <w:jc w:val="both"/>
              <w:rPr>
                <w:rFonts w:ascii="宋体" w:hAnsi="宋体" w:eastAsia="宋体" w:cs="宋体"/>
                <w:sz w:val="24"/>
                <w:szCs w:val="24"/>
              </w:rPr>
            </w:pPr>
            <w:r>
              <w:rPr>
                <w:rFonts w:hint="eastAsia" w:ascii="宋体" w:hAnsi="宋体" w:eastAsia="宋体" w:cs="宋体"/>
                <w:sz w:val="24"/>
                <w:szCs w:val="24"/>
              </w:rPr>
              <w:t>以上方案内容完整清晰明确且科学合理、可行性高具有针对性并满足采购需求的，每项计</w:t>
            </w:r>
            <w:r>
              <w:rPr>
                <w:rFonts w:hint="eastAsia" w:ascii="宋体" w:hAnsi="宋体" w:cs="宋体"/>
                <w:sz w:val="24"/>
                <w:szCs w:val="24"/>
                <w:lang w:val="en-US" w:eastAsia="zh-CN"/>
              </w:rPr>
              <w:t>2</w:t>
            </w:r>
            <w:r>
              <w:rPr>
                <w:rFonts w:hint="eastAsia" w:ascii="宋体" w:hAnsi="宋体" w:eastAsia="宋体" w:cs="宋体"/>
                <w:sz w:val="24"/>
                <w:szCs w:val="24"/>
              </w:rPr>
              <w:t>分，最高得1</w:t>
            </w:r>
            <w:r>
              <w:rPr>
                <w:rFonts w:hint="eastAsia" w:ascii="宋体" w:hAnsi="宋体" w:cs="宋体"/>
                <w:sz w:val="24"/>
                <w:szCs w:val="24"/>
                <w:lang w:val="en-US" w:eastAsia="zh-CN"/>
              </w:rPr>
              <w:t>0</w:t>
            </w:r>
            <w:r>
              <w:rPr>
                <w:rFonts w:hint="eastAsia" w:ascii="宋体" w:hAnsi="宋体" w:eastAsia="宋体" w:cs="宋体"/>
                <w:sz w:val="24"/>
                <w:szCs w:val="24"/>
              </w:rPr>
              <w:t>分。每项内容不完整或未能满足采购需求的或不具有针对性或逻辑性错误且不完整的</w:t>
            </w:r>
            <w:r>
              <w:rPr>
                <w:rFonts w:hint="eastAsia" w:ascii="宋体" w:hAnsi="宋体" w:eastAsia="宋体" w:cs="宋体"/>
                <w:sz w:val="24"/>
                <w:szCs w:val="24"/>
                <w:lang w:val="en-US" w:eastAsia="zh-CN"/>
              </w:rPr>
              <w:t>得</w:t>
            </w:r>
            <w:r>
              <w:rPr>
                <w:rFonts w:hint="eastAsia" w:ascii="宋体" w:hAnsi="宋体" w:cs="宋体"/>
                <w:sz w:val="24"/>
                <w:szCs w:val="24"/>
                <w:lang w:val="en-US" w:eastAsia="zh-CN"/>
              </w:rPr>
              <w:t>1</w:t>
            </w:r>
            <w:r>
              <w:rPr>
                <w:rFonts w:hint="eastAsia" w:ascii="宋体" w:hAnsi="宋体" w:eastAsia="宋体" w:cs="宋体"/>
                <w:sz w:val="24"/>
                <w:szCs w:val="24"/>
              </w:rPr>
              <w:t>分。</w:t>
            </w:r>
          </w:p>
        </w:tc>
        <w:tc>
          <w:tcPr>
            <w:tcW w:w="648"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20" w:lineRule="auto"/>
              <w:ind w:left="216"/>
              <w:rPr>
                <w:rFonts w:ascii="宋体" w:hAnsi="宋体" w:eastAsia="宋体" w:cs="宋体"/>
                <w:sz w:val="24"/>
                <w:szCs w:val="24"/>
              </w:rPr>
            </w:pPr>
            <w:r>
              <w:rPr>
                <w:rFonts w:hint="eastAsia" w:ascii="宋体" w:hAnsi="宋体" w:cs="宋体"/>
                <w:spacing w:val="-7"/>
                <w:sz w:val="24"/>
                <w:szCs w:val="24"/>
                <w:lang w:val="en-US" w:eastAsia="zh-CN"/>
              </w:rPr>
              <w:t>10</w:t>
            </w:r>
            <w:r>
              <w:rPr>
                <w:rFonts w:ascii="宋体" w:hAnsi="宋体" w:eastAsia="宋体" w:cs="宋体"/>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438" w:type="dxa"/>
            <w:vMerge w:val="continue"/>
            <w:tcBorders>
              <w:top w:val="nil"/>
              <w:bottom w:val="nil"/>
            </w:tcBorders>
            <w:textDirection w:val="tbRlV"/>
            <w:vAlign w:val="top"/>
          </w:tcPr>
          <w:p>
            <w:pPr>
              <w:rPr>
                <w:rFonts w:ascii="Arial"/>
                <w:sz w:val="21"/>
              </w:rPr>
            </w:pPr>
          </w:p>
        </w:tc>
        <w:tc>
          <w:tcPr>
            <w:tcW w:w="1090" w:type="dxa"/>
            <w:vMerge w:val="continue"/>
            <w:tcBorders>
              <w:top w:val="nil"/>
              <w:bottom w:val="nil"/>
            </w:tcBorders>
            <w:vAlign w:val="top"/>
          </w:tcPr>
          <w:p>
            <w:pPr>
              <w:rPr>
                <w:rFonts w:ascii="Arial"/>
                <w:sz w:val="21"/>
              </w:rPr>
            </w:pPr>
          </w:p>
        </w:tc>
        <w:tc>
          <w:tcPr>
            <w:tcW w:w="1311" w:type="dxa"/>
            <w:vAlign w:val="top"/>
          </w:tcPr>
          <w:p>
            <w:pPr>
              <w:spacing w:before="15" w:line="222" w:lineRule="auto"/>
              <w:ind w:left="544"/>
              <w:rPr>
                <w:rFonts w:hint="eastAsia" w:ascii="宋体" w:hAnsi="宋体" w:eastAsia="宋体" w:cs="宋体"/>
                <w:sz w:val="24"/>
                <w:szCs w:val="24"/>
              </w:rPr>
            </w:pPr>
          </w:p>
          <w:p>
            <w:pPr>
              <w:spacing w:before="15" w:line="222" w:lineRule="auto"/>
              <w:ind w:left="544"/>
              <w:rPr>
                <w:rFonts w:hint="eastAsia" w:ascii="宋体" w:hAnsi="宋体" w:eastAsia="宋体" w:cs="宋体"/>
                <w:sz w:val="24"/>
                <w:szCs w:val="24"/>
              </w:rPr>
            </w:pPr>
          </w:p>
          <w:p>
            <w:pPr>
              <w:spacing w:before="15" w:line="222" w:lineRule="auto"/>
              <w:ind w:left="544"/>
              <w:rPr>
                <w:rFonts w:hint="eastAsia" w:ascii="宋体" w:hAnsi="宋体" w:eastAsia="宋体" w:cs="宋体"/>
                <w:sz w:val="24"/>
                <w:szCs w:val="24"/>
              </w:rPr>
            </w:pPr>
          </w:p>
          <w:p>
            <w:pPr>
              <w:spacing w:before="15" w:line="222" w:lineRule="auto"/>
              <w:rPr>
                <w:rFonts w:hint="eastAsia" w:ascii="宋体" w:hAnsi="宋体" w:eastAsia="宋体" w:cs="宋体"/>
                <w:sz w:val="24"/>
                <w:szCs w:val="24"/>
              </w:rPr>
            </w:pPr>
            <w:r>
              <w:rPr>
                <w:rFonts w:hint="eastAsia" w:ascii="宋体" w:hAnsi="宋体" w:eastAsia="宋体" w:cs="宋体"/>
                <w:sz w:val="24"/>
                <w:szCs w:val="24"/>
              </w:rPr>
              <w:t>安全生产作业措施方案</w:t>
            </w:r>
          </w:p>
          <w:p>
            <w:pPr>
              <w:spacing w:before="15" w:line="222" w:lineRule="auto"/>
              <w:ind w:left="544"/>
              <w:rPr>
                <w:rFonts w:ascii="宋体" w:hAnsi="宋体" w:eastAsia="宋体" w:cs="宋体"/>
                <w:sz w:val="24"/>
                <w:szCs w:val="24"/>
              </w:rPr>
            </w:pPr>
          </w:p>
        </w:tc>
        <w:tc>
          <w:tcPr>
            <w:tcW w:w="5310" w:type="dxa"/>
            <w:vAlign w:val="top"/>
          </w:tcPr>
          <w:p>
            <w:pPr>
              <w:spacing w:before="12" w:line="227" w:lineRule="auto"/>
              <w:ind w:left="80" w:right="66" w:firstLine="1"/>
              <w:jc w:val="both"/>
              <w:rPr>
                <w:rFonts w:hint="eastAsia" w:ascii="宋体" w:hAnsi="宋体" w:eastAsia="宋体" w:cs="宋体"/>
                <w:sz w:val="24"/>
                <w:szCs w:val="24"/>
              </w:rPr>
            </w:pPr>
            <w:r>
              <w:rPr>
                <w:rFonts w:hint="eastAsia" w:ascii="宋体" w:hAnsi="宋体" w:eastAsia="宋体" w:cs="宋体"/>
                <w:sz w:val="24"/>
                <w:szCs w:val="24"/>
              </w:rPr>
              <w:t>投标人根据本项目需求提供详细的安全生产作业措施方案，内容包括但不限于：</w:t>
            </w:r>
          </w:p>
          <w:p>
            <w:pPr>
              <w:spacing w:before="12" w:line="227" w:lineRule="auto"/>
              <w:ind w:left="80" w:right="66" w:firstLine="1"/>
              <w:jc w:val="both"/>
              <w:rPr>
                <w:rFonts w:hint="eastAsia" w:ascii="宋体" w:hAnsi="宋体" w:eastAsia="宋体" w:cs="宋体"/>
                <w:sz w:val="24"/>
                <w:szCs w:val="24"/>
              </w:rPr>
            </w:pPr>
            <w:r>
              <w:rPr>
                <w:rFonts w:hint="eastAsia" w:ascii="宋体" w:hAnsi="宋体" w:eastAsia="宋体" w:cs="宋体"/>
                <w:sz w:val="24"/>
                <w:szCs w:val="24"/>
              </w:rPr>
              <w:t>①安全防护措施；</w:t>
            </w:r>
          </w:p>
          <w:p>
            <w:pPr>
              <w:spacing w:before="12" w:line="227" w:lineRule="auto"/>
              <w:ind w:left="80" w:right="66" w:firstLine="1"/>
              <w:jc w:val="both"/>
              <w:rPr>
                <w:rFonts w:hint="eastAsia" w:ascii="宋体" w:hAnsi="宋体" w:eastAsia="宋体" w:cs="宋体"/>
                <w:sz w:val="24"/>
                <w:szCs w:val="24"/>
              </w:rPr>
            </w:pPr>
            <w:r>
              <w:rPr>
                <w:rFonts w:hint="eastAsia" w:ascii="宋体" w:hAnsi="宋体" w:eastAsia="宋体" w:cs="宋体"/>
                <w:sz w:val="24"/>
                <w:szCs w:val="24"/>
              </w:rPr>
              <w:t>②设备使用安全操作规程。</w:t>
            </w:r>
          </w:p>
          <w:p>
            <w:pPr>
              <w:spacing w:before="12" w:line="227" w:lineRule="auto"/>
              <w:ind w:left="80" w:right="66" w:firstLine="1"/>
              <w:jc w:val="both"/>
              <w:rPr>
                <w:rFonts w:ascii="宋体" w:hAnsi="宋体" w:eastAsia="宋体" w:cs="宋体"/>
                <w:sz w:val="24"/>
                <w:szCs w:val="24"/>
              </w:rPr>
            </w:pPr>
            <w:r>
              <w:rPr>
                <w:rFonts w:hint="eastAsia" w:ascii="宋体" w:hAnsi="宋体" w:eastAsia="宋体" w:cs="宋体"/>
                <w:sz w:val="24"/>
                <w:szCs w:val="24"/>
              </w:rPr>
              <w:t>以上方案内容完整清晰明确、科学合理、提高作业能力且满足采购需求的，每项计</w:t>
            </w:r>
            <w:r>
              <w:rPr>
                <w:rFonts w:hint="eastAsia" w:ascii="宋体" w:hAnsi="宋体" w:cs="宋体"/>
                <w:sz w:val="24"/>
                <w:szCs w:val="24"/>
                <w:lang w:val="en-US" w:eastAsia="zh-CN"/>
              </w:rPr>
              <w:t>5</w:t>
            </w:r>
            <w:r>
              <w:rPr>
                <w:rFonts w:hint="eastAsia" w:ascii="宋体" w:hAnsi="宋体" w:eastAsia="宋体" w:cs="宋体"/>
                <w:sz w:val="24"/>
                <w:szCs w:val="24"/>
              </w:rPr>
              <w:t>分，最高得</w:t>
            </w:r>
            <w:r>
              <w:rPr>
                <w:rFonts w:hint="eastAsia" w:ascii="宋体" w:hAnsi="宋体" w:cs="宋体"/>
                <w:sz w:val="24"/>
                <w:szCs w:val="24"/>
                <w:lang w:val="en-US" w:eastAsia="zh-CN"/>
              </w:rPr>
              <w:t>10</w:t>
            </w:r>
            <w:r>
              <w:rPr>
                <w:rFonts w:hint="eastAsia" w:ascii="宋体" w:hAnsi="宋体" w:eastAsia="宋体" w:cs="宋体"/>
                <w:sz w:val="24"/>
                <w:szCs w:val="24"/>
              </w:rPr>
              <w:t>分。每缺少一项内容扣</w:t>
            </w:r>
            <w:r>
              <w:rPr>
                <w:rFonts w:hint="eastAsia" w:ascii="宋体" w:hAnsi="宋体" w:cs="宋体"/>
                <w:sz w:val="24"/>
                <w:szCs w:val="24"/>
                <w:lang w:val="en-US" w:eastAsia="zh-CN"/>
              </w:rPr>
              <w:t>5</w:t>
            </w:r>
            <w:r>
              <w:rPr>
                <w:rFonts w:hint="eastAsia" w:ascii="宋体" w:hAnsi="宋体" w:eastAsia="宋体" w:cs="宋体"/>
                <w:sz w:val="24"/>
                <w:szCs w:val="24"/>
              </w:rPr>
              <w:t>分，每</w:t>
            </w:r>
            <w:r>
              <w:rPr>
                <w:rFonts w:hint="eastAsia" w:ascii="宋体" w:hAnsi="宋体" w:eastAsia="宋体" w:cs="宋体"/>
                <w:sz w:val="24"/>
                <w:szCs w:val="24"/>
                <w:lang w:val="en-US" w:eastAsia="zh-CN"/>
              </w:rPr>
              <w:t>项内容</w:t>
            </w:r>
            <w:r>
              <w:rPr>
                <w:rFonts w:hint="eastAsia" w:ascii="宋体" w:hAnsi="宋体" w:eastAsia="宋体" w:cs="宋体"/>
                <w:sz w:val="24"/>
                <w:szCs w:val="24"/>
              </w:rPr>
              <w:t>不具有合理性、不详尽或不能满足采购需求的</w:t>
            </w:r>
            <w:r>
              <w:rPr>
                <w:rFonts w:hint="eastAsia" w:ascii="宋体" w:hAnsi="宋体" w:eastAsia="宋体" w:cs="宋体"/>
                <w:sz w:val="24"/>
                <w:szCs w:val="24"/>
                <w:lang w:val="en-US" w:eastAsia="zh-CN"/>
              </w:rPr>
              <w:t>得</w:t>
            </w:r>
            <w:r>
              <w:rPr>
                <w:rFonts w:hint="eastAsia" w:ascii="宋体" w:hAnsi="宋体" w:eastAsia="宋体" w:cs="宋体"/>
                <w:sz w:val="24"/>
                <w:szCs w:val="24"/>
              </w:rPr>
              <w:t>1分。</w:t>
            </w:r>
          </w:p>
        </w:tc>
        <w:tc>
          <w:tcPr>
            <w:tcW w:w="648" w:type="dxa"/>
            <w:vAlign w:val="top"/>
          </w:tcPr>
          <w:p>
            <w:pPr>
              <w:spacing w:before="317" w:line="202" w:lineRule="auto"/>
              <w:rPr>
                <w:rFonts w:ascii="宋体" w:hAnsi="宋体" w:eastAsia="宋体" w:cs="宋体"/>
                <w:spacing w:val="-14"/>
                <w:sz w:val="24"/>
                <w:szCs w:val="24"/>
              </w:rPr>
            </w:pPr>
          </w:p>
          <w:p>
            <w:pPr>
              <w:spacing w:before="317" w:line="202" w:lineRule="auto"/>
              <w:rPr>
                <w:rFonts w:ascii="宋体" w:hAnsi="宋体" w:eastAsia="宋体" w:cs="宋体"/>
                <w:spacing w:val="-14"/>
                <w:sz w:val="24"/>
                <w:szCs w:val="24"/>
              </w:rPr>
            </w:pPr>
          </w:p>
          <w:p>
            <w:pPr>
              <w:spacing w:before="317" w:line="202" w:lineRule="auto"/>
              <w:ind w:left="239" w:leftChars="114" w:firstLine="0" w:firstLineChars="0"/>
              <w:rPr>
                <w:rFonts w:ascii="宋体" w:hAnsi="宋体" w:eastAsia="宋体" w:cs="宋体"/>
                <w:sz w:val="24"/>
                <w:szCs w:val="24"/>
              </w:rPr>
            </w:pPr>
            <w:r>
              <w:rPr>
                <w:rFonts w:hint="eastAsia" w:ascii="宋体" w:hAnsi="宋体" w:cs="宋体"/>
                <w:spacing w:val="-14"/>
                <w:sz w:val="24"/>
                <w:szCs w:val="24"/>
                <w:lang w:val="en-US" w:eastAsia="zh-CN"/>
              </w:rPr>
              <w:t>10</w:t>
            </w:r>
            <w:r>
              <w:rPr>
                <w:rFonts w:ascii="宋体" w:hAnsi="宋体" w:eastAsia="宋体" w:cs="宋体"/>
                <w:spacing w:val="-14"/>
                <w:sz w:val="24"/>
                <w:szCs w:val="24"/>
              </w:rPr>
              <w:br w:type="textWrapping"/>
            </w:r>
            <w:r>
              <w:rPr>
                <w:rFonts w:ascii="宋体" w:hAnsi="宋体" w:eastAsia="宋体" w:cs="宋体"/>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438" w:type="dxa"/>
            <w:vMerge w:val="continue"/>
            <w:tcBorders>
              <w:top w:val="nil"/>
              <w:bottom w:val="nil"/>
            </w:tcBorders>
            <w:textDirection w:val="tbRlV"/>
            <w:vAlign w:val="top"/>
          </w:tcPr>
          <w:p>
            <w:pPr>
              <w:rPr>
                <w:rFonts w:ascii="Arial"/>
                <w:sz w:val="21"/>
              </w:rPr>
            </w:pPr>
          </w:p>
        </w:tc>
        <w:tc>
          <w:tcPr>
            <w:tcW w:w="1090" w:type="dxa"/>
            <w:vMerge w:val="continue"/>
            <w:tcBorders>
              <w:top w:val="nil"/>
              <w:bottom w:val="nil"/>
            </w:tcBorders>
            <w:vAlign w:val="top"/>
          </w:tcPr>
          <w:p>
            <w:pPr>
              <w:rPr>
                <w:rFonts w:ascii="Arial"/>
                <w:sz w:val="21"/>
              </w:rPr>
            </w:pPr>
          </w:p>
        </w:tc>
        <w:tc>
          <w:tcPr>
            <w:tcW w:w="1311" w:type="dxa"/>
            <w:vAlign w:val="top"/>
          </w:tcPr>
          <w:p>
            <w:pPr>
              <w:spacing w:before="280" w:line="225" w:lineRule="auto"/>
              <w:ind w:right="183"/>
              <w:rPr>
                <w:rFonts w:ascii="宋体" w:hAnsi="宋体" w:eastAsia="宋体" w:cs="宋体"/>
                <w:sz w:val="24"/>
                <w:szCs w:val="24"/>
              </w:rPr>
            </w:pPr>
            <w:r>
              <w:rPr>
                <w:rFonts w:hint="eastAsia" w:ascii="宋体" w:hAnsi="宋体" w:eastAsia="宋体" w:cs="宋体"/>
                <w:sz w:val="24"/>
                <w:szCs w:val="24"/>
              </w:rPr>
              <w:t>应急预案</w:t>
            </w:r>
          </w:p>
        </w:tc>
        <w:tc>
          <w:tcPr>
            <w:tcW w:w="5310" w:type="dxa"/>
            <w:vAlign w:val="top"/>
          </w:tcPr>
          <w:p>
            <w:pPr>
              <w:spacing w:before="130" w:line="227" w:lineRule="auto"/>
              <w:ind w:left="76" w:right="65" w:firstLine="3"/>
              <w:rPr>
                <w:rFonts w:ascii="宋体" w:hAnsi="宋体" w:eastAsia="宋体" w:cs="宋体"/>
                <w:sz w:val="24"/>
                <w:szCs w:val="24"/>
              </w:rPr>
            </w:pPr>
            <w:r>
              <w:rPr>
                <w:rFonts w:hint="eastAsia" w:ascii="宋体" w:hAnsi="宋体" w:eastAsia="宋体" w:cs="宋体"/>
                <w:sz w:val="24"/>
                <w:szCs w:val="24"/>
              </w:rPr>
              <w:t>投标人根据本项目需求提供详细的应急预案等内容，内容包含但不限于：</w:t>
            </w:r>
          </w:p>
          <w:p>
            <w:pPr>
              <w:spacing w:before="130" w:line="227" w:lineRule="auto"/>
              <w:ind w:left="76" w:right="65" w:firstLine="3"/>
              <w:rPr>
                <w:rFonts w:ascii="宋体" w:hAnsi="宋体" w:eastAsia="宋体" w:cs="宋体"/>
                <w:sz w:val="24"/>
                <w:szCs w:val="24"/>
              </w:rPr>
            </w:pPr>
            <w:r>
              <w:rPr>
                <w:rFonts w:hint="eastAsia" w:ascii="宋体" w:hAnsi="宋体" w:eastAsia="宋体" w:cs="宋体"/>
                <w:sz w:val="24"/>
                <w:szCs w:val="24"/>
              </w:rPr>
              <w:t>①</w:t>
            </w:r>
            <w:r>
              <w:rPr>
                <w:rFonts w:hint="eastAsia" w:ascii="宋体" w:hAnsi="宋体" w:eastAsia="宋体" w:cs="宋体"/>
                <w:sz w:val="24"/>
                <w:szCs w:val="24"/>
                <w:lang w:val="en-US" w:eastAsia="zh-CN"/>
              </w:rPr>
              <w:t>林地火灾</w:t>
            </w:r>
            <w:r>
              <w:rPr>
                <w:rFonts w:hint="eastAsia" w:ascii="宋体" w:hAnsi="宋体" w:eastAsia="宋体" w:cs="宋体"/>
                <w:sz w:val="24"/>
                <w:szCs w:val="24"/>
              </w:rPr>
              <w:t>突发应急方案；</w:t>
            </w:r>
          </w:p>
          <w:p>
            <w:pPr>
              <w:spacing w:before="130" w:line="227" w:lineRule="auto"/>
              <w:ind w:left="76" w:right="65" w:firstLine="3"/>
              <w:rPr>
                <w:rFonts w:ascii="宋体" w:hAnsi="宋体" w:eastAsia="宋体" w:cs="宋体"/>
                <w:sz w:val="24"/>
                <w:szCs w:val="24"/>
              </w:rPr>
            </w:pPr>
            <w:r>
              <w:rPr>
                <w:rFonts w:hint="eastAsia" w:ascii="宋体" w:hAnsi="宋体" w:eastAsia="宋体" w:cs="宋体"/>
                <w:sz w:val="24"/>
                <w:szCs w:val="24"/>
              </w:rPr>
              <w:t>②</w:t>
            </w:r>
            <w:r>
              <w:rPr>
                <w:rFonts w:hint="eastAsia" w:ascii="宋体" w:hAnsi="宋体" w:eastAsia="宋体" w:cs="宋体"/>
                <w:sz w:val="24"/>
                <w:szCs w:val="24"/>
                <w:lang w:val="en-US" w:eastAsia="zh-CN"/>
              </w:rPr>
              <w:t>极端恶劣天气</w:t>
            </w:r>
            <w:r>
              <w:rPr>
                <w:rFonts w:hint="eastAsia" w:ascii="宋体" w:hAnsi="宋体" w:eastAsia="宋体" w:cs="宋体"/>
                <w:sz w:val="24"/>
                <w:szCs w:val="24"/>
              </w:rPr>
              <w:t>突发应急方案；</w:t>
            </w:r>
          </w:p>
          <w:p>
            <w:pPr>
              <w:spacing w:before="130" w:line="227" w:lineRule="auto"/>
              <w:ind w:left="76" w:right="65" w:firstLine="3"/>
              <w:rPr>
                <w:rFonts w:ascii="宋体" w:hAnsi="宋体" w:eastAsia="宋体" w:cs="宋体"/>
                <w:sz w:val="24"/>
                <w:szCs w:val="24"/>
              </w:rPr>
            </w:pPr>
            <w:r>
              <w:rPr>
                <w:rFonts w:hint="eastAsia" w:ascii="宋体" w:hAnsi="宋体" w:eastAsia="宋体" w:cs="宋体"/>
                <w:sz w:val="24"/>
                <w:szCs w:val="24"/>
              </w:rPr>
              <w:t>③</w:t>
            </w:r>
            <w:r>
              <w:rPr>
                <w:rFonts w:hint="eastAsia" w:ascii="宋体" w:hAnsi="宋体" w:eastAsia="宋体" w:cs="宋体"/>
                <w:sz w:val="24"/>
                <w:szCs w:val="24"/>
                <w:lang w:val="en-US" w:eastAsia="zh-CN"/>
              </w:rPr>
              <w:t>其他可能发生的自然灾害应急预案</w:t>
            </w:r>
            <w:r>
              <w:rPr>
                <w:rFonts w:hint="eastAsia" w:ascii="宋体" w:hAnsi="宋体" w:eastAsia="宋体" w:cs="宋体"/>
                <w:sz w:val="24"/>
                <w:szCs w:val="24"/>
              </w:rPr>
              <w:t>。</w:t>
            </w:r>
          </w:p>
          <w:p>
            <w:pPr>
              <w:spacing w:before="130" w:line="227" w:lineRule="auto"/>
              <w:ind w:left="76" w:right="65" w:firstLine="3"/>
              <w:rPr>
                <w:rFonts w:ascii="宋体" w:hAnsi="宋体" w:eastAsia="宋体" w:cs="宋体"/>
                <w:sz w:val="24"/>
                <w:szCs w:val="24"/>
              </w:rPr>
            </w:pPr>
            <w:r>
              <w:rPr>
                <w:rFonts w:hint="eastAsia" w:ascii="宋体" w:hAnsi="宋体" w:eastAsia="宋体" w:cs="宋体"/>
                <w:sz w:val="24"/>
                <w:szCs w:val="24"/>
              </w:rPr>
              <w:t>以上方案内容完整清晰明确、科学合理的，每项计</w:t>
            </w:r>
            <w:r>
              <w:rPr>
                <w:rFonts w:hint="eastAsia" w:ascii="宋体" w:hAnsi="宋体" w:cs="宋体"/>
                <w:sz w:val="24"/>
                <w:szCs w:val="24"/>
                <w:lang w:val="en-US" w:eastAsia="zh-CN"/>
              </w:rPr>
              <w:t>4</w:t>
            </w:r>
            <w:r>
              <w:rPr>
                <w:rFonts w:hint="eastAsia" w:ascii="宋体" w:hAnsi="宋体" w:eastAsia="宋体" w:cs="宋体"/>
                <w:sz w:val="24"/>
                <w:szCs w:val="24"/>
              </w:rPr>
              <w:t>分，最高得</w:t>
            </w:r>
            <w:r>
              <w:rPr>
                <w:rFonts w:hint="eastAsia" w:ascii="宋体" w:hAnsi="宋体" w:cs="宋体"/>
                <w:sz w:val="24"/>
                <w:szCs w:val="24"/>
                <w:lang w:val="en-US" w:eastAsia="zh-CN"/>
              </w:rPr>
              <w:t>12</w:t>
            </w:r>
            <w:r>
              <w:rPr>
                <w:rFonts w:hint="eastAsia" w:ascii="宋体" w:hAnsi="宋体" w:eastAsia="宋体" w:cs="宋体"/>
                <w:sz w:val="24"/>
                <w:szCs w:val="24"/>
              </w:rPr>
              <w:t>分。每项内容不完整不具有针对性或逻辑性错误的</w:t>
            </w:r>
            <w:r>
              <w:rPr>
                <w:rFonts w:hint="eastAsia" w:ascii="宋体" w:hAnsi="宋体" w:eastAsia="宋体" w:cs="宋体"/>
                <w:sz w:val="24"/>
                <w:szCs w:val="24"/>
                <w:lang w:val="en-US" w:eastAsia="zh-CN"/>
              </w:rPr>
              <w:t>得</w:t>
            </w:r>
            <w:r>
              <w:rPr>
                <w:rFonts w:hint="eastAsia" w:ascii="宋体" w:hAnsi="宋体" w:eastAsia="宋体" w:cs="宋体"/>
                <w:sz w:val="24"/>
                <w:szCs w:val="24"/>
              </w:rPr>
              <w:t>1分。</w:t>
            </w:r>
          </w:p>
        </w:tc>
        <w:tc>
          <w:tcPr>
            <w:tcW w:w="648" w:type="dxa"/>
            <w:vAlign w:val="top"/>
          </w:tcPr>
          <w:p>
            <w:pPr>
              <w:spacing w:line="220" w:lineRule="auto"/>
              <w:ind w:left="216"/>
              <w:rPr>
                <w:rFonts w:hint="eastAsia" w:ascii="宋体" w:hAnsi="宋体" w:cs="宋体"/>
                <w:spacing w:val="-14"/>
                <w:sz w:val="24"/>
                <w:szCs w:val="24"/>
                <w:lang w:val="en-US" w:eastAsia="zh-CN"/>
              </w:rPr>
            </w:pPr>
          </w:p>
          <w:p>
            <w:pPr>
              <w:spacing w:line="220" w:lineRule="auto"/>
              <w:ind w:left="216"/>
              <w:rPr>
                <w:rFonts w:hint="eastAsia" w:ascii="宋体" w:hAnsi="宋体" w:cs="宋体"/>
                <w:spacing w:val="-14"/>
                <w:sz w:val="24"/>
                <w:szCs w:val="24"/>
                <w:lang w:val="en-US" w:eastAsia="zh-CN"/>
              </w:rPr>
            </w:pPr>
          </w:p>
          <w:p>
            <w:pPr>
              <w:spacing w:line="220" w:lineRule="auto"/>
              <w:ind w:left="216"/>
              <w:rPr>
                <w:rFonts w:hint="eastAsia" w:ascii="宋体" w:hAnsi="宋体" w:cs="宋体"/>
                <w:spacing w:val="-14"/>
                <w:sz w:val="24"/>
                <w:szCs w:val="24"/>
                <w:lang w:val="en-US" w:eastAsia="zh-CN"/>
              </w:rPr>
            </w:pPr>
          </w:p>
          <w:p>
            <w:pPr>
              <w:spacing w:line="220" w:lineRule="auto"/>
              <w:ind w:left="216"/>
              <w:rPr>
                <w:rFonts w:hint="eastAsia" w:ascii="宋体" w:hAnsi="宋体" w:cs="宋体"/>
                <w:spacing w:val="-14"/>
                <w:sz w:val="24"/>
                <w:szCs w:val="24"/>
                <w:lang w:val="en-US" w:eastAsia="zh-CN"/>
              </w:rPr>
            </w:pPr>
          </w:p>
          <w:p>
            <w:pPr>
              <w:spacing w:line="220" w:lineRule="auto"/>
              <w:ind w:left="216"/>
              <w:rPr>
                <w:rFonts w:ascii="宋体" w:hAnsi="宋体" w:eastAsia="宋体" w:cs="宋体"/>
                <w:sz w:val="24"/>
                <w:szCs w:val="24"/>
              </w:rPr>
            </w:pPr>
            <w:r>
              <w:rPr>
                <w:rFonts w:hint="eastAsia" w:ascii="宋体" w:hAnsi="宋体" w:cs="宋体"/>
                <w:spacing w:val="-14"/>
                <w:sz w:val="24"/>
                <w:szCs w:val="24"/>
                <w:lang w:val="en-US" w:eastAsia="zh-CN"/>
              </w:rPr>
              <w:t>12</w:t>
            </w:r>
            <w:r>
              <w:rPr>
                <w:rFonts w:ascii="宋体" w:hAnsi="宋体" w:eastAsia="宋体" w:cs="宋体"/>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438" w:type="dxa"/>
            <w:tcBorders>
              <w:top w:val="nil"/>
              <w:bottom w:val="nil"/>
            </w:tcBorders>
            <w:textDirection w:val="tbRlV"/>
            <w:vAlign w:val="top"/>
          </w:tcPr>
          <w:p>
            <w:pPr>
              <w:rPr>
                <w:rFonts w:ascii="Arial"/>
                <w:sz w:val="21"/>
              </w:rPr>
            </w:pPr>
          </w:p>
        </w:tc>
        <w:tc>
          <w:tcPr>
            <w:tcW w:w="1090" w:type="dxa"/>
            <w:tcBorders>
              <w:top w:val="nil"/>
              <w:bottom w:val="nil"/>
            </w:tcBorders>
            <w:vAlign w:val="top"/>
          </w:tcPr>
          <w:p>
            <w:pPr>
              <w:rPr>
                <w:rFonts w:ascii="Arial"/>
                <w:sz w:val="21"/>
              </w:rPr>
            </w:pPr>
          </w:p>
        </w:tc>
        <w:tc>
          <w:tcPr>
            <w:tcW w:w="1311" w:type="dxa"/>
            <w:vAlign w:val="top"/>
          </w:tcPr>
          <w:p>
            <w:pPr>
              <w:spacing w:before="280" w:line="225" w:lineRule="auto"/>
              <w:ind w:right="183"/>
              <w:rPr>
                <w:rFonts w:ascii="宋体" w:hAnsi="宋体" w:eastAsia="宋体" w:cs="宋体"/>
                <w:spacing w:val="-4"/>
                <w:sz w:val="24"/>
                <w:szCs w:val="24"/>
              </w:rPr>
            </w:pPr>
            <w:r>
              <w:rPr>
                <w:rFonts w:hint="eastAsia" w:ascii="宋体" w:hAnsi="宋体" w:eastAsia="宋体" w:cs="宋体"/>
                <w:spacing w:val="-4"/>
                <w:sz w:val="24"/>
                <w:szCs w:val="24"/>
              </w:rPr>
              <w:t>服务达标承诺及不达标改善措施</w:t>
            </w:r>
          </w:p>
        </w:tc>
        <w:tc>
          <w:tcPr>
            <w:tcW w:w="5310" w:type="dxa"/>
            <w:vAlign w:val="top"/>
          </w:tcPr>
          <w:p>
            <w:pPr>
              <w:spacing w:before="130" w:line="227" w:lineRule="auto"/>
              <w:ind w:left="76" w:right="65" w:firstLine="3"/>
              <w:rPr>
                <w:rFonts w:hint="eastAsia" w:ascii="宋体" w:hAnsi="宋体" w:eastAsia="宋体" w:cs="宋体"/>
                <w:sz w:val="24"/>
                <w:szCs w:val="24"/>
              </w:rPr>
            </w:pPr>
            <w:r>
              <w:rPr>
                <w:rFonts w:hint="eastAsia" w:ascii="宋体" w:hAnsi="宋体" w:eastAsia="宋体" w:cs="宋体"/>
                <w:sz w:val="24"/>
                <w:szCs w:val="24"/>
              </w:rPr>
              <w:t>投标人根据本项目服务要求提供相应的承诺，内容包含但不限于：</w:t>
            </w:r>
          </w:p>
          <w:p>
            <w:pPr>
              <w:spacing w:before="130" w:line="227" w:lineRule="auto"/>
              <w:ind w:left="76" w:right="65" w:firstLine="3"/>
              <w:rPr>
                <w:rFonts w:hint="eastAsia" w:ascii="宋体" w:hAnsi="宋体" w:eastAsia="宋体" w:cs="宋体"/>
                <w:sz w:val="24"/>
                <w:szCs w:val="24"/>
              </w:rPr>
            </w:pPr>
            <w:r>
              <w:rPr>
                <w:rFonts w:hint="eastAsia" w:ascii="宋体" w:hAnsi="宋体" w:eastAsia="宋体" w:cs="宋体"/>
                <w:sz w:val="24"/>
                <w:szCs w:val="24"/>
              </w:rPr>
              <w:t>①服务达标承诺；</w:t>
            </w:r>
          </w:p>
          <w:p>
            <w:pPr>
              <w:spacing w:before="130" w:line="227" w:lineRule="auto"/>
              <w:ind w:left="76" w:right="65" w:firstLine="3"/>
              <w:rPr>
                <w:rFonts w:hint="eastAsia" w:ascii="宋体" w:hAnsi="宋体" w:eastAsia="宋体" w:cs="宋体"/>
                <w:sz w:val="24"/>
                <w:szCs w:val="24"/>
              </w:rPr>
            </w:pPr>
            <w:r>
              <w:rPr>
                <w:rFonts w:hint="eastAsia" w:ascii="宋体" w:hAnsi="宋体" w:eastAsia="宋体" w:cs="宋体"/>
                <w:sz w:val="24"/>
                <w:szCs w:val="24"/>
              </w:rPr>
              <w:t>②服务未达标改善措施。</w:t>
            </w:r>
          </w:p>
          <w:p>
            <w:pPr>
              <w:spacing w:before="130" w:line="227" w:lineRule="auto"/>
              <w:ind w:left="76" w:right="65" w:firstLine="3"/>
              <w:rPr>
                <w:rFonts w:hint="eastAsia" w:ascii="宋体" w:hAnsi="宋体" w:eastAsia="宋体" w:cs="宋体"/>
                <w:sz w:val="24"/>
                <w:szCs w:val="24"/>
              </w:rPr>
            </w:pPr>
            <w:r>
              <w:rPr>
                <w:rFonts w:hint="eastAsia" w:ascii="宋体" w:hAnsi="宋体" w:eastAsia="宋体" w:cs="宋体"/>
                <w:sz w:val="24"/>
                <w:szCs w:val="24"/>
              </w:rPr>
              <w:t>以上内容详细具体完善、条理清晰、承诺指标高的，每项得</w:t>
            </w:r>
            <w:r>
              <w:rPr>
                <w:rFonts w:hint="eastAsia" w:ascii="宋体" w:hAnsi="宋体" w:cs="宋体"/>
                <w:sz w:val="24"/>
                <w:szCs w:val="24"/>
                <w:lang w:val="en-US" w:eastAsia="zh-CN"/>
              </w:rPr>
              <w:t>4</w:t>
            </w:r>
            <w:r>
              <w:rPr>
                <w:rFonts w:hint="eastAsia" w:ascii="宋体" w:hAnsi="宋体" w:eastAsia="宋体" w:cs="宋体"/>
                <w:sz w:val="24"/>
                <w:szCs w:val="24"/>
              </w:rPr>
              <w:t>分，最高得</w:t>
            </w:r>
            <w:r>
              <w:rPr>
                <w:rFonts w:hint="eastAsia" w:ascii="宋体" w:hAnsi="宋体" w:cs="宋体"/>
                <w:sz w:val="24"/>
                <w:szCs w:val="24"/>
                <w:lang w:val="en-US" w:eastAsia="zh-CN"/>
              </w:rPr>
              <w:t>8</w:t>
            </w:r>
            <w:r>
              <w:rPr>
                <w:rFonts w:hint="eastAsia" w:ascii="宋体" w:hAnsi="宋体" w:eastAsia="宋体" w:cs="宋体"/>
                <w:sz w:val="24"/>
                <w:szCs w:val="24"/>
              </w:rPr>
              <w:t>分。每项内容不完整或不具有针对性或逻辑性错误的</w:t>
            </w:r>
            <w:r>
              <w:rPr>
                <w:rFonts w:hint="eastAsia" w:ascii="宋体" w:hAnsi="宋体" w:eastAsia="宋体" w:cs="宋体"/>
                <w:sz w:val="24"/>
                <w:szCs w:val="24"/>
                <w:lang w:val="en-US" w:eastAsia="zh-CN"/>
              </w:rPr>
              <w:t>得</w:t>
            </w:r>
            <w:r>
              <w:rPr>
                <w:rFonts w:hint="eastAsia" w:ascii="宋体" w:hAnsi="宋体" w:eastAsia="宋体" w:cs="宋体"/>
                <w:sz w:val="24"/>
                <w:szCs w:val="24"/>
              </w:rPr>
              <w:t>1分。</w:t>
            </w:r>
          </w:p>
        </w:tc>
        <w:tc>
          <w:tcPr>
            <w:tcW w:w="648" w:type="dxa"/>
            <w:vAlign w:val="top"/>
          </w:tcPr>
          <w:p>
            <w:pPr>
              <w:spacing w:line="220" w:lineRule="auto"/>
              <w:ind w:left="216"/>
              <w:rPr>
                <w:rFonts w:hint="eastAsia" w:ascii="宋体" w:hAnsi="宋体" w:cs="宋体"/>
                <w:spacing w:val="-14"/>
                <w:sz w:val="24"/>
                <w:szCs w:val="24"/>
                <w:lang w:val="en-US" w:eastAsia="zh-CN"/>
              </w:rPr>
            </w:pPr>
          </w:p>
          <w:p>
            <w:pPr>
              <w:pStyle w:val="63"/>
              <w:rPr>
                <w:rFonts w:hint="eastAsia" w:ascii="宋体" w:hAnsi="宋体" w:cs="宋体"/>
                <w:spacing w:val="-14"/>
                <w:sz w:val="24"/>
                <w:szCs w:val="24"/>
                <w:lang w:val="en-US" w:eastAsia="zh-CN"/>
              </w:rPr>
            </w:pPr>
          </w:p>
          <w:p>
            <w:pPr>
              <w:rPr>
                <w:rFonts w:hint="eastAsia" w:ascii="宋体" w:hAnsi="宋体" w:cs="宋体"/>
                <w:spacing w:val="-14"/>
                <w:sz w:val="24"/>
                <w:szCs w:val="24"/>
                <w:lang w:val="en-US" w:eastAsia="zh-CN"/>
              </w:rPr>
            </w:pPr>
          </w:p>
          <w:p>
            <w:pPr>
              <w:pStyle w:val="63"/>
              <w:rPr>
                <w:rFonts w:hint="eastAsia" w:ascii="宋体" w:hAnsi="宋体" w:cs="宋体"/>
                <w:spacing w:val="-14"/>
                <w:sz w:val="24"/>
                <w:szCs w:val="24"/>
                <w:lang w:val="en-US" w:eastAsia="zh-CN"/>
              </w:rPr>
            </w:pPr>
          </w:p>
          <w:p>
            <w:pPr>
              <w:rPr>
                <w:rFonts w:hint="eastAsia" w:ascii="宋体" w:hAnsi="宋体" w:cs="宋体"/>
                <w:spacing w:val="-14"/>
                <w:sz w:val="24"/>
                <w:szCs w:val="24"/>
                <w:lang w:val="en-US" w:eastAsia="zh-CN"/>
              </w:rPr>
            </w:pPr>
          </w:p>
          <w:p>
            <w:pPr>
              <w:pStyle w:val="63"/>
              <w:ind w:left="239" w:leftChars="114" w:firstLine="0" w:firstLineChars="0"/>
              <w:rPr>
                <w:rFonts w:hint="default"/>
                <w:lang w:val="en-US" w:eastAsia="zh-CN"/>
              </w:rPr>
            </w:pPr>
            <w:r>
              <w:rPr>
                <w:rFonts w:hint="eastAsia" w:hAnsi="宋体" w:cs="宋体"/>
                <w:spacing w:val="-14"/>
                <w:sz w:val="24"/>
                <w:szCs w:val="24"/>
                <w:lang w:val="en-US" w:eastAsia="zh-CN"/>
              </w:rPr>
              <w:t>8</w:t>
            </w:r>
            <w:r>
              <w:rPr>
                <w:rFonts w:hint="eastAsia" w:hAnsi="宋体" w:cs="宋体"/>
                <w:spacing w:val="-14"/>
                <w:sz w:val="24"/>
                <w:szCs w:val="24"/>
                <w:lang w:val="en-US" w:eastAsia="zh-CN"/>
              </w:rPr>
              <w:br w:type="textWrapping"/>
            </w:r>
            <w:r>
              <w:rPr>
                <w:rFonts w:hint="eastAsia" w:hAnsi="宋体" w:cs="宋体"/>
                <w:spacing w:val="-14"/>
                <w:sz w:val="24"/>
                <w:szCs w:val="24"/>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438" w:type="dxa"/>
            <w:tcBorders>
              <w:top w:val="nil"/>
              <w:bottom w:val="nil"/>
            </w:tcBorders>
            <w:textDirection w:val="tbRlV"/>
            <w:vAlign w:val="top"/>
          </w:tcPr>
          <w:p>
            <w:pPr>
              <w:rPr>
                <w:rFonts w:ascii="Arial"/>
                <w:sz w:val="21"/>
              </w:rPr>
            </w:pPr>
          </w:p>
        </w:tc>
        <w:tc>
          <w:tcPr>
            <w:tcW w:w="1090" w:type="dxa"/>
            <w:tcBorders>
              <w:top w:val="nil"/>
              <w:bottom w:val="nil"/>
            </w:tcBorders>
            <w:vAlign w:val="top"/>
          </w:tcPr>
          <w:p>
            <w:pPr>
              <w:rPr>
                <w:rFonts w:ascii="Arial"/>
                <w:sz w:val="21"/>
              </w:rPr>
            </w:pPr>
          </w:p>
        </w:tc>
        <w:tc>
          <w:tcPr>
            <w:tcW w:w="1311" w:type="dxa"/>
            <w:vAlign w:val="top"/>
          </w:tcPr>
          <w:p>
            <w:pPr>
              <w:spacing w:before="280" w:line="225" w:lineRule="auto"/>
              <w:ind w:right="183"/>
              <w:rPr>
                <w:rFonts w:hint="eastAsia" w:ascii="宋体" w:hAnsi="宋体" w:eastAsia="宋体" w:cs="宋体"/>
                <w:spacing w:val="-4"/>
                <w:sz w:val="24"/>
                <w:szCs w:val="24"/>
              </w:rPr>
            </w:pPr>
          </w:p>
          <w:p>
            <w:pPr>
              <w:spacing w:before="280" w:line="225" w:lineRule="auto"/>
              <w:ind w:right="183"/>
              <w:rPr>
                <w:rFonts w:hint="eastAsia" w:ascii="宋体" w:hAnsi="宋体" w:eastAsia="宋体" w:cs="宋体"/>
                <w:spacing w:val="-4"/>
                <w:sz w:val="24"/>
                <w:szCs w:val="24"/>
              </w:rPr>
            </w:pPr>
          </w:p>
          <w:p>
            <w:pPr>
              <w:spacing w:before="280" w:line="225" w:lineRule="auto"/>
              <w:ind w:right="183"/>
              <w:rPr>
                <w:rFonts w:hint="eastAsia" w:ascii="宋体" w:hAnsi="宋体" w:eastAsia="宋体" w:cs="宋体"/>
                <w:spacing w:val="-4"/>
                <w:sz w:val="24"/>
                <w:szCs w:val="24"/>
              </w:rPr>
            </w:pPr>
          </w:p>
          <w:p>
            <w:pPr>
              <w:spacing w:before="280" w:line="225" w:lineRule="auto"/>
              <w:ind w:right="183"/>
              <w:rPr>
                <w:rFonts w:hint="eastAsia" w:ascii="宋体" w:hAnsi="宋体" w:eastAsia="宋体" w:cs="宋体"/>
                <w:spacing w:val="-4"/>
                <w:sz w:val="24"/>
                <w:szCs w:val="24"/>
              </w:rPr>
            </w:pPr>
            <w:r>
              <w:rPr>
                <w:rFonts w:hint="eastAsia" w:ascii="宋体" w:hAnsi="宋体" w:eastAsia="宋体" w:cs="宋体"/>
                <w:spacing w:val="-4"/>
                <w:sz w:val="24"/>
                <w:szCs w:val="24"/>
              </w:rPr>
              <w:t>规章制度</w:t>
            </w:r>
          </w:p>
          <w:p>
            <w:pPr>
              <w:spacing w:before="280" w:line="225" w:lineRule="auto"/>
              <w:ind w:right="183"/>
              <w:rPr>
                <w:rFonts w:hint="eastAsia" w:ascii="宋体" w:hAnsi="宋体" w:eastAsia="宋体" w:cs="宋体"/>
                <w:spacing w:val="-4"/>
                <w:sz w:val="24"/>
                <w:szCs w:val="24"/>
              </w:rPr>
            </w:pPr>
          </w:p>
        </w:tc>
        <w:tc>
          <w:tcPr>
            <w:tcW w:w="5310" w:type="dxa"/>
            <w:vAlign w:val="top"/>
          </w:tcPr>
          <w:p>
            <w:pPr>
              <w:spacing w:before="130" w:line="227" w:lineRule="auto"/>
              <w:ind w:left="76" w:right="65" w:firstLine="3"/>
              <w:rPr>
                <w:rFonts w:hint="eastAsia" w:ascii="宋体" w:hAnsi="宋体" w:eastAsia="宋体" w:cs="宋体"/>
                <w:sz w:val="24"/>
                <w:szCs w:val="24"/>
              </w:rPr>
            </w:pPr>
            <w:r>
              <w:rPr>
                <w:rFonts w:hint="eastAsia" w:ascii="宋体" w:hAnsi="宋体" w:eastAsia="宋体" w:cs="宋体"/>
                <w:sz w:val="24"/>
                <w:szCs w:val="24"/>
              </w:rPr>
              <w:t>企业管理规章制度完善，程序规范、责任明确、具有可操作性，内容包括但不限于：</w:t>
            </w:r>
          </w:p>
          <w:p>
            <w:pPr>
              <w:spacing w:before="130" w:line="227" w:lineRule="auto"/>
              <w:ind w:left="76" w:right="65" w:firstLine="3"/>
              <w:rPr>
                <w:rFonts w:hint="eastAsia" w:ascii="宋体" w:hAnsi="宋体" w:eastAsia="宋体" w:cs="宋体"/>
                <w:sz w:val="24"/>
                <w:szCs w:val="24"/>
              </w:rPr>
            </w:pPr>
            <w:r>
              <w:rPr>
                <w:rFonts w:hint="eastAsia" w:ascii="宋体" w:hAnsi="宋体" w:eastAsia="宋体" w:cs="宋体"/>
                <w:sz w:val="24"/>
                <w:szCs w:val="24"/>
              </w:rPr>
              <w:t>①养护或</w:t>
            </w:r>
            <w:r>
              <w:rPr>
                <w:rFonts w:hint="eastAsia" w:ascii="宋体" w:hAnsi="宋体" w:eastAsia="宋体" w:cs="宋体"/>
                <w:sz w:val="24"/>
                <w:szCs w:val="24"/>
                <w:lang w:val="en-US" w:eastAsia="zh-CN"/>
              </w:rPr>
              <w:t>维修维护</w:t>
            </w:r>
            <w:r>
              <w:rPr>
                <w:rFonts w:hint="eastAsia" w:ascii="宋体" w:hAnsi="宋体" w:eastAsia="宋体" w:cs="宋体"/>
                <w:sz w:val="24"/>
                <w:szCs w:val="24"/>
              </w:rPr>
              <w:t>管理台账制度；</w:t>
            </w:r>
          </w:p>
          <w:p>
            <w:pPr>
              <w:spacing w:before="130" w:line="227" w:lineRule="auto"/>
              <w:ind w:left="76" w:right="65" w:firstLine="3"/>
              <w:rPr>
                <w:rFonts w:hint="eastAsia" w:ascii="宋体" w:hAnsi="宋体" w:eastAsia="宋体" w:cs="宋体"/>
                <w:sz w:val="24"/>
                <w:szCs w:val="24"/>
              </w:rPr>
            </w:pPr>
            <w:r>
              <w:rPr>
                <w:rFonts w:hint="eastAsia" w:ascii="宋体" w:hAnsi="宋体" w:eastAsia="宋体" w:cs="宋体"/>
                <w:sz w:val="24"/>
                <w:szCs w:val="24"/>
              </w:rPr>
              <w:t>②人员考核机制；</w:t>
            </w:r>
          </w:p>
          <w:p>
            <w:pPr>
              <w:spacing w:before="130" w:line="227" w:lineRule="auto"/>
              <w:ind w:left="76" w:right="65" w:firstLine="3"/>
              <w:rPr>
                <w:rFonts w:hint="eastAsia" w:ascii="宋体" w:hAnsi="宋体" w:eastAsia="宋体" w:cs="宋体"/>
                <w:sz w:val="24"/>
                <w:szCs w:val="24"/>
              </w:rPr>
            </w:pPr>
            <w:r>
              <w:rPr>
                <w:rFonts w:hint="eastAsia" w:ascii="宋体" w:hAnsi="宋体" w:eastAsia="宋体" w:cs="宋体"/>
                <w:sz w:val="24"/>
                <w:szCs w:val="24"/>
              </w:rPr>
              <w:t>③安全操作规范；</w:t>
            </w:r>
          </w:p>
          <w:p>
            <w:pPr>
              <w:spacing w:before="130" w:line="227" w:lineRule="auto"/>
              <w:ind w:left="76" w:right="65" w:firstLine="3"/>
              <w:rPr>
                <w:rFonts w:hint="eastAsia" w:ascii="宋体" w:hAnsi="宋体" w:eastAsia="宋体" w:cs="宋体"/>
                <w:sz w:val="24"/>
                <w:szCs w:val="24"/>
                <w:lang w:eastAsia="zh-CN"/>
              </w:rPr>
            </w:pPr>
            <w:r>
              <w:rPr>
                <w:rFonts w:hint="eastAsia" w:ascii="宋体" w:hAnsi="宋体" w:eastAsia="宋体" w:cs="宋体"/>
                <w:sz w:val="24"/>
                <w:szCs w:val="24"/>
              </w:rPr>
              <w:t>④人员配置</w:t>
            </w:r>
            <w:r>
              <w:rPr>
                <w:rFonts w:hint="eastAsia" w:ascii="宋体" w:hAnsi="宋体" w:cs="宋体"/>
                <w:sz w:val="24"/>
                <w:szCs w:val="24"/>
                <w:lang w:eastAsia="zh-CN"/>
              </w:rPr>
              <w:t>、</w:t>
            </w:r>
            <w:r>
              <w:rPr>
                <w:rFonts w:hint="eastAsia" w:ascii="宋体" w:hAnsi="宋体" w:eastAsia="宋体" w:cs="宋体"/>
                <w:sz w:val="24"/>
                <w:szCs w:val="24"/>
              </w:rPr>
              <w:t>岗位划分图</w:t>
            </w:r>
          </w:p>
          <w:p>
            <w:pPr>
              <w:spacing w:before="130" w:line="227" w:lineRule="auto"/>
              <w:ind w:left="76" w:right="65" w:firstLine="3"/>
              <w:rPr>
                <w:rFonts w:hint="eastAsia" w:ascii="宋体" w:hAnsi="宋体" w:eastAsia="宋体" w:cs="宋体"/>
                <w:sz w:val="24"/>
                <w:szCs w:val="24"/>
              </w:rPr>
            </w:pPr>
            <w:r>
              <w:rPr>
                <w:rFonts w:hint="eastAsia" w:ascii="宋体" w:hAnsi="宋体" w:cs="宋体"/>
                <w:kern w:val="0"/>
                <w:sz w:val="24"/>
                <w:szCs w:val="24"/>
              </w:rPr>
              <w:t>以上方案内容完整清晰明确、科学合理且满足采购需求的，每项计2分，最高得</w:t>
            </w:r>
            <w:r>
              <w:rPr>
                <w:rFonts w:hint="eastAsia" w:ascii="宋体" w:hAnsi="宋体" w:cs="宋体"/>
                <w:kern w:val="0"/>
                <w:sz w:val="24"/>
                <w:szCs w:val="24"/>
                <w:lang w:val="en-US" w:eastAsia="zh-CN"/>
              </w:rPr>
              <w:t>8</w:t>
            </w:r>
            <w:r>
              <w:rPr>
                <w:rFonts w:hint="eastAsia" w:ascii="宋体" w:hAnsi="宋体" w:cs="宋体"/>
                <w:kern w:val="0"/>
                <w:sz w:val="24"/>
                <w:szCs w:val="24"/>
              </w:rPr>
              <w:t>分。</w:t>
            </w:r>
            <w:r>
              <w:rPr>
                <w:rFonts w:hint="eastAsia" w:ascii="宋体" w:hAnsi="宋体" w:cs="宋体"/>
                <w:kern w:val="0"/>
                <w:sz w:val="24"/>
                <w:szCs w:val="24"/>
                <w:lang w:val="en-US" w:eastAsia="zh-CN"/>
              </w:rPr>
              <w:t>每项</w:t>
            </w:r>
            <w:r>
              <w:rPr>
                <w:rFonts w:hint="eastAsia" w:ascii="宋体" w:hAnsi="宋体" w:cs="宋体"/>
                <w:kern w:val="0"/>
                <w:sz w:val="24"/>
                <w:szCs w:val="24"/>
              </w:rPr>
              <w:t>不具有合理性、不详尽或不能满足采购需求的</w:t>
            </w:r>
            <w:r>
              <w:rPr>
                <w:rFonts w:hint="eastAsia" w:ascii="宋体" w:hAnsi="宋体" w:cs="宋体"/>
                <w:kern w:val="0"/>
                <w:sz w:val="24"/>
                <w:szCs w:val="24"/>
                <w:lang w:val="en-US" w:eastAsia="zh-CN"/>
              </w:rPr>
              <w:t>得</w:t>
            </w:r>
            <w:r>
              <w:rPr>
                <w:rFonts w:hint="eastAsia" w:ascii="宋体" w:hAnsi="宋体" w:cs="宋体"/>
                <w:kern w:val="0"/>
                <w:sz w:val="24"/>
                <w:szCs w:val="24"/>
              </w:rPr>
              <w:t>1分。</w:t>
            </w:r>
          </w:p>
        </w:tc>
        <w:tc>
          <w:tcPr>
            <w:tcW w:w="648" w:type="dxa"/>
            <w:vAlign w:val="top"/>
          </w:tcPr>
          <w:p>
            <w:pPr>
              <w:spacing w:line="220" w:lineRule="auto"/>
              <w:ind w:left="216"/>
              <w:rPr>
                <w:rFonts w:hint="eastAsia" w:ascii="宋体" w:hAnsi="宋体" w:cs="宋体"/>
                <w:spacing w:val="-14"/>
                <w:sz w:val="24"/>
                <w:szCs w:val="24"/>
                <w:lang w:val="en-US" w:eastAsia="zh-CN"/>
              </w:rPr>
            </w:pPr>
          </w:p>
          <w:p>
            <w:pPr>
              <w:pStyle w:val="63"/>
              <w:rPr>
                <w:rFonts w:hint="eastAsia" w:ascii="宋体" w:hAnsi="宋体" w:cs="宋体"/>
                <w:spacing w:val="-14"/>
                <w:sz w:val="24"/>
                <w:szCs w:val="24"/>
                <w:lang w:val="en-US" w:eastAsia="zh-CN"/>
              </w:rPr>
            </w:pPr>
          </w:p>
          <w:p>
            <w:pPr>
              <w:rPr>
                <w:rFonts w:hint="eastAsia" w:ascii="宋体" w:hAnsi="宋体" w:cs="宋体"/>
                <w:spacing w:val="-14"/>
                <w:sz w:val="24"/>
                <w:szCs w:val="24"/>
                <w:lang w:val="en-US" w:eastAsia="zh-CN"/>
              </w:rPr>
            </w:pPr>
          </w:p>
          <w:p>
            <w:pPr>
              <w:pStyle w:val="63"/>
              <w:rPr>
                <w:rFonts w:hint="eastAsia" w:ascii="宋体" w:hAnsi="宋体" w:cs="宋体"/>
                <w:spacing w:val="-14"/>
                <w:sz w:val="24"/>
                <w:szCs w:val="24"/>
                <w:lang w:val="en-US" w:eastAsia="zh-CN"/>
              </w:rPr>
            </w:pPr>
          </w:p>
          <w:p>
            <w:pPr>
              <w:ind w:left="239" w:leftChars="114" w:firstLine="0" w:firstLineChars="0"/>
              <w:rPr>
                <w:rFonts w:hint="eastAsia" w:ascii="宋体" w:hAnsi="宋体" w:eastAsia="宋体" w:cs="宋体"/>
                <w:color w:val="000000"/>
                <w:spacing w:val="-14"/>
                <w:kern w:val="0"/>
                <w:sz w:val="24"/>
                <w:szCs w:val="24"/>
                <w:lang w:val="en-US" w:eastAsia="zh-CN" w:bidi="ar-SA"/>
              </w:rPr>
            </w:pPr>
          </w:p>
          <w:p>
            <w:pPr>
              <w:ind w:left="239" w:leftChars="114" w:firstLine="0" w:firstLineChars="0"/>
              <w:rPr>
                <w:rFonts w:hint="eastAsia" w:ascii="宋体" w:hAnsi="宋体" w:cs="宋体"/>
                <w:color w:val="000000"/>
                <w:spacing w:val="-14"/>
                <w:kern w:val="0"/>
                <w:sz w:val="24"/>
                <w:szCs w:val="24"/>
                <w:lang w:val="en-US" w:eastAsia="zh-CN" w:bidi="ar-SA"/>
              </w:rPr>
            </w:pPr>
          </w:p>
          <w:p>
            <w:pPr>
              <w:ind w:left="239" w:leftChars="114" w:firstLine="0" w:firstLineChars="0"/>
              <w:rPr>
                <w:rFonts w:hint="default"/>
                <w:lang w:val="en-US" w:eastAsia="zh-CN"/>
              </w:rPr>
            </w:pPr>
            <w:r>
              <w:rPr>
                <w:rFonts w:hint="eastAsia" w:ascii="宋体" w:hAnsi="宋体" w:cs="宋体"/>
                <w:color w:val="000000"/>
                <w:spacing w:val="-14"/>
                <w:kern w:val="0"/>
                <w:sz w:val="24"/>
                <w:szCs w:val="24"/>
                <w:lang w:val="en-US" w:eastAsia="zh-CN" w:bidi="ar-SA"/>
              </w:rPr>
              <w:t>8</w:t>
            </w:r>
            <w:r>
              <w:rPr>
                <w:rFonts w:hint="eastAsia" w:ascii="宋体" w:hAnsi="宋体" w:eastAsia="宋体" w:cs="宋体"/>
                <w:color w:val="000000"/>
                <w:spacing w:val="-14"/>
                <w:kern w:val="0"/>
                <w:sz w:val="24"/>
                <w:szCs w:val="24"/>
                <w:lang w:val="en-US" w:eastAsia="zh-CN" w:bidi="ar-SA"/>
              </w:rPr>
              <w:br w:type="textWrapping"/>
            </w:r>
            <w:r>
              <w:rPr>
                <w:rFonts w:hint="eastAsia" w:ascii="宋体" w:hAnsi="宋体" w:eastAsia="宋体" w:cs="宋体"/>
                <w:color w:val="000000"/>
                <w:spacing w:val="-14"/>
                <w:kern w:val="0"/>
                <w:sz w:val="24"/>
                <w:szCs w:val="24"/>
                <w:lang w:val="en-US" w:eastAsia="zh-CN"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438" w:type="dxa"/>
            <w:tcBorders>
              <w:top w:val="nil"/>
              <w:bottom w:val="single" w:color="000000" w:sz="2" w:space="0"/>
            </w:tcBorders>
            <w:textDirection w:val="tbRlV"/>
            <w:vAlign w:val="top"/>
          </w:tcPr>
          <w:p>
            <w:pPr>
              <w:rPr>
                <w:rFonts w:ascii="Arial"/>
                <w:sz w:val="21"/>
              </w:rPr>
            </w:pPr>
          </w:p>
        </w:tc>
        <w:tc>
          <w:tcPr>
            <w:tcW w:w="1090" w:type="dxa"/>
            <w:tcBorders>
              <w:top w:val="nil"/>
              <w:bottom w:val="single" w:color="000000" w:sz="10" w:space="0"/>
            </w:tcBorders>
            <w:vAlign w:val="top"/>
          </w:tcPr>
          <w:p>
            <w:pPr>
              <w:rPr>
                <w:rFonts w:ascii="Arial"/>
                <w:sz w:val="21"/>
              </w:rPr>
            </w:pPr>
          </w:p>
        </w:tc>
        <w:tc>
          <w:tcPr>
            <w:tcW w:w="1311" w:type="dxa"/>
            <w:vAlign w:val="top"/>
          </w:tcPr>
          <w:p>
            <w:pPr>
              <w:spacing w:before="280" w:line="225" w:lineRule="auto"/>
              <w:ind w:right="183"/>
              <w:rPr>
                <w:rFonts w:hint="eastAsia" w:ascii="宋体" w:hAnsi="宋体" w:cs="宋体"/>
                <w:spacing w:val="-4"/>
                <w:sz w:val="24"/>
                <w:szCs w:val="24"/>
                <w:lang w:val="en-US" w:eastAsia="zh-CN"/>
              </w:rPr>
            </w:pPr>
          </w:p>
          <w:p>
            <w:pPr>
              <w:spacing w:before="280" w:line="225" w:lineRule="auto"/>
              <w:ind w:right="183"/>
              <w:rPr>
                <w:rFonts w:hint="eastAsia" w:ascii="宋体" w:hAnsi="宋体" w:cs="宋体"/>
                <w:spacing w:val="-4"/>
                <w:sz w:val="24"/>
                <w:szCs w:val="24"/>
                <w:lang w:val="en-US" w:eastAsia="zh-CN"/>
              </w:rPr>
            </w:pPr>
          </w:p>
          <w:p>
            <w:pPr>
              <w:spacing w:before="280" w:line="225" w:lineRule="auto"/>
              <w:ind w:right="183"/>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人员配置</w:t>
            </w:r>
          </w:p>
        </w:tc>
        <w:tc>
          <w:tcPr>
            <w:tcW w:w="5310" w:type="dxa"/>
            <w:vAlign w:val="top"/>
          </w:tcPr>
          <w:p>
            <w:pPr>
              <w:spacing w:line="360" w:lineRule="exact"/>
              <w:jc w:val="left"/>
              <w:rPr>
                <w:rFonts w:hint="eastAsia" w:ascii="宋体" w:hAnsi="宋体" w:eastAsia="宋体" w:cs="宋体"/>
                <w:sz w:val="24"/>
                <w:highlight w:val="none"/>
                <w:lang w:val="zh-CN"/>
              </w:rPr>
            </w:pPr>
            <w:r>
              <w:rPr>
                <w:rFonts w:hint="eastAsia" w:ascii="宋体" w:hAnsi="宋体" w:eastAsia="宋体" w:cs="宋体"/>
                <w:sz w:val="24"/>
                <w:highlight w:val="none"/>
                <w:lang w:val="zh-CN"/>
              </w:rPr>
              <w:t>根据投标人拟投入本项目的服务人员构成是否合理、对本项目的熟悉程度等进行综合打分。</w:t>
            </w:r>
          </w:p>
          <w:p>
            <w:pPr>
              <w:spacing w:line="360" w:lineRule="exact"/>
              <w:jc w:val="left"/>
              <w:rPr>
                <w:rFonts w:hint="eastAsia" w:ascii="宋体" w:hAnsi="宋体" w:eastAsia="宋体" w:cs="宋体"/>
                <w:sz w:val="24"/>
                <w:highlight w:val="none"/>
                <w:lang w:val="zh-CN"/>
              </w:rPr>
            </w:pPr>
            <w:r>
              <w:rPr>
                <w:rFonts w:hint="eastAsia" w:ascii="宋体" w:hAnsi="宋体" w:eastAsia="宋体" w:cs="宋体"/>
                <w:sz w:val="24"/>
                <w:highlight w:val="none"/>
                <w:lang w:val="zh-CN"/>
              </w:rPr>
              <w:t>①项目拟投入人员充足；</w:t>
            </w:r>
          </w:p>
          <w:p>
            <w:pPr>
              <w:spacing w:line="360" w:lineRule="exact"/>
              <w:jc w:val="left"/>
              <w:rPr>
                <w:rFonts w:hint="eastAsia" w:ascii="宋体" w:hAnsi="宋体" w:eastAsia="宋体" w:cs="宋体"/>
                <w:sz w:val="24"/>
                <w:highlight w:val="none"/>
                <w:lang w:val="zh-CN"/>
              </w:rPr>
            </w:pPr>
            <w:r>
              <w:rPr>
                <w:rFonts w:hint="eastAsia" w:ascii="宋体" w:hAnsi="宋体" w:eastAsia="宋体" w:cs="宋体"/>
                <w:sz w:val="24"/>
                <w:highlight w:val="none"/>
                <w:lang w:val="zh-CN"/>
              </w:rPr>
              <w:t>②人员配置方案科学合理；</w:t>
            </w:r>
          </w:p>
          <w:p>
            <w:pPr>
              <w:spacing w:line="360" w:lineRule="exact"/>
              <w:jc w:val="left"/>
              <w:rPr>
                <w:rFonts w:hint="eastAsia" w:ascii="宋体" w:hAnsi="宋体" w:eastAsia="宋体" w:cs="宋体"/>
                <w:sz w:val="24"/>
                <w:highlight w:val="none"/>
                <w:lang w:val="zh-CN"/>
              </w:rPr>
            </w:pPr>
            <w:r>
              <w:rPr>
                <w:rFonts w:hint="eastAsia" w:ascii="宋体" w:hAnsi="宋体" w:eastAsia="宋体" w:cs="宋体"/>
                <w:sz w:val="24"/>
                <w:highlight w:val="none"/>
                <w:lang w:val="zh-CN"/>
              </w:rPr>
              <w:t>③人员分工明确；</w:t>
            </w:r>
          </w:p>
          <w:p>
            <w:pPr>
              <w:spacing w:line="360" w:lineRule="exact"/>
              <w:jc w:val="left"/>
              <w:rPr>
                <w:rFonts w:hint="eastAsia" w:ascii="宋体" w:hAnsi="宋体" w:eastAsia="宋体" w:cs="宋体"/>
                <w:sz w:val="24"/>
                <w:highlight w:val="none"/>
                <w:lang w:val="zh-CN"/>
              </w:rPr>
            </w:pPr>
            <w:r>
              <w:rPr>
                <w:rFonts w:hint="eastAsia" w:ascii="宋体" w:hAnsi="宋体" w:eastAsia="宋体" w:cs="宋体"/>
                <w:sz w:val="24"/>
                <w:highlight w:val="none"/>
                <w:lang w:val="zh-CN"/>
              </w:rPr>
              <w:t>④工作经验丰富。</w:t>
            </w:r>
          </w:p>
          <w:p>
            <w:pPr>
              <w:spacing w:before="130" w:line="227" w:lineRule="auto"/>
              <w:ind w:left="76" w:right="65" w:firstLine="3"/>
              <w:rPr>
                <w:rFonts w:hint="eastAsia" w:ascii="宋体" w:hAnsi="宋体" w:cs="宋体"/>
                <w:kern w:val="0"/>
                <w:sz w:val="24"/>
                <w:szCs w:val="24"/>
              </w:rPr>
            </w:pPr>
            <w:r>
              <w:rPr>
                <w:rFonts w:hint="eastAsia" w:ascii="宋体" w:hAnsi="宋体" w:eastAsia="宋体" w:cs="宋体"/>
                <w:sz w:val="24"/>
                <w:highlight w:val="none"/>
                <w:lang w:val="zh-CN"/>
              </w:rPr>
              <w:t>以上内容</w:t>
            </w:r>
            <w:r>
              <w:rPr>
                <w:rFonts w:hint="eastAsia" w:ascii="宋体" w:hAnsi="宋体" w:cs="宋体"/>
                <w:sz w:val="24"/>
                <w:highlight w:val="none"/>
                <w:lang w:val="en-US" w:eastAsia="zh-CN"/>
              </w:rPr>
              <w:t>完整满足采购需求</w:t>
            </w:r>
            <w:r>
              <w:rPr>
                <w:rFonts w:hint="eastAsia" w:ascii="宋体" w:hAnsi="宋体" w:eastAsia="宋体" w:cs="宋体"/>
                <w:sz w:val="24"/>
                <w:highlight w:val="none"/>
                <w:lang w:val="zh-CN"/>
              </w:rPr>
              <w:t>的，每项计</w:t>
            </w:r>
            <w:r>
              <w:rPr>
                <w:rFonts w:hint="eastAsia" w:ascii="宋体" w:hAnsi="宋体" w:cs="宋体"/>
                <w:sz w:val="24"/>
                <w:highlight w:val="none"/>
                <w:lang w:val="en-US" w:eastAsia="zh-CN"/>
              </w:rPr>
              <w:t>3</w:t>
            </w:r>
            <w:r>
              <w:rPr>
                <w:rFonts w:hint="eastAsia" w:ascii="宋体" w:hAnsi="宋体" w:eastAsia="宋体" w:cs="宋体"/>
                <w:sz w:val="24"/>
                <w:highlight w:val="none"/>
                <w:lang w:val="zh-CN"/>
              </w:rPr>
              <w:t>分，最高得</w:t>
            </w:r>
            <w:r>
              <w:rPr>
                <w:rFonts w:hint="eastAsia" w:ascii="宋体" w:hAnsi="宋体" w:cs="宋体"/>
                <w:sz w:val="24"/>
                <w:highlight w:val="none"/>
                <w:lang w:val="en-US" w:eastAsia="zh-CN"/>
              </w:rPr>
              <w:t>12</w:t>
            </w:r>
            <w:r>
              <w:rPr>
                <w:rFonts w:hint="eastAsia" w:ascii="宋体" w:hAnsi="宋体" w:eastAsia="宋体" w:cs="宋体"/>
                <w:sz w:val="24"/>
                <w:highlight w:val="none"/>
                <w:lang w:val="zh-CN"/>
              </w:rPr>
              <w:t>分。内容不详尽或不能满足采购需求的</w:t>
            </w:r>
            <w:r>
              <w:rPr>
                <w:rFonts w:hint="eastAsia" w:ascii="宋体" w:hAnsi="宋体" w:cs="宋体"/>
                <w:sz w:val="24"/>
                <w:highlight w:val="none"/>
                <w:lang w:val="en-US" w:eastAsia="zh-CN"/>
              </w:rPr>
              <w:t>每项得</w:t>
            </w:r>
            <w:r>
              <w:rPr>
                <w:rFonts w:hint="eastAsia" w:ascii="宋体" w:hAnsi="宋体" w:eastAsia="宋体" w:cs="宋体"/>
                <w:sz w:val="24"/>
                <w:highlight w:val="none"/>
                <w:lang w:val="zh-CN"/>
              </w:rPr>
              <w:t>1分。</w:t>
            </w:r>
          </w:p>
        </w:tc>
        <w:tc>
          <w:tcPr>
            <w:tcW w:w="648" w:type="dxa"/>
            <w:tcBorders>
              <w:bottom w:val="single" w:color="000000" w:sz="2" w:space="0"/>
            </w:tcBorders>
            <w:vAlign w:val="top"/>
          </w:tcPr>
          <w:p>
            <w:pPr>
              <w:ind w:left="239" w:leftChars="114" w:firstLine="0" w:firstLineChars="0"/>
              <w:rPr>
                <w:rFonts w:hint="eastAsia" w:ascii="宋体" w:hAnsi="宋体" w:cs="宋体"/>
                <w:color w:val="000000"/>
                <w:spacing w:val="-14"/>
                <w:kern w:val="0"/>
                <w:sz w:val="24"/>
                <w:szCs w:val="24"/>
                <w:lang w:val="en-US" w:eastAsia="zh-CN" w:bidi="ar-SA"/>
              </w:rPr>
            </w:pPr>
          </w:p>
          <w:p>
            <w:pPr>
              <w:ind w:left="239" w:leftChars="114" w:firstLine="0" w:firstLineChars="0"/>
              <w:rPr>
                <w:rFonts w:hint="eastAsia" w:ascii="宋体" w:hAnsi="宋体" w:cs="宋体"/>
                <w:color w:val="000000"/>
                <w:spacing w:val="-14"/>
                <w:kern w:val="0"/>
                <w:sz w:val="24"/>
                <w:szCs w:val="24"/>
                <w:lang w:val="en-US" w:eastAsia="zh-CN" w:bidi="ar-SA"/>
              </w:rPr>
            </w:pPr>
          </w:p>
          <w:p>
            <w:pPr>
              <w:ind w:left="239" w:leftChars="114" w:firstLine="0" w:firstLineChars="0"/>
              <w:rPr>
                <w:rFonts w:hint="eastAsia" w:ascii="宋体" w:hAnsi="宋体" w:cs="宋体"/>
                <w:color w:val="000000"/>
                <w:spacing w:val="-14"/>
                <w:kern w:val="0"/>
                <w:sz w:val="24"/>
                <w:szCs w:val="24"/>
                <w:lang w:val="en-US" w:eastAsia="zh-CN" w:bidi="ar-SA"/>
              </w:rPr>
            </w:pPr>
          </w:p>
          <w:p>
            <w:pPr>
              <w:ind w:left="239" w:leftChars="114" w:firstLine="0" w:firstLineChars="0"/>
              <w:rPr>
                <w:rFonts w:hint="default" w:ascii="宋体" w:hAnsi="宋体" w:eastAsia="宋体" w:cs="宋体"/>
                <w:color w:val="000000"/>
                <w:spacing w:val="-14"/>
                <w:kern w:val="0"/>
                <w:sz w:val="24"/>
                <w:szCs w:val="24"/>
                <w:lang w:val="en-US" w:eastAsia="zh-CN" w:bidi="ar-SA"/>
              </w:rPr>
            </w:pPr>
            <w:r>
              <w:rPr>
                <w:rFonts w:hint="eastAsia" w:ascii="宋体" w:hAnsi="宋体" w:cs="宋体"/>
                <w:color w:val="000000"/>
                <w:spacing w:val="-14"/>
                <w:kern w:val="0"/>
                <w:sz w:val="24"/>
                <w:szCs w:val="24"/>
                <w:lang w:val="en-US" w:eastAsia="zh-CN" w:bidi="ar-SA"/>
              </w:rPr>
              <w:t>12</w:t>
            </w:r>
            <w:r>
              <w:rPr>
                <w:rFonts w:hint="eastAsia" w:ascii="宋体" w:hAnsi="宋体" w:cs="宋体"/>
                <w:color w:val="000000"/>
                <w:spacing w:val="-14"/>
                <w:kern w:val="0"/>
                <w:sz w:val="24"/>
                <w:szCs w:val="24"/>
                <w:lang w:val="en-US" w:eastAsia="zh-CN" w:bidi="ar-SA"/>
              </w:rPr>
              <w:br w:type="textWrapping"/>
            </w:r>
            <w:r>
              <w:rPr>
                <w:rFonts w:hint="eastAsia" w:ascii="宋体" w:hAnsi="宋体" w:cs="宋体"/>
                <w:color w:val="000000"/>
                <w:spacing w:val="-14"/>
                <w:kern w:val="0"/>
                <w:sz w:val="24"/>
                <w:szCs w:val="24"/>
                <w:lang w:val="en-US" w:eastAsia="zh-CN" w:bidi="ar-SA"/>
              </w:rPr>
              <w:t>分</w:t>
            </w:r>
          </w:p>
        </w:tc>
      </w:tr>
    </w:tbl>
    <w:p>
      <w:pPr>
        <w:rPr>
          <w:rFonts w:ascii="宋体" w:cs="宋体"/>
          <w:w w:val="90"/>
          <w:highlight w:val="none"/>
        </w:rPr>
      </w:pPr>
      <w:r>
        <w:rPr>
          <w:rFonts w:ascii="宋体" w:cs="宋体"/>
          <w:w w:val="90"/>
          <w:highlight w:val="none"/>
        </w:rPr>
        <w:br w:type="page"/>
      </w:r>
    </w:p>
    <w:p>
      <w:pPr>
        <w:rPr>
          <w:rFonts w:ascii="宋体" w:cs="宋体"/>
          <w:w w:val="90"/>
          <w:highlight w:val="none"/>
        </w:rPr>
      </w:pPr>
    </w:p>
    <w:p>
      <w:pPr>
        <w:rPr>
          <w:rFonts w:ascii="宋体" w:cs="宋体"/>
          <w:w w:val="90"/>
          <w:sz w:val="36"/>
          <w:highlight w:val="none"/>
        </w:rPr>
      </w:pPr>
      <w:bookmarkStart w:id="67" w:name="_Toc14776845"/>
    </w:p>
    <w:p>
      <w:pPr>
        <w:rPr>
          <w:rFonts w:ascii="宋体" w:cs="宋体"/>
          <w:w w:val="90"/>
          <w:sz w:val="36"/>
          <w:highlight w:val="none"/>
        </w:rPr>
      </w:pPr>
    </w:p>
    <w:p>
      <w:pPr>
        <w:pStyle w:val="20"/>
        <w:rPr>
          <w:highlight w:val="none"/>
        </w:rPr>
      </w:pPr>
    </w:p>
    <w:p>
      <w:pPr>
        <w:pStyle w:val="20"/>
        <w:rPr>
          <w:highlight w:val="none"/>
        </w:rPr>
      </w:pPr>
    </w:p>
    <w:p>
      <w:pPr>
        <w:pStyle w:val="20"/>
        <w:rPr>
          <w:highlight w:val="none"/>
        </w:rPr>
      </w:pPr>
    </w:p>
    <w:p>
      <w:pPr>
        <w:pStyle w:val="20"/>
        <w:rPr>
          <w:highlight w:val="none"/>
        </w:rPr>
      </w:pPr>
    </w:p>
    <w:p>
      <w:pPr>
        <w:rPr>
          <w:highlight w:val="none"/>
        </w:rPr>
      </w:pPr>
    </w:p>
    <w:p>
      <w:pPr>
        <w:rPr>
          <w:highlight w:val="none"/>
        </w:rPr>
      </w:pPr>
    </w:p>
    <w:p>
      <w:pPr>
        <w:rPr>
          <w:rFonts w:ascii="宋体" w:cs="宋体"/>
          <w:w w:val="90"/>
          <w:sz w:val="36"/>
          <w:highlight w:val="none"/>
        </w:rPr>
      </w:pPr>
    </w:p>
    <w:p>
      <w:pPr>
        <w:pStyle w:val="2"/>
        <w:spacing w:line="360" w:lineRule="auto"/>
        <w:jc w:val="center"/>
        <w:rPr>
          <w:rFonts w:ascii="宋体" w:cs="宋体"/>
          <w:w w:val="90"/>
          <w:highlight w:val="none"/>
        </w:rPr>
      </w:pPr>
      <w:bookmarkStart w:id="68" w:name="_Toc44705056"/>
      <w:bookmarkStart w:id="69" w:name="_Toc7569"/>
      <w:bookmarkStart w:id="70" w:name="_Toc44704909"/>
      <w:r>
        <w:rPr>
          <w:rFonts w:hint="eastAsia" w:ascii="宋体" w:hAnsi="宋体" w:cs="宋体"/>
          <w:w w:val="90"/>
          <w:highlight w:val="none"/>
        </w:rPr>
        <w:t>第七章</w:t>
      </w:r>
      <w:r>
        <w:rPr>
          <w:rFonts w:ascii="宋体" w:hAnsi="宋体" w:cs="宋体"/>
          <w:w w:val="90"/>
          <w:highlight w:val="none"/>
        </w:rPr>
        <w:t xml:space="preserve"> </w:t>
      </w:r>
      <w:r>
        <w:rPr>
          <w:rFonts w:hint="eastAsia" w:ascii="宋体" w:hAnsi="宋体" w:cs="宋体"/>
          <w:w w:val="90"/>
          <w:highlight w:val="none"/>
        </w:rPr>
        <w:t>投标文件格式</w:t>
      </w:r>
      <w:bookmarkEnd w:id="66"/>
      <w:bookmarkEnd w:id="67"/>
      <w:bookmarkEnd w:id="68"/>
      <w:bookmarkEnd w:id="69"/>
      <w:bookmarkEnd w:id="70"/>
    </w:p>
    <w:p>
      <w:pPr>
        <w:widowControl/>
        <w:jc w:val="left"/>
        <w:rPr>
          <w:rFonts w:ascii="宋体"/>
          <w:kern w:val="0"/>
          <w:sz w:val="36"/>
          <w:szCs w:val="36"/>
          <w:highlight w:val="none"/>
          <w:lang w:val="zh-CN"/>
        </w:rPr>
      </w:pPr>
      <w:bookmarkStart w:id="71" w:name="_Toc14776846"/>
      <w:bookmarkStart w:id="72" w:name="_Toc2355254"/>
      <w:bookmarkStart w:id="73" w:name="_Toc2511996"/>
      <w:bookmarkStart w:id="74" w:name="_Toc497167403"/>
      <w:r>
        <w:rPr>
          <w:sz w:val="36"/>
          <w:szCs w:val="36"/>
          <w:highlight w:val="none"/>
        </w:rPr>
        <w:br w:type="page"/>
      </w:r>
    </w:p>
    <w:p>
      <w:pPr>
        <w:pStyle w:val="216"/>
        <w:ind w:firstLine="0" w:firstLineChars="0"/>
        <w:jc w:val="center"/>
        <w:rPr>
          <w:sz w:val="36"/>
          <w:szCs w:val="36"/>
          <w:highlight w:val="none"/>
        </w:rPr>
      </w:pPr>
    </w:p>
    <w:p>
      <w:pPr>
        <w:pStyle w:val="216"/>
        <w:ind w:firstLine="0" w:firstLineChars="0"/>
        <w:jc w:val="center"/>
        <w:rPr>
          <w:sz w:val="36"/>
          <w:szCs w:val="36"/>
          <w:highlight w:val="none"/>
        </w:rPr>
      </w:pPr>
    </w:p>
    <w:p>
      <w:pPr>
        <w:pStyle w:val="216"/>
        <w:ind w:firstLine="0" w:firstLineChars="0"/>
        <w:jc w:val="center"/>
        <w:rPr>
          <w:sz w:val="36"/>
          <w:szCs w:val="36"/>
          <w:highlight w:val="none"/>
        </w:rPr>
      </w:pPr>
    </w:p>
    <w:p>
      <w:pPr>
        <w:pStyle w:val="216"/>
        <w:ind w:firstLine="0" w:firstLineChars="0"/>
        <w:jc w:val="center"/>
        <w:rPr>
          <w:sz w:val="36"/>
          <w:szCs w:val="36"/>
          <w:highlight w:val="none"/>
        </w:rPr>
      </w:pPr>
    </w:p>
    <w:p>
      <w:pPr>
        <w:pStyle w:val="216"/>
        <w:ind w:firstLine="0" w:firstLineChars="0"/>
        <w:jc w:val="center"/>
        <w:rPr>
          <w:sz w:val="36"/>
          <w:szCs w:val="36"/>
          <w:highlight w:val="none"/>
        </w:rPr>
      </w:pPr>
    </w:p>
    <w:p>
      <w:pPr>
        <w:pStyle w:val="216"/>
        <w:ind w:firstLine="0" w:firstLineChars="0"/>
        <w:jc w:val="center"/>
        <w:rPr>
          <w:sz w:val="36"/>
          <w:szCs w:val="36"/>
          <w:highlight w:val="none"/>
        </w:rPr>
      </w:pPr>
    </w:p>
    <w:p>
      <w:pPr>
        <w:pStyle w:val="3"/>
        <w:jc w:val="center"/>
        <w:rPr>
          <w:rFonts w:ascii="宋体" w:hAnsi="宋体" w:eastAsia="宋体"/>
          <w:sz w:val="36"/>
          <w:szCs w:val="36"/>
          <w:highlight w:val="none"/>
        </w:rPr>
      </w:pPr>
      <w:bookmarkStart w:id="75" w:name="_Toc44705278"/>
      <w:bookmarkStart w:id="76" w:name="_Toc15617"/>
      <w:bookmarkStart w:id="77" w:name="_Toc21013"/>
      <w:bookmarkStart w:id="78" w:name="_Toc44704910"/>
      <w:bookmarkStart w:id="79" w:name="_Toc44705057"/>
      <w:r>
        <w:rPr>
          <w:rFonts w:hint="eastAsia" w:ascii="宋体" w:hAnsi="宋体" w:eastAsia="宋体"/>
          <w:sz w:val="36"/>
          <w:szCs w:val="36"/>
          <w:highlight w:val="none"/>
        </w:rPr>
        <w:t>投标文件</w:t>
      </w:r>
      <w:r>
        <w:rPr>
          <w:rFonts w:ascii="宋体" w:hAnsi="宋体" w:eastAsia="宋体"/>
          <w:sz w:val="36"/>
          <w:szCs w:val="36"/>
          <w:highlight w:val="none"/>
        </w:rPr>
        <w:t>-</w:t>
      </w:r>
      <w:r>
        <w:rPr>
          <w:rFonts w:hint="eastAsia" w:ascii="宋体" w:hAnsi="宋体" w:eastAsia="宋体"/>
          <w:sz w:val="36"/>
          <w:szCs w:val="36"/>
          <w:highlight w:val="none"/>
        </w:rPr>
        <w:t>资格证明文件</w:t>
      </w:r>
      <w:bookmarkEnd w:id="71"/>
      <w:bookmarkEnd w:id="72"/>
      <w:bookmarkEnd w:id="73"/>
      <w:bookmarkEnd w:id="75"/>
      <w:bookmarkEnd w:id="76"/>
      <w:bookmarkEnd w:id="77"/>
      <w:bookmarkStart w:id="80" w:name="_Toc2355255"/>
      <w:bookmarkStart w:id="81" w:name="_Toc2511997"/>
    </w:p>
    <w:bookmarkEnd w:id="74"/>
    <w:bookmarkEnd w:id="78"/>
    <w:bookmarkEnd w:id="79"/>
    <w:bookmarkEnd w:id="80"/>
    <w:bookmarkEnd w:id="81"/>
    <w:p>
      <w:pPr>
        <w:jc w:val="center"/>
        <w:rPr>
          <w:sz w:val="32"/>
          <w:highlight w:val="none"/>
        </w:rPr>
      </w:pPr>
    </w:p>
    <w:p>
      <w:pPr>
        <w:widowControl/>
        <w:spacing w:line="360" w:lineRule="auto"/>
        <w:jc w:val="left"/>
        <w:rPr>
          <w:rFonts w:ascii="宋体" w:cs="宋体"/>
          <w:b/>
          <w:sz w:val="36"/>
          <w:szCs w:val="44"/>
          <w:highlight w:val="none"/>
        </w:rPr>
      </w:pPr>
      <w:r>
        <w:rPr>
          <w:rFonts w:ascii="宋体" w:cs="宋体"/>
          <w:highlight w:val="none"/>
        </w:rPr>
        <w:br w:type="page"/>
      </w:r>
    </w:p>
    <w:p>
      <w:pPr>
        <w:spacing w:line="360" w:lineRule="auto"/>
        <w:rPr>
          <w:rFonts w:ascii="宋体" w:hAnsi="宋体" w:cs="宋体"/>
          <w:b/>
          <w:szCs w:val="21"/>
          <w:highlight w:val="none"/>
        </w:rPr>
      </w:pPr>
      <w:r>
        <w:rPr>
          <w:rFonts w:hint="eastAsia" w:ascii="宋体" w:hAnsi="宋体" w:cs="宋体"/>
          <w:b/>
          <w:szCs w:val="21"/>
          <w:highlight w:val="none"/>
        </w:rPr>
        <w:t>资格证明文件隔页纸格式</w:t>
      </w:r>
    </w:p>
    <w:p>
      <w:pPr>
        <w:pStyle w:val="20"/>
        <w:rPr>
          <w:highlight w:val="none"/>
        </w:rPr>
      </w:pPr>
    </w:p>
    <w:p>
      <w:pPr>
        <w:spacing w:line="360" w:lineRule="auto"/>
        <w:jc w:val="center"/>
        <w:rPr>
          <w:rFonts w:ascii="宋体" w:cs="宋体"/>
          <w:b/>
          <w:sz w:val="96"/>
          <w:highlight w:val="none"/>
        </w:rPr>
      </w:pPr>
    </w:p>
    <w:p>
      <w:pPr>
        <w:spacing w:line="360" w:lineRule="auto"/>
        <w:jc w:val="center"/>
        <w:rPr>
          <w:rFonts w:ascii="宋体" w:cs="宋体"/>
          <w:b/>
          <w:sz w:val="80"/>
          <w:szCs w:val="80"/>
          <w:highlight w:val="none"/>
        </w:rPr>
      </w:pPr>
      <w:r>
        <w:rPr>
          <w:rFonts w:hint="eastAsia" w:ascii="宋体" w:hAnsi="宋体" w:cs="宋体"/>
          <w:b/>
          <w:sz w:val="80"/>
          <w:szCs w:val="80"/>
          <w:highlight w:val="none"/>
        </w:rPr>
        <w:t>（项目名称）</w:t>
      </w:r>
    </w:p>
    <w:p>
      <w:pPr>
        <w:spacing w:line="360" w:lineRule="auto"/>
        <w:jc w:val="center"/>
        <w:rPr>
          <w:rFonts w:ascii="宋体" w:cs="宋体"/>
          <w:b/>
          <w:sz w:val="80"/>
          <w:szCs w:val="80"/>
          <w:highlight w:val="none"/>
        </w:rPr>
      </w:pPr>
    </w:p>
    <w:p>
      <w:pPr>
        <w:spacing w:line="360" w:lineRule="auto"/>
        <w:jc w:val="center"/>
        <w:rPr>
          <w:rFonts w:ascii="宋体" w:cs="宋体"/>
          <w:b/>
          <w:sz w:val="80"/>
          <w:szCs w:val="80"/>
          <w:highlight w:val="none"/>
        </w:rPr>
      </w:pPr>
      <w:r>
        <w:rPr>
          <w:rFonts w:hint="eastAsia" w:ascii="宋体" w:hAnsi="宋体" w:cs="宋体"/>
          <w:b/>
          <w:sz w:val="80"/>
          <w:szCs w:val="80"/>
          <w:highlight w:val="none"/>
        </w:rPr>
        <w:t>投标文件</w:t>
      </w:r>
      <w:r>
        <w:rPr>
          <w:rFonts w:ascii="宋体" w:cs="宋体"/>
          <w:b/>
          <w:sz w:val="80"/>
          <w:szCs w:val="80"/>
          <w:highlight w:val="none"/>
        </w:rPr>
        <w:t>-</w:t>
      </w:r>
      <w:r>
        <w:rPr>
          <w:rFonts w:hint="eastAsia" w:ascii="宋体" w:hAnsi="宋体" w:cs="宋体"/>
          <w:b/>
          <w:sz w:val="80"/>
          <w:szCs w:val="80"/>
          <w:highlight w:val="none"/>
        </w:rPr>
        <w:t>资格证明材料</w:t>
      </w:r>
    </w:p>
    <w:p>
      <w:pPr>
        <w:spacing w:line="360" w:lineRule="auto"/>
        <w:rPr>
          <w:rFonts w:ascii="宋体" w:cs="宋体"/>
          <w:b/>
          <w:highlight w:val="none"/>
        </w:rPr>
      </w:pPr>
    </w:p>
    <w:p>
      <w:pPr>
        <w:spacing w:line="360" w:lineRule="auto"/>
        <w:rPr>
          <w:rFonts w:ascii="宋体" w:cs="宋体"/>
          <w:b/>
          <w:highlight w:val="none"/>
        </w:rPr>
      </w:pPr>
    </w:p>
    <w:p>
      <w:pPr>
        <w:spacing w:line="360" w:lineRule="auto"/>
        <w:jc w:val="center"/>
        <w:rPr>
          <w:rFonts w:ascii="宋体" w:cs="宋体"/>
          <w:b/>
          <w:highlight w:val="none"/>
        </w:rPr>
      </w:pPr>
    </w:p>
    <w:p>
      <w:pPr>
        <w:spacing w:line="360" w:lineRule="auto"/>
        <w:rPr>
          <w:rFonts w:ascii="宋体" w:cs="宋体"/>
          <w:b/>
          <w:highlight w:val="none"/>
        </w:rPr>
      </w:pPr>
    </w:p>
    <w:p>
      <w:pPr>
        <w:spacing w:line="360" w:lineRule="auto"/>
        <w:jc w:val="center"/>
        <w:rPr>
          <w:rFonts w:ascii="宋体" w:cs="宋体"/>
          <w:b/>
          <w:highlight w:val="none"/>
        </w:rPr>
      </w:pPr>
    </w:p>
    <w:p>
      <w:pPr>
        <w:spacing w:line="360" w:lineRule="auto"/>
        <w:jc w:val="center"/>
        <w:rPr>
          <w:rFonts w:ascii="宋体" w:cs="宋体"/>
          <w:b/>
          <w:highlight w:val="none"/>
        </w:rPr>
      </w:pPr>
    </w:p>
    <w:p>
      <w:pPr>
        <w:spacing w:line="360" w:lineRule="auto"/>
        <w:rPr>
          <w:rFonts w:ascii="宋体" w:cs="宋体"/>
          <w:b/>
          <w:sz w:val="36"/>
          <w:szCs w:val="36"/>
          <w:highlight w:val="none"/>
        </w:rPr>
      </w:pPr>
      <w:r>
        <w:rPr>
          <w:rFonts w:hint="eastAsia" w:ascii="宋体" w:hAnsi="宋体" w:cs="宋体"/>
          <w:b/>
          <w:sz w:val="36"/>
          <w:szCs w:val="36"/>
          <w:highlight w:val="none"/>
        </w:rPr>
        <w:t>招标编号：</w:t>
      </w:r>
    </w:p>
    <w:p>
      <w:pPr>
        <w:spacing w:line="360" w:lineRule="auto"/>
        <w:ind w:left="2992" w:hanging="2631"/>
        <w:rPr>
          <w:rFonts w:ascii="宋体" w:cs="宋体"/>
          <w:b/>
          <w:sz w:val="36"/>
          <w:szCs w:val="36"/>
          <w:highlight w:val="none"/>
        </w:rPr>
      </w:pPr>
    </w:p>
    <w:p>
      <w:pPr>
        <w:spacing w:line="360" w:lineRule="auto"/>
        <w:rPr>
          <w:rFonts w:ascii="宋体" w:cs="宋体"/>
          <w:b/>
          <w:sz w:val="36"/>
          <w:szCs w:val="36"/>
          <w:highlight w:val="none"/>
          <w:u w:val="single"/>
        </w:rPr>
      </w:pPr>
      <w:r>
        <w:rPr>
          <w:rFonts w:hint="eastAsia" w:ascii="宋体" w:hAnsi="宋体" w:cs="宋体"/>
          <w:b/>
          <w:sz w:val="36"/>
          <w:szCs w:val="36"/>
          <w:highlight w:val="none"/>
        </w:rPr>
        <w:t>投标人名称：</w:t>
      </w:r>
      <w:r>
        <w:rPr>
          <w:rFonts w:ascii="宋体" w:hAnsi="宋体" w:cs="宋体"/>
          <w:b/>
          <w:sz w:val="36"/>
          <w:szCs w:val="36"/>
          <w:highlight w:val="none"/>
        </w:rPr>
        <w:t xml:space="preserve"> </w:t>
      </w:r>
      <w:r>
        <w:rPr>
          <w:rFonts w:ascii="宋体" w:hAnsi="宋体" w:cs="宋体"/>
          <w:b/>
          <w:sz w:val="36"/>
          <w:szCs w:val="36"/>
          <w:highlight w:val="none"/>
          <w:u w:val="single"/>
        </w:rPr>
        <w:t xml:space="preserve">                </w:t>
      </w:r>
      <w:r>
        <w:rPr>
          <w:rFonts w:hint="eastAsia" w:ascii="宋体" w:hAnsi="宋体" w:cs="宋体"/>
          <w:b/>
          <w:sz w:val="36"/>
          <w:szCs w:val="36"/>
          <w:highlight w:val="none"/>
          <w:u w:val="single"/>
        </w:rPr>
        <w:t>（盖公章）</w:t>
      </w:r>
    </w:p>
    <w:p>
      <w:pPr>
        <w:spacing w:line="360" w:lineRule="auto"/>
        <w:rPr>
          <w:rFonts w:ascii="宋体" w:cs="宋体"/>
          <w:b/>
          <w:sz w:val="36"/>
          <w:szCs w:val="36"/>
          <w:highlight w:val="none"/>
        </w:rPr>
      </w:pPr>
    </w:p>
    <w:p>
      <w:pPr>
        <w:spacing w:line="360" w:lineRule="auto"/>
        <w:jc w:val="center"/>
        <w:rPr>
          <w:rFonts w:ascii="宋体" w:cs="宋体"/>
          <w:b/>
          <w:sz w:val="36"/>
          <w:szCs w:val="36"/>
          <w:highlight w:val="none"/>
        </w:rPr>
      </w:pPr>
      <w:r>
        <w:rPr>
          <w:rFonts w:ascii="宋体" w:hAnsi="宋体" w:cs="宋体"/>
          <w:b/>
          <w:sz w:val="36"/>
          <w:szCs w:val="36"/>
          <w:highlight w:val="none"/>
        </w:rPr>
        <w:t xml:space="preserve"> </w:t>
      </w:r>
      <w:r>
        <w:rPr>
          <w:rFonts w:hint="eastAsia" w:ascii="宋体" w:hAnsi="宋体" w:cs="宋体"/>
          <w:b/>
          <w:sz w:val="36"/>
          <w:szCs w:val="36"/>
          <w:highlight w:val="none"/>
        </w:rPr>
        <w:t>年</w:t>
      </w:r>
      <w:r>
        <w:rPr>
          <w:rFonts w:ascii="宋体" w:hAnsi="宋体" w:cs="宋体"/>
          <w:b/>
          <w:sz w:val="36"/>
          <w:szCs w:val="36"/>
          <w:highlight w:val="none"/>
        </w:rPr>
        <w:t xml:space="preserve">  </w:t>
      </w:r>
      <w:r>
        <w:rPr>
          <w:rFonts w:hint="eastAsia" w:ascii="宋体" w:hAnsi="宋体" w:cs="宋体"/>
          <w:b/>
          <w:sz w:val="36"/>
          <w:szCs w:val="36"/>
          <w:highlight w:val="none"/>
        </w:rPr>
        <w:t>月</w:t>
      </w:r>
      <w:r>
        <w:rPr>
          <w:rFonts w:ascii="宋体" w:hAnsi="宋体" w:cs="宋体"/>
          <w:b/>
          <w:sz w:val="36"/>
          <w:szCs w:val="36"/>
          <w:highlight w:val="none"/>
        </w:rPr>
        <w:t xml:space="preserve">  </w:t>
      </w:r>
      <w:r>
        <w:rPr>
          <w:rFonts w:hint="eastAsia" w:ascii="宋体" w:hAnsi="宋体" w:cs="宋体"/>
          <w:b/>
          <w:sz w:val="36"/>
          <w:szCs w:val="36"/>
          <w:highlight w:val="none"/>
        </w:rPr>
        <w:t>日</w:t>
      </w:r>
    </w:p>
    <w:p>
      <w:pPr>
        <w:widowControl/>
        <w:spacing w:line="360" w:lineRule="auto"/>
        <w:jc w:val="left"/>
        <w:rPr>
          <w:rFonts w:ascii="宋体" w:cs="宋体"/>
          <w:b/>
          <w:sz w:val="36"/>
          <w:szCs w:val="36"/>
          <w:highlight w:val="none"/>
        </w:rPr>
      </w:pPr>
      <w:r>
        <w:rPr>
          <w:rFonts w:ascii="宋体" w:cs="宋体"/>
          <w:b/>
          <w:sz w:val="36"/>
          <w:szCs w:val="36"/>
          <w:highlight w:val="none"/>
        </w:rPr>
        <w:br w:type="page"/>
      </w:r>
    </w:p>
    <w:p>
      <w:pPr>
        <w:pStyle w:val="3"/>
        <w:rPr>
          <w:rFonts w:ascii="宋体" w:hAnsi="宋体" w:eastAsia="宋体" w:cs="宋体"/>
          <w:sz w:val="24"/>
          <w:szCs w:val="24"/>
          <w:highlight w:val="none"/>
        </w:rPr>
      </w:pPr>
      <w:bookmarkStart w:id="82" w:name="_Toc44705058"/>
      <w:bookmarkStart w:id="83" w:name="_Toc44704911"/>
      <w:bookmarkStart w:id="84" w:name="_Toc6053"/>
      <w:bookmarkStart w:id="85" w:name="_Toc44705279"/>
      <w:bookmarkStart w:id="86" w:name="_Toc21669"/>
      <w:r>
        <w:rPr>
          <w:rFonts w:hint="eastAsia" w:ascii="宋体" w:hAnsi="宋体" w:eastAsia="宋体" w:cs="宋体"/>
          <w:sz w:val="36"/>
          <w:szCs w:val="24"/>
          <w:highlight w:val="none"/>
        </w:rPr>
        <w:t>资格证明材料内容及格式</w:t>
      </w:r>
      <w:bookmarkEnd w:id="82"/>
      <w:bookmarkEnd w:id="83"/>
      <w:bookmarkEnd w:id="84"/>
      <w:bookmarkEnd w:id="85"/>
      <w:bookmarkEnd w:id="86"/>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一、目录</w:t>
      </w:r>
    </w:p>
    <w:p>
      <w:pPr>
        <w:tabs>
          <w:tab w:val="left" w:pos="720"/>
        </w:tabs>
        <w:autoSpaceDE w:val="0"/>
        <w:autoSpaceDN w:val="0"/>
        <w:adjustRightInd w:val="0"/>
        <w:spacing w:line="360" w:lineRule="auto"/>
        <w:ind w:right="17"/>
        <w:jc w:val="left"/>
        <w:rPr>
          <w:rFonts w:ascii="宋体" w:cs="宋体"/>
          <w:kern w:val="0"/>
          <w:sz w:val="24"/>
          <w:szCs w:val="24"/>
          <w:highlight w:val="none"/>
          <w:lang w:val="zh-CN"/>
        </w:rPr>
      </w:pPr>
      <w:r>
        <w:rPr>
          <w:rFonts w:ascii="宋体" w:hAnsi="宋体" w:cs="宋体"/>
          <w:color w:val="000000"/>
          <w:sz w:val="24"/>
          <w:szCs w:val="24"/>
          <w:highlight w:val="none"/>
        </w:rPr>
        <w:t>1</w:t>
      </w:r>
      <w:r>
        <w:rPr>
          <w:rFonts w:ascii="宋体" w:hAnsi="宋体" w:cs="宋体"/>
          <w:kern w:val="0"/>
          <w:sz w:val="24"/>
          <w:szCs w:val="24"/>
          <w:highlight w:val="none"/>
          <w:lang w:val="zh-CN"/>
        </w:rPr>
        <w:t>.1</w:t>
      </w:r>
      <w:r>
        <w:rPr>
          <w:rFonts w:hint="eastAsia" w:ascii="宋体" w:hAnsi="宋体" w:cs="宋体"/>
          <w:kern w:val="0"/>
          <w:sz w:val="24"/>
          <w:szCs w:val="24"/>
          <w:highlight w:val="none"/>
          <w:lang w:val="zh-CN"/>
        </w:rPr>
        <w:t>具有独立承担民事责任的能力；</w:t>
      </w:r>
    </w:p>
    <w:p>
      <w:pPr>
        <w:tabs>
          <w:tab w:val="left" w:pos="720"/>
        </w:tabs>
        <w:autoSpaceDE w:val="0"/>
        <w:autoSpaceDN w:val="0"/>
        <w:adjustRightInd w:val="0"/>
        <w:spacing w:line="360" w:lineRule="auto"/>
        <w:ind w:right="17"/>
        <w:jc w:val="left"/>
        <w:rPr>
          <w:rFonts w:ascii="宋体" w:cs="宋体"/>
          <w:color w:val="000000"/>
          <w:kern w:val="0"/>
          <w:sz w:val="24"/>
          <w:szCs w:val="24"/>
          <w:highlight w:val="none"/>
          <w:lang w:val="zh-CN"/>
        </w:rPr>
      </w:pPr>
      <w:r>
        <w:rPr>
          <w:rFonts w:ascii="宋体" w:hAnsi="宋体" w:cs="宋体"/>
          <w:color w:val="000000"/>
          <w:sz w:val="24"/>
          <w:szCs w:val="24"/>
          <w:highlight w:val="none"/>
        </w:rPr>
        <w:t>1.2</w:t>
      </w:r>
      <w:r>
        <w:rPr>
          <w:rFonts w:hint="eastAsia" w:ascii="宋体" w:hAnsi="宋体" w:cs="宋体"/>
          <w:kern w:val="0"/>
          <w:sz w:val="24"/>
          <w:szCs w:val="24"/>
          <w:highlight w:val="none"/>
          <w:lang w:val="zh-CN"/>
        </w:rPr>
        <w:t>具有良好的商业信誉和健全的财务会计制度</w:t>
      </w:r>
      <w:r>
        <w:rPr>
          <w:rFonts w:hint="eastAsia" w:ascii="宋体" w:hAnsi="宋体" w:cs="宋体"/>
          <w:color w:val="000000"/>
          <w:sz w:val="24"/>
          <w:szCs w:val="24"/>
          <w:highlight w:val="none"/>
        </w:rPr>
        <w:t>；</w:t>
      </w:r>
    </w:p>
    <w:p>
      <w:pPr>
        <w:spacing w:line="360" w:lineRule="auto"/>
        <w:rPr>
          <w:rFonts w:ascii="宋体" w:cs="宋体"/>
          <w:color w:val="000000"/>
          <w:sz w:val="24"/>
          <w:szCs w:val="24"/>
          <w:highlight w:val="none"/>
        </w:rPr>
      </w:pPr>
      <w:r>
        <w:rPr>
          <w:rFonts w:ascii="宋体" w:hAnsi="宋体" w:cs="宋体"/>
          <w:color w:val="000000"/>
          <w:sz w:val="24"/>
          <w:szCs w:val="24"/>
          <w:highlight w:val="none"/>
        </w:rPr>
        <w:t>1.3</w:t>
      </w:r>
      <w:r>
        <w:rPr>
          <w:rFonts w:hint="eastAsia" w:ascii="宋体" w:hAnsi="宋体" w:cs="宋体"/>
          <w:color w:val="000000"/>
          <w:sz w:val="24"/>
          <w:szCs w:val="24"/>
          <w:highlight w:val="none"/>
        </w:rPr>
        <w:t>具有履行合同所必需的设备和专业技术能力；</w:t>
      </w:r>
    </w:p>
    <w:p>
      <w:pPr>
        <w:spacing w:line="360" w:lineRule="auto"/>
        <w:rPr>
          <w:rFonts w:ascii="宋体" w:cs="宋体"/>
          <w:color w:val="000000"/>
          <w:sz w:val="24"/>
          <w:szCs w:val="24"/>
          <w:highlight w:val="none"/>
        </w:rPr>
      </w:pPr>
      <w:r>
        <w:rPr>
          <w:rFonts w:ascii="宋体" w:hAnsi="宋体" w:cs="宋体"/>
          <w:color w:val="000000"/>
          <w:sz w:val="24"/>
          <w:szCs w:val="24"/>
          <w:highlight w:val="none"/>
        </w:rPr>
        <w:t>1.4</w:t>
      </w:r>
      <w:r>
        <w:rPr>
          <w:rFonts w:hint="eastAsia" w:ascii="宋体" w:hAnsi="宋体" w:cs="宋体"/>
          <w:color w:val="000000"/>
          <w:kern w:val="0"/>
          <w:sz w:val="24"/>
          <w:szCs w:val="24"/>
          <w:highlight w:val="none"/>
          <w:lang w:val="zh-CN"/>
        </w:rPr>
        <w:t>有依法缴纳税收和社会保障资金的良好记录；</w:t>
      </w:r>
    </w:p>
    <w:p>
      <w:pPr>
        <w:spacing w:line="360" w:lineRule="auto"/>
        <w:rPr>
          <w:rFonts w:ascii="宋体" w:cs="宋体"/>
          <w:color w:val="000000"/>
          <w:sz w:val="24"/>
          <w:szCs w:val="24"/>
          <w:highlight w:val="none"/>
        </w:rPr>
      </w:pPr>
      <w:r>
        <w:rPr>
          <w:rFonts w:ascii="宋体" w:hAnsi="宋体" w:cs="宋体"/>
          <w:color w:val="000000"/>
          <w:sz w:val="24"/>
          <w:szCs w:val="24"/>
          <w:highlight w:val="none"/>
        </w:rPr>
        <w:t>1.5</w:t>
      </w:r>
      <w:r>
        <w:rPr>
          <w:rFonts w:hint="eastAsia" w:ascii="宋体" w:hAnsi="宋体" w:cs="宋体"/>
          <w:color w:val="000000"/>
          <w:sz w:val="24"/>
          <w:szCs w:val="24"/>
          <w:highlight w:val="none"/>
        </w:rPr>
        <w:t>参加政府采购活动前三年内，在经营活动中没有重大违法记录；</w:t>
      </w:r>
    </w:p>
    <w:p>
      <w:pPr>
        <w:spacing w:line="360" w:lineRule="auto"/>
        <w:rPr>
          <w:rFonts w:ascii="宋体" w:cs="宋体"/>
          <w:color w:val="000000"/>
          <w:sz w:val="24"/>
          <w:szCs w:val="24"/>
          <w:highlight w:val="none"/>
        </w:rPr>
      </w:pPr>
      <w:r>
        <w:rPr>
          <w:rFonts w:ascii="宋体" w:hAnsi="宋体" w:cs="宋体"/>
          <w:color w:val="000000"/>
          <w:sz w:val="24"/>
          <w:szCs w:val="24"/>
          <w:highlight w:val="none"/>
        </w:rPr>
        <w:t>1.</w:t>
      </w:r>
      <w:bookmarkStart w:id="87" w:name="_Hlk493437107"/>
      <w:r>
        <w:rPr>
          <w:rFonts w:ascii="宋体" w:hAnsi="宋体" w:cs="宋体"/>
          <w:color w:val="000000"/>
          <w:sz w:val="24"/>
          <w:szCs w:val="24"/>
          <w:highlight w:val="none"/>
        </w:rPr>
        <w:t>6</w:t>
      </w:r>
      <w:bookmarkEnd w:id="87"/>
      <w:r>
        <w:rPr>
          <w:rFonts w:hint="eastAsia" w:ascii="宋体" w:hAnsi="宋体" w:cs="宋体"/>
          <w:color w:val="000000"/>
          <w:sz w:val="24"/>
          <w:szCs w:val="24"/>
          <w:highlight w:val="none"/>
        </w:rPr>
        <w:t>落实政府采购政策需满足的资格要求</w:t>
      </w:r>
      <w:r>
        <w:rPr>
          <w:rFonts w:hint="eastAsia" w:ascii="宋体" w:hAnsi="宋体" w:cs="宋体"/>
          <w:bCs/>
          <w:kern w:val="0"/>
          <w:sz w:val="24"/>
          <w:szCs w:val="24"/>
          <w:highlight w:val="none"/>
        </w:rPr>
        <w:t>；</w:t>
      </w:r>
    </w:p>
    <w:p>
      <w:pPr>
        <w:spacing w:line="360" w:lineRule="auto"/>
        <w:rPr>
          <w:rFonts w:ascii="宋体" w:hAnsi="宋体" w:eastAsia="宋体" w:cs="宋体"/>
          <w:color w:val="000000"/>
          <w:sz w:val="24"/>
          <w:szCs w:val="24"/>
          <w:highlight w:val="none"/>
        </w:rPr>
      </w:pPr>
      <w:r>
        <w:rPr>
          <w:rFonts w:ascii="宋体" w:hAnsi="宋体" w:eastAsia="宋体" w:cs="宋体"/>
          <w:color w:val="000000"/>
          <w:sz w:val="24"/>
          <w:szCs w:val="24"/>
          <w:highlight w:val="none"/>
        </w:rPr>
        <w:t>1.</w:t>
      </w: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rPr>
        <w:t>投标承诺书；</w:t>
      </w:r>
    </w:p>
    <w:p>
      <w:pPr>
        <w:spacing w:line="360" w:lineRule="auto"/>
        <w:rPr>
          <w:rFonts w:hint="eastAsia" w:ascii="宋体" w:hAnsi="宋体" w:eastAsia="宋体" w:cs="宋体"/>
          <w:color w:val="000000"/>
          <w:sz w:val="24"/>
          <w:szCs w:val="24"/>
          <w:highlight w:val="none"/>
          <w:lang w:eastAsia="zh-CN"/>
        </w:rPr>
      </w:pPr>
      <w:r>
        <w:rPr>
          <w:rFonts w:ascii="宋体" w:hAnsi="宋体" w:eastAsia="宋体" w:cs="宋体"/>
          <w:color w:val="000000"/>
          <w:sz w:val="24"/>
          <w:szCs w:val="24"/>
          <w:highlight w:val="none"/>
        </w:rPr>
        <w:t>1.</w:t>
      </w: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rPr>
        <w:t>投标保证金凭证</w:t>
      </w:r>
      <w:r>
        <w:rPr>
          <w:rFonts w:hint="eastAsia" w:ascii="宋体" w:hAnsi="宋体" w:eastAsia="宋体" w:cs="宋体"/>
          <w:color w:val="000000"/>
          <w:sz w:val="24"/>
          <w:szCs w:val="24"/>
          <w:highlight w:val="none"/>
          <w:lang w:eastAsia="zh-CN"/>
        </w:rPr>
        <w:t>；</w:t>
      </w:r>
    </w:p>
    <w:p>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rPr>
        <w:t>中小企业声明函。</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二、填写须知</w:t>
      </w:r>
    </w:p>
    <w:p>
      <w:pPr>
        <w:tabs>
          <w:tab w:val="left" w:pos="0"/>
        </w:tabs>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1.以上所列资格证明材料未提供格式的，由投标人提供，需由投标人授权代表签字并加盖公章</w:t>
      </w:r>
      <w:r>
        <w:rPr>
          <w:rFonts w:hint="eastAsia" w:ascii="宋体" w:hAnsi="宋体"/>
          <w:sz w:val="24"/>
          <w:szCs w:val="24"/>
          <w:highlight w:val="none"/>
          <w:lang w:eastAsia="zh-CN"/>
        </w:rPr>
        <w:t>（</w:t>
      </w:r>
      <w:r>
        <w:rPr>
          <w:rFonts w:hint="eastAsia" w:ascii="宋体" w:hAnsi="宋体" w:cs="宋体"/>
          <w:sz w:val="24"/>
          <w:szCs w:val="24"/>
          <w:highlight w:val="none"/>
          <w:lang w:val="en-US" w:eastAsia="zh-CN"/>
        </w:rPr>
        <w:t>或电子章</w:t>
      </w:r>
      <w:r>
        <w:rPr>
          <w:rFonts w:hint="eastAsia" w:ascii="宋体" w:hAnsi="宋体"/>
          <w:sz w:val="24"/>
          <w:szCs w:val="24"/>
          <w:highlight w:val="none"/>
          <w:lang w:eastAsia="zh-CN"/>
        </w:rPr>
        <w:t>）</w:t>
      </w:r>
      <w:r>
        <w:rPr>
          <w:rFonts w:hint="eastAsia" w:ascii="宋体" w:hAnsi="宋体" w:cs="宋体"/>
          <w:color w:val="000000"/>
          <w:sz w:val="24"/>
          <w:szCs w:val="24"/>
          <w:highlight w:val="none"/>
        </w:rPr>
        <w:t>。</w:t>
      </w:r>
    </w:p>
    <w:p>
      <w:pPr>
        <w:tabs>
          <w:tab w:val="left" w:pos="0"/>
        </w:tabs>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2.以联合体形式进行政府采购的，参加联合体的</w:t>
      </w:r>
      <w:r>
        <w:rPr>
          <w:rFonts w:hint="eastAsia" w:ascii="宋体" w:hAnsi="宋体" w:cs="宋体"/>
          <w:sz w:val="24"/>
          <w:szCs w:val="24"/>
          <w:highlight w:val="none"/>
        </w:rPr>
        <w:t>投标人</w:t>
      </w:r>
      <w:r>
        <w:rPr>
          <w:rFonts w:hint="eastAsia" w:ascii="宋体" w:hAnsi="宋体" w:cs="宋体"/>
          <w:color w:val="000000"/>
          <w:sz w:val="24"/>
          <w:szCs w:val="24"/>
          <w:highlight w:val="none"/>
        </w:rPr>
        <w:t>均应当具备以上所列资格证明材料并加盖单位公章</w:t>
      </w:r>
      <w:r>
        <w:rPr>
          <w:rFonts w:hint="eastAsia" w:ascii="宋体" w:hAnsi="宋体"/>
          <w:sz w:val="24"/>
          <w:szCs w:val="24"/>
          <w:highlight w:val="none"/>
          <w:lang w:eastAsia="zh-CN"/>
        </w:rPr>
        <w:t>（</w:t>
      </w:r>
      <w:r>
        <w:rPr>
          <w:rFonts w:hint="eastAsia" w:ascii="宋体" w:hAnsi="宋体" w:cs="宋体"/>
          <w:sz w:val="24"/>
          <w:szCs w:val="24"/>
          <w:highlight w:val="none"/>
          <w:lang w:val="en-US" w:eastAsia="zh-CN"/>
        </w:rPr>
        <w:t>或电子章</w:t>
      </w:r>
      <w:r>
        <w:rPr>
          <w:rFonts w:hint="eastAsia" w:ascii="宋体" w:hAnsi="宋体"/>
          <w:sz w:val="24"/>
          <w:szCs w:val="24"/>
          <w:highlight w:val="none"/>
          <w:lang w:eastAsia="zh-CN"/>
        </w:rPr>
        <w:t>）</w:t>
      </w:r>
      <w:r>
        <w:rPr>
          <w:rFonts w:hint="eastAsia" w:ascii="宋体" w:hAnsi="宋体" w:cs="宋体"/>
          <w:color w:val="000000"/>
          <w:sz w:val="24"/>
          <w:szCs w:val="24"/>
          <w:highlight w:val="none"/>
        </w:rPr>
        <w:t>，并应当向采购人提交联合协议，载明联合体各方承担的工作和义务。联合体各方应当共同与采购人签订采购合同，就采购合同约定的事项对采购人承担连带责任。联合体中有同类资质的</w:t>
      </w:r>
      <w:r>
        <w:rPr>
          <w:rFonts w:hint="eastAsia" w:ascii="宋体" w:hAnsi="宋体" w:cs="宋体"/>
          <w:sz w:val="24"/>
          <w:szCs w:val="24"/>
          <w:highlight w:val="none"/>
        </w:rPr>
        <w:t>投标人</w:t>
      </w:r>
      <w:r>
        <w:rPr>
          <w:rFonts w:hint="eastAsia" w:ascii="宋体" w:hAnsi="宋体" w:cs="宋体"/>
          <w:color w:val="000000"/>
          <w:sz w:val="24"/>
          <w:szCs w:val="24"/>
          <w:highlight w:val="none"/>
        </w:rPr>
        <w:t>按照联合体分工承担相同工作的，应当按照资质等级较低的</w:t>
      </w:r>
      <w:r>
        <w:rPr>
          <w:rFonts w:hint="eastAsia" w:ascii="宋体" w:hAnsi="宋体" w:cs="宋体"/>
          <w:sz w:val="24"/>
          <w:szCs w:val="24"/>
          <w:highlight w:val="none"/>
        </w:rPr>
        <w:t>投标人</w:t>
      </w:r>
      <w:r>
        <w:rPr>
          <w:rFonts w:hint="eastAsia" w:ascii="宋体" w:hAnsi="宋体" w:cs="宋体"/>
          <w:color w:val="000000"/>
          <w:sz w:val="24"/>
          <w:szCs w:val="24"/>
          <w:highlight w:val="none"/>
        </w:rPr>
        <w:t>确定资质等级。</w:t>
      </w:r>
    </w:p>
    <w:p>
      <w:pPr>
        <w:tabs>
          <w:tab w:val="left" w:pos="0"/>
        </w:tabs>
        <w:spacing w:line="360" w:lineRule="auto"/>
        <w:rPr>
          <w:rFonts w:ascii="宋体" w:cs="宋体"/>
          <w:color w:val="000000"/>
          <w:sz w:val="24"/>
          <w:szCs w:val="24"/>
          <w:highlight w:val="none"/>
        </w:rPr>
      </w:pPr>
      <w:r>
        <w:rPr>
          <w:rFonts w:hint="eastAsia" w:ascii="宋体" w:hAnsi="宋体" w:cs="宋体"/>
          <w:color w:val="000000"/>
          <w:sz w:val="24"/>
          <w:szCs w:val="24"/>
          <w:highlight w:val="none"/>
        </w:rPr>
        <w:t>3.投标人应保证提供的全部资格证明材料是真实的和正确的。</w:t>
      </w:r>
    </w:p>
    <w:p>
      <w:pPr>
        <w:tabs>
          <w:tab w:val="left" w:pos="0"/>
        </w:tabs>
        <w:spacing w:line="360" w:lineRule="auto"/>
        <w:rPr>
          <w:rFonts w:ascii="宋体" w:cs="宋体"/>
          <w:color w:val="000000"/>
          <w:sz w:val="24"/>
          <w:szCs w:val="24"/>
          <w:highlight w:val="none"/>
        </w:rPr>
      </w:pPr>
      <w:r>
        <w:rPr>
          <w:rFonts w:hint="eastAsia" w:ascii="宋体" w:hAnsi="宋体" w:cs="宋体"/>
          <w:color w:val="000000"/>
          <w:sz w:val="24"/>
          <w:szCs w:val="24"/>
          <w:highlight w:val="none"/>
        </w:rPr>
        <w:t>4.采购人或采购代理机构将依法审查投标人提交的资格证明材料。</w:t>
      </w:r>
    </w:p>
    <w:p>
      <w:pPr>
        <w:tabs>
          <w:tab w:val="left" w:pos="0"/>
        </w:tabs>
        <w:spacing w:line="360" w:lineRule="auto"/>
        <w:rPr>
          <w:rFonts w:ascii="宋体" w:cs="宋体"/>
          <w:color w:val="000000"/>
          <w:sz w:val="24"/>
          <w:szCs w:val="24"/>
          <w:highlight w:val="none"/>
        </w:rPr>
      </w:pPr>
      <w:r>
        <w:rPr>
          <w:rFonts w:hint="eastAsia" w:ascii="宋体" w:hAnsi="宋体" w:cs="宋体"/>
          <w:color w:val="000000"/>
          <w:sz w:val="24"/>
          <w:szCs w:val="24"/>
          <w:highlight w:val="none"/>
        </w:rPr>
        <w:t>5.投标人提交的文件将被保密，但不退还。</w:t>
      </w:r>
    </w:p>
    <w:p>
      <w:pPr>
        <w:tabs>
          <w:tab w:val="left" w:pos="0"/>
        </w:tabs>
        <w:spacing w:line="360" w:lineRule="auto"/>
        <w:rPr>
          <w:rFonts w:ascii="宋体" w:cs="宋体"/>
          <w:color w:val="000000"/>
          <w:sz w:val="24"/>
          <w:szCs w:val="24"/>
          <w:highlight w:val="none"/>
        </w:rPr>
      </w:pPr>
      <w:r>
        <w:rPr>
          <w:rFonts w:hint="eastAsia" w:ascii="宋体" w:hAnsi="宋体" w:cs="宋体"/>
          <w:color w:val="000000"/>
          <w:sz w:val="24"/>
          <w:szCs w:val="24"/>
          <w:highlight w:val="none"/>
        </w:rPr>
        <w:t>6.全部文件应按“投标人须知前附表”规定的份数提交。</w:t>
      </w:r>
    </w:p>
    <w:p>
      <w:pPr>
        <w:tabs>
          <w:tab w:val="left" w:pos="0"/>
        </w:tabs>
        <w:spacing w:line="360" w:lineRule="auto"/>
        <w:rPr>
          <w:rFonts w:ascii="宋体" w:cs="宋体"/>
          <w:color w:val="000000"/>
          <w:sz w:val="24"/>
          <w:szCs w:val="24"/>
          <w:highlight w:val="none"/>
        </w:rPr>
      </w:pPr>
      <w:r>
        <w:rPr>
          <w:rFonts w:hint="eastAsia" w:ascii="宋体" w:hAnsi="宋体" w:cs="宋体"/>
          <w:color w:val="000000"/>
          <w:sz w:val="24"/>
          <w:szCs w:val="24"/>
          <w:highlight w:val="none"/>
        </w:rPr>
        <w:t>7.投标文件</w:t>
      </w:r>
      <w:r>
        <w:rPr>
          <w:rFonts w:ascii="宋体" w:cs="宋体"/>
          <w:color w:val="000000"/>
          <w:sz w:val="24"/>
          <w:szCs w:val="24"/>
          <w:highlight w:val="none"/>
        </w:rPr>
        <w:t>-</w:t>
      </w:r>
      <w:r>
        <w:rPr>
          <w:rFonts w:hint="eastAsia" w:ascii="宋体" w:hAnsi="宋体" w:cs="宋体"/>
          <w:color w:val="000000"/>
          <w:sz w:val="24"/>
          <w:szCs w:val="24"/>
          <w:highlight w:val="none"/>
        </w:rPr>
        <w:t>资格证明材料和投标文件中资格证明材料如不一致，以投标文件</w:t>
      </w:r>
      <w:r>
        <w:rPr>
          <w:rFonts w:ascii="宋体" w:cs="宋体"/>
          <w:color w:val="000000"/>
          <w:sz w:val="24"/>
          <w:szCs w:val="24"/>
          <w:highlight w:val="none"/>
        </w:rPr>
        <w:t>-</w:t>
      </w:r>
      <w:r>
        <w:rPr>
          <w:rFonts w:hint="eastAsia" w:ascii="宋体" w:hAnsi="宋体" w:cs="宋体"/>
          <w:color w:val="000000"/>
          <w:sz w:val="24"/>
          <w:szCs w:val="24"/>
          <w:highlight w:val="none"/>
        </w:rPr>
        <w:t>资格证明材料中为准。</w:t>
      </w:r>
    </w:p>
    <w:p>
      <w:pPr>
        <w:spacing w:line="360" w:lineRule="auto"/>
        <w:rPr>
          <w:rFonts w:ascii="宋体" w:cs="宋体"/>
          <w:b/>
          <w:color w:val="000000"/>
          <w:sz w:val="24"/>
          <w:szCs w:val="24"/>
          <w:highlight w:val="none"/>
        </w:rPr>
      </w:pPr>
      <w:r>
        <w:rPr>
          <w:rFonts w:ascii="宋体" w:hAnsi="宋体" w:cs="宋体"/>
          <w:b/>
          <w:color w:val="000000"/>
          <w:sz w:val="24"/>
          <w:szCs w:val="24"/>
          <w:highlight w:val="none"/>
        </w:rPr>
        <w:t>1.1-1.</w:t>
      </w:r>
      <w:r>
        <w:rPr>
          <w:rFonts w:hint="eastAsia" w:ascii="宋体" w:hAnsi="宋体" w:cs="宋体"/>
          <w:b/>
          <w:color w:val="000000"/>
          <w:sz w:val="24"/>
          <w:szCs w:val="24"/>
          <w:highlight w:val="none"/>
          <w:lang w:val="en-US" w:eastAsia="zh-CN"/>
        </w:rPr>
        <w:t>10</w:t>
      </w:r>
      <w:r>
        <w:rPr>
          <w:rFonts w:hint="eastAsia" w:ascii="宋体" w:hAnsi="宋体" w:cs="宋体"/>
          <w:b/>
          <w:color w:val="000000"/>
          <w:sz w:val="24"/>
          <w:szCs w:val="24"/>
          <w:highlight w:val="none"/>
        </w:rPr>
        <w:t>为资格条件，若未能按要求提供所列的证明材料或提供的材料为虚假或伪造的将作无效投标处理。</w:t>
      </w:r>
    </w:p>
    <w:p>
      <w:pPr>
        <w:pStyle w:val="5"/>
        <w:rPr>
          <w:rFonts w:ascii="宋体" w:cs="宋体"/>
          <w:b w:val="0"/>
          <w:sz w:val="24"/>
          <w:szCs w:val="24"/>
          <w:highlight w:val="none"/>
        </w:rPr>
      </w:pPr>
      <w:r>
        <w:rPr>
          <w:rFonts w:ascii="宋体" w:cs="宋体"/>
          <w:b w:val="0"/>
          <w:color w:val="000000"/>
          <w:sz w:val="24"/>
          <w:szCs w:val="24"/>
          <w:highlight w:val="none"/>
        </w:rPr>
        <w:br w:type="page"/>
      </w:r>
      <w:bookmarkStart w:id="88" w:name="_Toc497167404"/>
      <w:bookmarkStart w:id="89" w:name="_Toc31248"/>
      <w:bookmarkStart w:id="90" w:name="_Toc44705280"/>
      <w:bookmarkStart w:id="91" w:name="_Toc24337"/>
      <w:bookmarkStart w:id="92" w:name="_Toc44704912"/>
      <w:bookmarkStart w:id="93" w:name="_Toc44705059"/>
      <w:bookmarkStart w:id="94" w:name="_Toc2355256"/>
      <w:bookmarkStart w:id="95" w:name="_Toc2511998"/>
      <w:bookmarkStart w:id="96" w:name="_Toc14776847"/>
      <w:r>
        <w:rPr>
          <w:rStyle w:val="66"/>
          <w:b/>
        </w:rPr>
        <w:t>1.1</w:t>
      </w:r>
      <w:bookmarkEnd w:id="88"/>
      <w:r>
        <w:rPr>
          <w:rStyle w:val="66"/>
          <w:rFonts w:hint="eastAsia"/>
          <w:b/>
        </w:rPr>
        <w:t>具有独立承担民事责任的能力</w:t>
      </w:r>
      <w:bookmarkEnd w:id="89"/>
      <w:bookmarkEnd w:id="90"/>
      <w:bookmarkEnd w:id="91"/>
      <w:bookmarkEnd w:id="92"/>
      <w:bookmarkEnd w:id="93"/>
    </w:p>
    <w:bookmarkEnd w:id="94"/>
    <w:bookmarkEnd w:id="95"/>
    <w:bookmarkEnd w:id="96"/>
    <w:p>
      <w:pPr>
        <w:spacing w:line="360" w:lineRule="auto"/>
        <w:ind w:firstLine="480" w:firstLineChars="200"/>
        <w:rPr>
          <w:rFonts w:ascii="宋体" w:cs="宋体"/>
          <w:b/>
          <w:sz w:val="24"/>
          <w:szCs w:val="24"/>
          <w:highlight w:val="none"/>
        </w:rPr>
      </w:pPr>
      <w:r>
        <w:rPr>
          <w:rFonts w:hint="eastAsia" w:ascii="宋体" w:hAnsi="宋体" w:cs="宋体"/>
          <w:color w:val="000000"/>
          <w:sz w:val="24"/>
          <w:szCs w:val="24"/>
          <w:highlight w:val="none"/>
        </w:rPr>
        <w:t>有效的营业执照，具有独立法人资格（复印件加盖单位公章</w:t>
      </w:r>
      <w:r>
        <w:rPr>
          <w:rFonts w:hint="eastAsia" w:ascii="宋体" w:hAnsi="宋体" w:cs="宋体"/>
          <w:sz w:val="24"/>
          <w:szCs w:val="24"/>
          <w:highlight w:val="none"/>
          <w:lang w:val="en-US" w:eastAsia="zh-CN"/>
        </w:rPr>
        <w:t>或电子章</w:t>
      </w:r>
      <w:r>
        <w:rPr>
          <w:rFonts w:hint="eastAsia" w:ascii="宋体" w:hAnsi="宋体" w:cs="宋体"/>
          <w:color w:val="000000"/>
          <w:sz w:val="24"/>
          <w:szCs w:val="24"/>
          <w:highlight w:val="none"/>
        </w:rPr>
        <w:t>）</w:t>
      </w:r>
    </w:p>
    <w:p>
      <w:pPr>
        <w:pStyle w:val="5"/>
        <w:rPr>
          <w:rFonts w:ascii="宋体" w:cs="宋体"/>
          <w:sz w:val="24"/>
          <w:szCs w:val="24"/>
          <w:highlight w:val="none"/>
        </w:rPr>
      </w:pPr>
      <w:r>
        <w:rPr>
          <w:rFonts w:ascii="宋体" w:cs="宋体"/>
          <w:sz w:val="24"/>
          <w:szCs w:val="24"/>
          <w:highlight w:val="none"/>
        </w:rPr>
        <w:br w:type="page"/>
      </w:r>
      <w:bookmarkStart w:id="97" w:name="_Toc44704913"/>
      <w:bookmarkStart w:id="98" w:name="_Toc44705060"/>
      <w:bookmarkStart w:id="99" w:name="_Toc29238"/>
      <w:bookmarkStart w:id="100" w:name="_Toc29996"/>
      <w:bookmarkStart w:id="101" w:name="_Toc44705281"/>
      <w:bookmarkStart w:id="102" w:name="_Toc14776848"/>
      <w:bookmarkStart w:id="103" w:name="_Toc2355257"/>
      <w:bookmarkStart w:id="104" w:name="_Toc497167405"/>
      <w:bookmarkStart w:id="105" w:name="_Toc2511999"/>
      <w:r>
        <w:rPr>
          <w:rFonts w:ascii="宋体" w:hAnsi="宋体" w:cs="宋体"/>
          <w:sz w:val="32"/>
          <w:szCs w:val="24"/>
          <w:highlight w:val="none"/>
        </w:rPr>
        <w:t>1.2</w:t>
      </w:r>
      <w:r>
        <w:rPr>
          <w:rFonts w:hint="eastAsia" w:ascii="宋体" w:hAnsi="宋体" w:cs="宋体"/>
          <w:sz w:val="32"/>
          <w:szCs w:val="24"/>
          <w:highlight w:val="none"/>
        </w:rPr>
        <w:t>具有良好的商业信誉和健全的财务会计制度</w:t>
      </w:r>
      <w:bookmarkEnd w:id="97"/>
      <w:bookmarkEnd w:id="98"/>
      <w:bookmarkEnd w:id="99"/>
      <w:bookmarkEnd w:id="100"/>
      <w:bookmarkEnd w:id="101"/>
    </w:p>
    <w:p>
      <w:pPr>
        <w:spacing w:line="360" w:lineRule="auto"/>
        <w:ind w:firstLine="480" w:firstLineChars="200"/>
        <w:rPr>
          <w:rFonts w:ascii="宋体" w:cs="宋体"/>
          <w:color w:val="000000"/>
          <w:sz w:val="24"/>
          <w:szCs w:val="24"/>
          <w:highlight w:val="none"/>
        </w:rPr>
      </w:pPr>
      <w:r>
        <w:rPr>
          <w:rFonts w:hint="eastAsia" w:ascii="宋体" w:hAnsi="宋体" w:cs="宋体"/>
          <w:color w:val="000000"/>
          <w:sz w:val="24"/>
          <w:highlight w:val="none"/>
        </w:rPr>
        <w:t>投标人提供本</w:t>
      </w:r>
      <w:r>
        <w:rPr>
          <w:rFonts w:hint="eastAsia" w:ascii="宋体" w:hAnsi="宋体" w:cs="宋体"/>
          <w:sz w:val="24"/>
          <w:highlight w:val="none"/>
        </w:rPr>
        <w:t>单位</w:t>
      </w:r>
      <w:r>
        <w:rPr>
          <w:rFonts w:hint="eastAsia" w:ascii="宋体" w:hAnsi="宋体" w:cs="宋体"/>
          <w:sz w:val="24"/>
          <w:highlight w:val="none"/>
          <w:lang w:val="en-US" w:eastAsia="zh-CN"/>
        </w:rPr>
        <w:t>2022年度</w:t>
      </w:r>
      <w:r>
        <w:rPr>
          <w:rFonts w:hint="eastAsia" w:ascii="宋体" w:hAnsi="宋体" w:cs="宋体"/>
          <w:sz w:val="24"/>
          <w:highlight w:val="none"/>
        </w:rPr>
        <w:t>经会计师事务所出具的审计报告</w:t>
      </w:r>
      <w:r>
        <w:rPr>
          <w:rFonts w:hint="eastAsia" w:ascii="宋体" w:hAnsi="宋体" w:cs="宋体"/>
          <w:color w:val="000000"/>
          <w:sz w:val="24"/>
          <w:highlight w:val="none"/>
        </w:rPr>
        <w:t>复印件并加盖投标人公章</w:t>
      </w:r>
      <w:r>
        <w:rPr>
          <w:rFonts w:hint="eastAsia" w:ascii="宋体" w:hAnsi="宋体"/>
          <w:sz w:val="24"/>
          <w:szCs w:val="24"/>
          <w:highlight w:val="none"/>
          <w:lang w:eastAsia="zh-CN"/>
        </w:rPr>
        <w:t>（</w:t>
      </w:r>
      <w:r>
        <w:rPr>
          <w:rFonts w:hint="eastAsia" w:ascii="宋体" w:hAnsi="宋体" w:cs="宋体"/>
          <w:sz w:val="24"/>
          <w:szCs w:val="24"/>
          <w:highlight w:val="none"/>
          <w:lang w:val="en-US" w:eastAsia="zh-CN"/>
        </w:rPr>
        <w:t>或电子章</w:t>
      </w:r>
      <w:r>
        <w:rPr>
          <w:rFonts w:hint="eastAsia" w:ascii="宋体" w:hAnsi="宋体"/>
          <w:sz w:val="24"/>
          <w:szCs w:val="24"/>
          <w:highlight w:val="none"/>
          <w:lang w:eastAsia="zh-CN"/>
        </w:rPr>
        <w:t>）</w:t>
      </w:r>
      <w:r>
        <w:rPr>
          <w:rFonts w:hint="eastAsia" w:ascii="宋体" w:hAnsi="宋体" w:cs="宋体"/>
          <w:color w:val="000000"/>
          <w:sz w:val="24"/>
          <w:highlight w:val="none"/>
        </w:rPr>
        <w:t>。</w:t>
      </w:r>
      <w:r>
        <w:rPr>
          <w:rFonts w:hint="eastAsia" w:ascii="宋体" w:hAnsi="宋体" w:cs="宋体"/>
          <w:color w:val="000000"/>
          <w:sz w:val="24"/>
          <w:highlight w:val="none"/>
          <w:lang w:eastAsia="zh-CN"/>
        </w:rPr>
        <w:t>成立不足一年的，则需提供近期的财务报表。</w:t>
      </w:r>
      <w:r>
        <w:rPr>
          <w:rFonts w:hint="eastAsia" w:ascii="宋体" w:hAnsi="宋体" w:cs="宋体"/>
          <w:color w:val="000000"/>
          <w:sz w:val="24"/>
          <w:highlight w:val="none"/>
        </w:rPr>
        <w:t>说明：审计报告复印件至少应包括资产负债表、利润表、现金流量表及其附注、加盖会计师事务所公章页。</w:t>
      </w:r>
    </w:p>
    <w:bookmarkEnd w:id="102"/>
    <w:bookmarkEnd w:id="103"/>
    <w:bookmarkEnd w:id="104"/>
    <w:bookmarkEnd w:id="105"/>
    <w:p>
      <w:pPr>
        <w:pStyle w:val="5"/>
        <w:rPr>
          <w:rFonts w:ascii="宋体" w:cs="宋体"/>
          <w:sz w:val="24"/>
          <w:szCs w:val="24"/>
          <w:highlight w:val="none"/>
        </w:rPr>
      </w:pPr>
      <w:bookmarkStart w:id="106" w:name="_Toc14776849"/>
      <w:bookmarkStart w:id="107" w:name="_Toc2512000"/>
      <w:bookmarkStart w:id="108" w:name="_Toc2355258"/>
      <w:bookmarkStart w:id="109" w:name="_Toc497167406"/>
      <w:r>
        <w:rPr>
          <w:rFonts w:ascii="宋体" w:cs="宋体"/>
          <w:sz w:val="24"/>
          <w:szCs w:val="24"/>
          <w:highlight w:val="none"/>
        </w:rPr>
        <w:br w:type="page"/>
      </w:r>
      <w:bookmarkStart w:id="110" w:name="_Toc10670"/>
      <w:bookmarkStart w:id="111" w:name="_Toc28214"/>
      <w:bookmarkStart w:id="112" w:name="_Toc44705282"/>
      <w:bookmarkStart w:id="113" w:name="_Toc44704914"/>
      <w:bookmarkStart w:id="114" w:name="_Toc44705061"/>
      <w:r>
        <w:rPr>
          <w:rStyle w:val="66"/>
          <w:b/>
        </w:rPr>
        <w:t>1.3</w:t>
      </w:r>
      <w:r>
        <w:rPr>
          <w:rStyle w:val="66"/>
          <w:rFonts w:hint="eastAsia"/>
          <w:b/>
        </w:rPr>
        <w:t>具有履行合同所必需的设备和专业技术能力</w:t>
      </w:r>
      <w:bookmarkEnd w:id="110"/>
      <w:bookmarkEnd w:id="111"/>
      <w:bookmarkEnd w:id="112"/>
      <w:bookmarkEnd w:id="113"/>
      <w:bookmarkEnd w:id="114"/>
    </w:p>
    <w:bookmarkEnd w:id="106"/>
    <w:bookmarkEnd w:id="107"/>
    <w:bookmarkEnd w:id="108"/>
    <w:bookmarkEnd w:id="109"/>
    <w:p>
      <w:pPr>
        <w:spacing w:line="360" w:lineRule="auto"/>
        <w:jc w:val="both"/>
        <w:rPr>
          <w:rFonts w:hint="eastAsia" w:ascii="宋体" w:eastAsia="宋体" w:cs="宋体"/>
          <w:sz w:val="24"/>
          <w:szCs w:val="24"/>
          <w:highlight w:val="none"/>
          <w:lang w:eastAsia="zh-CN"/>
        </w:rPr>
        <w:sectPr>
          <w:footerReference r:id="rId11" w:type="default"/>
          <w:pgSz w:w="11907" w:h="16840"/>
          <w:pgMar w:top="1440" w:right="1469" w:bottom="1440" w:left="1622" w:header="624" w:footer="992" w:gutter="0"/>
          <w:cols w:space="720" w:num="1"/>
          <w:docGrid w:linePitch="312" w:charSpace="0"/>
        </w:sectPr>
      </w:pPr>
      <w:r>
        <w:rPr>
          <w:rFonts w:hint="eastAsia" w:ascii="宋体" w:hAnsi="宋体" w:cs="宋体"/>
          <w:sz w:val="24"/>
          <w:highlight w:val="none"/>
        </w:rPr>
        <w:t>供应商履行合同所必须的设备和专业技术能力的证明材料或声明</w:t>
      </w:r>
    </w:p>
    <w:p>
      <w:pPr>
        <w:pStyle w:val="5"/>
        <w:rPr>
          <w:rFonts w:ascii="宋体" w:cs="宋体"/>
          <w:color w:val="000000"/>
          <w:sz w:val="32"/>
          <w:szCs w:val="24"/>
          <w:highlight w:val="none"/>
        </w:rPr>
      </w:pPr>
      <w:bookmarkStart w:id="115" w:name="_Toc44704915"/>
      <w:bookmarkStart w:id="116" w:name="_Toc13274"/>
      <w:bookmarkStart w:id="117" w:name="_Toc44705062"/>
      <w:bookmarkStart w:id="118" w:name="_Toc2512001"/>
      <w:bookmarkStart w:id="119" w:name="_Toc13277"/>
      <w:bookmarkStart w:id="120" w:name="_Toc44705283"/>
      <w:bookmarkStart w:id="121" w:name="_Toc497167407"/>
      <w:bookmarkStart w:id="122" w:name="_Toc2355259"/>
      <w:r>
        <w:rPr>
          <w:rFonts w:ascii="宋体" w:hAnsi="宋体" w:cs="宋体"/>
          <w:sz w:val="32"/>
          <w:szCs w:val="24"/>
          <w:highlight w:val="none"/>
        </w:rPr>
        <w:t>1.4</w:t>
      </w:r>
      <w:r>
        <w:rPr>
          <w:rFonts w:hint="eastAsia" w:ascii="宋体" w:hAnsi="宋体" w:cs="宋体"/>
          <w:sz w:val="32"/>
          <w:szCs w:val="24"/>
          <w:highlight w:val="none"/>
        </w:rPr>
        <w:t>有依法缴纳税收和社会保障资金的良好记录</w:t>
      </w:r>
      <w:bookmarkEnd w:id="115"/>
      <w:bookmarkEnd w:id="116"/>
      <w:bookmarkEnd w:id="117"/>
      <w:bookmarkEnd w:id="118"/>
      <w:bookmarkEnd w:id="119"/>
      <w:bookmarkEnd w:id="120"/>
      <w:bookmarkEnd w:id="121"/>
      <w:bookmarkEnd w:id="122"/>
    </w:p>
    <w:p>
      <w:pPr>
        <w:spacing w:line="360" w:lineRule="auto"/>
        <w:ind w:firstLine="480" w:firstLineChars="200"/>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、有依法缴纳社会保障资金的良好记录，须提供参加本次政府采购活动近六个月内的任意一月缴纳社会保障资金的银行入账票据凭证或社保部门证明材料复印件，并加盖投标人公章</w:t>
      </w:r>
      <w:r>
        <w:rPr>
          <w:rFonts w:hint="eastAsia" w:ascii="宋体" w:hAnsi="宋体"/>
          <w:sz w:val="24"/>
          <w:szCs w:val="24"/>
          <w:highlight w:val="none"/>
          <w:lang w:eastAsia="zh-CN"/>
        </w:rPr>
        <w:t>（</w:t>
      </w:r>
      <w:r>
        <w:rPr>
          <w:rFonts w:hint="eastAsia" w:ascii="宋体" w:hAnsi="宋体" w:cs="宋体"/>
          <w:sz w:val="24"/>
          <w:szCs w:val="24"/>
          <w:highlight w:val="none"/>
          <w:lang w:val="en-US" w:eastAsia="zh-CN"/>
        </w:rPr>
        <w:t>或电子章</w:t>
      </w:r>
      <w:r>
        <w:rPr>
          <w:rFonts w:hint="eastAsia" w:ascii="宋体" w:hAnsi="宋体"/>
          <w:sz w:val="24"/>
          <w:szCs w:val="24"/>
          <w:highlight w:val="none"/>
          <w:lang w:eastAsia="zh-CN"/>
        </w:rPr>
        <w:t>）</w:t>
      </w:r>
      <w:r>
        <w:rPr>
          <w:rFonts w:hint="eastAsia" w:ascii="宋体" w:hAnsi="宋体"/>
          <w:sz w:val="24"/>
          <w:szCs w:val="24"/>
          <w:highlight w:val="none"/>
        </w:rPr>
        <w:t>。投标人</w:t>
      </w:r>
      <w:r>
        <w:rPr>
          <w:rFonts w:hint="eastAsia"/>
          <w:sz w:val="24"/>
          <w:szCs w:val="24"/>
          <w:highlight w:val="none"/>
        </w:rPr>
        <w:t>逐年交纳社会保障资金的，须提供上年度缴纳社会保障资金的入账票据凭证复印件。缴纳社会保障资金的入账票据凭证复印件须加盖本单位公章</w:t>
      </w:r>
      <w:r>
        <w:rPr>
          <w:rFonts w:hint="eastAsia" w:ascii="宋体" w:hAnsi="宋体"/>
          <w:sz w:val="24"/>
          <w:szCs w:val="24"/>
          <w:highlight w:val="none"/>
          <w:lang w:eastAsia="zh-CN"/>
        </w:rPr>
        <w:t>（</w:t>
      </w:r>
      <w:r>
        <w:rPr>
          <w:rFonts w:hint="eastAsia" w:ascii="宋体" w:hAnsi="宋体" w:cs="宋体"/>
          <w:sz w:val="24"/>
          <w:szCs w:val="24"/>
          <w:highlight w:val="none"/>
          <w:lang w:val="en-US" w:eastAsia="zh-CN"/>
        </w:rPr>
        <w:t>或电子章</w:t>
      </w:r>
      <w:r>
        <w:rPr>
          <w:rFonts w:hint="eastAsia" w:ascii="宋体" w:hAnsi="宋体"/>
          <w:sz w:val="24"/>
          <w:szCs w:val="24"/>
          <w:highlight w:val="none"/>
          <w:lang w:eastAsia="zh-CN"/>
        </w:rPr>
        <w:t>）</w:t>
      </w:r>
      <w:r>
        <w:rPr>
          <w:rFonts w:hint="eastAsia" w:ascii="宋体" w:hAnsi="宋体"/>
          <w:sz w:val="24"/>
          <w:szCs w:val="24"/>
          <w:highlight w:val="none"/>
        </w:rPr>
        <w:t>；</w:t>
      </w:r>
      <w:r>
        <w:rPr>
          <w:rFonts w:hint="eastAsia" w:ascii="宋体" w:hAnsi="宋体" w:eastAsia="宋体" w:cs="宋体"/>
          <w:color w:val="auto"/>
          <w:sz w:val="24"/>
          <w:szCs w:val="24"/>
          <w:highlight w:val="none"/>
          <w:lang w:eastAsia="zh-CN"/>
        </w:rPr>
        <w:t>如</w:t>
      </w:r>
      <w:r>
        <w:rPr>
          <w:rFonts w:hint="eastAsia" w:ascii="宋体" w:hAnsi="宋体" w:cs="宋体"/>
          <w:b w:val="0"/>
          <w:bCs w:val="0"/>
          <w:sz w:val="24"/>
          <w:highlight w:val="none"/>
          <w:lang w:val="en-US" w:eastAsia="zh-CN"/>
        </w:rPr>
        <w:t>投标人</w:t>
      </w:r>
      <w:r>
        <w:rPr>
          <w:rFonts w:hint="eastAsia" w:ascii="宋体" w:hAnsi="宋体" w:eastAsia="宋体" w:cs="宋体"/>
          <w:color w:val="auto"/>
          <w:sz w:val="24"/>
          <w:szCs w:val="24"/>
          <w:highlight w:val="none"/>
          <w:lang w:eastAsia="zh-CN"/>
        </w:rPr>
        <w:t>无法提供缴纳社会保障资金的记录，则需提供有依法缴纳社会保障资金的承诺函（格式自拟）并加盖</w:t>
      </w:r>
      <w:r>
        <w:rPr>
          <w:rFonts w:hint="eastAsia" w:ascii="宋体" w:hAnsi="宋体" w:cs="宋体"/>
          <w:b w:val="0"/>
          <w:bCs w:val="0"/>
          <w:sz w:val="24"/>
          <w:highlight w:val="none"/>
          <w:lang w:val="en-US" w:eastAsia="zh-CN"/>
        </w:rPr>
        <w:t>投标人</w:t>
      </w:r>
      <w:r>
        <w:rPr>
          <w:rFonts w:hint="eastAsia" w:ascii="宋体" w:hAnsi="宋体" w:eastAsia="宋体" w:cs="宋体"/>
          <w:color w:val="auto"/>
          <w:sz w:val="24"/>
          <w:szCs w:val="24"/>
          <w:highlight w:val="none"/>
          <w:lang w:eastAsia="zh-CN"/>
        </w:rPr>
        <w:t>公章</w:t>
      </w:r>
      <w:r>
        <w:rPr>
          <w:rFonts w:hint="eastAsia" w:ascii="宋体" w:hAnsi="宋体"/>
          <w:sz w:val="24"/>
          <w:szCs w:val="24"/>
          <w:highlight w:val="none"/>
          <w:lang w:eastAsia="zh-CN"/>
        </w:rPr>
        <w:t>（</w:t>
      </w:r>
      <w:r>
        <w:rPr>
          <w:rFonts w:hint="eastAsia" w:ascii="宋体" w:hAnsi="宋体" w:cs="宋体"/>
          <w:sz w:val="24"/>
          <w:szCs w:val="24"/>
          <w:highlight w:val="none"/>
          <w:lang w:val="en-US" w:eastAsia="zh-CN"/>
        </w:rPr>
        <w:t>或电子章</w:t>
      </w:r>
      <w:r>
        <w:rPr>
          <w:rFonts w:hint="eastAsia" w:ascii="宋体" w:hAnsi="宋体"/>
          <w:sz w:val="24"/>
          <w:szCs w:val="24"/>
          <w:highlight w:val="none"/>
          <w:lang w:eastAsia="zh-CN"/>
        </w:rPr>
        <w:t>）</w:t>
      </w:r>
      <w:r>
        <w:rPr>
          <w:rFonts w:hint="eastAsia" w:ascii="宋体" w:hAnsi="宋体" w:eastAsia="宋体" w:cs="宋体"/>
          <w:color w:val="auto"/>
          <w:sz w:val="24"/>
          <w:szCs w:val="24"/>
          <w:highlight w:val="none"/>
          <w:lang w:eastAsia="zh-CN"/>
        </w:rPr>
        <w:t>。</w:t>
      </w:r>
    </w:p>
    <w:p>
      <w:pPr>
        <w:spacing w:line="360" w:lineRule="auto"/>
        <w:ind w:firstLine="480" w:firstLineChars="200"/>
        <w:rPr>
          <w:rFonts w:ascii="宋体"/>
          <w:sz w:val="24"/>
          <w:szCs w:val="24"/>
          <w:highlight w:val="none"/>
        </w:rPr>
      </w:pPr>
      <w:r>
        <w:rPr>
          <w:rFonts w:ascii="宋体" w:hAnsi="宋体"/>
          <w:sz w:val="24"/>
          <w:szCs w:val="24"/>
          <w:highlight w:val="none"/>
        </w:rPr>
        <w:t>2</w:t>
      </w:r>
      <w:r>
        <w:rPr>
          <w:rFonts w:hint="eastAsia" w:ascii="宋体" w:hAnsi="宋体"/>
          <w:sz w:val="24"/>
          <w:szCs w:val="24"/>
          <w:highlight w:val="none"/>
        </w:rPr>
        <w:t>、纳税证明（个人所得税除外），须提供参加本次政府采购活动近六个月内的任意一月银行有效票据或税务部门证明材料凭证复印件，并加盖投标人公章</w:t>
      </w:r>
      <w:r>
        <w:rPr>
          <w:rFonts w:hint="eastAsia" w:ascii="宋体" w:hAnsi="宋体"/>
          <w:sz w:val="24"/>
          <w:szCs w:val="24"/>
          <w:highlight w:val="none"/>
          <w:lang w:eastAsia="zh-CN"/>
        </w:rPr>
        <w:t>（</w:t>
      </w:r>
      <w:r>
        <w:rPr>
          <w:rFonts w:hint="eastAsia" w:ascii="宋体" w:hAnsi="宋体" w:cs="宋体"/>
          <w:sz w:val="24"/>
          <w:szCs w:val="24"/>
          <w:highlight w:val="none"/>
          <w:lang w:val="en-US" w:eastAsia="zh-CN"/>
        </w:rPr>
        <w:t>或电子章</w:t>
      </w:r>
      <w:r>
        <w:rPr>
          <w:rFonts w:hint="eastAsia" w:ascii="宋体" w:hAnsi="宋体"/>
          <w:sz w:val="24"/>
          <w:szCs w:val="24"/>
          <w:highlight w:val="none"/>
          <w:lang w:eastAsia="zh-CN"/>
        </w:rPr>
        <w:t>）</w:t>
      </w:r>
      <w:r>
        <w:rPr>
          <w:rFonts w:hint="eastAsia" w:ascii="宋体" w:hAnsi="宋体"/>
          <w:sz w:val="24"/>
          <w:szCs w:val="24"/>
          <w:highlight w:val="none"/>
        </w:rPr>
        <w:t>。如近六个月未达到应缴税标准，须提供相应说明及证明材料（如：增值税纳税申报表</w:t>
      </w:r>
      <w:r>
        <w:rPr>
          <w:rFonts w:hint="eastAsia" w:ascii="宋体" w:hAnsi="宋体"/>
          <w:sz w:val="24"/>
          <w:szCs w:val="24"/>
          <w:highlight w:val="none"/>
          <w:shd w:val="clear" w:color="auto" w:fill="FFFFFF" w:themeFill="background1"/>
        </w:rPr>
        <w:t>或零纳税申报表）</w:t>
      </w:r>
      <w:r>
        <w:rPr>
          <w:rFonts w:hint="eastAsia" w:ascii="宋体" w:hAnsi="宋体"/>
          <w:sz w:val="24"/>
          <w:szCs w:val="24"/>
          <w:highlight w:val="none"/>
        </w:rPr>
        <w:t>，并加盖投标人公章</w:t>
      </w:r>
      <w:r>
        <w:rPr>
          <w:rFonts w:hint="eastAsia" w:ascii="宋体" w:hAnsi="宋体"/>
          <w:sz w:val="24"/>
          <w:szCs w:val="24"/>
          <w:highlight w:val="none"/>
          <w:lang w:eastAsia="zh-CN"/>
        </w:rPr>
        <w:t>（</w:t>
      </w:r>
      <w:r>
        <w:rPr>
          <w:rFonts w:hint="eastAsia" w:ascii="宋体" w:hAnsi="宋体" w:cs="宋体"/>
          <w:sz w:val="24"/>
          <w:szCs w:val="24"/>
          <w:highlight w:val="none"/>
          <w:lang w:val="en-US" w:eastAsia="zh-CN"/>
        </w:rPr>
        <w:t>或电子章</w:t>
      </w:r>
      <w:r>
        <w:rPr>
          <w:rFonts w:hint="eastAsia" w:ascii="宋体" w:hAnsi="宋体"/>
          <w:sz w:val="24"/>
          <w:szCs w:val="24"/>
          <w:highlight w:val="none"/>
          <w:lang w:eastAsia="zh-CN"/>
        </w:rPr>
        <w:t>）；如投标人无法提供纳税证明记录，则需提供依法缴纳税收的承诺函（格式自拟）并加盖投标人公章。</w:t>
      </w:r>
      <w:r>
        <w:rPr>
          <w:rFonts w:ascii="宋体" w:hAnsi="宋体"/>
          <w:sz w:val="24"/>
          <w:szCs w:val="24"/>
          <w:highlight w:val="none"/>
        </w:rPr>
        <w:t xml:space="preserve"> </w:t>
      </w:r>
    </w:p>
    <w:p>
      <w:pPr>
        <w:spacing w:line="360" w:lineRule="auto"/>
        <w:ind w:firstLine="480" w:firstLineChars="200"/>
        <w:rPr>
          <w:rFonts w:ascii="宋体"/>
          <w:sz w:val="24"/>
          <w:szCs w:val="24"/>
          <w:highlight w:val="none"/>
        </w:rPr>
      </w:pPr>
      <w:r>
        <w:rPr>
          <w:rFonts w:ascii="宋体" w:hAnsi="宋体"/>
          <w:sz w:val="24"/>
          <w:szCs w:val="24"/>
          <w:highlight w:val="none"/>
        </w:rPr>
        <w:t>3</w:t>
      </w:r>
      <w:r>
        <w:rPr>
          <w:rFonts w:hint="eastAsia" w:ascii="宋体" w:hAnsi="宋体"/>
          <w:sz w:val="24"/>
          <w:szCs w:val="24"/>
          <w:highlight w:val="none"/>
        </w:rPr>
        <w:t>、依法免税或不需要缴纳社会保障资金的投标人，应提供相应的文件证明并加盖本单位公章</w:t>
      </w:r>
      <w:r>
        <w:rPr>
          <w:rFonts w:hint="eastAsia" w:ascii="宋体" w:hAnsi="宋体"/>
          <w:sz w:val="24"/>
          <w:szCs w:val="24"/>
          <w:highlight w:val="none"/>
          <w:lang w:eastAsia="zh-CN"/>
        </w:rPr>
        <w:t>（</w:t>
      </w:r>
      <w:r>
        <w:rPr>
          <w:rFonts w:hint="eastAsia" w:ascii="宋体" w:hAnsi="宋体" w:cs="宋体"/>
          <w:sz w:val="24"/>
          <w:szCs w:val="24"/>
          <w:highlight w:val="none"/>
          <w:lang w:val="en-US" w:eastAsia="zh-CN"/>
        </w:rPr>
        <w:t>或电子章</w:t>
      </w:r>
      <w:r>
        <w:rPr>
          <w:rFonts w:hint="eastAsia" w:ascii="宋体" w:hAnsi="宋体"/>
          <w:sz w:val="24"/>
          <w:szCs w:val="24"/>
          <w:highlight w:val="none"/>
          <w:lang w:eastAsia="zh-CN"/>
        </w:rPr>
        <w:t>）</w:t>
      </w:r>
      <w:r>
        <w:rPr>
          <w:rFonts w:hint="eastAsia" w:ascii="宋体" w:hAnsi="宋体"/>
          <w:sz w:val="24"/>
          <w:szCs w:val="24"/>
          <w:highlight w:val="none"/>
        </w:rPr>
        <w:t>。</w:t>
      </w:r>
    </w:p>
    <w:p>
      <w:pPr>
        <w:spacing w:line="360" w:lineRule="auto"/>
        <w:rPr>
          <w:rFonts w:ascii="宋体" w:cs="宋体"/>
          <w:b/>
          <w:sz w:val="32"/>
          <w:szCs w:val="32"/>
          <w:highlight w:val="none"/>
        </w:rPr>
      </w:pPr>
    </w:p>
    <w:p>
      <w:pPr>
        <w:rPr>
          <w:rFonts w:ascii="宋体"/>
          <w:sz w:val="24"/>
          <w:highlight w:val="none"/>
        </w:rPr>
      </w:pPr>
      <w:r>
        <w:rPr>
          <w:rFonts w:hint="eastAsia" w:ascii="宋体" w:hAnsi="宋体"/>
          <w:sz w:val="24"/>
          <w:highlight w:val="none"/>
          <w:lang w:eastAsia="zh-CN"/>
        </w:rPr>
        <w:t>新疆同创博远项目管理咨询有限责任公司</w:t>
      </w:r>
      <w:r>
        <w:rPr>
          <w:rFonts w:hint="eastAsia" w:ascii="宋体" w:hAnsi="宋体"/>
          <w:sz w:val="24"/>
          <w:highlight w:val="none"/>
        </w:rPr>
        <w:t>：</w:t>
      </w:r>
    </w:p>
    <w:p>
      <w:pPr>
        <w:spacing w:line="360" w:lineRule="auto"/>
        <w:ind w:firstLine="482" w:firstLineChars="200"/>
        <w:jc w:val="center"/>
        <w:rPr>
          <w:rFonts w:ascii="宋体" w:cs="宋体"/>
          <w:b/>
          <w:sz w:val="24"/>
          <w:highlight w:val="none"/>
          <w:shd w:val="clear" w:color="auto" w:fill="FFFFFF"/>
        </w:rPr>
      </w:pPr>
    </w:p>
    <w:p>
      <w:pPr>
        <w:adjustRightInd w:val="0"/>
        <w:spacing w:line="360" w:lineRule="auto"/>
        <w:ind w:firstLine="480" w:firstLineChars="200"/>
        <w:rPr>
          <w:rFonts w:ascii="宋体" w:cs="宋体"/>
          <w:sz w:val="24"/>
          <w:highlight w:val="none"/>
          <w:shd w:val="clear" w:color="auto" w:fill="FFFFFF"/>
        </w:rPr>
      </w:pPr>
      <w:r>
        <w:rPr>
          <w:rFonts w:hint="eastAsia" w:ascii="宋体" w:hAnsi="宋体" w:cs="宋体"/>
          <w:sz w:val="24"/>
          <w:highlight w:val="none"/>
          <w:shd w:val="clear" w:color="auto" w:fill="FFFFFF"/>
        </w:rPr>
        <w:t>本单位成立以来，一直按照国家和地方有关规定，依法缴纳税收及社会保障资金，具有良好记录。</w:t>
      </w:r>
    </w:p>
    <w:p>
      <w:pPr>
        <w:adjustRightInd w:val="0"/>
        <w:spacing w:line="360" w:lineRule="auto"/>
        <w:ind w:firstLine="480" w:firstLineChars="200"/>
        <w:rPr>
          <w:rFonts w:ascii="宋体" w:cs="宋体"/>
          <w:sz w:val="24"/>
          <w:highlight w:val="none"/>
          <w:shd w:val="clear" w:color="auto" w:fill="FFFFFF"/>
        </w:rPr>
      </w:pPr>
      <w:r>
        <w:rPr>
          <w:rFonts w:hint="eastAsia" w:ascii="宋体" w:hAnsi="宋体" w:cs="宋体"/>
          <w:sz w:val="24"/>
          <w:highlight w:val="none"/>
          <w:shd w:val="clear" w:color="auto" w:fill="FFFFFF"/>
        </w:rPr>
        <w:t>特此声明。</w:t>
      </w:r>
    </w:p>
    <w:p>
      <w:pPr>
        <w:adjustRightInd w:val="0"/>
        <w:spacing w:line="360" w:lineRule="auto"/>
        <w:rPr>
          <w:rFonts w:ascii="宋体" w:cs="宋体"/>
          <w:sz w:val="24"/>
          <w:highlight w:val="none"/>
          <w:shd w:val="clear" w:color="auto" w:fill="FFFFFF"/>
        </w:rPr>
      </w:pPr>
    </w:p>
    <w:p>
      <w:pPr>
        <w:adjustRightInd w:val="0"/>
        <w:spacing w:line="360" w:lineRule="auto"/>
        <w:rPr>
          <w:rFonts w:ascii="宋体" w:cs="宋体"/>
          <w:sz w:val="24"/>
          <w:highlight w:val="none"/>
          <w:shd w:val="clear" w:color="auto" w:fill="FFFFFF"/>
        </w:rPr>
      </w:pPr>
    </w:p>
    <w:p>
      <w:pPr>
        <w:adjustRightInd w:val="0"/>
        <w:spacing w:line="360" w:lineRule="auto"/>
        <w:rPr>
          <w:rFonts w:ascii="宋体" w:cs="宋体"/>
          <w:sz w:val="24"/>
          <w:highlight w:val="none"/>
          <w:shd w:val="clear" w:color="auto" w:fill="FFFFFF"/>
        </w:rPr>
      </w:pPr>
    </w:p>
    <w:p>
      <w:pPr>
        <w:spacing w:line="360" w:lineRule="auto"/>
        <w:jc w:val="right"/>
        <w:rPr>
          <w:rFonts w:ascii="宋体"/>
          <w:sz w:val="24"/>
          <w:highlight w:val="none"/>
          <w:u w:val="single"/>
        </w:rPr>
      </w:pPr>
      <w:r>
        <w:rPr>
          <w:rFonts w:hint="eastAsia" w:ascii="宋体" w:hAnsi="宋体"/>
          <w:sz w:val="24"/>
          <w:highlight w:val="none"/>
        </w:rPr>
        <w:t>投标人法定代表人或授权代表（签字或盖章）：</w:t>
      </w:r>
    </w:p>
    <w:p>
      <w:pPr>
        <w:spacing w:line="360" w:lineRule="auto"/>
        <w:jc w:val="right"/>
        <w:rPr>
          <w:rFonts w:ascii="宋体"/>
          <w:sz w:val="24"/>
          <w:highlight w:val="none"/>
        </w:rPr>
      </w:pPr>
      <w:r>
        <w:rPr>
          <w:rFonts w:hint="eastAsia" w:ascii="宋体" w:hAnsi="宋体"/>
          <w:sz w:val="24"/>
          <w:highlight w:val="none"/>
        </w:rPr>
        <w:t>投标人名称（加盖单位公章</w:t>
      </w:r>
      <w:r>
        <w:rPr>
          <w:rFonts w:hint="eastAsia" w:ascii="宋体" w:hAnsi="宋体" w:cs="宋体"/>
          <w:sz w:val="24"/>
          <w:szCs w:val="24"/>
          <w:highlight w:val="none"/>
          <w:lang w:val="en-US" w:eastAsia="zh-CN"/>
        </w:rPr>
        <w:t>或电子章</w:t>
      </w:r>
      <w:r>
        <w:rPr>
          <w:rFonts w:hint="eastAsia" w:ascii="宋体" w:hAnsi="宋体"/>
          <w:sz w:val="24"/>
          <w:highlight w:val="none"/>
        </w:rPr>
        <w:t>）：</w:t>
      </w:r>
    </w:p>
    <w:p>
      <w:pPr>
        <w:autoSpaceDE w:val="0"/>
        <w:autoSpaceDN w:val="0"/>
        <w:adjustRightInd w:val="0"/>
        <w:spacing w:line="360" w:lineRule="auto"/>
        <w:jc w:val="right"/>
        <w:rPr>
          <w:rFonts w:ascii="宋体" w:cs="宋体"/>
          <w:color w:val="000000"/>
          <w:highlight w:val="none"/>
        </w:rPr>
      </w:pPr>
      <w:r>
        <w:rPr>
          <w:rFonts w:hint="eastAsia" w:ascii="宋体" w:hAnsi="宋体"/>
          <w:sz w:val="24"/>
          <w:highlight w:val="none"/>
        </w:rPr>
        <w:t>日期：</w:t>
      </w:r>
    </w:p>
    <w:p>
      <w:pPr>
        <w:widowControl/>
        <w:jc w:val="left"/>
        <w:rPr>
          <w:rFonts w:ascii="宋体" w:cs="宋体"/>
          <w:b/>
          <w:sz w:val="24"/>
          <w:szCs w:val="24"/>
          <w:highlight w:val="none"/>
        </w:rPr>
      </w:pPr>
      <w:bookmarkStart w:id="123" w:name="_Toc2512002"/>
      <w:bookmarkStart w:id="124" w:name="_Toc497167408"/>
      <w:bookmarkStart w:id="125" w:name="_Toc2355260"/>
      <w:r>
        <w:rPr>
          <w:rFonts w:ascii="宋体" w:cs="宋体"/>
          <w:b/>
          <w:sz w:val="24"/>
          <w:szCs w:val="24"/>
          <w:highlight w:val="none"/>
        </w:rPr>
        <w:br w:type="page"/>
      </w:r>
    </w:p>
    <w:p>
      <w:pPr>
        <w:pStyle w:val="5"/>
        <w:rPr>
          <w:rFonts w:ascii="宋体" w:cs="宋体"/>
          <w:sz w:val="24"/>
          <w:szCs w:val="24"/>
          <w:highlight w:val="none"/>
        </w:rPr>
      </w:pPr>
      <w:bookmarkStart w:id="126" w:name="_Toc44704916"/>
      <w:bookmarkStart w:id="127" w:name="_Toc44705284"/>
      <w:bookmarkStart w:id="128" w:name="_Toc26658"/>
      <w:bookmarkStart w:id="129" w:name="_Toc4783"/>
      <w:bookmarkStart w:id="130" w:name="_Toc44705063"/>
      <w:r>
        <w:rPr>
          <w:rFonts w:ascii="宋体" w:hAnsi="宋体" w:cs="宋体"/>
          <w:sz w:val="32"/>
          <w:szCs w:val="24"/>
          <w:highlight w:val="none"/>
        </w:rPr>
        <w:t>1.5</w:t>
      </w:r>
      <w:r>
        <w:rPr>
          <w:rFonts w:hint="eastAsia" w:ascii="宋体" w:hAnsi="宋体" w:cs="宋体"/>
          <w:sz w:val="32"/>
          <w:szCs w:val="24"/>
          <w:highlight w:val="none"/>
        </w:rPr>
        <w:t>参加政府采购活动前三年内，在经营活动中没有重大违法记录</w:t>
      </w:r>
      <w:bookmarkEnd w:id="126"/>
      <w:bookmarkEnd w:id="127"/>
      <w:bookmarkEnd w:id="128"/>
      <w:bookmarkEnd w:id="129"/>
      <w:bookmarkEnd w:id="130"/>
    </w:p>
    <w:p>
      <w:pPr>
        <w:widowControl/>
        <w:spacing w:line="360" w:lineRule="auto"/>
        <w:jc w:val="left"/>
        <w:rPr>
          <w:rFonts w:ascii="宋体" w:cs="宋体"/>
          <w:b/>
          <w:sz w:val="24"/>
          <w:szCs w:val="24"/>
          <w:highlight w:val="none"/>
        </w:rPr>
      </w:pPr>
    </w:p>
    <w:p>
      <w:pPr>
        <w:widowControl/>
        <w:spacing w:line="360" w:lineRule="auto"/>
        <w:jc w:val="left"/>
        <w:rPr>
          <w:rFonts w:ascii="宋体" w:cs="宋体"/>
          <w:b/>
          <w:bCs/>
          <w:sz w:val="24"/>
          <w:szCs w:val="24"/>
          <w:highlight w:val="none"/>
        </w:rPr>
      </w:pPr>
      <w:r>
        <w:rPr>
          <w:rFonts w:hint="eastAsia" w:ascii="宋体" w:hAnsi="宋体" w:cs="宋体"/>
          <w:b/>
          <w:sz w:val="24"/>
          <w:szCs w:val="24"/>
          <w:highlight w:val="none"/>
        </w:rPr>
        <w:t>近三年内，在经营活动中没有重大违法记录的声明</w:t>
      </w:r>
    </w:p>
    <w:p>
      <w:pPr>
        <w:spacing w:line="360" w:lineRule="auto"/>
        <w:rPr>
          <w:rFonts w:ascii="宋体" w:cs="宋体"/>
          <w:color w:val="000000"/>
          <w:sz w:val="24"/>
          <w:szCs w:val="24"/>
          <w:highlight w:val="none"/>
        </w:rPr>
      </w:pP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lang w:eastAsia="zh-CN"/>
        </w:rPr>
        <w:t>新疆同创博远项目管理咨询有限责任公司</w:t>
      </w:r>
      <w:r>
        <w:rPr>
          <w:rFonts w:hint="eastAsia" w:ascii="宋体" w:hAnsi="宋体" w:cs="宋体"/>
          <w:color w:val="000000"/>
          <w:sz w:val="24"/>
          <w:szCs w:val="24"/>
          <w:highlight w:val="none"/>
        </w:rPr>
        <w:t>：</w:t>
      </w:r>
    </w:p>
    <w:p>
      <w:pPr>
        <w:spacing w:line="360" w:lineRule="auto"/>
        <w:rPr>
          <w:rFonts w:ascii="宋体" w:cs="宋体"/>
          <w:color w:val="000000"/>
          <w:sz w:val="24"/>
          <w:szCs w:val="24"/>
          <w:highlight w:val="none"/>
        </w:rPr>
      </w:pPr>
    </w:p>
    <w:p>
      <w:pPr>
        <w:spacing w:line="36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我公司在近三年（</w:t>
      </w:r>
      <w:r>
        <w:rPr>
          <w:rFonts w:ascii="宋体" w:hAnsi="宋体" w:cs="宋体"/>
          <w:color w:val="000000"/>
          <w:sz w:val="24"/>
          <w:szCs w:val="24"/>
          <w:highlight w:val="none"/>
        </w:rPr>
        <w:t>20</w:t>
      </w:r>
      <w:r>
        <w:rPr>
          <w:rFonts w:hint="eastAsia" w:ascii="宋体" w:hAnsi="宋体" w:cs="宋体"/>
          <w:color w:val="000000"/>
          <w:sz w:val="24"/>
          <w:szCs w:val="24"/>
          <w:highlight w:val="none"/>
          <w:lang w:val="en-US" w:eastAsia="zh-CN"/>
        </w:rPr>
        <w:t>21</w:t>
      </w:r>
      <w:r>
        <w:rPr>
          <w:rFonts w:hint="eastAsia" w:ascii="宋体" w:hAnsi="宋体" w:cs="宋体"/>
          <w:color w:val="000000"/>
          <w:sz w:val="24"/>
          <w:szCs w:val="24"/>
          <w:highlight w:val="none"/>
        </w:rPr>
        <w:t>年</w:t>
      </w:r>
      <w:r>
        <w:rPr>
          <w:rFonts w:ascii="宋体" w:cs="宋体"/>
          <w:color w:val="000000"/>
          <w:sz w:val="24"/>
          <w:szCs w:val="24"/>
          <w:highlight w:val="none"/>
        </w:rPr>
        <w:t>-</w:t>
      </w:r>
      <w:r>
        <w:rPr>
          <w:rFonts w:hint="eastAsia" w:ascii="宋体" w:hAnsi="宋体" w:cs="宋体"/>
          <w:color w:val="000000"/>
          <w:sz w:val="24"/>
          <w:szCs w:val="24"/>
          <w:highlight w:val="none"/>
        </w:rPr>
        <w:t>至今）内，在经营活动中没有重大违法记录（</w:t>
      </w:r>
      <w:r>
        <w:rPr>
          <w:rFonts w:hint="eastAsia" w:ascii="宋体" w:hAnsi="宋体" w:cs="宋体"/>
          <w:color w:val="000000"/>
          <w:kern w:val="0"/>
          <w:sz w:val="24"/>
          <w:szCs w:val="24"/>
          <w:highlight w:val="none"/>
        </w:rPr>
        <w:t>因违法经营受到刑事处罚或者责令停产停业、吊销许可证或者执照、较大数额罚款等行政处罚</w:t>
      </w:r>
      <w:r>
        <w:rPr>
          <w:rFonts w:hint="eastAsia" w:ascii="宋体" w:hAnsi="宋体" w:cs="宋体"/>
          <w:color w:val="000000"/>
          <w:sz w:val="24"/>
          <w:szCs w:val="24"/>
          <w:highlight w:val="none"/>
        </w:rPr>
        <w:t>）。</w:t>
      </w:r>
    </w:p>
    <w:p>
      <w:pPr>
        <w:spacing w:line="360" w:lineRule="auto"/>
        <w:rPr>
          <w:rFonts w:ascii="宋体" w:cs="宋体"/>
          <w:color w:val="000000"/>
          <w:sz w:val="24"/>
          <w:szCs w:val="24"/>
          <w:highlight w:val="none"/>
        </w:rPr>
      </w:pPr>
    </w:p>
    <w:p>
      <w:pPr>
        <w:spacing w:line="36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特此声明。</w:t>
      </w:r>
    </w:p>
    <w:p>
      <w:pPr>
        <w:spacing w:line="360" w:lineRule="auto"/>
        <w:ind w:firstLine="480" w:firstLineChars="200"/>
        <w:rPr>
          <w:rFonts w:ascii="宋体" w:cs="宋体"/>
          <w:color w:val="000000"/>
          <w:sz w:val="24"/>
          <w:szCs w:val="24"/>
          <w:highlight w:val="none"/>
        </w:rPr>
      </w:pPr>
    </w:p>
    <w:p>
      <w:pPr>
        <w:spacing w:line="360" w:lineRule="auto"/>
        <w:ind w:firstLine="480" w:firstLineChars="200"/>
        <w:rPr>
          <w:rFonts w:ascii="宋体" w:cs="宋体"/>
          <w:color w:val="000000"/>
          <w:sz w:val="24"/>
          <w:szCs w:val="24"/>
          <w:highlight w:val="none"/>
        </w:rPr>
      </w:pPr>
    </w:p>
    <w:p>
      <w:pPr>
        <w:spacing w:line="360" w:lineRule="auto"/>
        <w:ind w:firstLine="480" w:firstLineChars="200"/>
        <w:rPr>
          <w:rFonts w:ascii="宋体" w:cs="宋体"/>
          <w:color w:val="000000"/>
          <w:sz w:val="24"/>
          <w:szCs w:val="24"/>
          <w:highlight w:val="none"/>
        </w:rPr>
      </w:pPr>
    </w:p>
    <w:p>
      <w:pPr>
        <w:spacing w:line="360" w:lineRule="auto"/>
        <w:ind w:firstLine="480" w:firstLineChars="200"/>
        <w:rPr>
          <w:rFonts w:ascii="宋体" w:cs="宋体"/>
          <w:color w:val="000000"/>
          <w:sz w:val="24"/>
          <w:szCs w:val="24"/>
          <w:highlight w:val="none"/>
        </w:rPr>
      </w:pPr>
    </w:p>
    <w:p>
      <w:pPr>
        <w:spacing w:line="360" w:lineRule="auto"/>
        <w:ind w:firstLine="480" w:firstLineChars="200"/>
        <w:rPr>
          <w:rFonts w:ascii="宋体" w:cs="宋体"/>
          <w:color w:val="000000"/>
          <w:sz w:val="24"/>
          <w:szCs w:val="24"/>
          <w:highlight w:val="none"/>
        </w:rPr>
      </w:pPr>
    </w:p>
    <w:p>
      <w:pPr>
        <w:spacing w:line="360" w:lineRule="auto"/>
        <w:rPr>
          <w:rFonts w:ascii="宋体" w:cs="宋体"/>
          <w:color w:val="000000"/>
          <w:sz w:val="24"/>
          <w:szCs w:val="24"/>
          <w:highlight w:val="none"/>
        </w:rPr>
      </w:pPr>
    </w:p>
    <w:p>
      <w:pPr>
        <w:spacing w:line="360" w:lineRule="auto"/>
        <w:ind w:firstLine="480" w:firstLineChars="200"/>
        <w:rPr>
          <w:rFonts w:ascii="宋体" w:cs="宋体"/>
          <w:color w:val="000000"/>
          <w:sz w:val="24"/>
          <w:szCs w:val="24"/>
          <w:highlight w:val="none"/>
        </w:rPr>
      </w:pPr>
    </w:p>
    <w:p>
      <w:pPr>
        <w:spacing w:line="360" w:lineRule="auto"/>
        <w:ind w:firstLine="480" w:firstLineChars="200"/>
        <w:rPr>
          <w:rFonts w:ascii="宋体" w:cs="宋体"/>
          <w:color w:val="000000"/>
          <w:sz w:val="24"/>
          <w:szCs w:val="24"/>
          <w:highlight w:val="none"/>
        </w:rPr>
      </w:pPr>
    </w:p>
    <w:p>
      <w:pPr>
        <w:spacing w:line="360" w:lineRule="auto"/>
        <w:rPr>
          <w:rFonts w:ascii="宋体" w:cs="宋体"/>
          <w:color w:val="000000"/>
          <w:sz w:val="24"/>
          <w:szCs w:val="24"/>
          <w:highlight w:val="none"/>
        </w:rPr>
      </w:pPr>
    </w:p>
    <w:p>
      <w:pPr>
        <w:spacing w:line="360" w:lineRule="auto"/>
        <w:ind w:firstLine="480" w:firstLineChars="200"/>
        <w:rPr>
          <w:rFonts w:ascii="宋体" w:cs="宋体"/>
          <w:color w:val="000000"/>
          <w:sz w:val="24"/>
          <w:szCs w:val="24"/>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pPr>
        <w:pStyle w:val="20"/>
        <w:rPr>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投标人名称</w:t>
      </w:r>
      <w:r>
        <w:rPr>
          <w:rFonts w:hint="eastAsia" w:ascii="宋体" w:hAnsi="宋体"/>
          <w:sz w:val="24"/>
          <w:highlight w:val="none"/>
        </w:rPr>
        <w:t>（加盖单位公章</w:t>
      </w:r>
      <w:r>
        <w:rPr>
          <w:rFonts w:hint="eastAsia" w:ascii="宋体" w:hAnsi="宋体" w:cs="宋体"/>
          <w:sz w:val="24"/>
          <w:szCs w:val="24"/>
          <w:highlight w:val="none"/>
          <w:lang w:val="en-US" w:eastAsia="zh-CN"/>
        </w:rPr>
        <w:t>或电子章</w:t>
      </w:r>
      <w:r>
        <w:rPr>
          <w:rFonts w:hint="eastAsia" w:ascii="宋体" w:hAnsi="宋体"/>
          <w:sz w:val="24"/>
          <w:highlight w:val="none"/>
        </w:rPr>
        <w:t>）</w:t>
      </w:r>
      <w:r>
        <w:rPr>
          <w:rFonts w:hint="eastAsia" w:ascii="宋体" w:hAnsi="宋体" w:cs="宋体"/>
          <w:sz w:val="24"/>
          <w:szCs w:val="24"/>
          <w:highlight w:val="none"/>
        </w:rPr>
        <w:t>：</w:t>
      </w:r>
    </w:p>
    <w:p>
      <w:pPr>
        <w:pStyle w:val="20"/>
        <w:rPr>
          <w:highlight w:val="none"/>
        </w:rPr>
      </w:pPr>
    </w:p>
    <w:p>
      <w:pPr>
        <w:pStyle w:val="20"/>
        <w:jc w:val="right"/>
        <w:rPr>
          <w:highlight w:val="none"/>
        </w:rPr>
      </w:pPr>
      <w:r>
        <w:rPr>
          <w:rFonts w:hint="eastAsia"/>
          <w:highlight w:val="none"/>
        </w:rPr>
        <w:t>日期：</w:t>
      </w:r>
    </w:p>
    <w:p>
      <w:pPr>
        <w:pStyle w:val="20"/>
        <w:rPr>
          <w:highlight w:val="none"/>
        </w:rPr>
      </w:pPr>
    </w:p>
    <w:bookmarkEnd w:id="123"/>
    <w:bookmarkEnd w:id="124"/>
    <w:bookmarkEnd w:id="125"/>
    <w:p>
      <w:pPr>
        <w:widowControl/>
        <w:jc w:val="left"/>
        <w:rPr>
          <w:rFonts w:ascii="宋体" w:cs="宋体"/>
          <w:sz w:val="24"/>
          <w:szCs w:val="24"/>
          <w:highlight w:val="none"/>
        </w:rPr>
      </w:pPr>
      <w:bookmarkStart w:id="131" w:name="_Toc497167409"/>
      <w:bookmarkStart w:id="132" w:name="_Toc2355261"/>
      <w:bookmarkStart w:id="133" w:name="_Toc2512003"/>
      <w:r>
        <w:rPr>
          <w:rFonts w:ascii="宋体" w:cs="宋体"/>
          <w:sz w:val="24"/>
          <w:szCs w:val="24"/>
          <w:highlight w:val="none"/>
        </w:rPr>
        <w:br w:type="page"/>
      </w:r>
    </w:p>
    <w:p>
      <w:pPr>
        <w:pStyle w:val="5"/>
        <w:rPr>
          <w:rFonts w:ascii="宋体" w:cs="宋体"/>
          <w:sz w:val="32"/>
          <w:szCs w:val="24"/>
          <w:highlight w:val="none"/>
        </w:rPr>
      </w:pPr>
      <w:bookmarkStart w:id="134" w:name="_Toc44704917"/>
      <w:bookmarkStart w:id="135" w:name="_Toc25872"/>
      <w:bookmarkStart w:id="136" w:name="_Toc44705064"/>
      <w:bookmarkStart w:id="137" w:name="_Toc24788"/>
      <w:bookmarkStart w:id="138" w:name="_Toc44705285"/>
      <w:r>
        <w:rPr>
          <w:rFonts w:ascii="宋体" w:hAnsi="宋体" w:cs="宋体"/>
          <w:sz w:val="32"/>
          <w:szCs w:val="24"/>
          <w:highlight w:val="none"/>
        </w:rPr>
        <w:t>1.6</w:t>
      </w:r>
      <w:bookmarkEnd w:id="134"/>
      <w:bookmarkEnd w:id="135"/>
      <w:bookmarkEnd w:id="136"/>
      <w:bookmarkEnd w:id="137"/>
      <w:bookmarkEnd w:id="138"/>
      <w:r>
        <w:rPr>
          <w:rFonts w:hint="eastAsia" w:ascii="宋体" w:hAnsi="宋体" w:cs="宋体"/>
          <w:sz w:val="32"/>
          <w:szCs w:val="24"/>
          <w:highlight w:val="none"/>
        </w:rPr>
        <w:t>落实政府采购政策需满足的资格要求</w:t>
      </w:r>
    </w:p>
    <w:p>
      <w:pPr>
        <w:spacing w:line="360" w:lineRule="auto"/>
        <w:rPr>
          <w:rFonts w:ascii="宋体" w:cs="宋体"/>
          <w:sz w:val="24"/>
          <w:szCs w:val="24"/>
          <w:highlight w:val="none"/>
        </w:rPr>
      </w:pPr>
      <w:r>
        <w:rPr>
          <w:rFonts w:hint="eastAsia" w:ascii="宋体" w:hAnsi="宋体" w:cs="宋体"/>
          <w:sz w:val="24"/>
          <w:szCs w:val="24"/>
          <w:highlight w:val="none"/>
        </w:rPr>
        <w:t>（加盖单位公章</w:t>
      </w:r>
      <w:r>
        <w:rPr>
          <w:rFonts w:hint="eastAsia" w:ascii="宋体" w:hAnsi="宋体" w:cs="宋体"/>
          <w:sz w:val="24"/>
          <w:szCs w:val="24"/>
          <w:highlight w:val="none"/>
          <w:lang w:val="en-US" w:eastAsia="zh-CN"/>
        </w:rPr>
        <w:t>或电子章</w:t>
      </w:r>
      <w:r>
        <w:rPr>
          <w:rFonts w:hint="eastAsia" w:ascii="宋体" w:hAnsi="宋体" w:cs="宋体"/>
          <w:sz w:val="24"/>
          <w:szCs w:val="24"/>
          <w:highlight w:val="none"/>
        </w:rPr>
        <w:t>）</w:t>
      </w:r>
      <w:bookmarkEnd w:id="131"/>
      <w:bookmarkEnd w:id="132"/>
      <w:bookmarkEnd w:id="133"/>
    </w:p>
    <w:p>
      <w:pPr>
        <w:spacing w:line="360" w:lineRule="auto"/>
        <w:rPr>
          <w:rFonts w:ascii="宋体" w:cs="宋体"/>
          <w:b/>
          <w:color w:val="000000"/>
          <w:sz w:val="24"/>
          <w:szCs w:val="24"/>
          <w:highlight w:val="none"/>
        </w:rPr>
      </w:pPr>
      <w:r>
        <w:rPr>
          <w:rFonts w:ascii="宋体" w:hAnsi="宋体" w:cs="宋体"/>
          <w:b/>
          <w:color w:val="000000"/>
          <w:sz w:val="24"/>
          <w:szCs w:val="24"/>
          <w:highlight w:val="none"/>
        </w:rPr>
        <w:t>1.6.1</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注：</w:t>
      </w:r>
      <w:r>
        <w:rPr>
          <w:rFonts w:ascii="宋体" w:hAnsi="宋体" w:cs="宋体"/>
          <w:color w:val="000000"/>
          <w:sz w:val="24"/>
          <w:szCs w:val="24"/>
          <w:highlight w:val="none"/>
        </w:rPr>
        <w:t>1</w:t>
      </w:r>
      <w:r>
        <w:rPr>
          <w:rFonts w:hint="eastAsia" w:ascii="宋体" w:hAnsi="宋体" w:cs="宋体"/>
          <w:color w:val="000000"/>
          <w:sz w:val="24"/>
          <w:szCs w:val="24"/>
          <w:highlight w:val="none"/>
        </w:rPr>
        <w:t>、投标人应当根据自身存在的情形，如实披露与本单位负责人为同一人或者存在直接控股、管理关系的供应商情况。</w:t>
      </w:r>
    </w:p>
    <w:p>
      <w:pPr>
        <w:spacing w:line="360" w:lineRule="auto"/>
        <w:ind w:firstLine="480" w:firstLineChars="200"/>
        <w:rPr>
          <w:rFonts w:ascii="宋体" w:cs="宋体"/>
          <w:kern w:val="0"/>
          <w:sz w:val="24"/>
          <w:szCs w:val="24"/>
          <w:highlight w:val="none"/>
          <w:lang w:val="zh-CN"/>
        </w:rPr>
      </w:pPr>
      <w:r>
        <w:rPr>
          <w:rFonts w:ascii="宋体" w:hAnsi="宋体" w:cs="宋体"/>
          <w:kern w:val="0"/>
          <w:sz w:val="24"/>
          <w:szCs w:val="24"/>
          <w:highlight w:val="none"/>
          <w:lang w:val="zh-CN"/>
        </w:rPr>
        <w:t>2</w:t>
      </w:r>
      <w:r>
        <w:rPr>
          <w:rFonts w:hint="eastAsia" w:ascii="宋体" w:hAnsi="宋体" w:cs="宋体"/>
          <w:kern w:val="0"/>
          <w:sz w:val="24"/>
          <w:szCs w:val="24"/>
          <w:highlight w:val="none"/>
          <w:lang w:val="zh-CN"/>
        </w:rPr>
        <w:t>、单位负责人为同一人或者存在直接控股、管理关系的不同供应商，同时参加本项目同一包的投标，相关投标均无效。</w:t>
      </w:r>
    </w:p>
    <w:p>
      <w:pPr>
        <w:pStyle w:val="20"/>
        <w:ind w:firstLine="480" w:firstLineChars="200"/>
        <w:rPr>
          <w:rFonts w:ascii="宋体"/>
          <w:highlight w:val="none"/>
          <w:lang w:val="zh-CN"/>
        </w:rPr>
      </w:pPr>
      <w:r>
        <w:rPr>
          <w:rFonts w:ascii="宋体" w:hAnsi="宋体"/>
          <w:highlight w:val="none"/>
          <w:lang w:val="zh-CN"/>
        </w:rPr>
        <w:t>3.</w:t>
      </w:r>
      <w:r>
        <w:rPr>
          <w:highlight w:val="none"/>
        </w:rPr>
        <w:t xml:space="preserve"> </w:t>
      </w:r>
      <w:r>
        <w:rPr>
          <w:rFonts w:hint="eastAsia" w:ascii="宋体" w:hAnsi="宋体"/>
          <w:highlight w:val="none"/>
          <w:lang w:val="zh-CN"/>
        </w:rPr>
        <w:t>为本项目某包提供整体设计、规范编制或者项目管理、监理、检测等服务的供应商，不得参加该包的投标；</w:t>
      </w:r>
    </w:p>
    <w:p>
      <w:pPr>
        <w:spacing w:line="360" w:lineRule="auto"/>
        <w:rPr>
          <w:rFonts w:ascii="宋体" w:cs="宋体"/>
          <w:color w:val="000000"/>
          <w:sz w:val="24"/>
          <w:szCs w:val="24"/>
          <w:highlight w:val="none"/>
        </w:rPr>
      </w:pP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（如不存在上述情况，请提供如下声明）</w:t>
      </w:r>
    </w:p>
    <w:p>
      <w:pPr>
        <w:spacing w:line="360" w:lineRule="auto"/>
        <w:rPr>
          <w:rFonts w:ascii="宋体" w:cs="宋体"/>
          <w:color w:val="000000"/>
          <w:sz w:val="24"/>
          <w:szCs w:val="24"/>
          <w:highlight w:val="none"/>
        </w:rPr>
      </w:pP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lang w:eastAsia="zh-CN"/>
        </w:rPr>
        <w:t>新疆同创博远项目管理咨询有限责任公司</w:t>
      </w:r>
      <w:r>
        <w:rPr>
          <w:rFonts w:hint="eastAsia" w:ascii="宋体" w:hAnsi="宋体" w:cs="宋体"/>
          <w:color w:val="000000"/>
          <w:sz w:val="24"/>
          <w:szCs w:val="24"/>
          <w:highlight w:val="none"/>
        </w:rPr>
        <w:t>：</w:t>
      </w:r>
    </w:p>
    <w:p>
      <w:pPr>
        <w:spacing w:line="36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我单位负责人</w:t>
      </w:r>
      <w:r>
        <w:rPr>
          <w:rFonts w:hint="eastAsia" w:ascii="宋体" w:hAnsi="宋体" w:cs="宋体"/>
          <w:color w:val="000000"/>
          <w:sz w:val="24"/>
          <w:szCs w:val="24"/>
          <w:highlight w:val="none"/>
          <w:u w:val="single"/>
        </w:rPr>
        <w:t>（负责人姓名、身份证号）</w:t>
      </w:r>
      <w:r>
        <w:rPr>
          <w:rFonts w:hint="eastAsia" w:ascii="宋体" w:hAnsi="宋体" w:cs="宋体"/>
          <w:color w:val="000000"/>
          <w:sz w:val="24"/>
          <w:szCs w:val="24"/>
          <w:highlight w:val="none"/>
        </w:rPr>
        <w:t>，不存在与我单位负责人为同一人的不同供应商同时参加本项目同一包投标的情形。</w:t>
      </w:r>
    </w:p>
    <w:p>
      <w:pPr>
        <w:spacing w:line="36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与我单位存在直接控股、管理关系的单位</w:t>
      </w:r>
      <w:r>
        <w:rPr>
          <w:rFonts w:hint="eastAsia" w:ascii="宋体" w:hAnsi="宋体" w:cs="宋体"/>
          <w:color w:val="000000"/>
          <w:sz w:val="24"/>
          <w:szCs w:val="24"/>
          <w:highlight w:val="none"/>
          <w:u w:val="single"/>
        </w:rPr>
        <w:t>（单位名称，如没有填“无”）</w:t>
      </w:r>
      <w:r>
        <w:rPr>
          <w:rFonts w:hint="eastAsia" w:ascii="宋体" w:hAnsi="宋体" w:cs="宋体"/>
          <w:color w:val="000000"/>
          <w:sz w:val="24"/>
          <w:szCs w:val="24"/>
          <w:highlight w:val="none"/>
        </w:rPr>
        <w:t>，不存在与我单位存在直接控股、管理管理的不同供应商同时参加本项目同一包投标的情形。</w:t>
      </w:r>
    </w:p>
    <w:p>
      <w:pPr>
        <w:pStyle w:val="20"/>
        <w:ind w:firstLine="480" w:firstLineChars="200"/>
        <w:rPr>
          <w:highlight w:val="none"/>
        </w:rPr>
      </w:pPr>
      <w:r>
        <w:rPr>
          <w:rFonts w:hint="eastAsia"/>
          <w:highlight w:val="none"/>
        </w:rPr>
        <w:t>我单位不为本项目某包提供整体设计、规范编制或者项目管理、监理、检测等服务的供应商。</w:t>
      </w:r>
    </w:p>
    <w:p>
      <w:pPr>
        <w:spacing w:line="360" w:lineRule="auto"/>
        <w:ind w:firstLine="482" w:firstLineChars="200"/>
        <w:rPr>
          <w:rFonts w:ascii="宋体" w:cs="宋体"/>
          <w:color w:val="000000"/>
          <w:sz w:val="24"/>
          <w:szCs w:val="24"/>
          <w:highlight w:val="none"/>
        </w:rPr>
      </w:pPr>
      <w:r>
        <w:rPr>
          <w:rFonts w:hint="eastAsia" w:ascii="宋体" w:hAnsi="宋体" w:cs="宋体"/>
          <w:b/>
          <w:color w:val="000000"/>
          <w:sz w:val="24"/>
          <w:highlight w:val="none"/>
        </w:rPr>
        <w:t>我单位确认本</w:t>
      </w:r>
      <w:r>
        <w:rPr>
          <w:rFonts w:hint="eastAsia" w:ascii="宋体" w:hAnsi="宋体" w:cs="宋体"/>
          <w:b/>
          <w:sz w:val="24"/>
          <w:highlight w:val="none"/>
        </w:rPr>
        <w:t>声明是真实的、正确的，如有虚假，相应后果和法律责任均由我单位承担</w:t>
      </w:r>
      <w:r>
        <w:rPr>
          <w:rFonts w:hint="eastAsia" w:ascii="宋体" w:hAnsi="宋体" w:cs="宋体"/>
          <w:color w:val="000000"/>
          <w:sz w:val="24"/>
          <w:szCs w:val="24"/>
          <w:highlight w:val="none"/>
        </w:rPr>
        <w:t>。</w:t>
      </w:r>
    </w:p>
    <w:p>
      <w:pPr>
        <w:spacing w:line="36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特此声明。</w:t>
      </w:r>
    </w:p>
    <w:p>
      <w:pPr>
        <w:pStyle w:val="20"/>
        <w:rPr>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pPr>
        <w:pStyle w:val="20"/>
        <w:rPr>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投标人名称（加盖单位公章或电子章）：</w:t>
      </w:r>
    </w:p>
    <w:p>
      <w:pPr>
        <w:pStyle w:val="20"/>
        <w:rPr>
          <w:highlight w:val="none"/>
        </w:rPr>
      </w:pPr>
    </w:p>
    <w:p>
      <w:pPr>
        <w:spacing w:line="360" w:lineRule="auto"/>
        <w:jc w:val="right"/>
        <w:rPr>
          <w:rFonts w:ascii="宋体" w:cs="宋体"/>
          <w:color w:val="000000"/>
          <w:szCs w:val="21"/>
          <w:highlight w:val="none"/>
        </w:rPr>
      </w:pPr>
      <w:r>
        <w:rPr>
          <w:rFonts w:hint="eastAsia" w:ascii="宋体" w:hAnsi="宋体" w:cs="宋体"/>
          <w:sz w:val="24"/>
          <w:szCs w:val="24"/>
          <w:highlight w:val="none"/>
        </w:rPr>
        <w:t>日期：</w:t>
      </w:r>
    </w:p>
    <w:p>
      <w:pPr>
        <w:widowControl/>
        <w:spacing w:line="360" w:lineRule="auto"/>
        <w:jc w:val="left"/>
        <w:rPr>
          <w:rFonts w:ascii="宋体" w:cs="宋体"/>
          <w:b/>
          <w:sz w:val="36"/>
          <w:szCs w:val="36"/>
          <w:highlight w:val="none"/>
        </w:rPr>
      </w:pPr>
      <w:r>
        <w:rPr>
          <w:rFonts w:ascii="宋体" w:cs="宋体"/>
          <w:color w:val="000000"/>
          <w:szCs w:val="21"/>
          <w:highlight w:val="none"/>
        </w:rPr>
        <w:br w:type="page"/>
      </w:r>
      <w:bookmarkStart w:id="139" w:name="_Toc14776855"/>
      <w:bookmarkStart w:id="140" w:name="_Toc2355263"/>
      <w:bookmarkStart w:id="141" w:name="_Toc2512005"/>
      <w:bookmarkStart w:id="142" w:name="_Hlk521595300"/>
      <w:r>
        <w:rPr>
          <w:rFonts w:ascii="宋体" w:hAnsi="宋体" w:cs="宋体"/>
          <w:b/>
          <w:sz w:val="24"/>
          <w:szCs w:val="24"/>
          <w:highlight w:val="none"/>
        </w:rPr>
        <w:t>1.6.2</w:t>
      </w:r>
      <w:r>
        <w:rPr>
          <w:rFonts w:hint="eastAsia" w:ascii="宋体" w:hAnsi="宋体" w:cs="宋体"/>
          <w:b/>
          <w:sz w:val="24"/>
          <w:szCs w:val="24"/>
          <w:highlight w:val="none"/>
        </w:rPr>
        <w:t>信用查询</w:t>
      </w:r>
      <w:bookmarkEnd w:id="139"/>
    </w:p>
    <w:p>
      <w:pPr>
        <w:spacing w:line="360" w:lineRule="auto"/>
        <w:rPr>
          <w:rFonts w:ascii="宋体" w:cs="宋体"/>
          <w:b/>
          <w:color w:val="000000"/>
          <w:sz w:val="24"/>
          <w:szCs w:val="24"/>
          <w:highlight w:val="none"/>
        </w:rPr>
      </w:pPr>
      <w:r>
        <w:rPr>
          <w:rFonts w:hint="eastAsia" w:ascii="宋体" w:hAnsi="宋体" w:cs="宋体"/>
          <w:b/>
          <w:sz w:val="24"/>
          <w:szCs w:val="24"/>
          <w:highlight w:val="none"/>
        </w:rPr>
        <w:t>通过“信用中国”网站（</w:t>
      </w:r>
      <w:r>
        <w:rPr>
          <w:rFonts w:ascii="宋体" w:hAnsi="宋体" w:cs="宋体"/>
          <w:b/>
          <w:sz w:val="24"/>
          <w:szCs w:val="24"/>
          <w:highlight w:val="none"/>
        </w:rPr>
        <w:t>www.creditchina.gov.cn</w:t>
      </w:r>
      <w:r>
        <w:rPr>
          <w:rFonts w:hint="eastAsia" w:ascii="宋体" w:hAnsi="宋体" w:cs="宋体"/>
          <w:b/>
          <w:sz w:val="24"/>
          <w:szCs w:val="24"/>
          <w:highlight w:val="none"/>
        </w:rPr>
        <w:t>）和中国政府采购网（</w:t>
      </w:r>
      <w:r>
        <w:rPr>
          <w:rFonts w:ascii="宋体" w:hAnsi="宋体" w:cs="宋体"/>
          <w:b/>
          <w:sz w:val="24"/>
          <w:szCs w:val="24"/>
          <w:highlight w:val="none"/>
        </w:rPr>
        <w:t>www.ccgp.gov.cn</w:t>
      </w:r>
      <w:r>
        <w:rPr>
          <w:rFonts w:hint="eastAsia" w:ascii="宋体" w:hAnsi="宋体" w:cs="宋体"/>
          <w:b/>
          <w:sz w:val="24"/>
          <w:szCs w:val="24"/>
          <w:highlight w:val="none"/>
        </w:rPr>
        <w:t>）查询信用记录（截止时间点为投标截止时间），（截图复印件加盖投标人公章）被列入失信被执行人、重大税收违法案件当事人名单或政府采购严重违法失信行为记录名单的供应商，没有资格参加本项目的采购活动</w:t>
      </w:r>
      <w:bookmarkEnd w:id="140"/>
      <w:bookmarkEnd w:id="141"/>
    </w:p>
    <w:bookmarkEnd w:id="142"/>
    <w:p>
      <w:pPr>
        <w:spacing w:line="360" w:lineRule="auto"/>
        <w:rPr>
          <w:rFonts w:ascii="宋体" w:cs="宋体"/>
          <w:color w:val="000000"/>
          <w:szCs w:val="21"/>
          <w:highlight w:val="none"/>
          <w:u w:val="single"/>
        </w:rPr>
      </w:pPr>
    </w:p>
    <w:p>
      <w:pPr>
        <w:spacing w:line="360" w:lineRule="auto"/>
        <w:rPr>
          <w:rFonts w:ascii="宋体" w:cs="宋体"/>
          <w:color w:val="000000"/>
          <w:sz w:val="24"/>
          <w:szCs w:val="24"/>
          <w:highlight w:val="none"/>
        </w:rPr>
      </w:pPr>
    </w:p>
    <w:p>
      <w:pPr>
        <w:spacing w:line="360" w:lineRule="auto"/>
        <w:rPr>
          <w:rFonts w:ascii="宋体" w:cs="宋体"/>
          <w:sz w:val="24"/>
          <w:szCs w:val="24"/>
          <w:highlight w:val="none"/>
        </w:rPr>
      </w:pPr>
    </w:p>
    <w:p>
      <w:pPr>
        <w:spacing w:line="360" w:lineRule="auto"/>
        <w:ind w:firstLine="5280" w:firstLineChars="2200"/>
        <w:rPr>
          <w:rFonts w:ascii="宋体" w:cs="宋体"/>
          <w:color w:val="000000"/>
          <w:sz w:val="24"/>
          <w:szCs w:val="24"/>
          <w:highlight w:val="none"/>
        </w:rPr>
      </w:pPr>
    </w:p>
    <w:p>
      <w:pPr>
        <w:spacing w:line="360" w:lineRule="auto"/>
        <w:ind w:firstLine="6385" w:firstLineChars="2650"/>
        <w:rPr>
          <w:rFonts w:ascii="宋体" w:cs="宋体"/>
          <w:b/>
          <w:color w:val="000000"/>
          <w:sz w:val="24"/>
          <w:szCs w:val="24"/>
          <w:highlight w:val="none"/>
        </w:rPr>
      </w:pPr>
    </w:p>
    <w:p>
      <w:pPr>
        <w:spacing w:line="360" w:lineRule="auto"/>
        <w:rPr>
          <w:rFonts w:ascii="宋体" w:cs="宋体"/>
          <w:b/>
          <w:color w:val="000000"/>
          <w:sz w:val="24"/>
          <w:szCs w:val="24"/>
          <w:highlight w:val="none"/>
        </w:rPr>
      </w:pPr>
      <w:r>
        <w:rPr>
          <w:rFonts w:hint="eastAsia" w:ascii="宋体" w:hAnsi="宋体" w:cs="宋体"/>
          <w:b/>
          <w:color w:val="000000"/>
          <w:sz w:val="24"/>
          <w:szCs w:val="24"/>
          <w:highlight w:val="none"/>
        </w:rPr>
        <w:t>说</w:t>
      </w:r>
      <w:r>
        <w:rPr>
          <w:rFonts w:hint="eastAsia" w:ascii="宋体" w:hAnsi="宋体" w:cs="宋体"/>
          <w:b/>
          <w:sz w:val="24"/>
          <w:szCs w:val="24"/>
          <w:highlight w:val="none"/>
        </w:rPr>
        <w:t>明：</w:t>
      </w:r>
    </w:p>
    <w:p>
      <w:pPr>
        <w:spacing w:line="360" w:lineRule="auto"/>
        <w:ind w:firstLine="480" w:firstLineChars="200"/>
        <w:rPr>
          <w:rFonts w:ascii="宋体" w:cs="宋体"/>
          <w:color w:val="000000"/>
          <w:kern w:val="0"/>
          <w:sz w:val="24"/>
          <w:szCs w:val="24"/>
          <w:highlight w:val="none"/>
        </w:rPr>
      </w:pPr>
      <w:r>
        <w:rPr>
          <w:rFonts w:ascii="宋体" w:hAnsi="宋体" w:cs="宋体"/>
          <w:color w:val="000000"/>
          <w:sz w:val="24"/>
          <w:szCs w:val="24"/>
          <w:highlight w:val="none"/>
        </w:rPr>
        <w:t>1</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rPr>
        <w:t>信用信息查询渠道：信用中国网站（</w:t>
      </w:r>
      <w:r>
        <w:rPr>
          <w:rFonts w:ascii="宋体" w:hAnsi="宋体" w:cs="宋体"/>
          <w:color w:val="000000"/>
          <w:kern w:val="0"/>
          <w:sz w:val="24"/>
          <w:szCs w:val="24"/>
          <w:highlight w:val="none"/>
        </w:rPr>
        <w:t>www.creditchina.gov.cn</w:t>
      </w:r>
      <w:r>
        <w:rPr>
          <w:rFonts w:hint="eastAsia" w:ascii="宋体" w:hAnsi="宋体" w:cs="宋体"/>
          <w:color w:val="000000"/>
          <w:kern w:val="0"/>
          <w:sz w:val="24"/>
          <w:szCs w:val="24"/>
          <w:highlight w:val="none"/>
        </w:rPr>
        <w:t>）和中国政府采购网</w:t>
      </w:r>
      <w:r>
        <w:rPr>
          <w:rFonts w:ascii="宋体" w:cs="宋体"/>
          <w:color w:val="000000"/>
          <w:kern w:val="0"/>
          <w:sz w:val="24"/>
          <w:szCs w:val="24"/>
          <w:highlight w:val="none"/>
        </w:rPr>
        <w:t>-</w:t>
      </w:r>
      <w:r>
        <w:rPr>
          <w:rFonts w:hint="eastAsia" w:ascii="宋体" w:hAnsi="宋体" w:cs="宋体"/>
          <w:color w:val="000000"/>
          <w:kern w:val="0"/>
          <w:sz w:val="24"/>
          <w:szCs w:val="24"/>
          <w:highlight w:val="none"/>
        </w:rPr>
        <w:t>政府采购严重违法失信行为信息记录（</w:t>
      </w:r>
      <w:r>
        <w:rPr>
          <w:rFonts w:ascii="宋体" w:hAnsi="宋体" w:cs="宋体"/>
          <w:color w:val="000000"/>
          <w:kern w:val="0"/>
          <w:sz w:val="24"/>
          <w:szCs w:val="24"/>
          <w:highlight w:val="none"/>
        </w:rPr>
        <w:t>www.ccgp.gov.cn/cr/list</w:t>
      </w:r>
      <w:r>
        <w:rPr>
          <w:rFonts w:hint="eastAsia" w:ascii="宋体" w:hAnsi="宋体" w:cs="宋体"/>
          <w:color w:val="000000"/>
          <w:kern w:val="0"/>
          <w:sz w:val="24"/>
          <w:szCs w:val="24"/>
          <w:highlight w:val="none"/>
        </w:rPr>
        <w:t>）；</w:t>
      </w:r>
    </w:p>
    <w:p>
      <w:pPr>
        <w:spacing w:line="360" w:lineRule="auto"/>
        <w:ind w:firstLine="480" w:firstLineChars="200"/>
        <w:rPr>
          <w:rFonts w:ascii="宋体" w:cs="宋体"/>
          <w:color w:val="000000"/>
          <w:kern w:val="0"/>
          <w:sz w:val="24"/>
          <w:szCs w:val="24"/>
          <w:highlight w:val="none"/>
        </w:rPr>
      </w:pPr>
      <w:r>
        <w:rPr>
          <w:rFonts w:ascii="宋体" w:hAnsi="宋体" w:cs="宋体"/>
          <w:color w:val="000000"/>
          <w:kern w:val="0"/>
          <w:sz w:val="24"/>
          <w:szCs w:val="24"/>
          <w:highlight w:val="none"/>
        </w:rPr>
        <w:t>2</w:t>
      </w:r>
      <w:r>
        <w:rPr>
          <w:rFonts w:hint="eastAsia" w:ascii="宋体" w:hAnsi="宋体" w:cs="宋体"/>
          <w:color w:val="000000"/>
          <w:kern w:val="0"/>
          <w:sz w:val="24"/>
          <w:szCs w:val="24"/>
          <w:highlight w:val="none"/>
        </w:rPr>
        <w:t>、信用信息查询截止时点：同投标截止时间（文件提交截止时间）；</w:t>
      </w:r>
    </w:p>
    <w:p>
      <w:pPr>
        <w:spacing w:line="360" w:lineRule="auto"/>
        <w:ind w:firstLine="480" w:firstLineChars="200"/>
        <w:rPr>
          <w:rFonts w:ascii="宋体" w:cs="宋体"/>
          <w:color w:val="000000"/>
          <w:kern w:val="0"/>
          <w:sz w:val="24"/>
          <w:szCs w:val="24"/>
          <w:highlight w:val="none"/>
        </w:rPr>
      </w:pPr>
      <w:r>
        <w:rPr>
          <w:rFonts w:ascii="宋体" w:hAnsi="宋体" w:cs="宋体"/>
          <w:color w:val="000000"/>
          <w:kern w:val="0"/>
          <w:sz w:val="24"/>
          <w:szCs w:val="24"/>
          <w:highlight w:val="none"/>
        </w:rPr>
        <w:t>3</w:t>
      </w:r>
      <w:r>
        <w:rPr>
          <w:rFonts w:hint="eastAsia" w:ascii="宋体" w:hAnsi="宋体" w:cs="宋体"/>
          <w:color w:val="000000"/>
          <w:kern w:val="0"/>
          <w:sz w:val="24"/>
          <w:szCs w:val="24"/>
          <w:highlight w:val="none"/>
        </w:rPr>
        <w:t>、信用信息查询记录和证据留存的具体方式：网站查询截图打印稿形式与其他采购文件一并保存；</w:t>
      </w:r>
    </w:p>
    <w:p>
      <w:pPr>
        <w:spacing w:line="360" w:lineRule="auto"/>
        <w:ind w:firstLine="480" w:firstLineChars="200"/>
        <w:rPr>
          <w:rFonts w:ascii="宋体" w:cs="宋体"/>
          <w:color w:val="000000"/>
          <w:sz w:val="24"/>
          <w:szCs w:val="24"/>
          <w:highlight w:val="none"/>
        </w:rPr>
      </w:pPr>
      <w:r>
        <w:rPr>
          <w:rFonts w:ascii="宋体" w:hAnsi="宋体" w:cs="宋体"/>
          <w:color w:val="000000"/>
          <w:sz w:val="24"/>
          <w:szCs w:val="24"/>
          <w:highlight w:val="none"/>
        </w:rPr>
        <w:t>4</w:t>
      </w:r>
      <w:r>
        <w:rPr>
          <w:rFonts w:hint="eastAsia" w:ascii="宋体" w:hAnsi="宋体" w:cs="宋体"/>
          <w:color w:val="000000"/>
          <w:sz w:val="24"/>
          <w:szCs w:val="24"/>
          <w:highlight w:val="none"/>
        </w:rPr>
        <w:t>、信用信息的使用规则：对列入失信被执行人、重大税收违法案件当事人名单、政府采购严重违法失信行为记录名单及其他不符合《中华人民共和国政府采购法》第二十二条规定条件的供应商，将拒绝其投标；其中，列入政府采购严重违法失信行为记录名单的供应商，禁止参加政府采购活动的时间按处罚结果执行，但不受区域限制（根据财库〔</w:t>
      </w:r>
      <w:r>
        <w:rPr>
          <w:rFonts w:ascii="宋体" w:hAnsi="宋体" w:cs="宋体"/>
          <w:color w:val="000000"/>
          <w:sz w:val="24"/>
          <w:szCs w:val="24"/>
          <w:highlight w:val="none"/>
        </w:rPr>
        <w:t>2015</w:t>
      </w:r>
      <w:r>
        <w:rPr>
          <w:rFonts w:hint="eastAsia" w:ascii="宋体" w:hAnsi="宋体" w:cs="宋体"/>
          <w:color w:val="000000"/>
          <w:sz w:val="24"/>
          <w:szCs w:val="24"/>
          <w:highlight w:val="none"/>
        </w:rPr>
        <w:t>〕</w:t>
      </w:r>
      <w:r>
        <w:rPr>
          <w:rFonts w:ascii="宋体" w:hAnsi="宋体" w:cs="宋体"/>
          <w:color w:val="000000"/>
          <w:sz w:val="24"/>
          <w:szCs w:val="24"/>
          <w:highlight w:val="none"/>
        </w:rPr>
        <w:t>150</w:t>
      </w:r>
      <w:r>
        <w:rPr>
          <w:rFonts w:hint="eastAsia" w:ascii="宋体" w:hAnsi="宋体" w:cs="宋体"/>
          <w:color w:val="000000"/>
          <w:sz w:val="24"/>
          <w:szCs w:val="24"/>
          <w:highlight w:val="none"/>
        </w:rPr>
        <w:t>号《关于规范政府采购行政处罚有关问题的通知》，相关行政处罚决定在全国范围内生效）。</w:t>
      </w:r>
    </w:p>
    <w:p>
      <w:pPr>
        <w:spacing w:line="360" w:lineRule="auto"/>
        <w:ind w:firstLine="480" w:firstLineChars="200"/>
        <w:rPr>
          <w:rFonts w:ascii="宋体" w:cs="宋体"/>
          <w:color w:val="000000"/>
          <w:sz w:val="24"/>
          <w:szCs w:val="24"/>
          <w:highlight w:val="none"/>
        </w:rPr>
      </w:pPr>
      <w:r>
        <w:rPr>
          <w:rFonts w:ascii="宋体" w:hAnsi="宋体" w:cs="宋体"/>
          <w:color w:val="000000"/>
          <w:sz w:val="24"/>
          <w:szCs w:val="24"/>
          <w:highlight w:val="none"/>
        </w:rPr>
        <w:t>5</w:t>
      </w:r>
      <w:r>
        <w:rPr>
          <w:rFonts w:hint="eastAsia" w:ascii="宋体" w:hAnsi="宋体" w:cs="宋体"/>
          <w:color w:val="000000"/>
          <w:sz w:val="24"/>
          <w:szCs w:val="24"/>
          <w:highlight w:val="none"/>
        </w:rPr>
        <w:t>、最终评定结果以采购代理机构开标现场查询为准；</w:t>
      </w:r>
    </w:p>
    <w:p>
      <w:pPr>
        <w:widowControl/>
        <w:spacing w:line="360" w:lineRule="auto"/>
        <w:jc w:val="left"/>
        <w:rPr>
          <w:rFonts w:ascii="宋体" w:cs="宋体"/>
          <w:b/>
          <w:sz w:val="36"/>
          <w:szCs w:val="36"/>
          <w:highlight w:val="none"/>
        </w:rPr>
      </w:pPr>
      <w:r>
        <w:rPr>
          <w:rFonts w:ascii="宋体" w:cs="宋体"/>
          <w:b/>
          <w:sz w:val="36"/>
          <w:szCs w:val="36"/>
          <w:highlight w:val="none"/>
        </w:rPr>
        <w:br w:type="page"/>
      </w:r>
    </w:p>
    <w:p>
      <w:pPr>
        <w:spacing w:line="360" w:lineRule="auto"/>
        <w:jc w:val="left"/>
        <w:rPr>
          <w:rFonts w:ascii="宋体" w:cs="宋体"/>
          <w:b/>
          <w:color w:val="000000"/>
          <w:kern w:val="0"/>
          <w:sz w:val="24"/>
          <w:szCs w:val="24"/>
          <w:highlight w:val="none"/>
        </w:rPr>
      </w:pPr>
      <w:r>
        <w:rPr>
          <w:rFonts w:ascii="宋体" w:hAnsi="宋体" w:cs="宋体"/>
          <w:b/>
          <w:color w:val="000000"/>
          <w:kern w:val="0"/>
          <w:sz w:val="24"/>
          <w:szCs w:val="24"/>
          <w:highlight w:val="none"/>
        </w:rPr>
        <w:t>1.6</w:t>
      </w:r>
      <w:r>
        <w:rPr>
          <w:rFonts w:ascii="宋体" w:cs="宋体"/>
          <w:b/>
          <w:color w:val="000000"/>
          <w:kern w:val="0"/>
          <w:sz w:val="24"/>
          <w:szCs w:val="24"/>
          <w:highlight w:val="none"/>
        </w:rPr>
        <w:t>.</w:t>
      </w:r>
      <w:r>
        <w:rPr>
          <w:rFonts w:ascii="宋体" w:hAnsi="宋体" w:cs="宋体"/>
          <w:b/>
          <w:color w:val="000000"/>
          <w:kern w:val="0"/>
          <w:sz w:val="24"/>
          <w:szCs w:val="24"/>
          <w:highlight w:val="none"/>
        </w:rPr>
        <w:t>2.1</w:t>
      </w:r>
      <w:r>
        <w:rPr>
          <w:rFonts w:hint="eastAsia" w:ascii="宋体" w:hAnsi="宋体" w:cs="宋体"/>
          <w:b/>
          <w:color w:val="000000"/>
          <w:kern w:val="0"/>
          <w:sz w:val="24"/>
          <w:szCs w:val="24"/>
          <w:highlight w:val="none"/>
        </w:rPr>
        <w:t>信用中国网站（</w:t>
      </w:r>
      <w:r>
        <w:rPr>
          <w:rFonts w:ascii="宋体" w:hAnsi="宋体" w:cs="宋体"/>
          <w:color w:val="000000"/>
          <w:kern w:val="0"/>
          <w:sz w:val="24"/>
          <w:szCs w:val="24"/>
          <w:highlight w:val="none"/>
        </w:rPr>
        <w:t>www.creditchina.gov.cn</w:t>
      </w:r>
      <w:r>
        <w:rPr>
          <w:rFonts w:hint="eastAsia" w:ascii="宋体" w:hAnsi="宋体" w:cs="宋体"/>
          <w:b/>
          <w:color w:val="000000"/>
          <w:kern w:val="0"/>
          <w:sz w:val="24"/>
          <w:szCs w:val="24"/>
          <w:highlight w:val="none"/>
        </w:rPr>
        <w:t>）查询截图（加盖公章）；</w:t>
      </w: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sz w:val="36"/>
          <w:szCs w:val="36"/>
          <w:highlight w:val="none"/>
        </w:rPr>
      </w:pPr>
      <w:r>
        <w:rPr>
          <w:rFonts w:ascii="宋体" w:hAnsi="宋体" w:cs="宋体"/>
          <w:b/>
          <w:color w:val="000000"/>
          <w:kern w:val="0"/>
          <w:sz w:val="24"/>
          <w:szCs w:val="24"/>
          <w:highlight w:val="none"/>
        </w:rPr>
        <w:t>1.6.2.2</w:t>
      </w:r>
      <w:r>
        <w:rPr>
          <w:rFonts w:hint="eastAsia" w:ascii="宋体" w:hAnsi="宋体" w:cs="宋体"/>
          <w:b/>
          <w:color w:val="000000"/>
          <w:kern w:val="0"/>
          <w:sz w:val="24"/>
          <w:szCs w:val="24"/>
          <w:highlight w:val="none"/>
        </w:rPr>
        <w:t>中国政府采购网</w:t>
      </w:r>
      <w:r>
        <w:rPr>
          <w:rFonts w:ascii="宋体" w:cs="宋体"/>
          <w:b/>
          <w:color w:val="000000"/>
          <w:kern w:val="0"/>
          <w:sz w:val="24"/>
          <w:szCs w:val="24"/>
          <w:highlight w:val="none"/>
        </w:rPr>
        <w:t>-</w:t>
      </w:r>
      <w:r>
        <w:rPr>
          <w:rFonts w:hint="eastAsia" w:ascii="宋体" w:hAnsi="宋体" w:cs="宋体"/>
          <w:b/>
          <w:color w:val="000000"/>
          <w:kern w:val="0"/>
          <w:sz w:val="24"/>
          <w:szCs w:val="24"/>
          <w:highlight w:val="none"/>
        </w:rPr>
        <w:t>政府采购严重违法失信行为信息记录（</w:t>
      </w:r>
      <w:r>
        <w:rPr>
          <w:rFonts w:ascii="宋体" w:hAnsi="宋体" w:cs="宋体"/>
          <w:b/>
          <w:color w:val="000000"/>
          <w:kern w:val="0"/>
          <w:sz w:val="24"/>
          <w:szCs w:val="24"/>
          <w:highlight w:val="none"/>
        </w:rPr>
        <w:t>www.ccgp.gov.cn/cr/list</w:t>
      </w:r>
      <w:r>
        <w:rPr>
          <w:rFonts w:hint="eastAsia" w:ascii="宋体" w:hAnsi="宋体" w:cs="宋体"/>
          <w:b/>
          <w:color w:val="000000"/>
          <w:kern w:val="0"/>
          <w:sz w:val="24"/>
          <w:szCs w:val="24"/>
          <w:highlight w:val="none"/>
        </w:rPr>
        <w:t>）查询截图（加盖公章）。</w:t>
      </w:r>
    </w:p>
    <w:p>
      <w:pPr>
        <w:spacing w:line="360" w:lineRule="auto"/>
        <w:jc w:val="center"/>
        <w:rPr>
          <w:rFonts w:ascii="宋体" w:cs="宋体"/>
          <w:b/>
          <w:sz w:val="36"/>
          <w:szCs w:val="36"/>
          <w:highlight w:val="none"/>
        </w:rPr>
      </w:pPr>
    </w:p>
    <w:p>
      <w:pPr>
        <w:spacing w:line="360" w:lineRule="auto"/>
        <w:jc w:val="center"/>
        <w:rPr>
          <w:rFonts w:ascii="宋体" w:cs="宋体"/>
          <w:b/>
          <w:sz w:val="36"/>
          <w:szCs w:val="36"/>
          <w:highlight w:val="none"/>
        </w:rPr>
      </w:pPr>
    </w:p>
    <w:p>
      <w:pPr>
        <w:spacing w:line="360" w:lineRule="auto"/>
        <w:rPr>
          <w:rFonts w:ascii="宋体" w:cs="宋体"/>
          <w:sz w:val="24"/>
          <w:szCs w:val="24"/>
          <w:highlight w:val="none"/>
        </w:rPr>
      </w:pPr>
      <w:r>
        <w:rPr>
          <w:rFonts w:ascii="宋体" w:cs="宋体"/>
          <w:sz w:val="24"/>
          <w:szCs w:val="24"/>
          <w:highlight w:val="none"/>
        </w:rPr>
        <w:br w:type="page"/>
      </w:r>
    </w:p>
    <w:p>
      <w:pPr>
        <w:pStyle w:val="5"/>
        <w:rPr>
          <w:sz w:val="32"/>
          <w:highlight w:val="none"/>
        </w:rPr>
      </w:pPr>
      <w:bookmarkStart w:id="143" w:name="_Toc30521"/>
      <w:bookmarkStart w:id="144" w:name="_Toc44704919"/>
      <w:bookmarkStart w:id="145" w:name="_Toc44705066"/>
      <w:bookmarkStart w:id="146" w:name="_Toc44705287"/>
      <w:bookmarkStart w:id="147" w:name="_Toc30174"/>
      <w:r>
        <w:rPr>
          <w:sz w:val="32"/>
          <w:highlight w:val="none"/>
        </w:rPr>
        <w:t>1.</w:t>
      </w:r>
      <w:r>
        <w:rPr>
          <w:rFonts w:hint="eastAsia"/>
          <w:sz w:val="32"/>
          <w:highlight w:val="none"/>
          <w:lang w:val="en-US" w:eastAsia="zh-CN"/>
        </w:rPr>
        <w:t>7</w:t>
      </w:r>
      <w:r>
        <w:rPr>
          <w:rFonts w:hint="eastAsia"/>
          <w:sz w:val="32"/>
          <w:highlight w:val="none"/>
        </w:rPr>
        <w:t>投标承诺书</w:t>
      </w:r>
      <w:bookmarkEnd w:id="143"/>
      <w:bookmarkEnd w:id="144"/>
      <w:bookmarkEnd w:id="145"/>
      <w:bookmarkEnd w:id="146"/>
      <w:bookmarkEnd w:id="147"/>
    </w:p>
    <w:p>
      <w:pPr>
        <w:spacing w:line="360" w:lineRule="auto"/>
        <w:rPr>
          <w:color w:val="000000"/>
          <w:sz w:val="24"/>
          <w:szCs w:val="24"/>
          <w:highlight w:val="none"/>
        </w:rPr>
      </w:pPr>
    </w:p>
    <w:p>
      <w:pPr>
        <w:spacing w:line="360" w:lineRule="auto"/>
        <w:rPr>
          <w:rFonts w:hint="eastAsia" w:ascii="宋体" w:eastAsia="宋体"/>
          <w:b/>
          <w:color w:val="000000"/>
          <w:sz w:val="24"/>
          <w:szCs w:val="24"/>
          <w:highlight w:val="none"/>
          <w:lang w:eastAsia="zh-CN"/>
        </w:rPr>
      </w:pPr>
      <w:r>
        <w:rPr>
          <w:rFonts w:hint="eastAsia"/>
          <w:color w:val="000000"/>
          <w:sz w:val="24"/>
          <w:szCs w:val="24"/>
          <w:highlight w:val="none"/>
        </w:rPr>
        <w:t>致：</w:t>
      </w:r>
      <w:r>
        <w:rPr>
          <w:rFonts w:hint="eastAsia"/>
          <w:color w:val="000000"/>
          <w:sz w:val="24"/>
          <w:szCs w:val="24"/>
          <w:highlight w:val="none"/>
          <w:u w:val="single"/>
          <w:lang w:eastAsia="zh-CN"/>
        </w:rPr>
        <w:t>新疆同创博远项目管理咨询有限责任公司</w:t>
      </w:r>
    </w:p>
    <w:p>
      <w:pPr>
        <w:spacing w:line="360" w:lineRule="auto"/>
        <w:rPr>
          <w:b/>
          <w:color w:val="000000"/>
          <w:sz w:val="24"/>
          <w:szCs w:val="24"/>
          <w:highlight w:val="none"/>
        </w:rPr>
      </w:pPr>
    </w:p>
    <w:p>
      <w:pPr>
        <w:spacing w:line="360" w:lineRule="auto"/>
        <w:ind w:firstLine="480" w:firstLineChars="200"/>
        <w:rPr>
          <w:color w:val="000000"/>
          <w:sz w:val="24"/>
          <w:szCs w:val="24"/>
          <w:highlight w:val="none"/>
        </w:rPr>
      </w:pPr>
      <w:r>
        <w:rPr>
          <w:rFonts w:hint="eastAsia"/>
          <w:color w:val="000000"/>
          <w:sz w:val="24"/>
          <w:szCs w:val="24"/>
          <w:highlight w:val="none"/>
        </w:rPr>
        <w:t>我方郑重承诺：</w:t>
      </w:r>
    </w:p>
    <w:p>
      <w:pPr>
        <w:spacing w:line="360" w:lineRule="auto"/>
        <w:ind w:firstLine="480" w:firstLineChars="200"/>
        <w:rPr>
          <w:color w:val="000000"/>
          <w:sz w:val="24"/>
          <w:szCs w:val="24"/>
          <w:highlight w:val="none"/>
        </w:rPr>
      </w:pPr>
      <w:r>
        <w:rPr>
          <w:color w:val="000000"/>
          <w:sz w:val="24"/>
          <w:szCs w:val="24"/>
          <w:highlight w:val="none"/>
        </w:rPr>
        <w:t>1.</w:t>
      </w:r>
      <w:r>
        <w:rPr>
          <w:rFonts w:hint="eastAsia"/>
          <w:color w:val="000000"/>
          <w:sz w:val="24"/>
          <w:szCs w:val="24"/>
          <w:highlight w:val="none"/>
        </w:rPr>
        <w:t>我方</w:t>
      </w:r>
      <w:r>
        <w:rPr>
          <w:rFonts w:hint="eastAsia"/>
          <w:color w:val="000000"/>
          <w:sz w:val="24"/>
          <w:szCs w:val="24"/>
          <w:highlight w:val="none"/>
          <w:u w:val="single"/>
        </w:rPr>
        <w:t>（以</w:t>
      </w:r>
      <w:r>
        <w:rPr>
          <w:color w:val="000000"/>
          <w:sz w:val="24"/>
          <w:szCs w:val="24"/>
          <w:highlight w:val="none"/>
          <w:u w:val="single"/>
        </w:rPr>
        <w:t>/</w:t>
      </w:r>
      <w:r>
        <w:rPr>
          <w:rFonts w:hint="eastAsia"/>
          <w:color w:val="000000"/>
          <w:sz w:val="24"/>
          <w:szCs w:val="24"/>
          <w:highlight w:val="none"/>
          <w:u w:val="single"/>
        </w:rPr>
        <w:t>不以）</w:t>
      </w:r>
      <w:r>
        <w:rPr>
          <w:rFonts w:hint="eastAsia"/>
          <w:color w:val="000000"/>
          <w:sz w:val="24"/>
          <w:szCs w:val="24"/>
          <w:highlight w:val="none"/>
        </w:rPr>
        <w:t>联合体方式参与投标。</w:t>
      </w:r>
    </w:p>
    <w:p>
      <w:pPr>
        <w:spacing w:line="360" w:lineRule="auto"/>
        <w:ind w:firstLine="480" w:firstLineChars="200"/>
        <w:rPr>
          <w:color w:val="000000"/>
          <w:sz w:val="24"/>
          <w:szCs w:val="24"/>
          <w:highlight w:val="none"/>
        </w:rPr>
      </w:pPr>
      <w:r>
        <w:rPr>
          <w:color w:val="000000"/>
          <w:sz w:val="24"/>
          <w:szCs w:val="24"/>
          <w:highlight w:val="none"/>
        </w:rPr>
        <w:t>2.</w:t>
      </w:r>
      <w:r>
        <w:rPr>
          <w:rFonts w:hint="eastAsia"/>
          <w:color w:val="000000"/>
          <w:sz w:val="24"/>
          <w:szCs w:val="24"/>
          <w:highlight w:val="none"/>
        </w:rPr>
        <w:t>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同时接受终身禁止参与</w:t>
      </w:r>
      <w:r>
        <w:rPr>
          <w:rFonts w:hint="eastAsia"/>
          <w:color w:val="000000"/>
          <w:sz w:val="24"/>
          <w:szCs w:val="24"/>
          <w:highlight w:val="none"/>
          <w:u w:val="single"/>
        </w:rPr>
        <w:t xml:space="preserve">   业主单位   </w:t>
      </w:r>
      <w:r>
        <w:rPr>
          <w:rFonts w:hint="eastAsia"/>
          <w:color w:val="000000"/>
          <w:sz w:val="24"/>
          <w:szCs w:val="24"/>
          <w:highlight w:val="none"/>
        </w:rPr>
        <w:t>政府采购活动的处理，并承担由此带来的一切法律后果。</w:t>
      </w:r>
    </w:p>
    <w:p>
      <w:pPr>
        <w:pStyle w:val="20"/>
        <w:rPr>
          <w:highlight w:val="none"/>
        </w:rPr>
      </w:pPr>
    </w:p>
    <w:p>
      <w:pPr>
        <w:spacing w:line="360" w:lineRule="auto"/>
        <w:rPr>
          <w:color w:val="000000"/>
          <w:sz w:val="24"/>
          <w:szCs w:val="24"/>
          <w:highlight w:val="none"/>
        </w:rPr>
      </w:pPr>
    </w:p>
    <w:p>
      <w:pPr>
        <w:spacing w:line="360" w:lineRule="auto"/>
        <w:rPr>
          <w:color w:val="000000"/>
          <w:sz w:val="24"/>
          <w:szCs w:val="24"/>
          <w:highlight w:val="none"/>
        </w:rPr>
      </w:pPr>
    </w:p>
    <w:p>
      <w:pPr>
        <w:spacing w:line="360" w:lineRule="auto"/>
        <w:rPr>
          <w:color w:val="000000"/>
          <w:sz w:val="24"/>
          <w:szCs w:val="24"/>
          <w:highlight w:val="none"/>
        </w:rPr>
      </w:pPr>
    </w:p>
    <w:p>
      <w:pPr>
        <w:spacing w:line="360" w:lineRule="auto"/>
        <w:rPr>
          <w:color w:val="000000"/>
          <w:sz w:val="24"/>
          <w:szCs w:val="24"/>
          <w:highlight w:val="none"/>
        </w:rPr>
      </w:pPr>
    </w:p>
    <w:p>
      <w:pPr>
        <w:spacing w:line="360" w:lineRule="auto"/>
        <w:rPr>
          <w:color w:val="000000"/>
          <w:sz w:val="24"/>
          <w:szCs w:val="24"/>
          <w:highlight w:val="none"/>
        </w:rPr>
      </w:pPr>
    </w:p>
    <w:p>
      <w:pPr>
        <w:spacing w:line="360" w:lineRule="auto"/>
        <w:jc w:val="right"/>
        <w:rPr>
          <w:color w:val="000000"/>
          <w:sz w:val="24"/>
          <w:szCs w:val="24"/>
          <w:highlight w:val="none"/>
        </w:rPr>
      </w:pPr>
      <w:r>
        <w:rPr>
          <w:rFonts w:hint="eastAsia"/>
          <w:color w:val="000000"/>
          <w:sz w:val="24"/>
          <w:szCs w:val="24"/>
          <w:highlight w:val="none"/>
        </w:rPr>
        <w:t>投标人名称</w:t>
      </w:r>
      <w:r>
        <w:rPr>
          <w:color w:val="000000"/>
          <w:sz w:val="24"/>
          <w:szCs w:val="24"/>
          <w:highlight w:val="none"/>
        </w:rPr>
        <w:t>(</w:t>
      </w:r>
      <w:r>
        <w:rPr>
          <w:rFonts w:hint="eastAsia"/>
          <w:color w:val="000000"/>
          <w:sz w:val="24"/>
          <w:szCs w:val="24"/>
          <w:highlight w:val="none"/>
        </w:rPr>
        <w:t>盖章</w:t>
      </w:r>
      <w:r>
        <w:rPr>
          <w:color w:val="000000"/>
          <w:sz w:val="24"/>
          <w:szCs w:val="24"/>
          <w:highlight w:val="none"/>
        </w:rPr>
        <w:t>)</w:t>
      </w:r>
      <w:r>
        <w:rPr>
          <w:rFonts w:hint="eastAsia"/>
          <w:color w:val="000000"/>
          <w:sz w:val="24"/>
          <w:szCs w:val="24"/>
          <w:highlight w:val="none"/>
        </w:rPr>
        <w:t>：</w:t>
      </w:r>
    </w:p>
    <w:p>
      <w:pPr>
        <w:pStyle w:val="20"/>
        <w:rPr>
          <w:highlight w:val="none"/>
        </w:rPr>
      </w:pPr>
    </w:p>
    <w:p>
      <w:pPr>
        <w:spacing w:line="360" w:lineRule="auto"/>
        <w:jc w:val="right"/>
        <w:rPr>
          <w:color w:val="000000"/>
          <w:sz w:val="24"/>
          <w:szCs w:val="24"/>
          <w:highlight w:val="none"/>
        </w:rPr>
      </w:pPr>
      <w:r>
        <w:rPr>
          <w:rFonts w:hint="eastAsia"/>
          <w:color w:val="000000"/>
          <w:sz w:val="24"/>
          <w:szCs w:val="24"/>
          <w:highlight w:val="none"/>
        </w:rPr>
        <w:t>投标人授权代表签字：</w:t>
      </w:r>
    </w:p>
    <w:p>
      <w:pPr>
        <w:pStyle w:val="20"/>
        <w:rPr>
          <w:highlight w:val="none"/>
        </w:rPr>
      </w:pPr>
    </w:p>
    <w:p>
      <w:pPr>
        <w:jc w:val="right"/>
        <w:rPr>
          <w:color w:val="000000"/>
          <w:sz w:val="24"/>
          <w:szCs w:val="24"/>
          <w:highlight w:val="none"/>
        </w:rPr>
      </w:pPr>
      <w:r>
        <w:rPr>
          <w:rFonts w:hint="eastAsia"/>
          <w:color w:val="000000"/>
          <w:sz w:val="24"/>
          <w:szCs w:val="24"/>
          <w:highlight w:val="none"/>
        </w:rPr>
        <w:t>日期：</w:t>
      </w:r>
    </w:p>
    <w:p>
      <w:pPr>
        <w:pStyle w:val="20"/>
        <w:rPr>
          <w:highlight w:val="none"/>
        </w:rPr>
      </w:pPr>
    </w:p>
    <w:p>
      <w:pPr>
        <w:widowControl/>
        <w:jc w:val="left"/>
        <w:rPr>
          <w:rFonts w:ascii="宋体" w:cs="宋体"/>
          <w:b/>
          <w:bCs/>
          <w:sz w:val="24"/>
          <w:szCs w:val="24"/>
          <w:highlight w:val="none"/>
        </w:rPr>
      </w:pPr>
      <w:r>
        <w:rPr>
          <w:rFonts w:ascii="宋体" w:cs="宋体"/>
          <w:b/>
          <w:bCs/>
          <w:sz w:val="24"/>
          <w:szCs w:val="24"/>
          <w:highlight w:val="none"/>
        </w:rPr>
        <w:br w:type="page"/>
      </w:r>
    </w:p>
    <w:p>
      <w:pPr>
        <w:pStyle w:val="6"/>
        <w:rPr>
          <w:rStyle w:val="66"/>
          <w:rFonts w:hint="eastAsia"/>
          <w:b/>
        </w:rPr>
      </w:pPr>
      <w:bookmarkStart w:id="148" w:name="_Toc44704920"/>
      <w:bookmarkStart w:id="149" w:name="_Toc44705288"/>
      <w:bookmarkStart w:id="150" w:name="_Toc44705067"/>
      <w:bookmarkStart w:id="151" w:name="_Toc27751"/>
      <w:bookmarkStart w:id="152" w:name="_Toc1627"/>
      <w:r>
        <w:rPr>
          <w:rStyle w:val="66"/>
          <w:b/>
        </w:rPr>
        <w:t>1.</w:t>
      </w:r>
      <w:r>
        <w:rPr>
          <w:rStyle w:val="66"/>
          <w:rFonts w:hint="eastAsia"/>
          <w:b/>
          <w:lang w:val="en-US" w:eastAsia="zh-CN"/>
        </w:rPr>
        <w:t>8</w:t>
      </w:r>
      <w:r>
        <w:rPr>
          <w:rStyle w:val="66"/>
          <w:rFonts w:hint="eastAsia"/>
          <w:b/>
        </w:rPr>
        <w:t>投标保证金</w:t>
      </w:r>
      <w:r>
        <w:rPr>
          <w:rStyle w:val="66"/>
          <w:rFonts w:hint="eastAsia"/>
          <w:b/>
          <w:lang w:val="en-US" w:eastAsia="zh-CN"/>
        </w:rPr>
        <w:t>缴纳</w:t>
      </w:r>
      <w:r>
        <w:rPr>
          <w:rStyle w:val="66"/>
          <w:rFonts w:hint="eastAsia"/>
          <w:b/>
        </w:rPr>
        <w:t>凭证</w:t>
      </w:r>
      <w:bookmarkEnd w:id="148"/>
      <w:bookmarkEnd w:id="149"/>
      <w:bookmarkEnd w:id="150"/>
    </w:p>
    <w:p>
      <w:pPr>
        <w:ind w:firstLine="240" w:firstLineChars="100"/>
        <w:outlineLvl w:val="2"/>
        <w:rPr>
          <w:rStyle w:val="66"/>
          <w:lang w:eastAsia="zh-CN"/>
        </w:rPr>
      </w:pPr>
      <w:r>
        <w:rPr>
          <w:rFonts w:hint="eastAsia"/>
          <w:color w:val="000000"/>
          <w:sz w:val="24"/>
          <w:szCs w:val="24"/>
          <w:highlight w:val="none"/>
          <w:lang w:val="en-US" w:eastAsia="zh-CN"/>
        </w:rPr>
        <w:t>提供投标保证金缴纳凭证</w:t>
      </w:r>
      <w:r>
        <w:rPr>
          <w:rStyle w:val="66"/>
          <w:b/>
          <w:highlight w:val="none"/>
        </w:rPr>
        <w:br w:type="page"/>
      </w:r>
      <w:bookmarkStart w:id="153" w:name="_Toc44705300"/>
      <w:bookmarkStart w:id="154" w:name="_Toc44704932"/>
      <w:r>
        <w:rPr>
          <w:rStyle w:val="66"/>
          <w:rFonts w:hint="eastAsia"/>
          <w:lang w:val="en-US" w:eastAsia="zh-CN"/>
        </w:rPr>
        <w:t>1.9</w:t>
      </w:r>
      <w:r>
        <w:rPr>
          <w:rStyle w:val="66"/>
          <w:rFonts w:hint="eastAsia"/>
          <w:lang w:eastAsia="zh-CN"/>
        </w:rPr>
        <w:t>中小企业声明函</w:t>
      </w:r>
      <w:bookmarkEnd w:id="151"/>
      <w:bookmarkEnd w:id="152"/>
      <w:bookmarkEnd w:id="153"/>
      <w:bookmarkEnd w:id="154"/>
    </w:p>
    <w:p>
      <w:pPr>
        <w:tabs>
          <w:tab w:val="left" w:pos="720"/>
        </w:tabs>
        <w:autoSpaceDE w:val="0"/>
        <w:autoSpaceDN w:val="0"/>
        <w:adjustRightInd w:val="0"/>
        <w:spacing w:line="360" w:lineRule="auto"/>
        <w:ind w:right="17"/>
        <w:jc w:val="left"/>
        <w:rPr>
          <w:rFonts w:ascii="宋体" w:cs="宋体"/>
          <w:sz w:val="24"/>
          <w:highlight w:val="none"/>
        </w:rPr>
      </w:pPr>
    </w:p>
    <w:p>
      <w:pPr>
        <w:pStyle w:val="5"/>
        <w:spacing w:before="0" w:after="0" w:line="480" w:lineRule="auto"/>
        <w:ind w:firstLine="2276" w:firstLineChars="900"/>
        <w:rPr>
          <w:rFonts w:ascii="宋体" w:hAnsi="宋体"/>
          <w:bCs w:val="0"/>
          <w:kern w:val="0"/>
          <w:sz w:val="24"/>
          <w:szCs w:val="24"/>
          <w:highlight w:val="none"/>
        </w:rPr>
      </w:pPr>
      <w:bookmarkStart w:id="155" w:name="_Toc31211"/>
      <w:bookmarkStart w:id="156" w:name="_Toc9082"/>
      <w:r>
        <w:rPr>
          <w:rFonts w:hint="eastAsia" w:ascii="宋体" w:hAnsi="宋体" w:cs="宋体"/>
          <w:bCs w:val="0"/>
          <w:spacing w:val="6"/>
          <w:sz w:val="24"/>
          <w:szCs w:val="20"/>
          <w:highlight w:val="none"/>
          <w:shd w:val="clear" w:color="auto" w:fill="FFFFFF"/>
        </w:rPr>
        <w:t>中小企业声明函（工程、服务）</w:t>
      </w:r>
      <w:bookmarkEnd w:id="155"/>
      <w:bookmarkEnd w:id="156"/>
    </w:p>
    <w:p>
      <w:pPr>
        <w:pStyle w:val="5"/>
        <w:spacing w:line="360" w:lineRule="auto"/>
        <w:ind w:firstLine="480" w:firstLineChars="200"/>
        <w:rPr>
          <w:rFonts w:ascii="宋体" w:hAnsi="宋体"/>
          <w:b w:val="0"/>
          <w:bCs w:val="0"/>
          <w:sz w:val="24"/>
          <w:szCs w:val="24"/>
          <w:highlight w:val="none"/>
        </w:rPr>
      </w:pPr>
      <w:bookmarkStart w:id="157" w:name="_Toc17171"/>
      <w:bookmarkStart w:id="158" w:name="_Toc9503"/>
      <w:r>
        <w:rPr>
          <w:rFonts w:hint="eastAsia" w:ascii="宋体" w:hAnsi="宋体"/>
          <w:b w:val="0"/>
          <w:bCs w:val="0"/>
          <w:sz w:val="24"/>
          <w:szCs w:val="24"/>
          <w:highlight w:val="none"/>
        </w:rPr>
        <w:t>本公司郑重声明，根据《政府采购促进中小企业发展管理办法》（财库﹝2020﹞46 号）的规定，本公司参加</w:t>
      </w:r>
      <w:r>
        <w:rPr>
          <w:rFonts w:hint="eastAsia" w:ascii="宋体" w:hAnsi="宋体"/>
          <w:b w:val="0"/>
          <w:bCs w:val="0"/>
          <w:sz w:val="24"/>
          <w:szCs w:val="24"/>
          <w:highlight w:val="none"/>
          <w:u w:val="single"/>
        </w:rPr>
        <w:t>（单位名称）</w:t>
      </w:r>
      <w:r>
        <w:rPr>
          <w:rFonts w:hint="eastAsia" w:ascii="宋体" w:hAnsi="宋体"/>
          <w:b w:val="0"/>
          <w:bCs w:val="0"/>
          <w:sz w:val="24"/>
          <w:szCs w:val="24"/>
          <w:highlight w:val="none"/>
        </w:rPr>
        <w:t>的</w:t>
      </w:r>
      <w:r>
        <w:rPr>
          <w:rFonts w:hint="eastAsia" w:ascii="宋体" w:hAnsi="宋体"/>
          <w:b w:val="0"/>
          <w:bCs w:val="0"/>
          <w:sz w:val="24"/>
          <w:szCs w:val="24"/>
          <w:highlight w:val="none"/>
          <w:u w:val="single"/>
        </w:rPr>
        <w:t>（项目名称）</w:t>
      </w:r>
      <w:r>
        <w:rPr>
          <w:rFonts w:hint="eastAsia" w:ascii="宋体" w:hAnsi="宋体"/>
          <w:b w:val="0"/>
          <w:bCs w:val="0"/>
          <w:sz w:val="24"/>
          <w:szCs w:val="24"/>
          <w:highlight w:val="none"/>
        </w:rPr>
        <w:t>采购活动，工程的施工单位全部为符合政策要求的中小企业（或者：服务全部由符合政策要求的中小企业承接）。相关企业的具体情况如下：</w:t>
      </w:r>
      <w:bookmarkEnd w:id="157"/>
      <w:bookmarkEnd w:id="158"/>
    </w:p>
    <w:p>
      <w:pPr>
        <w:pStyle w:val="5"/>
        <w:spacing w:line="360" w:lineRule="auto"/>
        <w:ind w:firstLine="480" w:firstLineChars="200"/>
        <w:rPr>
          <w:rFonts w:ascii="宋体" w:hAnsi="宋体"/>
          <w:b w:val="0"/>
          <w:bCs w:val="0"/>
          <w:sz w:val="24"/>
          <w:szCs w:val="24"/>
          <w:highlight w:val="none"/>
        </w:rPr>
      </w:pPr>
      <w:bookmarkStart w:id="159" w:name="_Toc11138"/>
      <w:bookmarkStart w:id="160" w:name="_Toc836"/>
      <w:r>
        <w:rPr>
          <w:rFonts w:hint="eastAsia" w:ascii="宋体" w:hAnsi="宋体"/>
          <w:b w:val="0"/>
          <w:bCs w:val="0"/>
          <w:sz w:val="24"/>
          <w:szCs w:val="24"/>
          <w:highlight w:val="none"/>
        </w:rPr>
        <w:t xml:space="preserve">1. </w:t>
      </w:r>
      <w:r>
        <w:rPr>
          <w:rFonts w:hint="eastAsia" w:ascii="宋体" w:hAnsi="宋体"/>
          <w:b w:val="0"/>
          <w:bCs w:val="0"/>
          <w:sz w:val="24"/>
          <w:szCs w:val="24"/>
          <w:highlight w:val="none"/>
          <w:u w:val="single"/>
        </w:rPr>
        <w:t>（标的名称）</w:t>
      </w:r>
      <w:r>
        <w:rPr>
          <w:rFonts w:hint="eastAsia" w:ascii="宋体" w:hAnsi="宋体"/>
          <w:b w:val="0"/>
          <w:bCs w:val="0"/>
          <w:sz w:val="24"/>
          <w:szCs w:val="24"/>
          <w:highlight w:val="none"/>
        </w:rPr>
        <w:t xml:space="preserve"> ，属于</w:t>
      </w:r>
      <w:r>
        <w:rPr>
          <w:rFonts w:hint="eastAsia" w:ascii="宋体" w:hAnsi="宋体"/>
          <w:b w:val="0"/>
          <w:bCs w:val="0"/>
          <w:sz w:val="24"/>
          <w:szCs w:val="24"/>
          <w:highlight w:val="none"/>
          <w:u w:val="single"/>
        </w:rPr>
        <w:t>（采购文件中明确的所属行业）</w:t>
      </w:r>
      <w:r>
        <w:rPr>
          <w:rFonts w:hint="eastAsia" w:ascii="宋体" w:hAnsi="宋体"/>
          <w:b w:val="0"/>
          <w:bCs w:val="0"/>
          <w:sz w:val="24"/>
          <w:szCs w:val="24"/>
          <w:highlight w:val="none"/>
        </w:rPr>
        <w:t>；承建（承接）企业为</w:t>
      </w:r>
      <w:r>
        <w:rPr>
          <w:rFonts w:hint="eastAsia" w:ascii="宋体" w:hAnsi="宋体"/>
          <w:b w:val="0"/>
          <w:bCs w:val="0"/>
          <w:sz w:val="24"/>
          <w:szCs w:val="24"/>
          <w:highlight w:val="none"/>
          <w:u w:val="single"/>
        </w:rPr>
        <w:t>（企业名称）</w:t>
      </w:r>
      <w:r>
        <w:rPr>
          <w:rFonts w:hint="eastAsia" w:ascii="宋体" w:hAnsi="宋体"/>
          <w:b w:val="0"/>
          <w:bCs w:val="0"/>
          <w:sz w:val="24"/>
          <w:szCs w:val="24"/>
          <w:highlight w:val="none"/>
        </w:rPr>
        <w:t>，从业人员</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人，营业收入为</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万元，资产总额为</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万元，属于</w:t>
      </w:r>
      <w:r>
        <w:rPr>
          <w:rFonts w:hint="eastAsia" w:ascii="宋体" w:hAnsi="宋体"/>
          <w:b w:val="0"/>
          <w:bCs w:val="0"/>
          <w:sz w:val="24"/>
          <w:szCs w:val="24"/>
          <w:highlight w:val="none"/>
          <w:u w:val="single"/>
        </w:rPr>
        <w:t>（中型企业、小型企业、微型企业）</w:t>
      </w:r>
      <w:r>
        <w:rPr>
          <w:rFonts w:hint="eastAsia" w:ascii="宋体" w:hAnsi="宋体"/>
          <w:b w:val="0"/>
          <w:bCs w:val="0"/>
          <w:sz w:val="24"/>
          <w:szCs w:val="24"/>
          <w:highlight w:val="none"/>
        </w:rPr>
        <w:t>；</w:t>
      </w:r>
      <w:bookmarkEnd w:id="159"/>
      <w:bookmarkEnd w:id="160"/>
    </w:p>
    <w:p>
      <w:pPr>
        <w:pStyle w:val="5"/>
        <w:spacing w:line="360" w:lineRule="auto"/>
        <w:ind w:left="210" w:leftChars="100" w:firstLine="240" w:firstLineChars="100"/>
        <w:rPr>
          <w:rFonts w:ascii="宋体" w:hAnsi="宋体"/>
          <w:b w:val="0"/>
          <w:bCs w:val="0"/>
          <w:sz w:val="24"/>
          <w:szCs w:val="24"/>
          <w:highlight w:val="none"/>
          <w:u w:val="single"/>
        </w:rPr>
      </w:pPr>
      <w:bookmarkStart w:id="161" w:name="_Toc6698"/>
      <w:bookmarkStart w:id="162" w:name="_Toc13971"/>
      <w:r>
        <w:rPr>
          <w:rFonts w:hint="eastAsia" w:ascii="宋体" w:hAnsi="宋体"/>
          <w:b w:val="0"/>
          <w:bCs w:val="0"/>
          <w:sz w:val="24"/>
          <w:szCs w:val="24"/>
          <w:highlight w:val="none"/>
        </w:rPr>
        <w:t xml:space="preserve">2. </w:t>
      </w:r>
      <w:r>
        <w:rPr>
          <w:rFonts w:hint="eastAsia" w:ascii="宋体" w:hAnsi="宋体"/>
          <w:b w:val="0"/>
          <w:bCs w:val="0"/>
          <w:sz w:val="24"/>
          <w:szCs w:val="24"/>
          <w:highlight w:val="none"/>
          <w:u w:val="single"/>
        </w:rPr>
        <w:t>（标的名称）</w:t>
      </w:r>
      <w:r>
        <w:rPr>
          <w:rFonts w:hint="eastAsia" w:ascii="宋体" w:hAnsi="宋体"/>
          <w:b w:val="0"/>
          <w:bCs w:val="0"/>
          <w:sz w:val="24"/>
          <w:szCs w:val="24"/>
          <w:highlight w:val="none"/>
        </w:rPr>
        <w:t xml:space="preserve"> ，属于</w:t>
      </w:r>
      <w:r>
        <w:rPr>
          <w:rFonts w:hint="eastAsia" w:ascii="宋体" w:hAnsi="宋体"/>
          <w:b w:val="0"/>
          <w:bCs w:val="0"/>
          <w:sz w:val="24"/>
          <w:szCs w:val="24"/>
          <w:highlight w:val="none"/>
          <w:u w:val="single"/>
        </w:rPr>
        <w:t>（采购文件中明确的所属行业）</w:t>
      </w:r>
      <w:r>
        <w:rPr>
          <w:rFonts w:hint="eastAsia" w:ascii="宋体" w:hAnsi="宋体"/>
          <w:b w:val="0"/>
          <w:bCs w:val="0"/>
          <w:sz w:val="24"/>
          <w:szCs w:val="24"/>
          <w:highlight w:val="none"/>
        </w:rPr>
        <w:t>；承建（承接）企业为</w:t>
      </w:r>
      <w:r>
        <w:rPr>
          <w:rFonts w:hint="eastAsia" w:ascii="宋体" w:hAnsi="宋体"/>
          <w:b w:val="0"/>
          <w:bCs w:val="0"/>
          <w:sz w:val="24"/>
          <w:szCs w:val="24"/>
          <w:highlight w:val="none"/>
          <w:u w:val="single"/>
        </w:rPr>
        <w:t>（企业名称）</w:t>
      </w:r>
      <w:r>
        <w:rPr>
          <w:rFonts w:hint="eastAsia" w:ascii="宋体" w:hAnsi="宋体"/>
          <w:b w:val="0"/>
          <w:bCs w:val="0"/>
          <w:sz w:val="24"/>
          <w:szCs w:val="24"/>
          <w:highlight w:val="none"/>
        </w:rPr>
        <w:t>，从业人员</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人，营业收入为</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万元，资产总额为</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万元，属于</w:t>
      </w:r>
      <w:r>
        <w:rPr>
          <w:rFonts w:hint="eastAsia" w:ascii="宋体" w:hAnsi="宋体"/>
          <w:b w:val="0"/>
          <w:bCs w:val="0"/>
          <w:sz w:val="24"/>
          <w:szCs w:val="24"/>
          <w:highlight w:val="none"/>
          <w:u w:val="single"/>
        </w:rPr>
        <w:t>（中型企业、小型企业、微型企业）；</w:t>
      </w:r>
      <w:bookmarkEnd w:id="161"/>
      <w:bookmarkEnd w:id="162"/>
    </w:p>
    <w:p>
      <w:pPr>
        <w:pStyle w:val="5"/>
        <w:rPr>
          <w:rFonts w:ascii="宋体" w:hAnsi="宋体"/>
          <w:b w:val="0"/>
          <w:bCs w:val="0"/>
          <w:sz w:val="24"/>
          <w:szCs w:val="24"/>
          <w:highlight w:val="none"/>
        </w:rPr>
      </w:pPr>
      <w:bookmarkStart w:id="163" w:name="_Toc4030"/>
      <w:bookmarkStart w:id="164" w:name="_Toc14884"/>
      <w:r>
        <w:rPr>
          <w:rFonts w:hint="eastAsia" w:ascii="宋体" w:hAnsi="宋体"/>
          <w:b w:val="0"/>
          <w:bCs w:val="0"/>
          <w:sz w:val="24"/>
          <w:szCs w:val="24"/>
          <w:highlight w:val="none"/>
        </w:rPr>
        <w:t>……</w:t>
      </w:r>
      <w:bookmarkEnd w:id="163"/>
      <w:bookmarkEnd w:id="164"/>
    </w:p>
    <w:p>
      <w:pPr>
        <w:pStyle w:val="5"/>
        <w:spacing w:line="360" w:lineRule="auto"/>
        <w:ind w:firstLine="480" w:firstLineChars="200"/>
        <w:rPr>
          <w:rFonts w:ascii="宋体" w:hAnsi="宋体"/>
          <w:b w:val="0"/>
          <w:bCs w:val="0"/>
          <w:sz w:val="24"/>
          <w:szCs w:val="24"/>
          <w:highlight w:val="none"/>
        </w:rPr>
      </w:pPr>
      <w:bookmarkStart w:id="165" w:name="_Toc32284"/>
      <w:bookmarkStart w:id="166" w:name="_Toc723"/>
      <w:r>
        <w:rPr>
          <w:rFonts w:hint="eastAsia" w:ascii="宋体" w:hAnsi="宋体"/>
          <w:b w:val="0"/>
          <w:bCs w:val="0"/>
          <w:sz w:val="24"/>
          <w:szCs w:val="24"/>
          <w:highlight w:val="none"/>
        </w:rPr>
        <w:t>以上企业，不属于大企业的分支机构，不存在控股股东为大企业的情形，也不存在与大企业的负责人为同一人的情形。</w:t>
      </w:r>
      <w:bookmarkEnd w:id="165"/>
      <w:bookmarkEnd w:id="166"/>
    </w:p>
    <w:p>
      <w:pPr>
        <w:pStyle w:val="5"/>
        <w:ind w:left="210" w:leftChars="100" w:firstLine="240" w:firstLineChars="100"/>
        <w:rPr>
          <w:rFonts w:ascii="宋体" w:hAnsi="宋体"/>
          <w:b w:val="0"/>
          <w:bCs w:val="0"/>
          <w:sz w:val="24"/>
          <w:szCs w:val="24"/>
          <w:highlight w:val="none"/>
        </w:rPr>
      </w:pPr>
      <w:bookmarkStart w:id="167" w:name="_Toc10641"/>
      <w:bookmarkStart w:id="168" w:name="_Toc3039"/>
      <w:r>
        <w:rPr>
          <w:rFonts w:hint="eastAsia" w:ascii="宋体" w:hAnsi="宋体"/>
          <w:b w:val="0"/>
          <w:bCs w:val="0"/>
          <w:sz w:val="24"/>
          <w:szCs w:val="24"/>
          <w:highlight w:val="none"/>
        </w:rPr>
        <w:t>本企业对上述声明内容的真实性负责。如有虚假，将依法承担相应责任。</w:t>
      </w:r>
      <w:bookmarkEnd w:id="167"/>
      <w:bookmarkEnd w:id="168"/>
    </w:p>
    <w:p>
      <w:pPr>
        <w:pStyle w:val="5"/>
        <w:rPr>
          <w:rFonts w:ascii="宋体" w:hAnsi="宋体"/>
          <w:b w:val="0"/>
          <w:bCs w:val="0"/>
          <w:sz w:val="24"/>
          <w:szCs w:val="24"/>
          <w:highlight w:val="none"/>
        </w:rPr>
      </w:pPr>
      <w:r>
        <w:rPr>
          <w:rFonts w:hint="eastAsia" w:ascii="宋体" w:hAnsi="宋体"/>
          <w:b w:val="0"/>
          <w:bCs w:val="0"/>
          <w:sz w:val="24"/>
          <w:szCs w:val="24"/>
          <w:highlight w:val="none"/>
        </w:rPr>
        <w:t xml:space="preserve">                                     </w:t>
      </w:r>
      <w:bookmarkStart w:id="169" w:name="_Toc17777"/>
      <w:bookmarkStart w:id="170" w:name="_Toc553"/>
      <w:r>
        <w:rPr>
          <w:rFonts w:hint="eastAsia" w:ascii="宋体" w:hAnsi="宋体"/>
          <w:b w:val="0"/>
          <w:bCs w:val="0"/>
          <w:sz w:val="24"/>
          <w:szCs w:val="24"/>
          <w:highlight w:val="none"/>
        </w:rPr>
        <w:t>企业名称（盖章）：</w:t>
      </w:r>
      <w:bookmarkEnd w:id="169"/>
      <w:bookmarkEnd w:id="170"/>
    </w:p>
    <w:p>
      <w:pPr>
        <w:pStyle w:val="5"/>
        <w:rPr>
          <w:rFonts w:ascii="宋体" w:hAnsi="宋体"/>
          <w:b w:val="0"/>
          <w:bCs w:val="0"/>
          <w:sz w:val="24"/>
          <w:szCs w:val="24"/>
          <w:highlight w:val="none"/>
        </w:rPr>
      </w:pPr>
      <w:r>
        <w:rPr>
          <w:rFonts w:hint="eastAsia" w:ascii="宋体" w:hAnsi="宋体"/>
          <w:b w:val="0"/>
          <w:bCs w:val="0"/>
          <w:sz w:val="24"/>
          <w:szCs w:val="24"/>
          <w:highlight w:val="none"/>
        </w:rPr>
        <w:t xml:space="preserve">                                      </w:t>
      </w:r>
      <w:bookmarkStart w:id="171" w:name="_Toc26588"/>
      <w:bookmarkStart w:id="172" w:name="_Toc25691"/>
      <w:r>
        <w:rPr>
          <w:rFonts w:hint="eastAsia" w:ascii="宋体" w:hAnsi="宋体"/>
          <w:b w:val="0"/>
          <w:bCs w:val="0"/>
          <w:sz w:val="24"/>
          <w:szCs w:val="24"/>
          <w:highlight w:val="none"/>
        </w:rPr>
        <w:t>日 期：</w:t>
      </w:r>
      <w:bookmarkEnd w:id="171"/>
      <w:bookmarkEnd w:id="172"/>
    </w:p>
    <w:p>
      <w:pPr>
        <w:pStyle w:val="5"/>
        <w:spacing w:line="360" w:lineRule="auto"/>
        <w:ind w:firstLine="480" w:firstLineChars="200"/>
        <w:rPr>
          <w:rFonts w:ascii="宋体" w:hAnsi="宋体"/>
          <w:b w:val="0"/>
          <w:bCs w:val="0"/>
          <w:sz w:val="24"/>
          <w:szCs w:val="24"/>
          <w:highlight w:val="none"/>
        </w:rPr>
      </w:pPr>
    </w:p>
    <w:p>
      <w:pPr>
        <w:pStyle w:val="5"/>
        <w:spacing w:line="360" w:lineRule="auto"/>
        <w:ind w:firstLine="482" w:firstLineChars="200"/>
        <w:rPr>
          <w:rFonts w:ascii="宋体" w:hAnsi="宋体"/>
          <w:bCs w:val="0"/>
          <w:sz w:val="24"/>
          <w:szCs w:val="24"/>
          <w:highlight w:val="none"/>
        </w:rPr>
      </w:pPr>
      <w:bookmarkStart w:id="173" w:name="_Toc17029"/>
      <w:bookmarkStart w:id="174" w:name="_Toc27685"/>
      <w:r>
        <w:rPr>
          <w:rFonts w:hint="eastAsia" w:ascii="宋体" w:hAnsi="宋体"/>
          <w:bCs w:val="0"/>
          <w:sz w:val="24"/>
          <w:szCs w:val="24"/>
          <w:highlight w:val="none"/>
        </w:rPr>
        <w:t>注：从业人员、营业收入、资产总额填报上一年度数据，无上度数据的新成立企业可不填报</w:t>
      </w:r>
      <w:bookmarkEnd w:id="173"/>
      <w:bookmarkEnd w:id="174"/>
    </w:p>
    <w:p>
      <w:pPr>
        <w:rPr>
          <w:sz w:val="32"/>
          <w:highlight w:val="none"/>
        </w:rPr>
      </w:pPr>
      <w:r>
        <w:rPr>
          <w:sz w:val="32"/>
          <w:highlight w:val="none"/>
        </w:rPr>
        <w:br w:type="page"/>
      </w:r>
    </w:p>
    <w:p>
      <w:pPr>
        <w:rPr>
          <w:highlight w:val="none"/>
        </w:rPr>
      </w:pPr>
    </w:p>
    <w:p>
      <w:pPr>
        <w:pStyle w:val="5"/>
        <w:rPr>
          <w:rFonts w:ascii="宋体" w:cs="宋体"/>
          <w:sz w:val="36"/>
          <w:szCs w:val="36"/>
          <w:highlight w:val="none"/>
        </w:rPr>
      </w:pPr>
    </w:p>
    <w:p>
      <w:pPr>
        <w:pStyle w:val="20"/>
        <w:rPr>
          <w:highlight w:val="none"/>
        </w:rPr>
      </w:pPr>
    </w:p>
    <w:p>
      <w:pPr>
        <w:rPr>
          <w:highlight w:val="none"/>
        </w:rPr>
      </w:pPr>
      <w:bookmarkStart w:id="175" w:name="_Toc14776856"/>
      <w:bookmarkStart w:id="176" w:name="_Toc2355264"/>
      <w:bookmarkStart w:id="177" w:name="_Toc44705068"/>
      <w:bookmarkStart w:id="178" w:name="_Toc44704921"/>
      <w:bookmarkStart w:id="179" w:name="_Toc2512006"/>
      <w:bookmarkStart w:id="180" w:name="_Toc497167411"/>
    </w:p>
    <w:p>
      <w:pPr>
        <w:rPr>
          <w:highlight w:val="none"/>
        </w:rPr>
      </w:pPr>
    </w:p>
    <w:p>
      <w:pPr>
        <w:pStyle w:val="20"/>
        <w:rPr>
          <w:highlight w:val="none"/>
        </w:rPr>
      </w:pPr>
    </w:p>
    <w:p>
      <w:pPr>
        <w:pStyle w:val="20"/>
        <w:rPr>
          <w:highlight w:val="none"/>
        </w:rPr>
      </w:pPr>
    </w:p>
    <w:p>
      <w:pPr>
        <w:pStyle w:val="20"/>
        <w:rPr>
          <w:highlight w:val="none"/>
        </w:rPr>
      </w:pPr>
    </w:p>
    <w:p>
      <w:pPr>
        <w:pStyle w:val="20"/>
        <w:rPr>
          <w:highlight w:val="none"/>
        </w:rPr>
      </w:pPr>
    </w:p>
    <w:p>
      <w:pPr>
        <w:pStyle w:val="20"/>
        <w:rPr>
          <w:highlight w:val="none"/>
        </w:rPr>
      </w:pPr>
    </w:p>
    <w:p>
      <w:pPr>
        <w:pStyle w:val="3"/>
        <w:jc w:val="center"/>
        <w:rPr>
          <w:rFonts w:ascii="宋体" w:hAnsi="宋体" w:eastAsia="宋体"/>
          <w:sz w:val="36"/>
          <w:szCs w:val="44"/>
          <w:highlight w:val="none"/>
        </w:rPr>
      </w:pPr>
      <w:bookmarkStart w:id="181" w:name="_Toc44705289"/>
      <w:bookmarkStart w:id="182" w:name="_Toc32694"/>
      <w:bookmarkStart w:id="183" w:name="_Toc20951"/>
      <w:r>
        <w:rPr>
          <w:rFonts w:hint="eastAsia" w:ascii="宋体" w:hAnsi="宋体" w:eastAsia="宋体"/>
          <w:sz w:val="36"/>
          <w:szCs w:val="44"/>
          <w:highlight w:val="none"/>
        </w:rPr>
        <w:t>投标文件</w:t>
      </w:r>
      <w:bookmarkEnd w:id="175"/>
      <w:bookmarkEnd w:id="181"/>
      <w:bookmarkEnd w:id="182"/>
      <w:bookmarkEnd w:id="183"/>
    </w:p>
    <w:bookmarkEnd w:id="176"/>
    <w:bookmarkEnd w:id="177"/>
    <w:bookmarkEnd w:id="178"/>
    <w:bookmarkEnd w:id="179"/>
    <w:bookmarkEnd w:id="180"/>
    <w:p>
      <w:pPr>
        <w:widowControl/>
        <w:spacing w:line="360" w:lineRule="auto"/>
        <w:jc w:val="center"/>
        <w:rPr>
          <w:rFonts w:ascii="宋体" w:cs="宋体"/>
          <w:b/>
          <w:sz w:val="44"/>
          <w:szCs w:val="44"/>
          <w:highlight w:val="none"/>
        </w:rPr>
      </w:pPr>
      <w:r>
        <w:rPr>
          <w:rFonts w:ascii="宋体" w:cs="宋体"/>
          <w:b/>
          <w:sz w:val="44"/>
          <w:szCs w:val="44"/>
          <w:highlight w:val="none"/>
        </w:rPr>
        <w:br w:type="page"/>
      </w:r>
    </w:p>
    <w:p>
      <w:pPr>
        <w:spacing w:line="360" w:lineRule="auto"/>
        <w:rPr>
          <w:rFonts w:ascii="宋体" w:cs="宋体"/>
          <w:sz w:val="28"/>
          <w:highlight w:val="none"/>
        </w:rPr>
      </w:pPr>
      <w:r>
        <w:rPr>
          <w:rFonts w:hint="eastAsia" w:ascii="宋体" w:hAnsi="宋体" w:cs="宋体"/>
          <w:b/>
          <w:sz w:val="24"/>
          <w:szCs w:val="24"/>
          <w:highlight w:val="none"/>
        </w:rPr>
        <w:t>投标文件封面格式</w:t>
      </w:r>
    </w:p>
    <w:p>
      <w:pPr>
        <w:wordWrap w:val="0"/>
        <w:spacing w:line="360" w:lineRule="auto"/>
        <w:jc w:val="right"/>
        <w:rPr>
          <w:rFonts w:ascii="宋体" w:cs="宋体"/>
          <w:b/>
          <w:sz w:val="28"/>
          <w:szCs w:val="28"/>
          <w:highlight w:val="none"/>
        </w:rPr>
      </w:pPr>
    </w:p>
    <w:p>
      <w:pPr>
        <w:spacing w:line="360" w:lineRule="auto"/>
        <w:jc w:val="center"/>
        <w:rPr>
          <w:rFonts w:ascii="宋体" w:cs="宋体"/>
          <w:b/>
          <w:sz w:val="96"/>
          <w:highlight w:val="none"/>
        </w:rPr>
      </w:pPr>
    </w:p>
    <w:p>
      <w:pPr>
        <w:spacing w:line="360" w:lineRule="auto"/>
        <w:jc w:val="center"/>
        <w:rPr>
          <w:rFonts w:ascii="宋体" w:cs="宋体"/>
          <w:b/>
          <w:sz w:val="80"/>
          <w:szCs w:val="80"/>
          <w:highlight w:val="none"/>
        </w:rPr>
      </w:pPr>
      <w:r>
        <w:rPr>
          <w:rFonts w:hint="eastAsia" w:ascii="宋体" w:hAnsi="宋体" w:cs="宋体"/>
          <w:b/>
          <w:sz w:val="80"/>
          <w:szCs w:val="80"/>
          <w:highlight w:val="none"/>
        </w:rPr>
        <w:t>（项目名称）</w:t>
      </w:r>
    </w:p>
    <w:p>
      <w:pPr>
        <w:spacing w:line="360" w:lineRule="auto"/>
        <w:jc w:val="center"/>
        <w:rPr>
          <w:rFonts w:ascii="宋体" w:cs="宋体"/>
          <w:b/>
          <w:sz w:val="80"/>
          <w:szCs w:val="80"/>
          <w:highlight w:val="none"/>
        </w:rPr>
      </w:pPr>
    </w:p>
    <w:p>
      <w:pPr>
        <w:spacing w:line="360" w:lineRule="auto"/>
        <w:jc w:val="center"/>
        <w:rPr>
          <w:rFonts w:ascii="宋体" w:cs="宋体"/>
          <w:b/>
          <w:sz w:val="96"/>
          <w:highlight w:val="none"/>
        </w:rPr>
      </w:pPr>
      <w:r>
        <w:rPr>
          <w:rFonts w:hint="eastAsia" w:ascii="宋体" w:hAnsi="宋体" w:cs="宋体"/>
          <w:b/>
          <w:sz w:val="96"/>
          <w:highlight w:val="none"/>
        </w:rPr>
        <w:t>投标文件</w:t>
      </w:r>
    </w:p>
    <w:p>
      <w:pPr>
        <w:spacing w:line="360" w:lineRule="auto"/>
        <w:rPr>
          <w:rFonts w:ascii="宋体" w:cs="宋体"/>
          <w:b/>
          <w:highlight w:val="none"/>
        </w:rPr>
      </w:pPr>
    </w:p>
    <w:p>
      <w:pPr>
        <w:spacing w:line="360" w:lineRule="auto"/>
        <w:jc w:val="center"/>
        <w:rPr>
          <w:rFonts w:ascii="宋体" w:cs="宋体"/>
          <w:b/>
          <w:highlight w:val="none"/>
        </w:rPr>
      </w:pPr>
    </w:p>
    <w:p>
      <w:pPr>
        <w:spacing w:line="360" w:lineRule="auto"/>
        <w:jc w:val="center"/>
        <w:rPr>
          <w:rFonts w:ascii="宋体" w:cs="宋体"/>
          <w:b/>
          <w:highlight w:val="none"/>
        </w:rPr>
      </w:pPr>
    </w:p>
    <w:p>
      <w:pPr>
        <w:spacing w:line="360" w:lineRule="auto"/>
        <w:jc w:val="center"/>
        <w:rPr>
          <w:rFonts w:ascii="宋体" w:cs="宋体"/>
          <w:b/>
          <w:highlight w:val="none"/>
        </w:rPr>
      </w:pPr>
    </w:p>
    <w:p>
      <w:pPr>
        <w:spacing w:line="360" w:lineRule="auto"/>
        <w:jc w:val="center"/>
        <w:rPr>
          <w:rFonts w:ascii="宋体" w:cs="宋体"/>
          <w:b/>
          <w:highlight w:val="none"/>
        </w:rPr>
      </w:pPr>
    </w:p>
    <w:p>
      <w:pPr>
        <w:spacing w:line="360" w:lineRule="auto"/>
        <w:rPr>
          <w:rFonts w:ascii="宋体" w:cs="宋体"/>
          <w:b/>
          <w:sz w:val="36"/>
          <w:szCs w:val="36"/>
          <w:highlight w:val="none"/>
        </w:rPr>
      </w:pPr>
      <w:r>
        <w:rPr>
          <w:rFonts w:hint="eastAsia" w:ascii="宋体" w:hAnsi="宋体" w:cs="宋体"/>
          <w:b/>
          <w:sz w:val="36"/>
          <w:szCs w:val="36"/>
          <w:highlight w:val="none"/>
        </w:rPr>
        <w:t>招标编号：</w:t>
      </w:r>
    </w:p>
    <w:p>
      <w:pPr>
        <w:spacing w:line="360" w:lineRule="auto"/>
        <w:ind w:left="2992" w:hanging="2631"/>
        <w:rPr>
          <w:rFonts w:ascii="宋体" w:cs="宋体"/>
          <w:b/>
          <w:sz w:val="36"/>
          <w:szCs w:val="36"/>
          <w:highlight w:val="none"/>
        </w:rPr>
      </w:pPr>
    </w:p>
    <w:p>
      <w:pPr>
        <w:spacing w:line="360" w:lineRule="auto"/>
        <w:rPr>
          <w:rFonts w:ascii="宋体" w:cs="宋体"/>
          <w:b/>
          <w:sz w:val="36"/>
          <w:szCs w:val="36"/>
          <w:highlight w:val="none"/>
          <w:u w:val="single"/>
        </w:rPr>
      </w:pPr>
      <w:r>
        <w:rPr>
          <w:rFonts w:hint="eastAsia" w:ascii="宋体" w:hAnsi="宋体" w:cs="宋体"/>
          <w:b/>
          <w:sz w:val="36"/>
          <w:szCs w:val="36"/>
          <w:highlight w:val="none"/>
        </w:rPr>
        <w:t>投标人名称：</w:t>
      </w:r>
      <w:r>
        <w:rPr>
          <w:rFonts w:ascii="宋体" w:hAnsi="宋体" w:cs="宋体"/>
          <w:b/>
          <w:sz w:val="36"/>
          <w:szCs w:val="36"/>
          <w:highlight w:val="none"/>
        </w:rPr>
        <w:t xml:space="preserve"> </w:t>
      </w:r>
      <w:r>
        <w:rPr>
          <w:rFonts w:ascii="宋体" w:hAnsi="宋体" w:cs="宋体"/>
          <w:b/>
          <w:sz w:val="36"/>
          <w:szCs w:val="36"/>
          <w:highlight w:val="none"/>
          <w:u w:val="single"/>
        </w:rPr>
        <w:t xml:space="preserve">                </w:t>
      </w:r>
      <w:r>
        <w:rPr>
          <w:rFonts w:hint="eastAsia" w:ascii="宋体" w:hAnsi="宋体" w:cs="宋体"/>
          <w:b/>
          <w:sz w:val="36"/>
          <w:szCs w:val="36"/>
          <w:highlight w:val="none"/>
          <w:u w:val="single"/>
        </w:rPr>
        <w:t>（盖公章）</w:t>
      </w:r>
    </w:p>
    <w:p>
      <w:pPr>
        <w:spacing w:line="360" w:lineRule="auto"/>
        <w:rPr>
          <w:rFonts w:ascii="宋体" w:cs="宋体"/>
          <w:b/>
          <w:sz w:val="36"/>
          <w:szCs w:val="36"/>
          <w:highlight w:val="none"/>
        </w:rPr>
      </w:pPr>
    </w:p>
    <w:p>
      <w:pPr>
        <w:spacing w:line="360" w:lineRule="auto"/>
        <w:jc w:val="center"/>
        <w:rPr>
          <w:rFonts w:ascii="宋体" w:cs="宋体"/>
          <w:b/>
          <w:sz w:val="36"/>
          <w:szCs w:val="36"/>
          <w:highlight w:val="none"/>
        </w:rPr>
      </w:pPr>
      <w:r>
        <w:rPr>
          <w:rFonts w:ascii="宋体" w:hAnsi="宋体" w:cs="宋体"/>
          <w:b/>
          <w:sz w:val="36"/>
          <w:szCs w:val="36"/>
          <w:highlight w:val="none"/>
        </w:rPr>
        <w:t xml:space="preserve"> </w:t>
      </w:r>
      <w:r>
        <w:rPr>
          <w:rFonts w:hint="eastAsia" w:ascii="宋体" w:hAnsi="宋体" w:cs="宋体"/>
          <w:b/>
          <w:sz w:val="36"/>
          <w:szCs w:val="36"/>
          <w:highlight w:val="none"/>
        </w:rPr>
        <w:t>年</w:t>
      </w:r>
      <w:r>
        <w:rPr>
          <w:rFonts w:ascii="宋体" w:hAnsi="宋体" w:cs="宋体"/>
          <w:b/>
          <w:sz w:val="36"/>
          <w:szCs w:val="36"/>
          <w:highlight w:val="none"/>
        </w:rPr>
        <w:t xml:space="preserve">  </w:t>
      </w:r>
      <w:r>
        <w:rPr>
          <w:rFonts w:hint="eastAsia" w:ascii="宋体" w:hAnsi="宋体" w:cs="宋体"/>
          <w:b/>
          <w:sz w:val="36"/>
          <w:szCs w:val="36"/>
          <w:highlight w:val="none"/>
        </w:rPr>
        <w:t>月</w:t>
      </w:r>
      <w:r>
        <w:rPr>
          <w:rFonts w:ascii="宋体" w:hAnsi="宋体" w:cs="宋体"/>
          <w:b/>
          <w:sz w:val="36"/>
          <w:szCs w:val="36"/>
          <w:highlight w:val="none"/>
        </w:rPr>
        <w:t xml:space="preserve">  </w:t>
      </w:r>
      <w:r>
        <w:rPr>
          <w:rFonts w:hint="eastAsia" w:ascii="宋体" w:hAnsi="宋体" w:cs="宋体"/>
          <w:b/>
          <w:sz w:val="36"/>
          <w:szCs w:val="36"/>
          <w:highlight w:val="none"/>
        </w:rPr>
        <w:t>日</w:t>
      </w:r>
      <w:bookmarkStart w:id="184" w:name="_Hlt487900425"/>
      <w:bookmarkEnd w:id="184"/>
      <w:bookmarkStart w:id="185" w:name="_Toc493422658"/>
      <w:bookmarkStart w:id="186" w:name="_Toc2355265"/>
      <w:bookmarkStart w:id="187" w:name="_Toc14776857"/>
      <w:bookmarkStart w:id="188" w:name="_Toc497167412"/>
      <w:bookmarkStart w:id="189" w:name="_Toc2512007"/>
    </w:p>
    <w:p>
      <w:pPr>
        <w:spacing w:line="360" w:lineRule="auto"/>
        <w:jc w:val="center"/>
        <w:rPr>
          <w:rFonts w:ascii="宋体" w:cs="宋体"/>
          <w:b/>
          <w:sz w:val="36"/>
          <w:szCs w:val="36"/>
          <w:highlight w:val="none"/>
        </w:rPr>
      </w:pPr>
    </w:p>
    <w:p>
      <w:pPr>
        <w:pStyle w:val="5"/>
        <w:rPr>
          <w:rFonts w:ascii="宋体" w:cs="宋体"/>
          <w:sz w:val="36"/>
          <w:szCs w:val="36"/>
          <w:highlight w:val="none"/>
        </w:rPr>
      </w:pPr>
      <w:bookmarkStart w:id="190" w:name="_Toc44704922"/>
      <w:bookmarkStart w:id="191" w:name="_Toc27018"/>
      <w:bookmarkStart w:id="192" w:name="_Toc44705069"/>
      <w:bookmarkStart w:id="193" w:name="_Toc20297"/>
      <w:bookmarkStart w:id="194" w:name="_Toc44705290"/>
      <w:r>
        <w:rPr>
          <w:rFonts w:ascii="宋体" w:hAnsi="宋体" w:cs="宋体"/>
          <w:sz w:val="32"/>
          <w:szCs w:val="24"/>
          <w:highlight w:val="none"/>
        </w:rPr>
        <w:t>2.1</w:t>
      </w:r>
      <w:r>
        <w:rPr>
          <w:rFonts w:hint="eastAsia" w:ascii="宋体" w:hAnsi="宋体" w:cs="宋体"/>
          <w:sz w:val="32"/>
          <w:szCs w:val="24"/>
          <w:highlight w:val="none"/>
        </w:rPr>
        <w:t>、投标书格式</w:t>
      </w:r>
      <w:bookmarkEnd w:id="185"/>
      <w:bookmarkEnd w:id="186"/>
      <w:bookmarkEnd w:id="187"/>
      <w:bookmarkEnd w:id="188"/>
      <w:bookmarkEnd w:id="189"/>
      <w:bookmarkEnd w:id="190"/>
      <w:bookmarkEnd w:id="191"/>
      <w:bookmarkEnd w:id="192"/>
      <w:bookmarkEnd w:id="193"/>
      <w:bookmarkEnd w:id="194"/>
    </w:p>
    <w:p>
      <w:pPr>
        <w:spacing w:line="360" w:lineRule="auto"/>
        <w:jc w:val="center"/>
        <w:rPr>
          <w:rFonts w:ascii="宋体" w:cs="宋体"/>
          <w:b/>
          <w:bCs/>
          <w:sz w:val="32"/>
          <w:szCs w:val="32"/>
          <w:highlight w:val="none"/>
        </w:rPr>
      </w:pPr>
      <w:r>
        <w:rPr>
          <w:rFonts w:hint="eastAsia" w:ascii="宋体" w:hAnsi="宋体" w:cs="宋体"/>
          <w:b/>
          <w:bCs/>
          <w:sz w:val="32"/>
          <w:szCs w:val="32"/>
          <w:highlight w:val="none"/>
        </w:rPr>
        <w:t>投</w:t>
      </w:r>
      <w:r>
        <w:rPr>
          <w:rFonts w:ascii="宋体" w:hAnsi="宋体" w:cs="宋体"/>
          <w:b/>
          <w:bCs/>
          <w:sz w:val="32"/>
          <w:szCs w:val="32"/>
          <w:highlight w:val="none"/>
        </w:rPr>
        <w:t xml:space="preserve"> </w:t>
      </w:r>
      <w:r>
        <w:rPr>
          <w:rFonts w:hint="eastAsia" w:ascii="宋体" w:hAnsi="宋体" w:cs="宋体"/>
          <w:b/>
          <w:bCs/>
          <w:sz w:val="32"/>
          <w:szCs w:val="32"/>
          <w:highlight w:val="none"/>
        </w:rPr>
        <w:t>标</w:t>
      </w:r>
      <w:r>
        <w:rPr>
          <w:rFonts w:ascii="宋体" w:hAnsi="宋体" w:cs="宋体"/>
          <w:b/>
          <w:bCs/>
          <w:sz w:val="32"/>
          <w:szCs w:val="32"/>
          <w:highlight w:val="none"/>
        </w:rPr>
        <w:t xml:space="preserve"> </w:t>
      </w:r>
      <w:r>
        <w:rPr>
          <w:rFonts w:hint="eastAsia" w:ascii="宋体" w:hAnsi="宋体" w:cs="宋体"/>
          <w:b/>
          <w:bCs/>
          <w:sz w:val="32"/>
          <w:szCs w:val="32"/>
          <w:highlight w:val="none"/>
        </w:rPr>
        <w:t>书</w:t>
      </w:r>
    </w:p>
    <w:p>
      <w:pPr>
        <w:spacing w:line="360" w:lineRule="auto"/>
        <w:rPr>
          <w:rFonts w:hint="eastAsia" w:ascii="宋体" w:eastAsia="宋体" w:cs="宋体"/>
          <w:sz w:val="24"/>
          <w:szCs w:val="24"/>
          <w:highlight w:val="none"/>
          <w:lang w:eastAsia="zh-CN"/>
        </w:rPr>
      </w:pPr>
      <w:r>
        <w:rPr>
          <w:rFonts w:hint="eastAsia" w:ascii="宋体" w:hAnsi="宋体" w:cs="宋体"/>
          <w:sz w:val="24"/>
          <w:szCs w:val="24"/>
          <w:highlight w:val="none"/>
        </w:rPr>
        <w:t>致：</w:t>
      </w:r>
      <w:r>
        <w:rPr>
          <w:rFonts w:hint="eastAsia" w:ascii="宋体" w:hAnsi="宋体" w:cs="宋体"/>
          <w:sz w:val="24"/>
          <w:szCs w:val="24"/>
          <w:highlight w:val="none"/>
          <w:lang w:eastAsia="zh-CN"/>
        </w:rPr>
        <w:t>新疆同创博远项目管理咨询有限责任公司</w:t>
      </w:r>
    </w:p>
    <w:p>
      <w:pPr>
        <w:spacing w:line="360" w:lineRule="auto"/>
        <w:ind w:firstLine="435"/>
        <w:rPr>
          <w:rFonts w:ascii="宋体" w:cs="宋体"/>
          <w:sz w:val="24"/>
          <w:szCs w:val="24"/>
          <w:highlight w:val="none"/>
        </w:rPr>
      </w:pPr>
      <w:r>
        <w:rPr>
          <w:rFonts w:hint="eastAsia" w:ascii="宋体" w:hAnsi="宋体" w:cs="宋体"/>
          <w:sz w:val="24"/>
          <w:szCs w:val="24"/>
          <w:highlight w:val="none"/>
        </w:rPr>
        <w:t>根据贵方为</w:t>
      </w:r>
      <w:r>
        <w:rPr>
          <w:rFonts w:hint="eastAsia" w:ascii="宋体" w:hAnsi="宋体" w:cs="宋体"/>
          <w:sz w:val="24"/>
          <w:szCs w:val="24"/>
          <w:highlight w:val="none"/>
          <w:u w:val="single"/>
        </w:rPr>
        <w:t>（招标项目名称）</w:t>
      </w:r>
      <w:r>
        <w:rPr>
          <w:rFonts w:hint="eastAsia" w:ascii="宋体" w:hAnsi="宋体" w:cs="宋体"/>
          <w:sz w:val="24"/>
          <w:szCs w:val="24"/>
          <w:highlight w:val="none"/>
        </w:rPr>
        <w:t>招标采购货物/服务的投标邀请</w:t>
      </w:r>
      <w:r>
        <w:rPr>
          <w:rFonts w:hint="eastAsia" w:ascii="宋体" w:hAnsi="宋体" w:cs="宋体"/>
          <w:sz w:val="24"/>
          <w:szCs w:val="24"/>
          <w:highlight w:val="none"/>
          <w:u w:val="single"/>
        </w:rPr>
        <w:t>（招标编号）</w:t>
      </w:r>
      <w:r>
        <w:rPr>
          <w:rFonts w:hint="eastAsia" w:ascii="宋体" w:hAnsi="宋体" w:cs="宋体"/>
          <w:sz w:val="24"/>
          <w:szCs w:val="24"/>
          <w:highlight w:val="none"/>
        </w:rPr>
        <w:t>，签字代表</w:t>
      </w:r>
      <w:r>
        <w:rPr>
          <w:rFonts w:hint="eastAsia" w:ascii="宋体" w:hAnsi="宋体" w:cs="宋体"/>
          <w:sz w:val="24"/>
          <w:szCs w:val="24"/>
          <w:highlight w:val="none"/>
          <w:u w:val="single"/>
        </w:rPr>
        <w:t>（姓名、职务）</w:t>
      </w:r>
      <w:r>
        <w:rPr>
          <w:rFonts w:hint="eastAsia" w:ascii="宋体" w:hAnsi="宋体" w:cs="宋体"/>
          <w:sz w:val="24"/>
          <w:szCs w:val="24"/>
          <w:highlight w:val="none"/>
        </w:rPr>
        <w:t>经正式授权并代表投标人</w:t>
      </w:r>
      <w:r>
        <w:rPr>
          <w:rFonts w:hint="eastAsia" w:ascii="宋体" w:hAnsi="宋体" w:cs="宋体"/>
          <w:sz w:val="24"/>
          <w:szCs w:val="24"/>
          <w:highlight w:val="none"/>
          <w:u w:val="single"/>
        </w:rPr>
        <w:t>（投标人名称、地址）</w:t>
      </w:r>
      <w:r>
        <w:rPr>
          <w:rFonts w:hint="eastAsia" w:ascii="宋体" w:hAnsi="宋体" w:cs="宋体"/>
          <w:sz w:val="24"/>
          <w:szCs w:val="24"/>
          <w:highlight w:val="none"/>
        </w:rPr>
        <w:t>提交下述文件电子文件</w:t>
      </w:r>
      <w:r>
        <w:rPr>
          <w:rFonts w:ascii="宋体" w:hAnsi="宋体" w:cs="宋体"/>
          <w:sz w:val="24"/>
          <w:szCs w:val="24"/>
          <w:highlight w:val="none"/>
          <w:u w:val="single"/>
        </w:rPr>
        <w:t xml:space="preserve">     </w:t>
      </w:r>
      <w:r>
        <w:rPr>
          <w:rFonts w:hint="eastAsia" w:ascii="宋体" w:hAnsi="宋体" w:cs="宋体"/>
          <w:sz w:val="24"/>
          <w:szCs w:val="24"/>
          <w:highlight w:val="none"/>
        </w:rPr>
        <w:t>份。</w:t>
      </w:r>
    </w:p>
    <w:p>
      <w:pPr>
        <w:numPr>
          <w:ilvl w:val="0"/>
          <w:numId w:val="0"/>
        </w:numPr>
        <w:spacing w:line="360" w:lineRule="auto"/>
        <w:ind w:left="1180" w:leftChars="0" w:hanging="340" w:firstLineChars="0"/>
        <w:rPr>
          <w:rFonts w:ascii="宋体" w:cs="宋体"/>
          <w:sz w:val="24"/>
          <w:szCs w:val="24"/>
          <w:highlight w:val="none"/>
        </w:rPr>
      </w:pPr>
      <w:r>
        <w:rPr>
          <w:rFonts w:hint="eastAsia" w:ascii="宋体" w:hAnsi="Times New Roman" w:eastAsia="宋体" w:cs="Times New Roman"/>
          <w:kern w:val="2"/>
          <w:sz w:val="24"/>
          <w:szCs w:val="24"/>
          <w:lang w:val="en-US" w:eastAsia="zh-CN" w:bidi="ar-SA"/>
        </w:rPr>
        <w:t>1.</w:t>
      </w:r>
      <w:r>
        <w:rPr>
          <w:rFonts w:hint="eastAsia" w:ascii="宋体" w:hAnsi="宋体" w:cs="宋体"/>
          <w:sz w:val="24"/>
          <w:szCs w:val="24"/>
          <w:highlight w:val="none"/>
        </w:rPr>
        <w:t>开标一览表</w:t>
      </w:r>
    </w:p>
    <w:p>
      <w:pPr>
        <w:numPr>
          <w:ilvl w:val="0"/>
          <w:numId w:val="0"/>
        </w:numPr>
        <w:spacing w:line="360" w:lineRule="auto"/>
        <w:ind w:left="1180" w:leftChars="0" w:hanging="340" w:firstLineChars="0"/>
        <w:rPr>
          <w:rFonts w:ascii="宋体" w:cs="宋体"/>
          <w:sz w:val="24"/>
          <w:szCs w:val="24"/>
          <w:highlight w:val="none"/>
        </w:rPr>
      </w:pPr>
      <w:r>
        <w:rPr>
          <w:rFonts w:hint="eastAsia" w:ascii="宋体" w:cs="Times New Roman"/>
          <w:kern w:val="2"/>
          <w:sz w:val="24"/>
          <w:szCs w:val="24"/>
          <w:lang w:val="en-US" w:eastAsia="zh-CN" w:bidi="ar-SA"/>
        </w:rPr>
        <w:t>2</w:t>
      </w:r>
      <w:r>
        <w:rPr>
          <w:rFonts w:hint="eastAsia" w:ascii="宋体" w:hAnsi="Times New Roman" w:eastAsia="宋体" w:cs="Times New Roman"/>
          <w:kern w:val="2"/>
          <w:sz w:val="24"/>
          <w:szCs w:val="24"/>
          <w:lang w:val="en-US" w:eastAsia="zh-CN" w:bidi="ar-SA"/>
        </w:rPr>
        <w:t>.</w:t>
      </w:r>
      <w:r>
        <w:rPr>
          <w:rFonts w:hint="eastAsia" w:ascii="宋体" w:hAnsi="宋体" w:cs="宋体"/>
          <w:sz w:val="24"/>
          <w:szCs w:val="24"/>
          <w:highlight w:val="none"/>
        </w:rPr>
        <w:t>服务需求偏离表</w:t>
      </w:r>
    </w:p>
    <w:p>
      <w:pPr>
        <w:numPr>
          <w:ilvl w:val="0"/>
          <w:numId w:val="0"/>
        </w:numPr>
        <w:spacing w:line="360" w:lineRule="auto"/>
        <w:ind w:left="1180" w:leftChars="0" w:hanging="340" w:firstLineChars="0"/>
        <w:rPr>
          <w:rFonts w:ascii="宋体" w:cs="宋体"/>
          <w:sz w:val="24"/>
          <w:szCs w:val="24"/>
          <w:highlight w:val="none"/>
        </w:rPr>
      </w:pPr>
      <w:r>
        <w:rPr>
          <w:rFonts w:hint="eastAsia" w:ascii="宋体" w:cs="Times New Roman"/>
          <w:kern w:val="2"/>
          <w:sz w:val="24"/>
          <w:szCs w:val="24"/>
          <w:lang w:val="en-US" w:eastAsia="zh-CN" w:bidi="ar-SA"/>
        </w:rPr>
        <w:t>3</w:t>
      </w:r>
      <w:r>
        <w:rPr>
          <w:rFonts w:hint="eastAsia" w:ascii="宋体" w:hAnsi="Times New Roman" w:eastAsia="宋体" w:cs="Times New Roman"/>
          <w:kern w:val="2"/>
          <w:sz w:val="24"/>
          <w:szCs w:val="24"/>
          <w:lang w:val="en-US" w:eastAsia="zh-CN" w:bidi="ar-SA"/>
        </w:rPr>
        <w:t>.</w:t>
      </w:r>
      <w:r>
        <w:rPr>
          <w:rFonts w:hint="eastAsia" w:ascii="宋体" w:hAnsi="宋体" w:cs="宋体"/>
          <w:sz w:val="24"/>
          <w:szCs w:val="24"/>
          <w:highlight w:val="none"/>
        </w:rPr>
        <w:t>商务条款偏离表</w:t>
      </w:r>
    </w:p>
    <w:p>
      <w:pPr>
        <w:numPr>
          <w:ilvl w:val="0"/>
          <w:numId w:val="0"/>
        </w:numPr>
        <w:spacing w:line="360" w:lineRule="auto"/>
        <w:ind w:left="1180" w:leftChars="0" w:hanging="340" w:firstLineChars="0"/>
        <w:rPr>
          <w:rFonts w:ascii="宋体" w:cs="宋体"/>
          <w:sz w:val="24"/>
          <w:szCs w:val="24"/>
          <w:highlight w:val="none"/>
        </w:rPr>
      </w:pPr>
      <w:r>
        <w:rPr>
          <w:rFonts w:hint="eastAsia" w:ascii="宋体" w:cs="Times New Roman"/>
          <w:kern w:val="2"/>
          <w:sz w:val="24"/>
          <w:szCs w:val="24"/>
          <w:lang w:val="en-US" w:eastAsia="zh-CN" w:bidi="ar-SA"/>
        </w:rPr>
        <w:t>4</w:t>
      </w:r>
      <w:r>
        <w:rPr>
          <w:rFonts w:hint="eastAsia" w:ascii="宋体" w:hAnsi="Times New Roman" w:eastAsia="宋体" w:cs="Times New Roman"/>
          <w:kern w:val="2"/>
          <w:sz w:val="24"/>
          <w:szCs w:val="24"/>
          <w:lang w:val="en-US" w:eastAsia="zh-CN" w:bidi="ar-SA"/>
        </w:rPr>
        <w:t>.</w:t>
      </w:r>
      <w:r>
        <w:rPr>
          <w:rFonts w:hint="eastAsia" w:ascii="宋体" w:hAnsi="宋体" w:cs="宋体"/>
          <w:sz w:val="24"/>
          <w:szCs w:val="24"/>
          <w:highlight w:val="none"/>
        </w:rPr>
        <w:t>资格证明材料</w:t>
      </w:r>
    </w:p>
    <w:p>
      <w:pPr>
        <w:numPr>
          <w:ilvl w:val="0"/>
          <w:numId w:val="0"/>
        </w:numPr>
        <w:spacing w:line="360" w:lineRule="auto"/>
        <w:ind w:left="1180" w:leftChars="0" w:hanging="340" w:firstLineChars="0"/>
        <w:rPr>
          <w:rFonts w:ascii="宋体" w:cs="宋体"/>
          <w:sz w:val="24"/>
          <w:szCs w:val="24"/>
          <w:highlight w:val="none"/>
        </w:rPr>
      </w:pPr>
      <w:r>
        <w:rPr>
          <w:rFonts w:hint="eastAsia" w:ascii="宋体" w:cs="Times New Roman"/>
          <w:kern w:val="2"/>
          <w:sz w:val="24"/>
          <w:szCs w:val="24"/>
          <w:lang w:val="en-US" w:eastAsia="zh-CN" w:bidi="ar-SA"/>
        </w:rPr>
        <w:t>5</w:t>
      </w:r>
      <w:r>
        <w:rPr>
          <w:rFonts w:hint="eastAsia" w:ascii="宋体" w:hAnsi="Times New Roman" w:eastAsia="宋体" w:cs="Times New Roman"/>
          <w:kern w:val="2"/>
          <w:sz w:val="24"/>
          <w:szCs w:val="24"/>
          <w:lang w:val="en-US" w:eastAsia="zh-CN" w:bidi="ar-SA"/>
        </w:rPr>
        <w:t>.</w:t>
      </w:r>
      <w:r>
        <w:rPr>
          <w:rFonts w:hint="eastAsia" w:ascii="宋体" w:hAnsi="宋体" w:cs="宋体"/>
          <w:sz w:val="24"/>
          <w:szCs w:val="24"/>
          <w:highlight w:val="none"/>
        </w:rPr>
        <w:t>遵守国家有关法律、法规和规章，按招标文件中投标人须知和技术规格要求提供的有关文件</w:t>
      </w:r>
    </w:p>
    <w:p>
      <w:pPr>
        <w:numPr>
          <w:ilvl w:val="0"/>
          <w:numId w:val="0"/>
        </w:numPr>
        <w:spacing w:line="360" w:lineRule="auto"/>
        <w:ind w:left="1180" w:leftChars="0" w:hanging="340" w:firstLineChars="0"/>
        <w:rPr>
          <w:rFonts w:ascii="宋体" w:cs="宋体"/>
          <w:sz w:val="24"/>
          <w:szCs w:val="24"/>
          <w:highlight w:val="none"/>
        </w:rPr>
      </w:pPr>
      <w:r>
        <w:rPr>
          <w:rFonts w:hint="eastAsia" w:ascii="宋体" w:cs="Times New Roman"/>
          <w:kern w:val="2"/>
          <w:sz w:val="24"/>
          <w:szCs w:val="24"/>
          <w:lang w:val="en-US" w:eastAsia="zh-CN" w:bidi="ar-SA"/>
        </w:rPr>
        <w:t>6</w:t>
      </w:r>
      <w:r>
        <w:rPr>
          <w:rFonts w:hint="eastAsia" w:ascii="宋体" w:hAnsi="Times New Roman" w:eastAsia="宋体" w:cs="Times New Roman"/>
          <w:kern w:val="2"/>
          <w:sz w:val="24"/>
          <w:szCs w:val="24"/>
          <w:lang w:val="en-US" w:eastAsia="zh-CN" w:bidi="ar-SA"/>
        </w:rPr>
        <w:t>.</w:t>
      </w:r>
      <w:r>
        <w:rPr>
          <w:rFonts w:hint="eastAsia" w:ascii="宋体" w:hAnsi="宋体" w:cs="宋体"/>
          <w:sz w:val="24"/>
          <w:szCs w:val="24"/>
          <w:highlight w:val="none"/>
        </w:rPr>
        <w:t>以</w:t>
      </w:r>
      <w:r>
        <w:rPr>
          <w:rFonts w:ascii="宋体" w:hAnsi="宋体" w:cs="宋体"/>
          <w:sz w:val="24"/>
          <w:szCs w:val="24"/>
          <w:highlight w:val="none"/>
          <w:u w:val="single"/>
        </w:rPr>
        <w:t xml:space="preserve">      </w:t>
      </w:r>
      <w:r>
        <w:rPr>
          <w:rFonts w:hint="eastAsia" w:ascii="宋体" w:hAnsi="宋体" w:cs="宋体"/>
          <w:sz w:val="24"/>
          <w:szCs w:val="24"/>
          <w:highlight w:val="none"/>
        </w:rPr>
        <w:t>形式出具的投标保证金，金额为人民币</w:t>
      </w:r>
      <w:r>
        <w:rPr>
          <w:rFonts w:ascii="宋体" w:hAnsi="宋体" w:cs="宋体"/>
          <w:sz w:val="24"/>
          <w:szCs w:val="24"/>
          <w:highlight w:val="none"/>
          <w:u w:val="single"/>
        </w:rPr>
        <w:t xml:space="preserve">     </w:t>
      </w:r>
      <w:r>
        <w:rPr>
          <w:rFonts w:hint="eastAsia" w:ascii="宋体" w:hAnsi="宋体" w:cs="宋体"/>
          <w:sz w:val="24"/>
          <w:szCs w:val="24"/>
          <w:highlight w:val="none"/>
        </w:rPr>
        <w:t>元。</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在此，签字代表宣布同意如下：</w:t>
      </w:r>
    </w:p>
    <w:p>
      <w:pPr>
        <w:numPr>
          <w:ilvl w:val="1"/>
          <w:numId w:val="14"/>
        </w:numPr>
        <w:spacing w:line="360" w:lineRule="auto"/>
        <w:rPr>
          <w:rFonts w:ascii="宋体" w:cs="宋体"/>
          <w:sz w:val="24"/>
          <w:szCs w:val="24"/>
          <w:highlight w:val="none"/>
        </w:rPr>
      </w:pPr>
      <w:r>
        <w:rPr>
          <w:rFonts w:hint="eastAsia" w:ascii="宋体" w:hAnsi="宋体" w:cs="宋体"/>
          <w:sz w:val="24"/>
          <w:szCs w:val="24"/>
          <w:highlight w:val="none"/>
        </w:rPr>
        <w:t>所附投标价格表中规定的应提供的服务投标总价为</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（并同时用文字和数字表示的投标总价），合同履行期限为 </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numPr>
          <w:ilvl w:val="1"/>
          <w:numId w:val="14"/>
        </w:numPr>
        <w:spacing w:line="360" w:lineRule="auto"/>
        <w:rPr>
          <w:rFonts w:ascii="宋体" w:cs="宋体"/>
          <w:sz w:val="24"/>
          <w:szCs w:val="24"/>
          <w:highlight w:val="none"/>
        </w:rPr>
      </w:pPr>
      <w:r>
        <w:rPr>
          <w:rFonts w:hint="eastAsia" w:ascii="宋体" w:hAnsi="宋体" w:cs="宋体"/>
          <w:sz w:val="24"/>
          <w:szCs w:val="24"/>
          <w:highlight w:val="none"/>
        </w:rPr>
        <w:t>我方将按招标文件的规定履行合同责任和义务。</w:t>
      </w:r>
    </w:p>
    <w:p>
      <w:pPr>
        <w:numPr>
          <w:ilvl w:val="1"/>
          <w:numId w:val="14"/>
        </w:numPr>
        <w:spacing w:line="360" w:lineRule="auto"/>
        <w:rPr>
          <w:rFonts w:ascii="宋体" w:cs="宋体"/>
          <w:sz w:val="24"/>
          <w:szCs w:val="24"/>
          <w:highlight w:val="none"/>
        </w:rPr>
      </w:pPr>
      <w:r>
        <w:rPr>
          <w:rFonts w:hint="eastAsia" w:ascii="宋体" w:hAnsi="宋体" w:cs="宋体"/>
          <w:sz w:val="24"/>
          <w:szCs w:val="24"/>
          <w:highlight w:val="none"/>
        </w:rPr>
        <w:t>我方已详细审查全部招标文件。我方完全理解并同意放弃对这方面有不明及误解的权利。</w:t>
      </w:r>
    </w:p>
    <w:p>
      <w:pPr>
        <w:numPr>
          <w:ilvl w:val="1"/>
          <w:numId w:val="14"/>
        </w:numPr>
        <w:spacing w:line="360" w:lineRule="auto"/>
        <w:rPr>
          <w:rFonts w:ascii="宋体" w:cs="宋体"/>
          <w:sz w:val="24"/>
          <w:szCs w:val="24"/>
          <w:highlight w:val="none"/>
        </w:rPr>
      </w:pPr>
      <w:r>
        <w:rPr>
          <w:rFonts w:hint="eastAsia" w:ascii="宋体" w:hAnsi="宋体" w:cs="宋体"/>
          <w:sz w:val="24"/>
          <w:szCs w:val="24"/>
          <w:highlight w:val="none"/>
        </w:rPr>
        <w:t>本投标有效期为自开标日起</w:t>
      </w:r>
      <w:r>
        <w:rPr>
          <w:rFonts w:ascii="宋体" w:hAnsi="宋体" w:cs="宋体"/>
          <w:sz w:val="24"/>
          <w:szCs w:val="24"/>
          <w:highlight w:val="none"/>
          <w:u w:val="single"/>
        </w:rPr>
        <w:t xml:space="preserve">        </w:t>
      </w:r>
      <w:r>
        <w:rPr>
          <w:rFonts w:hint="eastAsia" w:ascii="宋体" w:hAnsi="宋体" w:cs="宋体"/>
          <w:sz w:val="24"/>
          <w:szCs w:val="24"/>
          <w:highlight w:val="none"/>
        </w:rPr>
        <w:t>个日历日。</w:t>
      </w:r>
    </w:p>
    <w:p>
      <w:pPr>
        <w:numPr>
          <w:ilvl w:val="1"/>
          <w:numId w:val="14"/>
        </w:numPr>
        <w:spacing w:line="360" w:lineRule="auto"/>
        <w:rPr>
          <w:rFonts w:ascii="宋体" w:cs="宋体"/>
          <w:sz w:val="24"/>
          <w:szCs w:val="24"/>
          <w:highlight w:val="none"/>
        </w:rPr>
      </w:pPr>
      <w:r>
        <w:rPr>
          <w:rFonts w:hint="eastAsia" w:ascii="宋体" w:hAnsi="宋体" w:cs="宋体"/>
          <w:sz w:val="24"/>
          <w:szCs w:val="24"/>
          <w:highlight w:val="none"/>
        </w:rPr>
        <w:t>如果在规定的开标时间后，我方在投标有效期内撤回投标，投标保证金将不予退还。</w:t>
      </w:r>
    </w:p>
    <w:p>
      <w:pPr>
        <w:numPr>
          <w:ilvl w:val="1"/>
          <w:numId w:val="14"/>
        </w:numPr>
        <w:spacing w:line="360" w:lineRule="auto"/>
        <w:rPr>
          <w:rFonts w:ascii="宋体" w:cs="宋体"/>
          <w:sz w:val="24"/>
          <w:szCs w:val="24"/>
          <w:highlight w:val="none"/>
        </w:rPr>
      </w:pPr>
      <w:r>
        <w:rPr>
          <w:rFonts w:hint="eastAsia" w:ascii="宋体" w:hAnsi="宋体" w:cs="宋体"/>
          <w:sz w:val="24"/>
          <w:szCs w:val="24"/>
          <w:highlight w:val="none"/>
        </w:rPr>
        <w:t>我方承诺，我方与采购人和采购代理机构无关联。</w:t>
      </w:r>
    </w:p>
    <w:p>
      <w:pPr>
        <w:numPr>
          <w:ilvl w:val="1"/>
          <w:numId w:val="14"/>
        </w:numPr>
        <w:spacing w:line="360" w:lineRule="auto"/>
        <w:rPr>
          <w:rFonts w:ascii="宋体" w:cs="宋体"/>
          <w:sz w:val="24"/>
          <w:szCs w:val="24"/>
          <w:highlight w:val="none"/>
        </w:rPr>
      </w:pPr>
      <w:r>
        <w:rPr>
          <w:rFonts w:hint="eastAsia" w:ascii="宋体" w:hAnsi="宋体" w:cs="宋体"/>
          <w:sz w:val="24"/>
          <w:szCs w:val="24"/>
          <w:highlight w:val="none"/>
        </w:rPr>
        <w:t>我方同意提供按照贵方可能要求的与其投标有关的一切数据或资料，完全理解贵方不一定接受最低投标报价的投标或收到的任何投标。</w:t>
      </w:r>
    </w:p>
    <w:p>
      <w:pPr>
        <w:numPr>
          <w:ilvl w:val="1"/>
          <w:numId w:val="14"/>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我方近三年内不存在任何不良违法记录或行政处罚等情况。</w:t>
      </w:r>
    </w:p>
    <w:p>
      <w:pPr>
        <w:numPr>
          <w:ilvl w:val="1"/>
          <w:numId w:val="14"/>
        </w:numPr>
        <w:spacing w:line="360" w:lineRule="auto"/>
        <w:rPr>
          <w:rFonts w:ascii="宋体" w:cs="宋体"/>
          <w:sz w:val="24"/>
          <w:szCs w:val="24"/>
          <w:highlight w:val="none"/>
        </w:rPr>
      </w:pPr>
      <w:r>
        <w:rPr>
          <w:rFonts w:hint="eastAsia" w:ascii="宋体" w:hAnsi="宋体" w:cs="宋体"/>
          <w:sz w:val="24"/>
          <w:szCs w:val="24"/>
          <w:highlight w:val="none"/>
        </w:rPr>
        <w:t>我方承诺：我方在本项目投标中的陈述和本投标文件及资格证明材料的一切资料均为真实合法，没有不实的描述、承诺或者伪造、变造的情形。如果我方在本项目投标中做虚假陈述或者在投标文件中提供虚假资料，我方愿接受有关处理，同时承担由此带来的一切法律后果。</w:t>
      </w:r>
    </w:p>
    <w:p>
      <w:pPr>
        <w:numPr>
          <w:ilvl w:val="1"/>
          <w:numId w:val="14"/>
        </w:numPr>
        <w:spacing w:line="360" w:lineRule="auto"/>
        <w:rPr>
          <w:rFonts w:ascii="宋体" w:cs="宋体"/>
          <w:sz w:val="24"/>
          <w:szCs w:val="24"/>
          <w:highlight w:val="none"/>
        </w:rPr>
      </w:pPr>
      <w:r>
        <w:rPr>
          <w:rFonts w:hint="eastAsia" w:ascii="宋体" w:hAnsi="宋体" w:cs="宋体"/>
          <w:sz w:val="24"/>
          <w:szCs w:val="24"/>
          <w:highlight w:val="none"/>
        </w:rPr>
        <w:t>若我方获得中标，我方保证在领取中标通知书的同时，按有关规定向贵方支付招标代理服务费。</w:t>
      </w:r>
    </w:p>
    <w:p>
      <w:pPr>
        <w:numPr>
          <w:ilvl w:val="1"/>
          <w:numId w:val="14"/>
        </w:numPr>
        <w:spacing w:line="360" w:lineRule="auto"/>
        <w:rPr>
          <w:rFonts w:ascii="宋体" w:cs="宋体"/>
          <w:sz w:val="24"/>
          <w:szCs w:val="24"/>
          <w:highlight w:val="none"/>
        </w:rPr>
      </w:pPr>
      <w:r>
        <w:rPr>
          <w:rFonts w:hint="eastAsia" w:ascii="宋体" w:hAnsi="宋体" w:cs="宋体"/>
          <w:sz w:val="24"/>
          <w:szCs w:val="24"/>
          <w:highlight w:val="none"/>
        </w:rPr>
        <w:t>与本投标有关的一切正式往来信函请寄：</w:t>
      </w:r>
    </w:p>
    <w:tbl>
      <w:tblPr>
        <w:tblStyle w:val="53"/>
        <w:tblW w:w="0" w:type="auto"/>
        <w:tblInd w:w="0" w:type="dxa"/>
        <w:tblLayout w:type="fixed"/>
        <w:tblCellMar>
          <w:top w:w="0" w:type="dxa"/>
          <w:left w:w="108" w:type="dxa"/>
          <w:bottom w:w="0" w:type="dxa"/>
          <w:right w:w="108" w:type="dxa"/>
        </w:tblCellMar>
      </w:tblPr>
      <w:tblGrid>
        <w:gridCol w:w="4291"/>
        <w:gridCol w:w="4291"/>
      </w:tblGrid>
      <w:tr>
        <w:trPr>
          <w:trHeight w:val="716" w:hRule="atLeast"/>
        </w:trPr>
        <w:tc>
          <w:tcPr>
            <w:tcW w:w="4291" w:type="dxa"/>
          </w:tcPr>
          <w:p>
            <w:pPr>
              <w:spacing w:line="360" w:lineRule="auto"/>
              <w:rPr>
                <w:rFonts w:ascii="宋体"/>
                <w:sz w:val="24"/>
                <w:szCs w:val="24"/>
                <w:highlight w:val="none"/>
              </w:rPr>
            </w:pPr>
            <w:r>
              <w:rPr>
                <w:rFonts w:hint="eastAsia" w:ascii="宋体" w:hAnsi="宋体"/>
                <w:sz w:val="24"/>
                <w:szCs w:val="24"/>
                <w:highlight w:val="none"/>
              </w:rPr>
              <w:t>地址</w:t>
            </w:r>
            <w:r>
              <w:rPr>
                <w:rFonts w:ascii="宋体" w:hAnsi="宋体"/>
                <w:sz w:val="24"/>
                <w:szCs w:val="24"/>
                <w:highlight w:val="none"/>
                <w:u w:val="single"/>
              </w:rPr>
              <w:t xml:space="preserve">                              </w:t>
            </w:r>
          </w:p>
          <w:p>
            <w:pPr>
              <w:spacing w:line="360" w:lineRule="auto"/>
              <w:rPr>
                <w:rFonts w:ascii="宋体"/>
                <w:sz w:val="24"/>
                <w:szCs w:val="24"/>
                <w:highlight w:val="none"/>
              </w:rPr>
            </w:pPr>
            <w:r>
              <w:rPr>
                <w:rFonts w:hint="eastAsia" w:ascii="宋体" w:hAnsi="宋体"/>
                <w:sz w:val="24"/>
                <w:szCs w:val="24"/>
                <w:highlight w:val="none"/>
              </w:rPr>
              <w:t>电话</w:t>
            </w:r>
            <w:r>
              <w:rPr>
                <w:rFonts w:ascii="宋体" w:hAnsi="宋体"/>
                <w:sz w:val="24"/>
                <w:szCs w:val="24"/>
                <w:highlight w:val="none"/>
                <w:u w:val="single"/>
              </w:rPr>
              <w:t xml:space="preserve">                              </w:t>
            </w:r>
          </w:p>
        </w:tc>
        <w:tc>
          <w:tcPr>
            <w:tcW w:w="4291" w:type="dxa"/>
          </w:tcPr>
          <w:p>
            <w:pPr>
              <w:spacing w:line="360" w:lineRule="auto"/>
              <w:rPr>
                <w:rFonts w:ascii="宋体"/>
                <w:sz w:val="24"/>
                <w:szCs w:val="24"/>
                <w:highlight w:val="none"/>
              </w:rPr>
            </w:pPr>
            <w:r>
              <w:rPr>
                <w:rFonts w:hint="eastAsia" w:ascii="宋体" w:hAnsi="宋体"/>
                <w:sz w:val="24"/>
                <w:szCs w:val="24"/>
                <w:highlight w:val="none"/>
              </w:rPr>
              <w:t>传真</w:t>
            </w:r>
            <w:r>
              <w:rPr>
                <w:rFonts w:ascii="宋体" w:hAnsi="宋体"/>
                <w:sz w:val="24"/>
                <w:szCs w:val="24"/>
                <w:highlight w:val="none"/>
                <w:u w:val="single"/>
              </w:rPr>
              <w:t xml:space="preserve">                               </w:t>
            </w:r>
          </w:p>
          <w:p>
            <w:pPr>
              <w:spacing w:line="360" w:lineRule="auto"/>
              <w:rPr>
                <w:rFonts w:ascii="宋体"/>
                <w:sz w:val="24"/>
                <w:szCs w:val="24"/>
                <w:highlight w:val="none"/>
              </w:rPr>
            </w:pPr>
            <w:r>
              <w:rPr>
                <w:rFonts w:hint="eastAsia" w:ascii="宋体" w:hAnsi="宋体"/>
                <w:sz w:val="24"/>
                <w:szCs w:val="24"/>
                <w:highlight w:val="none"/>
              </w:rPr>
              <w:t>电子函件</w:t>
            </w:r>
            <w:r>
              <w:rPr>
                <w:rFonts w:ascii="宋体" w:hAnsi="宋体"/>
                <w:sz w:val="24"/>
                <w:szCs w:val="24"/>
                <w:highlight w:val="none"/>
                <w:u w:val="single"/>
              </w:rPr>
              <w:t xml:space="preserve">                           </w:t>
            </w:r>
          </w:p>
        </w:tc>
      </w:tr>
    </w:tbl>
    <w:p>
      <w:pPr>
        <w:spacing w:line="360" w:lineRule="auto"/>
        <w:jc w:val="right"/>
        <w:rPr>
          <w:rFonts w:ascii="宋体" w:cs="宋体"/>
          <w:sz w:val="24"/>
          <w:szCs w:val="24"/>
          <w:highlight w:val="none"/>
        </w:rPr>
      </w:pPr>
    </w:p>
    <w:p>
      <w:pPr>
        <w:spacing w:line="360" w:lineRule="auto"/>
        <w:jc w:val="right"/>
        <w:rPr>
          <w:rFonts w:ascii="宋体" w:cs="宋体"/>
          <w:sz w:val="24"/>
          <w:szCs w:val="24"/>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pPr>
        <w:pStyle w:val="20"/>
        <w:rPr>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投标人名称（加盖单位公章</w:t>
      </w:r>
      <w:r>
        <w:rPr>
          <w:rFonts w:hint="eastAsia" w:ascii="宋体" w:hAnsi="宋体" w:cs="宋体"/>
          <w:sz w:val="24"/>
          <w:szCs w:val="24"/>
          <w:highlight w:val="none"/>
          <w:lang w:val="en-US" w:eastAsia="zh-CN"/>
        </w:rPr>
        <w:t>或电子章</w:t>
      </w:r>
      <w:r>
        <w:rPr>
          <w:rFonts w:hint="eastAsia" w:ascii="宋体" w:hAnsi="宋体" w:cs="宋体"/>
          <w:sz w:val="24"/>
          <w:szCs w:val="24"/>
          <w:highlight w:val="none"/>
        </w:rPr>
        <w:t>）：</w:t>
      </w:r>
    </w:p>
    <w:p>
      <w:pPr>
        <w:pStyle w:val="20"/>
        <w:rPr>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日期：</w:t>
      </w:r>
    </w:p>
    <w:p>
      <w:pPr>
        <w:pStyle w:val="5"/>
        <w:rPr>
          <w:rFonts w:ascii="宋体" w:cs="宋体"/>
          <w:szCs w:val="21"/>
          <w:highlight w:val="none"/>
        </w:rPr>
      </w:pPr>
      <w:bookmarkStart w:id="195" w:name="_Toc497167413"/>
      <w:bookmarkStart w:id="196" w:name="_Toc2512008"/>
      <w:bookmarkStart w:id="197" w:name="_Toc2355266"/>
      <w:r>
        <w:rPr>
          <w:rFonts w:ascii="宋体" w:cs="宋体"/>
          <w:szCs w:val="21"/>
          <w:highlight w:val="none"/>
        </w:rPr>
        <w:br w:type="page"/>
      </w:r>
      <w:bookmarkStart w:id="198" w:name="_Toc44705070"/>
      <w:bookmarkStart w:id="199" w:name="_Toc14776858"/>
      <w:bookmarkStart w:id="200" w:name="_Toc44705291"/>
      <w:bookmarkStart w:id="201" w:name="_Toc9931"/>
      <w:bookmarkStart w:id="202" w:name="_Toc44704923"/>
      <w:bookmarkStart w:id="203" w:name="_Toc24715"/>
      <w:r>
        <w:rPr>
          <w:rFonts w:ascii="宋体" w:hAnsi="宋体" w:cs="宋体"/>
          <w:sz w:val="32"/>
          <w:szCs w:val="24"/>
          <w:highlight w:val="none"/>
        </w:rPr>
        <w:t>2.2</w:t>
      </w:r>
      <w:r>
        <w:rPr>
          <w:rFonts w:hint="eastAsia" w:ascii="宋体" w:hAnsi="宋体" w:cs="宋体"/>
          <w:sz w:val="32"/>
          <w:szCs w:val="24"/>
          <w:highlight w:val="none"/>
        </w:rPr>
        <w:t>、开标一览表格式</w:t>
      </w:r>
      <w:bookmarkEnd w:id="195"/>
      <w:bookmarkEnd w:id="196"/>
      <w:bookmarkEnd w:id="197"/>
      <w:bookmarkEnd w:id="198"/>
      <w:bookmarkEnd w:id="199"/>
      <w:bookmarkEnd w:id="200"/>
      <w:bookmarkEnd w:id="201"/>
      <w:bookmarkEnd w:id="202"/>
      <w:bookmarkEnd w:id="203"/>
    </w:p>
    <w:p>
      <w:pPr>
        <w:spacing w:line="360" w:lineRule="auto"/>
        <w:jc w:val="center"/>
        <w:rPr>
          <w:rFonts w:ascii="宋体" w:cs="宋体"/>
          <w:b/>
          <w:bCs/>
          <w:sz w:val="32"/>
          <w:szCs w:val="32"/>
          <w:highlight w:val="none"/>
        </w:rPr>
      </w:pPr>
      <w:r>
        <w:rPr>
          <w:rFonts w:hint="eastAsia" w:ascii="宋体" w:hAnsi="宋体" w:cs="宋体"/>
          <w:b/>
          <w:bCs/>
          <w:sz w:val="32"/>
          <w:szCs w:val="32"/>
          <w:highlight w:val="none"/>
        </w:rPr>
        <w:t>开标一览表</w:t>
      </w:r>
    </w:p>
    <w:p>
      <w:pPr>
        <w:spacing w:line="360" w:lineRule="auto"/>
        <w:rPr>
          <w:rFonts w:ascii="宋体" w:cs="宋体"/>
          <w:sz w:val="24"/>
          <w:highlight w:val="none"/>
        </w:rPr>
      </w:pPr>
      <w:r>
        <w:rPr>
          <w:rFonts w:hint="eastAsia" w:ascii="宋体" w:hAnsi="宋体" w:cs="宋体"/>
          <w:sz w:val="24"/>
          <w:highlight w:val="none"/>
        </w:rPr>
        <w:t>投标人名称：</w:t>
      </w:r>
      <w:r>
        <w:rPr>
          <w:rFonts w:ascii="宋体" w:hAnsi="宋体" w:cs="宋体"/>
          <w:sz w:val="24"/>
          <w:highlight w:val="none"/>
        </w:rPr>
        <w:t xml:space="preserve">                </w:t>
      </w:r>
    </w:p>
    <w:p>
      <w:pPr>
        <w:spacing w:line="360" w:lineRule="auto"/>
        <w:rPr>
          <w:rFonts w:ascii="宋体" w:cs="宋体"/>
          <w:sz w:val="24"/>
          <w:highlight w:val="none"/>
        </w:rPr>
      </w:pPr>
      <w:r>
        <w:rPr>
          <w:rFonts w:hint="eastAsia" w:ascii="宋体" w:hAnsi="宋体" w:cs="宋体"/>
          <w:sz w:val="24"/>
          <w:highlight w:val="none"/>
        </w:rPr>
        <w:t>项目名称：</w:t>
      </w:r>
    </w:p>
    <w:p>
      <w:pPr>
        <w:spacing w:line="360" w:lineRule="auto"/>
        <w:rPr>
          <w:rFonts w:ascii="宋体" w:cs="宋体"/>
          <w:sz w:val="24"/>
          <w:highlight w:val="none"/>
        </w:rPr>
      </w:pPr>
      <w:r>
        <w:rPr>
          <w:rFonts w:hint="eastAsia" w:ascii="宋体" w:hAnsi="宋体" w:cs="宋体"/>
          <w:sz w:val="24"/>
          <w:highlight w:val="none"/>
        </w:rPr>
        <w:t>项目编号：</w:t>
      </w:r>
      <w:r>
        <w:rPr>
          <w:rFonts w:ascii="宋体" w:hAnsi="宋体" w:cs="宋体"/>
          <w:sz w:val="24"/>
          <w:highlight w:val="none"/>
        </w:rPr>
        <w:t xml:space="preserve">                                                   </w:t>
      </w:r>
      <w:r>
        <w:rPr>
          <w:rFonts w:hint="eastAsia" w:ascii="宋体" w:hAnsi="宋体" w:cs="宋体"/>
          <w:b/>
          <w:sz w:val="24"/>
          <w:highlight w:val="none"/>
        </w:rPr>
        <w:t>单位：元</w:t>
      </w:r>
    </w:p>
    <w:tbl>
      <w:tblPr>
        <w:tblStyle w:val="5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9"/>
        <w:gridCol w:w="3951"/>
        <w:gridCol w:w="40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869" w:type="dxa"/>
            <w:tcBorders>
              <w:top w:val="single" w:color="auto" w:sz="4" w:space="0"/>
              <w:bottom w:val="single" w:color="auto" w:sz="4" w:space="0"/>
              <w:right w:val="single" w:color="auto" w:sz="4" w:space="0"/>
            </w:tcBorders>
            <w:vAlign w:val="center"/>
          </w:tcPr>
          <w:p>
            <w:pPr>
              <w:spacing w:line="360" w:lineRule="auto"/>
              <w:jc w:val="center"/>
              <w:rPr>
                <w:rFonts w:ascii="宋体" w:cs="宋体"/>
                <w:sz w:val="24"/>
                <w:highlight w:val="none"/>
              </w:rPr>
            </w:pPr>
            <w:r>
              <w:rPr>
                <w:rFonts w:hint="eastAsia" w:ascii="宋体" w:hAnsi="宋体" w:cs="宋体"/>
                <w:sz w:val="24"/>
                <w:highlight w:val="none"/>
              </w:rPr>
              <w:t>序号</w:t>
            </w:r>
          </w:p>
        </w:tc>
        <w:tc>
          <w:tcPr>
            <w:tcW w:w="39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highlight w:val="none"/>
              </w:rPr>
            </w:pPr>
            <w:r>
              <w:rPr>
                <w:rFonts w:hint="eastAsia" w:ascii="宋体" w:hAnsi="宋体" w:cs="宋体"/>
                <w:sz w:val="24"/>
                <w:highlight w:val="none"/>
              </w:rPr>
              <w:t>项目名称</w:t>
            </w:r>
          </w:p>
        </w:tc>
        <w:tc>
          <w:tcPr>
            <w:tcW w:w="4004" w:type="dxa"/>
            <w:tcBorders>
              <w:top w:val="single" w:color="auto" w:sz="4" w:space="0"/>
              <w:left w:val="single" w:color="auto" w:sz="4" w:space="0"/>
              <w:bottom w:val="single" w:color="auto" w:sz="4" w:space="0"/>
            </w:tcBorders>
            <w:vAlign w:val="center"/>
          </w:tcPr>
          <w:p>
            <w:pPr>
              <w:spacing w:line="360" w:lineRule="auto"/>
              <w:ind w:right="-107" w:rightChars="-51"/>
              <w:jc w:val="center"/>
              <w:rPr>
                <w:rFonts w:ascii="宋体" w:cs="宋体"/>
                <w:sz w:val="24"/>
                <w:highlight w:val="none"/>
              </w:rPr>
            </w:pPr>
            <w:r>
              <w:rPr>
                <w:rFonts w:hint="eastAsia" w:ascii="宋体" w:hAnsi="宋体" w:cs="宋体"/>
                <w:sz w:val="24"/>
                <w:highlight w:val="none"/>
              </w:rPr>
              <w:t>投标总价（元）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869" w:type="dxa"/>
            <w:tcBorders>
              <w:top w:val="single" w:color="auto" w:sz="4" w:space="0"/>
              <w:bottom w:val="single" w:color="auto" w:sz="4" w:space="0"/>
              <w:right w:val="single" w:color="auto" w:sz="4" w:space="0"/>
            </w:tcBorders>
            <w:vAlign w:val="center"/>
          </w:tcPr>
          <w:p>
            <w:pPr>
              <w:spacing w:line="360" w:lineRule="auto"/>
              <w:jc w:val="center"/>
              <w:rPr>
                <w:rFonts w:ascii="宋体" w:cs="宋体"/>
                <w:sz w:val="24"/>
                <w:highlight w:val="none"/>
              </w:rPr>
            </w:pPr>
          </w:p>
        </w:tc>
        <w:tc>
          <w:tcPr>
            <w:tcW w:w="39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highlight w:val="none"/>
              </w:rPr>
            </w:pPr>
          </w:p>
        </w:tc>
        <w:tc>
          <w:tcPr>
            <w:tcW w:w="4004" w:type="dxa"/>
            <w:tcBorders>
              <w:top w:val="single" w:color="auto" w:sz="4" w:space="0"/>
              <w:left w:val="single" w:color="auto" w:sz="4" w:space="0"/>
              <w:bottom w:val="single" w:color="auto" w:sz="4" w:space="0"/>
            </w:tcBorders>
            <w:vAlign w:val="center"/>
          </w:tcPr>
          <w:p>
            <w:pPr>
              <w:spacing w:line="360" w:lineRule="auto"/>
              <w:jc w:val="left"/>
              <w:rPr>
                <w:rFonts w:ascii="宋体" w:cs="宋体"/>
                <w:sz w:val="24"/>
                <w:highlight w:val="none"/>
              </w:rPr>
            </w:pPr>
            <w:r>
              <w:rPr>
                <w:rFonts w:ascii="宋体" w:cs="宋体"/>
                <w:sz w:val="24"/>
                <w:highlight w:val="none"/>
              </w:rPr>
              <w:t>大写</w:t>
            </w:r>
            <w:r>
              <w:rPr>
                <w:rFonts w:hint="eastAsia" w:ascii="宋体" w:cs="宋体"/>
                <w:sz w:val="24"/>
                <w:highlight w:val="none"/>
              </w:rPr>
              <w:t xml:space="preserve">： </w:t>
            </w:r>
            <w:r>
              <w:rPr>
                <w:rFonts w:ascii="宋体" w:cs="宋体"/>
                <w:sz w:val="24"/>
                <w:highlight w:val="none"/>
              </w:rPr>
              <w:t xml:space="preserve">     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820" w:type="dxa"/>
            <w:gridSpan w:val="2"/>
            <w:tcBorders>
              <w:top w:val="single" w:color="auto" w:sz="4" w:space="0"/>
              <w:bottom w:val="single" w:color="auto" w:sz="4" w:space="0"/>
            </w:tcBorders>
            <w:vAlign w:val="center"/>
          </w:tcPr>
          <w:p>
            <w:pPr>
              <w:spacing w:line="360" w:lineRule="auto"/>
              <w:rPr>
                <w:rFonts w:ascii="宋体" w:cs="宋体"/>
                <w:sz w:val="24"/>
                <w:highlight w:val="none"/>
              </w:rPr>
            </w:pPr>
            <w:r>
              <w:rPr>
                <w:rFonts w:hint="eastAsia" w:ascii="宋体" w:hAnsi="宋体" w:cs="宋体"/>
                <w:sz w:val="24"/>
                <w:highlight w:val="none"/>
              </w:rPr>
              <w:t>合同履行期限：</w:t>
            </w:r>
          </w:p>
        </w:tc>
        <w:tc>
          <w:tcPr>
            <w:tcW w:w="4004" w:type="dxa"/>
            <w:tcBorders>
              <w:top w:val="single" w:color="auto" w:sz="4" w:space="0"/>
              <w:bottom w:val="single" w:color="auto" w:sz="4" w:space="0"/>
            </w:tcBorders>
            <w:vAlign w:val="center"/>
          </w:tcPr>
          <w:p>
            <w:pPr>
              <w:spacing w:line="360" w:lineRule="auto"/>
              <w:rPr>
                <w:rFonts w:ascii="宋体" w:hAnsi="宋体" w:cs="宋体"/>
                <w:sz w:val="24"/>
                <w:highlight w:val="none"/>
              </w:rPr>
            </w:pPr>
          </w:p>
        </w:tc>
      </w:tr>
    </w:tbl>
    <w:p>
      <w:pPr>
        <w:spacing w:line="360" w:lineRule="auto"/>
        <w:rPr>
          <w:rFonts w:ascii="宋体" w:cs="宋体"/>
          <w:sz w:val="24"/>
          <w:highlight w:val="none"/>
        </w:rPr>
      </w:pPr>
      <w:r>
        <w:rPr>
          <w:rFonts w:hint="eastAsia" w:ascii="宋体" w:hAnsi="宋体" w:cs="宋体"/>
          <w:sz w:val="24"/>
          <w:highlight w:val="none"/>
        </w:rPr>
        <w:t>投标人盖章（公章</w:t>
      </w:r>
      <w:r>
        <w:rPr>
          <w:rFonts w:hint="eastAsia" w:ascii="宋体" w:hAnsi="宋体" w:cs="宋体"/>
          <w:sz w:val="24"/>
          <w:szCs w:val="24"/>
          <w:highlight w:val="none"/>
          <w:lang w:val="en-US" w:eastAsia="zh-CN"/>
        </w:rPr>
        <w:t>或电子章</w:t>
      </w:r>
      <w:r>
        <w:rPr>
          <w:rFonts w:hint="eastAsia" w:ascii="宋体" w:hAnsi="宋体" w:cs="宋体"/>
          <w:sz w:val="24"/>
          <w:highlight w:val="none"/>
        </w:rPr>
        <w:t>）：</w:t>
      </w:r>
      <w:r>
        <w:rPr>
          <w:rFonts w:ascii="宋体" w:hAnsi="宋体" w:cs="宋体"/>
          <w:sz w:val="24"/>
          <w:highlight w:val="none"/>
          <w:u w:val="single"/>
        </w:rPr>
        <w:t xml:space="preserve">              </w:t>
      </w:r>
    </w:p>
    <w:p>
      <w:pPr>
        <w:spacing w:line="360" w:lineRule="auto"/>
        <w:rPr>
          <w:rFonts w:ascii="宋体" w:cs="宋体"/>
          <w:sz w:val="24"/>
          <w:highlight w:val="none"/>
        </w:rPr>
      </w:pPr>
      <w:r>
        <w:rPr>
          <w:rFonts w:hint="eastAsia" w:ascii="宋体" w:hAnsi="宋体" w:cs="宋体"/>
          <w:sz w:val="24"/>
          <w:highlight w:val="none"/>
        </w:rPr>
        <w:t>法定代表人或代理人（签字或盖章）：</w:t>
      </w:r>
      <w:r>
        <w:rPr>
          <w:rFonts w:ascii="宋体" w:hAnsi="宋体" w:cs="宋体"/>
          <w:sz w:val="24"/>
          <w:highlight w:val="none"/>
          <w:u w:val="single"/>
        </w:rPr>
        <w:t xml:space="preserve">              </w:t>
      </w:r>
    </w:p>
    <w:p>
      <w:pPr>
        <w:spacing w:line="360" w:lineRule="auto"/>
        <w:ind w:right="120"/>
        <w:jc w:val="right"/>
        <w:rPr>
          <w:rFonts w:ascii="宋体" w:cs="宋体"/>
          <w:sz w:val="24"/>
          <w:highlight w:val="none"/>
        </w:rPr>
      </w:pPr>
      <w:r>
        <w:rPr>
          <w:rFonts w:hint="eastAsia" w:ascii="宋体" w:hAnsi="宋体" w:cs="宋体"/>
          <w:sz w:val="24"/>
          <w:highlight w:val="none"/>
        </w:rPr>
        <w:t>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p>
    <w:p>
      <w:pPr>
        <w:tabs>
          <w:tab w:val="left" w:pos="1800"/>
          <w:tab w:val="left" w:pos="5580"/>
        </w:tabs>
        <w:spacing w:line="360" w:lineRule="auto"/>
        <w:jc w:val="left"/>
        <w:rPr>
          <w:rFonts w:ascii="宋体" w:cs="宋体"/>
          <w:sz w:val="24"/>
          <w:highlight w:val="none"/>
          <w:u w:val="single"/>
        </w:rPr>
      </w:pPr>
    </w:p>
    <w:p>
      <w:pPr>
        <w:spacing w:line="360" w:lineRule="auto"/>
        <w:rPr>
          <w:rFonts w:ascii="宋体" w:cs="宋体"/>
          <w:sz w:val="24"/>
          <w:szCs w:val="24"/>
          <w:highlight w:val="none"/>
        </w:rPr>
      </w:pPr>
      <w:r>
        <w:rPr>
          <w:rFonts w:hint="eastAsia" w:ascii="宋体" w:hAnsi="宋体" w:cs="宋体"/>
          <w:sz w:val="24"/>
          <w:szCs w:val="24"/>
          <w:highlight w:val="none"/>
        </w:rPr>
        <w:t>（退还投标保证金时，将依据以下账户信息）</w:t>
      </w:r>
    </w:p>
    <w:p>
      <w:pPr>
        <w:spacing w:line="360" w:lineRule="auto"/>
        <w:rPr>
          <w:rFonts w:ascii="宋体" w:cs="宋体"/>
          <w:sz w:val="24"/>
          <w:szCs w:val="24"/>
          <w:highlight w:val="none"/>
        </w:rPr>
      </w:pPr>
      <w:r>
        <w:rPr>
          <w:rFonts w:hint="eastAsia" w:ascii="宋体" w:hAnsi="宋体" w:cs="宋体"/>
          <w:sz w:val="24"/>
          <w:szCs w:val="24"/>
          <w:highlight w:val="none"/>
        </w:rPr>
        <w:t>投标人开户银行（全称）：</w:t>
      </w:r>
    </w:p>
    <w:p>
      <w:pPr>
        <w:spacing w:line="360" w:lineRule="auto"/>
        <w:rPr>
          <w:rFonts w:ascii="宋体" w:cs="宋体"/>
          <w:sz w:val="24"/>
          <w:szCs w:val="24"/>
          <w:highlight w:val="none"/>
        </w:rPr>
      </w:pPr>
      <w:r>
        <w:rPr>
          <w:rFonts w:hint="eastAsia" w:ascii="宋体" w:hAnsi="宋体" w:cs="宋体"/>
          <w:sz w:val="24"/>
          <w:szCs w:val="24"/>
          <w:highlight w:val="none"/>
        </w:rPr>
        <w:t>投标人银行账号：</w:t>
      </w:r>
    </w:p>
    <w:p>
      <w:pPr>
        <w:spacing w:line="360" w:lineRule="auto"/>
        <w:rPr>
          <w:rFonts w:ascii="宋体" w:cs="宋体"/>
          <w:sz w:val="24"/>
          <w:szCs w:val="24"/>
          <w:highlight w:val="none"/>
        </w:rPr>
      </w:pPr>
      <w:r>
        <w:rPr>
          <w:rFonts w:hint="eastAsia" w:ascii="宋体" w:hAnsi="宋体" w:cs="宋体"/>
          <w:sz w:val="24"/>
          <w:szCs w:val="24"/>
          <w:highlight w:val="none"/>
        </w:rPr>
        <w:t>投标人地址：</w:t>
      </w:r>
    </w:p>
    <w:p>
      <w:pPr>
        <w:spacing w:line="360" w:lineRule="auto"/>
        <w:rPr>
          <w:rFonts w:ascii="宋体" w:cs="宋体"/>
          <w:sz w:val="24"/>
          <w:highlight w:val="none"/>
          <w:u w:val="singl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pPr>
        <w:spacing w:line="360" w:lineRule="auto"/>
        <w:rPr>
          <w:rFonts w:ascii="宋体" w:cs="宋体"/>
          <w:sz w:val="24"/>
          <w:szCs w:val="24"/>
          <w:highlight w:val="none"/>
        </w:rPr>
      </w:pPr>
      <w:r>
        <w:rPr>
          <w:rFonts w:hint="eastAsia" w:ascii="宋体" w:hAnsi="宋体" w:cs="宋体"/>
          <w:sz w:val="24"/>
          <w:szCs w:val="24"/>
          <w:highlight w:val="none"/>
        </w:rPr>
        <w:t>投标人名称（加盖单位公章</w:t>
      </w:r>
      <w:r>
        <w:rPr>
          <w:rFonts w:hint="eastAsia" w:ascii="宋体" w:hAnsi="宋体" w:cs="宋体"/>
          <w:sz w:val="24"/>
          <w:szCs w:val="24"/>
          <w:highlight w:val="none"/>
          <w:lang w:val="en-US" w:eastAsia="zh-CN"/>
        </w:rPr>
        <w:t>或电子章</w:t>
      </w:r>
      <w:r>
        <w:rPr>
          <w:rFonts w:hint="eastAsia" w:ascii="宋体" w:hAnsi="宋体" w:cs="宋体"/>
          <w:sz w:val="24"/>
          <w:szCs w:val="24"/>
          <w:highlight w:val="none"/>
        </w:rPr>
        <w:t>）：</w:t>
      </w:r>
    </w:p>
    <w:p>
      <w:pPr>
        <w:spacing w:line="360" w:lineRule="auto"/>
        <w:rPr>
          <w:rFonts w:ascii="宋体" w:cs="宋体"/>
          <w:sz w:val="24"/>
          <w:szCs w:val="24"/>
          <w:highlight w:val="none"/>
        </w:rPr>
      </w:pPr>
      <w:r>
        <w:rPr>
          <w:rFonts w:hint="eastAsia" w:ascii="宋体" w:hAnsi="宋体" w:cs="宋体"/>
          <w:sz w:val="24"/>
          <w:highlight w:val="none"/>
        </w:rPr>
        <w:t>日期：</w:t>
      </w:r>
    </w:p>
    <w:p>
      <w:pPr>
        <w:pStyle w:val="24"/>
        <w:spacing w:line="360" w:lineRule="auto"/>
        <w:rPr>
          <w:rFonts w:hAnsi="宋体" w:cs="宋体"/>
          <w:sz w:val="24"/>
          <w:highlight w:val="none"/>
        </w:rPr>
      </w:pPr>
      <w:r>
        <w:rPr>
          <w:rFonts w:hint="eastAsia" w:hAnsi="宋体" w:cs="宋体"/>
          <w:sz w:val="24"/>
          <w:highlight w:val="none"/>
        </w:rPr>
        <w:t>注：</w:t>
      </w:r>
      <w:r>
        <w:rPr>
          <w:rFonts w:hAnsi="宋体" w:cs="宋体"/>
          <w:sz w:val="24"/>
          <w:highlight w:val="none"/>
        </w:rPr>
        <w:t xml:space="preserve"> 1</w:t>
      </w:r>
      <w:r>
        <w:rPr>
          <w:rFonts w:hint="eastAsia" w:hAnsi="宋体" w:cs="宋体"/>
          <w:sz w:val="24"/>
          <w:highlight w:val="none"/>
        </w:rPr>
        <w:t>、开标一览表内容与投标文件中相应内容不一致的，以开标一览表本表为准。</w:t>
      </w:r>
    </w:p>
    <w:p>
      <w:pPr>
        <w:pStyle w:val="24"/>
        <w:spacing w:line="360" w:lineRule="auto"/>
        <w:rPr>
          <w:rFonts w:hAnsi="宋体" w:cs="宋体"/>
          <w:b/>
          <w:sz w:val="24"/>
          <w:highlight w:val="none"/>
        </w:rPr>
      </w:pPr>
    </w:p>
    <w:p>
      <w:pPr>
        <w:pStyle w:val="5"/>
        <w:rPr>
          <w:rFonts w:ascii="宋体" w:cs="宋体"/>
          <w:bCs w:val="0"/>
          <w:sz w:val="32"/>
          <w:szCs w:val="24"/>
          <w:highlight w:val="none"/>
        </w:rPr>
      </w:pPr>
      <w:r>
        <w:rPr>
          <w:rFonts w:ascii="宋体" w:cs="宋体"/>
          <w:sz w:val="24"/>
          <w:highlight w:val="none"/>
        </w:rPr>
        <w:br w:type="page"/>
      </w:r>
      <w:bookmarkStart w:id="204" w:name="_Toc44705293"/>
      <w:bookmarkStart w:id="205" w:name="_Toc44704925"/>
      <w:bookmarkStart w:id="206" w:name="_Toc2650"/>
      <w:bookmarkStart w:id="207" w:name="_Toc44705072"/>
      <w:bookmarkStart w:id="208" w:name="_Toc30717"/>
      <w:r>
        <w:rPr>
          <w:rFonts w:ascii="宋体" w:hAnsi="宋体" w:cs="宋体"/>
          <w:bCs w:val="0"/>
          <w:sz w:val="32"/>
          <w:szCs w:val="24"/>
          <w:highlight w:val="none"/>
        </w:rPr>
        <w:t>2.</w:t>
      </w:r>
      <w:r>
        <w:rPr>
          <w:rFonts w:hint="eastAsia" w:ascii="宋体" w:hAnsi="宋体" w:cs="宋体"/>
          <w:bCs w:val="0"/>
          <w:sz w:val="32"/>
          <w:szCs w:val="24"/>
          <w:highlight w:val="none"/>
          <w:lang w:val="en-US" w:eastAsia="zh-CN"/>
        </w:rPr>
        <w:tab/>
      </w:r>
      <w:r>
        <w:rPr>
          <w:rFonts w:hint="eastAsia" w:ascii="宋体" w:hAnsi="宋体" w:cs="宋体"/>
          <w:bCs w:val="0"/>
          <w:sz w:val="32"/>
          <w:szCs w:val="24"/>
          <w:highlight w:val="none"/>
          <w:lang w:val="en-US" w:eastAsia="zh-CN"/>
        </w:rPr>
        <w:t>3</w:t>
      </w:r>
      <w:r>
        <w:rPr>
          <w:rFonts w:hint="eastAsia" w:ascii="宋体" w:hAnsi="宋体" w:cs="宋体"/>
          <w:bCs w:val="0"/>
          <w:sz w:val="32"/>
          <w:szCs w:val="24"/>
          <w:highlight w:val="none"/>
        </w:rPr>
        <w:t>、服务需求偏离表格式</w:t>
      </w:r>
      <w:bookmarkEnd w:id="204"/>
      <w:bookmarkEnd w:id="205"/>
      <w:bookmarkEnd w:id="206"/>
      <w:bookmarkEnd w:id="207"/>
      <w:bookmarkEnd w:id="208"/>
    </w:p>
    <w:p>
      <w:pPr>
        <w:spacing w:line="360" w:lineRule="auto"/>
        <w:jc w:val="center"/>
        <w:rPr>
          <w:rFonts w:ascii="宋体" w:cs="宋体"/>
          <w:b/>
          <w:bCs/>
          <w:sz w:val="32"/>
          <w:szCs w:val="32"/>
          <w:highlight w:val="none"/>
        </w:rPr>
      </w:pPr>
      <w:r>
        <w:rPr>
          <w:rFonts w:hint="eastAsia" w:ascii="宋体" w:hAnsi="宋体" w:cs="宋体"/>
          <w:b/>
          <w:bCs/>
          <w:sz w:val="32"/>
          <w:szCs w:val="32"/>
          <w:highlight w:val="none"/>
        </w:rPr>
        <w:t>服务需求偏离表</w:t>
      </w:r>
    </w:p>
    <w:p>
      <w:pPr>
        <w:spacing w:line="360" w:lineRule="auto"/>
        <w:jc w:val="center"/>
        <w:rPr>
          <w:rFonts w:ascii="宋体" w:cs="宋体"/>
          <w:b/>
          <w:bCs/>
          <w:szCs w:val="21"/>
          <w:highlight w:val="none"/>
        </w:rPr>
      </w:pPr>
    </w:p>
    <w:p>
      <w:pPr>
        <w:tabs>
          <w:tab w:val="left" w:pos="1800"/>
          <w:tab w:val="left" w:pos="5580"/>
        </w:tabs>
        <w:spacing w:line="360" w:lineRule="auto"/>
        <w:jc w:val="left"/>
        <w:rPr>
          <w:rFonts w:ascii="宋体" w:cs="宋体"/>
          <w:sz w:val="24"/>
          <w:highlight w:val="none"/>
          <w:u w:val="single"/>
        </w:rPr>
      </w:pPr>
      <w:r>
        <w:rPr>
          <w:rFonts w:hint="eastAsia" w:ascii="宋体" w:hAnsi="宋体" w:cs="宋体"/>
          <w:sz w:val="24"/>
          <w:highlight w:val="none"/>
        </w:rPr>
        <w:t>招标编号：</w:t>
      </w:r>
    </w:p>
    <w:p>
      <w:pPr>
        <w:tabs>
          <w:tab w:val="left" w:pos="1800"/>
          <w:tab w:val="left" w:pos="5580"/>
        </w:tabs>
        <w:spacing w:line="360" w:lineRule="auto"/>
        <w:jc w:val="left"/>
        <w:rPr>
          <w:rFonts w:ascii="宋体" w:cs="宋体"/>
          <w:sz w:val="24"/>
          <w:highlight w:val="none"/>
          <w:u w:val="single"/>
        </w:rPr>
      </w:pPr>
      <w:r>
        <w:rPr>
          <w:rFonts w:hint="eastAsia" w:ascii="宋体" w:hAnsi="宋体" w:cs="宋体"/>
          <w:sz w:val="24"/>
          <w:highlight w:val="none"/>
        </w:rPr>
        <w:t>项目名称：</w:t>
      </w:r>
      <w:r>
        <w:rPr>
          <w:rFonts w:hint="eastAsia" w:ascii="宋体" w:hAnsi="宋体" w:cs="宋体"/>
          <w:sz w:val="24"/>
          <w:highlight w:val="none"/>
          <w:u w:val="single"/>
        </w:rPr>
        <w:t>　</w:t>
      </w:r>
      <w:r>
        <w:rPr>
          <w:rFonts w:ascii="宋体" w:hAnsi="宋体" w:cs="宋体"/>
          <w:sz w:val="24"/>
          <w:highlight w:val="none"/>
          <w:u w:val="single"/>
        </w:rPr>
        <w:t xml:space="preserve">          </w:t>
      </w:r>
    </w:p>
    <w:p>
      <w:pPr>
        <w:spacing w:line="360" w:lineRule="auto"/>
        <w:rPr>
          <w:rFonts w:ascii="宋体" w:cs="宋体"/>
          <w:sz w:val="24"/>
          <w:szCs w:val="24"/>
          <w:highlight w:val="none"/>
        </w:rPr>
      </w:pPr>
    </w:p>
    <w:tbl>
      <w:tblPr>
        <w:tblStyle w:val="53"/>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782"/>
        <w:gridCol w:w="1250"/>
        <w:gridCol w:w="1250"/>
        <w:gridCol w:w="1250"/>
        <w:gridCol w:w="125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5"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序号</w:t>
            </w:r>
          </w:p>
        </w:tc>
        <w:tc>
          <w:tcPr>
            <w:tcW w:w="1782"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标的名称</w:t>
            </w:r>
          </w:p>
        </w:tc>
        <w:tc>
          <w:tcPr>
            <w:tcW w:w="1250"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招标文件</w:t>
            </w:r>
          </w:p>
          <w:p>
            <w:pPr>
              <w:spacing w:line="360" w:lineRule="auto"/>
              <w:jc w:val="center"/>
              <w:rPr>
                <w:rFonts w:ascii="宋体" w:cs="宋体"/>
                <w:sz w:val="24"/>
                <w:szCs w:val="24"/>
                <w:highlight w:val="none"/>
              </w:rPr>
            </w:pPr>
            <w:r>
              <w:rPr>
                <w:rFonts w:hint="eastAsia" w:ascii="宋体" w:hAnsi="宋体" w:cs="宋体"/>
                <w:sz w:val="24"/>
                <w:szCs w:val="24"/>
                <w:highlight w:val="none"/>
              </w:rPr>
              <w:t>条目号</w:t>
            </w:r>
          </w:p>
        </w:tc>
        <w:tc>
          <w:tcPr>
            <w:tcW w:w="1250"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招标文件要求规格</w:t>
            </w:r>
          </w:p>
        </w:tc>
        <w:tc>
          <w:tcPr>
            <w:tcW w:w="1250"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投标规格</w:t>
            </w:r>
          </w:p>
        </w:tc>
        <w:tc>
          <w:tcPr>
            <w:tcW w:w="1250"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偏离情况</w:t>
            </w:r>
          </w:p>
        </w:tc>
        <w:tc>
          <w:tcPr>
            <w:tcW w:w="1605"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45" w:type="dxa"/>
          </w:tcPr>
          <w:p>
            <w:pPr>
              <w:spacing w:line="360" w:lineRule="auto"/>
              <w:rPr>
                <w:rFonts w:ascii="宋体" w:cs="宋体"/>
                <w:sz w:val="24"/>
                <w:szCs w:val="24"/>
                <w:highlight w:val="none"/>
              </w:rPr>
            </w:pPr>
          </w:p>
        </w:tc>
        <w:tc>
          <w:tcPr>
            <w:tcW w:w="1782"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605"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45" w:type="dxa"/>
          </w:tcPr>
          <w:p>
            <w:pPr>
              <w:spacing w:line="360" w:lineRule="auto"/>
              <w:rPr>
                <w:rFonts w:ascii="宋体" w:cs="宋体"/>
                <w:sz w:val="24"/>
                <w:szCs w:val="24"/>
                <w:highlight w:val="none"/>
              </w:rPr>
            </w:pPr>
          </w:p>
        </w:tc>
        <w:tc>
          <w:tcPr>
            <w:tcW w:w="1782"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605"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45" w:type="dxa"/>
          </w:tcPr>
          <w:p>
            <w:pPr>
              <w:spacing w:line="360" w:lineRule="auto"/>
              <w:rPr>
                <w:rFonts w:ascii="宋体" w:cs="宋体"/>
                <w:sz w:val="24"/>
                <w:szCs w:val="24"/>
                <w:highlight w:val="none"/>
              </w:rPr>
            </w:pPr>
          </w:p>
        </w:tc>
        <w:tc>
          <w:tcPr>
            <w:tcW w:w="1782"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605"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45" w:type="dxa"/>
          </w:tcPr>
          <w:p>
            <w:pPr>
              <w:spacing w:line="360" w:lineRule="auto"/>
              <w:rPr>
                <w:rFonts w:ascii="宋体" w:cs="宋体"/>
                <w:sz w:val="24"/>
                <w:szCs w:val="24"/>
                <w:highlight w:val="none"/>
              </w:rPr>
            </w:pPr>
          </w:p>
        </w:tc>
        <w:tc>
          <w:tcPr>
            <w:tcW w:w="1782"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605"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tcPr>
          <w:p>
            <w:pPr>
              <w:spacing w:line="360" w:lineRule="auto"/>
              <w:rPr>
                <w:rFonts w:ascii="宋体" w:cs="宋体"/>
                <w:sz w:val="24"/>
                <w:szCs w:val="24"/>
                <w:highlight w:val="none"/>
              </w:rPr>
            </w:pPr>
          </w:p>
        </w:tc>
        <w:tc>
          <w:tcPr>
            <w:tcW w:w="1782"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605"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tcPr>
          <w:p>
            <w:pPr>
              <w:spacing w:line="360" w:lineRule="auto"/>
              <w:rPr>
                <w:rFonts w:ascii="宋体" w:cs="宋体"/>
                <w:sz w:val="24"/>
                <w:szCs w:val="24"/>
                <w:highlight w:val="none"/>
              </w:rPr>
            </w:pPr>
          </w:p>
        </w:tc>
        <w:tc>
          <w:tcPr>
            <w:tcW w:w="1782"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605"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tcPr>
          <w:p>
            <w:pPr>
              <w:spacing w:line="360" w:lineRule="auto"/>
              <w:rPr>
                <w:rFonts w:ascii="宋体" w:cs="宋体"/>
                <w:sz w:val="24"/>
                <w:szCs w:val="24"/>
                <w:highlight w:val="none"/>
              </w:rPr>
            </w:pPr>
          </w:p>
        </w:tc>
        <w:tc>
          <w:tcPr>
            <w:tcW w:w="1782"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605"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tcPr>
          <w:p>
            <w:pPr>
              <w:spacing w:line="360" w:lineRule="auto"/>
              <w:rPr>
                <w:rFonts w:ascii="宋体" w:cs="宋体"/>
                <w:sz w:val="24"/>
                <w:szCs w:val="24"/>
                <w:highlight w:val="none"/>
              </w:rPr>
            </w:pPr>
          </w:p>
        </w:tc>
        <w:tc>
          <w:tcPr>
            <w:tcW w:w="1782"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605" w:type="dxa"/>
          </w:tcPr>
          <w:p>
            <w:pPr>
              <w:spacing w:line="360" w:lineRule="auto"/>
              <w:rPr>
                <w:rFonts w:ascii="宋体" w:cs="宋体"/>
                <w:sz w:val="24"/>
                <w:szCs w:val="24"/>
                <w:highlight w:val="none"/>
              </w:rPr>
            </w:pPr>
          </w:p>
        </w:tc>
      </w:tr>
    </w:tbl>
    <w:p>
      <w:pPr>
        <w:spacing w:line="360" w:lineRule="auto"/>
        <w:rPr>
          <w:rFonts w:ascii="宋体" w:cs="宋体"/>
          <w:sz w:val="24"/>
          <w:szCs w:val="24"/>
          <w:highlight w:val="none"/>
          <w:u w:val="singl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pPr>
        <w:spacing w:line="360" w:lineRule="auto"/>
        <w:rPr>
          <w:rFonts w:ascii="宋体" w:cs="宋体"/>
          <w:sz w:val="24"/>
          <w:szCs w:val="24"/>
          <w:highlight w:val="none"/>
        </w:rPr>
      </w:pPr>
      <w:r>
        <w:rPr>
          <w:rFonts w:hint="eastAsia" w:ascii="宋体" w:hAnsi="宋体" w:cs="宋体"/>
          <w:sz w:val="24"/>
          <w:szCs w:val="24"/>
          <w:highlight w:val="none"/>
        </w:rPr>
        <w:t>投标人名称（加盖单位公章</w:t>
      </w:r>
      <w:r>
        <w:rPr>
          <w:rFonts w:hint="eastAsia" w:ascii="宋体" w:hAnsi="宋体" w:cs="宋体"/>
          <w:sz w:val="24"/>
          <w:szCs w:val="24"/>
          <w:highlight w:val="none"/>
          <w:lang w:val="en-US" w:eastAsia="zh-CN"/>
        </w:rPr>
        <w:t>或电子章</w:t>
      </w:r>
      <w:r>
        <w:rPr>
          <w:rFonts w:hint="eastAsia" w:ascii="宋体" w:hAnsi="宋体" w:cs="宋体"/>
          <w:sz w:val="24"/>
          <w:szCs w:val="24"/>
          <w:highlight w:val="none"/>
        </w:rPr>
        <w:t>）：</w:t>
      </w:r>
    </w:p>
    <w:p>
      <w:pPr>
        <w:spacing w:line="360" w:lineRule="auto"/>
        <w:rPr>
          <w:rFonts w:ascii="宋体" w:cs="宋体"/>
          <w:sz w:val="24"/>
          <w:szCs w:val="24"/>
          <w:highlight w:val="none"/>
        </w:rPr>
      </w:pPr>
      <w:r>
        <w:rPr>
          <w:rFonts w:hint="eastAsia" w:ascii="宋体" w:hAnsi="宋体" w:cs="宋体"/>
          <w:sz w:val="24"/>
          <w:szCs w:val="24"/>
          <w:highlight w:val="none"/>
        </w:rPr>
        <w:t>日期：</w:t>
      </w:r>
    </w:p>
    <w:p>
      <w:pPr>
        <w:spacing w:line="360" w:lineRule="auto"/>
        <w:rPr>
          <w:rFonts w:ascii="宋体" w:cs="宋体"/>
          <w:sz w:val="24"/>
          <w:highlight w:val="none"/>
        </w:rPr>
      </w:pPr>
      <w:r>
        <w:rPr>
          <w:rFonts w:hint="eastAsia" w:ascii="宋体" w:hAnsi="宋体" w:cs="宋体"/>
          <w:sz w:val="24"/>
          <w:highlight w:val="none"/>
        </w:rPr>
        <w:t>注：</w:t>
      </w:r>
      <w:r>
        <w:rPr>
          <w:rFonts w:ascii="宋体" w:hAnsi="宋体" w:cs="宋体"/>
          <w:sz w:val="24"/>
          <w:highlight w:val="none"/>
        </w:rPr>
        <w:t>1</w:t>
      </w:r>
      <w:r>
        <w:rPr>
          <w:rFonts w:hint="eastAsia" w:ascii="宋体" w:hAnsi="宋体" w:cs="宋体"/>
          <w:sz w:val="24"/>
          <w:highlight w:val="none"/>
        </w:rPr>
        <w:t>、投标人应对招标文件技术要求逐条填写偏离情况（正偏离、负偏离或无偏离），并说明偏离的具体内容及做出必要说明。投标人应对故意隐瞒偏离的行为承担责任。</w:t>
      </w:r>
    </w:p>
    <w:p>
      <w:pPr>
        <w:spacing w:line="360" w:lineRule="auto"/>
        <w:rPr>
          <w:rFonts w:ascii="宋体" w:cs="宋体"/>
          <w:sz w:val="24"/>
          <w:highlight w:val="none"/>
        </w:rPr>
      </w:pPr>
      <w:r>
        <w:rPr>
          <w:rFonts w:ascii="宋体" w:hAnsi="宋体" w:cs="宋体"/>
          <w:kern w:val="0"/>
          <w:sz w:val="24"/>
          <w:highlight w:val="none"/>
        </w:rPr>
        <w:t>2</w:t>
      </w:r>
      <w:r>
        <w:rPr>
          <w:rFonts w:hint="eastAsia" w:ascii="宋体" w:hAnsi="宋体" w:cs="宋体"/>
          <w:kern w:val="0"/>
          <w:sz w:val="24"/>
          <w:highlight w:val="none"/>
        </w:rPr>
        <w:t>、投标人应根据自身投标服务合理填写投标规格，</w:t>
      </w:r>
      <w:r>
        <w:rPr>
          <w:rFonts w:hint="eastAsia" w:ascii="宋体" w:hAnsi="宋体" w:cs="宋体"/>
          <w:sz w:val="24"/>
          <w:highlight w:val="none"/>
        </w:rPr>
        <w:t>如完全复制招标文件内容，评委有权按不响应处理，情况恶劣时将做无效投标处理。</w:t>
      </w:r>
    </w:p>
    <w:p>
      <w:pPr>
        <w:pStyle w:val="5"/>
        <w:rPr>
          <w:rFonts w:ascii="宋体" w:cs="宋体"/>
          <w:sz w:val="24"/>
          <w:highlight w:val="none"/>
        </w:rPr>
      </w:pPr>
      <w:r>
        <w:rPr>
          <w:rFonts w:ascii="宋体" w:cs="宋体"/>
          <w:sz w:val="24"/>
          <w:highlight w:val="none"/>
        </w:rPr>
        <w:br w:type="page"/>
      </w:r>
      <w:bookmarkStart w:id="209" w:name="_Toc44704926"/>
      <w:bookmarkStart w:id="210" w:name="_Toc44705294"/>
      <w:bookmarkStart w:id="211" w:name="_Toc14036"/>
      <w:bookmarkStart w:id="212" w:name="_Toc497167416"/>
      <w:bookmarkStart w:id="213" w:name="_Toc10442"/>
      <w:bookmarkStart w:id="214" w:name="_Toc2355269"/>
      <w:bookmarkStart w:id="215" w:name="_Toc14776861"/>
      <w:bookmarkStart w:id="216" w:name="_Toc44705073"/>
      <w:bookmarkStart w:id="217" w:name="_Toc2512011"/>
      <w:bookmarkStart w:id="218" w:name="_Toc493422663"/>
      <w:r>
        <w:rPr>
          <w:rFonts w:ascii="宋体" w:hAnsi="宋体" w:cs="宋体"/>
          <w:sz w:val="32"/>
          <w:szCs w:val="24"/>
          <w:highlight w:val="none"/>
        </w:rPr>
        <w:t>2.</w:t>
      </w:r>
      <w:r>
        <w:rPr>
          <w:rFonts w:hint="eastAsia" w:ascii="宋体" w:hAnsi="宋体" w:cs="宋体"/>
          <w:sz w:val="32"/>
          <w:szCs w:val="24"/>
          <w:highlight w:val="none"/>
          <w:lang w:val="en-US" w:eastAsia="zh-CN"/>
        </w:rPr>
        <w:t>4</w:t>
      </w:r>
      <w:r>
        <w:rPr>
          <w:rFonts w:hint="eastAsia" w:ascii="宋体" w:hAnsi="宋体" w:cs="宋体"/>
          <w:sz w:val="32"/>
          <w:szCs w:val="24"/>
          <w:highlight w:val="none"/>
        </w:rPr>
        <w:t>、商务条款偏离表格式</w:t>
      </w:r>
      <w:bookmarkEnd w:id="209"/>
      <w:bookmarkEnd w:id="210"/>
      <w:bookmarkEnd w:id="211"/>
      <w:bookmarkEnd w:id="212"/>
      <w:bookmarkEnd w:id="213"/>
      <w:bookmarkEnd w:id="214"/>
      <w:bookmarkEnd w:id="215"/>
      <w:bookmarkEnd w:id="216"/>
      <w:bookmarkEnd w:id="217"/>
      <w:bookmarkEnd w:id="218"/>
    </w:p>
    <w:p>
      <w:pPr>
        <w:spacing w:line="360" w:lineRule="auto"/>
        <w:rPr>
          <w:rFonts w:ascii="宋体" w:cs="宋体"/>
          <w:sz w:val="24"/>
          <w:szCs w:val="24"/>
          <w:highlight w:val="none"/>
        </w:rPr>
      </w:pPr>
    </w:p>
    <w:p>
      <w:pPr>
        <w:spacing w:line="360" w:lineRule="auto"/>
        <w:jc w:val="center"/>
        <w:rPr>
          <w:rFonts w:ascii="宋体" w:cs="宋体"/>
          <w:b/>
          <w:bCs/>
          <w:sz w:val="32"/>
          <w:szCs w:val="32"/>
          <w:highlight w:val="none"/>
        </w:rPr>
      </w:pPr>
      <w:r>
        <w:rPr>
          <w:rFonts w:hint="eastAsia" w:ascii="宋体" w:hAnsi="宋体" w:cs="宋体"/>
          <w:b/>
          <w:bCs/>
          <w:sz w:val="32"/>
          <w:szCs w:val="32"/>
          <w:highlight w:val="none"/>
        </w:rPr>
        <w:t>商务条款偏离表</w:t>
      </w:r>
    </w:p>
    <w:p>
      <w:pPr>
        <w:tabs>
          <w:tab w:val="left" w:pos="1800"/>
          <w:tab w:val="left" w:pos="5580"/>
        </w:tabs>
        <w:spacing w:line="360" w:lineRule="auto"/>
        <w:jc w:val="left"/>
        <w:rPr>
          <w:rFonts w:ascii="宋体" w:cs="宋体"/>
          <w:sz w:val="24"/>
          <w:highlight w:val="none"/>
          <w:u w:val="single"/>
        </w:rPr>
      </w:pPr>
      <w:r>
        <w:rPr>
          <w:rFonts w:hint="eastAsia" w:ascii="宋体" w:hAnsi="宋体" w:cs="宋体"/>
          <w:sz w:val="24"/>
          <w:highlight w:val="none"/>
        </w:rPr>
        <w:t>招标编号：</w:t>
      </w:r>
    </w:p>
    <w:p>
      <w:pPr>
        <w:tabs>
          <w:tab w:val="left" w:pos="1800"/>
          <w:tab w:val="left" w:pos="5580"/>
        </w:tabs>
        <w:spacing w:line="360" w:lineRule="auto"/>
        <w:jc w:val="left"/>
        <w:rPr>
          <w:rFonts w:ascii="宋体" w:cs="宋体"/>
          <w:sz w:val="24"/>
          <w:highlight w:val="none"/>
          <w:u w:val="single"/>
        </w:rPr>
      </w:pPr>
      <w:r>
        <w:rPr>
          <w:rFonts w:hint="eastAsia" w:ascii="宋体" w:hAnsi="宋体" w:cs="宋体"/>
          <w:sz w:val="24"/>
          <w:highlight w:val="none"/>
        </w:rPr>
        <w:t>项目名称：</w:t>
      </w:r>
      <w:r>
        <w:rPr>
          <w:rFonts w:hint="eastAsia" w:ascii="宋体" w:hAnsi="宋体" w:cs="宋体"/>
          <w:sz w:val="24"/>
          <w:highlight w:val="none"/>
          <w:u w:val="single"/>
        </w:rPr>
        <w:t>　</w:t>
      </w:r>
      <w:r>
        <w:rPr>
          <w:rFonts w:ascii="宋体" w:hAnsi="宋体" w:cs="宋体"/>
          <w:sz w:val="24"/>
          <w:highlight w:val="none"/>
          <w:u w:val="single"/>
        </w:rPr>
        <w:t xml:space="preserve">          </w:t>
      </w:r>
    </w:p>
    <w:p>
      <w:pPr>
        <w:tabs>
          <w:tab w:val="left" w:pos="1800"/>
          <w:tab w:val="left" w:pos="5580"/>
        </w:tabs>
        <w:spacing w:line="360" w:lineRule="auto"/>
        <w:jc w:val="left"/>
        <w:rPr>
          <w:rFonts w:ascii="宋体" w:cs="宋体"/>
          <w:sz w:val="24"/>
          <w:highlight w:val="none"/>
          <w:u w:val="single"/>
        </w:rPr>
      </w:pPr>
    </w:p>
    <w:tbl>
      <w:tblPr>
        <w:tblStyle w:val="53"/>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750"/>
        <w:gridCol w:w="2208"/>
        <w:gridCol w:w="2041"/>
        <w:gridCol w:w="1275"/>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72"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序号</w:t>
            </w:r>
          </w:p>
        </w:tc>
        <w:tc>
          <w:tcPr>
            <w:tcW w:w="1750"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招标文件</w:t>
            </w:r>
          </w:p>
          <w:p>
            <w:pPr>
              <w:spacing w:line="360" w:lineRule="auto"/>
              <w:jc w:val="center"/>
              <w:rPr>
                <w:rFonts w:ascii="宋体" w:cs="宋体"/>
                <w:sz w:val="24"/>
                <w:szCs w:val="24"/>
                <w:highlight w:val="none"/>
              </w:rPr>
            </w:pPr>
            <w:r>
              <w:rPr>
                <w:rFonts w:hint="eastAsia" w:ascii="宋体" w:hAnsi="宋体" w:cs="宋体"/>
                <w:sz w:val="24"/>
                <w:szCs w:val="24"/>
                <w:highlight w:val="none"/>
              </w:rPr>
              <w:t>条目号</w:t>
            </w:r>
          </w:p>
        </w:tc>
        <w:tc>
          <w:tcPr>
            <w:tcW w:w="2208"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招标文件的</w:t>
            </w:r>
          </w:p>
          <w:p>
            <w:pPr>
              <w:spacing w:line="360" w:lineRule="auto"/>
              <w:jc w:val="center"/>
              <w:rPr>
                <w:rFonts w:ascii="宋体" w:cs="宋体"/>
                <w:sz w:val="24"/>
                <w:szCs w:val="24"/>
                <w:highlight w:val="none"/>
              </w:rPr>
            </w:pPr>
            <w:r>
              <w:rPr>
                <w:rFonts w:hint="eastAsia" w:ascii="宋体" w:hAnsi="宋体" w:cs="宋体"/>
                <w:sz w:val="24"/>
                <w:szCs w:val="24"/>
                <w:highlight w:val="none"/>
              </w:rPr>
              <w:t>商务条款</w:t>
            </w:r>
          </w:p>
        </w:tc>
        <w:tc>
          <w:tcPr>
            <w:tcW w:w="2041"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投标文件的</w:t>
            </w:r>
          </w:p>
          <w:p>
            <w:pPr>
              <w:spacing w:line="360" w:lineRule="auto"/>
              <w:jc w:val="center"/>
              <w:rPr>
                <w:rFonts w:ascii="宋体" w:cs="宋体"/>
                <w:sz w:val="24"/>
                <w:szCs w:val="24"/>
                <w:highlight w:val="none"/>
              </w:rPr>
            </w:pPr>
            <w:r>
              <w:rPr>
                <w:rFonts w:hint="eastAsia" w:ascii="宋体" w:hAnsi="宋体" w:cs="宋体"/>
                <w:sz w:val="24"/>
                <w:szCs w:val="24"/>
                <w:highlight w:val="none"/>
              </w:rPr>
              <w:t>商务条款</w:t>
            </w:r>
          </w:p>
        </w:tc>
        <w:tc>
          <w:tcPr>
            <w:tcW w:w="1275"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偏离情况</w:t>
            </w:r>
          </w:p>
        </w:tc>
        <w:tc>
          <w:tcPr>
            <w:tcW w:w="986"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bl>
    <w:p>
      <w:pPr>
        <w:spacing w:line="360" w:lineRule="auto"/>
        <w:rPr>
          <w:rFonts w:ascii="宋体" w:cs="宋体"/>
          <w:sz w:val="24"/>
          <w:szCs w:val="24"/>
          <w:highlight w:val="none"/>
          <w:u w:val="singl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pPr>
        <w:spacing w:line="360" w:lineRule="auto"/>
        <w:rPr>
          <w:rFonts w:ascii="宋体" w:cs="宋体"/>
          <w:sz w:val="24"/>
          <w:szCs w:val="24"/>
          <w:highlight w:val="none"/>
        </w:rPr>
      </w:pPr>
      <w:r>
        <w:rPr>
          <w:rFonts w:hint="eastAsia" w:ascii="宋体" w:hAnsi="宋体" w:cs="宋体"/>
          <w:sz w:val="24"/>
          <w:szCs w:val="24"/>
          <w:highlight w:val="none"/>
        </w:rPr>
        <w:t>投标人名称（加盖单位公章</w:t>
      </w:r>
      <w:r>
        <w:rPr>
          <w:rFonts w:hint="eastAsia" w:ascii="宋体" w:hAnsi="宋体" w:cs="宋体"/>
          <w:sz w:val="24"/>
          <w:szCs w:val="24"/>
          <w:highlight w:val="none"/>
          <w:lang w:val="en-US" w:eastAsia="zh-CN"/>
        </w:rPr>
        <w:t>或电子章</w:t>
      </w:r>
      <w:r>
        <w:rPr>
          <w:rFonts w:hint="eastAsia" w:ascii="宋体" w:hAnsi="宋体" w:cs="宋体"/>
          <w:sz w:val="24"/>
          <w:szCs w:val="24"/>
          <w:highlight w:val="none"/>
        </w:rPr>
        <w:t>）：</w:t>
      </w:r>
    </w:p>
    <w:p>
      <w:pPr>
        <w:spacing w:line="360" w:lineRule="auto"/>
        <w:rPr>
          <w:rFonts w:ascii="宋体" w:cs="宋体"/>
          <w:sz w:val="24"/>
          <w:szCs w:val="24"/>
          <w:highlight w:val="none"/>
        </w:rPr>
      </w:pPr>
      <w:r>
        <w:rPr>
          <w:rFonts w:hint="eastAsia" w:ascii="宋体" w:hAnsi="宋体" w:cs="宋体"/>
          <w:sz w:val="24"/>
          <w:szCs w:val="24"/>
          <w:highlight w:val="none"/>
        </w:rPr>
        <w:t>日期：</w:t>
      </w:r>
    </w:p>
    <w:p>
      <w:pPr>
        <w:spacing w:line="360" w:lineRule="auto"/>
        <w:rPr>
          <w:rFonts w:ascii="宋体" w:cs="宋体"/>
          <w:sz w:val="24"/>
          <w:szCs w:val="24"/>
          <w:highlight w:val="none"/>
        </w:rPr>
      </w:pPr>
      <w:r>
        <w:rPr>
          <w:rFonts w:hint="eastAsia" w:ascii="宋体" w:hAnsi="宋体" w:cs="宋体"/>
          <w:sz w:val="24"/>
          <w:szCs w:val="24"/>
          <w:highlight w:val="none"/>
        </w:rPr>
        <w:t>注：投标人如果对包括服务期限、服务地点，付款方式、时间、条件及合同条款等在内的商务条款的响应有任何偏离（正偏离</w:t>
      </w:r>
      <w:r>
        <w:rPr>
          <w:rFonts w:ascii="宋体" w:hAnsi="宋体" w:cs="宋体"/>
          <w:sz w:val="24"/>
          <w:szCs w:val="24"/>
          <w:highlight w:val="none"/>
        </w:rPr>
        <w:t>/</w:t>
      </w:r>
      <w:r>
        <w:rPr>
          <w:rFonts w:hint="eastAsia" w:ascii="宋体" w:hAnsi="宋体" w:cs="宋体"/>
          <w:sz w:val="24"/>
          <w:szCs w:val="24"/>
          <w:highlight w:val="none"/>
        </w:rPr>
        <w:t>负偏离），请在本表中详细填写；如对商务条款没有偏离，请注明“无偏离”。</w:t>
      </w:r>
    </w:p>
    <w:p>
      <w:pPr>
        <w:pStyle w:val="5"/>
        <w:rPr>
          <w:rFonts w:ascii="宋体"/>
          <w:highlight w:val="none"/>
        </w:rPr>
      </w:pPr>
      <w:r>
        <w:rPr>
          <w:highlight w:val="none"/>
          <w:u w:val="single"/>
        </w:rPr>
        <w:br w:type="page"/>
      </w:r>
      <w:bookmarkStart w:id="219" w:name="_Toc2512012"/>
      <w:bookmarkStart w:id="220" w:name="_Toc12537"/>
      <w:bookmarkStart w:id="221" w:name="_Toc14776862"/>
      <w:bookmarkStart w:id="222" w:name="_Toc44705074"/>
      <w:bookmarkStart w:id="223" w:name="_Toc2355270"/>
      <w:bookmarkStart w:id="224" w:name="_Toc28162"/>
      <w:bookmarkStart w:id="225" w:name="_Toc44704927"/>
      <w:bookmarkStart w:id="226" w:name="_Toc44705295"/>
      <w:bookmarkStart w:id="227" w:name="_Toc493422664"/>
      <w:bookmarkStart w:id="228" w:name="_Toc497167417"/>
      <w:r>
        <w:rPr>
          <w:rFonts w:ascii="宋体" w:hAnsi="宋体"/>
          <w:sz w:val="32"/>
          <w:highlight w:val="none"/>
        </w:rPr>
        <w:t>2.</w:t>
      </w:r>
      <w:r>
        <w:rPr>
          <w:rFonts w:hint="eastAsia" w:ascii="宋体" w:hAnsi="宋体"/>
          <w:sz w:val="32"/>
          <w:highlight w:val="none"/>
          <w:lang w:val="en-US" w:eastAsia="zh-CN"/>
        </w:rPr>
        <w:t>5</w:t>
      </w:r>
      <w:r>
        <w:rPr>
          <w:rFonts w:hint="eastAsia" w:ascii="宋体" w:hAnsi="宋体"/>
          <w:sz w:val="32"/>
          <w:highlight w:val="none"/>
        </w:rPr>
        <w:t>、法定代表人授权书格式</w:t>
      </w:r>
      <w:bookmarkEnd w:id="219"/>
      <w:bookmarkEnd w:id="220"/>
      <w:bookmarkEnd w:id="221"/>
      <w:bookmarkEnd w:id="222"/>
      <w:bookmarkEnd w:id="223"/>
      <w:bookmarkEnd w:id="224"/>
      <w:bookmarkEnd w:id="225"/>
      <w:bookmarkEnd w:id="226"/>
      <w:bookmarkEnd w:id="227"/>
      <w:bookmarkEnd w:id="228"/>
    </w:p>
    <w:p>
      <w:pPr>
        <w:spacing w:line="360" w:lineRule="auto"/>
        <w:rPr>
          <w:rFonts w:ascii="宋体" w:cs="宋体"/>
          <w:szCs w:val="21"/>
          <w:highlight w:val="none"/>
        </w:rPr>
      </w:pPr>
    </w:p>
    <w:p>
      <w:pPr>
        <w:spacing w:line="360" w:lineRule="auto"/>
        <w:jc w:val="center"/>
        <w:rPr>
          <w:rFonts w:ascii="宋体" w:cs="宋体"/>
          <w:b/>
          <w:bCs/>
          <w:sz w:val="32"/>
          <w:szCs w:val="32"/>
          <w:highlight w:val="none"/>
        </w:rPr>
      </w:pPr>
      <w:r>
        <w:rPr>
          <w:rFonts w:hint="eastAsia" w:ascii="宋体" w:hAnsi="宋体" w:cs="宋体"/>
          <w:b/>
          <w:bCs/>
          <w:sz w:val="32"/>
          <w:szCs w:val="32"/>
          <w:highlight w:val="none"/>
        </w:rPr>
        <w:t>法定代表人授权书</w:t>
      </w:r>
    </w:p>
    <w:p>
      <w:pPr>
        <w:spacing w:line="360" w:lineRule="auto"/>
        <w:rPr>
          <w:rFonts w:ascii="宋体" w:cs="宋体"/>
          <w:sz w:val="24"/>
          <w:szCs w:val="24"/>
          <w:highlight w:val="none"/>
        </w:rPr>
      </w:pPr>
    </w:p>
    <w:p>
      <w:pPr>
        <w:spacing w:line="360" w:lineRule="auto"/>
        <w:ind w:firstLine="435"/>
        <w:rPr>
          <w:rFonts w:ascii="宋体" w:cs="宋体"/>
          <w:sz w:val="24"/>
          <w:szCs w:val="24"/>
          <w:highlight w:val="none"/>
        </w:rPr>
      </w:pPr>
      <w:r>
        <w:rPr>
          <w:rFonts w:hint="eastAsia" w:ascii="宋体" w:hAnsi="宋体" w:cs="宋体"/>
          <w:sz w:val="24"/>
          <w:szCs w:val="24"/>
          <w:highlight w:val="none"/>
        </w:rPr>
        <w:t>本授权书声明：注册于（国家或地区的名称）的</w:t>
      </w:r>
      <w:r>
        <w:rPr>
          <w:rFonts w:hint="eastAsia" w:ascii="宋体" w:hAnsi="宋体" w:cs="宋体"/>
          <w:sz w:val="24"/>
          <w:szCs w:val="24"/>
          <w:highlight w:val="none"/>
          <w:u w:val="single"/>
        </w:rPr>
        <w:t>（投标人名称）</w:t>
      </w:r>
      <w:r>
        <w:rPr>
          <w:rFonts w:hint="eastAsia" w:ascii="宋体" w:hAnsi="宋体" w:cs="宋体"/>
          <w:sz w:val="24"/>
          <w:szCs w:val="24"/>
          <w:highlight w:val="none"/>
        </w:rPr>
        <w:t>的在下面签字的</w:t>
      </w:r>
      <w:r>
        <w:rPr>
          <w:rFonts w:hint="eastAsia" w:ascii="宋体" w:hAnsi="宋体" w:cs="宋体"/>
          <w:sz w:val="24"/>
          <w:szCs w:val="24"/>
          <w:highlight w:val="none"/>
          <w:u w:val="single"/>
        </w:rPr>
        <w:t>（法定代表人姓名、职务、身份证号码）</w:t>
      </w:r>
      <w:r>
        <w:rPr>
          <w:rFonts w:hint="eastAsia" w:ascii="宋体" w:hAnsi="宋体" w:cs="宋体"/>
          <w:sz w:val="24"/>
          <w:szCs w:val="24"/>
          <w:highlight w:val="none"/>
        </w:rPr>
        <w:t>代表本公司授权的在下面签字的</w:t>
      </w:r>
      <w:r>
        <w:rPr>
          <w:rFonts w:hint="eastAsia" w:ascii="宋体" w:hAnsi="宋体" w:cs="宋体"/>
          <w:sz w:val="24"/>
          <w:szCs w:val="24"/>
          <w:highlight w:val="none"/>
          <w:u w:val="single"/>
        </w:rPr>
        <w:t>（被授权人的姓名、职务、身份证号码）</w:t>
      </w:r>
      <w:r>
        <w:rPr>
          <w:rFonts w:hint="eastAsia" w:ascii="宋体" w:hAnsi="宋体" w:cs="宋体"/>
          <w:sz w:val="24"/>
          <w:szCs w:val="24"/>
          <w:highlight w:val="none"/>
        </w:rPr>
        <w:t>为本公司的合法代理人，就项目（招标编号</w:t>
      </w:r>
      <w:r>
        <w:rPr>
          <w:rFonts w:ascii="宋体" w:hAnsi="宋体" w:cs="宋体"/>
          <w:sz w:val="24"/>
          <w:szCs w:val="24"/>
          <w:highlight w:val="none"/>
        </w:rPr>
        <w:t>[</w:t>
      </w:r>
      <w:r>
        <w:rPr>
          <w:rFonts w:hint="eastAsia" w:ascii="宋体" w:hAnsi="宋体" w:cs="宋体"/>
          <w:sz w:val="24"/>
          <w:szCs w:val="24"/>
          <w:highlight w:val="none"/>
        </w:rPr>
        <w:t>包号</w:t>
      </w:r>
      <w:r>
        <w:rPr>
          <w:rFonts w:ascii="宋体" w:hAnsi="宋体" w:cs="宋体"/>
          <w:sz w:val="24"/>
          <w:szCs w:val="24"/>
          <w:highlight w:val="none"/>
        </w:rPr>
        <w:t>]</w:t>
      </w:r>
      <w:r>
        <w:rPr>
          <w:rFonts w:hint="eastAsia" w:ascii="宋体" w:hAnsi="宋体" w:cs="宋体"/>
          <w:sz w:val="24"/>
          <w:szCs w:val="24"/>
          <w:highlight w:val="none"/>
        </w:rPr>
        <w:t>：</w:t>
      </w:r>
      <w:r>
        <w:rPr>
          <w:rFonts w:ascii="宋体" w:hAnsi="宋体" w:cs="宋体"/>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宋体"/>
          <w:sz w:val="24"/>
          <w:szCs w:val="24"/>
          <w:highlight w:val="none"/>
        </w:rPr>
        <w:t>的采购（含投标和转为其他方式），以本公司名义处理一切与之有关的事务。我公司对被授权人的签名负全部法律责任。</w:t>
      </w:r>
    </w:p>
    <w:p>
      <w:pPr>
        <w:spacing w:line="360" w:lineRule="auto"/>
        <w:ind w:firstLine="435"/>
        <w:rPr>
          <w:rFonts w:ascii="宋体" w:cs="宋体"/>
          <w:sz w:val="24"/>
          <w:szCs w:val="24"/>
          <w:highlight w:val="none"/>
        </w:rPr>
      </w:pPr>
      <w:r>
        <w:rPr>
          <w:rFonts w:hint="eastAsia" w:ascii="宋体" w:hAnsi="宋体" w:cs="宋体"/>
          <w:sz w:val="24"/>
          <w:szCs w:val="24"/>
          <w:highlight w:val="none"/>
        </w:rPr>
        <w:t>本授权书于</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日盖章生效，特此声明。</w:t>
      </w:r>
    </w:p>
    <w:p>
      <w:pPr>
        <w:spacing w:line="360" w:lineRule="auto"/>
        <w:ind w:firstLine="435"/>
        <w:rPr>
          <w:rFonts w:ascii="宋体" w:cs="宋体"/>
          <w:sz w:val="24"/>
          <w:szCs w:val="24"/>
          <w:highlight w:val="none"/>
        </w:rPr>
      </w:pPr>
    </w:p>
    <w:p>
      <w:pPr>
        <w:spacing w:line="360" w:lineRule="auto"/>
        <w:ind w:firstLine="435"/>
        <w:rPr>
          <w:rFonts w:ascii="宋体" w:cs="宋体"/>
          <w:sz w:val="24"/>
          <w:szCs w:val="24"/>
          <w:highlight w:val="none"/>
        </w:rPr>
      </w:pPr>
    </w:p>
    <w:p>
      <w:pPr>
        <w:spacing w:line="360" w:lineRule="auto"/>
        <w:ind w:firstLine="435"/>
        <w:rPr>
          <w:rFonts w:ascii="宋体" w:cs="宋体"/>
          <w:sz w:val="24"/>
          <w:szCs w:val="24"/>
          <w:highlight w:val="none"/>
        </w:rPr>
      </w:pPr>
    </w:p>
    <w:p>
      <w:pPr>
        <w:spacing w:line="360" w:lineRule="auto"/>
        <w:ind w:firstLine="435"/>
        <w:jc w:val="right"/>
        <w:rPr>
          <w:rFonts w:ascii="宋体" w:cs="宋体"/>
          <w:sz w:val="24"/>
          <w:szCs w:val="24"/>
          <w:highlight w:val="none"/>
        </w:rPr>
      </w:pPr>
      <w:r>
        <w:rPr>
          <w:rFonts w:hint="eastAsia" w:ascii="宋体" w:hAnsi="宋体" w:cs="宋体"/>
          <w:sz w:val="24"/>
          <w:szCs w:val="24"/>
          <w:highlight w:val="none"/>
        </w:rPr>
        <w:t>法定代表人签字或盖章：</w:t>
      </w:r>
    </w:p>
    <w:p>
      <w:pPr>
        <w:pStyle w:val="20"/>
        <w:rPr>
          <w:highlight w:val="none"/>
        </w:rPr>
      </w:pPr>
    </w:p>
    <w:p>
      <w:pPr>
        <w:spacing w:line="360" w:lineRule="auto"/>
        <w:ind w:firstLine="435"/>
        <w:jc w:val="right"/>
        <w:rPr>
          <w:rFonts w:ascii="宋体" w:cs="宋体"/>
          <w:sz w:val="24"/>
          <w:highlight w:val="none"/>
        </w:rPr>
      </w:pPr>
      <w:r>
        <w:rPr>
          <w:rFonts w:hint="eastAsia" w:ascii="宋体" w:hAnsi="宋体" w:cs="宋体"/>
          <w:sz w:val="24"/>
          <w:highlight w:val="none"/>
        </w:rPr>
        <w:t>授权代表签字：</w:t>
      </w:r>
    </w:p>
    <w:p>
      <w:pPr>
        <w:pStyle w:val="20"/>
        <w:rPr>
          <w:highlight w:val="none"/>
        </w:rPr>
      </w:pPr>
    </w:p>
    <w:p>
      <w:pPr>
        <w:spacing w:line="360" w:lineRule="auto"/>
        <w:ind w:firstLine="435"/>
        <w:jc w:val="right"/>
        <w:rPr>
          <w:rFonts w:ascii="宋体" w:cs="宋体"/>
          <w:sz w:val="24"/>
          <w:highlight w:val="none"/>
          <w:u w:val="single"/>
        </w:rPr>
      </w:pPr>
      <w:r>
        <w:rPr>
          <w:rFonts w:hint="eastAsia" w:ascii="宋体" w:hAnsi="宋体" w:cs="宋体"/>
          <w:sz w:val="24"/>
          <w:highlight w:val="none"/>
        </w:rPr>
        <w:t>投标人名称（加盖单位公章</w:t>
      </w:r>
      <w:r>
        <w:rPr>
          <w:rFonts w:hint="eastAsia" w:ascii="宋体" w:hAnsi="宋体" w:cs="宋体"/>
          <w:sz w:val="24"/>
          <w:szCs w:val="24"/>
          <w:highlight w:val="none"/>
          <w:lang w:val="en-US" w:eastAsia="zh-CN"/>
        </w:rPr>
        <w:t>或电子章</w:t>
      </w:r>
      <w:r>
        <w:rPr>
          <w:rFonts w:hint="eastAsia" w:ascii="宋体" w:hAnsi="宋体" w:cs="宋体"/>
          <w:sz w:val="24"/>
          <w:highlight w:val="none"/>
        </w:rPr>
        <w:t>）：</w:t>
      </w:r>
    </w:p>
    <w:p>
      <w:pPr>
        <w:spacing w:line="360" w:lineRule="auto"/>
        <w:ind w:firstLine="435"/>
        <w:rPr>
          <w:rFonts w:ascii="宋体" w:cs="宋体"/>
          <w:highlight w:val="none"/>
        </w:rPr>
      </w:pPr>
    </w:p>
    <w:p>
      <w:pPr>
        <w:spacing w:line="360" w:lineRule="auto"/>
        <w:ind w:firstLine="435"/>
        <w:rPr>
          <w:rFonts w:ascii="宋体" w:cs="宋体"/>
          <w:sz w:val="24"/>
          <w:szCs w:val="24"/>
          <w:highlight w:val="none"/>
        </w:rPr>
      </w:pPr>
      <w:r>
        <w:rPr>
          <w:rFonts w:hint="eastAsia" w:ascii="宋体" w:hAnsi="宋体" w:cs="宋体"/>
          <w:sz w:val="24"/>
          <w:szCs w:val="24"/>
          <w:highlight w:val="none"/>
        </w:rPr>
        <w:t>附：</w:t>
      </w:r>
    </w:p>
    <w:p>
      <w:pPr>
        <w:spacing w:line="360" w:lineRule="auto"/>
        <w:ind w:firstLine="435"/>
        <w:rPr>
          <w:rFonts w:ascii="宋体" w:cs="宋体"/>
          <w:sz w:val="24"/>
          <w:szCs w:val="24"/>
          <w:highlight w:val="none"/>
          <w:u w:val="single"/>
        </w:rPr>
      </w:pPr>
      <w:r>
        <w:rPr>
          <w:rFonts w:hint="eastAsia" w:ascii="宋体" w:hAnsi="宋体" w:cs="宋体"/>
          <w:sz w:val="24"/>
          <w:szCs w:val="24"/>
          <w:highlight w:val="none"/>
        </w:rPr>
        <w:t>被授权人姓名：</w:t>
      </w:r>
    </w:p>
    <w:p>
      <w:pPr>
        <w:spacing w:line="360" w:lineRule="auto"/>
        <w:ind w:firstLine="435"/>
        <w:rPr>
          <w:rFonts w:ascii="宋体" w:cs="宋体"/>
          <w:sz w:val="24"/>
          <w:szCs w:val="24"/>
          <w:highlight w:val="none"/>
        </w:rPr>
      </w:pPr>
      <w:r>
        <w:rPr>
          <w:rFonts w:hint="eastAsia" w:ascii="宋体" w:hAnsi="宋体" w:cs="宋体"/>
          <w:sz w:val="24"/>
          <w:szCs w:val="24"/>
          <w:highlight w:val="none"/>
        </w:rPr>
        <w:t>职　　　　务：</w:t>
      </w:r>
    </w:p>
    <w:p>
      <w:pPr>
        <w:spacing w:line="360" w:lineRule="auto"/>
        <w:ind w:firstLine="435"/>
        <w:rPr>
          <w:rFonts w:ascii="宋体" w:cs="宋体"/>
          <w:sz w:val="24"/>
          <w:szCs w:val="24"/>
          <w:highlight w:val="none"/>
        </w:rPr>
      </w:pPr>
      <w:r>
        <w:rPr>
          <w:rFonts w:hint="eastAsia" w:ascii="宋体" w:hAnsi="宋体" w:cs="宋体"/>
          <w:sz w:val="24"/>
          <w:szCs w:val="24"/>
          <w:highlight w:val="none"/>
        </w:rPr>
        <w:t>详细通讯地址：</w:t>
      </w:r>
    </w:p>
    <w:p>
      <w:pPr>
        <w:spacing w:line="360" w:lineRule="auto"/>
        <w:ind w:firstLine="435"/>
        <w:rPr>
          <w:rFonts w:ascii="宋体" w:cs="宋体"/>
          <w:sz w:val="24"/>
          <w:szCs w:val="24"/>
          <w:highlight w:val="none"/>
        </w:rPr>
      </w:pPr>
      <w:r>
        <w:rPr>
          <w:rFonts w:hint="eastAsia" w:ascii="宋体" w:hAnsi="宋体" w:cs="宋体"/>
          <w:sz w:val="24"/>
          <w:szCs w:val="24"/>
          <w:highlight w:val="none"/>
        </w:rPr>
        <w:t>邮</w:t>
      </w:r>
      <w:r>
        <w:rPr>
          <w:rFonts w:ascii="宋体" w:hAnsi="宋体" w:cs="宋体"/>
          <w:sz w:val="24"/>
          <w:szCs w:val="24"/>
          <w:highlight w:val="none"/>
        </w:rPr>
        <w:t xml:space="preserve"> </w:t>
      </w:r>
      <w:r>
        <w:rPr>
          <w:rFonts w:hint="eastAsia" w:ascii="宋体" w:hAnsi="宋体" w:cs="宋体"/>
          <w:sz w:val="24"/>
          <w:szCs w:val="24"/>
          <w:highlight w:val="none"/>
        </w:rPr>
        <w:t>政</w:t>
      </w:r>
      <w:r>
        <w:rPr>
          <w:rFonts w:ascii="宋体" w:hAnsi="宋体" w:cs="宋体"/>
          <w:sz w:val="24"/>
          <w:szCs w:val="24"/>
          <w:highlight w:val="none"/>
        </w:rPr>
        <w:t xml:space="preserve">  </w:t>
      </w:r>
      <w:r>
        <w:rPr>
          <w:rFonts w:hint="eastAsia" w:ascii="宋体" w:hAnsi="宋体" w:cs="宋体"/>
          <w:sz w:val="24"/>
          <w:szCs w:val="24"/>
          <w:highlight w:val="none"/>
        </w:rPr>
        <w:t>编</w:t>
      </w:r>
      <w:r>
        <w:rPr>
          <w:rFonts w:ascii="宋体" w:hAnsi="宋体" w:cs="宋体"/>
          <w:sz w:val="24"/>
          <w:szCs w:val="24"/>
          <w:highlight w:val="none"/>
        </w:rPr>
        <w:t xml:space="preserve"> </w:t>
      </w:r>
      <w:r>
        <w:rPr>
          <w:rFonts w:hint="eastAsia" w:ascii="宋体" w:hAnsi="宋体" w:cs="宋体"/>
          <w:sz w:val="24"/>
          <w:szCs w:val="24"/>
          <w:highlight w:val="none"/>
        </w:rPr>
        <w:t>码：</w:t>
      </w:r>
    </w:p>
    <w:p>
      <w:pPr>
        <w:spacing w:line="360" w:lineRule="auto"/>
        <w:ind w:firstLine="435"/>
        <w:rPr>
          <w:rFonts w:ascii="宋体" w:cs="宋体"/>
          <w:sz w:val="24"/>
          <w:szCs w:val="24"/>
          <w:highlight w:val="none"/>
        </w:rPr>
      </w:pPr>
      <w:r>
        <w:rPr>
          <w:rFonts w:hint="eastAsia" w:ascii="宋体" w:hAnsi="宋体" w:cs="宋体"/>
          <w:sz w:val="24"/>
          <w:szCs w:val="24"/>
          <w:highlight w:val="none"/>
        </w:rPr>
        <w:t>传　　　　真：</w:t>
      </w:r>
    </w:p>
    <w:p>
      <w:pPr>
        <w:spacing w:line="360" w:lineRule="auto"/>
        <w:ind w:firstLine="435"/>
        <w:rPr>
          <w:rFonts w:ascii="宋体" w:cs="宋体"/>
          <w:sz w:val="24"/>
          <w:szCs w:val="24"/>
          <w:highlight w:val="none"/>
        </w:rPr>
      </w:pPr>
      <w:r>
        <w:rPr>
          <w:rFonts w:hint="eastAsia" w:ascii="宋体" w:hAnsi="宋体" w:cs="宋体"/>
          <w:sz w:val="24"/>
          <w:szCs w:val="24"/>
          <w:highlight w:val="none"/>
        </w:rPr>
        <w:t>电　　　　话：</w:t>
      </w:r>
    </w:p>
    <w:p>
      <w:pPr>
        <w:spacing w:line="360" w:lineRule="auto"/>
        <w:ind w:firstLine="435"/>
        <w:rPr>
          <w:rFonts w:ascii="宋体" w:cs="宋体"/>
          <w:sz w:val="24"/>
          <w:szCs w:val="24"/>
          <w:highlight w:val="none"/>
        </w:rPr>
      </w:pPr>
      <w:r>
        <w:rPr>
          <w:rFonts w:hint="eastAsia" w:ascii="宋体" w:hAnsi="宋体" w:cs="宋体"/>
          <w:sz w:val="24"/>
          <w:szCs w:val="24"/>
          <w:highlight w:val="none"/>
        </w:rPr>
        <w:t>手</w:t>
      </w:r>
      <w:r>
        <w:rPr>
          <w:rFonts w:ascii="宋体" w:hAnsi="宋体" w:cs="宋体"/>
          <w:sz w:val="24"/>
          <w:szCs w:val="24"/>
          <w:highlight w:val="none"/>
        </w:rPr>
        <w:t xml:space="preserve">        </w:t>
      </w:r>
      <w:r>
        <w:rPr>
          <w:rFonts w:hint="eastAsia" w:ascii="宋体" w:hAnsi="宋体" w:cs="宋体"/>
          <w:sz w:val="24"/>
          <w:szCs w:val="24"/>
          <w:highlight w:val="none"/>
        </w:rPr>
        <w:t>机：</w:t>
      </w:r>
    </w:p>
    <w:p>
      <w:pPr>
        <w:spacing w:line="360" w:lineRule="auto"/>
        <w:ind w:firstLine="435"/>
        <w:rPr>
          <w:rFonts w:ascii="宋体" w:cs="宋体"/>
          <w:highlight w:val="none"/>
        </w:rPr>
      </w:pPr>
    </w:p>
    <w:p>
      <w:pPr>
        <w:spacing w:line="360" w:lineRule="auto"/>
        <w:ind w:firstLine="435"/>
        <w:rPr>
          <w:rFonts w:ascii="宋体" w:cs="宋体"/>
          <w:b/>
          <w:highlight w:val="none"/>
        </w:rPr>
      </w:pPr>
      <w:r>
        <w:rPr>
          <w:rFonts w:hint="eastAsia" w:ascii="宋体" w:hAnsi="宋体" w:cs="宋体"/>
          <w:b/>
          <w:highlight w:val="none"/>
        </w:rPr>
        <w:t>（后附法定代表人和被授权人身份证复印件加盖单位公章）</w:t>
      </w:r>
    </w:p>
    <w:p>
      <w:pPr>
        <w:pStyle w:val="5"/>
        <w:rPr>
          <w:rFonts w:ascii="宋体" w:cs="宋体"/>
          <w:highlight w:val="none"/>
        </w:rPr>
      </w:pPr>
      <w:r>
        <w:rPr>
          <w:rFonts w:ascii="宋体" w:cs="宋体"/>
          <w:highlight w:val="none"/>
        </w:rPr>
        <w:br w:type="page"/>
      </w:r>
      <w:bookmarkStart w:id="229" w:name="_Toc2355271"/>
      <w:bookmarkStart w:id="230" w:name="_Toc2512013"/>
      <w:bookmarkStart w:id="231" w:name="_Toc493422670"/>
      <w:bookmarkStart w:id="232" w:name="_Toc497167418"/>
      <w:bookmarkStart w:id="233" w:name="_Toc44705075"/>
      <w:bookmarkStart w:id="234" w:name="_Toc9070"/>
      <w:bookmarkStart w:id="235" w:name="_Toc14776863"/>
      <w:bookmarkStart w:id="236" w:name="_Toc32121"/>
      <w:bookmarkStart w:id="237" w:name="_Toc44705296"/>
      <w:bookmarkStart w:id="238" w:name="_Toc44704928"/>
      <w:r>
        <w:rPr>
          <w:rFonts w:ascii="宋体" w:hAnsi="宋体" w:cs="宋体"/>
          <w:sz w:val="32"/>
          <w:szCs w:val="24"/>
          <w:highlight w:val="none"/>
        </w:rPr>
        <w:t>2.</w:t>
      </w:r>
      <w:r>
        <w:rPr>
          <w:rFonts w:hint="eastAsia" w:ascii="宋体" w:hAnsi="宋体" w:cs="宋体"/>
          <w:sz w:val="32"/>
          <w:szCs w:val="24"/>
          <w:highlight w:val="none"/>
          <w:lang w:val="en-US" w:eastAsia="zh-CN"/>
        </w:rPr>
        <w:t>6</w:t>
      </w:r>
      <w:r>
        <w:rPr>
          <w:rFonts w:hint="eastAsia" w:ascii="宋体" w:hAnsi="宋体" w:cs="宋体"/>
          <w:sz w:val="32"/>
          <w:szCs w:val="24"/>
          <w:highlight w:val="none"/>
        </w:rPr>
        <w:t>、按招标文件中投标人须知和采购需求中要求提供的有关文件</w:t>
      </w:r>
      <w:bookmarkEnd w:id="229"/>
      <w:bookmarkEnd w:id="230"/>
      <w:bookmarkEnd w:id="231"/>
      <w:bookmarkEnd w:id="232"/>
      <w:r>
        <w:rPr>
          <w:rFonts w:hint="eastAsia" w:ascii="宋体" w:hAnsi="宋体" w:cs="宋体"/>
          <w:sz w:val="32"/>
          <w:szCs w:val="24"/>
          <w:highlight w:val="none"/>
        </w:rPr>
        <w:t>（部分格式）</w:t>
      </w:r>
      <w:bookmarkEnd w:id="233"/>
      <w:bookmarkEnd w:id="234"/>
      <w:bookmarkEnd w:id="235"/>
      <w:bookmarkEnd w:id="236"/>
      <w:bookmarkEnd w:id="237"/>
      <w:bookmarkEnd w:id="238"/>
    </w:p>
    <w:p>
      <w:pPr>
        <w:spacing w:line="360" w:lineRule="auto"/>
        <w:rPr>
          <w:rFonts w:ascii="宋体" w:cs="宋体"/>
          <w:highlight w:val="none"/>
        </w:rPr>
      </w:pPr>
      <w:r>
        <w:rPr>
          <w:rFonts w:hint="eastAsia" w:ascii="宋体" w:hAnsi="宋体" w:cs="宋体"/>
          <w:color w:val="000000"/>
          <w:sz w:val="24"/>
          <w:szCs w:val="24"/>
          <w:highlight w:val="none"/>
        </w:rPr>
        <w:t>一、目录</w:t>
      </w:r>
    </w:p>
    <w:p>
      <w:pPr>
        <w:spacing w:line="360" w:lineRule="auto"/>
        <w:rPr>
          <w:rFonts w:ascii="宋体" w:cs="宋体"/>
          <w:sz w:val="24"/>
          <w:szCs w:val="24"/>
          <w:highlight w:val="none"/>
        </w:rPr>
      </w:pPr>
      <w:r>
        <w:rPr>
          <w:rFonts w:ascii="宋体" w:hAnsi="宋体" w:cs="宋体"/>
          <w:sz w:val="24"/>
          <w:szCs w:val="24"/>
          <w:highlight w:val="none"/>
        </w:rPr>
        <w:t>2.7.1</w:t>
      </w:r>
      <w:r>
        <w:rPr>
          <w:rFonts w:hint="eastAsia" w:ascii="宋体" w:hAnsi="宋体" w:cs="宋体"/>
          <w:sz w:val="24"/>
          <w:szCs w:val="24"/>
          <w:highlight w:val="none"/>
        </w:rPr>
        <w:t>近三年类似项目业绩表（须提供中标</w:t>
      </w:r>
      <w:r>
        <w:rPr>
          <w:rFonts w:ascii="宋体" w:hAnsi="宋体" w:cs="宋体"/>
          <w:sz w:val="24"/>
          <w:szCs w:val="24"/>
          <w:highlight w:val="none"/>
        </w:rPr>
        <w:t>/</w:t>
      </w:r>
      <w:r>
        <w:rPr>
          <w:rFonts w:hint="eastAsia" w:ascii="宋体" w:hAnsi="宋体" w:cs="宋体"/>
          <w:sz w:val="24"/>
          <w:szCs w:val="24"/>
          <w:highlight w:val="none"/>
        </w:rPr>
        <w:t>中标通知书或者合同复印件加盖公章）；</w:t>
      </w:r>
    </w:p>
    <w:p>
      <w:pPr>
        <w:tabs>
          <w:tab w:val="left" w:pos="720"/>
        </w:tabs>
        <w:autoSpaceDE w:val="0"/>
        <w:autoSpaceDN w:val="0"/>
        <w:adjustRightInd w:val="0"/>
        <w:spacing w:line="360" w:lineRule="auto"/>
        <w:ind w:right="17"/>
        <w:jc w:val="left"/>
        <w:rPr>
          <w:rFonts w:ascii="宋体" w:cs="宋体"/>
          <w:sz w:val="24"/>
          <w:szCs w:val="24"/>
          <w:highlight w:val="none"/>
        </w:rPr>
      </w:pPr>
      <w:r>
        <w:rPr>
          <w:rFonts w:ascii="宋体" w:hAnsi="宋体" w:cs="宋体"/>
          <w:sz w:val="24"/>
          <w:szCs w:val="24"/>
          <w:highlight w:val="none"/>
        </w:rPr>
        <w:t>2.7.2</w:t>
      </w:r>
      <w:r>
        <w:rPr>
          <w:rFonts w:hint="eastAsia" w:ascii="宋体" w:hAnsi="宋体" w:cs="宋体"/>
          <w:sz w:val="24"/>
          <w:szCs w:val="24"/>
          <w:highlight w:val="none"/>
        </w:rPr>
        <w:t>项目人员配备表（须提供相关证明材料并同时提供社保缴纳证明，复印件加盖单位公章）；</w:t>
      </w:r>
    </w:p>
    <w:p>
      <w:pPr>
        <w:tabs>
          <w:tab w:val="left" w:pos="720"/>
        </w:tabs>
        <w:autoSpaceDE w:val="0"/>
        <w:autoSpaceDN w:val="0"/>
        <w:adjustRightInd w:val="0"/>
        <w:spacing w:line="360" w:lineRule="auto"/>
        <w:ind w:right="17"/>
        <w:jc w:val="left"/>
        <w:rPr>
          <w:rFonts w:ascii="宋体" w:cs="宋体"/>
          <w:sz w:val="24"/>
          <w:szCs w:val="24"/>
          <w:highlight w:val="none"/>
        </w:rPr>
      </w:pPr>
      <w:r>
        <w:rPr>
          <w:rFonts w:ascii="宋体" w:hAnsi="宋体" w:cs="宋体"/>
          <w:sz w:val="24"/>
          <w:szCs w:val="24"/>
          <w:highlight w:val="none"/>
        </w:rPr>
        <w:t>2.7.3</w:t>
      </w:r>
      <w:r>
        <w:rPr>
          <w:rFonts w:hint="eastAsia" w:ascii="宋体" w:hAnsi="宋体" w:cs="宋体"/>
          <w:sz w:val="24"/>
          <w:szCs w:val="24"/>
          <w:highlight w:val="none"/>
        </w:rPr>
        <w:t>服务方案</w:t>
      </w:r>
      <w:r>
        <w:rPr>
          <w:rFonts w:ascii="宋体" w:cs="宋体"/>
          <w:sz w:val="24"/>
          <w:szCs w:val="24"/>
          <w:highlight w:val="none"/>
        </w:rPr>
        <w:t>-</w:t>
      </w:r>
      <w:r>
        <w:rPr>
          <w:rFonts w:hint="eastAsia" w:ascii="宋体" w:hAnsi="宋体" w:cs="宋体"/>
          <w:sz w:val="24"/>
          <w:szCs w:val="24"/>
          <w:highlight w:val="none"/>
        </w:rPr>
        <w:t>格式自拟；</w:t>
      </w:r>
      <w:r>
        <w:rPr>
          <w:rFonts w:ascii="宋体" w:hAnsi="宋体" w:cs="宋体"/>
          <w:sz w:val="24"/>
          <w:szCs w:val="24"/>
          <w:highlight w:val="none"/>
        </w:rPr>
        <w:t xml:space="preserve"> </w:t>
      </w:r>
    </w:p>
    <w:p>
      <w:pPr>
        <w:tabs>
          <w:tab w:val="left" w:pos="720"/>
        </w:tabs>
        <w:autoSpaceDE w:val="0"/>
        <w:autoSpaceDN w:val="0"/>
        <w:adjustRightInd w:val="0"/>
        <w:spacing w:line="360" w:lineRule="auto"/>
        <w:ind w:right="17"/>
        <w:jc w:val="left"/>
        <w:rPr>
          <w:rFonts w:ascii="宋体" w:cs="宋体"/>
          <w:color w:val="000000"/>
          <w:sz w:val="24"/>
          <w:highlight w:val="none"/>
        </w:rPr>
      </w:pPr>
      <w:r>
        <w:rPr>
          <w:rFonts w:ascii="宋体" w:hAnsi="宋体" w:cs="宋体"/>
          <w:color w:val="000000"/>
          <w:sz w:val="24"/>
          <w:highlight w:val="none"/>
        </w:rPr>
        <w:t>2.7.</w:t>
      </w: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残疾人福利性单位声明函（</w:t>
      </w:r>
      <w:r>
        <w:rPr>
          <w:rFonts w:hint="eastAsia" w:ascii="宋体" w:hAnsi="宋体" w:cs="宋体"/>
          <w:sz w:val="24"/>
          <w:szCs w:val="24"/>
          <w:highlight w:val="none"/>
        </w:rPr>
        <w:t>格式，不符合 条件无须提交</w:t>
      </w:r>
      <w:r>
        <w:rPr>
          <w:rFonts w:hint="eastAsia" w:ascii="宋体" w:hAnsi="宋体" w:cs="宋体"/>
          <w:color w:val="000000"/>
          <w:sz w:val="24"/>
          <w:highlight w:val="none"/>
        </w:rPr>
        <w:t>）</w:t>
      </w:r>
    </w:p>
    <w:p>
      <w:pPr>
        <w:spacing w:line="360" w:lineRule="auto"/>
        <w:rPr>
          <w:rFonts w:ascii="宋体" w:cs="宋体"/>
          <w:color w:val="000000"/>
          <w:sz w:val="24"/>
          <w:highlight w:val="none"/>
        </w:rPr>
      </w:pPr>
      <w:r>
        <w:rPr>
          <w:rFonts w:ascii="宋体" w:hAnsi="宋体" w:cs="宋体"/>
          <w:color w:val="000000"/>
          <w:sz w:val="24"/>
          <w:highlight w:val="none"/>
        </w:rPr>
        <w:t>2.7.</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节能产品、环境标志产品、信息安全产品证明材料（如适用）；</w:t>
      </w:r>
    </w:p>
    <w:p>
      <w:pPr>
        <w:spacing w:line="360" w:lineRule="auto"/>
        <w:rPr>
          <w:rFonts w:ascii="宋体" w:hAnsi="宋体" w:cs="宋体"/>
          <w:color w:val="000000"/>
          <w:sz w:val="24"/>
          <w:highlight w:val="none"/>
        </w:rPr>
      </w:pPr>
      <w:r>
        <w:rPr>
          <w:rFonts w:ascii="宋体" w:hAnsi="宋体" w:cs="宋体"/>
          <w:color w:val="000000"/>
          <w:kern w:val="0"/>
          <w:sz w:val="24"/>
          <w:highlight w:val="none"/>
        </w:rPr>
        <w:t>2.7.</w:t>
      </w:r>
      <w:r>
        <w:rPr>
          <w:rFonts w:hint="eastAsia" w:ascii="宋体" w:hAnsi="宋体" w:cs="宋体"/>
          <w:color w:val="000000"/>
          <w:kern w:val="0"/>
          <w:sz w:val="24"/>
          <w:highlight w:val="none"/>
          <w:lang w:val="en-US" w:eastAsia="zh-CN"/>
        </w:rPr>
        <w:t>6</w:t>
      </w:r>
      <w:r>
        <w:rPr>
          <w:rFonts w:hint="eastAsia" w:ascii="宋体" w:hAnsi="宋体" w:cs="宋体"/>
          <w:color w:val="000000"/>
          <w:sz w:val="24"/>
          <w:highlight w:val="none"/>
        </w:rPr>
        <w:t>招标文件要求的其它文件及投标人认为有必要提供的其它文件。</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二、填写须知</w:t>
      </w:r>
    </w:p>
    <w:p>
      <w:pPr>
        <w:spacing w:line="360" w:lineRule="auto"/>
        <w:rPr>
          <w:rFonts w:ascii="宋体" w:cs="宋体"/>
          <w:color w:val="000000"/>
          <w:sz w:val="24"/>
          <w:szCs w:val="24"/>
          <w:highlight w:val="none"/>
        </w:rPr>
      </w:pPr>
      <w:r>
        <w:rPr>
          <w:rFonts w:ascii="宋体" w:hAnsi="宋体" w:cs="宋体"/>
          <w:color w:val="000000"/>
          <w:sz w:val="24"/>
          <w:szCs w:val="24"/>
          <w:highlight w:val="none"/>
        </w:rPr>
        <w:t>1</w:t>
      </w:r>
      <w:r>
        <w:rPr>
          <w:rFonts w:hint="eastAsia" w:ascii="宋体" w:hAnsi="宋体" w:cs="宋体"/>
          <w:color w:val="000000"/>
          <w:sz w:val="24"/>
          <w:szCs w:val="24"/>
          <w:highlight w:val="none"/>
        </w:rPr>
        <w:t>）制造商或经销商作为投标人应填写和提交下述规定的全部格式以及其他有关资料。</w:t>
      </w:r>
    </w:p>
    <w:p>
      <w:pPr>
        <w:spacing w:line="360" w:lineRule="auto"/>
        <w:rPr>
          <w:rFonts w:ascii="宋体" w:cs="宋体"/>
          <w:color w:val="000000"/>
          <w:sz w:val="24"/>
          <w:szCs w:val="24"/>
          <w:highlight w:val="none"/>
        </w:rPr>
      </w:pPr>
      <w:r>
        <w:rPr>
          <w:rFonts w:ascii="宋体" w:hAnsi="宋体" w:cs="宋体"/>
          <w:color w:val="000000"/>
          <w:sz w:val="24"/>
          <w:szCs w:val="24"/>
          <w:highlight w:val="none"/>
        </w:rPr>
        <w:t>2</w:t>
      </w:r>
      <w:r>
        <w:rPr>
          <w:rFonts w:hint="eastAsia" w:ascii="宋体" w:hAnsi="宋体" w:cs="宋体"/>
          <w:color w:val="000000"/>
          <w:sz w:val="24"/>
          <w:szCs w:val="24"/>
          <w:highlight w:val="none"/>
        </w:rPr>
        <w:t>）所附格式中要求填写的全部问题和信息都必须填写。</w:t>
      </w:r>
    </w:p>
    <w:p>
      <w:pPr>
        <w:spacing w:line="360" w:lineRule="auto"/>
        <w:rPr>
          <w:rFonts w:ascii="宋体" w:cs="宋体"/>
          <w:color w:val="000000"/>
          <w:sz w:val="24"/>
          <w:szCs w:val="24"/>
          <w:highlight w:val="none"/>
        </w:rPr>
      </w:pPr>
      <w:r>
        <w:rPr>
          <w:rFonts w:ascii="宋体" w:hAnsi="宋体" w:cs="宋体"/>
          <w:color w:val="000000"/>
          <w:sz w:val="24"/>
          <w:szCs w:val="24"/>
          <w:highlight w:val="none"/>
        </w:rPr>
        <w:t>3</w:t>
      </w:r>
      <w:r>
        <w:rPr>
          <w:rFonts w:hint="eastAsia" w:ascii="宋体" w:hAnsi="宋体" w:cs="宋体"/>
          <w:color w:val="000000"/>
          <w:sz w:val="24"/>
          <w:szCs w:val="24"/>
          <w:highlight w:val="none"/>
        </w:rPr>
        <w:t>）本资格声明的签字人应保证全部声明和填写的内容是真实的和正确的。</w:t>
      </w:r>
    </w:p>
    <w:p>
      <w:pPr>
        <w:spacing w:line="360" w:lineRule="auto"/>
        <w:rPr>
          <w:rFonts w:ascii="宋体" w:cs="宋体"/>
          <w:color w:val="000000"/>
          <w:sz w:val="24"/>
          <w:szCs w:val="24"/>
          <w:highlight w:val="none"/>
        </w:rPr>
      </w:pPr>
      <w:r>
        <w:rPr>
          <w:rFonts w:ascii="宋体" w:hAnsi="宋体" w:cs="宋体"/>
          <w:color w:val="000000"/>
          <w:sz w:val="24"/>
          <w:szCs w:val="24"/>
          <w:highlight w:val="none"/>
        </w:rPr>
        <w:t>4</w:t>
      </w:r>
      <w:r>
        <w:rPr>
          <w:rFonts w:hint="eastAsia" w:ascii="宋体" w:hAnsi="宋体" w:cs="宋体"/>
          <w:color w:val="000000"/>
          <w:sz w:val="24"/>
          <w:szCs w:val="24"/>
          <w:highlight w:val="none"/>
        </w:rPr>
        <w:t>）评标委员会将依据投标人提交的资料根据自己的评价和考虑决定投标人履行合同的能力。</w:t>
      </w:r>
    </w:p>
    <w:p>
      <w:pPr>
        <w:spacing w:line="360" w:lineRule="auto"/>
        <w:rPr>
          <w:rFonts w:ascii="宋体" w:cs="宋体"/>
          <w:color w:val="000000"/>
          <w:sz w:val="24"/>
          <w:szCs w:val="24"/>
          <w:highlight w:val="none"/>
        </w:rPr>
      </w:pPr>
      <w:r>
        <w:rPr>
          <w:rFonts w:ascii="宋体" w:hAnsi="宋体" w:cs="宋体"/>
          <w:color w:val="000000"/>
          <w:sz w:val="24"/>
          <w:szCs w:val="24"/>
          <w:highlight w:val="none"/>
        </w:rPr>
        <w:t>5</w:t>
      </w:r>
      <w:r>
        <w:rPr>
          <w:rFonts w:hint="eastAsia" w:ascii="宋体" w:hAnsi="宋体" w:cs="宋体"/>
          <w:color w:val="000000"/>
          <w:sz w:val="24"/>
          <w:szCs w:val="24"/>
          <w:highlight w:val="none"/>
        </w:rPr>
        <w:t>）投标人提交的材料将被保密，但不退还。</w:t>
      </w:r>
    </w:p>
    <w:p>
      <w:pPr>
        <w:spacing w:line="360" w:lineRule="auto"/>
        <w:rPr>
          <w:rFonts w:ascii="宋体" w:cs="宋体"/>
          <w:color w:val="000000"/>
          <w:sz w:val="24"/>
          <w:szCs w:val="24"/>
          <w:highlight w:val="none"/>
        </w:rPr>
      </w:pPr>
      <w:r>
        <w:rPr>
          <w:rFonts w:ascii="宋体" w:hAnsi="宋体" w:cs="宋体"/>
          <w:color w:val="000000"/>
          <w:sz w:val="24"/>
          <w:szCs w:val="24"/>
          <w:highlight w:val="none"/>
        </w:rPr>
        <w:t>6</w:t>
      </w:r>
      <w:r>
        <w:rPr>
          <w:rFonts w:hint="eastAsia" w:ascii="宋体" w:hAnsi="宋体" w:cs="宋体"/>
          <w:color w:val="000000"/>
          <w:sz w:val="24"/>
          <w:szCs w:val="24"/>
          <w:highlight w:val="none"/>
        </w:rPr>
        <w:t>）全部文件应按“投标人须知前附表”规定的份数提交。</w:t>
      </w:r>
    </w:p>
    <w:p>
      <w:pPr>
        <w:spacing w:line="360" w:lineRule="auto"/>
        <w:rPr>
          <w:rFonts w:ascii="宋体" w:cs="宋体"/>
          <w:b/>
          <w:color w:val="000000"/>
          <w:sz w:val="24"/>
          <w:szCs w:val="24"/>
          <w:highlight w:val="none"/>
        </w:rPr>
      </w:pPr>
      <w:r>
        <w:rPr>
          <w:rFonts w:ascii="宋体" w:hAnsi="宋体" w:cs="宋体"/>
          <w:b/>
          <w:color w:val="000000"/>
          <w:sz w:val="24"/>
          <w:szCs w:val="24"/>
          <w:highlight w:val="none"/>
        </w:rPr>
        <w:t>2.7.1-2.7.</w:t>
      </w:r>
      <w:r>
        <w:rPr>
          <w:rFonts w:hint="eastAsia" w:ascii="宋体" w:hAnsi="宋体" w:cs="宋体"/>
          <w:b/>
          <w:color w:val="000000"/>
          <w:sz w:val="24"/>
          <w:szCs w:val="24"/>
          <w:highlight w:val="none"/>
          <w:lang w:val="en-US" w:eastAsia="zh-CN"/>
        </w:rPr>
        <w:t>6</w:t>
      </w:r>
      <w:r>
        <w:rPr>
          <w:rFonts w:hint="eastAsia" w:ascii="宋体" w:hAnsi="宋体" w:cs="宋体"/>
          <w:b/>
          <w:color w:val="000000"/>
          <w:sz w:val="24"/>
          <w:szCs w:val="24"/>
          <w:highlight w:val="none"/>
        </w:rPr>
        <w:t>为附加条件，执行招标文件中评标方法综合打分。</w:t>
      </w:r>
    </w:p>
    <w:p>
      <w:pPr>
        <w:pStyle w:val="6"/>
        <w:rPr>
          <w:rFonts w:ascii="宋体" w:cs="宋体"/>
          <w:sz w:val="24"/>
          <w:szCs w:val="24"/>
          <w:highlight w:val="none"/>
          <w:lang w:eastAsia="zh-CN"/>
        </w:rPr>
      </w:pPr>
      <w:r>
        <w:rPr>
          <w:rFonts w:ascii="宋体" w:cs="宋体"/>
          <w:color w:val="000000"/>
          <w:highlight w:val="none"/>
          <w:lang w:eastAsia="zh-CN"/>
        </w:rPr>
        <w:br w:type="page"/>
      </w:r>
      <w:bookmarkStart w:id="239" w:name="_Toc493422672"/>
      <w:bookmarkStart w:id="240" w:name="_Toc2652"/>
      <w:bookmarkStart w:id="241" w:name="_Toc32738"/>
      <w:bookmarkStart w:id="242" w:name="_Toc44704929"/>
      <w:bookmarkStart w:id="243" w:name="_Toc44705297"/>
      <w:r>
        <w:rPr>
          <w:rFonts w:ascii="宋体" w:hAnsi="宋体" w:cs="宋体"/>
          <w:szCs w:val="24"/>
          <w:highlight w:val="none"/>
          <w:lang w:eastAsia="zh-CN"/>
        </w:rPr>
        <w:t>2.7.1</w:t>
      </w:r>
      <w:bookmarkEnd w:id="239"/>
      <w:r>
        <w:rPr>
          <w:rFonts w:hint="eastAsia" w:ascii="宋体" w:hAnsi="宋体" w:cs="宋体"/>
          <w:szCs w:val="24"/>
          <w:highlight w:val="none"/>
          <w:lang w:eastAsia="zh-CN"/>
        </w:rPr>
        <w:t>近三年类似项目业绩表</w:t>
      </w:r>
      <w:bookmarkEnd w:id="240"/>
      <w:bookmarkEnd w:id="241"/>
      <w:bookmarkEnd w:id="242"/>
      <w:bookmarkEnd w:id="243"/>
    </w:p>
    <w:p>
      <w:pPr>
        <w:spacing w:line="360" w:lineRule="auto"/>
        <w:rPr>
          <w:rFonts w:ascii="宋体" w:cs="宋体"/>
          <w:color w:val="000000"/>
          <w:szCs w:val="21"/>
          <w:highlight w:val="none"/>
        </w:rPr>
      </w:pPr>
    </w:p>
    <w:p>
      <w:pPr>
        <w:spacing w:line="360" w:lineRule="auto"/>
        <w:jc w:val="center"/>
        <w:rPr>
          <w:rFonts w:ascii="宋体" w:cs="宋体"/>
          <w:b/>
          <w:color w:val="000000"/>
          <w:sz w:val="24"/>
          <w:szCs w:val="24"/>
          <w:highlight w:val="none"/>
        </w:rPr>
      </w:pPr>
      <w:r>
        <w:rPr>
          <w:rFonts w:hint="eastAsia" w:ascii="宋体" w:hAnsi="宋体" w:cs="宋体"/>
          <w:b/>
          <w:color w:val="000000"/>
          <w:sz w:val="24"/>
          <w:szCs w:val="24"/>
          <w:highlight w:val="none"/>
        </w:rPr>
        <w:t>近三年类似项目业绩表（</w:t>
      </w:r>
      <w:r>
        <w:rPr>
          <w:rFonts w:ascii="宋体" w:hAnsi="宋体" w:cs="宋体"/>
          <w:b/>
          <w:color w:val="000000"/>
          <w:sz w:val="24"/>
          <w:szCs w:val="24"/>
          <w:highlight w:val="none"/>
        </w:rPr>
        <w:t>20</w:t>
      </w:r>
      <w:r>
        <w:rPr>
          <w:rFonts w:hint="eastAsia" w:ascii="宋体" w:hAnsi="宋体" w:cs="宋体"/>
          <w:b/>
          <w:color w:val="000000"/>
          <w:sz w:val="24"/>
          <w:szCs w:val="24"/>
          <w:highlight w:val="none"/>
          <w:lang w:val="en-US" w:eastAsia="zh-CN"/>
        </w:rPr>
        <w:t>21</w:t>
      </w:r>
      <w:r>
        <w:rPr>
          <w:rFonts w:hint="eastAsia" w:ascii="宋体" w:hAnsi="宋体" w:cs="宋体"/>
          <w:b/>
          <w:color w:val="000000"/>
          <w:sz w:val="24"/>
          <w:szCs w:val="24"/>
          <w:highlight w:val="none"/>
        </w:rPr>
        <w:t>年至今）</w:t>
      </w:r>
    </w:p>
    <w:p>
      <w:pPr>
        <w:spacing w:line="360" w:lineRule="auto"/>
        <w:jc w:val="center"/>
        <w:rPr>
          <w:rFonts w:ascii="宋体" w:cs="宋体"/>
          <w:b/>
          <w:color w:val="000000"/>
          <w:sz w:val="24"/>
          <w:szCs w:val="24"/>
          <w:highlight w:val="none"/>
        </w:rPr>
      </w:pPr>
    </w:p>
    <w:tbl>
      <w:tblPr>
        <w:tblStyle w:val="53"/>
        <w:tblW w:w="869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389"/>
        <w:gridCol w:w="2391"/>
        <w:gridCol w:w="1524"/>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870" w:type="dxa"/>
            <w:vAlign w:val="center"/>
          </w:tcPr>
          <w:p>
            <w:pP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序号</w:t>
            </w:r>
          </w:p>
        </w:tc>
        <w:tc>
          <w:tcPr>
            <w:tcW w:w="2389" w:type="dxa"/>
            <w:vAlign w:val="center"/>
          </w:tcPr>
          <w:p>
            <w:pP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业主名称</w:t>
            </w:r>
          </w:p>
        </w:tc>
        <w:tc>
          <w:tcPr>
            <w:tcW w:w="2391" w:type="dxa"/>
            <w:vAlign w:val="center"/>
          </w:tcPr>
          <w:p>
            <w:pP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项目名称</w:t>
            </w:r>
          </w:p>
        </w:tc>
        <w:tc>
          <w:tcPr>
            <w:tcW w:w="1524" w:type="dxa"/>
            <w:vAlign w:val="center"/>
          </w:tcPr>
          <w:p>
            <w:pP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联系人</w:t>
            </w:r>
          </w:p>
        </w:tc>
        <w:tc>
          <w:tcPr>
            <w:tcW w:w="1524" w:type="dxa"/>
            <w:vAlign w:val="center"/>
          </w:tcPr>
          <w:p>
            <w:pP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70" w:type="dxa"/>
          </w:tcPr>
          <w:p>
            <w:pPr>
              <w:spacing w:line="360" w:lineRule="auto"/>
              <w:jc w:val="center"/>
              <w:rPr>
                <w:rFonts w:ascii="宋体" w:cs="宋体"/>
                <w:color w:val="000000"/>
                <w:sz w:val="24"/>
                <w:szCs w:val="24"/>
                <w:highlight w:val="none"/>
              </w:rPr>
            </w:pPr>
          </w:p>
        </w:tc>
        <w:tc>
          <w:tcPr>
            <w:tcW w:w="2389" w:type="dxa"/>
          </w:tcPr>
          <w:p>
            <w:pPr>
              <w:spacing w:line="360" w:lineRule="auto"/>
              <w:jc w:val="center"/>
              <w:rPr>
                <w:rFonts w:ascii="宋体" w:cs="宋体"/>
                <w:color w:val="000000"/>
                <w:sz w:val="24"/>
                <w:szCs w:val="24"/>
                <w:highlight w:val="none"/>
              </w:rPr>
            </w:pPr>
          </w:p>
        </w:tc>
        <w:tc>
          <w:tcPr>
            <w:tcW w:w="2391" w:type="dxa"/>
          </w:tcPr>
          <w:p>
            <w:pPr>
              <w:spacing w:line="360" w:lineRule="auto"/>
              <w:jc w:val="center"/>
              <w:rPr>
                <w:rFonts w:ascii="宋体" w:cs="宋体"/>
                <w:color w:val="000000"/>
                <w:sz w:val="24"/>
                <w:szCs w:val="24"/>
                <w:highlight w:val="none"/>
              </w:rPr>
            </w:pPr>
          </w:p>
        </w:tc>
        <w:tc>
          <w:tcPr>
            <w:tcW w:w="1524" w:type="dxa"/>
          </w:tcPr>
          <w:p>
            <w:pPr>
              <w:spacing w:line="360" w:lineRule="auto"/>
              <w:jc w:val="center"/>
              <w:rPr>
                <w:rFonts w:ascii="宋体" w:cs="宋体"/>
                <w:color w:val="000000"/>
                <w:sz w:val="24"/>
                <w:szCs w:val="24"/>
                <w:highlight w:val="none"/>
              </w:rPr>
            </w:pPr>
          </w:p>
        </w:tc>
        <w:tc>
          <w:tcPr>
            <w:tcW w:w="1524" w:type="dxa"/>
          </w:tcPr>
          <w:p>
            <w:pPr>
              <w:spacing w:line="360" w:lineRule="auto"/>
              <w:jc w:val="center"/>
              <w:rPr>
                <w:rFonts w:asci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70" w:type="dxa"/>
          </w:tcPr>
          <w:p>
            <w:pPr>
              <w:spacing w:line="360" w:lineRule="auto"/>
              <w:jc w:val="center"/>
              <w:rPr>
                <w:rFonts w:ascii="宋体" w:cs="宋体"/>
                <w:color w:val="000000"/>
                <w:sz w:val="24"/>
                <w:szCs w:val="24"/>
                <w:highlight w:val="none"/>
              </w:rPr>
            </w:pPr>
          </w:p>
        </w:tc>
        <w:tc>
          <w:tcPr>
            <w:tcW w:w="2389" w:type="dxa"/>
          </w:tcPr>
          <w:p>
            <w:pPr>
              <w:spacing w:line="360" w:lineRule="auto"/>
              <w:jc w:val="center"/>
              <w:rPr>
                <w:rFonts w:ascii="宋体" w:cs="宋体"/>
                <w:color w:val="000000"/>
                <w:sz w:val="24"/>
                <w:szCs w:val="24"/>
                <w:highlight w:val="none"/>
              </w:rPr>
            </w:pPr>
          </w:p>
        </w:tc>
        <w:tc>
          <w:tcPr>
            <w:tcW w:w="2391" w:type="dxa"/>
          </w:tcPr>
          <w:p>
            <w:pPr>
              <w:spacing w:line="360" w:lineRule="auto"/>
              <w:jc w:val="center"/>
              <w:rPr>
                <w:rFonts w:ascii="宋体" w:cs="宋体"/>
                <w:color w:val="000000"/>
                <w:sz w:val="24"/>
                <w:szCs w:val="24"/>
                <w:highlight w:val="none"/>
              </w:rPr>
            </w:pPr>
          </w:p>
        </w:tc>
        <w:tc>
          <w:tcPr>
            <w:tcW w:w="1524" w:type="dxa"/>
          </w:tcPr>
          <w:p>
            <w:pPr>
              <w:spacing w:line="360" w:lineRule="auto"/>
              <w:jc w:val="center"/>
              <w:rPr>
                <w:rFonts w:ascii="宋体" w:cs="宋体"/>
                <w:color w:val="000000"/>
                <w:sz w:val="24"/>
                <w:szCs w:val="24"/>
                <w:highlight w:val="none"/>
              </w:rPr>
            </w:pPr>
          </w:p>
        </w:tc>
        <w:tc>
          <w:tcPr>
            <w:tcW w:w="1524" w:type="dxa"/>
          </w:tcPr>
          <w:p>
            <w:pPr>
              <w:spacing w:line="360" w:lineRule="auto"/>
              <w:jc w:val="center"/>
              <w:rPr>
                <w:rFonts w:asci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70" w:type="dxa"/>
          </w:tcPr>
          <w:p>
            <w:pPr>
              <w:spacing w:line="360" w:lineRule="auto"/>
              <w:jc w:val="center"/>
              <w:rPr>
                <w:rFonts w:ascii="宋体" w:cs="宋体"/>
                <w:color w:val="000000"/>
                <w:sz w:val="24"/>
                <w:szCs w:val="24"/>
                <w:highlight w:val="none"/>
              </w:rPr>
            </w:pPr>
          </w:p>
        </w:tc>
        <w:tc>
          <w:tcPr>
            <w:tcW w:w="2389" w:type="dxa"/>
          </w:tcPr>
          <w:p>
            <w:pPr>
              <w:spacing w:line="360" w:lineRule="auto"/>
              <w:jc w:val="center"/>
              <w:rPr>
                <w:rFonts w:ascii="宋体" w:cs="宋体"/>
                <w:color w:val="000000"/>
                <w:sz w:val="24"/>
                <w:szCs w:val="24"/>
                <w:highlight w:val="none"/>
              </w:rPr>
            </w:pPr>
          </w:p>
        </w:tc>
        <w:tc>
          <w:tcPr>
            <w:tcW w:w="2391" w:type="dxa"/>
          </w:tcPr>
          <w:p>
            <w:pPr>
              <w:spacing w:line="360" w:lineRule="auto"/>
              <w:jc w:val="center"/>
              <w:rPr>
                <w:rFonts w:ascii="宋体" w:cs="宋体"/>
                <w:color w:val="000000"/>
                <w:sz w:val="24"/>
                <w:szCs w:val="24"/>
                <w:highlight w:val="none"/>
              </w:rPr>
            </w:pPr>
          </w:p>
        </w:tc>
        <w:tc>
          <w:tcPr>
            <w:tcW w:w="1524" w:type="dxa"/>
          </w:tcPr>
          <w:p>
            <w:pPr>
              <w:spacing w:line="360" w:lineRule="auto"/>
              <w:jc w:val="center"/>
              <w:rPr>
                <w:rFonts w:ascii="宋体" w:cs="宋体"/>
                <w:color w:val="000000"/>
                <w:sz w:val="24"/>
                <w:szCs w:val="24"/>
                <w:highlight w:val="none"/>
              </w:rPr>
            </w:pPr>
          </w:p>
        </w:tc>
        <w:tc>
          <w:tcPr>
            <w:tcW w:w="1524" w:type="dxa"/>
          </w:tcPr>
          <w:p>
            <w:pPr>
              <w:spacing w:line="360" w:lineRule="auto"/>
              <w:jc w:val="center"/>
              <w:rPr>
                <w:rFonts w:asci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70" w:type="dxa"/>
          </w:tcPr>
          <w:p>
            <w:pPr>
              <w:spacing w:line="360" w:lineRule="auto"/>
              <w:jc w:val="center"/>
              <w:rPr>
                <w:rFonts w:ascii="宋体" w:cs="宋体"/>
                <w:color w:val="000000"/>
                <w:sz w:val="24"/>
                <w:szCs w:val="24"/>
                <w:highlight w:val="none"/>
              </w:rPr>
            </w:pPr>
          </w:p>
        </w:tc>
        <w:tc>
          <w:tcPr>
            <w:tcW w:w="2389" w:type="dxa"/>
          </w:tcPr>
          <w:p>
            <w:pPr>
              <w:spacing w:line="360" w:lineRule="auto"/>
              <w:jc w:val="center"/>
              <w:rPr>
                <w:rFonts w:ascii="宋体" w:cs="宋体"/>
                <w:color w:val="000000"/>
                <w:sz w:val="24"/>
                <w:szCs w:val="24"/>
                <w:highlight w:val="none"/>
              </w:rPr>
            </w:pPr>
          </w:p>
        </w:tc>
        <w:tc>
          <w:tcPr>
            <w:tcW w:w="2391" w:type="dxa"/>
          </w:tcPr>
          <w:p>
            <w:pPr>
              <w:spacing w:line="360" w:lineRule="auto"/>
              <w:jc w:val="center"/>
              <w:rPr>
                <w:rFonts w:ascii="宋体" w:cs="宋体"/>
                <w:color w:val="000000"/>
                <w:sz w:val="24"/>
                <w:szCs w:val="24"/>
                <w:highlight w:val="none"/>
              </w:rPr>
            </w:pPr>
          </w:p>
        </w:tc>
        <w:tc>
          <w:tcPr>
            <w:tcW w:w="1524" w:type="dxa"/>
          </w:tcPr>
          <w:p>
            <w:pPr>
              <w:spacing w:line="360" w:lineRule="auto"/>
              <w:jc w:val="center"/>
              <w:rPr>
                <w:rFonts w:ascii="宋体" w:cs="宋体"/>
                <w:color w:val="000000"/>
                <w:sz w:val="24"/>
                <w:szCs w:val="24"/>
                <w:highlight w:val="none"/>
              </w:rPr>
            </w:pPr>
          </w:p>
        </w:tc>
        <w:tc>
          <w:tcPr>
            <w:tcW w:w="1524" w:type="dxa"/>
          </w:tcPr>
          <w:p>
            <w:pPr>
              <w:spacing w:line="360" w:lineRule="auto"/>
              <w:jc w:val="center"/>
              <w:rPr>
                <w:rFonts w:asci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70" w:type="dxa"/>
          </w:tcPr>
          <w:p>
            <w:pPr>
              <w:spacing w:line="360" w:lineRule="auto"/>
              <w:jc w:val="center"/>
              <w:rPr>
                <w:rFonts w:ascii="宋体" w:cs="宋体"/>
                <w:color w:val="000000"/>
                <w:sz w:val="24"/>
                <w:szCs w:val="24"/>
                <w:highlight w:val="none"/>
              </w:rPr>
            </w:pPr>
          </w:p>
        </w:tc>
        <w:tc>
          <w:tcPr>
            <w:tcW w:w="2389" w:type="dxa"/>
          </w:tcPr>
          <w:p>
            <w:pPr>
              <w:spacing w:line="360" w:lineRule="auto"/>
              <w:jc w:val="center"/>
              <w:rPr>
                <w:rFonts w:ascii="宋体" w:cs="宋体"/>
                <w:color w:val="000000"/>
                <w:sz w:val="24"/>
                <w:szCs w:val="24"/>
                <w:highlight w:val="none"/>
              </w:rPr>
            </w:pPr>
          </w:p>
        </w:tc>
        <w:tc>
          <w:tcPr>
            <w:tcW w:w="2391" w:type="dxa"/>
          </w:tcPr>
          <w:p>
            <w:pPr>
              <w:spacing w:line="360" w:lineRule="auto"/>
              <w:jc w:val="center"/>
              <w:rPr>
                <w:rFonts w:ascii="宋体" w:cs="宋体"/>
                <w:color w:val="000000"/>
                <w:sz w:val="24"/>
                <w:szCs w:val="24"/>
                <w:highlight w:val="none"/>
              </w:rPr>
            </w:pPr>
          </w:p>
        </w:tc>
        <w:tc>
          <w:tcPr>
            <w:tcW w:w="1524" w:type="dxa"/>
          </w:tcPr>
          <w:p>
            <w:pPr>
              <w:spacing w:line="360" w:lineRule="auto"/>
              <w:jc w:val="center"/>
              <w:rPr>
                <w:rFonts w:ascii="宋体" w:cs="宋体"/>
                <w:color w:val="000000"/>
                <w:sz w:val="24"/>
                <w:szCs w:val="24"/>
                <w:highlight w:val="none"/>
              </w:rPr>
            </w:pPr>
          </w:p>
        </w:tc>
        <w:tc>
          <w:tcPr>
            <w:tcW w:w="1524" w:type="dxa"/>
          </w:tcPr>
          <w:p>
            <w:pPr>
              <w:spacing w:line="360" w:lineRule="auto"/>
              <w:jc w:val="center"/>
              <w:rPr>
                <w:rFonts w:ascii="宋体" w:cs="宋体"/>
                <w:color w:val="000000"/>
                <w:sz w:val="24"/>
                <w:szCs w:val="24"/>
                <w:highlight w:val="none"/>
              </w:rPr>
            </w:pPr>
          </w:p>
        </w:tc>
      </w:tr>
    </w:tbl>
    <w:p>
      <w:pPr>
        <w:spacing w:line="360" w:lineRule="auto"/>
        <w:rPr>
          <w:rFonts w:ascii="宋体" w:cs="宋体"/>
          <w:color w:val="000000"/>
          <w:sz w:val="24"/>
          <w:szCs w:val="24"/>
          <w:highlight w:val="none"/>
        </w:rPr>
      </w:pP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注：</w:t>
      </w:r>
      <w:r>
        <w:rPr>
          <w:rFonts w:ascii="宋体" w:hAnsi="宋体" w:cs="宋体"/>
          <w:color w:val="000000"/>
          <w:sz w:val="24"/>
          <w:szCs w:val="24"/>
          <w:highlight w:val="none"/>
        </w:rPr>
        <w:t>1</w:t>
      </w:r>
      <w:r>
        <w:rPr>
          <w:rFonts w:hint="eastAsia" w:ascii="宋体" w:hAnsi="宋体" w:cs="宋体"/>
          <w:color w:val="000000"/>
          <w:sz w:val="24"/>
          <w:szCs w:val="24"/>
          <w:highlight w:val="none"/>
        </w:rPr>
        <w:t>、项目业绩证明以加盖投标人公章的合同复印件或中标</w:t>
      </w:r>
      <w:r>
        <w:rPr>
          <w:rFonts w:ascii="宋体" w:hAnsi="宋体" w:cs="宋体"/>
          <w:color w:val="000000"/>
          <w:sz w:val="24"/>
          <w:szCs w:val="24"/>
          <w:highlight w:val="none"/>
        </w:rPr>
        <w:t>/</w:t>
      </w:r>
      <w:r>
        <w:rPr>
          <w:rFonts w:hint="eastAsia" w:ascii="宋体" w:hAnsi="宋体" w:cs="宋体"/>
          <w:color w:val="000000"/>
          <w:sz w:val="24"/>
          <w:szCs w:val="24"/>
          <w:highlight w:val="none"/>
        </w:rPr>
        <w:t>成交通知书作为依据。</w:t>
      </w:r>
    </w:p>
    <w:p>
      <w:pPr>
        <w:numPr>
          <w:ilvl w:val="0"/>
          <w:numId w:val="15"/>
        </w:numPr>
        <w:spacing w:line="360" w:lineRule="auto"/>
        <w:rPr>
          <w:rFonts w:ascii="宋体" w:cs="宋体"/>
          <w:color w:val="000000"/>
          <w:sz w:val="24"/>
          <w:highlight w:val="none"/>
        </w:rPr>
      </w:pPr>
      <w:r>
        <w:rPr>
          <w:rFonts w:hint="eastAsia" w:ascii="宋体" w:hAnsi="宋体" w:cs="宋体"/>
          <w:color w:val="000000"/>
          <w:sz w:val="24"/>
          <w:highlight w:val="none"/>
        </w:rPr>
        <w:t>如投标人成立日期不足三年，请提供自成立之日至投标之日的同类项目案例；</w:t>
      </w:r>
    </w:p>
    <w:p>
      <w:pPr>
        <w:spacing w:line="360" w:lineRule="auto"/>
        <w:rPr>
          <w:rFonts w:ascii="宋体" w:cs="宋体"/>
          <w:color w:val="000000"/>
          <w:sz w:val="24"/>
          <w:szCs w:val="24"/>
          <w:highlight w:val="none"/>
        </w:rPr>
      </w:pPr>
      <w:r>
        <w:rPr>
          <w:rFonts w:ascii="宋体" w:hAnsi="宋体" w:cs="宋体"/>
          <w:color w:val="000000"/>
          <w:sz w:val="24"/>
          <w:szCs w:val="24"/>
          <w:highlight w:val="none"/>
        </w:rPr>
        <w:t>3</w:t>
      </w:r>
      <w:r>
        <w:rPr>
          <w:rFonts w:hint="eastAsia" w:ascii="宋体" w:hAnsi="宋体" w:cs="宋体"/>
          <w:color w:val="000000"/>
          <w:sz w:val="24"/>
          <w:szCs w:val="24"/>
          <w:highlight w:val="none"/>
        </w:rPr>
        <w:t>、所有复印件应清晰，并由投标人单位加盖公章；</w:t>
      </w:r>
    </w:p>
    <w:p>
      <w:pPr>
        <w:spacing w:line="360" w:lineRule="auto"/>
        <w:rPr>
          <w:rFonts w:ascii="宋体" w:cs="宋体"/>
          <w:color w:val="000000"/>
          <w:sz w:val="24"/>
          <w:szCs w:val="24"/>
          <w:highlight w:val="none"/>
        </w:rPr>
      </w:pPr>
      <w:r>
        <w:rPr>
          <w:rFonts w:ascii="宋体" w:hAnsi="宋体" w:cs="宋体"/>
          <w:color w:val="000000"/>
          <w:sz w:val="24"/>
          <w:szCs w:val="24"/>
          <w:highlight w:val="none"/>
        </w:rPr>
        <w:t>4</w:t>
      </w:r>
      <w:r>
        <w:rPr>
          <w:rFonts w:hint="eastAsia" w:ascii="宋体" w:hAnsi="宋体" w:cs="宋体"/>
          <w:color w:val="000000"/>
          <w:sz w:val="24"/>
          <w:szCs w:val="24"/>
          <w:highlight w:val="none"/>
        </w:rPr>
        <w:t>、不提供复印件的案例，评分阶段不予以考虑。</w:t>
      </w:r>
    </w:p>
    <w:p>
      <w:pPr>
        <w:spacing w:line="360" w:lineRule="auto"/>
        <w:rPr>
          <w:rFonts w:ascii="宋体" w:cs="宋体"/>
          <w:color w:val="000000"/>
          <w:sz w:val="24"/>
          <w:szCs w:val="24"/>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pPr>
        <w:pStyle w:val="20"/>
        <w:rPr>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投标人名称（加盖单位公章</w:t>
      </w:r>
      <w:r>
        <w:rPr>
          <w:rFonts w:hint="eastAsia" w:ascii="宋体" w:hAnsi="宋体" w:cs="宋体"/>
          <w:sz w:val="24"/>
          <w:szCs w:val="24"/>
          <w:highlight w:val="none"/>
          <w:lang w:val="en-US" w:eastAsia="zh-CN"/>
        </w:rPr>
        <w:t>或电子章</w:t>
      </w:r>
      <w:r>
        <w:rPr>
          <w:rFonts w:hint="eastAsia" w:ascii="宋体" w:hAnsi="宋体" w:cs="宋体"/>
          <w:sz w:val="24"/>
          <w:szCs w:val="24"/>
          <w:highlight w:val="none"/>
        </w:rPr>
        <w:t>）：</w:t>
      </w:r>
    </w:p>
    <w:p>
      <w:pPr>
        <w:pStyle w:val="20"/>
        <w:rPr>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日期：</w:t>
      </w:r>
    </w:p>
    <w:p>
      <w:pPr>
        <w:pStyle w:val="6"/>
        <w:rPr>
          <w:rFonts w:ascii="宋体" w:cs="宋体"/>
          <w:b w:val="0"/>
          <w:color w:val="000000"/>
          <w:sz w:val="24"/>
          <w:szCs w:val="24"/>
          <w:highlight w:val="none"/>
          <w:u w:val="single"/>
          <w:lang w:eastAsia="zh-CN"/>
        </w:rPr>
      </w:pPr>
      <w:r>
        <w:rPr>
          <w:rFonts w:ascii="宋体" w:cs="宋体"/>
          <w:color w:val="000000"/>
          <w:sz w:val="24"/>
          <w:szCs w:val="24"/>
          <w:highlight w:val="none"/>
          <w:u w:val="single"/>
          <w:lang w:eastAsia="zh-CN"/>
        </w:rPr>
        <w:br w:type="page"/>
      </w:r>
      <w:bookmarkStart w:id="244" w:name="_Toc493422675"/>
      <w:bookmarkStart w:id="245" w:name="_Toc25340"/>
      <w:bookmarkStart w:id="246" w:name="_Toc44704930"/>
      <w:bookmarkStart w:id="247" w:name="_Toc4234"/>
      <w:bookmarkStart w:id="248" w:name="_Toc44705298"/>
      <w:r>
        <w:rPr>
          <w:rFonts w:ascii="宋体" w:hAnsi="宋体" w:cs="宋体"/>
          <w:szCs w:val="24"/>
          <w:highlight w:val="none"/>
          <w:lang w:eastAsia="zh-CN"/>
        </w:rPr>
        <w:t>2.7.</w:t>
      </w:r>
      <w:bookmarkEnd w:id="244"/>
      <w:r>
        <w:rPr>
          <w:rFonts w:ascii="宋体" w:hAnsi="宋体" w:cs="宋体"/>
          <w:szCs w:val="24"/>
          <w:highlight w:val="none"/>
          <w:lang w:eastAsia="zh-CN"/>
        </w:rPr>
        <w:t>2</w:t>
      </w:r>
      <w:r>
        <w:rPr>
          <w:rFonts w:hint="eastAsia" w:ascii="宋体" w:hAnsi="宋体" w:cs="宋体"/>
          <w:szCs w:val="24"/>
          <w:highlight w:val="none"/>
          <w:lang w:eastAsia="zh-CN"/>
        </w:rPr>
        <w:t>项目人员配备表</w:t>
      </w:r>
      <w:r>
        <w:rPr>
          <w:rFonts w:hint="eastAsia" w:ascii="宋体" w:hAnsi="宋体" w:cs="宋体"/>
          <w:b w:val="0"/>
          <w:sz w:val="24"/>
          <w:szCs w:val="24"/>
          <w:highlight w:val="none"/>
          <w:lang w:eastAsia="zh-CN"/>
        </w:rPr>
        <w:t>（后附人员相关身份证明及职称证明等相关证书并加盖公章）</w:t>
      </w:r>
      <w:bookmarkEnd w:id="245"/>
      <w:bookmarkEnd w:id="246"/>
      <w:bookmarkEnd w:id="247"/>
      <w:bookmarkEnd w:id="248"/>
    </w:p>
    <w:p>
      <w:pPr>
        <w:spacing w:line="360" w:lineRule="auto"/>
        <w:rPr>
          <w:rFonts w:ascii="宋体" w:cs="宋体"/>
          <w:highlight w:val="none"/>
        </w:rPr>
      </w:pPr>
      <w:bookmarkStart w:id="249" w:name="_Toc508200460"/>
      <w:bookmarkStart w:id="250" w:name="_Toc521670795"/>
    </w:p>
    <w:p>
      <w:pPr>
        <w:spacing w:line="360" w:lineRule="auto"/>
        <w:rPr>
          <w:rFonts w:ascii="宋体" w:cs="宋体"/>
          <w:sz w:val="24"/>
          <w:szCs w:val="24"/>
          <w:highlight w:val="none"/>
        </w:rPr>
      </w:pPr>
      <w:bookmarkStart w:id="251" w:name="_Toc2512014"/>
      <w:bookmarkStart w:id="252" w:name="_Toc2355272"/>
      <w:r>
        <w:rPr>
          <w:rFonts w:hint="eastAsia" w:ascii="宋体" w:hAnsi="宋体" w:cs="宋体"/>
          <w:sz w:val="24"/>
          <w:szCs w:val="24"/>
          <w:highlight w:val="none"/>
        </w:rPr>
        <w:t>项目人员配备表格式</w:t>
      </w:r>
      <w:bookmarkEnd w:id="249"/>
      <w:bookmarkEnd w:id="250"/>
      <w:bookmarkEnd w:id="251"/>
      <w:bookmarkEnd w:id="252"/>
    </w:p>
    <w:p>
      <w:pPr>
        <w:spacing w:line="360" w:lineRule="auto"/>
        <w:rPr>
          <w:rFonts w:ascii="宋体" w:cs="宋体"/>
          <w:sz w:val="24"/>
          <w:szCs w:val="24"/>
          <w:highlight w:val="none"/>
        </w:rPr>
      </w:pPr>
      <w:r>
        <w:rPr>
          <w:rFonts w:hint="eastAsia" w:ascii="宋体" w:hAnsi="宋体" w:cs="宋体"/>
          <w:sz w:val="24"/>
          <w:szCs w:val="24"/>
          <w:highlight w:val="none"/>
        </w:rPr>
        <w:t>项目名称：</w:t>
      </w:r>
    </w:p>
    <w:p>
      <w:pPr>
        <w:spacing w:line="360" w:lineRule="auto"/>
        <w:rPr>
          <w:rFonts w:ascii="宋体" w:cs="宋体"/>
          <w:sz w:val="24"/>
          <w:szCs w:val="24"/>
          <w:highlight w:val="none"/>
        </w:rPr>
      </w:pPr>
      <w:r>
        <w:rPr>
          <w:rFonts w:hint="eastAsia" w:ascii="宋体" w:hAnsi="宋体" w:cs="宋体"/>
          <w:sz w:val="24"/>
          <w:szCs w:val="24"/>
          <w:highlight w:val="none"/>
        </w:rPr>
        <w:t>项目编号：</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533"/>
        <w:gridCol w:w="1872"/>
        <w:gridCol w:w="1872"/>
        <w:gridCol w:w="1872"/>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47" w:type="dxa"/>
            <w:vAlign w:val="center"/>
          </w:tcPr>
          <w:p>
            <w:pPr>
              <w:spacing w:line="360" w:lineRule="auto"/>
              <w:rPr>
                <w:rFonts w:ascii="宋体" w:cs="宋体"/>
                <w:sz w:val="24"/>
                <w:szCs w:val="24"/>
                <w:highlight w:val="none"/>
              </w:rPr>
            </w:pPr>
            <w:r>
              <w:rPr>
                <w:rFonts w:hint="eastAsia" w:ascii="宋体" w:hAnsi="宋体" w:cs="宋体"/>
                <w:sz w:val="24"/>
                <w:szCs w:val="24"/>
                <w:highlight w:val="none"/>
              </w:rPr>
              <w:t>序号</w:t>
            </w:r>
          </w:p>
        </w:tc>
        <w:tc>
          <w:tcPr>
            <w:tcW w:w="1533" w:type="dxa"/>
            <w:vAlign w:val="center"/>
          </w:tcPr>
          <w:p>
            <w:pPr>
              <w:spacing w:line="360" w:lineRule="auto"/>
              <w:rPr>
                <w:rFonts w:ascii="宋体" w:cs="宋体"/>
                <w:sz w:val="24"/>
                <w:szCs w:val="24"/>
                <w:highlight w:val="none"/>
              </w:rPr>
            </w:pPr>
            <w:r>
              <w:rPr>
                <w:rFonts w:hint="eastAsia" w:ascii="宋体" w:hAnsi="宋体" w:cs="宋体"/>
                <w:sz w:val="24"/>
                <w:szCs w:val="24"/>
                <w:highlight w:val="none"/>
              </w:rPr>
              <w:t>姓名</w:t>
            </w:r>
          </w:p>
        </w:tc>
        <w:tc>
          <w:tcPr>
            <w:tcW w:w="1872" w:type="dxa"/>
            <w:vAlign w:val="center"/>
          </w:tcPr>
          <w:p>
            <w:pPr>
              <w:spacing w:line="360" w:lineRule="auto"/>
              <w:rPr>
                <w:rFonts w:ascii="宋体" w:cs="宋体"/>
                <w:sz w:val="24"/>
                <w:szCs w:val="24"/>
                <w:highlight w:val="none"/>
              </w:rPr>
            </w:pPr>
            <w:r>
              <w:rPr>
                <w:rFonts w:hint="eastAsia" w:ascii="宋体" w:hAnsi="宋体" w:cs="宋体"/>
                <w:sz w:val="24"/>
                <w:szCs w:val="24"/>
                <w:highlight w:val="none"/>
              </w:rPr>
              <w:t>职务</w:t>
            </w:r>
          </w:p>
        </w:tc>
        <w:tc>
          <w:tcPr>
            <w:tcW w:w="1872" w:type="dxa"/>
            <w:vAlign w:val="center"/>
          </w:tcPr>
          <w:p>
            <w:pPr>
              <w:spacing w:line="360" w:lineRule="auto"/>
              <w:rPr>
                <w:rFonts w:ascii="宋体" w:cs="宋体"/>
                <w:sz w:val="24"/>
                <w:szCs w:val="24"/>
                <w:highlight w:val="none"/>
              </w:rPr>
            </w:pPr>
            <w:r>
              <w:rPr>
                <w:rFonts w:hint="eastAsia" w:ascii="宋体" w:hAnsi="宋体" w:cs="宋体"/>
                <w:sz w:val="24"/>
                <w:szCs w:val="24"/>
                <w:highlight w:val="none"/>
              </w:rPr>
              <w:t>职称</w:t>
            </w:r>
          </w:p>
        </w:tc>
        <w:tc>
          <w:tcPr>
            <w:tcW w:w="1872" w:type="dxa"/>
            <w:vAlign w:val="center"/>
          </w:tcPr>
          <w:p>
            <w:pPr>
              <w:spacing w:line="360" w:lineRule="auto"/>
              <w:rPr>
                <w:rFonts w:ascii="宋体" w:cs="宋体"/>
                <w:sz w:val="24"/>
                <w:szCs w:val="24"/>
                <w:highlight w:val="none"/>
              </w:rPr>
            </w:pPr>
            <w:r>
              <w:rPr>
                <w:rFonts w:hint="eastAsia" w:ascii="宋体" w:hAnsi="宋体" w:cs="宋体"/>
                <w:sz w:val="24"/>
                <w:szCs w:val="24"/>
                <w:highlight w:val="none"/>
              </w:rPr>
              <w:t>行业经验</w:t>
            </w:r>
          </w:p>
        </w:tc>
        <w:tc>
          <w:tcPr>
            <w:tcW w:w="1333" w:type="dxa"/>
            <w:vAlign w:val="center"/>
          </w:tcPr>
          <w:p>
            <w:pPr>
              <w:spacing w:line="360" w:lineRule="auto"/>
              <w:rPr>
                <w:rFonts w:asci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47" w:type="dxa"/>
            <w:vAlign w:val="center"/>
          </w:tcPr>
          <w:p>
            <w:pPr>
              <w:spacing w:line="360" w:lineRule="auto"/>
              <w:rPr>
                <w:rFonts w:ascii="宋体" w:cs="宋体"/>
                <w:sz w:val="24"/>
                <w:szCs w:val="24"/>
                <w:highlight w:val="none"/>
              </w:rPr>
            </w:pPr>
            <w:r>
              <w:rPr>
                <w:rFonts w:ascii="宋体" w:hAnsi="宋体" w:cs="宋体"/>
                <w:sz w:val="24"/>
                <w:szCs w:val="24"/>
                <w:highlight w:val="none"/>
              </w:rPr>
              <w:t>1.</w:t>
            </w:r>
          </w:p>
        </w:tc>
        <w:tc>
          <w:tcPr>
            <w:tcW w:w="1533"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333" w:type="dxa"/>
            <w:vAlign w:val="center"/>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7" w:type="dxa"/>
            <w:vAlign w:val="center"/>
          </w:tcPr>
          <w:p>
            <w:pPr>
              <w:spacing w:line="360" w:lineRule="auto"/>
              <w:rPr>
                <w:rFonts w:ascii="宋体" w:cs="宋体"/>
                <w:sz w:val="24"/>
                <w:szCs w:val="24"/>
                <w:highlight w:val="none"/>
              </w:rPr>
            </w:pPr>
            <w:r>
              <w:rPr>
                <w:rFonts w:ascii="宋体" w:hAnsi="宋体" w:cs="宋体"/>
                <w:sz w:val="24"/>
                <w:szCs w:val="24"/>
                <w:highlight w:val="none"/>
              </w:rPr>
              <w:t>2.</w:t>
            </w:r>
          </w:p>
        </w:tc>
        <w:tc>
          <w:tcPr>
            <w:tcW w:w="1533"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333" w:type="dxa"/>
            <w:vAlign w:val="center"/>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7" w:type="dxa"/>
            <w:vAlign w:val="center"/>
          </w:tcPr>
          <w:p>
            <w:pPr>
              <w:spacing w:line="360" w:lineRule="auto"/>
              <w:rPr>
                <w:rFonts w:ascii="宋体" w:cs="宋体"/>
                <w:sz w:val="24"/>
                <w:szCs w:val="24"/>
                <w:highlight w:val="none"/>
              </w:rPr>
            </w:pPr>
            <w:r>
              <w:rPr>
                <w:rFonts w:ascii="宋体" w:hAnsi="宋体" w:cs="宋体"/>
                <w:sz w:val="24"/>
                <w:szCs w:val="24"/>
                <w:highlight w:val="none"/>
              </w:rPr>
              <w:t>3.</w:t>
            </w:r>
          </w:p>
        </w:tc>
        <w:tc>
          <w:tcPr>
            <w:tcW w:w="1533"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333" w:type="dxa"/>
            <w:vAlign w:val="center"/>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47" w:type="dxa"/>
            <w:vAlign w:val="center"/>
          </w:tcPr>
          <w:p>
            <w:pPr>
              <w:spacing w:line="360" w:lineRule="auto"/>
              <w:rPr>
                <w:rFonts w:ascii="宋体" w:cs="宋体"/>
                <w:sz w:val="24"/>
                <w:szCs w:val="24"/>
                <w:highlight w:val="none"/>
              </w:rPr>
            </w:pPr>
            <w:r>
              <w:rPr>
                <w:rFonts w:ascii="宋体" w:hAnsi="宋体" w:cs="宋体"/>
                <w:sz w:val="24"/>
                <w:szCs w:val="24"/>
                <w:highlight w:val="none"/>
              </w:rPr>
              <w:t>4.</w:t>
            </w:r>
          </w:p>
        </w:tc>
        <w:tc>
          <w:tcPr>
            <w:tcW w:w="1533"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333" w:type="dxa"/>
            <w:vAlign w:val="center"/>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7" w:type="dxa"/>
            <w:vAlign w:val="center"/>
          </w:tcPr>
          <w:p>
            <w:pPr>
              <w:spacing w:line="360" w:lineRule="auto"/>
              <w:rPr>
                <w:rFonts w:ascii="宋体" w:cs="宋体"/>
                <w:sz w:val="24"/>
                <w:szCs w:val="24"/>
                <w:highlight w:val="none"/>
              </w:rPr>
            </w:pPr>
            <w:r>
              <w:rPr>
                <w:rFonts w:ascii="宋体" w:hAnsi="宋体" w:cs="宋体"/>
                <w:sz w:val="24"/>
                <w:szCs w:val="24"/>
                <w:highlight w:val="none"/>
              </w:rPr>
              <w:t>5.</w:t>
            </w:r>
          </w:p>
        </w:tc>
        <w:tc>
          <w:tcPr>
            <w:tcW w:w="1533"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333" w:type="dxa"/>
            <w:vAlign w:val="center"/>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47" w:type="dxa"/>
            <w:vAlign w:val="center"/>
          </w:tcPr>
          <w:p>
            <w:pPr>
              <w:spacing w:line="360" w:lineRule="auto"/>
              <w:rPr>
                <w:rFonts w:ascii="宋体" w:cs="宋体"/>
                <w:sz w:val="24"/>
                <w:szCs w:val="24"/>
                <w:highlight w:val="none"/>
              </w:rPr>
            </w:pPr>
            <w:r>
              <w:rPr>
                <w:rFonts w:ascii="宋体" w:hAnsi="宋体" w:cs="宋体"/>
                <w:sz w:val="24"/>
                <w:szCs w:val="24"/>
                <w:highlight w:val="none"/>
              </w:rPr>
              <w:t>6.</w:t>
            </w:r>
          </w:p>
        </w:tc>
        <w:tc>
          <w:tcPr>
            <w:tcW w:w="1533"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333" w:type="dxa"/>
            <w:vAlign w:val="center"/>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147" w:type="dxa"/>
            <w:vAlign w:val="center"/>
          </w:tcPr>
          <w:p>
            <w:pPr>
              <w:spacing w:line="360" w:lineRule="auto"/>
              <w:rPr>
                <w:rFonts w:ascii="宋体" w:cs="宋体"/>
                <w:sz w:val="24"/>
                <w:szCs w:val="24"/>
                <w:highlight w:val="none"/>
              </w:rPr>
            </w:pPr>
            <w:r>
              <w:rPr>
                <w:rFonts w:ascii="宋体" w:hAnsi="宋体" w:cs="宋体"/>
                <w:sz w:val="24"/>
                <w:szCs w:val="24"/>
                <w:highlight w:val="none"/>
              </w:rPr>
              <w:t>7.</w:t>
            </w:r>
          </w:p>
        </w:tc>
        <w:tc>
          <w:tcPr>
            <w:tcW w:w="1533"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333" w:type="dxa"/>
            <w:vAlign w:val="center"/>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147" w:type="dxa"/>
            <w:vAlign w:val="center"/>
          </w:tcPr>
          <w:p>
            <w:pPr>
              <w:spacing w:line="360" w:lineRule="auto"/>
              <w:rPr>
                <w:rFonts w:ascii="宋体" w:cs="宋体"/>
                <w:sz w:val="24"/>
                <w:szCs w:val="24"/>
                <w:highlight w:val="none"/>
              </w:rPr>
            </w:pPr>
            <w:r>
              <w:rPr>
                <w:rFonts w:ascii="宋体" w:hAnsi="宋体" w:cs="宋体"/>
                <w:sz w:val="24"/>
                <w:szCs w:val="24"/>
                <w:highlight w:val="none"/>
              </w:rPr>
              <w:t>8</w:t>
            </w:r>
          </w:p>
        </w:tc>
        <w:tc>
          <w:tcPr>
            <w:tcW w:w="1533"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333" w:type="dxa"/>
            <w:vAlign w:val="center"/>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147" w:type="dxa"/>
            <w:vAlign w:val="center"/>
          </w:tcPr>
          <w:p>
            <w:pPr>
              <w:spacing w:line="360" w:lineRule="auto"/>
              <w:rPr>
                <w:rFonts w:ascii="宋体" w:cs="宋体"/>
                <w:sz w:val="24"/>
                <w:szCs w:val="24"/>
                <w:highlight w:val="none"/>
              </w:rPr>
            </w:pPr>
            <w:r>
              <w:rPr>
                <w:rFonts w:ascii="宋体" w:hAnsi="宋体" w:cs="宋体"/>
                <w:sz w:val="24"/>
                <w:szCs w:val="24"/>
                <w:highlight w:val="none"/>
              </w:rPr>
              <w:t>9</w:t>
            </w:r>
          </w:p>
        </w:tc>
        <w:tc>
          <w:tcPr>
            <w:tcW w:w="1533"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333" w:type="dxa"/>
            <w:vAlign w:val="center"/>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147" w:type="dxa"/>
            <w:vAlign w:val="center"/>
          </w:tcPr>
          <w:p>
            <w:pPr>
              <w:spacing w:line="360" w:lineRule="auto"/>
              <w:rPr>
                <w:rFonts w:ascii="宋体" w:cs="宋体"/>
                <w:sz w:val="24"/>
                <w:szCs w:val="24"/>
                <w:highlight w:val="none"/>
              </w:rPr>
            </w:pPr>
            <w:r>
              <w:rPr>
                <w:rFonts w:ascii="宋体" w:hAnsi="宋体" w:cs="宋体"/>
                <w:sz w:val="24"/>
                <w:szCs w:val="24"/>
                <w:highlight w:val="none"/>
              </w:rPr>
              <w:t>10</w:t>
            </w:r>
          </w:p>
        </w:tc>
        <w:tc>
          <w:tcPr>
            <w:tcW w:w="1533"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872" w:type="dxa"/>
            <w:vAlign w:val="center"/>
          </w:tcPr>
          <w:p>
            <w:pPr>
              <w:spacing w:line="360" w:lineRule="auto"/>
              <w:rPr>
                <w:rFonts w:ascii="宋体" w:cs="宋体"/>
                <w:sz w:val="24"/>
                <w:szCs w:val="24"/>
                <w:highlight w:val="none"/>
              </w:rPr>
            </w:pPr>
          </w:p>
        </w:tc>
        <w:tc>
          <w:tcPr>
            <w:tcW w:w="1333" w:type="dxa"/>
            <w:vAlign w:val="center"/>
          </w:tcPr>
          <w:p>
            <w:pPr>
              <w:spacing w:line="360" w:lineRule="auto"/>
              <w:rPr>
                <w:rFonts w:ascii="宋体" w:cs="宋体"/>
                <w:sz w:val="24"/>
                <w:szCs w:val="24"/>
                <w:highlight w:val="none"/>
              </w:rPr>
            </w:pPr>
          </w:p>
        </w:tc>
      </w:tr>
    </w:tbl>
    <w:p>
      <w:pPr>
        <w:spacing w:line="360" w:lineRule="auto"/>
        <w:rPr>
          <w:rFonts w:ascii="宋体" w:cs="宋体"/>
          <w:sz w:val="24"/>
          <w:szCs w:val="24"/>
          <w:highlight w:val="none"/>
        </w:rPr>
      </w:pPr>
      <w:r>
        <w:rPr>
          <w:rFonts w:hint="eastAsia" w:ascii="宋体" w:hAnsi="宋体" w:cs="宋体"/>
          <w:sz w:val="24"/>
          <w:szCs w:val="24"/>
          <w:highlight w:val="none"/>
        </w:rPr>
        <w:t>合计共</w:t>
      </w:r>
      <w:r>
        <w:rPr>
          <w:rFonts w:ascii="宋体" w:hAnsi="宋体" w:cs="宋体"/>
          <w:sz w:val="24"/>
          <w:szCs w:val="24"/>
          <w:highlight w:val="none"/>
          <w:u w:val="single"/>
        </w:rPr>
        <w:t xml:space="preserve">    </w:t>
      </w:r>
      <w:r>
        <w:rPr>
          <w:rFonts w:hint="eastAsia" w:ascii="宋体" w:hAnsi="宋体" w:cs="宋体"/>
          <w:sz w:val="24"/>
          <w:szCs w:val="24"/>
          <w:highlight w:val="none"/>
        </w:rPr>
        <w:t>人。</w:t>
      </w:r>
    </w:p>
    <w:p>
      <w:pPr>
        <w:spacing w:line="360" w:lineRule="auto"/>
        <w:rPr>
          <w:rFonts w:ascii="宋体" w:cs="宋体"/>
          <w:sz w:val="24"/>
          <w:szCs w:val="24"/>
          <w:highlight w:val="none"/>
        </w:rPr>
      </w:pPr>
      <w:r>
        <w:rPr>
          <w:rFonts w:hint="eastAsia" w:ascii="宋体" w:hAnsi="宋体" w:cs="宋体"/>
          <w:sz w:val="24"/>
          <w:szCs w:val="24"/>
          <w:highlight w:val="none"/>
        </w:rPr>
        <w:t>注：此表不足可以按照格式扩展。</w:t>
      </w:r>
    </w:p>
    <w:p>
      <w:pPr>
        <w:pStyle w:val="192"/>
        <w:spacing w:line="360" w:lineRule="auto"/>
        <w:rPr>
          <w:sz w:val="24"/>
          <w:szCs w:val="24"/>
          <w:highlight w:val="none"/>
        </w:rPr>
      </w:pPr>
    </w:p>
    <w:p>
      <w:pPr>
        <w:spacing w:line="360" w:lineRule="auto"/>
        <w:rPr>
          <w:rFonts w:ascii="宋体" w:cs="宋体"/>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被授权人签字：</w:t>
      </w:r>
    </w:p>
    <w:p>
      <w:pPr>
        <w:spacing w:line="360" w:lineRule="auto"/>
        <w:jc w:val="right"/>
        <w:rPr>
          <w:rFonts w:ascii="宋体" w:cs="宋体"/>
          <w:sz w:val="24"/>
          <w:szCs w:val="24"/>
          <w:highlight w:val="none"/>
          <w:u w:val="single"/>
        </w:rPr>
      </w:pPr>
    </w:p>
    <w:p>
      <w:pPr>
        <w:spacing w:line="360" w:lineRule="auto"/>
        <w:jc w:val="right"/>
        <w:rPr>
          <w:rFonts w:ascii="宋体" w:cs="宋体"/>
          <w:sz w:val="24"/>
          <w:szCs w:val="24"/>
          <w:highlight w:val="none"/>
        </w:rPr>
      </w:pPr>
      <w:r>
        <w:rPr>
          <w:rFonts w:hint="eastAsia" w:ascii="宋体" w:hAnsi="宋体" w:cs="宋体"/>
          <w:sz w:val="24"/>
          <w:szCs w:val="24"/>
          <w:highlight w:val="none"/>
        </w:rPr>
        <w:t>投标人名称（加盖单位公章</w:t>
      </w:r>
      <w:r>
        <w:rPr>
          <w:rFonts w:hint="eastAsia" w:ascii="宋体" w:hAnsi="宋体" w:cs="宋体"/>
          <w:sz w:val="24"/>
          <w:szCs w:val="24"/>
          <w:highlight w:val="none"/>
          <w:lang w:val="en-US" w:eastAsia="zh-CN"/>
        </w:rPr>
        <w:t>或电子章</w:t>
      </w:r>
      <w:r>
        <w:rPr>
          <w:rFonts w:hint="eastAsia" w:ascii="宋体" w:hAnsi="宋体" w:cs="宋体"/>
          <w:sz w:val="24"/>
          <w:szCs w:val="24"/>
          <w:highlight w:val="none"/>
        </w:rPr>
        <w:t>）：</w:t>
      </w:r>
    </w:p>
    <w:p>
      <w:pPr>
        <w:pStyle w:val="20"/>
        <w:jc w:val="right"/>
        <w:rPr>
          <w:highlight w:val="none"/>
        </w:rPr>
      </w:pPr>
    </w:p>
    <w:p>
      <w:pPr>
        <w:pStyle w:val="20"/>
        <w:jc w:val="right"/>
        <w:rPr>
          <w:highlight w:val="none"/>
        </w:rPr>
      </w:pPr>
      <w:r>
        <w:rPr>
          <w:rFonts w:hint="eastAsia"/>
          <w:highlight w:val="none"/>
        </w:rPr>
        <w:t>日期：</w:t>
      </w:r>
    </w:p>
    <w:p>
      <w:pPr>
        <w:pStyle w:val="6"/>
        <w:rPr>
          <w:rFonts w:ascii="宋体" w:hAnsi="宋体" w:cs="宋体"/>
          <w:szCs w:val="24"/>
          <w:highlight w:val="none"/>
          <w:lang w:eastAsia="zh-CN"/>
        </w:rPr>
      </w:pPr>
      <w:r>
        <w:rPr>
          <w:rFonts w:ascii="宋体" w:cs="宋体"/>
          <w:highlight w:val="none"/>
          <w:lang w:eastAsia="zh-CN"/>
        </w:rPr>
        <w:br w:type="page"/>
      </w:r>
      <w:bookmarkStart w:id="253" w:name="_Toc22518"/>
      <w:bookmarkStart w:id="254" w:name="_Toc44704931"/>
      <w:bookmarkStart w:id="255" w:name="_Toc6133"/>
      <w:bookmarkStart w:id="256" w:name="_Toc44705299"/>
      <w:r>
        <w:rPr>
          <w:rFonts w:ascii="宋体" w:hAnsi="宋体" w:cs="宋体"/>
          <w:szCs w:val="24"/>
          <w:highlight w:val="none"/>
          <w:lang w:eastAsia="zh-CN"/>
        </w:rPr>
        <w:t>2.7.3</w:t>
      </w:r>
      <w:r>
        <w:rPr>
          <w:rFonts w:hint="eastAsia" w:ascii="宋体" w:hAnsi="宋体" w:cs="宋体"/>
          <w:szCs w:val="24"/>
          <w:highlight w:val="none"/>
          <w:lang w:eastAsia="zh-CN"/>
        </w:rPr>
        <w:t>服务方案</w:t>
      </w:r>
      <w:r>
        <w:rPr>
          <w:rFonts w:ascii="宋体" w:cs="宋体"/>
          <w:szCs w:val="24"/>
          <w:highlight w:val="none"/>
          <w:lang w:eastAsia="zh-CN"/>
        </w:rPr>
        <w:t>-</w:t>
      </w:r>
      <w:r>
        <w:rPr>
          <w:rFonts w:hint="eastAsia" w:ascii="宋体" w:hAnsi="宋体" w:cs="宋体"/>
          <w:szCs w:val="24"/>
          <w:highlight w:val="none"/>
          <w:lang w:eastAsia="zh-CN"/>
        </w:rPr>
        <w:t>格式自拟</w:t>
      </w:r>
      <w:bookmarkEnd w:id="253"/>
      <w:bookmarkEnd w:id="254"/>
      <w:bookmarkEnd w:id="255"/>
      <w:bookmarkEnd w:id="256"/>
    </w:p>
    <w:p>
      <w:pPr>
        <w:spacing w:line="360" w:lineRule="auto"/>
        <w:ind w:firstLine="480" w:firstLineChars="200"/>
        <w:rPr>
          <w:rFonts w:ascii="宋体" w:cs="宋体"/>
          <w:bCs/>
          <w:kern w:val="0"/>
          <w:sz w:val="24"/>
          <w:szCs w:val="24"/>
          <w:highlight w:val="none"/>
        </w:rPr>
      </w:pPr>
    </w:p>
    <w:p>
      <w:pPr>
        <w:spacing w:line="360" w:lineRule="auto"/>
        <w:ind w:firstLine="480" w:firstLineChars="200"/>
        <w:rPr>
          <w:rFonts w:ascii="宋体" w:cs="宋体"/>
          <w:highlight w:val="none"/>
        </w:rPr>
      </w:pPr>
      <w:r>
        <w:rPr>
          <w:rFonts w:hint="eastAsia" w:ascii="宋体" w:cs="宋体"/>
          <w:bCs/>
          <w:kern w:val="0"/>
          <w:sz w:val="24"/>
          <w:szCs w:val="24"/>
          <w:highlight w:val="none"/>
        </w:rPr>
        <w:t>服务技术描述（人员配置；规章制度；服务实施方案；附属设施维护维修实施方案；投入本项目机械、材料、器具设备配置；安全生产作业措施方案；应急预案；服务达标承诺及不达标改善措施等；）、招标文件技术需求部分要求提供的内容、综合说明、服务偏离表等。</w:t>
      </w: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jc w:val="right"/>
        <w:rPr>
          <w:rFonts w:ascii="宋体" w:cs="宋体"/>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pPr>
        <w:pStyle w:val="20"/>
        <w:rPr>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投标人名称（加盖单位公章</w:t>
      </w:r>
      <w:r>
        <w:rPr>
          <w:rFonts w:hint="eastAsia" w:ascii="宋体" w:hAnsi="宋体" w:cs="宋体"/>
          <w:sz w:val="24"/>
          <w:szCs w:val="24"/>
          <w:highlight w:val="none"/>
          <w:lang w:val="en-US" w:eastAsia="zh-CN"/>
        </w:rPr>
        <w:t>或电子章</w:t>
      </w:r>
      <w:r>
        <w:rPr>
          <w:rFonts w:hint="eastAsia" w:ascii="宋体" w:hAnsi="宋体" w:cs="宋体"/>
          <w:sz w:val="24"/>
          <w:szCs w:val="24"/>
          <w:highlight w:val="none"/>
        </w:rPr>
        <w:t>）：</w:t>
      </w:r>
    </w:p>
    <w:p>
      <w:pPr>
        <w:pStyle w:val="20"/>
        <w:rPr>
          <w:highlight w:val="none"/>
        </w:rPr>
      </w:pPr>
    </w:p>
    <w:p>
      <w:pPr>
        <w:spacing w:line="360" w:lineRule="auto"/>
        <w:jc w:val="right"/>
        <w:rPr>
          <w:rFonts w:ascii="宋体" w:hAnsi="宋体" w:cs="宋体"/>
          <w:sz w:val="24"/>
          <w:szCs w:val="24"/>
          <w:highlight w:val="none"/>
        </w:rPr>
      </w:pPr>
      <w:r>
        <w:rPr>
          <w:rFonts w:hint="eastAsia" w:ascii="宋体" w:hAnsi="宋体" w:cs="宋体"/>
          <w:sz w:val="24"/>
          <w:szCs w:val="24"/>
          <w:highlight w:val="none"/>
        </w:rPr>
        <w:t>日期：</w:t>
      </w:r>
    </w:p>
    <w:p>
      <w:pPr>
        <w:rPr>
          <w:highlight w:val="none"/>
        </w:rPr>
      </w:pPr>
      <w:r>
        <w:rPr>
          <w:rFonts w:hint="eastAsia" w:ascii="宋体" w:hAnsi="宋体" w:cs="宋体"/>
          <w:sz w:val="24"/>
          <w:szCs w:val="24"/>
          <w:highlight w:val="none"/>
        </w:rPr>
        <w:br w:type="page"/>
      </w:r>
    </w:p>
    <w:p>
      <w:pPr>
        <w:pStyle w:val="5"/>
        <w:spacing w:line="360" w:lineRule="auto"/>
        <w:rPr>
          <w:rFonts w:ascii="宋体" w:cs="宋体"/>
          <w:b w:val="0"/>
          <w:color w:val="000000"/>
          <w:sz w:val="24"/>
          <w:highlight w:val="none"/>
        </w:rPr>
      </w:pPr>
      <w:bookmarkStart w:id="257" w:name="_Toc18028"/>
      <w:bookmarkStart w:id="258" w:name="_Toc44705301"/>
      <w:bookmarkStart w:id="259" w:name="_Toc44704933"/>
      <w:bookmarkStart w:id="260" w:name="_Toc4919"/>
      <w:r>
        <w:rPr>
          <w:rFonts w:ascii="宋体" w:hAnsi="宋体" w:cs="宋体"/>
          <w:sz w:val="28"/>
          <w:szCs w:val="28"/>
          <w:highlight w:val="none"/>
        </w:rPr>
        <w:t>2.7.</w:t>
      </w:r>
      <w:r>
        <w:rPr>
          <w:rFonts w:hint="eastAsia" w:ascii="宋体" w:hAnsi="宋体" w:cs="宋体"/>
          <w:sz w:val="28"/>
          <w:szCs w:val="28"/>
          <w:highlight w:val="none"/>
          <w:lang w:val="en-US" w:eastAsia="zh-CN"/>
        </w:rPr>
        <w:t>4</w:t>
      </w:r>
      <w:r>
        <w:rPr>
          <w:rFonts w:hint="eastAsia" w:ascii="宋体" w:hAnsi="宋体" w:cs="宋体"/>
          <w:sz w:val="28"/>
          <w:szCs w:val="28"/>
          <w:highlight w:val="none"/>
        </w:rPr>
        <w:t>残疾人福利性单位声明函</w:t>
      </w:r>
      <w:r>
        <w:rPr>
          <w:rFonts w:hint="eastAsia" w:ascii="宋体" w:hAnsi="宋体" w:cs="宋体"/>
          <w:b w:val="0"/>
          <w:sz w:val="28"/>
          <w:szCs w:val="28"/>
          <w:highlight w:val="none"/>
        </w:rPr>
        <w:t>（格式，不符合条件无须提交）</w:t>
      </w:r>
      <w:bookmarkEnd w:id="257"/>
      <w:bookmarkEnd w:id="258"/>
      <w:bookmarkEnd w:id="259"/>
      <w:bookmarkEnd w:id="260"/>
    </w:p>
    <w:p>
      <w:pPr>
        <w:pStyle w:val="40"/>
        <w:spacing w:line="360" w:lineRule="auto"/>
        <w:rPr>
          <w:rFonts w:cs="宋体"/>
          <w:highlight w:val="none"/>
        </w:rPr>
      </w:pPr>
      <w:r>
        <w:rPr>
          <w:rFonts w:hint="eastAsia" w:cs="宋体"/>
          <w:highlight w:val="none"/>
        </w:rPr>
        <w:t>注：</w:t>
      </w:r>
      <w:r>
        <w:rPr>
          <w:rFonts w:cs="宋体"/>
          <w:highlight w:val="none"/>
        </w:rPr>
        <w:t>1</w:t>
      </w:r>
      <w:r>
        <w:rPr>
          <w:rFonts w:hint="eastAsia" w:cs="宋体"/>
          <w:highlight w:val="none"/>
        </w:rPr>
        <w:t>、</w:t>
      </w:r>
      <w:r>
        <w:rPr>
          <w:rFonts w:hint="eastAsia" w:cs="宋体"/>
          <w:spacing w:val="6"/>
          <w:highlight w:val="none"/>
        </w:rPr>
        <w:t>根据《财政部</w:t>
      </w:r>
      <w:r>
        <w:rPr>
          <w:rFonts w:cs="宋体"/>
          <w:spacing w:val="6"/>
          <w:highlight w:val="none"/>
        </w:rPr>
        <w:t xml:space="preserve"> </w:t>
      </w:r>
      <w:r>
        <w:rPr>
          <w:rFonts w:hint="eastAsia" w:cs="宋体"/>
          <w:spacing w:val="6"/>
          <w:highlight w:val="none"/>
        </w:rPr>
        <w:t>民政部</w:t>
      </w:r>
      <w:r>
        <w:rPr>
          <w:rFonts w:cs="宋体"/>
          <w:spacing w:val="6"/>
          <w:highlight w:val="none"/>
        </w:rPr>
        <w:t xml:space="preserve"> </w:t>
      </w:r>
      <w:r>
        <w:rPr>
          <w:rFonts w:hint="eastAsia" w:cs="宋体"/>
          <w:spacing w:val="6"/>
          <w:highlight w:val="none"/>
        </w:rPr>
        <w:t>中国残疾人联合会关于促进残疾人就业政府采购政策的通知》（财库</w:t>
      </w:r>
      <w:r>
        <w:rPr>
          <w:rFonts w:hint="eastAsia" w:cs="宋体"/>
          <w:highlight w:val="none"/>
        </w:rPr>
        <w:t>〔</w:t>
      </w:r>
      <w:r>
        <w:rPr>
          <w:rFonts w:cs="宋体"/>
          <w:highlight w:val="none"/>
        </w:rPr>
        <w:t>2017</w:t>
      </w:r>
      <w:r>
        <w:rPr>
          <w:rFonts w:hint="eastAsia" w:cs="宋体"/>
          <w:highlight w:val="none"/>
        </w:rPr>
        <w:t>〕</w:t>
      </w:r>
      <w:r>
        <w:rPr>
          <w:rFonts w:cs="宋体"/>
          <w:highlight w:val="none"/>
        </w:rPr>
        <w:t xml:space="preserve"> 141</w:t>
      </w:r>
      <w:r>
        <w:rPr>
          <w:rFonts w:hint="eastAsia" w:cs="宋体"/>
          <w:spacing w:val="6"/>
          <w:highlight w:val="none"/>
        </w:rPr>
        <w:t>号）的规定，</w:t>
      </w:r>
      <w:r>
        <w:rPr>
          <w:rFonts w:hint="eastAsia" w:cs="宋体"/>
          <w:highlight w:val="none"/>
        </w:rPr>
        <w:t>符合条件的残疾人福利性单位在参加政府采购活动时，应当提供通知规定的《残疾人福利性单位声明函》，并对声明的真实性负责。</w:t>
      </w:r>
    </w:p>
    <w:p>
      <w:pPr>
        <w:pStyle w:val="40"/>
        <w:spacing w:line="360" w:lineRule="auto"/>
        <w:rPr>
          <w:rFonts w:cs="宋体"/>
          <w:highlight w:val="none"/>
        </w:rPr>
      </w:pPr>
      <w:r>
        <w:rPr>
          <w:rFonts w:hint="eastAsia" w:cs="宋体"/>
          <w:highlight w:val="none"/>
        </w:rPr>
        <w:t>　　</w:t>
      </w:r>
      <w:r>
        <w:rPr>
          <w:rFonts w:cs="宋体"/>
          <w:highlight w:val="none"/>
        </w:rPr>
        <w:t>2</w:t>
      </w:r>
      <w:r>
        <w:rPr>
          <w:rFonts w:hint="eastAsia" w:cs="宋体"/>
          <w:highlight w:val="none"/>
        </w:rPr>
        <w:t>、中标人为残疾人福利性单位的，其《残疾人福利性单位声明函》将随中标结果同时公告，接受社会监督。</w:t>
      </w:r>
    </w:p>
    <w:p>
      <w:pPr>
        <w:spacing w:before="240" w:beforeLines="100" w:line="360" w:lineRule="auto"/>
        <w:ind w:left="1359" w:leftChars="257" w:hanging="819" w:hangingChars="325"/>
        <w:jc w:val="center"/>
        <w:rPr>
          <w:rFonts w:ascii="宋体" w:cs="宋体"/>
          <w:color w:val="000000"/>
          <w:spacing w:val="6"/>
          <w:sz w:val="24"/>
          <w:szCs w:val="24"/>
          <w:highlight w:val="none"/>
        </w:rPr>
      </w:pPr>
    </w:p>
    <w:p>
      <w:pPr>
        <w:spacing w:before="240" w:beforeLines="100" w:line="360" w:lineRule="auto"/>
        <w:ind w:left="1323" w:leftChars="257" w:hanging="783" w:hangingChars="325"/>
        <w:jc w:val="center"/>
        <w:rPr>
          <w:rFonts w:ascii="宋体" w:cs="宋体"/>
          <w:b/>
          <w:spacing w:val="6"/>
          <w:sz w:val="28"/>
          <w:szCs w:val="32"/>
          <w:highlight w:val="none"/>
        </w:rPr>
      </w:pPr>
      <w:r>
        <w:rPr>
          <w:rFonts w:hint="eastAsia" w:ascii="宋体" w:hAnsi="宋体" w:cs="宋体"/>
          <w:b/>
          <w:kern w:val="0"/>
          <w:sz w:val="24"/>
          <w:highlight w:val="none"/>
        </w:rPr>
        <w:t>残疾人福利性单位声明函</w:t>
      </w:r>
    </w:p>
    <w:p>
      <w:pPr>
        <w:spacing w:line="360" w:lineRule="auto"/>
        <w:rPr>
          <w:rFonts w:ascii="宋体" w:cs="宋体"/>
          <w:b/>
          <w:spacing w:val="6"/>
          <w:sz w:val="30"/>
          <w:szCs w:val="30"/>
          <w:highlight w:val="none"/>
        </w:rPr>
      </w:pPr>
    </w:p>
    <w:p>
      <w:pPr>
        <w:spacing w:line="360" w:lineRule="auto"/>
        <w:ind w:firstLine="504" w:firstLineChars="200"/>
        <w:rPr>
          <w:rFonts w:ascii="宋体" w:cs="宋体"/>
          <w:spacing w:val="6"/>
          <w:sz w:val="24"/>
          <w:szCs w:val="24"/>
          <w:highlight w:val="none"/>
        </w:rPr>
      </w:pPr>
      <w:r>
        <w:rPr>
          <w:rFonts w:hint="eastAsia" w:ascii="宋体" w:hAnsi="宋体" w:cs="宋体"/>
          <w:spacing w:val="6"/>
          <w:sz w:val="24"/>
          <w:szCs w:val="24"/>
          <w:highlight w:val="none"/>
        </w:rPr>
        <w:t>本单位郑重声明，根据《财政部</w:t>
      </w:r>
      <w:r>
        <w:rPr>
          <w:rFonts w:ascii="宋体" w:hAnsi="宋体" w:cs="宋体"/>
          <w:spacing w:val="6"/>
          <w:sz w:val="24"/>
          <w:szCs w:val="24"/>
          <w:highlight w:val="none"/>
        </w:rPr>
        <w:t xml:space="preserve"> </w:t>
      </w:r>
      <w:r>
        <w:rPr>
          <w:rFonts w:hint="eastAsia" w:ascii="宋体" w:hAnsi="宋体" w:cs="宋体"/>
          <w:spacing w:val="6"/>
          <w:sz w:val="24"/>
          <w:szCs w:val="24"/>
          <w:highlight w:val="none"/>
        </w:rPr>
        <w:t>民政部</w:t>
      </w:r>
      <w:r>
        <w:rPr>
          <w:rFonts w:ascii="宋体" w:hAnsi="宋体" w:cs="宋体"/>
          <w:spacing w:val="6"/>
          <w:sz w:val="24"/>
          <w:szCs w:val="24"/>
          <w:highlight w:val="none"/>
        </w:rPr>
        <w:t xml:space="preserve"> </w:t>
      </w:r>
      <w:r>
        <w:rPr>
          <w:rFonts w:hint="eastAsia" w:ascii="宋体" w:hAnsi="宋体" w:cs="宋体"/>
          <w:spacing w:val="6"/>
          <w:sz w:val="24"/>
          <w:szCs w:val="24"/>
          <w:highlight w:val="none"/>
        </w:rPr>
        <w:t>中国残疾人联合会关于促进残疾人就业政府采购政策的通知》（财库</w:t>
      </w:r>
      <w:r>
        <w:rPr>
          <w:rFonts w:hint="eastAsia" w:ascii="宋体" w:hAnsi="宋体" w:cs="宋体"/>
          <w:sz w:val="24"/>
          <w:szCs w:val="24"/>
          <w:highlight w:val="none"/>
        </w:rPr>
        <w:t>〔</w:t>
      </w:r>
      <w:r>
        <w:rPr>
          <w:rFonts w:ascii="宋体" w:hAnsi="宋体" w:cs="宋体"/>
          <w:sz w:val="24"/>
          <w:szCs w:val="24"/>
          <w:highlight w:val="none"/>
        </w:rPr>
        <w:t>2017</w:t>
      </w:r>
      <w:r>
        <w:rPr>
          <w:rFonts w:hint="eastAsia" w:ascii="宋体" w:hAnsi="宋体" w:cs="宋体"/>
          <w:sz w:val="24"/>
          <w:szCs w:val="24"/>
          <w:highlight w:val="none"/>
        </w:rPr>
        <w:t>〕</w:t>
      </w:r>
      <w:r>
        <w:rPr>
          <w:rFonts w:ascii="宋体" w:hAnsi="宋体" w:cs="宋体"/>
          <w:sz w:val="24"/>
          <w:szCs w:val="24"/>
          <w:highlight w:val="none"/>
        </w:rPr>
        <w:t xml:space="preserve"> 141</w:t>
      </w:r>
      <w:r>
        <w:rPr>
          <w:rFonts w:hint="eastAsia" w:ascii="宋体" w:hAnsi="宋体" w:cs="宋体"/>
          <w:spacing w:val="6"/>
          <w:sz w:val="24"/>
          <w:szCs w:val="24"/>
          <w:highlight w:val="none"/>
        </w:rPr>
        <w:t>号）的规定，本单位为符合条件的残疾人福利性单位，且本单位参加</w:t>
      </w:r>
      <w:r>
        <w:rPr>
          <w:rFonts w:ascii="宋体" w:hAnsi="宋体" w:cs="宋体"/>
          <w:spacing w:val="6"/>
          <w:sz w:val="24"/>
          <w:szCs w:val="24"/>
          <w:highlight w:val="none"/>
        </w:rPr>
        <w:t>______</w:t>
      </w:r>
      <w:r>
        <w:rPr>
          <w:rFonts w:hint="eastAsia" w:ascii="宋体" w:hAnsi="宋体" w:cs="宋体"/>
          <w:spacing w:val="6"/>
          <w:sz w:val="24"/>
          <w:szCs w:val="24"/>
          <w:highlight w:val="none"/>
        </w:rPr>
        <w:t>单位的</w:t>
      </w:r>
      <w:r>
        <w:rPr>
          <w:rFonts w:ascii="宋体" w:hAnsi="宋体" w:cs="宋体"/>
          <w:spacing w:val="6"/>
          <w:sz w:val="24"/>
          <w:szCs w:val="24"/>
          <w:highlight w:val="none"/>
        </w:rPr>
        <w:t>______</w:t>
      </w:r>
      <w:r>
        <w:rPr>
          <w:rFonts w:hint="eastAsia" w:ascii="宋体" w:hAnsi="宋体" w:cs="宋体"/>
          <w:spacing w:val="6"/>
          <w:sz w:val="24"/>
          <w:szCs w:val="24"/>
          <w:highlight w:val="none"/>
        </w:rPr>
        <w:t>项目采购活动提供本单位制造的货物（由本单位承担工程</w:t>
      </w:r>
      <w:r>
        <w:rPr>
          <w:rFonts w:ascii="宋体" w:hAnsi="宋体" w:cs="宋体"/>
          <w:spacing w:val="6"/>
          <w:sz w:val="24"/>
          <w:szCs w:val="24"/>
          <w:highlight w:val="none"/>
        </w:rPr>
        <w:t>/</w:t>
      </w:r>
      <w:r>
        <w:rPr>
          <w:rFonts w:hint="eastAsia" w:ascii="宋体" w:hAnsi="宋体" w:cs="宋体"/>
          <w:spacing w:val="6"/>
          <w:sz w:val="24"/>
          <w:szCs w:val="24"/>
          <w:highlight w:val="none"/>
        </w:rPr>
        <w:t>提供服务），或者提供其他残疾人福利性单位制造的货物（不包括使用非残疾人福利性单位注册商标的货物）。</w:t>
      </w:r>
    </w:p>
    <w:p>
      <w:pPr>
        <w:widowControl/>
        <w:spacing w:before="240" w:beforeLines="100" w:after="100" w:afterAutospacing="1" w:line="360" w:lineRule="auto"/>
        <w:ind w:firstLine="720" w:firstLineChars="300"/>
        <w:jc w:val="left"/>
        <w:rPr>
          <w:rFonts w:ascii="宋体" w:cs="宋体"/>
          <w:sz w:val="24"/>
          <w:highlight w:val="none"/>
        </w:rPr>
      </w:pPr>
      <w:r>
        <w:rPr>
          <w:rFonts w:hint="eastAsia" w:ascii="宋体" w:hAnsi="宋体" w:cs="宋体"/>
          <w:sz w:val="24"/>
          <w:highlight w:val="none"/>
        </w:rPr>
        <w:t>本单位对上述声明的真实性负责。如有虚假，将依法承担相应责任。</w:t>
      </w:r>
    </w:p>
    <w:p>
      <w:pPr>
        <w:spacing w:line="360" w:lineRule="auto"/>
        <w:ind w:firstLine="624" w:firstLineChars="200"/>
        <w:rPr>
          <w:rFonts w:ascii="宋体" w:cs="宋体"/>
          <w:spacing w:val="6"/>
          <w:sz w:val="30"/>
          <w:szCs w:val="30"/>
          <w:highlight w:val="none"/>
        </w:rPr>
      </w:pPr>
    </w:p>
    <w:p>
      <w:pPr>
        <w:spacing w:line="360" w:lineRule="auto"/>
        <w:ind w:firstLine="624" w:firstLineChars="200"/>
        <w:rPr>
          <w:rFonts w:ascii="宋体" w:cs="宋体"/>
          <w:spacing w:val="6"/>
          <w:sz w:val="30"/>
          <w:szCs w:val="30"/>
          <w:highlight w:val="none"/>
        </w:rPr>
      </w:pPr>
    </w:p>
    <w:p>
      <w:pPr>
        <w:widowControl/>
        <w:spacing w:before="100" w:beforeAutospacing="1" w:after="100" w:afterAutospacing="1" w:line="360" w:lineRule="auto"/>
        <w:ind w:firstLine="5160" w:firstLineChars="2150"/>
        <w:jc w:val="left"/>
        <w:rPr>
          <w:rFonts w:ascii="宋体" w:cs="宋体"/>
          <w:sz w:val="24"/>
          <w:highlight w:val="none"/>
        </w:rPr>
      </w:pPr>
      <w:r>
        <w:rPr>
          <w:rFonts w:hint="eastAsia" w:ascii="宋体" w:hAnsi="宋体" w:cs="宋体"/>
          <w:sz w:val="24"/>
          <w:highlight w:val="none"/>
        </w:rPr>
        <w:t>单位名称（盖章）：</w:t>
      </w:r>
    </w:p>
    <w:p>
      <w:pPr>
        <w:widowControl/>
        <w:spacing w:before="100" w:beforeAutospacing="1" w:after="100" w:afterAutospacing="1" w:line="360" w:lineRule="auto"/>
        <w:ind w:firstLine="5160" w:firstLineChars="2150"/>
        <w:jc w:val="left"/>
        <w:rPr>
          <w:rFonts w:ascii="宋体" w:cs="宋体"/>
          <w:sz w:val="24"/>
          <w:highlight w:val="none"/>
        </w:rPr>
      </w:pPr>
      <w:r>
        <w:rPr>
          <w:rFonts w:hint="eastAsia" w:ascii="宋体" w:hAnsi="宋体" w:cs="宋体"/>
          <w:sz w:val="24"/>
          <w:highlight w:val="none"/>
        </w:rPr>
        <w:t>日期：</w:t>
      </w:r>
    </w:p>
    <w:p>
      <w:pPr>
        <w:pStyle w:val="6"/>
        <w:rPr>
          <w:rFonts w:ascii="宋体" w:cs="宋体"/>
          <w:b w:val="0"/>
          <w:color w:val="000000"/>
          <w:highlight w:val="none"/>
          <w:lang w:eastAsia="zh-CN"/>
        </w:rPr>
      </w:pPr>
      <w:r>
        <w:rPr>
          <w:rFonts w:ascii="宋体" w:cs="宋体"/>
          <w:color w:val="000000"/>
          <w:highlight w:val="none"/>
          <w:lang w:eastAsia="zh-CN"/>
        </w:rPr>
        <w:br w:type="page"/>
      </w:r>
      <w:bookmarkStart w:id="261" w:name="_Toc44705302"/>
      <w:bookmarkStart w:id="262" w:name="_Toc29968"/>
      <w:bookmarkStart w:id="263" w:name="_Toc493422676"/>
      <w:bookmarkStart w:id="264" w:name="_Toc29655"/>
      <w:bookmarkStart w:id="265" w:name="_Toc44704934"/>
      <w:r>
        <w:rPr>
          <w:rFonts w:ascii="宋体" w:hAnsi="宋体" w:cs="宋体"/>
          <w:szCs w:val="24"/>
          <w:highlight w:val="none"/>
          <w:lang w:eastAsia="zh-CN"/>
        </w:rPr>
        <w:t>2.7.</w:t>
      </w:r>
      <w:r>
        <w:rPr>
          <w:rFonts w:hint="eastAsia" w:ascii="宋体" w:hAnsi="宋体" w:cs="宋体"/>
          <w:szCs w:val="24"/>
          <w:highlight w:val="none"/>
          <w:lang w:val="en-US" w:eastAsia="zh-CN"/>
        </w:rPr>
        <w:t>5</w:t>
      </w:r>
      <w:r>
        <w:rPr>
          <w:rFonts w:hint="eastAsia" w:ascii="宋体" w:hAnsi="宋体" w:cs="宋体"/>
          <w:szCs w:val="24"/>
          <w:highlight w:val="none"/>
          <w:lang w:eastAsia="zh-CN"/>
        </w:rPr>
        <w:t>节能产品、环境标志产品、信息安全产品证明材料</w:t>
      </w:r>
      <w:r>
        <w:rPr>
          <w:rFonts w:hint="eastAsia" w:ascii="宋体" w:hAnsi="宋体" w:cs="宋体"/>
          <w:b w:val="0"/>
          <w:sz w:val="24"/>
          <w:szCs w:val="24"/>
          <w:highlight w:val="none"/>
          <w:lang w:eastAsia="zh-CN"/>
        </w:rPr>
        <w:t>（如适用）</w:t>
      </w:r>
      <w:bookmarkEnd w:id="261"/>
      <w:bookmarkEnd w:id="262"/>
      <w:bookmarkEnd w:id="263"/>
      <w:bookmarkEnd w:id="264"/>
      <w:bookmarkEnd w:id="265"/>
    </w:p>
    <w:p>
      <w:pPr>
        <w:spacing w:line="360" w:lineRule="auto"/>
        <w:rPr>
          <w:rFonts w:ascii="宋体" w:cs="宋体"/>
          <w:color w:val="000000"/>
          <w:szCs w:val="21"/>
          <w:highlight w:val="none"/>
        </w:rPr>
      </w:pPr>
      <w:r>
        <w:rPr>
          <w:rFonts w:ascii="宋体" w:cs="宋体"/>
          <w:color w:val="000000"/>
          <w:szCs w:val="21"/>
          <w:highlight w:val="none"/>
        </w:rPr>
        <w:t> </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节能产品、环境标志产品</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注：台式计算机，便携式计算机，平板式微型计算机，激光打印机，针式打印机，显示设备，制冷压缩机，空调机组，专用制冷、空调设备，镇流器，空调机，电热水器，普通照明用双端荧光灯，电视设备，视频设备，便器，水嘴等品目为政府强制采购节能产品。</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台式计算机产品性能参数须与节能产品政府采购清单台式计算机性能参数的附件一致，凡与附件所列性能参数不一致的产品，不得参加政府采购活动。</w:t>
      </w:r>
    </w:p>
    <w:p>
      <w:pPr>
        <w:spacing w:line="360" w:lineRule="auto"/>
        <w:rPr>
          <w:rFonts w:ascii="宋体" w:cs="宋体"/>
          <w:color w:val="000000"/>
          <w:sz w:val="24"/>
          <w:szCs w:val="24"/>
          <w:highlight w:val="none"/>
        </w:rPr>
      </w:pPr>
      <w:r>
        <w:rPr>
          <w:rFonts w:ascii="宋体" w:cs="宋体"/>
          <w:color w:val="000000"/>
          <w:sz w:val="24"/>
          <w:szCs w:val="24"/>
          <w:highlight w:val="none"/>
        </w:rPr>
        <w:t> </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在上述范围内的投标货物须提供国家确定的认证机构出具的、处于有效期之内的节能产品、环境标志产品认证证书，未提供的属于未实质响应招标文件要求。</w:t>
      </w:r>
    </w:p>
    <w:p>
      <w:pPr>
        <w:spacing w:line="360" w:lineRule="auto"/>
        <w:rPr>
          <w:rFonts w:ascii="宋体" w:cs="宋体"/>
          <w:color w:val="000000"/>
          <w:sz w:val="24"/>
          <w:szCs w:val="24"/>
          <w:highlight w:val="none"/>
        </w:rPr>
      </w:pPr>
      <w:r>
        <w:rPr>
          <w:rFonts w:ascii="宋体" w:cs="宋体"/>
          <w:color w:val="000000"/>
          <w:sz w:val="24"/>
          <w:szCs w:val="24"/>
          <w:highlight w:val="none"/>
        </w:rPr>
        <w:t> </w:t>
      </w:r>
    </w:p>
    <w:p>
      <w:pPr>
        <w:spacing w:line="360" w:lineRule="auto"/>
        <w:rPr>
          <w:rFonts w:ascii="宋体" w:cs="宋体"/>
          <w:color w:val="000000"/>
          <w:sz w:val="24"/>
          <w:szCs w:val="24"/>
          <w:highlight w:val="none"/>
        </w:rPr>
      </w:pPr>
      <w:r>
        <w:rPr>
          <w:rFonts w:ascii="宋体" w:hAnsi="宋体" w:cs="宋体"/>
          <w:color w:val="000000"/>
          <w:sz w:val="24"/>
          <w:szCs w:val="24"/>
          <w:highlight w:val="none"/>
        </w:rPr>
        <w:t>a.</w:t>
      </w:r>
      <w:r>
        <w:rPr>
          <w:rFonts w:hint="eastAsia" w:ascii="宋体" w:hAnsi="宋体" w:cs="宋体"/>
          <w:color w:val="000000"/>
          <w:sz w:val="24"/>
          <w:szCs w:val="24"/>
          <w:highlight w:val="none"/>
        </w:rPr>
        <w:t>节能产品（非强制、如有）：须提供国家确定的认证机构出具的、处于有效期之内的节能产品认证证书。</w:t>
      </w:r>
    </w:p>
    <w:p>
      <w:pPr>
        <w:spacing w:line="360" w:lineRule="auto"/>
        <w:rPr>
          <w:rFonts w:ascii="宋体" w:cs="宋体"/>
          <w:color w:val="000000"/>
          <w:sz w:val="24"/>
          <w:szCs w:val="24"/>
          <w:highlight w:val="none"/>
        </w:rPr>
      </w:pPr>
      <w:r>
        <w:rPr>
          <w:rFonts w:ascii="宋体" w:cs="宋体"/>
          <w:color w:val="000000"/>
          <w:sz w:val="24"/>
          <w:szCs w:val="24"/>
          <w:highlight w:val="none"/>
        </w:rPr>
        <w:t> </w:t>
      </w:r>
      <w:r>
        <w:rPr>
          <w:rFonts w:ascii="宋体" w:hAnsi="宋体" w:cs="宋体"/>
          <w:color w:val="000000"/>
          <w:sz w:val="24"/>
          <w:szCs w:val="24"/>
          <w:highlight w:val="none"/>
        </w:rPr>
        <w:t xml:space="preserve"> </w:t>
      </w:r>
    </w:p>
    <w:p>
      <w:pPr>
        <w:spacing w:line="360" w:lineRule="auto"/>
        <w:rPr>
          <w:rFonts w:ascii="宋体" w:cs="宋体"/>
          <w:color w:val="000000"/>
          <w:sz w:val="24"/>
          <w:szCs w:val="24"/>
          <w:highlight w:val="none"/>
        </w:rPr>
      </w:pPr>
      <w:r>
        <w:rPr>
          <w:rFonts w:ascii="宋体" w:hAnsi="宋体" w:cs="宋体"/>
          <w:color w:val="000000"/>
          <w:sz w:val="24"/>
          <w:szCs w:val="24"/>
          <w:highlight w:val="none"/>
        </w:rPr>
        <w:t>b.</w:t>
      </w:r>
      <w:r>
        <w:rPr>
          <w:rFonts w:hint="eastAsia" w:ascii="宋体" w:hAnsi="宋体" w:cs="宋体"/>
          <w:color w:val="000000"/>
          <w:sz w:val="24"/>
          <w:szCs w:val="24"/>
          <w:highlight w:val="none"/>
        </w:rPr>
        <w:t>环境标志产品（如有）：须提供国家确定的认证机构出具的、处于有效期之内的节能产品认证证书。</w:t>
      </w:r>
    </w:p>
    <w:p>
      <w:pPr>
        <w:spacing w:line="360" w:lineRule="auto"/>
        <w:rPr>
          <w:rFonts w:ascii="宋体" w:cs="宋体"/>
          <w:color w:val="000000"/>
          <w:sz w:val="24"/>
          <w:szCs w:val="24"/>
          <w:highlight w:val="none"/>
        </w:rPr>
      </w:pPr>
      <w:r>
        <w:rPr>
          <w:rFonts w:ascii="宋体" w:cs="宋体"/>
          <w:color w:val="000000"/>
          <w:sz w:val="24"/>
          <w:szCs w:val="24"/>
          <w:highlight w:val="none"/>
        </w:rPr>
        <w:t> </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信息安全产品</w:t>
      </w:r>
    </w:p>
    <w:p>
      <w:pPr>
        <w:spacing w:line="360" w:lineRule="auto"/>
        <w:rPr>
          <w:rFonts w:ascii="宋体" w:cs="宋体"/>
          <w:color w:val="000000"/>
          <w:sz w:val="24"/>
          <w:szCs w:val="24"/>
          <w:highlight w:val="none"/>
        </w:rPr>
      </w:pPr>
      <w:r>
        <w:rPr>
          <w:rFonts w:ascii="宋体" w:cs="宋体"/>
          <w:color w:val="000000"/>
          <w:sz w:val="24"/>
          <w:szCs w:val="24"/>
          <w:highlight w:val="none"/>
        </w:rPr>
        <w:t>   </w:t>
      </w:r>
      <w:r>
        <w:rPr>
          <w:rFonts w:ascii="宋体" w:hAnsi="宋体" w:cs="宋体"/>
          <w:color w:val="000000"/>
          <w:sz w:val="24"/>
          <w:szCs w:val="24"/>
          <w:highlight w:val="none"/>
        </w:rPr>
        <w:t xml:space="preserve"> </w:t>
      </w:r>
      <w:r>
        <w:rPr>
          <w:rFonts w:hint="eastAsia" w:ascii="宋体" w:hAnsi="宋体" w:cs="宋体"/>
          <w:color w:val="000000"/>
          <w:sz w:val="24"/>
          <w:szCs w:val="24"/>
          <w:highlight w:val="none"/>
        </w:rPr>
        <w:t>信息安全产品应提供由中国信息安全认证中心按国家标准认证颁发的有效认证证书。</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上述的投标货物须提供中国信息安全认证中心按国家标准认证颁发的有效认证证书，未提供的属于未实质响应招标文件要求。</w:t>
      </w:r>
    </w:p>
    <w:p>
      <w:pPr>
        <w:spacing w:line="360" w:lineRule="auto"/>
        <w:rPr>
          <w:rFonts w:ascii="宋体" w:cs="宋体"/>
          <w:color w:val="000000"/>
          <w:sz w:val="24"/>
          <w:szCs w:val="24"/>
          <w:highlight w:val="none"/>
        </w:rPr>
      </w:pPr>
      <w:r>
        <w:rPr>
          <w:rFonts w:ascii="宋体" w:cs="宋体"/>
          <w:color w:val="000000"/>
          <w:sz w:val="24"/>
          <w:szCs w:val="24"/>
          <w:highlight w:val="none"/>
        </w:rPr>
        <w:t> </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注：</w:t>
      </w:r>
      <w:r>
        <w:rPr>
          <w:rFonts w:ascii="宋体" w:hAnsi="宋体" w:cs="宋体"/>
          <w:color w:val="000000"/>
          <w:sz w:val="24"/>
          <w:szCs w:val="24"/>
          <w:highlight w:val="none"/>
        </w:rPr>
        <w:t>1.</w:t>
      </w:r>
      <w:r>
        <w:rPr>
          <w:rFonts w:hint="eastAsia" w:ascii="宋体" w:hAnsi="宋体" w:cs="宋体"/>
          <w:color w:val="000000"/>
          <w:sz w:val="24"/>
          <w:szCs w:val="24"/>
          <w:highlight w:val="none"/>
        </w:rPr>
        <w:t>在本处提供的证明材料如与投标人所投产品内容（品牌、型号、规格等）不符，视为无效。</w:t>
      </w:r>
    </w:p>
    <w:p>
      <w:pPr>
        <w:spacing w:line="360" w:lineRule="auto"/>
        <w:rPr>
          <w:rFonts w:ascii="宋体" w:cs="宋体"/>
          <w:color w:val="000000"/>
          <w:sz w:val="24"/>
          <w:szCs w:val="24"/>
          <w:highlight w:val="none"/>
        </w:rPr>
      </w:pPr>
      <w:r>
        <w:rPr>
          <w:rFonts w:ascii="宋体" w:hAnsi="宋体" w:cs="宋体"/>
          <w:color w:val="000000"/>
          <w:sz w:val="24"/>
          <w:szCs w:val="24"/>
          <w:highlight w:val="none"/>
        </w:rPr>
        <w:t>2.</w:t>
      </w:r>
      <w:r>
        <w:rPr>
          <w:rFonts w:hint="eastAsia" w:ascii="宋体" w:hAnsi="宋体" w:cs="宋体"/>
          <w:color w:val="000000"/>
          <w:sz w:val="24"/>
          <w:szCs w:val="24"/>
          <w:highlight w:val="none"/>
        </w:rPr>
        <w:t>如提供虚假材料，投标人须承担相应法律责任。</w:t>
      </w:r>
      <w:bookmarkStart w:id="266" w:name="_Toc493422677"/>
    </w:p>
    <w:p>
      <w:pPr>
        <w:pStyle w:val="6"/>
        <w:rPr>
          <w:rFonts w:ascii="宋体" w:cs="宋体"/>
          <w:color w:val="000000"/>
          <w:sz w:val="24"/>
          <w:szCs w:val="24"/>
          <w:highlight w:val="none"/>
          <w:lang w:eastAsia="zh-CN"/>
        </w:rPr>
      </w:pPr>
      <w:r>
        <w:rPr>
          <w:rFonts w:ascii="宋体" w:cs="宋体"/>
          <w:color w:val="000000"/>
          <w:sz w:val="24"/>
          <w:szCs w:val="24"/>
          <w:highlight w:val="none"/>
          <w:lang w:eastAsia="zh-CN"/>
        </w:rPr>
        <w:br w:type="page"/>
      </w:r>
      <w:bookmarkStart w:id="267" w:name="_Toc44705303"/>
      <w:bookmarkStart w:id="268" w:name="_Toc44704935"/>
      <w:bookmarkStart w:id="269" w:name="_Toc1538"/>
      <w:bookmarkStart w:id="270" w:name="_Toc5243"/>
      <w:r>
        <w:rPr>
          <w:rFonts w:ascii="宋体" w:hAnsi="宋体" w:cs="宋体"/>
          <w:szCs w:val="24"/>
          <w:highlight w:val="none"/>
          <w:lang w:eastAsia="zh-CN"/>
        </w:rPr>
        <w:t>2.7.</w:t>
      </w:r>
      <w:r>
        <w:rPr>
          <w:rFonts w:hint="eastAsia" w:ascii="宋体" w:hAnsi="宋体" w:cs="宋体"/>
          <w:szCs w:val="24"/>
          <w:highlight w:val="none"/>
          <w:lang w:val="en-US" w:eastAsia="zh-CN"/>
        </w:rPr>
        <w:t>6</w:t>
      </w:r>
      <w:r>
        <w:rPr>
          <w:rFonts w:hint="eastAsia" w:ascii="宋体" w:hAnsi="宋体" w:cs="宋体"/>
          <w:szCs w:val="24"/>
          <w:highlight w:val="none"/>
          <w:lang w:eastAsia="zh-CN"/>
        </w:rPr>
        <w:t>招标文件要求的其它文件及投标人认为有必要提供的其它文件</w:t>
      </w:r>
      <w:bookmarkEnd w:id="266"/>
      <w:bookmarkEnd w:id="267"/>
      <w:bookmarkEnd w:id="268"/>
      <w:bookmarkEnd w:id="269"/>
      <w:bookmarkEnd w:id="270"/>
    </w:p>
    <w:p>
      <w:pPr>
        <w:spacing w:line="360" w:lineRule="auto"/>
        <w:jc w:val="left"/>
        <w:rPr>
          <w:rFonts w:ascii="宋体" w:cs="宋体"/>
          <w:color w:val="000000"/>
          <w:sz w:val="24"/>
          <w:szCs w:val="24"/>
          <w:highlight w:val="none"/>
        </w:rPr>
      </w:pPr>
    </w:p>
    <w:p>
      <w:pPr>
        <w:spacing w:line="360" w:lineRule="auto"/>
        <w:jc w:val="left"/>
        <w:rPr>
          <w:rFonts w:ascii="宋体" w:cs="宋体"/>
          <w:color w:val="000000"/>
          <w:sz w:val="24"/>
          <w:szCs w:val="24"/>
          <w:highlight w:val="none"/>
        </w:rPr>
      </w:pPr>
    </w:p>
    <w:p>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投标人应仔细阅读招标文件，包括评标标准等，提供招标文件要求的相关方案、措施等，</w:t>
      </w:r>
      <w:r>
        <w:rPr>
          <w:rFonts w:hint="eastAsia" w:ascii="宋体" w:hAnsi="宋体" w:cs="宋体"/>
          <w:b/>
          <w:bCs/>
          <w:color w:val="000000"/>
          <w:sz w:val="24"/>
          <w:szCs w:val="24"/>
          <w:highlight w:val="none"/>
        </w:rPr>
        <w:t>格式自拟提供</w:t>
      </w:r>
      <w:r>
        <w:rPr>
          <w:rFonts w:hint="eastAsia" w:ascii="宋体" w:hAnsi="宋体" w:cs="宋体"/>
          <w:color w:val="000000"/>
          <w:sz w:val="24"/>
          <w:szCs w:val="24"/>
          <w:highlight w:val="none"/>
        </w:rPr>
        <w:t>。</w:t>
      </w:r>
      <w:bookmarkStart w:id="271" w:name="_Toc193858800"/>
      <w:bookmarkStart w:id="272" w:name="_Toc155772037"/>
      <w:bookmarkStart w:id="273" w:name="_Toc153353723"/>
      <w:bookmarkStart w:id="274" w:name="_Toc155772936"/>
      <w:bookmarkStart w:id="275" w:name="_Toc146011787"/>
      <w:bookmarkStart w:id="276" w:name="_Toc153356464"/>
      <w:bookmarkStart w:id="277" w:name="_Toc195427236"/>
      <w:bookmarkStart w:id="278" w:name="_Toc47418732"/>
      <w:bookmarkStart w:id="279" w:name="_Toc47261691"/>
      <w:bookmarkStart w:id="280" w:name="_Toc47262070"/>
      <w:bookmarkStart w:id="281" w:name="_Toc155772930"/>
      <w:bookmarkStart w:id="282" w:name="_Toc48791236"/>
      <w:bookmarkStart w:id="283" w:name="_Toc48995852"/>
      <w:bookmarkStart w:id="284" w:name="_Toc47261886"/>
      <w:bookmarkStart w:id="285" w:name="_Toc47418939"/>
      <w:bookmarkStart w:id="286" w:name="_Toc153353722"/>
      <w:bookmarkStart w:id="287" w:name="_Toc49019237"/>
      <w:bookmarkStart w:id="288" w:name="_Toc47418256"/>
      <w:bookmarkStart w:id="289" w:name="_Toc146011786"/>
    </w:p>
    <w:p>
      <w:pPr>
        <w:widowControl/>
        <w:jc w:val="left"/>
        <w:rPr>
          <w:rFonts w:ascii="宋体" w:hAnsi="宋体" w:cs="宋体"/>
          <w:b/>
          <w:color w:val="000000"/>
          <w:sz w:val="24"/>
          <w:szCs w:val="24"/>
          <w:highlight w:val="none"/>
        </w:rPr>
      </w:pPr>
      <w:r>
        <w:rPr>
          <w:highlight w:val="none"/>
        </w:rPr>
        <w:br w:type="page"/>
      </w:r>
      <w:bookmarkEnd w:id="271"/>
      <w:bookmarkEnd w:id="272"/>
      <w:bookmarkEnd w:id="273"/>
      <w:bookmarkEnd w:id="274"/>
      <w:bookmarkEnd w:id="275"/>
      <w:bookmarkEnd w:id="276"/>
      <w:bookmarkEnd w:id="277"/>
    </w:p>
    <w:bookmarkEnd w:id="278"/>
    <w:bookmarkEnd w:id="279"/>
    <w:bookmarkEnd w:id="280"/>
    <w:bookmarkEnd w:id="281"/>
    <w:bookmarkEnd w:id="282"/>
    <w:bookmarkEnd w:id="283"/>
    <w:bookmarkEnd w:id="284"/>
    <w:bookmarkEnd w:id="285"/>
    <w:bookmarkEnd w:id="286"/>
    <w:bookmarkEnd w:id="287"/>
    <w:bookmarkEnd w:id="288"/>
    <w:bookmarkEnd w:id="289"/>
    <w:p>
      <w:pPr>
        <w:widowControl/>
        <w:spacing w:line="600" w:lineRule="exact"/>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附表</w:t>
      </w:r>
    </w:p>
    <w:p>
      <w:pPr>
        <w:widowControl/>
        <w:spacing w:line="330" w:lineRule="atLeast"/>
        <w:jc w:val="center"/>
        <w:rPr>
          <w:rFonts w:ascii="方正小标宋_GBK" w:hAnsi="宋体" w:eastAsia="方正小标宋_GBK" w:cs="宋体"/>
          <w:color w:val="000000"/>
          <w:kern w:val="0"/>
          <w:sz w:val="36"/>
          <w:szCs w:val="32"/>
        </w:rPr>
      </w:pPr>
      <w:r>
        <w:rPr>
          <w:rFonts w:hint="eastAsia" w:ascii="方正小标宋_GBK" w:hAnsi="宋体" w:eastAsia="方正小标宋_GBK" w:cs="宋体"/>
          <w:color w:val="000000"/>
          <w:kern w:val="0"/>
          <w:sz w:val="36"/>
          <w:szCs w:val="32"/>
        </w:rPr>
        <w:t>大中小微型企业划分标准</w:t>
      </w:r>
    </w:p>
    <w:tbl>
      <w:tblPr>
        <w:tblStyle w:val="53"/>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pPr>
        <w:widowControl/>
        <w:spacing w:line="540" w:lineRule="exact"/>
        <w:rPr>
          <w:rFonts w:ascii="仿宋_GB2312" w:hAnsi="宋体" w:eastAsia="仿宋_GB2312" w:cs="宋体"/>
          <w:color w:val="000000"/>
          <w:spacing w:val="8"/>
          <w:kern w:val="0"/>
          <w:sz w:val="32"/>
          <w:szCs w:val="32"/>
        </w:rPr>
      </w:pPr>
      <w:r>
        <w:rPr>
          <w:rFonts w:hint="eastAsia" w:ascii="仿宋_GB2312" w:hAnsi="Times New Roman" w:eastAsia="仿宋_GB2312" w:cs="宋体"/>
          <w:color w:val="000000"/>
          <w:spacing w:val="8"/>
          <w:kern w:val="0"/>
          <w:sz w:val="32"/>
          <w:szCs w:val="32"/>
        </w:rPr>
        <w:t>说明：</w:t>
      </w:r>
    </w:p>
    <w:p>
      <w:pPr>
        <w:spacing w:line="360" w:lineRule="auto"/>
        <w:ind w:firstLine="672" w:firstLineChars="200"/>
        <w:rPr>
          <w:rFonts w:hint="eastAsia" w:ascii="宋体" w:hAnsi="宋体" w:cs="宋体"/>
          <w:color w:val="000000"/>
          <w:sz w:val="24"/>
          <w:szCs w:val="24"/>
          <w:highlight w:val="none"/>
        </w:rPr>
      </w:pPr>
      <w:r>
        <w:rPr>
          <w:rFonts w:hint="eastAsia" w:ascii="仿宋_GB2312" w:hAnsi="Times New Roman" w:eastAsia="仿宋_GB2312" w:cs="宋体"/>
          <w:color w:val="000000"/>
          <w:spacing w:val="8"/>
          <w:kern w:val="0"/>
          <w:sz w:val="32"/>
          <w:szCs w:val="32"/>
        </w:rPr>
        <w:t>　　</w:t>
      </w:r>
      <w:r>
        <w:rPr>
          <w:rFonts w:hint="eastAsia" w:ascii="宋体" w:hAnsi="宋体" w:cs="宋体"/>
          <w:color w:val="000000"/>
          <w:sz w:val="24"/>
          <w:szCs w:val="24"/>
          <w:highlight w:val="none"/>
        </w:rPr>
        <w:t>1.大型、中型和小型企业须同时满足所列指标的下限，否则下划一档；微型企业只须满足所列指标中的一项即可。</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spacing w:line="360" w:lineRule="auto"/>
        <w:ind w:firstLine="480" w:firstLineChars="200"/>
        <w:rPr>
          <w:rFonts w:hint="eastAsia" w:ascii="宋体" w:hAnsi="宋体" w:cs="宋体"/>
          <w:color w:val="000000"/>
          <w:sz w:val="24"/>
          <w:szCs w:val="24"/>
          <w:highlight w:val="none"/>
        </w:rPr>
      </w:pPr>
    </w:p>
    <w:p>
      <w:pPr>
        <w:spacing w:line="360" w:lineRule="auto"/>
        <w:ind w:firstLine="480" w:firstLineChars="200"/>
        <w:rPr>
          <w:rFonts w:hint="eastAsia" w:ascii="宋体" w:hAnsi="宋体" w:cs="宋体"/>
          <w:color w:val="000000"/>
          <w:sz w:val="24"/>
          <w:szCs w:val="24"/>
          <w:highlight w:val="none"/>
        </w:rPr>
      </w:pPr>
    </w:p>
    <w:sectPr>
      <w:footerReference r:id="rId12" w:type="default"/>
      <w:pgSz w:w="11907" w:h="16840"/>
      <w:pgMar w:top="1440" w:right="1469" w:bottom="1440" w:left="1622"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180" w:hanging="180" w:hangingChars="100"/>
      <w:jc w:val="right"/>
      <w:rPr>
        <w:rFonts w:hint="eastAsia" w:eastAsia="楷体_GB2312"/>
      </w:rPr>
    </w:pPr>
    <w:r>
      <w:rPr>
        <w:rFonts w:hint="eastAsia" w:eastAsia="楷体_GB2312"/>
        <w:highlight w:val="whit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Style w:val="57"/>
      </w:rPr>
      <w:fldChar w:fldCharType="begin"/>
    </w:r>
    <w:r>
      <w:rPr>
        <w:rStyle w:val="57"/>
      </w:rPr>
      <w:instrText xml:space="preserve"> PAGE </w:instrText>
    </w:r>
    <w:r>
      <w:rPr>
        <w:rStyle w:val="57"/>
      </w:rPr>
      <w:fldChar w:fldCharType="separate"/>
    </w:r>
    <w:r>
      <w:rPr>
        <w:rStyle w:val="57"/>
      </w:rPr>
      <w:t>2</w:t>
    </w:r>
    <w:r>
      <w:rPr>
        <w:rStyle w:val="5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7"/>
      </w:rPr>
    </w:pPr>
    <w:r>
      <w:rPr>
        <w:rStyle w:val="57"/>
      </w:rPr>
      <w:fldChar w:fldCharType="begin"/>
    </w:r>
    <w:r>
      <w:rPr>
        <w:rStyle w:val="57"/>
      </w:rPr>
      <w:instrText xml:space="preserve">PAGE  </w:instrText>
    </w:r>
    <w:r>
      <w:rPr>
        <w:rStyle w:val="57"/>
      </w:rPr>
      <w:fldChar w:fldCharType="separate"/>
    </w:r>
    <w:r>
      <w:rPr>
        <w:rStyle w:val="57"/>
      </w:rPr>
      <w:t>27</w:t>
    </w:r>
    <w:r>
      <w:rPr>
        <w:rStyle w:val="57"/>
      </w:rPr>
      <w:fldChar w:fldCharType="end"/>
    </w:r>
  </w:p>
  <w:p>
    <w:pPr>
      <w:pStyle w:val="2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 MERGEFORMAT </w:instrText>
    </w:r>
    <w:r>
      <w:fldChar w:fldCharType="separate"/>
    </w:r>
    <w:r>
      <w:rPr>
        <w:lang w:val="zh-CN"/>
      </w:rPr>
      <w:t>81</w:t>
    </w:r>
    <w:r>
      <w:rPr>
        <w:lang w:val="zh-CN"/>
      </w:rPr>
      <w:fldChar w:fldCharType="end"/>
    </w:r>
  </w:p>
  <w:p>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szCs w:val="18"/>
      </w:rPr>
    </w:pPr>
    <w:r>
      <w:rPr>
        <w:rStyle w:val="57"/>
        <w:szCs w:val="18"/>
      </w:rPr>
      <w:fldChar w:fldCharType="begin"/>
    </w:r>
    <w:r>
      <w:rPr>
        <w:rStyle w:val="57"/>
        <w:szCs w:val="18"/>
      </w:rPr>
      <w:instrText xml:space="preserve"> PAGE </w:instrText>
    </w:r>
    <w:r>
      <w:rPr>
        <w:rStyle w:val="57"/>
        <w:szCs w:val="18"/>
      </w:rPr>
      <w:fldChar w:fldCharType="separate"/>
    </w:r>
    <w:r>
      <w:rPr>
        <w:rStyle w:val="57"/>
        <w:szCs w:val="18"/>
      </w:rPr>
      <w:t>117</w:t>
    </w:r>
    <w:r>
      <w:rPr>
        <w:rStyle w:val="57"/>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sz w:val="18"/>
        <w:szCs w:val="18"/>
      </w:rPr>
    </w:pPr>
    <w:r>
      <w:pict>
        <v:shape id="PowerPlusWaterMarkObject48289329" o:spid="_x0000_s4097" o:spt="136" type="#_x0000_t136" style="position:absolute;left:0pt;height:36.65pt;width:586.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新疆生产建设兵团公共资源交易中心" style="font-family:宋体;font-size:8pt;v-same-letter-heights:f;v-text-align:center;"/>
        </v:shape>
      </w:pict>
    </w:r>
    <w:r>
      <w:rPr>
        <w:rFonts w:hint="eastAsia"/>
        <w:sz w:val="18"/>
        <w:szCs w:val="18"/>
        <w:highlight w:val="whit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left"/>
      <w:rPr>
        <w:rFonts w:hint="eastAsia"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ED579"/>
    <w:multiLevelType w:val="singleLevel"/>
    <w:tmpl w:val="8B4ED579"/>
    <w:lvl w:ilvl="0" w:tentative="0">
      <w:start w:val="1"/>
      <w:numFmt w:val="decimal"/>
      <w:lvlText w:val="%1."/>
      <w:lvlJc w:val="left"/>
      <w:pPr>
        <w:ind w:left="425" w:hanging="425"/>
      </w:pPr>
      <w:rPr>
        <w:rFonts w:hint="default"/>
      </w:rPr>
    </w:lvl>
  </w:abstractNum>
  <w:abstractNum w:abstractNumId="1">
    <w:nsid w:val="05C505B4"/>
    <w:multiLevelType w:val="multilevel"/>
    <w:tmpl w:val="05C505B4"/>
    <w:lvl w:ilvl="0" w:tentative="0">
      <w:start w:val="1"/>
      <w:numFmt w:val="decimal"/>
      <w:lvlText w:val="%1)"/>
      <w:lvlJc w:val="left"/>
      <w:pPr>
        <w:tabs>
          <w:tab w:val="left" w:pos="1680"/>
        </w:tabs>
        <w:ind w:left="168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7555A7A"/>
    <w:multiLevelType w:val="singleLevel"/>
    <w:tmpl w:val="07555A7A"/>
    <w:lvl w:ilvl="0" w:tentative="0">
      <w:start w:val="1"/>
      <w:numFmt w:val="chineseCounting"/>
      <w:suff w:val="nothing"/>
      <w:lvlText w:val="（%1）"/>
      <w:lvlJc w:val="left"/>
      <w:rPr>
        <w:rFonts w:hint="eastAsia"/>
      </w:rPr>
    </w:lvl>
  </w:abstractNum>
  <w:abstractNum w:abstractNumId="3">
    <w:nsid w:val="0C1657F2"/>
    <w:multiLevelType w:val="multilevel"/>
    <w:tmpl w:val="0C1657F2"/>
    <w:lvl w:ilvl="0" w:tentative="0">
      <w:start w:val="1"/>
      <w:numFmt w:val="decimal"/>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4">
    <w:nsid w:val="23757D77"/>
    <w:multiLevelType w:val="multilevel"/>
    <w:tmpl w:val="23757D77"/>
    <w:lvl w:ilvl="0" w:tentative="0">
      <w:start w:val="1"/>
      <w:numFmt w:val="japaneseCounting"/>
      <w:lvlText w:val="%1、"/>
      <w:lvlJc w:val="left"/>
      <w:pPr>
        <w:tabs>
          <w:tab w:val="left" w:pos="420"/>
        </w:tabs>
        <w:ind w:left="420" w:hanging="420"/>
      </w:pPr>
      <w:rPr>
        <w:rFonts w:hint="default" w:cs="Times New Roman"/>
      </w:rPr>
    </w:lvl>
    <w:lvl w:ilvl="1" w:tentative="0">
      <w:start w:val="1"/>
      <w:numFmt w:val="japaneseCounting"/>
      <w:lvlText w:val="第%2章"/>
      <w:lvlJc w:val="left"/>
      <w:pPr>
        <w:tabs>
          <w:tab w:val="left" w:pos="1408"/>
        </w:tabs>
        <w:ind w:left="1408" w:hanging="840"/>
      </w:pPr>
      <w:rPr>
        <w:rFonts w:hint="default" w:cs="Times New Roman"/>
      </w:rPr>
    </w:lvl>
    <w:lvl w:ilvl="2" w:tentative="0">
      <w:start w:val="1"/>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20"/>
        </w:tabs>
        <w:ind w:left="1620" w:hanging="36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23A77F1A"/>
    <w:multiLevelType w:val="multilevel"/>
    <w:tmpl w:val="23A77F1A"/>
    <w:lvl w:ilvl="0" w:tentative="0">
      <w:start w:val="1"/>
      <w:numFmt w:val="decimal"/>
      <w:lvlText w:val="%1)"/>
      <w:lvlJc w:val="left"/>
      <w:pPr>
        <w:tabs>
          <w:tab w:val="left" w:pos="1140"/>
        </w:tabs>
        <w:ind w:left="1140" w:hanging="420"/>
      </w:pPr>
      <w:rPr>
        <w:rFonts w:hint="eastAsia" w:cs="Times New Roman"/>
        <w:b/>
      </w:rPr>
    </w:lvl>
    <w:lvl w:ilvl="1" w:tentative="0">
      <w:start w:val="1"/>
      <w:numFmt w:val="lowerLetter"/>
      <w:lvlText w:val="%2)"/>
      <w:lvlJc w:val="left"/>
      <w:pPr>
        <w:tabs>
          <w:tab w:val="left" w:pos="1200"/>
        </w:tabs>
        <w:ind w:left="1200" w:hanging="420"/>
      </w:pPr>
      <w:rPr>
        <w:rFonts w:cs="Times New Roman"/>
      </w:rPr>
    </w:lvl>
    <w:lvl w:ilvl="2" w:tentative="0">
      <w:start w:val="1"/>
      <w:numFmt w:val="lowerRoman"/>
      <w:lvlText w:val="%3."/>
      <w:lvlJc w:val="right"/>
      <w:pPr>
        <w:tabs>
          <w:tab w:val="left" w:pos="1620"/>
        </w:tabs>
        <w:ind w:left="1620" w:hanging="420"/>
      </w:pPr>
      <w:rPr>
        <w:rFonts w:cs="Times New Roman"/>
      </w:rPr>
    </w:lvl>
    <w:lvl w:ilvl="3" w:tentative="0">
      <w:start w:val="1"/>
      <w:numFmt w:val="decimal"/>
      <w:lvlText w:val="%4."/>
      <w:lvlJc w:val="left"/>
      <w:pPr>
        <w:tabs>
          <w:tab w:val="left" w:pos="2040"/>
        </w:tabs>
        <w:ind w:left="2040" w:hanging="420"/>
      </w:pPr>
      <w:rPr>
        <w:rFonts w:cs="Times New Roman"/>
      </w:rPr>
    </w:lvl>
    <w:lvl w:ilvl="4" w:tentative="0">
      <w:start w:val="1"/>
      <w:numFmt w:val="lowerLetter"/>
      <w:lvlText w:val="%5)"/>
      <w:lvlJc w:val="left"/>
      <w:pPr>
        <w:tabs>
          <w:tab w:val="left" w:pos="2460"/>
        </w:tabs>
        <w:ind w:left="2460" w:hanging="420"/>
      </w:pPr>
      <w:rPr>
        <w:rFonts w:cs="Times New Roman"/>
      </w:rPr>
    </w:lvl>
    <w:lvl w:ilvl="5" w:tentative="0">
      <w:start w:val="1"/>
      <w:numFmt w:val="lowerRoman"/>
      <w:lvlText w:val="%6."/>
      <w:lvlJc w:val="right"/>
      <w:pPr>
        <w:tabs>
          <w:tab w:val="left" w:pos="2880"/>
        </w:tabs>
        <w:ind w:left="2880" w:hanging="420"/>
      </w:pPr>
      <w:rPr>
        <w:rFonts w:cs="Times New Roman"/>
      </w:rPr>
    </w:lvl>
    <w:lvl w:ilvl="6" w:tentative="0">
      <w:start w:val="1"/>
      <w:numFmt w:val="decimal"/>
      <w:lvlText w:val="%7."/>
      <w:lvlJc w:val="left"/>
      <w:pPr>
        <w:tabs>
          <w:tab w:val="left" w:pos="3300"/>
        </w:tabs>
        <w:ind w:left="3300" w:hanging="420"/>
      </w:pPr>
      <w:rPr>
        <w:rFonts w:cs="Times New Roman"/>
      </w:rPr>
    </w:lvl>
    <w:lvl w:ilvl="7" w:tentative="0">
      <w:start w:val="1"/>
      <w:numFmt w:val="lowerLetter"/>
      <w:lvlText w:val="%8)"/>
      <w:lvlJc w:val="left"/>
      <w:pPr>
        <w:tabs>
          <w:tab w:val="left" w:pos="3720"/>
        </w:tabs>
        <w:ind w:left="3720" w:hanging="420"/>
      </w:pPr>
      <w:rPr>
        <w:rFonts w:cs="Times New Roman"/>
      </w:rPr>
    </w:lvl>
    <w:lvl w:ilvl="8" w:tentative="0">
      <w:start w:val="1"/>
      <w:numFmt w:val="lowerRoman"/>
      <w:lvlText w:val="%9."/>
      <w:lvlJc w:val="right"/>
      <w:pPr>
        <w:tabs>
          <w:tab w:val="left" w:pos="4140"/>
        </w:tabs>
        <w:ind w:left="4140" w:hanging="420"/>
      </w:pPr>
      <w:rPr>
        <w:rFonts w:cs="Times New Roman"/>
      </w:rPr>
    </w:lvl>
  </w:abstractNum>
  <w:abstractNum w:abstractNumId="6">
    <w:nsid w:val="3FA85A6C"/>
    <w:multiLevelType w:val="multilevel"/>
    <w:tmpl w:val="3FA85A6C"/>
    <w:lvl w:ilvl="0" w:tentative="0">
      <w:start w:val="1"/>
      <w:numFmt w:val="decimal"/>
      <w:pStyle w:val="238"/>
      <w:lvlText w:val="（%1）"/>
      <w:lvlJc w:val="left"/>
      <w:pPr>
        <w:ind w:left="1200" w:hanging="720"/>
      </w:pPr>
      <w:rPr>
        <w:rFonts w:hint="default" w:ascii="Calibri" w:hAnsi="Calibri" w:cs="宋体"/>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7">
    <w:nsid w:val="3FBB35D9"/>
    <w:multiLevelType w:val="multilevel"/>
    <w:tmpl w:val="3FBB35D9"/>
    <w:lvl w:ilvl="0" w:tentative="0">
      <w:start w:val="1"/>
      <w:numFmt w:val="decimal"/>
      <w:pStyle w:val="242"/>
      <w:lvlText w:val="（%1）"/>
      <w:lvlJc w:val="left"/>
      <w:pPr>
        <w:ind w:left="1200" w:hanging="720"/>
      </w:pPr>
      <w:rPr>
        <w:rFonts w:hint="default" w:ascii="Calibri" w:hAnsi="Calibri" w:cs="宋体"/>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8">
    <w:nsid w:val="423C354E"/>
    <w:multiLevelType w:val="multilevel"/>
    <w:tmpl w:val="423C354E"/>
    <w:lvl w:ilvl="0" w:tentative="0">
      <w:start w:val="1"/>
      <w:numFmt w:val="decimal"/>
      <w:pStyle w:val="13"/>
      <w:lvlText w:val="%1."/>
      <w:lvlJc w:val="left"/>
      <w:pPr>
        <w:tabs>
          <w:tab w:val="left" w:pos="420"/>
        </w:tabs>
        <w:ind w:left="420" w:hanging="420"/>
      </w:pPr>
      <w:rPr>
        <w:rFonts w:cs="Times New Roman"/>
      </w:rPr>
    </w:lvl>
    <w:lvl w:ilvl="1" w:tentative="0">
      <w:start w:val="1"/>
      <w:numFmt w:val="bullet"/>
      <w:pStyle w:val="15"/>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4A1D0B86"/>
    <w:multiLevelType w:val="multilevel"/>
    <w:tmpl w:val="4A1D0B86"/>
    <w:lvl w:ilvl="0" w:tentative="0">
      <w:start w:val="1"/>
      <w:numFmt w:val="decimal"/>
      <w:lvlText w:val="%1."/>
      <w:lvlJc w:val="left"/>
      <w:pPr>
        <w:tabs>
          <w:tab w:val="left" w:pos="560"/>
        </w:tabs>
        <w:ind w:left="900" w:hanging="340"/>
      </w:pPr>
      <w:rPr>
        <w:rFonts w:hint="eastAsia" w:cs="Times New Roman"/>
      </w:rPr>
    </w:lvl>
    <w:lvl w:ilvl="1" w:tentative="0">
      <w:start w:val="1"/>
      <w:numFmt w:val="decimal"/>
      <w:lvlText w:val="%2."/>
      <w:lvlJc w:val="left"/>
      <w:pPr>
        <w:tabs>
          <w:tab w:val="left" w:pos="420"/>
        </w:tabs>
        <w:ind w:left="760" w:hanging="34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4AF31D51"/>
    <w:multiLevelType w:val="multilevel"/>
    <w:tmpl w:val="4AF31D51"/>
    <w:lvl w:ilvl="0" w:tentative="0">
      <w:start w:val="1"/>
      <w:numFmt w:val="bullet"/>
      <w:pStyle w:val="158"/>
      <w:lvlText w:val=""/>
      <w:lvlJc w:val="left"/>
      <w:pPr>
        <w:tabs>
          <w:tab w:val="left" w:pos="1500"/>
        </w:tabs>
        <w:ind w:left="1500" w:hanging="420"/>
      </w:pPr>
      <w:rPr>
        <w:rFonts w:hint="default" w:ascii="Wingdings" w:hAnsi="Wingdings"/>
      </w:rPr>
    </w:lvl>
    <w:lvl w:ilvl="1" w:tentative="0">
      <w:start w:val="1"/>
      <w:numFmt w:val="decimal"/>
      <w:lvlText w:val="%2."/>
      <w:lvlJc w:val="left"/>
      <w:pPr>
        <w:tabs>
          <w:tab w:val="left" w:pos="1407"/>
        </w:tabs>
        <w:ind w:left="1407" w:hanging="420"/>
      </w:pPr>
      <w:rPr>
        <w:rFonts w:hint="default" w:cs="Times New Roman"/>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1">
    <w:nsid w:val="5DB53A89"/>
    <w:multiLevelType w:val="multilevel"/>
    <w:tmpl w:val="5DB53A89"/>
    <w:lvl w:ilvl="0" w:tentative="0">
      <w:start w:val="2"/>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656D6134"/>
    <w:multiLevelType w:val="multilevel"/>
    <w:tmpl w:val="656D6134"/>
    <w:lvl w:ilvl="0" w:tentative="0">
      <w:start w:val="1"/>
      <w:numFmt w:val="japaneseCounting"/>
      <w:lvlText w:val="%1、"/>
      <w:lvlJc w:val="left"/>
      <w:pPr>
        <w:ind w:left="510" w:hanging="51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3">
    <w:nsid w:val="663B4382"/>
    <w:multiLevelType w:val="multilevel"/>
    <w:tmpl w:val="663B4382"/>
    <w:lvl w:ilvl="0" w:tentative="0">
      <w:start w:val="1"/>
      <w:numFmt w:val="decimal"/>
      <w:lvlText w:val="%1."/>
      <w:lvlJc w:val="left"/>
      <w:pPr>
        <w:tabs>
          <w:tab w:val="left" w:pos="360"/>
        </w:tabs>
        <w:ind w:left="360" w:hanging="360"/>
      </w:pPr>
      <w:rPr>
        <w:rFonts w:hint="default" w:cs="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decimal"/>
      <w:lvlText w:val="3.%3"/>
      <w:lvlJc w:val="left"/>
      <w:pPr>
        <w:tabs>
          <w:tab w:val="left" w:pos="0"/>
        </w:tabs>
        <w:ind w:left="454" w:hanging="454"/>
      </w:pPr>
      <w:rPr>
        <w:rFonts w:hint="eastAsia" w:cs="Times New Roman"/>
      </w:rPr>
    </w:lvl>
    <w:lvl w:ilvl="3" w:tentative="0">
      <w:start w:val="1"/>
      <w:numFmt w:val="decimal"/>
      <w:pStyle w:val="244"/>
      <w:lvlText w:val="%4)"/>
      <w:lvlJc w:val="left"/>
      <w:pPr>
        <w:tabs>
          <w:tab w:val="left" w:pos="1680"/>
        </w:tabs>
        <w:ind w:left="1680" w:hanging="420"/>
      </w:pPr>
      <w:rPr>
        <w:rFonts w:hint="eastAsia" w:cs="Times New Roman"/>
      </w:rPr>
    </w:lvl>
    <w:lvl w:ilvl="4" w:tentative="0">
      <w:start w:val="1"/>
      <w:numFmt w:val="decimal"/>
      <w:lvlText w:val="%5）"/>
      <w:lvlJc w:val="left"/>
      <w:pPr>
        <w:tabs>
          <w:tab w:val="left" w:pos="2400"/>
        </w:tabs>
        <w:ind w:left="2400" w:hanging="720"/>
      </w:pPr>
      <w:rPr>
        <w:rFonts w:hint="default"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6F54455B"/>
    <w:multiLevelType w:val="multilevel"/>
    <w:tmpl w:val="6F54455B"/>
    <w:lvl w:ilvl="0" w:tentative="0">
      <w:start w:val="17"/>
      <w:numFmt w:val="decimal"/>
      <w:lvlText w:val="%1"/>
      <w:lvlJc w:val="left"/>
      <w:pPr>
        <w:ind w:left="480" w:hanging="480"/>
      </w:pPr>
      <w:rPr>
        <w:rFonts w:hint="default" w:cs="Times New Roman"/>
      </w:rPr>
    </w:lvl>
    <w:lvl w:ilvl="1" w:tentative="0">
      <w:start w:val="6"/>
      <w:numFmt w:val="decimal"/>
      <w:lvlText w:val="%1.%2"/>
      <w:lvlJc w:val="left"/>
      <w:pPr>
        <w:ind w:left="960" w:hanging="480"/>
      </w:pPr>
      <w:rPr>
        <w:rFonts w:hint="default" w:cs="Times New Roman"/>
      </w:rPr>
    </w:lvl>
    <w:lvl w:ilvl="2" w:tentative="0">
      <w:start w:val="1"/>
      <w:numFmt w:val="decimal"/>
      <w:lvlText w:val="%1.%2.%3"/>
      <w:lvlJc w:val="left"/>
      <w:pPr>
        <w:ind w:left="1680" w:hanging="720"/>
      </w:pPr>
      <w:rPr>
        <w:rFonts w:hint="default" w:cs="Times New Roman"/>
      </w:rPr>
    </w:lvl>
    <w:lvl w:ilvl="3" w:tentative="0">
      <w:start w:val="1"/>
      <w:numFmt w:val="decimal"/>
      <w:lvlText w:val="%1.%2.%3.%4"/>
      <w:lvlJc w:val="left"/>
      <w:pPr>
        <w:ind w:left="2520" w:hanging="1080"/>
      </w:pPr>
      <w:rPr>
        <w:rFonts w:hint="default" w:cs="Times New Roman"/>
      </w:rPr>
    </w:lvl>
    <w:lvl w:ilvl="4" w:tentative="0">
      <w:start w:val="1"/>
      <w:numFmt w:val="decimal"/>
      <w:lvlText w:val="%1.%2.%3.%4.%5"/>
      <w:lvlJc w:val="left"/>
      <w:pPr>
        <w:ind w:left="3000" w:hanging="1080"/>
      </w:pPr>
      <w:rPr>
        <w:rFonts w:hint="default" w:cs="Times New Roman"/>
      </w:rPr>
    </w:lvl>
    <w:lvl w:ilvl="5" w:tentative="0">
      <w:start w:val="1"/>
      <w:numFmt w:val="decimal"/>
      <w:lvlText w:val="%1.%2.%3.%4.%5.%6"/>
      <w:lvlJc w:val="left"/>
      <w:pPr>
        <w:ind w:left="3840" w:hanging="1440"/>
      </w:pPr>
      <w:rPr>
        <w:rFonts w:hint="default" w:cs="Times New Roman"/>
      </w:rPr>
    </w:lvl>
    <w:lvl w:ilvl="6" w:tentative="0">
      <w:start w:val="1"/>
      <w:numFmt w:val="decimal"/>
      <w:lvlText w:val="%1.%2.%3.%4.%5.%6.%7"/>
      <w:lvlJc w:val="left"/>
      <w:pPr>
        <w:ind w:left="4680" w:hanging="1800"/>
      </w:pPr>
      <w:rPr>
        <w:rFonts w:hint="default" w:cs="Times New Roman"/>
      </w:rPr>
    </w:lvl>
    <w:lvl w:ilvl="7" w:tentative="0">
      <w:start w:val="1"/>
      <w:numFmt w:val="decimal"/>
      <w:lvlText w:val="%1.%2.%3.%4.%5.%6.%7.%8"/>
      <w:lvlJc w:val="left"/>
      <w:pPr>
        <w:ind w:left="5160" w:hanging="1800"/>
      </w:pPr>
      <w:rPr>
        <w:rFonts w:hint="default" w:cs="Times New Roman"/>
      </w:rPr>
    </w:lvl>
    <w:lvl w:ilvl="8" w:tentative="0">
      <w:start w:val="1"/>
      <w:numFmt w:val="decimal"/>
      <w:lvlText w:val="%1.%2.%3.%4.%5.%6.%7.%8.%9"/>
      <w:lvlJc w:val="left"/>
      <w:pPr>
        <w:ind w:left="6000" w:hanging="2160"/>
      </w:pPr>
      <w:rPr>
        <w:rFonts w:hint="default" w:cs="Times New Roman"/>
      </w:rPr>
    </w:lvl>
  </w:abstractNum>
  <w:num w:numId="1">
    <w:abstractNumId w:val="8"/>
  </w:num>
  <w:num w:numId="2">
    <w:abstractNumId w:val="10"/>
  </w:num>
  <w:num w:numId="3">
    <w:abstractNumId w:val="6"/>
  </w:num>
  <w:num w:numId="4">
    <w:abstractNumId w:val="7"/>
  </w:num>
  <w:num w:numId="5">
    <w:abstractNumId w:val="13"/>
  </w:num>
  <w:num w:numId="6">
    <w:abstractNumId w:val="12"/>
  </w:num>
  <w:num w:numId="7">
    <w:abstractNumId w:val="3"/>
  </w:num>
  <w:num w:numId="8">
    <w:abstractNumId w:val="4"/>
  </w:num>
  <w:num w:numId="9">
    <w:abstractNumId w:val="1"/>
  </w:num>
  <w:num w:numId="10">
    <w:abstractNumId w:val="14"/>
  </w:num>
  <w:num w:numId="11">
    <w:abstractNumId w:val="5"/>
  </w:num>
  <w:num w:numId="12">
    <w:abstractNumId w:val="2"/>
  </w:num>
  <w:num w:numId="13">
    <w:abstractNumId w:val="0"/>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5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NjhjNTVjZWNkYjgwZWJiYzg1MzUxNjA3YmQzM2IifQ=="/>
  </w:docVars>
  <w:rsids>
    <w:rsidRoot w:val="00064755"/>
    <w:rsid w:val="0000036B"/>
    <w:rsid w:val="00000F9D"/>
    <w:rsid w:val="00001749"/>
    <w:rsid w:val="0000229A"/>
    <w:rsid w:val="000025A7"/>
    <w:rsid w:val="00002916"/>
    <w:rsid w:val="00002B02"/>
    <w:rsid w:val="00003093"/>
    <w:rsid w:val="0000388F"/>
    <w:rsid w:val="00004038"/>
    <w:rsid w:val="0000462E"/>
    <w:rsid w:val="00004984"/>
    <w:rsid w:val="0000630B"/>
    <w:rsid w:val="00007F5F"/>
    <w:rsid w:val="00007FA8"/>
    <w:rsid w:val="00010580"/>
    <w:rsid w:val="00010F0A"/>
    <w:rsid w:val="00011A63"/>
    <w:rsid w:val="00011D72"/>
    <w:rsid w:val="00012625"/>
    <w:rsid w:val="00012640"/>
    <w:rsid w:val="000127B7"/>
    <w:rsid w:val="00014B79"/>
    <w:rsid w:val="00014EE7"/>
    <w:rsid w:val="000153AC"/>
    <w:rsid w:val="0001555F"/>
    <w:rsid w:val="000157A5"/>
    <w:rsid w:val="00015D99"/>
    <w:rsid w:val="0001785D"/>
    <w:rsid w:val="00017B44"/>
    <w:rsid w:val="00020477"/>
    <w:rsid w:val="000221EF"/>
    <w:rsid w:val="00022767"/>
    <w:rsid w:val="00023661"/>
    <w:rsid w:val="00023BF4"/>
    <w:rsid w:val="000246D1"/>
    <w:rsid w:val="0002628D"/>
    <w:rsid w:val="000267F3"/>
    <w:rsid w:val="00026990"/>
    <w:rsid w:val="0003098C"/>
    <w:rsid w:val="00030A21"/>
    <w:rsid w:val="00030C24"/>
    <w:rsid w:val="00030D6D"/>
    <w:rsid w:val="00031366"/>
    <w:rsid w:val="00033DA2"/>
    <w:rsid w:val="00035062"/>
    <w:rsid w:val="00036452"/>
    <w:rsid w:val="000400FD"/>
    <w:rsid w:val="00040B5C"/>
    <w:rsid w:val="00040BF6"/>
    <w:rsid w:val="00041460"/>
    <w:rsid w:val="000420A8"/>
    <w:rsid w:val="00042779"/>
    <w:rsid w:val="00043411"/>
    <w:rsid w:val="00043643"/>
    <w:rsid w:val="00045904"/>
    <w:rsid w:val="00046008"/>
    <w:rsid w:val="00046806"/>
    <w:rsid w:val="0004718D"/>
    <w:rsid w:val="00047CCA"/>
    <w:rsid w:val="0005001E"/>
    <w:rsid w:val="00050D49"/>
    <w:rsid w:val="0005143E"/>
    <w:rsid w:val="00051738"/>
    <w:rsid w:val="000517A4"/>
    <w:rsid w:val="000517AC"/>
    <w:rsid w:val="000518A9"/>
    <w:rsid w:val="00051C7D"/>
    <w:rsid w:val="00051D70"/>
    <w:rsid w:val="00052536"/>
    <w:rsid w:val="00053ECD"/>
    <w:rsid w:val="00054067"/>
    <w:rsid w:val="000557FD"/>
    <w:rsid w:val="0005580C"/>
    <w:rsid w:val="0005623A"/>
    <w:rsid w:val="000567F1"/>
    <w:rsid w:val="0005742C"/>
    <w:rsid w:val="00060438"/>
    <w:rsid w:val="000604E0"/>
    <w:rsid w:val="0006175B"/>
    <w:rsid w:val="000631D1"/>
    <w:rsid w:val="00063E84"/>
    <w:rsid w:val="00064755"/>
    <w:rsid w:val="0006591A"/>
    <w:rsid w:val="00066220"/>
    <w:rsid w:val="00066D3B"/>
    <w:rsid w:val="00067049"/>
    <w:rsid w:val="00067615"/>
    <w:rsid w:val="00067950"/>
    <w:rsid w:val="000707C6"/>
    <w:rsid w:val="00071096"/>
    <w:rsid w:val="00071F8E"/>
    <w:rsid w:val="000736E3"/>
    <w:rsid w:val="0007403F"/>
    <w:rsid w:val="00074DC5"/>
    <w:rsid w:val="00075C58"/>
    <w:rsid w:val="000760AD"/>
    <w:rsid w:val="000765B1"/>
    <w:rsid w:val="00076648"/>
    <w:rsid w:val="000775E1"/>
    <w:rsid w:val="0008159A"/>
    <w:rsid w:val="00081EFB"/>
    <w:rsid w:val="000835AA"/>
    <w:rsid w:val="00084193"/>
    <w:rsid w:val="00084872"/>
    <w:rsid w:val="00085E2A"/>
    <w:rsid w:val="00086A75"/>
    <w:rsid w:val="0008799A"/>
    <w:rsid w:val="00087B35"/>
    <w:rsid w:val="00087CC2"/>
    <w:rsid w:val="0009165E"/>
    <w:rsid w:val="0009173F"/>
    <w:rsid w:val="000924AA"/>
    <w:rsid w:val="00092B21"/>
    <w:rsid w:val="0009314A"/>
    <w:rsid w:val="00093716"/>
    <w:rsid w:val="000952B8"/>
    <w:rsid w:val="00095CC4"/>
    <w:rsid w:val="000965CF"/>
    <w:rsid w:val="00096766"/>
    <w:rsid w:val="0009703C"/>
    <w:rsid w:val="000A0B91"/>
    <w:rsid w:val="000A1D75"/>
    <w:rsid w:val="000A22F0"/>
    <w:rsid w:val="000A2ACA"/>
    <w:rsid w:val="000A34BD"/>
    <w:rsid w:val="000A410E"/>
    <w:rsid w:val="000A49F8"/>
    <w:rsid w:val="000A4DB7"/>
    <w:rsid w:val="000A4E2D"/>
    <w:rsid w:val="000A5C49"/>
    <w:rsid w:val="000A66C9"/>
    <w:rsid w:val="000A67CD"/>
    <w:rsid w:val="000A6870"/>
    <w:rsid w:val="000B0B34"/>
    <w:rsid w:val="000B0DDA"/>
    <w:rsid w:val="000B116D"/>
    <w:rsid w:val="000B20B7"/>
    <w:rsid w:val="000B20EB"/>
    <w:rsid w:val="000B2FE5"/>
    <w:rsid w:val="000B4E08"/>
    <w:rsid w:val="000B5CA7"/>
    <w:rsid w:val="000B72F1"/>
    <w:rsid w:val="000B77AE"/>
    <w:rsid w:val="000B7EAE"/>
    <w:rsid w:val="000C0E75"/>
    <w:rsid w:val="000C2A5B"/>
    <w:rsid w:val="000C3052"/>
    <w:rsid w:val="000C3EE7"/>
    <w:rsid w:val="000C42F6"/>
    <w:rsid w:val="000C5678"/>
    <w:rsid w:val="000C7035"/>
    <w:rsid w:val="000C74C4"/>
    <w:rsid w:val="000C7787"/>
    <w:rsid w:val="000C7795"/>
    <w:rsid w:val="000C7A05"/>
    <w:rsid w:val="000C7AAF"/>
    <w:rsid w:val="000C7AEA"/>
    <w:rsid w:val="000C7C91"/>
    <w:rsid w:val="000C7E20"/>
    <w:rsid w:val="000D051A"/>
    <w:rsid w:val="000D060E"/>
    <w:rsid w:val="000D147E"/>
    <w:rsid w:val="000D1CB9"/>
    <w:rsid w:val="000D2582"/>
    <w:rsid w:val="000D2762"/>
    <w:rsid w:val="000D27D6"/>
    <w:rsid w:val="000D2A0A"/>
    <w:rsid w:val="000D31D7"/>
    <w:rsid w:val="000D32E3"/>
    <w:rsid w:val="000D3676"/>
    <w:rsid w:val="000D39FC"/>
    <w:rsid w:val="000D5410"/>
    <w:rsid w:val="000D6086"/>
    <w:rsid w:val="000D6212"/>
    <w:rsid w:val="000D658E"/>
    <w:rsid w:val="000D65B1"/>
    <w:rsid w:val="000E0198"/>
    <w:rsid w:val="000E2123"/>
    <w:rsid w:val="000E2C34"/>
    <w:rsid w:val="000E3037"/>
    <w:rsid w:val="000E3790"/>
    <w:rsid w:val="000E392D"/>
    <w:rsid w:val="000E492B"/>
    <w:rsid w:val="000E5615"/>
    <w:rsid w:val="000E77B1"/>
    <w:rsid w:val="000F099A"/>
    <w:rsid w:val="000F0C1A"/>
    <w:rsid w:val="000F1B6B"/>
    <w:rsid w:val="000F1CD4"/>
    <w:rsid w:val="000F2B09"/>
    <w:rsid w:val="000F2D05"/>
    <w:rsid w:val="000F3FD2"/>
    <w:rsid w:val="000F4088"/>
    <w:rsid w:val="000F4324"/>
    <w:rsid w:val="000F45DB"/>
    <w:rsid w:val="000F5BF6"/>
    <w:rsid w:val="000F5D6E"/>
    <w:rsid w:val="000F6252"/>
    <w:rsid w:val="000F7155"/>
    <w:rsid w:val="000F717F"/>
    <w:rsid w:val="000F71C6"/>
    <w:rsid w:val="000F77FB"/>
    <w:rsid w:val="000F7D53"/>
    <w:rsid w:val="00100B45"/>
    <w:rsid w:val="00100CB8"/>
    <w:rsid w:val="001018DC"/>
    <w:rsid w:val="00101BD1"/>
    <w:rsid w:val="00102B61"/>
    <w:rsid w:val="00104913"/>
    <w:rsid w:val="00104B69"/>
    <w:rsid w:val="00105123"/>
    <w:rsid w:val="001053B3"/>
    <w:rsid w:val="00106FEC"/>
    <w:rsid w:val="00107903"/>
    <w:rsid w:val="001136B8"/>
    <w:rsid w:val="001138F8"/>
    <w:rsid w:val="00116339"/>
    <w:rsid w:val="0011678D"/>
    <w:rsid w:val="001178B3"/>
    <w:rsid w:val="00117E2F"/>
    <w:rsid w:val="00117EA4"/>
    <w:rsid w:val="001217F8"/>
    <w:rsid w:val="001228E5"/>
    <w:rsid w:val="00122C22"/>
    <w:rsid w:val="0012373B"/>
    <w:rsid w:val="001242AD"/>
    <w:rsid w:val="00124AD4"/>
    <w:rsid w:val="00126B84"/>
    <w:rsid w:val="001272B3"/>
    <w:rsid w:val="001276AE"/>
    <w:rsid w:val="00127E99"/>
    <w:rsid w:val="001307DD"/>
    <w:rsid w:val="001308FA"/>
    <w:rsid w:val="0013168C"/>
    <w:rsid w:val="00132DA6"/>
    <w:rsid w:val="001346C8"/>
    <w:rsid w:val="00134B91"/>
    <w:rsid w:val="00134EF1"/>
    <w:rsid w:val="0013500F"/>
    <w:rsid w:val="00135A97"/>
    <w:rsid w:val="00135D56"/>
    <w:rsid w:val="00136109"/>
    <w:rsid w:val="00136441"/>
    <w:rsid w:val="00136489"/>
    <w:rsid w:val="0013699F"/>
    <w:rsid w:val="00136F75"/>
    <w:rsid w:val="00140482"/>
    <w:rsid w:val="00140D99"/>
    <w:rsid w:val="00143B70"/>
    <w:rsid w:val="00146705"/>
    <w:rsid w:val="0014704D"/>
    <w:rsid w:val="0014771D"/>
    <w:rsid w:val="00150F07"/>
    <w:rsid w:val="00155142"/>
    <w:rsid w:val="0015531B"/>
    <w:rsid w:val="001553D2"/>
    <w:rsid w:val="00155B14"/>
    <w:rsid w:val="00156047"/>
    <w:rsid w:val="00156128"/>
    <w:rsid w:val="00156484"/>
    <w:rsid w:val="00156C04"/>
    <w:rsid w:val="00156F5E"/>
    <w:rsid w:val="001570AA"/>
    <w:rsid w:val="00160452"/>
    <w:rsid w:val="001604C9"/>
    <w:rsid w:val="00160BA0"/>
    <w:rsid w:val="00160DBB"/>
    <w:rsid w:val="00161728"/>
    <w:rsid w:val="00161804"/>
    <w:rsid w:val="00162851"/>
    <w:rsid w:val="00162A64"/>
    <w:rsid w:val="00163155"/>
    <w:rsid w:val="001631F4"/>
    <w:rsid w:val="001632DC"/>
    <w:rsid w:val="00163749"/>
    <w:rsid w:val="00163EAE"/>
    <w:rsid w:val="00164D06"/>
    <w:rsid w:val="00164F6C"/>
    <w:rsid w:val="00165357"/>
    <w:rsid w:val="001659C6"/>
    <w:rsid w:val="001665F0"/>
    <w:rsid w:val="00167483"/>
    <w:rsid w:val="00167CA3"/>
    <w:rsid w:val="00170701"/>
    <w:rsid w:val="00170D94"/>
    <w:rsid w:val="00171077"/>
    <w:rsid w:val="001714FE"/>
    <w:rsid w:val="00172593"/>
    <w:rsid w:val="00172D14"/>
    <w:rsid w:val="00173093"/>
    <w:rsid w:val="001732B7"/>
    <w:rsid w:val="0017425F"/>
    <w:rsid w:val="00174CF8"/>
    <w:rsid w:val="0017577C"/>
    <w:rsid w:val="00175D86"/>
    <w:rsid w:val="0017684C"/>
    <w:rsid w:val="001777AF"/>
    <w:rsid w:val="00180E4D"/>
    <w:rsid w:val="00181082"/>
    <w:rsid w:val="00182526"/>
    <w:rsid w:val="00182896"/>
    <w:rsid w:val="001830E1"/>
    <w:rsid w:val="001834B3"/>
    <w:rsid w:val="0018365B"/>
    <w:rsid w:val="00183684"/>
    <w:rsid w:val="00183BB3"/>
    <w:rsid w:val="00184170"/>
    <w:rsid w:val="001848F1"/>
    <w:rsid w:val="001859C3"/>
    <w:rsid w:val="00185B35"/>
    <w:rsid w:val="00185B8E"/>
    <w:rsid w:val="00186A27"/>
    <w:rsid w:val="001874B5"/>
    <w:rsid w:val="001918F5"/>
    <w:rsid w:val="00191B6E"/>
    <w:rsid w:val="00192BF1"/>
    <w:rsid w:val="001932CF"/>
    <w:rsid w:val="00193AA2"/>
    <w:rsid w:val="00194B7E"/>
    <w:rsid w:val="00194C89"/>
    <w:rsid w:val="00195E49"/>
    <w:rsid w:val="00196240"/>
    <w:rsid w:val="0019651F"/>
    <w:rsid w:val="00196E27"/>
    <w:rsid w:val="001976FE"/>
    <w:rsid w:val="001A15A5"/>
    <w:rsid w:val="001A1B92"/>
    <w:rsid w:val="001A208D"/>
    <w:rsid w:val="001A2248"/>
    <w:rsid w:val="001A330E"/>
    <w:rsid w:val="001A33E0"/>
    <w:rsid w:val="001A48D6"/>
    <w:rsid w:val="001A4C39"/>
    <w:rsid w:val="001A4D0B"/>
    <w:rsid w:val="001A5098"/>
    <w:rsid w:val="001A5502"/>
    <w:rsid w:val="001A5B1E"/>
    <w:rsid w:val="001A7233"/>
    <w:rsid w:val="001A7C62"/>
    <w:rsid w:val="001B0142"/>
    <w:rsid w:val="001B0CA3"/>
    <w:rsid w:val="001B0E45"/>
    <w:rsid w:val="001B0F9A"/>
    <w:rsid w:val="001B3AC6"/>
    <w:rsid w:val="001B3EF4"/>
    <w:rsid w:val="001B41E5"/>
    <w:rsid w:val="001B42A7"/>
    <w:rsid w:val="001B4747"/>
    <w:rsid w:val="001B4F02"/>
    <w:rsid w:val="001B5839"/>
    <w:rsid w:val="001B69BD"/>
    <w:rsid w:val="001B6E8D"/>
    <w:rsid w:val="001B7BD2"/>
    <w:rsid w:val="001C1CAB"/>
    <w:rsid w:val="001C25CA"/>
    <w:rsid w:val="001C2650"/>
    <w:rsid w:val="001C272E"/>
    <w:rsid w:val="001C4412"/>
    <w:rsid w:val="001C466A"/>
    <w:rsid w:val="001C526E"/>
    <w:rsid w:val="001C5412"/>
    <w:rsid w:val="001D03E5"/>
    <w:rsid w:val="001D060A"/>
    <w:rsid w:val="001D1952"/>
    <w:rsid w:val="001D23AE"/>
    <w:rsid w:val="001D2536"/>
    <w:rsid w:val="001D3E02"/>
    <w:rsid w:val="001D418F"/>
    <w:rsid w:val="001D5374"/>
    <w:rsid w:val="001D5997"/>
    <w:rsid w:val="001D5ACC"/>
    <w:rsid w:val="001D5FB4"/>
    <w:rsid w:val="001D6194"/>
    <w:rsid w:val="001D7D62"/>
    <w:rsid w:val="001E0C56"/>
    <w:rsid w:val="001E1A8C"/>
    <w:rsid w:val="001E236E"/>
    <w:rsid w:val="001E2C78"/>
    <w:rsid w:val="001E2F31"/>
    <w:rsid w:val="001E3519"/>
    <w:rsid w:val="001E3727"/>
    <w:rsid w:val="001E39B4"/>
    <w:rsid w:val="001E3EF1"/>
    <w:rsid w:val="001E5961"/>
    <w:rsid w:val="001E62E4"/>
    <w:rsid w:val="001E67F5"/>
    <w:rsid w:val="001E694C"/>
    <w:rsid w:val="001E6A17"/>
    <w:rsid w:val="001E6D93"/>
    <w:rsid w:val="001E7F55"/>
    <w:rsid w:val="001F0025"/>
    <w:rsid w:val="001F127D"/>
    <w:rsid w:val="001F24DC"/>
    <w:rsid w:val="001F2CD4"/>
    <w:rsid w:val="001F3DCF"/>
    <w:rsid w:val="001F409B"/>
    <w:rsid w:val="001F48E0"/>
    <w:rsid w:val="001F4FC3"/>
    <w:rsid w:val="001F55ED"/>
    <w:rsid w:val="001F5F8D"/>
    <w:rsid w:val="001F6224"/>
    <w:rsid w:val="001F7393"/>
    <w:rsid w:val="001F78F5"/>
    <w:rsid w:val="00201181"/>
    <w:rsid w:val="00201397"/>
    <w:rsid w:val="0020159F"/>
    <w:rsid w:val="00203763"/>
    <w:rsid w:val="00203B6C"/>
    <w:rsid w:val="00204152"/>
    <w:rsid w:val="0020509B"/>
    <w:rsid w:val="002052B1"/>
    <w:rsid w:val="0020559D"/>
    <w:rsid w:val="00205DDE"/>
    <w:rsid w:val="00206F7D"/>
    <w:rsid w:val="00207AEE"/>
    <w:rsid w:val="00207D34"/>
    <w:rsid w:val="00207EE2"/>
    <w:rsid w:val="00211239"/>
    <w:rsid w:val="00211B48"/>
    <w:rsid w:val="00212E88"/>
    <w:rsid w:val="00213548"/>
    <w:rsid w:val="00214155"/>
    <w:rsid w:val="00216B1F"/>
    <w:rsid w:val="00216F2E"/>
    <w:rsid w:val="00217EDF"/>
    <w:rsid w:val="0022008D"/>
    <w:rsid w:val="00220109"/>
    <w:rsid w:val="00220370"/>
    <w:rsid w:val="00220498"/>
    <w:rsid w:val="00220CCE"/>
    <w:rsid w:val="002214F0"/>
    <w:rsid w:val="00222570"/>
    <w:rsid w:val="00223C71"/>
    <w:rsid w:val="002241AC"/>
    <w:rsid w:val="0022443F"/>
    <w:rsid w:val="002246FD"/>
    <w:rsid w:val="00224E79"/>
    <w:rsid w:val="00225407"/>
    <w:rsid w:val="00225E8D"/>
    <w:rsid w:val="00226FAB"/>
    <w:rsid w:val="00227EC0"/>
    <w:rsid w:val="00230346"/>
    <w:rsid w:val="00230721"/>
    <w:rsid w:val="002308A0"/>
    <w:rsid w:val="00231029"/>
    <w:rsid w:val="00231E61"/>
    <w:rsid w:val="0023227F"/>
    <w:rsid w:val="00232696"/>
    <w:rsid w:val="002327AC"/>
    <w:rsid w:val="00232CE0"/>
    <w:rsid w:val="00233039"/>
    <w:rsid w:val="00233203"/>
    <w:rsid w:val="00234770"/>
    <w:rsid w:val="00234884"/>
    <w:rsid w:val="00234C10"/>
    <w:rsid w:val="00234CCF"/>
    <w:rsid w:val="002364E9"/>
    <w:rsid w:val="00236786"/>
    <w:rsid w:val="00237308"/>
    <w:rsid w:val="002407DC"/>
    <w:rsid w:val="002408CB"/>
    <w:rsid w:val="00240A5B"/>
    <w:rsid w:val="00240AC7"/>
    <w:rsid w:val="002417E7"/>
    <w:rsid w:val="00241807"/>
    <w:rsid w:val="00241D71"/>
    <w:rsid w:val="00242A9D"/>
    <w:rsid w:val="00243C35"/>
    <w:rsid w:val="00244679"/>
    <w:rsid w:val="00244B81"/>
    <w:rsid w:val="00246A7F"/>
    <w:rsid w:val="00247D17"/>
    <w:rsid w:val="002510AE"/>
    <w:rsid w:val="00252A9F"/>
    <w:rsid w:val="00252BFE"/>
    <w:rsid w:val="0025377F"/>
    <w:rsid w:val="00254C30"/>
    <w:rsid w:val="00254CC3"/>
    <w:rsid w:val="0025537B"/>
    <w:rsid w:val="00255E20"/>
    <w:rsid w:val="0025619B"/>
    <w:rsid w:val="002563B1"/>
    <w:rsid w:val="002564AD"/>
    <w:rsid w:val="002570AF"/>
    <w:rsid w:val="00257678"/>
    <w:rsid w:val="00257AE6"/>
    <w:rsid w:val="00257DAC"/>
    <w:rsid w:val="002603BA"/>
    <w:rsid w:val="00260C01"/>
    <w:rsid w:val="002615AC"/>
    <w:rsid w:val="00262C2F"/>
    <w:rsid w:val="0026330C"/>
    <w:rsid w:val="00263417"/>
    <w:rsid w:val="00264F98"/>
    <w:rsid w:val="00265788"/>
    <w:rsid w:val="00265A87"/>
    <w:rsid w:val="0026630F"/>
    <w:rsid w:val="00266D94"/>
    <w:rsid w:val="00267C1B"/>
    <w:rsid w:val="00270F32"/>
    <w:rsid w:val="00271BC8"/>
    <w:rsid w:val="00271FFE"/>
    <w:rsid w:val="002724DC"/>
    <w:rsid w:val="0027440A"/>
    <w:rsid w:val="0027617F"/>
    <w:rsid w:val="0027634D"/>
    <w:rsid w:val="002779E9"/>
    <w:rsid w:val="0028060E"/>
    <w:rsid w:val="00281402"/>
    <w:rsid w:val="00281C3C"/>
    <w:rsid w:val="00282E93"/>
    <w:rsid w:val="00282ECB"/>
    <w:rsid w:val="00284589"/>
    <w:rsid w:val="00284CB4"/>
    <w:rsid w:val="002866EE"/>
    <w:rsid w:val="00291DD7"/>
    <w:rsid w:val="00291FE7"/>
    <w:rsid w:val="00292465"/>
    <w:rsid w:val="00292B27"/>
    <w:rsid w:val="002942EE"/>
    <w:rsid w:val="002953B1"/>
    <w:rsid w:val="002A0ABB"/>
    <w:rsid w:val="002A0D4A"/>
    <w:rsid w:val="002A0EE7"/>
    <w:rsid w:val="002A100B"/>
    <w:rsid w:val="002A171D"/>
    <w:rsid w:val="002A2A14"/>
    <w:rsid w:val="002A43C1"/>
    <w:rsid w:val="002A610A"/>
    <w:rsid w:val="002A61EC"/>
    <w:rsid w:val="002A6D50"/>
    <w:rsid w:val="002A74C7"/>
    <w:rsid w:val="002A7513"/>
    <w:rsid w:val="002A76A5"/>
    <w:rsid w:val="002A773B"/>
    <w:rsid w:val="002B12F4"/>
    <w:rsid w:val="002B1844"/>
    <w:rsid w:val="002B1EDC"/>
    <w:rsid w:val="002B20A3"/>
    <w:rsid w:val="002B20A5"/>
    <w:rsid w:val="002B31A8"/>
    <w:rsid w:val="002B36F6"/>
    <w:rsid w:val="002B38BE"/>
    <w:rsid w:val="002B5077"/>
    <w:rsid w:val="002B50A6"/>
    <w:rsid w:val="002B7235"/>
    <w:rsid w:val="002B750F"/>
    <w:rsid w:val="002C0B8B"/>
    <w:rsid w:val="002C1CA4"/>
    <w:rsid w:val="002C2D7B"/>
    <w:rsid w:val="002C2F96"/>
    <w:rsid w:val="002C3849"/>
    <w:rsid w:val="002C3B7E"/>
    <w:rsid w:val="002C4AAE"/>
    <w:rsid w:val="002C51CE"/>
    <w:rsid w:val="002C72C7"/>
    <w:rsid w:val="002C7DD0"/>
    <w:rsid w:val="002D0860"/>
    <w:rsid w:val="002D18CA"/>
    <w:rsid w:val="002D2DEE"/>
    <w:rsid w:val="002D34F1"/>
    <w:rsid w:val="002D3CA4"/>
    <w:rsid w:val="002D4394"/>
    <w:rsid w:val="002D4669"/>
    <w:rsid w:val="002D4D80"/>
    <w:rsid w:val="002D55DB"/>
    <w:rsid w:val="002D5C30"/>
    <w:rsid w:val="002D5FCC"/>
    <w:rsid w:val="002D6365"/>
    <w:rsid w:val="002D69FF"/>
    <w:rsid w:val="002E017F"/>
    <w:rsid w:val="002E0570"/>
    <w:rsid w:val="002E1491"/>
    <w:rsid w:val="002E14D8"/>
    <w:rsid w:val="002E1825"/>
    <w:rsid w:val="002E22FC"/>
    <w:rsid w:val="002E3211"/>
    <w:rsid w:val="002E3E93"/>
    <w:rsid w:val="002E4049"/>
    <w:rsid w:val="002E4E33"/>
    <w:rsid w:val="002E5056"/>
    <w:rsid w:val="002E50BC"/>
    <w:rsid w:val="002E62A5"/>
    <w:rsid w:val="002E6313"/>
    <w:rsid w:val="002E6B6B"/>
    <w:rsid w:val="002E6D60"/>
    <w:rsid w:val="002F034A"/>
    <w:rsid w:val="002F07AA"/>
    <w:rsid w:val="002F08F0"/>
    <w:rsid w:val="002F0ADC"/>
    <w:rsid w:val="002F0D45"/>
    <w:rsid w:val="002F192E"/>
    <w:rsid w:val="002F2F06"/>
    <w:rsid w:val="002F3585"/>
    <w:rsid w:val="002F3C8B"/>
    <w:rsid w:val="002F3F0F"/>
    <w:rsid w:val="002F46C2"/>
    <w:rsid w:val="002F652F"/>
    <w:rsid w:val="002F6F81"/>
    <w:rsid w:val="00300561"/>
    <w:rsid w:val="003009F0"/>
    <w:rsid w:val="00301393"/>
    <w:rsid w:val="00301F93"/>
    <w:rsid w:val="003020D1"/>
    <w:rsid w:val="003031A7"/>
    <w:rsid w:val="00303211"/>
    <w:rsid w:val="00303444"/>
    <w:rsid w:val="003051E6"/>
    <w:rsid w:val="00305FCF"/>
    <w:rsid w:val="003070DE"/>
    <w:rsid w:val="00307A01"/>
    <w:rsid w:val="003100B2"/>
    <w:rsid w:val="00311071"/>
    <w:rsid w:val="00311551"/>
    <w:rsid w:val="003116ED"/>
    <w:rsid w:val="0031185D"/>
    <w:rsid w:val="00311B59"/>
    <w:rsid w:val="00312399"/>
    <w:rsid w:val="003128BD"/>
    <w:rsid w:val="003145B2"/>
    <w:rsid w:val="00315457"/>
    <w:rsid w:val="003156F6"/>
    <w:rsid w:val="00317018"/>
    <w:rsid w:val="00317A31"/>
    <w:rsid w:val="00320076"/>
    <w:rsid w:val="00320E5E"/>
    <w:rsid w:val="00320F3C"/>
    <w:rsid w:val="0032115A"/>
    <w:rsid w:val="003216D5"/>
    <w:rsid w:val="00321FD3"/>
    <w:rsid w:val="00322A96"/>
    <w:rsid w:val="003242E4"/>
    <w:rsid w:val="003243D5"/>
    <w:rsid w:val="003249A7"/>
    <w:rsid w:val="00324A8F"/>
    <w:rsid w:val="00324DCE"/>
    <w:rsid w:val="00324FA2"/>
    <w:rsid w:val="003253BF"/>
    <w:rsid w:val="00325BC7"/>
    <w:rsid w:val="003260AC"/>
    <w:rsid w:val="003264ED"/>
    <w:rsid w:val="0033013B"/>
    <w:rsid w:val="00331486"/>
    <w:rsid w:val="00331738"/>
    <w:rsid w:val="00334370"/>
    <w:rsid w:val="00334A6D"/>
    <w:rsid w:val="00334CD9"/>
    <w:rsid w:val="00334CFA"/>
    <w:rsid w:val="00335469"/>
    <w:rsid w:val="003377AE"/>
    <w:rsid w:val="00337B0C"/>
    <w:rsid w:val="00340531"/>
    <w:rsid w:val="00341AC1"/>
    <w:rsid w:val="003422C3"/>
    <w:rsid w:val="003424D6"/>
    <w:rsid w:val="003427FC"/>
    <w:rsid w:val="00344B4A"/>
    <w:rsid w:val="0034506A"/>
    <w:rsid w:val="00345E5B"/>
    <w:rsid w:val="00346597"/>
    <w:rsid w:val="0035275E"/>
    <w:rsid w:val="0035287E"/>
    <w:rsid w:val="00354C8F"/>
    <w:rsid w:val="00354E59"/>
    <w:rsid w:val="00354EB0"/>
    <w:rsid w:val="00355C4B"/>
    <w:rsid w:val="00356B84"/>
    <w:rsid w:val="00362399"/>
    <w:rsid w:val="00362645"/>
    <w:rsid w:val="00363BD9"/>
    <w:rsid w:val="00363E63"/>
    <w:rsid w:val="00363F9B"/>
    <w:rsid w:val="00365AD4"/>
    <w:rsid w:val="00365CC1"/>
    <w:rsid w:val="00365D78"/>
    <w:rsid w:val="00366666"/>
    <w:rsid w:val="00366EA6"/>
    <w:rsid w:val="00367F31"/>
    <w:rsid w:val="0037061E"/>
    <w:rsid w:val="00370918"/>
    <w:rsid w:val="00371B14"/>
    <w:rsid w:val="00371C6C"/>
    <w:rsid w:val="00372A36"/>
    <w:rsid w:val="00373176"/>
    <w:rsid w:val="00374233"/>
    <w:rsid w:val="0037522B"/>
    <w:rsid w:val="003752A2"/>
    <w:rsid w:val="00375682"/>
    <w:rsid w:val="00375980"/>
    <w:rsid w:val="003816F3"/>
    <w:rsid w:val="00381733"/>
    <w:rsid w:val="00381CD1"/>
    <w:rsid w:val="00381E7B"/>
    <w:rsid w:val="003823ED"/>
    <w:rsid w:val="00382548"/>
    <w:rsid w:val="00382C2D"/>
    <w:rsid w:val="003832DD"/>
    <w:rsid w:val="00383CCE"/>
    <w:rsid w:val="0038405D"/>
    <w:rsid w:val="003841ED"/>
    <w:rsid w:val="00384D26"/>
    <w:rsid w:val="0038531F"/>
    <w:rsid w:val="00386655"/>
    <w:rsid w:val="00387308"/>
    <w:rsid w:val="00390CC4"/>
    <w:rsid w:val="003926EF"/>
    <w:rsid w:val="003928F3"/>
    <w:rsid w:val="00392BEC"/>
    <w:rsid w:val="00393E1B"/>
    <w:rsid w:val="00393FDC"/>
    <w:rsid w:val="0039404A"/>
    <w:rsid w:val="003940A7"/>
    <w:rsid w:val="00394FCA"/>
    <w:rsid w:val="0039597A"/>
    <w:rsid w:val="00395E15"/>
    <w:rsid w:val="003962DB"/>
    <w:rsid w:val="00396ED3"/>
    <w:rsid w:val="00397858"/>
    <w:rsid w:val="0039792F"/>
    <w:rsid w:val="00397BE8"/>
    <w:rsid w:val="003A000E"/>
    <w:rsid w:val="003A0204"/>
    <w:rsid w:val="003A0B3D"/>
    <w:rsid w:val="003A13AC"/>
    <w:rsid w:val="003A30FE"/>
    <w:rsid w:val="003A3CD8"/>
    <w:rsid w:val="003A47C8"/>
    <w:rsid w:val="003A4A3E"/>
    <w:rsid w:val="003A4E52"/>
    <w:rsid w:val="003A62FD"/>
    <w:rsid w:val="003A7002"/>
    <w:rsid w:val="003A7D18"/>
    <w:rsid w:val="003A7EA9"/>
    <w:rsid w:val="003B088F"/>
    <w:rsid w:val="003B0DF7"/>
    <w:rsid w:val="003B1D4E"/>
    <w:rsid w:val="003B21FF"/>
    <w:rsid w:val="003B30CA"/>
    <w:rsid w:val="003B45C7"/>
    <w:rsid w:val="003B582F"/>
    <w:rsid w:val="003B5AB3"/>
    <w:rsid w:val="003B633A"/>
    <w:rsid w:val="003B79FB"/>
    <w:rsid w:val="003C05AA"/>
    <w:rsid w:val="003C0ADC"/>
    <w:rsid w:val="003C2EEC"/>
    <w:rsid w:val="003C34A6"/>
    <w:rsid w:val="003C426F"/>
    <w:rsid w:val="003C4322"/>
    <w:rsid w:val="003C46E7"/>
    <w:rsid w:val="003C50E4"/>
    <w:rsid w:val="003C5E69"/>
    <w:rsid w:val="003C613E"/>
    <w:rsid w:val="003C68C1"/>
    <w:rsid w:val="003C68CD"/>
    <w:rsid w:val="003C78EF"/>
    <w:rsid w:val="003C7D23"/>
    <w:rsid w:val="003D04A1"/>
    <w:rsid w:val="003D0CB6"/>
    <w:rsid w:val="003D10EF"/>
    <w:rsid w:val="003D140C"/>
    <w:rsid w:val="003D1C13"/>
    <w:rsid w:val="003D23B5"/>
    <w:rsid w:val="003D27A4"/>
    <w:rsid w:val="003D3448"/>
    <w:rsid w:val="003D3467"/>
    <w:rsid w:val="003D39A3"/>
    <w:rsid w:val="003D4A14"/>
    <w:rsid w:val="003D4D5F"/>
    <w:rsid w:val="003D649A"/>
    <w:rsid w:val="003D7E36"/>
    <w:rsid w:val="003E182C"/>
    <w:rsid w:val="003E1A8A"/>
    <w:rsid w:val="003E1F59"/>
    <w:rsid w:val="003E2E1A"/>
    <w:rsid w:val="003E33FC"/>
    <w:rsid w:val="003E3A12"/>
    <w:rsid w:val="003E59C4"/>
    <w:rsid w:val="003E5F72"/>
    <w:rsid w:val="003E6A10"/>
    <w:rsid w:val="003F02BA"/>
    <w:rsid w:val="003F04CD"/>
    <w:rsid w:val="003F192C"/>
    <w:rsid w:val="003F2A79"/>
    <w:rsid w:val="003F3FC0"/>
    <w:rsid w:val="003F4275"/>
    <w:rsid w:val="003F482C"/>
    <w:rsid w:val="003F4918"/>
    <w:rsid w:val="003F58BE"/>
    <w:rsid w:val="003F5C37"/>
    <w:rsid w:val="003F73CD"/>
    <w:rsid w:val="00400C60"/>
    <w:rsid w:val="0040118D"/>
    <w:rsid w:val="004012D4"/>
    <w:rsid w:val="00402283"/>
    <w:rsid w:val="00402952"/>
    <w:rsid w:val="00402A9F"/>
    <w:rsid w:val="00403F65"/>
    <w:rsid w:val="00407B1C"/>
    <w:rsid w:val="00407D2E"/>
    <w:rsid w:val="00410744"/>
    <w:rsid w:val="00411150"/>
    <w:rsid w:val="0041167A"/>
    <w:rsid w:val="004129AA"/>
    <w:rsid w:val="00412EEF"/>
    <w:rsid w:val="00414D90"/>
    <w:rsid w:val="00415B79"/>
    <w:rsid w:val="00415C86"/>
    <w:rsid w:val="00415D0F"/>
    <w:rsid w:val="004201FA"/>
    <w:rsid w:val="004211ED"/>
    <w:rsid w:val="00422207"/>
    <w:rsid w:val="004227AB"/>
    <w:rsid w:val="00423E9B"/>
    <w:rsid w:val="004248EA"/>
    <w:rsid w:val="00424E5D"/>
    <w:rsid w:val="004254BA"/>
    <w:rsid w:val="0042604E"/>
    <w:rsid w:val="00426B5C"/>
    <w:rsid w:val="00427063"/>
    <w:rsid w:val="00427791"/>
    <w:rsid w:val="00427BE0"/>
    <w:rsid w:val="004302DD"/>
    <w:rsid w:val="004307FA"/>
    <w:rsid w:val="00431E5B"/>
    <w:rsid w:val="004328EC"/>
    <w:rsid w:val="00432CFF"/>
    <w:rsid w:val="0043312E"/>
    <w:rsid w:val="004331C6"/>
    <w:rsid w:val="0043323F"/>
    <w:rsid w:val="004335FF"/>
    <w:rsid w:val="00433CBF"/>
    <w:rsid w:val="00434344"/>
    <w:rsid w:val="00434524"/>
    <w:rsid w:val="00434F5C"/>
    <w:rsid w:val="0043575D"/>
    <w:rsid w:val="004359F8"/>
    <w:rsid w:val="0043705A"/>
    <w:rsid w:val="00437A5A"/>
    <w:rsid w:val="00437E23"/>
    <w:rsid w:val="00442116"/>
    <w:rsid w:val="004422EC"/>
    <w:rsid w:val="004426CF"/>
    <w:rsid w:val="0044383D"/>
    <w:rsid w:val="00444D88"/>
    <w:rsid w:val="00445106"/>
    <w:rsid w:val="0044557F"/>
    <w:rsid w:val="00445BB3"/>
    <w:rsid w:val="00446F16"/>
    <w:rsid w:val="00447B59"/>
    <w:rsid w:val="00450172"/>
    <w:rsid w:val="0045080C"/>
    <w:rsid w:val="004523A1"/>
    <w:rsid w:val="00452734"/>
    <w:rsid w:val="00452FA3"/>
    <w:rsid w:val="00453148"/>
    <w:rsid w:val="004545C2"/>
    <w:rsid w:val="0045486C"/>
    <w:rsid w:val="00455813"/>
    <w:rsid w:val="00455B98"/>
    <w:rsid w:val="00456875"/>
    <w:rsid w:val="004569AE"/>
    <w:rsid w:val="00456BC6"/>
    <w:rsid w:val="0045719B"/>
    <w:rsid w:val="0045762D"/>
    <w:rsid w:val="00460BD4"/>
    <w:rsid w:val="00460E14"/>
    <w:rsid w:val="00461200"/>
    <w:rsid w:val="00461242"/>
    <w:rsid w:val="004612C8"/>
    <w:rsid w:val="00461DD2"/>
    <w:rsid w:val="00463247"/>
    <w:rsid w:val="00466BFC"/>
    <w:rsid w:val="00467009"/>
    <w:rsid w:val="00467FD9"/>
    <w:rsid w:val="0047057C"/>
    <w:rsid w:val="00470E3A"/>
    <w:rsid w:val="004714FE"/>
    <w:rsid w:val="0047276A"/>
    <w:rsid w:val="00472FDA"/>
    <w:rsid w:val="004736C9"/>
    <w:rsid w:val="00473B7F"/>
    <w:rsid w:val="0047445C"/>
    <w:rsid w:val="004748C8"/>
    <w:rsid w:val="004757B6"/>
    <w:rsid w:val="00475DB3"/>
    <w:rsid w:val="004760BC"/>
    <w:rsid w:val="0047707A"/>
    <w:rsid w:val="0047769A"/>
    <w:rsid w:val="00480B88"/>
    <w:rsid w:val="00481889"/>
    <w:rsid w:val="004827EF"/>
    <w:rsid w:val="00482A3A"/>
    <w:rsid w:val="00482F7D"/>
    <w:rsid w:val="004844EC"/>
    <w:rsid w:val="00485B39"/>
    <w:rsid w:val="0048657C"/>
    <w:rsid w:val="00486F37"/>
    <w:rsid w:val="0048717E"/>
    <w:rsid w:val="004900DC"/>
    <w:rsid w:val="004901EE"/>
    <w:rsid w:val="004902A0"/>
    <w:rsid w:val="00490444"/>
    <w:rsid w:val="00490F30"/>
    <w:rsid w:val="00491842"/>
    <w:rsid w:val="004919F3"/>
    <w:rsid w:val="00491B20"/>
    <w:rsid w:val="00492258"/>
    <w:rsid w:val="004928A0"/>
    <w:rsid w:val="00493AAE"/>
    <w:rsid w:val="00494169"/>
    <w:rsid w:val="00494620"/>
    <w:rsid w:val="00496480"/>
    <w:rsid w:val="0049654F"/>
    <w:rsid w:val="00496DC6"/>
    <w:rsid w:val="004979EE"/>
    <w:rsid w:val="004A013B"/>
    <w:rsid w:val="004A0A05"/>
    <w:rsid w:val="004A2D26"/>
    <w:rsid w:val="004A3118"/>
    <w:rsid w:val="004A3440"/>
    <w:rsid w:val="004A3D8E"/>
    <w:rsid w:val="004A5EBF"/>
    <w:rsid w:val="004A5ED9"/>
    <w:rsid w:val="004A64F6"/>
    <w:rsid w:val="004A69F4"/>
    <w:rsid w:val="004B0707"/>
    <w:rsid w:val="004B11C2"/>
    <w:rsid w:val="004B1D9B"/>
    <w:rsid w:val="004B2042"/>
    <w:rsid w:val="004B29B2"/>
    <w:rsid w:val="004B4945"/>
    <w:rsid w:val="004B4DDD"/>
    <w:rsid w:val="004B4E62"/>
    <w:rsid w:val="004B589F"/>
    <w:rsid w:val="004B6062"/>
    <w:rsid w:val="004B606F"/>
    <w:rsid w:val="004B6785"/>
    <w:rsid w:val="004B720D"/>
    <w:rsid w:val="004C0855"/>
    <w:rsid w:val="004C135A"/>
    <w:rsid w:val="004C1C81"/>
    <w:rsid w:val="004C225C"/>
    <w:rsid w:val="004C2E40"/>
    <w:rsid w:val="004C385D"/>
    <w:rsid w:val="004C4577"/>
    <w:rsid w:val="004C45CC"/>
    <w:rsid w:val="004C5420"/>
    <w:rsid w:val="004C62B4"/>
    <w:rsid w:val="004C6326"/>
    <w:rsid w:val="004C6728"/>
    <w:rsid w:val="004C6CF7"/>
    <w:rsid w:val="004D02B5"/>
    <w:rsid w:val="004D0BD7"/>
    <w:rsid w:val="004D0E1C"/>
    <w:rsid w:val="004D1B67"/>
    <w:rsid w:val="004D1C19"/>
    <w:rsid w:val="004D228E"/>
    <w:rsid w:val="004D319E"/>
    <w:rsid w:val="004D3336"/>
    <w:rsid w:val="004D360C"/>
    <w:rsid w:val="004D36BF"/>
    <w:rsid w:val="004D395F"/>
    <w:rsid w:val="004D3CAD"/>
    <w:rsid w:val="004D4BAD"/>
    <w:rsid w:val="004D5476"/>
    <w:rsid w:val="004D5A69"/>
    <w:rsid w:val="004D5D79"/>
    <w:rsid w:val="004D5E94"/>
    <w:rsid w:val="004D6127"/>
    <w:rsid w:val="004D7C00"/>
    <w:rsid w:val="004E018B"/>
    <w:rsid w:val="004E0FF3"/>
    <w:rsid w:val="004E24A2"/>
    <w:rsid w:val="004E27F5"/>
    <w:rsid w:val="004E2E93"/>
    <w:rsid w:val="004E38C4"/>
    <w:rsid w:val="004E3934"/>
    <w:rsid w:val="004E3FE0"/>
    <w:rsid w:val="004E4EA5"/>
    <w:rsid w:val="004E5251"/>
    <w:rsid w:val="004E6175"/>
    <w:rsid w:val="004E61FB"/>
    <w:rsid w:val="004E67C2"/>
    <w:rsid w:val="004E76F4"/>
    <w:rsid w:val="004F0C27"/>
    <w:rsid w:val="004F14E0"/>
    <w:rsid w:val="004F1CEE"/>
    <w:rsid w:val="004F2963"/>
    <w:rsid w:val="004F3228"/>
    <w:rsid w:val="004F482C"/>
    <w:rsid w:val="004F4D04"/>
    <w:rsid w:val="004F5FBA"/>
    <w:rsid w:val="004F6B3E"/>
    <w:rsid w:val="004F7178"/>
    <w:rsid w:val="004F77C8"/>
    <w:rsid w:val="004F7E96"/>
    <w:rsid w:val="0050003C"/>
    <w:rsid w:val="00500E2D"/>
    <w:rsid w:val="00501B29"/>
    <w:rsid w:val="0050333C"/>
    <w:rsid w:val="0050456C"/>
    <w:rsid w:val="005045C6"/>
    <w:rsid w:val="00504F2E"/>
    <w:rsid w:val="00505C78"/>
    <w:rsid w:val="005061AF"/>
    <w:rsid w:val="0050693E"/>
    <w:rsid w:val="00506E16"/>
    <w:rsid w:val="005072F9"/>
    <w:rsid w:val="00511D90"/>
    <w:rsid w:val="00512382"/>
    <w:rsid w:val="00512E54"/>
    <w:rsid w:val="00513729"/>
    <w:rsid w:val="00515074"/>
    <w:rsid w:val="0051511F"/>
    <w:rsid w:val="00515C18"/>
    <w:rsid w:val="00516C1C"/>
    <w:rsid w:val="00517683"/>
    <w:rsid w:val="00517B8E"/>
    <w:rsid w:val="005200F8"/>
    <w:rsid w:val="0052050E"/>
    <w:rsid w:val="00520FCE"/>
    <w:rsid w:val="0052147B"/>
    <w:rsid w:val="00521531"/>
    <w:rsid w:val="00521C05"/>
    <w:rsid w:val="00521F8E"/>
    <w:rsid w:val="005239B6"/>
    <w:rsid w:val="005240E6"/>
    <w:rsid w:val="0052454B"/>
    <w:rsid w:val="00525AAC"/>
    <w:rsid w:val="00525F6A"/>
    <w:rsid w:val="005266F3"/>
    <w:rsid w:val="00526E95"/>
    <w:rsid w:val="00527332"/>
    <w:rsid w:val="0053057F"/>
    <w:rsid w:val="00530A11"/>
    <w:rsid w:val="00530F7C"/>
    <w:rsid w:val="0053122E"/>
    <w:rsid w:val="00531F9E"/>
    <w:rsid w:val="005324C6"/>
    <w:rsid w:val="0053263D"/>
    <w:rsid w:val="00532AA3"/>
    <w:rsid w:val="00533683"/>
    <w:rsid w:val="005339E5"/>
    <w:rsid w:val="00533CC8"/>
    <w:rsid w:val="005340F1"/>
    <w:rsid w:val="0053481F"/>
    <w:rsid w:val="005371E1"/>
    <w:rsid w:val="00541044"/>
    <w:rsid w:val="0054172F"/>
    <w:rsid w:val="00541C0F"/>
    <w:rsid w:val="00541D48"/>
    <w:rsid w:val="00542058"/>
    <w:rsid w:val="00542154"/>
    <w:rsid w:val="00542FB0"/>
    <w:rsid w:val="005430A7"/>
    <w:rsid w:val="0054320C"/>
    <w:rsid w:val="0054345B"/>
    <w:rsid w:val="00543AE8"/>
    <w:rsid w:val="005441A0"/>
    <w:rsid w:val="005441FA"/>
    <w:rsid w:val="005449FA"/>
    <w:rsid w:val="00544D0C"/>
    <w:rsid w:val="00545379"/>
    <w:rsid w:val="005457B2"/>
    <w:rsid w:val="0054653C"/>
    <w:rsid w:val="005475F3"/>
    <w:rsid w:val="00547BD3"/>
    <w:rsid w:val="00551057"/>
    <w:rsid w:val="005511B9"/>
    <w:rsid w:val="00551213"/>
    <w:rsid w:val="005515E1"/>
    <w:rsid w:val="00551C68"/>
    <w:rsid w:val="005522A7"/>
    <w:rsid w:val="005522EA"/>
    <w:rsid w:val="005523B6"/>
    <w:rsid w:val="00552552"/>
    <w:rsid w:val="005546DE"/>
    <w:rsid w:val="00554F63"/>
    <w:rsid w:val="0055523B"/>
    <w:rsid w:val="005566F7"/>
    <w:rsid w:val="005600B5"/>
    <w:rsid w:val="005600B8"/>
    <w:rsid w:val="00560BFE"/>
    <w:rsid w:val="005610CE"/>
    <w:rsid w:val="00561650"/>
    <w:rsid w:val="0056175D"/>
    <w:rsid w:val="00562852"/>
    <w:rsid w:val="00562B50"/>
    <w:rsid w:val="00563024"/>
    <w:rsid w:val="005630A3"/>
    <w:rsid w:val="00563191"/>
    <w:rsid w:val="005638D7"/>
    <w:rsid w:val="00563B7D"/>
    <w:rsid w:val="005641FC"/>
    <w:rsid w:val="00564822"/>
    <w:rsid w:val="00564FB1"/>
    <w:rsid w:val="00564FE9"/>
    <w:rsid w:val="00565251"/>
    <w:rsid w:val="00566BDE"/>
    <w:rsid w:val="00570DAB"/>
    <w:rsid w:val="00571C8E"/>
    <w:rsid w:val="00571D5E"/>
    <w:rsid w:val="00571E46"/>
    <w:rsid w:val="00571ECA"/>
    <w:rsid w:val="0057216D"/>
    <w:rsid w:val="0057263B"/>
    <w:rsid w:val="0057281E"/>
    <w:rsid w:val="00572EC9"/>
    <w:rsid w:val="00573050"/>
    <w:rsid w:val="00573689"/>
    <w:rsid w:val="005737AD"/>
    <w:rsid w:val="00573F8B"/>
    <w:rsid w:val="00574576"/>
    <w:rsid w:val="00574E8C"/>
    <w:rsid w:val="0057510E"/>
    <w:rsid w:val="00575697"/>
    <w:rsid w:val="00576551"/>
    <w:rsid w:val="00576E8B"/>
    <w:rsid w:val="0057729B"/>
    <w:rsid w:val="00577A36"/>
    <w:rsid w:val="00577CA1"/>
    <w:rsid w:val="00580BC4"/>
    <w:rsid w:val="00582465"/>
    <w:rsid w:val="00583532"/>
    <w:rsid w:val="00583F9E"/>
    <w:rsid w:val="00584077"/>
    <w:rsid w:val="00584E84"/>
    <w:rsid w:val="0058640B"/>
    <w:rsid w:val="0058678C"/>
    <w:rsid w:val="005876AA"/>
    <w:rsid w:val="005876FE"/>
    <w:rsid w:val="005877C9"/>
    <w:rsid w:val="005878ED"/>
    <w:rsid w:val="00590191"/>
    <w:rsid w:val="005905C9"/>
    <w:rsid w:val="00590809"/>
    <w:rsid w:val="00591639"/>
    <w:rsid w:val="00591B79"/>
    <w:rsid w:val="00591E2F"/>
    <w:rsid w:val="0059610F"/>
    <w:rsid w:val="00596686"/>
    <w:rsid w:val="00596AE0"/>
    <w:rsid w:val="00597572"/>
    <w:rsid w:val="00597641"/>
    <w:rsid w:val="005A08C1"/>
    <w:rsid w:val="005A2A9A"/>
    <w:rsid w:val="005A3FDF"/>
    <w:rsid w:val="005A4EEF"/>
    <w:rsid w:val="005A568A"/>
    <w:rsid w:val="005A58FB"/>
    <w:rsid w:val="005A5B71"/>
    <w:rsid w:val="005A6621"/>
    <w:rsid w:val="005A69BD"/>
    <w:rsid w:val="005A776F"/>
    <w:rsid w:val="005B1285"/>
    <w:rsid w:val="005B1465"/>
    <w:rsid w:val="005B1D4C"/>
    <w:rsid w:val="005B1FEB"/>
    <w:rsid w:val="005B20E7"/>
    <w:rsid w:val="005B26D6"/>
    <w:rsid w:val="005B2A2E"/>
    <w:rsid w:val="005B37AB"/>
    <w:rsid w:val="005B3D4B"/>
    <w:rsid w:val="005B3E97"/>
    <w:rsid w:val="005B4D20"/>
    <w:rsid w:val="005B5AE6"/>
    <w:rsid w:val="005B6310"/>
    <w:rsid w:val="005B6886"/>
    <w:rsid w:val="005B6FA5"/>
    <w:rsid w:val="005C00E4"/>
    <w:rsid w:val="005C024B"/>
    <w:rsid w:val="005C092D"/>
    <w:rsid w:val="005C0C73"/>
    <w:rsid w:val="005C1F71"/>
    <w:rsid w:val="005C1F75"/>
    <w:rsid w:val="005C2022"/>
    <w:rsid w:val="005C2FAE"/>
    <w:rsid w:val="005C3686"/>
    <w:rsid w:val="005C3B27"/>
    <w:rsid w:val="005C6B97"/>
    <w:rsid w:val="005C6DB9"/>
    <w:rsid w:val="005C72FC"/>
    <w:rsid w:val="005C7320"/>
    <w:rsid w:val="005C77CE"/>
    <w:rsid w:val="005D06F1"/>
    <w:rsid w:val="005D0FBB"/>
    <w:rsid w:val="005D2390"/>
    <w:rsid w:val="005D369C"/>
    <w:rsid w:val="005D4603"/>
    <w:rsid w:val="005D51E8"/>
    <w:rsid w:val="005D55B2"/>
    <w:rsid w:val="005D5AC1"/>
    <w:rsid w:val="005D748E"/>
    <w:rsid w:val="005E0441"/>
    <w:rsid w:val="005E0481"/>
    <w:rsid w:val="005E12DB"/>
    <w:rsid w:val="005E1F81"/>
    <w:rsid w:val="005E2162"/>
    <w:rsid w:val="005E28C2"/>
    <w:rsid w:val="005E2EFA"/>
    <w:rsid w:val="005E33E4"/>
    <w:rsid w:val="005E3FE4"/>
    <w:rsid w:val="005E5B01"/>
    <w:rsid w:val="005E6166"/>
    <w:rsid w:val="005E76C1"/>
    <w:rsid w:val="005F097E"/>
    <w:rsid w:val="005F0E7F"/>
    <w:rsid w:val="005F1126"/>
    <w:rsid w:val="005F133F"/>
    <w:rsid w:val="005F144B"/>
    <w:rsid w:val="005F1EFB"/>
    <w:rsid w:val="005F281E"/>
    <w:rsid w:val="005F2AA0"/>
    <w:rsid w:val="005F2E09"/>
    <w:rsid w:val="005F335F"/>
    <w:rsid w:val="005F3A4A"/>
    <w:rsid w:val="005F3BE2"/>
    <w:rsid w:val="005F3C79"/>
    <w:rsid w:val="005F5021"/>
    <w:rsid w:val="005F5612"/>
    <w:rsid w:val="005F58AD"/>
    <w:rsid w:val="005F6422"/>
    <w:rsid w:val="005F7310"/>
    <w:rsid w:val="005F78E1"/>
    <w:rsid w:val="005F7B0A"/>
    <w:rsid w:val="00602201"/>
    <w:rsid w:val="00602B9B"/>
    <w:rsid w:val="00602F8D"/>
    <w:rsid w:val="006030A2"/>
    <w:rsid w:val="00603544"/>
    <w:rsid w:val="00603C3A"/>
    <w:rsid w:val="00603F92"/>
    <w:rsid w:val="006050AE"/>
    <w:rsid w:val="0060523D"/>
    <w:rsid w:val="00605AEF"/>
    <w:rsid w:val="00605EFC"/>
    <w:rsid w:val="006076E0"/>
    <w:rsid w:val="0060782F"/>
    <w:rsid w:val="00607BE8"/>
    <w:rsid w:val="00607FDE"/>
    <w:rsid w:val="00611202"/>
    <w:rsid w:val="00611DD0"/>
    <w:rsid w:val="0061436F"/>
    <w:rsid w:val="00616305"/>
    <w:rsid w:val="00617CCE"/>
    <w:rsid w:val="006206C9"/>
    <w:rsid w:val="00620CD1"/>
    <w:rsid w:val="0062179F"/>
    <w:rsid w:val="00621863"/>
    <w:rsid w:val="00621887"/>
    <w:rsid w:val="00622BA8"/>
    <w:rsid w:val="00623699"/>
    <w:rsid w:val="006249A7"/>
    <w:rsid w:val="00625C97"/>
    <w:rsid w:val="00627283"/>
    <w:rsid w:val="006300AC"/>
    <w:rsid w:val="00630E6D"/>
    <w:rsid w:val="006311DD"/>
    <w:rsid w:val="0063267F"/>
    <w:rsid w:val="00633B95"/>
    <w:rsid w:val="00633C5E"/>
    <w:rsid w:val="00633EEA"/>
    <w:rsid w:val="00635BFA"/>
    <w:rsid w:val="0063769A"/>
    <w:rsid w:val="00637FF2"/>
    <w:rsid w:val="00640130"/>
    <w:rsid w:val="00640F96"/>
    <w:rsid w:val="00641CF3"/>
    <w:rsid w:val="006426AC"/>
    <w:rsid w:val="00642D83"/>
    <w:rsid w:val="00643047"/>
    <w:rsid w:val="006430D1"/>
    <w:rsid w:val="006431D3"/>
    <w:rsid w:val="006434B9"/>
    <w:rsid w:val="00643637"/>
    <w:rsid w:val="00643F64"/>
    <w:rsid w:val="006443E1"/>
    <w:rsid w:val="00644496"/>
    <w:rsid w:val="0064469F"/>
    <w:rsid w:val="0064485A"/>
    <w:rsid w:val="006455B3"/>
    <w:rsid w:val="006466CE"/>
    <w:rsid w:val="00651209"/>
    <w:rsid w:val="0065160E"/>
    <w:rsid w:val="006537F0"/>
    <w:rsid w:val="00653BCD"/>
    <w:rsid w:val="006546CA"/>
    <w:rsid w:val="006558B4"/>
    <w:rsid w:val="00655AE1"/>
    <w:rsid w:val="006561D1"/>
    <w:rsid w:val="006569FC"/>
    <w:rsid w:val="00656C0A"/>
    <w:rsid w:val="00656EAD"/>
    <w:rsid w:val="006574B3"/>
    <w:rsid w:val="006608CE"/>
    <w:rsid w:val="00660B2F"/>
    <w:rsid w:val="00660D4C"/>
    <w:rsid w:val="00661CF4"/>
    <w:rsid w:val="00661D4E"/>
    <w:rsid w:val="00661E2D"/>
    <w:rsid w:val="006621D2"/>
    <w:rsid w:val="00662336"/>
    <w:rsid w:val="00662881"/>
    <w:rsid w:val="00662C76"/>
    <w:rsid w:val="00662DFB"/>
    <w:rsid w:val="00663092"/>
    <w:rsid w:val="00664EB2"/>
    <w:rsid w:val="0066679D"/>
    <w:rsid w:val="006667CB"/>
    <w:rsid w:val="00667578"/>
    <w:rsid w:val="00670124"/>
    <w:rsid w:val="00671894"/>
    <w:rsid w:val="00672197"/>
    <w:rsid w:val="00672295"/>
    <w:rsid w:val="0067314D"/>
    <w:rsid w:val="00674425"/>
    <w:rsid w:val="0067472E"/>
    <w:rsid w:val="00674ECF"/>
    <w:rsid w:val="00675397"/>
    <w:rsid w:val="00676C10"/>
    <w:rsid w:val="006776F5"/>
    <w:rsid w:val="00677E45"/>
    <w:rsid w:val="0068150B"/>
    <w:rsid w:val="006815BA"/>
    <w:rsid w:val="006821D9"/>
    <w:rsid w:val="006825DC"/>
    <w:rsid w:val="0068393C"/>
    <w:rsid w:val="0068394F"/>
    <w:rsid w:val="0068488E"/>
    <w:rsid w:val="00684DF9"/>
    <w:rsid w:val="00684EC1"/>
    <w:rsid w:val="0068569D"/>
    <w:rsid w:val="00685F0F"/>
    <w:rsid w:val="00687CCC"/>
    <w:rsid w:val="00690296"/>
    <w:rsid w:val="00691BB8"/>
    <w:rsid w:val="006920A0"/>
    <w:rsid w:val="0069215E"/>
    <w:rsid w:val="00692AB9"/>
    <w:rsid w:val="00693896"/>
    <w:rsid w:val="00693DF3"/>
    <w:rsid w:val="00696331"/>
    <w:rsid w:val="006966E7"/>
    <w:rsid w:val="00696B97"/>
    <w:rsid w:val="00696EAE"/>
    <w:rsid w:val="006970C0"/>
    <w:rsid w:val="00697307"/>
    <w:rsid w:val="00697335"/>
    <w:rsid w:val="00697E16"/>
    <w:rsid w:val="006A0424"/>
    <w:rsid w:val="006A1346"/>
    <w:rsid w:val="006A1A01"/>
    <w:rsid w:val="006A33FF"/>
    <w:rsid w:val="006A34CA"/>
    <w:rsid w:val="006A39A9"/>
    <w:rsid w:val="006A3D31"/>
    <w:rsid w:val="006A5205"/>
    <w:rsid w:val="006A6159"/>
    <w:rsid w:val="006A6288"/>
    <w:rsid w:val="006A6713"/>
    <w:rsid w:val="006A774D"/>
    <w:rsid w:val="006A78E8"/>
    <w:rsid w:val="006B0261"/>
    <w:rsid w:val="006B0FBC"/>
    <w:rsid w:val="006B32DA"/>
    <w:rsid w:val="006B3833"/>
    <w:rsid w:val="006B3FE3"/>
    <w:rsid w:val="006B4513"/>
    <w:rsid w:val="006B4F98"/>
    <w:rsid w:val="006B52BD"/>
    <w:rsid w:val="006B5494"/>
    <w:rsid w:val="006B6368"/>
    <w:rsid w:val="006B7892"/>
    <w:rsid w:val="006B7A5C"/>
    <w:rsid w:val="006C058C"/>
    <w:rsid w:val="006C10DC"/>
    <w:rsid w:val="006C1D5D"/>
    <w:rsid w:val="006C45AD"/>
    <w:rsid w:val="006C487D"/>
    <w:rsid w:val="006C4F11"/>
    <w:rsid w:val="006C5C5D"/>
    <w:rsid w:val="006C5F5A"/>
    <w:rsid w:val="006C602E"/>
    <w:rsid w:val="006C689C"/>
    <w:rsid w:val="006C7448"/>
    <w:rsid w:val="006C77B5"/>
    <w:rsid w:val="006C77C7"/>
    <w:rsid w:val="006C7902"/>
    <w:rsid w:val="006C7BF5"/>
    <w:rsid w:val="006D043B"/>
    <w:rsid w:val="006D089F"/>
    <w:rsid w:val="006D0CE0"/>
    <w:rsid w:val="006D16E6"/>
    <w:rsid w:val="006D1DF2"/>
    <w:rsid w:val="006D266F"/>
    <w:rsid w:val="006D2AFA"/>
    <w:rsid w:val="006D36DC"/>
    <w:rsid w:val="006D3832"/>
    <w:rsid w:val="006D3C51"/>
    <w:rsid w:val="006D4028"/>
    <w:rsid w:val="006D47AB"/>
    <w:rsid w:val="006D4B46"/>
    <w:rsid w:val="006D5837"/>
    <w:rsid w:val="006D5B22"/>
    <w:rsid w:val="006E09C0"/>
    <w:rsid w:val="006E193A"/>
    <w:rsid w:val="006E2092"/>
    <w:rsid w:val="006E2458"/>
    <w:rsid w:val="006E2A8B"/>
    <w:rsid w:val="006E33BB"/>
    <w:rsid w:val="006E3557"/>
    <w:rsid w:val="006E3BBE"/>
    <w:rsid w:val="006E3E18"/>
    <w:rsid w:val="006E4292"/>
    <w:rsid w:val="006E4684"/>
    <w:rsid w:val="006E4916"/>
    <w:rsid w:val="006E4C82"/>
    <w:rsid w:val="006E60F9"/>
    <w:rsid w:val="006E67B6"/>
    <w:rsid w:val="006E71F7"/>
    <w:rsid w:val="006E7363"/>
    <w:rsid w:val="006E75E6"/>
    <w:rsid w:val="006E7868"/>
    <w:rsid w:val="006F1EA0"/>
    <w:rsid w:val="006F2428"/>
    <w:rsid w:val="006F3446"/>
    <w:rsid w:val="006F4224"/>
    <w:rsid w:val="006F422C"/>
    <w:rsid w:val="006F53A9"/>
    <w:rsid w:val="006F69F7"/>
    <w:rsid w:val="006F73BE"/>
    <w:rsid w:val="006F7DB0"/>
    <w:rsid w:val="007000D2"/>
    <w:rsid w:val="0070113C"/>
    <w:rsid w:val="007020E4"/>
    <w:rsid w:val="00702637"/>
    <w:rsid w:val="00702C80"/>
    <w:rsid w:val="00703317"/>
    <w:rsid w:val="00703C91"/>
    <w:rsid w:val="007049F1"/>
    <w:rsid w:val="00705329"/>
    <w:rsid w:val="00705DB2"/>
    <w:rsid w:val="007061A2"/>
    <w:rsid w:val="0070700E"/>
    <w:rsid w:val="007070DA"/>
    <w:rsid w:val="00710803"/>
    <w:rsid w:val="00710CE0"/>
    <w:rsid w:val="007112C7"/>
    <w:rsid w:val="00711C90"/>
    <w:rsid w:val="00712039"/>
    <w:rsid w:val="0071205D"/>
    <w:rsid w:val="00712504"/>
    <w:rsid w:val="007126FF"/>
    <w:rsid w:val="0071371F"/>
    <w:rsid w:val="007138E0"/>
    <w:rsid w:val="00714397"/>
    <w:rsid w:val="00714EA1"/>
    <w:rsid w:val="00715FE5"/>
    <w:rsid w:val="00716BC6"/>
    <w:rsid w:val="00717777"/>
    <w:rsid w:val="00720399"/>
    <w:rsid w:val="00720C52"/>
    <w:rsid w:val="00722506"/>
    <w:rsid w:val="007241B2"/>
    <w:rsid w:val="00724834"/>
    <w:rsid w:val="00725350"/>
    <w:rsid w:val="007260F1"/>
    <w:rsid w:val="00726E81"/>
    <w:rsid w:val="0073038B"/>
    <w:rsid w:val="007317C0"/>
    <w:rsid w:val="0073292D"/>
    <w:rsid w:val="00732E59"/>
    <w:rsid w:val="00733093"/>
    <w:rsid w:val="007334B7"/>
    <w:rsid w:val="007345F4"/>
    <w:rsid w:val="00735234"/>
    <w:rsid w:val="007363A5"/>
    <w:rsid w:val="00736A7A"/>
    <w:rsid w:val="00737719"/>
    <w:rsid w:val="00740791"/>
    <w:rsid w:val="00740A1C"/>
    <w:rsid w:val="00741293"/>
    <w:rsid w:val="00741788"/>
    <w:rsid w:val="00741FA3"/>
    <w:rsid w:val="00741FB7"/>
    <w:rsid w:val="00742571"/>
    <w:rsid w:val="00742A29"/>
    <w:rsid w:val="007431D3"/>
    <w:rsid w:val="007433E1"/>
    <w:rsid w:val="00745573"/>
    <w:rsid w:val="0074608C"/>
    <w:rsid w:val="00747455"/>
    <w:rsid w:val="00747D0A"/>
    <w:rsid w:val="00750517"/>
    <w:rsid w:val="007518AD"/>
    <w:rsid w:val="00751E46"/>
    <w:rsid w:val="007529FC"/>
    <w:rsid w:val="00752DAF"/>
    <w:rsid w:val="00753C96"/>
    <w:rsid w:val="00754432"/>
    <w:rsid w:val="00755009"/>
    <w:rsid w:val="00755E22"/>
    <w:rsid w:val="0075762A"/>
    <w:rsid w:val="00757965"/>
    <w:rsid w:val="00757CF9"/>
    <w:rsid w:val="00760773"/>
    <w:rsid w:val="0076270D"/>
    <w:rsid w:val="0076272D"/>
    <w:rsid w:val="00762D02"/>
    <w:rsid w:val="0076337C"/>
    <w:rsid w:val="00763458"/>
    <w:rsid w:val="00764228"/>
    <w:rsid w:val="007649B8"/>
    <w:rsid w:val="0076501B"/>
    <w:rsid w:val="00765CEC"/>
    <w:rsid w:val="007662E3"/>
    <w:rsid w:val="00766C4F"/>
    <w:rsid w:val="00767453"/>
    <w:rsid w:val="00767A78"/>
    <w:rsid w:val="00770F55"/>
    <w:rsid w:val="00772149"/>
    <w:rsid w:val="00772EC9"/>
    <w:rsid w:val="0077427A"/>
    <w:rsid w:val="00775312"/>
    <w:rsid w:val="0077543E"/>
    <w:rsid w:val="00776539"/>
    <w:rsid w:val="00776616"/>
    <w:rsid w:val="00777B27"/>
    <w:rsid w:val="00777B7D"/>
    <w:rsid w:val="00781640"/>
    <w:rsid w:val="00781747"/>
    <w:rsid w:val="00781876"/>
    <w:rsid w:val="00781D1F"/>
    <w:rsid w:val="0078200F"/>
    <w:rsid w:val="00782309"/>
    <w:rsid w:val="00782F8B"/>
    <w:rsid w:val="007841BE"/>
    <w:rsid w:val="007850DE"/>
    <w:rsid w:val="007867D4"/>
    <w:rsid w:val="00786B90"/>
    <w:rsid w:val="00787173"/>
    <w:rsid w:val="00790CF5"/>
    <w:rsid w:val="007914D3"/>
    <w:rsid w:val="00792B6C"/>
    <w:rsid w:val="00792D44"/>
    <w:rsid w:val="00793064"/>
    <w:rsid w:val="00793D45"/>
    <w:rsid w:val="00794486"/>
    <w:rsid w:val="0079547D"/>
    <w:rsid w:val="0079566D"/>
    <w:rsid w:val="007957C3"/>
    <w:rsid w:val="00795E59"/>
    <w:rsid w:val="00796615"/>
    <w:rsid w:val="0079716F"/>
    <w:rsid w:val="007A0112"/>
    <w:rsid w:val="007A0BED"/>
    <w:rsid w:val="007A1C2F"/>
    <w:rsid w:val="007A245C"/>
    <w:rsid w:val="007A338B"/>
    <w:rsid w:val="007A33BF"/>
    <w:rsid w:val="007A3422"/>
    <w:rsid w:val="007A3457"/>
    <w:rsid w:val="007A3DC4"/>
    <w:rsid w:val="007A55B6"/>
    <w:rsid w:val="007A56A0"/>
    <w:rsid w:val="007A6238"/>
    <w:rsid w:val="007A68DC"/>
    <w:rsid w:val="007A749B"/>
    <w:rsid w:val="007A7E4B"/>
    <w:rsid w:val="007B0F14"/>
    <w:rsid w:val="007B13EC"/>
    <w:rsid w:val="007B22F9"/>
    <w:rsid w:val="007B2A74"/>
    <w:rsid w:val="007B3A17"/>
    <w:rsid w:val="007B4C5F"/>
    <w:rsid w:val="007B5A3B"/>
    <w:rsid w:val="007B5B0C"/>
    <w:rsid w:val="007B6D66"/>
    <w:rsid w:val="007B72E4"/>
    <w:rsid w:val="007C065A"/>
    <w:rsid w:val="007C13B1"/>
    <w:rsid w:val="007C14E9"/>
    <w:rsid w:val="007C15F8"/>
    <w:rsid w:val="007C3033"/>
    <w:rsid w:val="007C4973"/>
    <w:rsid w:val="007C4A97"/>
    <w:rsid w:val="007C6974"/>
    <w:rsid w:val="007C6BDD"/>
    <w:rsid w:val="007C7185"/>
    <w:rsid w:val="007C71CF"/>
    <w:rsid w:val="007C7209"/>
    <w:rsid w:val="007D016C"/>
    <w:rsid w:val="007D0612"/>
    <w:rsid w:val="007D10D3"/>
    <w:rsid w:val="007D28C8"/>
    <w:rsid w:val="007D3A1B"/>
    <w:rsid w:val="007D3FE7"/>
    <w:rsid w:val="007D4255"/>
    <w:rsid w:val="007D5A4B"/>
    <w:rsid w:val="007D5A80"/>
    <w:rsid w:val="007D69F8"/>
    <w:rsid w:val="007D6C6A"/>
    <w:rsid w:val="007D74D9"/>
    <w:rsid w:val="007E087C"/>
    <w:rsid w:val="007E11C2"/>
    <w:rsid w:val="007E1AF9"/>
    <w:rsid w:val="007E2720"/>
    <w:rsid w:val="007E27CB"/>
    <w:rsid w:val="007E2B71"/>
    <w:rsid w:val="007E3234"/>
    <w:rsid w:val="007E3ACE"/>
    <w:rsid w:val="007E4064"/>
    <w:rsid w:val="007E48E5"/>
    <w:rsid w:val="007E4A03"/>
    <w:rsid w:val="007E56D3"/>
    <w:rsid w:val="007E6E53"/>
    <w:rsid w:val="007E737D"/>
    <w:rsid w:val="007F0E67"/>
    <w:rsid w:val="007F0EF4"/>
    <w:rsid w:val="007F18E7"/>
    <w:rsid w:val="007F20AD"/>
    <w:rsid w:val="007F221D"/>
    <w:rsid w:val="007F2FE9"/>
    <w:rsid w:val="007F3130"/>
    <w:rsid w:val="007F425D"/>
    <w:rsid w:val="007F492E"/>
    <w:rsid w:val="007F4BA5"/>
    <w:rsid w:val="007F5340"/>
    <w:rsid w:val="007F5785"/>
    <w:rsid w:val="007F5AF0"/>
    <w:rsid w:val="007F5F13"/>
    <w:rsid w:val="007F6B32"/>
    <w:rsid w:val="007F6B59"/>
    <w:rsid w:val="007F6D4E"/>
    <w:rsid w:val="007F74DA"/>
    <w:rsid w:val="007F7A91"/>
    <w:rsid w:val="0080045C"/>
    <w:rsid w:val="00802B80"/>
    <w:rsid w:val="00803521"/>
    <w:rsid w:val="00805553"/>
    <w:rsid w:val="0080556E"/>
    <w:rsid w:val="00805947"/>
    <w:rsid w:val="00805C34"/>
    <w:rsid w:val="008062E1"/>
    <w:rsid w:val="00806324"/>
    <w:rsid w:val="00806746"/>
    <w:rsid w:val="00807B65"/>
    <w:rsid w:val="00807C96"/>
    <w:rsid w:val="00810B79"/>
    <w:rsid w:val="008115E3"/>
    <w:rsid w:val="0081181C"/>
    <w:rsid w:val="00812975"/>
    <w:rsid w:val="00812B08"/>
    <w:rsid w:val="00813C57"/>
    <w:rsid w:val="008147C5"/>
    <w:rsid w:val="008149EE"/>
    <w:rsid w:val="00815FA1"/>
    <w:rsid w:val="008174B6"/>
    <w:rsid w:val="00817A24"/>
    <w:rsid w:val="00817F01"/>
    <w:rsid w:val="008202D9"/>
    <w:rsid w:val="00820E34"/>
    <w:rsid w:val="00822234"/>
    <w:rsid w:val="00822307"/>
    <w:rsid w:val="00822BF9"/>
    <w:rsid w:val="00825AAC"/>
    <w:rsid w:val="00825AFE"/>
    <w:rsid w:val="00826E7A"/>
    <w:rsid w:val="00827817"/>
    <w:rsid w:val="0082793C"/>
    <w:rsid w:val="00827D7C"/>
    <w:rsid w:val="00830463"/>
    <w:rsid w:val="0083092E"/>
    <w:rsid w:val="00831A33"/>
    <w:rsid w:val="00831A63"/>
    <w:rsid w:val="00832296"/>
    <w:rsid w:val="00832990"/>
    <w:rsid w:val="0083316D"/>
    <w:rsid w:val="00834C98"/>
    <w:rsid w:val="00835736"/>
    <w:rsid w:val="00835AEE"/>
    <w:rsid w:val="00836C20"/>
    <w:rsid w:val="00836DC7"/>
    <w:rsid w:val="00837477"/>
    <w:rsid w:val="008408D9"/>
    <w:rsid w:val="008424E9"/>
    <w:rsid w:val="00843863"/>
    <w:rsid w:val="008441B5"/>
    <w:rsid w:val="00844610"/>
    <w:rsid w:val="0084646B"/>
    <w:rsid w:val="00846A96"/>
    <w:rsid w:val="00846B32"/>
    <w:rsid w:val="0084728A"/>
    <w:rsid w:val="0084782E"/>
    <w:rsid w:val="00847983"/>
    <w:rsid w:val="008479CC"/>
    <w:rsid w:val="00847D81"/>
    <w:rsid w:val="00850090"/>
    <w:rsid w:val="00850495"/>
    <w:rsid w:val="008511DB"/>
    <w:rsid w:val="008520BF"/>
    <w:rsid w:val="008530FC"/>
    <w:rsid w:val="00853761"/>
    <w:rsid w:val="008537C0"/>
    <w:rsid w:val="0085516E"/>
    <w:rsid w:val="00856669"/>
    <w:rsid w:val="008579AF"/>
    <w:rsid w:val="00860060"/>
    <w:rsid w:val="008607AB"/>
    <w:rsid w:val="00860A85"/>
    <w:rsid w:val="00860EDD"/>
    <w:rsid w:val="0086135B"/>
    <w:rsid w:val="00861878"/>
    <w:rsid w:val="00862857"/>
    <w:rsid w:val="008628BF"/>
    <w:rsid w:val="0086345C"/>
    <w:rsid w:val="00863C93"/>
    <w:rsid w:val="00864732"/>
    <w:rsid w:val="00864AA3"/>
    <w:rsid w:val="00864B42"/>
    <w:rsid w:val="00865480"/>
    <w:rsid w:val="008665D4"/>
    <w:rsid w:val="00866EEC"/>
    <w:rsid w:val="008672E1"/>
    <w:rsid w:val="008701BD"/>
    <w:rsid w:val="008706DB"/>
    <w:rsid w:val="0087167F"/>
    <w:rsid w:val="008725B4"/>
    <w:rsid w:val="00872A40"/>
    <w:rsid w:val="00872CBE"/>
    <w:rsid w:val="00873756"/>
    <w:rsid w:val="00873EB5"/>
    <w:rsid w:val="00874275"/>
    <w:rsid w:val="00874634"/>
    <w:rsid w:val="00875314"/>
    <w:rsid w:val="00875A12"/>
    <w:rsid w:val="00877029"/>
    <w:rsid w:val="00880119"/>
    <w:rsid w:val="00881067"/>
    <w:rsid w:val="0088114D"/>
    <w:rsid w:val="0088150E"/>
    <w:rsid w:val="00882B62"/>
    <w:rsid w:val="00883392"/>
    <w:rsid w:val="008845D1"/>
    <w:rsid w:val="008846EA"/>
    <w:rsid w:val="008853A7"/>
    <w:rsid w:val="0088550E"/>
    <w:rsid w:val="00886013"/>
    <w:rsid w:val="00887C68"/>
    <w:rsid w:val="00887EB7"/>
    <w:rsid w:val="008900A9"/>
    <w:rsid w:val="0089046E"/>
    <w:rsid w:val="00891643"/>
    <w:rsid w:val="00891664"/>
    <w:rsid w:val="00892563"/>
    <w:rsid w:val="008929DB"/>
    <w:rsid w:val="0089438C"/>
    <w:rsid w:val="00895558"/>
    <w:rsid w:val="0089583E"/>
    <w:rsid w:val="00897439"/>
    <w:rsid w:val="008975A9"/>
    <w:rsid w:val="00897687"/>
    <w:rsid w:val="008A068F"/>
    <w:rsid w:val="008A06C3"/>
    <w:rsid w:val="008A1C7A"/>
    <w:rsid w:val="008A2E4A"/>
    <w:rsid w:val="008A3628"/>
    <w:rsid w:val="008A3743"/>
    <w:rsid w:val="008A40B2"/>
    <w:rsid w:val="008A42CA"/>
    <w:rsid w:val="008A7188"/>
    <w:rsid w:val="008A71F5"/>
    <w:rsid w:val="008A72DC"/>
    <w:rsid w:val="008A763F"/>
    <w:rsid w:val="008A7D55"/>
    <w:rsid w:val="008B06A7"/>
    <w:rsid w:val="008B1EA5"/>
    <w:rsid w:val="008B26E0"/>
    <w:rsid w:val="008B2E9C"/>
    <w:rsid w:val="008B3145"/>
    <w:rsid w:val="008B39D8"/>
    <w:rsid w:val="008B3B6C"/>
    <w:rsid w:val="008B60AD"/>
    <w:rsid w:val="008B61FC"/>
    <w:rsid w:val="008B71D2"/>
    <w:rsid w:val="008B7D62"/>
    <w:rsid w:val="008C0462"/>
    <w:rsid w:val="008C0DD3"/>
    <w:rsid w:val="008C19F5"/>
    <w:rsid w:val="008C1AB8"/>
    <w:rsid w:val="008C26A2"/>
    <w:rsid w:val="008C298B"/>
    <w:rsid w:val="008C2F42"/>
    <w:rsid w:val="008C3088"/>
    <w:rsid w:val="008C3182"/>
    <w:rsid w:val="008C336A"/>
    <w:rsid w:val="008C33F2"/>
    <w:rsid w:val="008C3B9D"/>
    <w:rsid w:val="008C50D7"/>
    <w:rsid w:val="008C51E0"/>
    <w:rsid w:val="008C5CBE"/>
    <w:rsid w:val="008C624D"/>
    <w:rsid w:val="008C6574"/>
    <w:rsid w:val="008C6A4E"/>
    <w:rsid w:val="008C79AC"/>
    <w:rsid w:val="008C7C25"/>
    <w:rsid w:val="008D1571"/>
    <w:rsid w:val="008D20BD"/>
    <w:rsid w:val="008D49B8"/>
    <w:rsid w:val="008D60B9"/>
    <w:rsid w:val="008D6229"/>
    <w:rsid w:val="008D6438"/>
    <w:rsid w:val="008D6BB6"/>
    <w:rsid w:val="008D7682"/>
    <w:rsid w:val="008D7B03"/>
    <w:rsid w:val="008D7F9D"/>
    <w:rsid w:val="008E0571"/>
    <w:rsid w:val="008E1A65"/>
    <w:rsid w:val="008E1C50"/>
    <w:rsid w:val="008E1F3C"/>
    <w:rsid w:val="008E2DD1"/>
    <w:rsid w:val="008E37C0"/>
    <w:rsid w:val="008E3B5A"/>
    <w:rsid w:val="008E3BC6"/>
    <w:rsid w:val="008E4552"/>
    <w:rsid w:val="008E4592"/>
    <w:rsid w:val="008E77BF"/>
    <w:rsid w:val="008E7B48"/>
    <w:rsid w:val="008F0087"/>
    <w:rsid w:val="008F0372"/>
    <w:rsid w:val="008F0A0F"/>
    <w:rsid w:val="008F0B48"/>
    <w:rsid w:val="008F1DBB"/>
    <w:rsid w:val="008F2DE4"/>
    <w:rsid w:val="008F3283"/>
    <w:rsid w:val="008F3337"/>
    <w:rsid w:val="008F3691"/>
    <w:rsid w:val="008F3D17"/>
    <w:rsid w:val="008F5D9E"/>
    <w:rsid w:val="008F626A"/>
    <w:rsid w:val="008F6346"/>
    <w:rsid w:val="008F66A1"/>
    <w:rsid w:val="008F74AA"/>
    <w:rsid w:val="008F7660"/>
    <w:rsid w:val="0090002B"/>
    <w:rsid w:val="009008ED"/>
    <w:rsid w:val="00900BB2"/>
    <w:rsid w:val="00900CD8"/>
    <w:rsid w:val="00900DF2"/>
    <w:rsid w:val="00900E5E"/>
    <w:rsid w:val="009014D3"/>
    <w:rsid w:val="009028D8"/>
    <w:rsid w:val="009033C9"/>
    <w:rsid w:val="009034F0"/>
    <w:rsid w:val="0090399F"/>
    <w:rsid w:val="00903E67"/>
    <w:rsid w:val="009051FA"/>
    <w:rsid w:val="009066D7"/>
    <w:rsid w:val="00906E50"/>
    <w:rsid w:val="009078CB"/>
    <w:rsid w:val="009105C2"/>
    <w:rsid w:val="00910713"/>
    <w:rsid w:val="00911AE6"/>
    <w:rsid w:val="009129E3"/>
    <w:rsid w:val="009133EC"/>
    <w:rsid w:val="00913CC1"/>
    <w:rsid w:val="00913ED5"/>
    <w:rsid w:val="00914308"/>
    <w:rsid w:val="0091631D"/>
    <w:rsid w:val="00916544"/>
    <w:rsid w:val="00916ABA"/>
    <w:rsid w:val="00917677"/>
    <w:rsid w:val="00917E68"/>
    <w:rsid w:val="00920314"/>
    <w:rsid w:val="00920546"/>
    <w:rsid w:val="00922081"/>
    <w:rsid w:val="009225CF"/>
    <w:rsid w:val="0092283D"/>
    <w:rsid w:val="0092361B"/>
    <w:rsid w:val="00923734"/>
    <w:rsid w:val="00923994"/>
    <w:rsid w:val="009244BC"/>
    <w:rsid w:val="0092515F"/>
    <w:rsid w:val="009257A0"/>
    <w:rsid w:val="00925B1C"/>
    <w:rsid w:val="00925B94"/>
    <w:rsid w:val="00926998"/>
    <w:rsid w:val="009276A8"/>
    <w:rsid w:val="00927FEB"/>
    <w:rsid w:val="009309CA"/>
    <w:rsid w:val="00930B43"/>
    <w:rsid w:val="00930F45"/>
    <w:rsid w:val="00931AD2"/>
    <w:rsid w:val="0093221C"/>
    <w:rsid w:val="00932394"/>
    <w:rsid w:val="00932C43"/>
    <w:rsid w:val="00932FD2"/>
    <w:rsid w:val="00934CC1"/>
    <w:rsid w:val="00934EB5"/>
    <w:rsid w:val="0093593A"/>
    <w:rsid w:val="00940180"/>
    <w:rsid w:val="009401E2"/>
    <w:rsid w:val="009409B8"/>
    <w:rsid w:val="00940C1C"/>
    <w:rsid w:val="00940CD4"/>
    <w:rsid w:val="00940DE1"/>
    <w:rsid w:val="00942BF3"/>
    <w:rsid w:val="00942E3B"/>
    <w:rsid w:val="00943B51"/>
    <w:rsid w:val="00944776"/>
    <w:rsid w:val="00944878"/>
    <w:rsid w:val="0094492D"/>
    <w:rsid w:val="009451DE"/>
    <w:rsid w:val="009454F1"/>
    <w:rsid w:val="00945D6E"/>
    <w:rsid w:val="0094605C"/>
    <w:rsid w:val="00946758"/>
    <w:rsid w:val="0094682E"/>
    <w:rsid w:val="009475A5"/>
    <w:rsid w:val="00947A10"/>
    <w:rsid w:val="00947A2F"/>
    <w:rsid w:val="00947C23"/>
    <w:rsid w:val="00947DCF"/>
    <w:rsid w:val="00950A44"/>
    <w:rsid w:val="00951AB5"/>
    <w:rsid w:val="0095220B"/>
    <w:rsid w:val="00953F35"/>
    <w:rsid w:val="0095490A"/>
    <w:rsid w:val="00954960"/>
    <w:rsid w:val="009557E7"/>
    <w:rsid w:val="00955A99"/>
    <w:rsid w:val="00956E3F"/>
    <w:rsid w:val="0095759A"/>
    <w:rsid w:val="009579D6"/>
    <w:rsid w:val="00957E99"/>
    <w:rsid w:val="00960266"/>
    <w:rsid w:val="00960353"/>
    <w:rsid w:val="00960DE9"/>
    <w:rsid w:val="00961146"/>
    <w:rsid w:val="009611F9"/>
    <w:rsid w:val="0096148B"/>
    <w:rsid w:val="009637FE"/>
    <w:rsid w:val="00963BFE"/>
    <w:rsid w:val="0096503F"/>
    <w:rsid w:val="009656C7"/>
    <w:rsid w:val="00965D1C"/>
    <w:rsid w:val="00966179"/>
    <w:rsid w:val="00967676"/>
    <w:rsid w:val="00970475"/>
    <w:rsid w:val="00971401"/>
    <w:rsid w:val="009730D9"/>
    <w:rsid w:val="009737E9"/>
    <w:rsid w:val="00973D2A"/>
    <w:rsid w:val="009740FE"/>
    <w:rsid w:val="00975706"/>
    <w:rsid w:val="00975749"/>
    <w:rsid w:val="00975861"/>
    <w:rsid w:val="00975AC6"/>
    <w:rsid w:val="00975D2B"/>
    <w:rsid w:val="00976613"/>
    <w:rsid w:val="00977C4C"/>
    <w:rsid w:val="00977E89"/>
    <w:rsid w:val="0098116D"/>
    <w:rsid w:val="009824CD"/>
    <w:rsid w:val="00982924"/>
    <w:rsid w:val="00983B6F"/>
    <w:rsid w:val="0098450D"/>
    <w:rsid w:val="0098596B"/>
    <w:rsid w:val="009867AA"/>
    <w:rsid w:val="009869D1"/>
    <w:rsid w:val="00990C3A"/>
    <w:rsid w:val="00991091"/>
    <w:rsid w:val="00991107"/>
    <w:rsid w:val="00993D52"/>
    <w:rsid w:val="009957C3"/>
    <w:rsid w:val="00995AB0"/>
    <w:rsid w:val="00995CB0"/>
    <w:rsid w:val="00995ED0"/>
    <w:rsid w:val="009964FD"/>
    <w:rsid w:val="0099682C"/>
    <w:rsid w:val="00997F47"/>
    <w:rsid w:val="009A0451"/>
    <w:rsid w:val="009A0B1A"/>
    <w:rsid w:val="009A1EF8"/>
    <w:rsid w:val="009A23B0"/>
    <w:rsid w:val="009A2A1E"/>
    <w:rsid w:val="009A2B7D"/>
    <w:rsid w:val="009A2BF3"/>
    <w:rsid w:val="009A3263"/>
    <w:rsid w:val="009A3DC8"/>
    <w:rsid w:val="009A4257"/>
    <w:rsid w:val="009A63AA"/>
    <w:rsid w:val="009A6721"/>
    <w:rsid w:val="009A710F"/>
    <w:rsid w:val="009A7C2F"/>
    <w:rsid w:val="009B09FF"/>
    <w:rsid w:val="009B0DC6"/>
    <w:rsid w:val="009B1395"/>
    <w:rsid w:val="009B2908"/>
    <w:rsid w:val="009B2977"/>
    <w:rsid w:val="009B2B8A"/>
    <w:rsid w:val="009B33AF"/>
    <w:rsid w:val="009B387C"/>
    <w:rsid w:val="009B3D57"/>
    <w:rsid w:val="009B4CDE"/>
    <w:rsid w:val="009B5832"/>
    <w:rsid w:val="009B697D"/>
    <w:rsid w:val="009B78F3"/>
    <w:rsid w:val="009C121E"/>
    <w:rsid w:val="009C12BA"/>
    <w:rsid w:val="009C2064"/>
    <w:rsid w:val="009C49AD"/>
    <w:rsid w:val="009C5629"/>
    <w:rsid w:val="009C63BA"/>
    <w:rsid w:val="009C6C5B"/>
    <w:rsid w:val="009C6FD6"/>
    <w:rsid w:val="009C7C9A"/>
    <w:rsid w:val="009C7DE0"/>
    <w:rsid w:val="009D0732"/>
    <w:rsid w:val="009D143A"/>
    <w:rsid w:val="009D1B60"/>
    <w:rsid w:val="009D290D"/>
    <w:rsid w:val="009D2D90"/>
    <w:rsid w:val="009D2E51"/>
    <w:rsid w:val="009D39B3"/>
    <w:rsid w:val="009D4CE9"/>
    <w:rsid w:val="009D53D3"/>
    <w:rsid w:val="009D588A"/>
    <w:rsid w:val="009D60EA"/>
    <w:rsid w:val="009D7449"/>
    <w:rsid w:val="009E200A"/>
    <w:rsid w:val="009E24A0"/>
    <w:rsid w:val="009E3062"/>
    <w:rsid w:val="009E38A4"/>
    <w:rsid w:val="009E3AC0"/>
    <w:rsid w:val="009E3FEB"/>
    <w:rsid w:val="009E4797"/>
    <w:rsid w:val="009F043B"/>
    <w:rsid w:val="009F04B8"/>
    <w:rsid w:val="009F0EA5"/>
    <w:rsid w:val="009F1502"/>
    <w:rsid w:val="009F1627"/>
    <w:rsid w:val="009F1747"/>
    <w:rsid w:val="009F1A8D"/>
    <w:rsid w:val="009F21DA"/>
    <w:rsid w:val="009F3216"/>
    <w:rsid w:val="009F3835"/>
    <w:rsid w:val="009F3862"/>
    <w:rsid w:val="009F4179"/>
    <w:rsid w:val="009F475E"/>
    <w:rsid w:val="009F47D7"/>
    <w:rsid w:val="009F4CD6"/>
    <w:rsid w:val="009F4F47"/>
    <w:rsid w:val="009F5725"/>
    <w:rsid w:val="009F5768"/>
    <w:rsid w:val="009F57FF"/>
    <w:rsid w:val="009F5BEF"/>
    <w:rsid w:val="009F71FF"/>
    <w:rsid w:val="009F7C94"/>
    <w:rsid w:val="00A0130D"/>
    <w:rsid w:val="00A019A6"/>
    <w:rsid w:val="00A0261F"/>
    <w:rsid w:val="00A040BA"/>
    <w:rsid w:val="00A05F67"/>
    <w:rsid w:val="00A0620D"/>
    <w:rsid w:val="00A07C00"/>
    <w:rsid w:val="00A10003"/>
    <w:rsid w:val="00A1006F"/>
    <w:rsid w:val="00A10B88"/>
    <w:rsid w:val="00A10F91"/>
    <w:rsid w:val="00A11235"/>
    <w:rsid w:val="00A11389"/>
    <w:rsid w:val="00A11F00"/>
    <w:rsid w:val="00A1269B"/>
    <w:rsid w:val="00A1296F"/>
    <w:rsid w:val="00A12E25"/>
    <w:rsid w:val="00A134FD"/>
    <w:rsid w:val="00A14CD2"/>
    <w:rsid w:val="00A16844"/>
    <w:rsid w:val="00A175CF"/>
    <w:rsid w:val="00A176E2"/>
    <w:rsid w:val="00A17D3E"/>
    <w:rsid w:val="00A205B1"/>
    <w:rsid w:val="00A209D9"/>
    <w:rsid w:val="00A20C1F"/>
    <w:rsid w:val="00A2162A"/>
    <w:rsid w:val="00A217ED"/>
    <w:rsid w:val="00A21CFC"/>
    <w:rsid w:val="00A21F56"/>
    <w:rsid w:val="00A22F79"/>
    <w:rsid w:val="00A232C9"/>
    <w:rsid w:val="00A237EE"/>
    <w:rsid w:val="00A23BDC"/>
    <w:rsid w:val="00A2404D"/>
    <w:rsid w:val="00A24E1E"/>
    <w:rsid w:val="00A25610"/>
    <w:rsid w:val="00A256A2"/>
    <w:rsid w:val="00A27828"/>
    <w:rsid w:val="00A27867"/>
    <w:rsid w:val="00A30D10"/>
    <w:rsid w:val="00A30EF1"/>
    <w:rsid w:val="00A32BC2"/>
    <w:rsid w:val="00A3323F"/>
    <w:rsid w:val="00A34CDE"/>
    <w:rsid w:val="00A34F62"/>
    <w:rsid w:val="00A36692"/>
    <w:rsid w:val="00A369FE"/>
    <w:rsid w:val="00A36D92"/>
    <w:rsid w:val="00A4027D"/>
    <w:rsid w:val="00A40289"/>
    <w:rsid w:val="00A40B14"/>
    <w:rsid w:val="00A41BE5"/>
    <w:rsid w:val="00A41D0B"/>
    <w:rsid w:val="00A42475"/>
    <w:rsid w:val="00A43286"/>
    <w:rsid w:val="00A436A0"/>
    <w:rsid w:val="00A4393E"/>
    <w:rsid w:val="00A44798"/>
    <w:rsid w:val="00A45B6A"/>
    <w:rsid w:val="00A46F7B"/>
    <w:rsid w:val="00A47672"/>
    <w:rsid w:val="00A50F42"/>
    <w:rsid w:val="00A518C7"/>
    <w:rsid w:val="00A51919"/>
    <w:rsid w:val="00A524CF"/>
    <w:rsid w:val="00A530C8"/>
    <w:rsid w:val="00A530E5"/>
    <w:rsid w:val="00A533ED"/>
    <w:rsid w:val="00A534DE"/>
    <w:rsid w:val="00A538AD"/>
    <w:rsid w:val="00A53C99"/>
    <w:rsid w:val="00A5469A"/>
    <w:rsid w:val="00A5658C"/>
    <w:rsid w:val="00A572C6"/>
    <w:rsid w:val="00A60935"/>
    <w:rsid w:val="00A6155C"/>
    <w:rsid w:val="00A61737"/>
    <w:rsid w:val="00A61FBE"/>
    <w:rsid w:val="00A62450"/>
    <w:rsid w:val="00A627AC"/>
    <w:rsid w:val="00A62A7B"/>
    <w:rsid w:val="00A62C63"/>
    <w:rsid w:val="00A63429"/>
    <w:rsid w:val="00A6370F"/>
    <w:rsid w:val="00A63BEC"/>
    <w:rsid w:val="00A63D3E"/>
    <w:rsid w:val="00A64059"/>
    <w:rsid w:val="00A64206"/>
    <w:rsid w:val="00A64DB5"/>
    <w:rsid w:val="00A65606"/>
    <w:rsid w:val="00A66D25"/>
    <w:rsid w:val="00A670BA"/>
    <w:rsid w:val="00A67F55"/>
    <w:rsid w:val="00A73C3C"/>
    <w:rsid w:val="00A74A68"/>
    <w:rsid w:val="00A7636E"/>
    <w:rsid w:val="00A76BA5"/>
    <w:rsid w:val="00A7773A"/>
    <w:rsid w:val="00A7785B"/>
    <w:rsid w:val="00A8148B"/>
    <w:rsid w:val="00A8218F"/>
    <w:rsid w:val="00A82396"/>
    <w:rsid w:val="00A8283E"/>
    <w:rsid w:val="00A828E8"/>
    <w:rsid w:val="00A82DBA"/>
    <w:rsid w:val="00A835A0"/>
    <w:rsid w:val="00A83785"/>
    <w:rsid w:val="00A8567A"/>
    <w:rsid w:val="00A86CC3"/>
    <w:rsid w:val="00A871EF"/>
    <w:rsid w:val="00A87212"/>
    <w:rsid w:val="00A900EF"/>
    <w:rsid w:val="00A912E4"/>
    <w:rsid w:val="00A91BBB"/>
    <w:rsid w:val="00A91E95"/>
    <w:rsid w:val="00A92B39"/>
    <w:rsid w:val="00A92FA0"/>
    <w:rsid w:val="00A93CCB"/>
    <w:rsid w:val="00A9453F"/>
    <w:rsid w:val="00A94975"/>
    <w:rsid w:val="00A94FC9"/>
    <w:rsid w:val="00A95A65"/>
    <w:rsid w:val="00A96A47"/>
    <w:rsid w:val="00A97173"/>
    <w:rsid w:val="00A97524"/>
    <w:rsid w:val="00AA0381"/>
    <w:rsid w:val="00AA188D"/>
    <w:rsid w:val="00AA1F0C"/>
    <w:rsid w:val="00AA2171"/>
    <w:rsid w:val="00AA2259"/>
    <w:rsid w:val="00AA4E42"/>
    <w:rsid w:val="00AA6367"/>
    <w:rsid w:val="00AA6F57"/>
    <w:rsid w:val="00AA71F1"/>
    <w:rsid w:val="00AA7666"/>
    <w:rsid w:val="00AA79F6"/>
    <w:rsid w:val="00AB03C1"/>
    <w:rsid w:val="00AB06F9"/>
    <w:rsid w:val="00AB073E"/>
    <w:rsid w:val="00AB0891"/>
    <w:rsid w:val="00AB1CB9"/>
    <w:rsid w:val="00AB239A"/>
    <w:rsid w:val="00AB2E67"/>
    <w:rsid w:val="00AB2E88"/>
    <w:rsid w:val="00AB396E"/>
    <w:rsid w:val="00AB65CC"/>
    <w:rsid w:val="00AB72E1"/>
    <w:rsid w:val="00AB74BC"/>
    <w:rsid w:val="00AC1053"/>
    <w:rsid w:val="00AC13BF"/>
    <w:rsid w:val="00AC1862"/>
    <w:rsid w:val="00AC24FF"/>
    <w:rsid w:val="00AC4658"/>
    <w:rsid w:val="00AC4A1E"/>
    <w:rsid w:val="00AC4C46"/>
    <w:rsid w:val="00AC58B4"/>
    <w:rsid w:val="00AC66ED"/>
    <w:rsid w:val="00AC7518"/>
    <w:rsid w:val="00AD059A"/>
    <w:rsid w:val="00AD08FD"/>
    <w:rsid w:val="00AD0CE8"/>
    <w:rsid w:val="00AD0DA1"/>
    <w:rsid w:val="00AD384D"/>
    <w:rsid w:val="00AD3CDF"/>
    <w:rsid w:val="00AD4309"/>
    <w:rsid w:val="00AD46B7"/>
    <w:rsid w:val="00AD4C4D"/>
    <w:rsid w:val="00AD4C6B"/>
    <w:rsid w:val="00AD66CD"/>
    <w:rsid w:val="00AD6BCB"/>
    <w:rsid w:val="00AD76B9"/>
    <w:rsid w:val="00AD7F7A"/>
    <w:rsid w:val="00AE05CC"/>
    <w:rsid w:val="00AE1415"/>
    <w:rsid w:val="00AE14E2"/>
    <w:rsid w:val="00AE2ACC"/>
    <w:rsid w:val="00AE30A9"/>
    <w:rsid w:val="00AE39D1"/>
    <w:rsid w:val="00AE54E7"/>
    <w:rsid w:val="00AF1EF4"/>
    <w:rsid w:val="00AF204F"/>
    <w:rsid w:val="00AF4141"/>
    <w:rsid w:val="00AF4403"/>
    <w:rsid w:val="00AF44CE"/>
    <w:rsid w:val="00AF45F8"/>
    <w:rsid w:val="00AF4B6A"/>
    <w:rsid w:val="00AF5AC0"/>
    <w:rsid w:val="00AF6414"/>
    <w:rsid w:val="00AF6BA7"/>
    <w:rsid w:val="00AF6F04"/>
    <w:rsid w:val="00AF7F2B"/>
    <w:rsid w:val="00B000E0"/>
    <w:rsid w:val="00B02999"/>
    <w:rsid w:val="00B032CB"/>
    <w:rsid w:val="00B034E8"/>
    <w:rsid w:val="00B0610F"/>
    <w:rsid w:val="00B062F3"/>
    <w:rsid w:val="00B06BEC"/>
    <w:rsid w:val="00B1068A"/>
    <w:rsid w:val="00B11136"/>
    <w:rsid w:val="00B11748"/>
    <w:rsid w:val="00B12888"/>
    <w:rsid w:val="00B12939"/>
    <w:rsid w:val="00B1324C"/>
    <w:rsid w:val="00B1390B"/>
    <w:rsid w:val="00B13A81"/>
    <w:rsid w:val="00B13EEE"/>
    <w:rsid w:val="00B1416A"/>
    <w:rsid w:val="00B14A88"/>
    <w:rsid w:val="00B14F42"/>
    <w:rsid w:val="00B154B2"/>
    <w:rsid w:val="00B155E0"/>
    <w:rsid w:val="00B1581D"/>
    <w:rsid w:val="00B1647D"/>
    <w:rsid w:val="00B165D6"/>
    <w:rsid w:val="00B17952"/>
    <w:rsid w:val="00B2076D"/>
    <w:rsid w:val="00B20CD9"/>
    <w:rsid w:val="00B21321"/>
    <w:rsid w:val="00B216D1"/>
    <w:rsid w:val="00B2479E"/>
    <w:rsid w:val="00B247E9"/>
    <w:rsid w:val="00B25464"/>
    <w:rsid w:val="00B26281"/>
    <w:rsid w:val="00B27635"/>
    <w:rsid w:val="00B27D35"/>
    <w:rsid w:val="00B31014"/>
    <w:rsid w:val="00B31A1D"/>
    <w:rsid w:val="00B328F0"/>
    <w:rsid w:val="00B34FFB"/>
    <w:rsid w:val="00B36C7A"/>
    <w:rsid w:val="00B37219"/>
    <w:rsid w:val="00B410EA"/>
    <w:rsid w:val="00B4195C"/>
    <w:rsid w:val="00B41EE1"/>
    <w:rsid w:val="00B42FAB"/>
    <w:rsid w:val="00B431CC"/>
    <w:rsid w:val="00B435B5"/>
    <w:rsid w:val="00B4392E"/>
    <w:rsid w:val="00B4486F"/>
    <w:rsid w:val="00B44981"/>
    <w:rsid w:val="00B44CCF"/>
    <w:rsid w:val="00B44F5C"/>
    <w:rsid w:val="00B46458"/>
    <w:rsid w:val="00B46735"/>
    <w:rsid w:val="00B477FB"/>
    <w:rsid w:val="00B50715"/>
    <w:rsid w:val="00B50C9A"/>
    <w:rsid w:val="00B51CF6"/>
    <w:rsid w:val="00B522AA"/>
    <w:rsid w:val="00B52309"/>
    <w:rsid w:val="00B531CD"/>
    <w:rsid w:val="00B547C8"/>
    <w:rsid w:val="00B5505D"/>
    <w:rsid w:val="00B555B1"/>
    <w:rsid w:val="00B5661C"/>
    <w:rsid w:val="00B567FB"/>
    <w:rsid w:val="00B6199B"/>
    <w:rsid w:val="00B620BC"/>
    <w:rsid w:val="00B6226B"/>
    <w:rsid w:val="00B64B35"/>
    <w:rsid w:val="00B655CB"/>
    <w:rsid w:val="00B668E9"/>
    <w:rsid w:val="00B66E76"/>
    <w:rsid w:val="00B66E78"/>
    <w:rsid w:val="00B67336"/>
    <w:rsid w:val="00B67B38"/>
    <w:rsid w:val="00B70FAD"/>
    <w:rsid w:val="00B72063"/>
    <w:rsid w:val="00B721EF"/>
    <w:rsid w:val="00B72ADB"/>
    <w:rsid w:val="00B72F0F"/>
    <w:rsid w:val="00B74912"/>
    <w:rsid w:val="00B756B6"/>
    <w:rsid w:val="00B75E97"/>
    <w:rsid w:val="00B7742A"/>
    <w:rsid w:val="00B77CAB"/>
    <w:rsid w:val="00B81EA0"/>
    <w:rsid w:val="00B8290E"/>
    <w:rsid w:val="00B8351C"/>
    <w:rsid w:val="00B849E9"/>
    <w:rsid w:val="00B84A96"/>
    <w:rsid w:val="00B863A7"/>
    <w:rsid w:val="00B876F5"/>
    <w:rsid w:val="00B8793D"/>
    <w:rsid w:val="00B909F3"/>
    <w:rsid w:val="00B90F11"/>
    <w:rsid w:val="00B9107D"/>
    <w:rsid w:val="00B91899"/>
    <w:rsid w:val="00B91B93"/>
    <w:rsid w:val="00B92EB7"/>
    <w:rsid w:val="00B9484A"/>
    <w:rsid w:val="00B96824"/>
    <w:rsid w:val="00B96ADA"/>
    <w:rsid w:val="00B96D16"/>
    <w:rsid w:val="00BA1BDA"/>
    <w:rsid w:val="00BA3382"/>
    <w:rsid w:val="00BA3A0B"/>
    <w:rsid w:val="00BA4644"/>
    <w:rsid w:val="00BA52AF"/>
    <w:rsid w:val="00BA5998"/>
    <w:rsid w:val="00BA5D24"/>
    <w:rsid w:val="00BA5FC7"/>
    <w:rsid w:val="00BA63A0"/>
    <w:rsid w:val="00BA68F6"/>
    <w:rsid w:val="00BA6D0B"/>
    <w:rsid w:val="00BA7C2C"/>
    <w:rsid w:val="00BB0074"/>
    <w:rsid w:val="00BB01B5"/>
    <w:rsid w:val="00BB19C4"/>
    <w:rsid w:val="00BB1A15"/>
    <w:rsid w:val="00BB1A23"/>
    <w:rsid w:val="00BB1CD4"/>
    <w:rsid w:val="00BB1E3B"/>
    <w:rsid w:val="00BB2194"/>
    <w:rsid w:val="00BB2552"/>
    <w:rsid w:val="00BB257F"/>
    <w:rsid w:val="00BB43EF"/>
    <w:rsid w:val="00BB49E3"/>
    <w:rsid w:val="00BB4B9D"/>
    <w:rsid w:val="00BB4D8D"/>
    <w:rsid w:val="00BB5021"/>
    <w:rsid w:val="00BB570E"/>
    <w:rsid w:val="00BB5DC4"/>
    <w:rsid w:val="00BB717A"/>
    <w:rsid w:val="00BB7FE6"/>
    <w:rsid w:val="00BC022F"/>
    <w:rsid w:val="00BC051A"/>
    <w:rsid w:val="00BC0769"/>
    <w:rsid w:val="00BC09AA"/>
    <w:rsid w:val="00BC18AF"/>
    <w:rsid w:val="00BC29FA"/>
    <w:rsid w:val="00BC2A44"/>
    <w:rsid w:val="00BC300D"/>
    <w:rsid w:val="00BC396A"/>
    <w:rsid w:val="00BC3C65"/>
    <w:rsid w:val="00BC3DBF"/>
    <w:rsid w:val="00BC55E0"/>
    <w:rsid w:val="00BC73B3"/>
    <w:rsid w:val="00BC7912"/>
    <w:rsid w:val="00BC7D89"/>
    <w:rsid w:val="00BD08EF"/>
    <w:rsid w:val="00BD0CB6"/>
    <w:rsid w:val="00BD2056"/>
    <w:rsid w:val="00BD230C"/>
    <w:rsid w:val="00BD252C"/>
    <w:rsid w:val="00BD3332"/>
    <w:rsid w:val="00BD3AD3"/>
    <w:rsid w:val="00BD47CB"/>
    <w:rsid w:val="00BD4962"/>
    <w:rsid w:val="00BD5501"/>
    <w:rsid w:val="00BD6EB3"/>
    <w:rsid w:val="00BD72D9"/>
    <w:rsid w:val="00BE060B"/>
    <w:rsid w:val="00BE155A"/>
    <w:rsid w:val="00BE1DF0"/>
    <w:rsid w:val="00BE43E1"/>
    <w:rsid w:val="00BE7044"/>
    <w:rsid w:val="00BE7085"/>
    <w:rsid w:val="00BF01FA"/>
    <w:rsid w:val="00BF2784"/>
    <w:rsid w:val="00BF30E1"/>
    <w:rsid w:val="00BF44E3"/>
    <w:rsid w:val="00BF5389"/>
    <w:rsid w:val="00BF54D2"/>
    <w:rsid w:val="00BF5EC6"/>
    <w:rsid w:val="00BF6220"/>
    <w:rsid w:val="00BF62A0"/>
    <w:rsid w:val="00BF6359"/>
    <w:rsid w:val="00BF64BD"/>
    <w:rsid w:val="00BF6DCE"/>
    <w:rsid w:val="00BF77D9"/>
    <w:rsid w:val="00BF7D15"/>
    <w:rsid w:val="00C021F7"/>
    <w:rsid w:val="00C022EF"/>
    <w:rsid w:val="00C02732"/>
    <w:rsid w:val="00C02BBB"/>
    <w:rsid w:val="00C03696"/>
    <w:rsid w:val="00C0379A"/>
    <w:rsid w:val="00C0392F"/>
    <w:rsid w:val="00C039E9"/>
    <w:rsid w:val="00C04529"/>
    <w:rsid w:val="00C0491C"/>
    <w:rsid w:val="00C0575F"/>
    <w:rsid w:val="00C05843"/>
    <w:rsid w:val="00C06C17"/>
    <w:rsid w:val="00C06E16"/>
    <w:rsid w:val="00C07216"/>
    <w:rsid w:val="00C07360"/>
    <w:rsid w:val="00C1048F"/>
    <w:rsid w:val="00C10EE9"/>
    <w:rsid w:val="00C123BD"/>
    <w:rsid w:val="00C123DB"/>
    <w:rsid w:val="00C124F1"/>
    <w:rsid w:val="00C1278A"/>
    <w:rsid w:val="00C13745"/>
    <w:rsid w:val="00C13A76"/>
    <w:rsid w:val="00C13C46"/>
    <w:rsid w:val="00C14888"/>
    <w:rsid w:val="00C14963"/>
    <w:rsid w:val="00C1500A"/>
    <w:rsid w:val="00C16209"/>
    <w:rsid w:val="00C165D9"/>
    <w:rsid w:val="00C171FD"/>
    <w:rsid w:val="00C1758C"/>
    <w:rsid w:val="00C17C5A"/>
    <w:rsid w:val="00C2091B"/>
    <w:rsid w:val="00C20BE4"/>
    <w:rsid w:val="00C20C56"/>
    <w:rsid w:val="00C21356"/>
    <w:rsid w:val="00C2160C"/>
    <w:rsid w:val="00C2177D"/>
    <w:rsid w:val="00C22DDB"/>
    <w:rsid w:val="00C22E49"/>
    <w:rsid w:val="00C22E50"/>
    <w:rsid w:val="00C26EB1"/>
    <w:rsid w:val="00C277F1"/>
    <w:rsid w:val="00C3038C"/>
    <w:rsid w:val="00C3101A"/>
    <w:rsid w:val="00C31978"/>
    <w:rsid w:val="00C319B0"/>
    <w:rsid w:val="00C32CD1"/>
    <w:rsid w:val="00C34FED"/>
    <w:rsid w:val="00C35389"/>
    <w:rsid w:val="00C35C7B"/>
    <w:rsid w:val="00C366A4"/>
    <w:rsid w:val="00C378B7"/>
    <w:rsid w:val="00C409DE"/>
    <w:rsid w:val="00C40BAD"/>
    <w:rsid w:val="00C42B37"/>
    <w:rsid w:val="00C4373D"/>
    <w:rsid w:val="00C43819"/>
    <w:rsid w:val="00C4381B"/>
    <w:rsid w:val="00C44B71"/>
    <w:rsid w:val="00C453F3"/>
    <w:rsid w:val="00C464B6"/>
    <w:rsid w:val="00C46817"/>
    <w:rsid w:val="00C4695F"/>
    <w:rsid w:val="00C46A11"/>
    <w:rsid w:val="00C475B4"/>
    <w:rsid w:val="00C47EEE"/>
    <w:rsid w:val="00C51730"/>
    <w:rsid w:val="00C51D93"/>
    <w:rsid w:val="00C51DB7"/>
    <w:rsid w:val="00C521E3"/>
    <w:rsid w:val="00C52C9F"/>
    <w:rsid w:val="00C53617"/>
    <w:rsid w:val="00C53AB1"/>
    <w:rsid w:val="00C53DB2"/>
    <w:rsid w:val="00C53F5F"/>
    <w:rsid w:val="00C56080"/>
    <w:rsid w:val="00C562BA"/>
    <w:rsid w:val="00C562DE"/>
    <w:rsid w:val="00C5633C"/>
    <w:rsid w:val="00C56747"/>
    <w:rsid w:val="00C56CE5"/>
    <w:rsid w:val="00C575CF"/>
    <w:rsid w:val="00C57BE7"/>
    <w:rsid w:val="00C60387"/>
    <w:rsid w:val="00C61030"/>
    <w:rsid w:val="00C6137F"/>
    <w:rsid w:val="00C61B51"/>
    <w:rsid w:val="00C64792"/>
    <w:rsid w:val="00C66018"/>
    <w:rsid w:val="00C6652F"/>
    <w:rsid w:val="00C666B0"/>
    <w:rsid w:val="00C702C5"/>
    <w:rsid w:val="00C70434"/>
    <w:rsid w:val="00C708DD"/>
    <w:rsid w:val="00C71C4F"/>
    <w:rsid w:val="00C71CB9"/>
    <w:rsid w:val="00C72310"/>
    <w:rsid w:val="00C72B6A"/>
    <w:rsid w:val="00C7518B"/>
    <w:rsid w:val="00C7613C"/>
    <w:rsid w:val="00C767EB"/>
    <w:rsid w:val="00C769A3"/>
    <w:rsid w:val="00C772B1"/>
    <w:rsid w:val="00C77BCF"/>
    <w:rsid w:val="00C77D53"/>
    <w:rsid w:val="00C81A37"/>
    <w:rsid w:val="00C82559"/>
    <w:rsid w:val="00C82675"/>
    <w:rsid w:val="00C8286B"/>
    <w:rsid w:val="00C83B85"/>
    <w:rsid w:val="00C83DCE"/>
    <w:rsid w:val="00C84056"/>
    <w:rsid w:val="00C84B64"/>
    <w:rsid w:val="00C84E27"/>
    <w:rsid w:val="00C8556B"/>
    <w:rsid w:val="00C855F8"/>
    <w:rsid w:val="00C85638"/>
    <w:rsid w:val="00C85AFA"/>
    <w:rsid w:val="00C85D61"/>
    <w:rsid w:val="00C864B1"/>
    <w:rsid w:val="00C866B4"/>
    <w:rsid w:val="00C86CEE"/>
    <w:rsid w:val="00C86E6F"/>
    <w:rsid w:val="00C87427"/>
    <w:rsid w:val="00C876DF"/>
    <w:rsid w:val="00C877B6"/>
    <w:rsid w:val="00C90956"/>
    <w:rsid w:val="00C92002"/>
    <w:rsid w:val="00C92D13"/>
    <w:rsid w:val="00C93071"/>
    <w:rsid w:val="00C94699"/>
    <w:rsid w:val="00C9551B"/>
    <w:rsid w:val="00C95D2A"/>
    <w:rsid w:val="00C95E05"/>
    <w:rsid w:val="00C961C7"/>
    <w:rsid w:val="00C977A6"/>
    <w:rsid w:val="00C97ACB"/>
    <w:rsid w:val="00C97F57"/>
    <w:rsid w:val="00CA114F"/>
    <w:rsid w:val="00CA505F"/>
    <w:rsid w:val="00CA5953"/>
    <w:rsid w:val="00CA6296"/>
    <w:rsid w:val="00CA63EA"/>
    <w:rsid w:val="00CA6CD0"/>
    <w:rsid w:val="00CB0133"/>
    <w:rsid w:val="00CB05A1"/>
    <w:rsid w:val="00CB0ED7"/>
    <w:rsid w:val="00CB24A7"/>
    <w:rsid w:val="00CB38C8"/>
    <w:rsid w:val="00CB394F"/>
    <w:rsid w:val="00CB39F5"/>
    <w:rsid w:val="00CB3AF9"/>
    <w:rsid w:val="00CB3B9F"/>
    <w:rsid w:val="00CB4607"/>
    <w:rsid w:val="00CB461A"/>
    <w:rsid w:val="00CB4C2C"/>
    <w:rsid w:val="00CB5A2A"/>
    <w:rsid w:val="00CB659A"/>
    <w:rsid w:val="00CB7100"/>
    <w:rsid w:val="00CB7478"/>
    <w:rsid w:val="00CB74F9"/>
    <w:rsid w:val="00CC2BD6"/>
    <w:rsid w:val="00CC2E4C"/>
    <w:rsid w:val="00CC3903"/>
    <w:rsid w:val="00CC4EB3"/>
    <w:rsid w:val="00CC5144"/>
    <w:rsid w:val="00CC6748"/>
    <w:rsid w:val="00CC72C7"/>
    <w:rsid w:val="00CC760D"/>
    <w:rsid w:val="00CD0864"/>
    <w:rsid w:val="00CD0BB5"/>
    <w:rsid w:val="00CD1788"/>
    <w:rsid w:val="00CD2A8F"/>
    <w:rsid w:val="00CD2EDA"/>
    <w:rsid w:val="00CD54BD"/>
    <w:rsid w:val="00CD5511"/>
    <w:rsid w:val="00CD55D6"/>
    <w:rsid w:val="00CD5A9E"/>
    <w:rsid w:val="00CD7459"/>
    <w:rsid w:val="00CD75A8"/>
    <w:rsid w:val="00CD7AE3"/>
    <w:rsid w:val="00CD7C4E"/>
    <w:rsid w:val="00CE003E"/>
    <w:rsid w:val="00CE0D0A"/>
    <w:rsid w:val="00CE0D1F"/>
    <w:rsid w:val="00CE2907"/>
    <w:rsid w:val="00CE5074"/>
    <w:rsid w:val="00CE644B"/>
    <w:rsid w:val="00CF0173"/>
    <w:rsid w:val="00CF0A15"/>
    <w:rsid w:val="00CF0EE0"/>
    <w:rsid w:val="00CF1C6E"/>
    <w:rsid w:val="00CF2215"/>
    <w:rsid w:val="00CF337D"/>
    <w:rsid w:val="00CF4690"/>
    <w:rsid w:val="00CF5C78"/>
    <w:rsid w:val="00CF6B17"/>
    <w:rsid w:val="00CF70B4"/>
    <w:rsid w:val="00CF71E9"/>
    <w:rsid w:val="00D00E03"/>
    <w:rsid w:val="00D011B3"/>
    <w:rsid w:val="00D02BA9"/>
    <w:rsid w:val="00D03D7D"/>
    <w:rsid w:val="00D03F44"/>
    <w:rsid w:val="00D040E0"/>
    <w:rsid w:val="00D04DC3"/>
    <w:rsid w:val="00D054F9"/>
    <w:rsid w:val="00D06BE9"/>
    <w:rsid w:val="00D07249"/>
    <w:rsid w:val="00D07D8E"/>
    <w:rsid w:val="00D101C6"/>
    <w:rsid w:val="00D107B3"/>
    <w:rsid w:val="00D10CA9"/>
    <w:rsid w:val="00D10EEB"/>
    <w:rsid w:val="00D11D7E"/>
    <w:rsid w:val="00D1318D"/>
    <w:rsid w:val="00D13EC4"/>
    <w:rsid w:val="00D13F67"/>
    <w:rsid w:val="00D14037"/>
    <w:rsid w:val="00D152F1"/>
    <w:rsid w:val="00D174BB"/>
    <w:rsid w:val="00D2081E"/>
    <w:rsid w:val="00D20AC5"/>
    <w:rsid w:val="00D23751"/>
    <w:rsid w:val="00D23AAE"/>
    <w:rsid w:val="00D2525A"/>
    <w:rsid w:val="00D257D3"/>
    <w:rsid w:val="00D25D56"/>
    <w:rsid w:val="00D26008"/>
    <w:rsid w:val="00D26847"/>
    <w:rsid w:val="00D304F1"/>
    <w:rsid w:val="00D31A06"/>
    <w:rsid w:val="00D31B9C"/>
    <w:rsid w:val="00D31EC3"/>
    <w:rsid w:val="00D33861"/>
    <w:rsid w:val="00D33B6B"/>
    <w:rsid w:val="00D33CA6"/>
    <w:rsid w:val="00D3462C"/>
    <w:rsid w:val="00D3477C"/>
    <w:rsid w:val="00D34B28"/>
    <w:rsid w:val="00D3547A"/>
    <w:rsid w:val="00D41058"/>
    <w:rsid w:val="00D436F5"/>
    <w:rsid w:val="00D442B9"/>
    <w:rsid w:val="00D45373"/>
    <w:rsid w:val="00D46836"/>
    <w:rsid w:val="00D47091"/>
    <w:rsid w:val="00D47924"/>
    <w:rsid w:val="00D500C1"/>
    <w:rsid w:val="00D501F0"/>
    <w:rsid w:val="00D5035A"/>
    <w:rsid w:val="00D50746"/>
    <w:rsid w:val="00D5084F"/>
    <w:rsid w:val="00D5118B"/>
    <w:rsid w:val="00D524AB"/>
    <w:rsid w:val="00D525BA"/>
    <w:rsid w:val="00D528FA"/>
    <w:rsid w:val="00D52E05"/>
    <w:rsid w:val="00D52FE5"/>
    <w:rsid w:val="00D531CD"/>
    <w:rsid w:val="00D553A4"/>
    <w:rsid w:val="00D55824"/>
    <w:rsid w:val="00D561EE"/>
    <w:rsid w:val="00D56CE3"/>
    <w:rsid w:val="00D575B9"/>
    <w:rsid w:val="00D60A9B"/>
    <w:rsid w:val="00D60C3A"/>
    <w:rsid w:val="00D6260D"/>
    <w:rsid w:val="00D62AA9"/>
    <w:rsid w:val="00D6347A"/>
    <w:rsid w:val="00D636C1"/>
    <w:rsid w:val="00D64156"/>
    <w:rsid w:val="00D6421A"/>
    <w:rsid w:val="00D65E7A"/>
    <w:rsid w:val="00D6662B"/>
    <w:rsid w:val="00D67E8A"/>
    <w:rsid w:val="00D7062A"/>
    <w:rsid w:val="00D7080D"/>
    <w:rsid w:val="00D717D5"/>
    <w:rsid w:val="00D72D36"/>
    <w:rsid w:val="00D73C26"/>
    <w:rsid w:val="00D73D98"/>
    <w:rsid w:val="00D74A82"/>
    <w:rsid w:val="00D74E61"/>
    <w:rsid w:val="00D76279"/>
    <w:rsid w:val="00D76F66"/>
    <w:rsid w:val="00D77434"/>
    <w:rsid w:val="00D77641"/>
    <w:rsid w:val="00D80615"/>
    <w:rsid w:val="00D810F5"/>
    <w:rsid w:val="00D81163"/>
    <w:rsid w:val="00D815A2"/>
    <w:rsid w:val="00D81609"/>
    <w:rsid w:val="00D81DA3"/>
    <w:rsid w:val="00D8226A"/>
    <w:rsid w:val="00D830C2"/>
    <w:rsid w:val="00D86726"/>
    <w:rsid w:val="00D87EEA"/>
    <w:rsid w:val="00D9029B"/>
    <w:rsid w:val="00D90FDF"/>
    <w:rsid w:val="00D91426"/>
    <w:rsid w:val="00D9181B"/>
    <w:rsid w:val="00D92EC2"/>
    <w:rsid w:val="00D93C31"/>
    <w:rsid w:val="00D93CAC"/>
    <w:rsid w:val="00D950C7"/>
    <w:rsid w:val="00D95740"/>
    <w:rsid w:val="00D96DEA"/>
    <w:rsid w:val="00DA07D7"/>
    <w:rsid w:val="00DA1510"/>
    <w:rsid w:val="00DA1873"/>
    <w:rsid w:val="00DA1C1F"/>
    <w:rsid w:val="00DA34C9"/>
    <w:rsid w:val="00DA3B72"/>
    <w:rsid w:val="00DA4DE3"/>
    <w:rsid w:val="00DA4FFE"/>
    <w:rsid w:val="00DA5059"/>
    <w:rsid w:val="00DA555C"/>
    <w:rsid w:val="00DA5E00"/>
    <w:rsid w:val="00DA61B1"/>
    <w:rsid w:val="00DA6377"/>
    <w:rsid w:val="00DA751C"/>
    <w:rsid w:val="00DA77A7"/>
    <w:rsid w:val="00DA7D1A"/>
    <w:rsid w:val="00DA7FF1"/>
    <w:rsid w:val="00DB03C7"/>
    <w:rsid w:val="00DB06F2"/>
    <w:rsid w:val="00DB24B4"/>
    <w:rsid w:val="00DB3BB4"/>
    <w:rsid w:val="00DB3DEF"/>
    <w:rsid w:val="00DB465C"/>
    <w:rsid w:val="00DB4C42"/>
    <w:rsid w:val="00DB4DD4"/>
    <w:rsid w:val="00DB5A3E"/>
    <w:rsid w:val="00DB5BED"/>
    <w:rsid w:val="00DB5CB8"/>
    <w:rsid w:val="00DB6B3B"/>
    <w:rsid w:val="00DB6C46"/>
    <w:rsid w:val="00DB7741"/>
    <w:rsid w:val="00DC031C"/>
    <w:rsid w:val="00DC1AF4"/>
    <w:rsid w:val="00DC242D"/>
    <w:rsid w:val="00DC2B77"/>
    <w:rsid w:val="00DC3253"/>
    <w:rsid w:val="00DC4457"/>
    <w:rsid w:val="00DC46AE"/>
    <w:rsid w:val="00DC498D"/>
    <w:rsid w:val="00DC5233"/>
    <w:rsid w:val="00DC5541"/>
    <w:rsid w:val="00DC5F92"/>
    <w:rsid w:val="00DC64CA"/>
    <w:rsid w:val="00DC682C"/>
    <w:rsid w:val="00DC7633"/>
    <w:rsid w:val="00DC7B11"/>
    <w:rsid w:val="00DC7DF3"/>
    <w:rsid w:val="00DC7E0F"/>
    <w:rsid w:val="00DD02C4"/>
    <w:rsid w:val="00DD06BD"/>
    <w:rsid w:val="00DD0A94"/>
    <w:rsid w:val="00DD1204"/>
    <w:rsid w:val="00DD1DAB"/>
    <w:rsid w:val="00DD3924"/>
    <w:rsid w:val="00DD4B9E"/>
    <w:rsid w:val="00DD51BC"/>
    <w:rsid w:val="00DD5FFC"/>
    <w:rsid w:val="00DD6044"/>
    <w:rsid w:val="00DD61B8"/>
    <w:rsid w:val="00DD74A8"/>
    <w:rsid w:val="00DE004A"/>
    <w:rsid w:val="00DE0742"/>
    <w:rsid w:val="00DE44FC"/>
    <w:rsid w:val="00DE4C75"/>
    <w:rsid w:val="00DE69E9"/>
    <w:rsid w:val="00DE769D"/>
    <w:rsid w:val="00DE7A2A"/>
    <w:rsid w:val="00DE7DA0"/>
    <w:rsid w:val="00DF0114"/>
    <w:rsid w:val="00DF0C27"/>
    <w:rsid w:val="00DF0D60"/>
    <w:rsid w:val="00DF190B"/>
    <w:rsid w:val="00DF190C"/>
    <w:rsid w:val="00DF288A"/>
    <w:rsid w:val="00DF2EFD"/>
    <w:rsid w:val="00DF44A2"/>
    <w:rsid w:val="00DF44D7"/>
    <w:rsid w:val="00DF47F1"/>
    <w:rsid w:val="00DF49BF"/>
    <w:rsid w:val="00DF5695"/>
    <w:rsid w:val="00DF5E21"/>
    <w:rsid w:val="00E030A9"/>
    <w:rsid w:val="00E03384"/>
    <w:rsid w:val="00E03AC3"/>
    <w:rsid w:val="00E0421C"/>
    <w:rsid w:val="00E0426B"/>
    <w:rsid w:val="00E044B8"/>
    <w:rsid w:val="00E065A5"/>
    <w:rsid w:val="00E06C1F"/>
    <w:rsid w:val="00E06EED"/>
    <w:rsid w:val="00E0766A"/>
    <w:rsid w:val="00E115DF"/>
    <w:rsid w:val="00E1268D"/>
    <w:rsid w:val="00E12A68"/>
    <w:rsid w:val="00E12B51"/>
    <w:rsid w:val="00E12E61"/>
    <w:rsid w:val="00E12F45"/>
    <w:rsid w:val="00E132A3"/>
    <w:rsid w:val="00E135A6"/>
    <w:rsid w:val="00E1371E"/>
    <w:rsid w:val="00E14184"/>
    <w:rsid w:val="00E16A8F"/>
    <w:rsid w:val="00E173D2"/>
    <w:rsid w:val="00E20B20"/>
    <w:rsid w:val="00E20E49"/>
    <w:rsid w:val="00E2112C"/>
    <w:rsid w:val="00E21EBE"/>
    <w:rsid w:val="00E22238"/>
    <w:rsid w:val="00E23929"/>
    <w:rsid w:val="00E23F0F"/>
    <w:rsid w:val="00E2455C"/>
    <w:rsid w:val="00E24DDC"/>
    <w:rsid w:val="00E25DD0"/>
    <w:rsid w:val="00E26380"/>
    <w:rsid w:val="00E26495"/>
    <w:rsid w:val="00E27E0B"/>
    <w:rsid w:val="00E27EB4"/>
    <w:rsid w:val="00E30055"/>
    <w:rsid w:val="00E314C7"/>
    <w:rsid w:val="00E31B6C"/>
    <w:rsid w:val="00E31DE5"/>
    <w:rsid w:val="00E3234E"/>
    <w:rsid w:val="00E3282C"/>
    <w:rsid w:val="00E32A4A"/>
    <w:rsid w:val="00E335FF"/>
    <w:rsid w:val="00E33868"/>
    <w:rsid w:val="00E3429A"/>
    <w:rsid w:val="00E34FDB"/>
    <w:rsid w:val="00E355B9"/>
    <w:rsid w:val="00E3604F"/>
    <w:rsid w:val="00E4055E"/>
    <w:rsid w:val="00E4121B"/>
    <w:rsid w:val="00E420E4"/>
    <w:rsid w:val="00E420F2"/>
    <w:rsid w:val="00E428EB"/>
    <w:rsid w:val="00E42C45"/>
    <w:rsid w:val="00E430D4"/>
    <w:rsid w:val="00E445EF"/>
    <w:rsid w:val="00E46B36"/>
    <w:rsid w:val="00E50865"/>
    <w:rsid w:val="00E50C73"/>
    <w:rsid w:val="00E50DC1"/>
    <w:rsid w:val="00E51115"/>
    <w:rsid w:val="00E5125F"/>
    <w:rsid w:val="00E512BF"/>
    <w:rsid w:val="00E51543"/>
    <w:rsid w:val="00E522A7"/>
    <w:rsid w:val="00E543CF"/>
    <w:rsid w:val="00E5537F"/>
    <w:rsid w:val="00E55B06"/>
    <w:rsid w:val="00E56AD1"/>
    <w:rsid w:val="00E57EAA"/>
    <w:rsid w:val="00E6028A"/>
    <w:rsid w:val="00E60DD7"/>
    <w:rsid w:val="00E6105F"/>
    <w:rsid w:val="00E612C6"/>
    <w:rsid w:val="00E620CA"/>
    <w:rsid w:val="00E63926"/>
    <w:rsid w:val="00E645E9"/>
    <w:rsid w:val="00E65E18"/>
    <w:rsid w:val="00E66FF6"/>
    <w:rsid w:val="00E706D6"/>
    <w:rsid w:val="00E707BC"/>
    <w:rsid w:val="00E707DC"/>
    <w:rsid w:val="00E70B44"/>
    <w:rsid w:val="00E712EE"/>
    <w:rsid w:val="00E71318"/>
    <w:rsid w:val="00E71449"/>
    <w:rsid w:val="00E718C4"/>
    <w:rsid w:val="00E71F6A"/>
    <w:rsid w:val="00E73310"/>
    <w:rsid w:val="00E73621"/>
    <w:rsid w:val="00E7416C"/>
    <w:rsid w:val="00E74179"/>
    <w:rsid w:val="00E75229"/>
    <w:rsid w:val="00E75E68"/>
    <w:rsid w:val="00E779B9"/>
    <w:rsid w:val="00E77C62"/>
    <w:rsid w:val="00E807AE"/>
    <w:rsid w:val="00E81C69"/>
    <w:rsid w:val="00E82070"/>
    <w:rsid w:val="00E826F4"/>
    <w:rsid w:val="00E82B1C"/>
    <w:rsid w:val="00E838F4"/>
    <w:rsid w:val="00E83952"/>
    <w:rsid w:val="00E83C2B"/>
    <w:rsid w:val="00E84872"/>
    <w:rsid w:val="00E84A97"/>
    <w:rsid w:val="00E84D1B"/>
    <w:rsid w:val="00E85102"/>
    <w:rsid w:val="00E85572"/>
    <w:rsid w:val="00E865BF"/>
    <w:rsid w:val="00E86B21"/>
    <w:rsid w:val="00E8705E"/>
    <w:rsid w:val="00E8766B"/>
    <w:rsid w:val="00E90A99"/>
    <w:rsid w:val="00E912C1"/>
    <w:rsid w:val="00E92376"/>
    <w:rsid w:val="00E9271A"/>
    <w:rsid w:val="00E93B67"/>
    <w:rsid w:val="00E94D82"/>
    <w:rsid w:val="00E95C7D"/>
    <w:rsid w:val="00E964B3"/>
    <w:rsid w:val="00EA068B"/>
    <w:rsid w:val="00EA0C46"/>
    <w:rsid w:val="00EA1BC7"/>
    <w:rsid w:val="00EA2396"/>
    <w:rsid w:val="00EA240E"/>
    <w:rsid w:val="00EA30D4"/>
    <w:rsid w:val="00EA361B"/>
    <w:rsid w:val="00EA3915"/>
    <w:rsid w:val="00EA3E56"/>
    <w:rsid w:val="00EA3E76"/>
    <w:rsid w:val="00EA6BCA"/>
    <w:rsid w:val="00EB0031"/>
    <w:rsid w:val="00EB0641"/>
    <w:rsid w:val="00EB0AF9"/>
    <w:rsid w:val="00EB152B"/>
    <w:rsid w:val="00EB1AA7"/>
    <w:rsid w:val="00EB3022"/>
    <w:rsid w:val="00EB351C"/>
    <w:rsid w:val="00EB487E"/>
    <w:rsid w:val="00EB5C26"/>
    <w:rsid w:val="00EB6264"/>
    <w:rsid w:val="00EB7C25"/>
    <w:rsid w:val="00EC06C8"/>
    <w:rsid w:val="00EC0B9F"/>
    <w:rsid w:val="00EC0CF4"/>
    <w:rsid w:val="00EC11BE"/>
    <w:rsid w:val="00EC1426"/>
    <w:rsid w:val="00EC23F0"/>
    <w:rsid w:val="00EC48A8"/>
    <w:rsid w:val="00EC533A"/>
    <w:rsid w:val="00EC5D6B"/>
    <w:rsid w:val="00EC6835"/>
    <w:rsid w:val="00EC6EF8"/>
    <w:rsid w:val="00EC7576"/>
    <w:rsid w:val="00EC7CDA"/>
    <w:rsid w:val="00ED0076"/>
    <w:rsid w:val="00ED0E7B"/>
    <w:rsid w:val="00ED12F1"/>
    <w:rsid w:val="00ED14C4"/>
    <w:rsid w:val="00ED15DE"/>
    <w:rsid w:val="00ED1942"/>
    <w:rsid w:val="00ED2C83"/>
    <w:rsid w:val="00ED37DE"/>
    <w:rsid w:val="00ED398E"/>
    <w:rsid w:val="00ED3B18"/>
    <w:rsid w:val="00ED3B3C"/>
    <w:rsid w:val="00ED3E39"/>
    <w:rsid w:val="00ED4771"/>
    <w:rsid w:val="00ED4844"/>
    <w:rsid w:val="00ED5753"/>
    <w:rsid w:val="00ED6757"/>
    <w:rsid w:val="00ED7B63"/>
    <w:rsid w:val="00ED7F56"/>
    <w:rsid w:val="00EE0F03"/>
    <w:rsid w:val="00EE11F5"/>
    <w:rsid w:val="00EE1603"/>
    <w:rsid w:val="00EE32E1"/>
    <w:rsid w:val="00EE34CA"/>
    <w:rsid w:val="00EE43EE"/>
    <w:rsid w:val="00EE4B62"/>
    <w:rsid w:val="00EE5798"/>
    <w:rsid w:val="00EE59D1"/>
    <w:rsid w:val="00EE5C7B"/>
    <w:rsid w:val="00EE6CC9"/>
    <w:rsid w:val="00EE7370"/>
    <w:rsid w:val="00EF0AFD"/>
    <w:rsid w:val="00EF1206"/>
    <w:rsid w:val="00EF1670"/>
    <w:rsid w:val="00EF19B0"/>
    <w:rsid w:val="00EF19F8"/>
    <w:rsid w:val="00EF3254"/>
    <w:rsid w:val="00EF36CD"/>
    <w:rsid w:val="00EF4421"/>
    <w:rsid w:val="00EF5748"/>
    <w:rsid w:val="00EF601C"/>
    <w:rsid w:val="00EF6717"/>
    <w:rsid w:val="00F02882"/>
    <w:rsid w:val="00F032CB"/>
    <w:rsid w:val="00F066F2"/>
    <w:rsid w:val="00F07B93"/>
    <w:rsid w:val="00F113F2"/>
    <w:rsid w:val="00F119E4"/>
    <w:rsid w:val="00F121D9"/>
    <w:rsid w:val="00F12C33"/>
    <w:rsid w:val="00F12D8D"/>
    <w:rsid w:val="00F12ED8"/>
    <w:rsid w:val="00F14C1F"/>
    <w:rsid w:val="00F15844"/>
    <w:rsid w:val="00F15D3C"/>
    <w:rsid w:val="00F17607"/>
    <w:rsid w:val="00F20D46"/>
    <w:rsid w:val="00F21C9D"/>
    <w:rsid w:val="00F2255F"/>
    <w:rsid w:val="00F22725"/>
    <w:rsid w:val="00F22EF1"/>
    <w:rsid w:val="00F23421"/>
    <w:rsid w:val="00F2380C"/>
    <w:rsid w:val="00F23C66"/>
    <w:rsid w:val="00F23F9B"/>
    <w:rsid w:val="00F24A0F"/>
    <w:rsid w:val="00F24E50"/>
    <w:rsid w:val="00F25D51"/>
    <w:rsid w:val="00F25F1A"/>
    <w:rsid w:val="00F26121"/>
    <w:rsid w:val="00F2697D"/>
    <w:rsid w:val="00F27D31"/>
    <w:rsid w:val="00F309EA"/>
    <w:rsid w:val="00F30EAA"/>
    <w:rsid w:val="00F31350"/>
    <w:rsid w:val="00F32539"/>
    <w:rsid w:val="00F325BB"/>
    <w:rsid w:val="00F3273E"/>
    <w:rsid w:val="00F32A73"/>
    <w:rsid w:val="00F34463"/>
    <w:rsid w:val="00F345D2"/>
    <w:rsid w:val="00F34A60"/>
    <w:rsid w:val="00F3591A"/>
    <w:rsid w:val="00F35D8A"/>
    <w:rsid w:val="00F36240"/>
    <w:rsid w:val="00F40364"/>
    <w:rsid w:val="00F412D8"/>
    <w:rsid w:val="00F4202F"/>
    <w:rsid w:val="00F4220F"/>
    <w:rsid w:val="00F42C0D"/>
    <w:rsid w:val="00F43250"/>
    <w:rsid w:val="00F434C4"/>
    <w:rsid w:val="00F438B0"/>
    <w:rsid w:val="00F4475D"/>
    <w:rsid w:val="00F44C0C"/>
    <w:rsid w:val="00F458BD"/>
    <w:rsid w:val="00F463EB"/>
    <w:rsid w:val="00F464C5"/>
    <w:rsid w:val="00F5000F"/>
    <w:rsid w:val="00F50884"/>
    <w:rsid w:val="00F50D21"/>
    <w:rsid w:val="00F523CA"/>
    <w:rsid w:val="00F52615"/>
    <w:rsid w:val="00F5300C"/>
    <w:rsid w:val="00F536CB"/>
    <w:rsid w:val="00F540A8"/>
    <w:rsid w:val="00F54E66"/>
    <w:rsid w:val="00F55F0B"/>
    <w:rsid w:val="00F60533"/>
    <w:rsid w:val="00F60F72"/>
    <w:rsid w:val="00F610F9"/>
    <w:rsid w:val="00F61D17"/>
    <w:rsid w:val="00F632CD"/>
    <w:rsid w:val="00F63ABB"/>
    <w:rsid w:val="00F64D8F"/>
    <w:rsid w:val="00F652E3"/>
    <w:rsid w:val="00F65F9B"/>
    <w:rsid w:val="00F66258"/>
    <w:rsid w:val="00F678F1"/>
    <w:rsid w:val="00F67928"/>
    <w:rsid w:val="00F67DE3"/>
    <w:rsid w:val="00F703D7"/>
    <w:rsid w:val="00F71092"/>
    <w:rsid w:val="00F729F9"/>
    <w:rsid w:val="00F7302E"/>
    <w:rsid w:val="00F73194"/>
    <w:rsid w:val="00F74149"/>
    <w:rsid w:val="00F741B7"/>
    <w:rsid w:val="00F74671"/>
    <w:rsid w:val="00F76B1C"/>
    <w:rsid w:val="00F77362"/>
    <w:rsid w:val="00F80B9B"/>
    <w:rsid w:val="00F80CA5"/>
    <w:rsid w:val="00F81227"/>
    <w:rsid w:val="00F81BC3"/>
    <w:rsid w:val="00F83092"/>
    <w:rsid w:val="00F83412"/>
    <w:rsid w:val="00F839A4"/>
    <w:rsid w:val="00F83C8F"/>
    <w:rsid w:val="00F842DE"/>
    <w:rsid w:val="00F84457"/>
    <w:rsid w:val="00F85C7B"/>
    <w:rsid w:val="00F86790"/>
    <w:rsid w:val="00F86D86"/>
    <w:rsid w:val="00F870FF"/>
    <w:rsid w:val="00F877E7"/>
    <w:rsid w:val="00F87C14"/>
    <w:rsid w:val="00F913DC"/>
    <w:rsid w:val="00F91908"/>
    <w:rsid w:val="00F91EEE"/>
    <w:rsid w:val="00F91FE8"/>
    <w:rsid w:val="00F93077"/>
    <w:rsid w:val="00F9309F"/>
    <w:rsid w:val="00F93B06"/>
    <w:rsid w:val="00F93FE8"/>
    <w:rsid w:val="00F94081"/>
    <w:rsid w:val="00F94450"/>
    <w:rsid w:val="00F94598"/>
    <w:rsid w:val="00F95974"/>
    <w:rsid w:val="00F960B6"/>
    <w:rsid w:val="00F96BC7"/>
    <w:rsid w:val="00F9750A"/>
    <w:rsid w:val="00F97CBE"/>
    <w:rsid w:val="00F97D6A"/>
    <w:rsid w:val="00FA0037"/>
    <w:rsid w:val="00FA15B8"/>
    <w:rsid w:val="00FA20DA"/>
    <w:rsid w:val="00FA2329"/>
    <w:rsid w:val="00FA287A"/>
    <w:rsid w:val="00FA2AE7"/>
    <w:rsid w:val="00FA388E"/>
    <w:rsid w:val="00FA4626"/>
    <w:rsid w:val="00FA564A"/>
    <w:rsid w:val="00FA5FAF"/>
    <w:rsid w:val="00FA65B7"/>
    <w:rsid w:val="00FA68C0"/>
    <w:rsid w:val="00FA7CB7"/>
    <w:rsid w:val="00FB0192"/>
    <w:rsid w:val="00FB0ABD"/>
    <w:rsid w:val="00FB109A"/>
    <w:rsid w:val="00FB20B5"/>
    <w:rsid w:val="00FB3366"/>
    <w:rsid w:val="00FB3EC6"/>
    <w:rsid w:val="00FB44C6"/>
    <w:rsid w:val="00FB461D"/>
    <w:rsid w:val="00FB5792"/>
    <w:rsid w:val="00FB6FE4"/>
    <w:rsid w:val="00FB7197"/>
    <w:rsid w:val="00FB729E"/>
    <w:rsid w:val="00FC03A6"/>
    <w:rsid w:val="00FC04AC"/>
    <w:rsid w:val="00FC0E4C"/>
    <w:rsid w:val="00FC30DE"/>
    <w:rsid w:val="00FC3A84"/>
    <w:rsid w:val="00FC427F"/>
    <w:rsid w:val="00FC4DD5"/>
    <w:rsid w:val="00FC550A"/>
    <w:rsid w:val="00FC5780"/>
    <w:rsid w:val="00FC57D6"/>
    <w:rsid w:val="00FC5F20"/>
    <w:rsid w:val="00FC7A36"/>
    <w:rsid w:val="00FD042B"/>
    <w:rsid w:val="00FD209C"/>
    <w:rsid w:val="00FD2221"/>
    <w:rsid w:val="00FD3180"/>
    <w:rsid w:val="00FD3AF0"/>
    <w:rsid w:val="00FD3B57"/>
    <w:rsid w:val="00FD54E6"/>
    <w:rsid w:val="00FD58E8"/>
    <w:rsid w:val="00FD59D5"/>
    <w:rsid w:val="00FD5CA7"/>
    <w:rsid w:val="00FD5D05"/>
    <w:rsid w:val="00FD5E2C"/>
    <w:rsid w:val="00FD624C"/>
    <w:rsid w:val="00FD65BA"/>
    <w:rsid w:val="00FD6745"/>
    <w:rsid w:val="00FD6E39"/>
    <w:rsid w:val="00FD7089"/>
    <w:rsid w:val="00FD7258"/>
    <w:rsid w:val="00FD76EE"/>
    <w:rsid w:val="00FD7B11"/>
    <w:rsid w:val="00FD7C80"/>
    <w:rsid w:val="00FE0CC6"/>
    <w:rsid w:val="00FE19D7"/>
    <w:rsid w:val="00FE2313"/>
    <w:rsid w:val="00FE26A9"/>
    <w:rsid w:val="00FE46F0"/>
    <w:rsid w:val="00FE472B"/>
    <w:rsid w:val="00FE5D20"/>
    <w:rsid w:val="00FE6E39"/>
    <w:rsid w:val="00FF086A"/>
    <w:rsid w:val="00FF0E20"/>
    <w:rsid w:val="00FF0F42"/>
    <w:rsid w:val="00FF1BC6"/>
    <w:rsid w:val="00FF26BB"/>
    <w:rsid w:val="00FF29EA"/>
    <w:rsid w:val="00FF3604"/>
    <w:rsid w:val="00FF5F9A"/>
    <w:rsid w:val="00FF647D"/>
    <w:rsid w:val="00FF70A3"/>
    <w:rsid w:val="00FF7AEF"/>
    <w:rsid w:val="013F75D8"/>
    <w:rsid w:val="014150EC"/>
    <w:rsid w:val="01620901"/>
    <w:rsid w:val="01883FD0"/>
    <w:rsid w:val="01A00C4B"/>
    <w:rsid w:val="01A64956"/>
    <w:rsid w:val="01B953DE"/>
    <w:rsid w:val="01CF7782"/>
    <w:rsid w:val="01DA366C"/>
    <w:rsid w:val="01E87D92"/>
    <w:rsid w:val="020A7858"/>
    <w:rsid w:val="0213766F"/>
    <w:rsid w:val="02284DF1"/>
    <w:rsid w:val="028D2B9A"/>
    <w:rsid w:val="02DB4857"/>
    <w:rsid w:val="038500F8"/>
    <w:rsid w:val="03A10246"/>
    <w:rsid w:val="03B53155"/>
    <w:rsid w:val="03C23741"/>
    <w:rsid w:val="03CA1FAF"/>
    <w:rsid w:val="03DB0A08"/>
    <w:rsid w:val="04163446"/>
    <w:rsid w:val="04BF3ADE"/>
    <w:rsid w:val="04E95383"/>
    <w:rsid w:val="04EB042F"/>
    <w:rsid w:val="05416969"/>
    <w:rsid w:val="055C30DB"/>
    <w:rsid w:val="0575419C"/>
    <w:rsid w:val="05B2719F"/>
    <w:rsid w:val="05B74771"/>
    <w:rsid w:val="05E57574"/>
    <w:rsid w:val="05F075BE"/>
    <w:rsid w:val="05F11835"/>
    <w:rsid w:val="0641482C"/>
    <w:rsid w:val="06502E2E"/>
    <w:rsid w:val="06BB55AB"/>
    <w:rsid w:val="06BC556F"/>
    <w:rsid w:val="06C90471"/>
    <w:rsid w:val="06D3183B"/>
    <w:rsid w:val="06D575E9"/>
    <w:rsid w:val="06FA2BAB"/>
    <w:rsid w:val="075449B1"/>
    <w:rsid w:val="07794418"/>
    <w:rsid w:val="079746BB"/>
    <w:rsid w:val="07AA2E63"/>
    <w:rsid w:val="07F21C72"/>
    <w:rsid w:val="080720F7"/>
    <w:rsid w:val="084361B5"/>
    <w:rsid w:val="08457A55"/>
    <w:rsid w:val="0878647D"/>
    <w:rsid w:val="08791123"/>
    <w:rsid w:val="08A017B8"/>
    <w:rsid w:val="08A32C6C"/>
    <w:rsid w:val="08D12032"/>
    <w:rsid w:val="08EE6740"/>
    <w:rsid w:val="08F16230"/>
    <w:rsid w:val="08F6648F"/>
    <w:rsid w:val="094C2A73"/>
    <w:rsid w:val="099D3423"/>
    <w:rsid w:val="09BE25B6"/>
    <w:rsid w:val="0A477FF4"/>
    <w:rsid w:val="0A99092D"/>
    <w:rsid w:val="0A9F173C"/>
    <w:rsid w:val="0AA33311"/>
    <w:rsid w:val="0AC534D0"/>
    <w:rsid w:val="0AEC3153"/>
    <w:rsid w:val="0AF65D7F"/>
    <w:rsid w:val="0B600C6F"/>
    <w:rsid w:val="0C4872EF"/>
    <w:rsid w:val="0C767053"/>
    <w:rsid w:val="0C8C699B"/>
    <w:rsid w:val="0CC95C35"/>
    <w:rsid w:val="0CF550D2"/>
    <w:rsid w:val="0D6B65B1"/>
    <w:rsid w:val="0D94218E"/>
    <w:rsid w:val="0DAF0B93"/>
    <w:rsid w:val="0DDE3227"/>
    <w:rsid w:val="0DF43C22"/>
    <w:rsid w:val="0E1C78AB"/>
    <w:rsid w:val="0E344BF5"/>
    <w:rsid w:val="0E384926"/>
    <w:rsid w:val="0E5B092E"/>
    <w:rsid w:val="0E5E18FB"/>
    <w:rsid w:val="0EB24B66"/>
    <w:rsid w:val="0ECA5A9C"/>
    <w:rsid w:val="0EF6634E"/>
    <w:rsid w:val="0F1D7D7F"/>
    <w:rsid w:val="0F1F58A5"/>
    <w:rsid w:val="0F4C2412"/>
    <w:rsid w:val="0F4E7F38"/>
    <w:rsid w:val="0F56503F"/>
    <w:rsid w:val="0F604037"/>
    <w:rsid w:val="0F755016"/>
    <w:rsid w:val="0F803E6A"/>
    <w:rsid w:val="0F84395A"/>
    <w:rsid w:val="0FAA27D5"/>
    <w:rsid w:val="0FAC57C4"/>
    <w:rsid w:val="0FFE0200"/>
    <w:rsid w:val="100106D5"/>
    <w:rsid w:val="100D5DD0"/>
    <w:rsid w:val="104D01F0"/>
    <w:rsid w:val="105B3E4D"/>
    <w:rsid w:val="10DA068D"/>
    <w:rsid w:val="113903EA"/>
    <w:rsid w:val="11843743"/>
    <w:rsid w:val="119C28BD"/>
    <w:rsid w:val="11A45C86"/>
    <w:rsid w:val="11AA2CD7"/>
    <w:rsid w:val="11CF5AA0"/>
    <w:rsid w:val="120F3227"/>
    <w:rsid w:val="122277F5"/>
    <w:rsid w:val="12902616"/>
    <w:rsid w:val="12D9707E"/>
    <w:rsid w:val="130F7E33"/>
    <w:rsid w:val="1333312B"/>
    <w:rsid w:val="133438E9"/>
    <w:rsid w:val="136A730B"/>
    <w:rsid w:val="13DB69C9"/>
    <w:rsid w:val="1448457C"/>
    <w:rsid w:val="14512AE0"/>
    <w:rsid w:val="148E0B68"/>
    <w:rsid w:val="148E5ED8"/>
    <w:rsid w:val="14A37E3E"/>
    <w:rsid w:val="14BB7C7F"/>
    <w:rsid w:val="14E725C9"/>
    <w:rsid w:val="14F63C6C"/>
    <w:rsid w:val="15223BD0"/>
    <w:rsid w:val="153113AE"/>
    <w:rsid w:val="154F298D"/>
    <w:rsid w:val="157319DE"/>
    <w:rsid w:val="1585667E"/>
    <w:rsid w:val="15A20FDE"/>
    <w:rsid w:val="15B41D32"/>
    <w:rsid w:val="15B50D11"/>
    <w:rsid w:val="15CE459E"/>
    <w:rsid w:val="15DD0268"/>
    <w:rsid w:val="165027E8"/>
    <w:rsid w:val="165110B9"/>
    <w:rsid w:val="169C2BAE"/>
    <w:rsid w:val="16D626D4"/>
    <w:rsid w:val="16E75101"/>
    <w:rsid w:val="17081314"/>
    <w:rsid w:val="179D67C3"/>
    <w:rsid w:val="17E14287"/>
    <w:rsid w:val="17E525AD"/>
    <w:rsid w:val="185D2F9A"/>
    <w:rsid w:val="18694035"/>
    <w:rsid w:val="18A264A4"/>
    <w:rsid w:val="192F467F"/>
    <w:rsid w:val="19550115"/>
    <w:rsid w:val="195720DF"/>
    <w:rsid w:val="19737523"/>
    <w:rsid w:val="19C62294"/>
    <w:rsid w:val="19ED7773"/>
    <w:rsid w:val="19EF056A"/>
    <w:rsid w:val="1A381AE4"/>
    <w:rsid w:val="1A3A7A37"/>
    <w:rsid w:val="1A6858B8"/>
    <w:rsid w:val="1A9D7FC6"/>
    <w:rsid w:val="1AF20311"/>
    <w:rsid w:val="1B02516C"/>
    <w:rsid w:val="1B4723CD"/>
    <w:rsid w:val="1B520DB0"/>
    <w:rsid w:val="1B524A22"/>
    <w:rsid w:val="1B5C2DF2"/>
    <w:rsid w:val="1B7A03B1"/>
    <w:rsid w:val="1B8A7732"/>
    <w:rsid w:val="1B9143D0"/>
    <w:rsid w:val="1BA333BA"/>
    <w:rsid w:val="1BF553AD"/>
    <w:rsid w:val="1C0302FC"/>
    <w:rsid w:val="1C27223D"/>
    <w:rsid w:val="1C334F74"/>
    <w:rsid w:val="1C5730EB"/>
    <w:rsid w:val="1C8C7369"/>
    <w:rsid w:val="1C9D1087"/>
    <w:rsid w:val="1CAD0CD7"/>
    <w:rsid w:val="1CCE2402"/>
    <w:rsid w:val="1CE4386B"/>
    <w:rsid w:val="1D1A04E9"/>
    <w:rsid w:val="1D2111E0"/>
    <w:rsid w:val="1D4110DC"/>
    <w:rsid w:val="1D454033"/>
    <w:rsid w:val="1D495351"/>
    <w:rsid w:val="1D800546"/>
    <w:rsid w:val="1DC22E11"/>
    <w:rsid w:val="1DCC60E2"/>
    <w:rsid w:val="1DF148B0"/>
    <w:rsid w:val="1E0F11DA"/>
    <w:rsid w:val="1E320A25"/>
    <w:rsid w:val="1E3866E4"/>
    <w:rsid w:val="1E3B5B2B"/>
    <w:rsid w:val="1E405B08"/>
    <w:rsid w:val="1E803E86"/>
    <w:rsid w:val="1E917D12"/>
    <w:rsid w:val="1EA731C1"/>
    <w:rsid w:val="1EC975DB"/>
    <w:rsid w:val="1ED007F0"/>
    <w:rsid w:val="1EDC730E"/>
    <w:rsid w:val="1F126404"/>
    <w:rsid w:val="1F1E78CF"/>
    <w:rsid w:val="1F4C00D9"/>
    <w:rsid w:val="1F6D7F66"/>
    <w:rsid w:val="1F91161F"/>
    <w:rsid w:val="1FA73A8F"/>
    <w:rsid w:val="1FBE07C2"/>
    <w:rsid w:val="1FCA418E"/>
    <w:rsid w:val="1FCC5792"/>
    <w:rsid w:val="1FD5200F"/>
    <w:rsid w:val="2008099C"/>
    <w:rsid w:val="20184FB0"/>
    <w:rsid w:val="20241E45"/>
    <w:rsid w:val="204A64FA"/>
    <w:rsid w:val="205E3D53"/>
    <w:rsid w:val="20983C9F"/>
    <w:rsid w:val="20D34930"/>
    <w:rsid w:val="20DA31E0"/>
    <w:rsid w:val="21004E9C"/>
    <w:rsid w:val="210743CD"/>
    <w:rsid w:val="211D776A"/>
    <w:rsid w:val="212F0156"/>
    <w:rsid w:val="212F12B7"/>
    <w:rsid w:val="21DF0EC4"/>
    <w:rsid w:val="21EC402B"/>
    <w:rsid w:val="220F49C7"/>
    <w:rsid w:val="22211D2B"/>
    <w:rsid w:val="222A0391"/>
    <w:rsid w:val="22F3479D"/>
    <w:rsid w:val="230C3692"/>
    <w:rsid w:val="233957E9"/>
    <w:rsid w:val="23504D9A"/>
    <w:rsid w:val="235350DD"/>
    <w:rsid w:val="237815D0"/>
    <w:rsid w:val="23A130E8"/>
    <w:rsid w:val="23E8092D"/>
    <w:rsid w:val="23F549CE"/>
    <w:rsid w:val="245C4A4D"/>
    <w:rsid w:val="24682699"/>
    <w:rsid w:val="24A922E7"/>
    <w:rsid w:val="24F51069"/>
    <w:rsid w:val="24FB3A0D"/>
    <w:rsid w:val="252235A1"/>
    <w:rsid w:val="252D7931"/>
    <w:rsid w:val="25A35F8B"/>
    <w:rsid w:val="25C45A9B"/>
    <w:rsid w:val="26055255"/>
    <w:rsid w:val="263C4B36"/>
    <w:rsid w:val="2661634B"/>
    <w:rsid w:val="26804A23"/>
    <w:rsid w:val="26C94C07"/>
    <w:rsid w:val="27084A19"/>
    <w:rsid w:val="270F7B55"/>
    <w:rsid w:val="27136455"/>
    <w:rsid w:val="271A59BE"/>
    <w:rsid w:val="27313F6F"/>
    <w:rsid w:val="27392A2B"/>
    <w:rsid w:val="27445CAF"/>
    <w:rsid w:val="27BD41B0"/>
    <w:rsid w:val="27DF3D1D"/>
    <w:rsid w:val="27EB3977"/>
    <w:rsid w:val="27EC7E96"/>
    <w:rsid w:val="27FF5E1C"/>
    <w:rsid w:val="28033B1E"/>
    <w:rsid w:val="28845944"/>
    <w:rsid w:val="28BB1716"/>
    <w:rsid w:val="28E850A3"/>
    <w:rsid w:val="28EE73E7"/>
    <w:rsid w:val="291B21BB"/>
    <w:rsid w:val="2962747B"/>
    <w:rsid w:val="298366F3"/>
    <w:rsid w:val="299F1540"/>
    <w:rsid w:val="29C1739D"/>
    <w:rsid w:val="29F82C9B"/>
    <w:rsid w:val="2A0F5027"/>
    <w:rsid w:val="2A72511C"/>
    <w:rsid w:val="2AA35D41"/>
    <w:rsid w:val="2AC60E73"/>
    <w:rsid w:val="2B553D51"/>
    <w:rsid w:val="2B5D536C"/>
    <w:rsid w:val="2B7B1C5D"/>
    <w:rsid w:val="2BDB68F0"/>
    <w:rsid w:val="2BE772F2"/>
    <w:rsid w:val="2C385A8A"/>
    <w:rsid w:val="2C610E53"/>
    <w:rsid w:val="2C6C216F"/>
    <w:rsid w:val="2C904653"/>
    <w:rsid w:val="2C9F6D93"/>
    <w:rsid w:val="2CA6293E"/>
    <w:rsid w:val="2CA70CBA"/>
    <w:rsid w:val="2CAB0320"/>
    <w:rsid w:val="2CB30937"/>
    <w:rsid w:val="2CC50203"/>
    <w:rsid w:val="2CD535EF"/>
    <w:rsid w:val="2D832F3B"/>
    <w:rsid w:val="2D8D2F06"/>
    <w:rsid w:val="2D8F7C42"/>
    <w:rsid w:val="2D947006"/>
    <w:rsid w:val="2E2B2EDC"/>
    <w:rsid w:val="2E3A5DFF"/>
    <w:rsid w:val="2E4647A4"/>
    <w:rsid w:val="2E646914"/>
    <w:rsid w:val="2E8865CC"/>
    <w:rsid w:val="2E9721E9"/>
    <w:rsid w:val="2EB711FE"/>
    <w:rsid w:val="2EC1761D"/>
    <w:rsid w:val="2ECE4481"/>
    <w:rsid w:val="2F107762"/>
    <w:rsid w:val="2F287E07"/>
    <w:rsid w:val="2F372ABC"/>
    <w:rsid w:val="2F5D14DA"/>
    <w:rsid w:val="2F8D596A"/>
    <w:rsid w:val="300C229B"/>
    <w:rsid w:val="3036407A"/>
    <w:rsid w:val="3057387D"/>
    <w:rsid w:val="307F7A7C"/>
    <w:rsid w:val="309E339F"/>
    <w:rsid w:val="30C776F3"/>
    <w:rsid w:val="30C83D8E"/>
    <w:rsid w:val="30F2186C"/>
    <w:rsid w:val="313B06D9"/>
    <w:rsid w:val="315F195A"/>
    <w:rsid w:val="31B70AC1"/>
    <w:rsid w:val="31FF3D16"/>
    <w:rsid w:val="32002EBC"/>
    <w:rsid w:val="321F6FB8"/>
    <w:rsid w:val="322F384B"/>
    <w:rsid w:val="323668DE"/>
    <w:rsid w:val="3248684B"/>
    <w:rsid w:val="32603FEA"/>
    <w:rsid w:val="32723893"/>
    <w:rsid w:val="3276317E"/>
    <w:rsid w:val="329D4BAF"/>
    <w:rsid w:val="32A83CA0"/>
    <w:rsid w:val="32EB3B6C"/>
    <w:rsid w:val="32FF7F57"/>
    <w:rsid w:val="33334A79"/>
    <w:rsid w:val="333D0CF3"/>
    <w:rsid w:val="335334BF"/>
    <w:rsid w:val="335C2E9D"/>
    <w:rsid w:val="33C97B6D"/>
    <w:rsid w:val="33D57617"/>
    <w:rsid w:val="34300D63"/>
    <w:rsid w:val="34B75AE6"/>
    <w:rsid w:val="34BA1A48"/>
    <w:rsid w:val="34F943E0"/>
    <w:rsid w:val="35674600"/>
    <w:rsid w:val="35CD32E4"/>
    <w:rsid w:val="362D44F2"/>
    <w:rsid w:val="362D6B76"/>
    <w:rsid w:val="36770097"/>
    <w:rsid w:val="3684409B"/>
    <w:rsid w:val="36981915"/>
    <w:rsid w:val="36A46CA0"/>
    <w:rsid w:val="36BB1AA7"/>
    <w:rsid w:val="36EF5490"/>
    <w:rsid w:val="3705164D"/>
    <w:rsid w:val="371F1D47"/>
    <w:rsid w:val="37296A11"/>
    <w:rsid w:val="37316742"/>
    <w:rsid w:val="37364C27"/>
    <w:rsid w:val="37564AF7"/>
    <w:rsid w:val="376C68FE"/>
    <w:rsid w:val="37955999"/>
    <w:rsid w:val="379C6CAB"/>
    <w:rsid w:val="37FF7772"/>
    <w:rsid w:val="38054525"/>
    <w:rsid w:val="385043B8"/>
    <w:rsid w:val="389B56ED"/>
    <w:rsid w:val="389D6BFC"/>
    <w:rsid w:val="390B33BD"/>
    <w:rsid w:val="394C4EC3"/>
    <w:rsid w:val="39D6277A"/>
    <w:rsid w:val="3A3F6FE4"/>
    <w:rsid w:val="3A6170D3"/>
    <w:rsid w:val="3A6F4087"/>
    <w:rsid w:val="3AA52853"/>
    <w:rsid w:val="3B483EE1"/>
    <w:rsid w:val="3B4F4FC6"/>
    <w:rsid w:val="3B5D7C12"/>
    <w:rsid w:val="3B7A783B"/>
    <w:rsid w:val="3B81506E"/>
    <w:rsid w:val="3B9330CB"/>
    <w:rsid w:val="3BA51165"/>
    <w:rsid w:val="3BA7084C"/>
    <w:rsid w:val="3BCC7276"/>
    <w:rsid w:val="3BCE402B"/>
    <w:rsid w:val="3C4465A4"/>
    <w:rsid w:val="3C5B7244"/>
    <w:rsid w:val="3C784591"/>
    <w:rsid w:val="3C88242C"/>
    <w:rsid w:val="3C9F7897"/>
    <w:rsid w:val="3CD15B81"/>
    <w:rsid w:val="3CDF799E"/>
    <w:rsid w:val="3D2C725B"/>
    <w:rsid w:val="3D6E0001"/>
    <w:rsid w:val="3D803A0D"/>
    <w:rsid w:val="3DB44244"/>
    <w:rsid w:val="3E686071"/>
    <w:rsid w:val="3E723F45"/>
    <w:rsid w:val="3E7848FD"/>
    <w:rsid w:val="3E850E06"/>
    <w:rsid w:val="3E87558E"/>
    <w:rsid w:val="3ECC2AA4"/>
    <w:rsid w:val="3EE15558"/>
    <w:rsid w:val="3EE93DB9"/>
    <w:rsid w:val="3F9E3173"/>
    <w:rsid w:val="3FA17652"/>
    <w:rsid w:val="3FAA1586"/>
    <w:rsid w:val="3FC506DD"/>
    <w:rsid w:val="3FD6727B"/>
    <w:rsid w:val="3FDD65EB"/>
    <w:rsid w:val="3FEB378B"/>
    <w:rsid w:val="40283E93"/>
    <w:rsid w:val="40343666"/>
    <w:rsid w:val="403F1053"/>
    <w:rsid w:val="40674E0E"/>
    <w:rsid w:val="40C70998"/>
    <w:rsid w:val="40D211A5"/>
    <w:rsid w:val="410F15EE"/>
    <w:rsid w:val="41412BA9"/>
    <w:rsid w:val="417F2CD0"/>
    <w:rsid w:val="41A75102"/>
    <w:rsid w:val="41AC1E55"/>
    <w:rsid w:val="41AC44C7"/>
    <w:rsid w:val="41BF3F3D"/>
    <w:rsid w:val="41D13F2D"/>
    <w:rsid w:val="4231020A"/>
    <w:rsid w:val="42402C68"/>
    <w:rsid w:val="4255690C"/>
    <w:rsid w:val="4269685C"/>
    <w:rsid w:val="4273599D"/>
    <w:rsid w:val="429B0D77"/>
    <w:rsid w:val="42F05AF8"/>
    <w:rsid w:val="4300593B"/>
    <w:rsid w:val="436E5946"/>
    <w:rsid w:val="43974D1C"/>
    <w:rsid w:val="43BC551C"/>
    <w:rsid w:val="43DA63F6"/>
    <w:rsid w:val="44472DBB"/>
    <w:rsid w:val="44564BBE"/>
    <w:rsid w:val="445B21D4"/>
    <w:rsid w:val="448D351B"/>
    <w:rsid w:val="44A8255D"/>
    <w:rsid w:val="44BC7116"/>
    <w:rsid w:val="44FA663F"/>
    <w:rsid w:val="45020BE3"/>
    <w:rsid w:val="45224EC2"/>
    <w:rsid w:val="45471EAF"/>
    <w:rsid w:val="45902223"/>
    <w:rsid w:val="45950583"/>
    <w:rsid w:val="45FB77CB"/>
    <w:rsid w:val="46026DAB"/>
    <w:rsid w:val="460E3773"/>
    <w:rsid w:val="46146893"/>
    <w:rsid w:val="465E3DEC"/>
    <w:rsid w:val="4662762C"/>
    <w:rsid w:val="466F5D1F"/>
    <w:rsid w:val="466F62BD"/>
    <w:rsid w:val="46765C61"/>
    <w:rsid w:val="46BE55BB"/>
    <w:rsid w:val="46BF2EEE"/>
    <w:rsid w:val="46C66DCA"/>
    <w:rsid w:val="46FB1EA7"/>
    <w:rsid w:val="473150AF"/>
    <w:rsid w:val="47372A84"/>
    <w:rsid w:val="474E6B75"/>
    <w:rsid w:val="474F4272"/>
    <w:rsid w:val="476632D8"/>
    <w:rsid w:val="47723ABC"/>
    <w:rsid w:val="47B01353"/>
    <w:rsid w:val="481728B6"/>
    <w:rsid w:val="482D304E"/>
    <w:rsid w:val="484E555F"/>
    <w:rsid w:val="48601B55"/>
    <w:rsid w:val="487C41EC"/>
    <w:rsid w:val="48B06F92"/>
    <w:rsid w:val="48CD208A"/>
    <w:rsid w:val="48D03190"/>
    <w:rsid w:val="48EB621C"/>
    <w:rsid w:val="48F06C8D"/>
    <w:rsid w:val="490E5A67"/>
    <w:rsid w:val="49575660"/>
    <w:rsid w:val="495C67D2"/>
    <w:rsid w:val="495E139C"/>
    <w:rsid w:val="4976065D"/>
    <w:rsid w:val="4977360C"/>
    <w:rsid w:val="497935F0"/>
    <w:rsid w:val="49B303BC"/>
    <w:rsid w:val="49B567AB"/>
    <w:rsid w:val="49C900F1"/>
    <w:rsid w:val="49F7386B"/>
    <w:rsid w:val="4A266DE0"/>
    <w:rsid w:val="4A53553E"/>
    <w:rsid w:val="4A8F4985"/>
    <w:rsid w:val="4A9326C8"/>
    <w:rsid w:val="4A93645E"/>
    <w:rsid w:val="4AAC3789"/>
    <w:rsid w:val="4AB20FBB"/>
    <w:rsid w:val="4B09156D"/>
    <w:rsid w:val="4B101F6A"/>
    <w:rsid w:val="4B2A5B9E"/>
    <w:rsid w:val="4B4A0C11"/>
    <w:rsid w:val="4B4E65EF"/>
    <w:rsid w:val="4B682742"/>
    <w:rsid w:val="4BC32B39"/>
    <w:rsid w:val="4BE400C1"/>
    <w:rsid w:val="4BE74853"/>
    <w:rsid w:val="4BFB6950"/>
    <w:rsid w:val="4C01483C"/>
    <w:rsid w:val="4C723A45"/>
    <w:rsid w:val="4C855C49"/>
    <w:rsid w:val="4CA54934"/>
    <w:rsid w:val="4CB701C3"/>
    <w:rsid w:val="4CDE7DEC"/>
    <w:rsid w:val="4D1B4BF6"/>
    <w:rsid w:val="4D297AA2"/>
    <w:rsid w:val="4D451FE7"/>
    <w:rsid w:val="4D73058E"/>
    <w:rsid w:val="4D7757D0"/>
    <w:rsid w:val="4D7B5BD6"/>
    <w:rsid w:val="4DB246A9"/>
    <w:rsid w:val="4DBE1F8A"/>
    <w:rsid w:val="4E2A77E0"/>
    <w:rsid w:val="4E9A4768"/>
    <w:rsid w:val="4EB32730"/>
    <w:rsid w:val="4EC458E5"/>
    <w:rsid w:val="4ED82C27"/>
    <w:rsid w:val="4ED95E96"/>
    <w:rsid w:val="4F161B19"/>
    <w:rsid w:val="4F1C09C2"/>
    <w:rsid w:val="4F6039AF"/>
    <w:rsid w:val="4F6A4C4B"/>
    <w:rsid w:val="4F787CF2"/>
    <w:rsid w:val="4FAE1D52"/>
    <w:rsid w:val="4FC819B8"/>
    <w:rsid w:val="4FDA66A3"/>
    <w:rsid w:val="4FEC4938"/>
    <w:rsid w:val="50463D38"/>
    <w:rsid w:val="507B4E1A"/>
    <w:rsid w:val="50835169"/>
    <w:rsid w:val="50A32247"/>
    <w:rsid w:val="513C45B4"/>
    <w:rsid w:val="5180049D"/>
    <w:rsid w:val="518D5725"/>
    <w:rsid w:val="51BB6FB8"/>
    <w:rsid w:val="51D4507F"/>
    <w:rsid w:val="51E7154B"/>
    <w:rsid w:val="524370EE"/>
    <w:rsid w:val="52595776"/>
    <w:rsid w:val="52E45649"/>
    <w:rsid w:val="52EE62DD"/>
    <w:rsid w:val="53394FF5"/>
    <w:rsid w:val="534A724C"/>
    <w:rsid w:val="53787A0D"/>
    <w:rsid w:val="537D32FD"/>
    <w:rsid w:val="53AF345F"/>
    <w:rsid w:val="53C3497A"/>
    <w:rsid w:val="53CC4B22"/>
    <w:rsid w:val="53D32540"/>
    <w:rsid w:val="53FE0673"/>
    <w:rsid w:val="541F58F7"/>
    <w:rsid w:val="549C78A5"/>
    <w:rsid w:val="54CA42AC"/>
    <w:rsid w:val="54D473A8"/>
    <w:rsid w:val="54E42722"/>
    <w:rsid w:val="54E621EE"/>
    <w:rsid w:val="550E4D86"/>
    <w:rsid w:val="55694E25"/>
    <w:rsid w:val="55731755"/>
    <w:rsid w:val="55B97C03"/>
    <w:rsid w:val="55F65ECA"/>
    <w:rsid w:val="561C5C67"/>
    <w:rsid w:val="563479CD"/>
    <w:rsid w:val="563B6FA5"/>
    <w:rsid w:val="5661094C"/>
    <w:rsid w:val="567B6B94"/>
    <w:rsid w:val="568466E1"/>
    <w:rsid w:val="568D326E"/>
    <w:rsid w:val="568F11B7"/>
    <w:rsid w:val="56AB7E49"/>
    <w:rsid w:val="56D17B4B"/>
    <w:rsid w:val="56DE3570"/>
    <w:rsid w:val="5714693E"/>
    <w:rsid w:val="572165EE"/>
    <w:rsid w:val="57323268"/>
    <w:rsid w:val="578F7158"/>
    <w:rsid w:val="57BB299A"/>
    <w:rsid w:val="58BE0CF0"/>
    <w:rsid w:val="58DC7930"/>
    <w:rsid w:val="59570D64"/>
    <w:rsid w:val="597E42AD"/>
    <w:rsid w:val="598E0C21"/>
    <w:rsid w:val="59B10409"/>
    <w:rsid w:val="59D81EA5"/>
    <w:rsid w:val="5A335B5B"/>
    <w:rsid w:val="5A782122"/>
    <w:rsid w:val="5AA02AEE"/>
    <w:rsid w:val="5AC835F9"/>
    <w:rsid w:val="5AD214D4"/>
    <w:rsid w:val="5AD563E4"/>
    <w:rsid w:val="5AE326E8"/>
    <w:rsid w:val="5AF214D7"/>
    <w:rsid w:val="5B0A4E70"/>
    <w:rsid w:val="5B56026D"/>
    <w:rsid w:val="5B6B4F9B"/>
    <w:rsid w:val="5B90055D"/>
    <w:rsid w:val="5BCC45D6"/>
    <w:rsid w:val="5BCE27A6"/>
    <w:rsid w:val="5BDC0F7B"/>
    <w:rsid w:val="5C14118E"/>
    <w:rsid w:val="5C347E52"/>
    <w:rsid w:val="5C493178"/>
    <w:rsid w:val="5C4E644E"/>
    <w:rsid w:val="5C7F0CFE"/>
    <w:rsid w:val="5CAC586B"/>
    <w:rsid w:val="5CBB6299"/>
    <w:rsid w:val="5CCB7A9F"/>
    <w:rsid w:val="5D2E2F1D"/>
    <w:rsid w:val="5D543F38"/>
    <w:rsid w:val="5D5978B1"/>
    <w:rsid w:val="5D73466D"/>
    <w:rsid w:val="5D79399F"/>
    <w:rsid w:val="5D897264"/>
    <w:rsid w:val="5DA852D2"/>
    <w:rsid w:val="5DAF3C9E"/>
    <w:rsid w:val="5DD9443E"/>
    <w:rsid w:val="5DDC4E8B"/>
    <w:rsid w:val="5E221BF7"/>
    <w:rsid w:val="5E246319"/>
    <w:rsid w:val="5E9B7945"/>
    <w:rsid w:val="5EAC56AE"/>
    <w:rsid w:val="5ECF1B47"/>
    <w:rsid w:val="5ED36A31"/>
    <w:rsid w:val="5EE12FF6"/>
    <w:rsid w:val="5F13572D"/>
    <w:rsid w:val="5F3A715E"/>
    <w:rsid w:val="5F437532"/>
    <w:rsid w:val="5F912BDB"/>
    <w:rsid w:val="5FD17AC2"/>
    <w:rsid w:val="5FD46F39"/>
    <w:rsid w:val="603A63E4"/>
    <w:rsid w:val="60401F66"/>
    <w:rsid w:val="607C7302"/>
    <w:rsid w:val="608763D3"/>
    <w:rsid w:val="60A85C13"/>
    <w:rsid w:val="61144081"/>
    <w:rsid w:val="612F46A4"/>
    <w:rsid w:val="61780285"/>
    <w:rsid w:val="61ED061F"/>
    <w:rsid w:val="620E4AB0"/>
    <w:rsid w:val="624C5211"/>
    <w:rsid w:val="624E573F"/>
    <w:rsid w:val="629342FA"/>
    <w:rsid w:val="62EB1355"/>
    <w:rsid w:val="632F0F5F"/>
    <w:rsid w:val="63A01E57"/>
    <w:rsid w:val="63B2791F"/>
    <w:rsid w:val="63B40E6B"/>
    <w:rsid w:val="63F168D8"/>
    <w:rsid w:val="63F527C5"/>
    <w:rsid w:val="63F91396"/>
    <w:rsid w:val="641206A9"/>
    <w:rsid w:val="64770155"/>
    <w:rsid w:val="6479054D"/>
    <w:rsid w:val="647C7678"/>
    <w:rsid w:val="64E11EB3"/>
    <w:rsid w:val="64EE1F08"/>
    <w:rsid w:val="65053D6A"/>
    <w:rsid w:val="65071890"/>
    <w:rsid w:val="652D25B4"/>
    <w:rsid w:val="65332DE9"/>
    <w:rsid w:val="654F3736"/>
    <w:rsid w:val="65566374"/>
    <w:rsid w:val="65CE15B1"/>
    <w:rsid w:val="66091638"/>
    <w:rsid w:val="662D28B6"/>
    <w:rsid w:val="66307C9B"/>
    <w:rsid w:val="66560D21"/>
    <w:rsid w:val="666C6F7B"/>
    <w:rsid w:val="668F5FE1"/>
    <w:rsid w:val="66DB625C"/>
    <w:rsid w:val="66EA1828"/>
    <w:rsid w:val="67010561"/>
    <w:rsid w:val="67334BBF"/>
    <w:rsid w:val="678306B0"/>
    <w:rsid w:val="678D769B"/>
    <w:rsid w:val="67A61834"/>
    <w:rsid w:val="67AA29A7"/>
    <w:rsid w:val="67E23F90"/>
    <w:rsid w:val="68037CB8"/>
    <w:rsid w:val="688B0A2A"/>
    <w:rsid w:val="68D90020"/>
    <w:rsid w:val="69341B87"/>
    <w:rsid w:val="697C22B8"/>
    <w:rsid w:val="697D1671"/>
    <w:rsid w:val="69A5703B"/>
    <w:rsid w:val="69AD52E1"/>
    <w:rsid w:val="69C67F6C"/>
    <w:rsid w:val="69D900ED"/>
    <w:rsid w:val="69DE70CC"/>
    <w:rsid w:val="69F66377"/>
    <w:rsid w:val="6A282597"/>
    <w:rsid w:val="6A3244B8"/>
    <w:rsid w:val="6A503CD9"/>
    <w:rsid w:val="6A566BE2"/>
    <w:rsid w:val="6A80545F"/>
    <w:rsid w:val="6A8D2838"/>
    <w:rsid w:val="6AA302AD"/>
    <w:rsid w:val="6AC124E1"/>
    <w:rsid w:val="6B150D27"/>
    <w:rsid w:val="6B2E5482"/>
    <w:rsid w:val="6B396C74"/>
    <w:rsid w:val="6B476E8A"/>
    <w:rsid w:val="6BAA566B"/>
    <w:rsid w:val="6BF92A4A"/>
    <w:rsid w:val="6C0B7AF4"/>
    <w:rsid w:val="6C186A79"/>
    <w:rsid w:val="6C352DD4"/>
    <w:rsid w:val="6C7A2570"/>
    <w:rsid w:val="6C7C0DB6"/>
    <w:rsid w:val="6C7F3FB5"/>
    <w:rsid w:val="6C921227"/>
    <w:rsid w:val="6CB23765"/>
    <w:rsid w:val="6CC8344F"/>
    <w:rsid w:val="6D011D2A"/>
    <w:rsid w:val="6D1C4347"/>
    <w:rsid w:val="6D3618D2"/>
    <w:rsid w:val="6D3B0212"/>
    <w:rsid w:val="6D527F05"/>
    <w:rsid w:val="6D7E2D8E"/>
    <w:rsid w:val="6D973F4A"/>
    <w:rsid w:val="6DC62A24"/>
    <w:rsid w:val="6DCA3DA3"/>
    <w:rsid w:val="6DF02B8E"/>
    <w:rsid w:val="6E013804"/>
    <w:rsid w:val="6E2241C6"/>
    <w:rsid w:val="6E573888"/>
    <w:rsid w:val="6E755ABD"/>
    <w:rsid w:val="6E82467D"/>
    <w:rsid w:val="6E8B2FEF"/>
    <w:rsid w:val="6EC55EB2"/>
    <w:rsid w:val="6F0F4163"/>
    <w:rsid w:val="6F4C31BA"/>
    <w:rsid w:val="6F543924"/>
    <w:rsid w:val="6F6F69B0"/>
    <w:rsid w:val="6FC535DB"/>
    <w:rsid w:val="6FEE7EF1"/>
    <w:rsid w:val="70037034"/>
    <w:rsid w:val="700510C2"/>
    <w:rsid w:val="703B5596"/>
    <w:rsid w:val="70D50A94"/>
    <w:rsid w:val="713E0DC1"/>
    <w:rsid w:val="71406C47"/>
    <w:rsid w:val="714300F4"/>
    <w:rsid w:val="717C53B4"/>
    <w:rsid w:val="71AB7A47"/>
    <w:rsid w:val="71B05F7D"/>
    <w:rsid w:val="71BD4DBE"/>
    <w:rsid w:val="71D657B6"/>
    <w:rsid w:val="71F94C57"/>
    <w:rsid w:val="721E73AE"/>
    <w:rsid w:val="722F68CA"/>
    <w:rsid w:val="72645F5A"/>
    <w:rsid w:val="727164C5"/>
    <w:rsid w:val="727711B5"/>
    <w:rsid w:val="727E5AC1"/>
    <w:rsid w:val="727E6F0A"/>
    <w:rsid w:val="72810960"/>
    <w:rsid w:val="728F38B6"/>
    <w:rsid w:val="7297251B"/>
    <w:rsid w:val="72C21A73"/>
    <w:rsid w:val="73115E7C"/>
    <w:rsid w:val="735465E8"/>
    <w:rsid w:val="73610D05"/>
    <w:rsid w:val="73747667"/>
    <w:rsid w:val="73C96B2F"/>
    <w:rsid w:val="74024097"/>
    <w:rsid w:val="745167AA"/>
    <w:rsid w:val="745C25CC"/>
    <w:rsid w:val="74C96E61"/>
    <w:rsid w:val="75475CD9"/>
    <w:rsid w:val="75564E94"/>
    <w:rsid w:val="757C0B36"/>
    <w:rsid w:val="759D2552"/>
    <w:rsid w:val="75AD1FE0"/>
    <w:rsid w:val="75EB5E61"/>
    <w:rsid w:val="76366479"/>
    <w:rsid w:val="766823AB"/>
    <w:rsid w:val="76726933"/>
    <w:rsid w:val="76894F7E"/>
    <w:rsid w:val="768E1E11"/>
    <w:rsid w:val="76C51888"/>
    <w:rsid w:val="76EA0738"/>
    <w:rsid w:val="775F7292"/>
    <w:rsid w:val="77656071"/>
    <w:rsid w:val="776D5ECB"/>
    <w:rsid w:val="778A1A3D"/>
    <w:rsid w:val="77A016B9"/>
    <w:rsid w:val="77ED0DBA"/>
    <w:rsid w:val="77F6089B"/>
    <w:rsid w:val="78026295"/>
    <w:rsid w:val="781E4D92"/>
    <w:rsid w:val="78280044"/>
    <w:rsid w:val="7828345B"/>
    <w:rsid w:val="78340796"/>
    <w:rsid w:val="78343C3F"/>
    <w:rsid w:val="7840538D"/>
    <w:rsid w:val="788A2AAC"/>
    <w:rsid w:val="789B6A68"/>
    <w:rsid w:val="78A562A6"/>
    <w:rsid w:val="78EF2C59"/>
    <w:rsid w:val="78F30DF4"/>
    <w:rsid w:val="791353A7"/>
    <w:rsid w:val="792A1B99"/>
    <w:rsid w:val="79334EF2"/>
    <w:rsid w:val="793D7B1F"/>
    <w:rsid w:val="79440EAD"/>
    <w:rsid w:val="79681277"/>
    <w:rsid w:val="79D30A00"/>
    <w:rsid w:val="79D57D57"/>
    <w:rsid w:val="7A011C46"/>
    <w:rsid w:val="7A097B9C"/>
    <w:rsid w:val="7A0F70CF"/>
    <w:rsid w:val="7A1336F2"/>
    <w:rsid w:val="7A653177"/>
    <w:rsid w:val="7A6F6088"/>
    <w:rsid w:val="7A8A68A8"/>
    <w:rsid w:val="7ACE0F3C"/>
    <w:rsid w:val="7ACE224D"/>
    <w:rsid w:val="7AD87AFF"/>
    <w:rsid w:val="7AE150F8"/>
    <w:rsid w:val="7AF1296F"/>
    <w:rsid w:val="7B197A1F"/>
    <w:rsid w:val="7B3412B3"/>
    <w:rsid w:val="7B584DE6"/>
    <w:rsid w:val="7B913079"/>
    <w:rsid w:val="7BA365AD"/>
    <w:rsid w:val="7BBF3C2E"/>
    <w:rsid w:val="7BCD4338"/>
    <w:rsid w:val="7BD007D6"/>
    <w:rsid w:val="7BF61C5E"/>
    <w:rsid w:val="7C1C3F97"/>
    <w:rsid w:val="7C266648"/>
    <w:rsid w:val="7C397321"/>
    <w:rsid w:val="7C3B04A6"/>
    <w:rsid w:val="7C5E0B6B"/>
    <w:rsid w:val="7CA0464C"/>
    <w:rsid w:val="7CAF663E"/>
    <w:rsid w:val="7CC11DDE"/>
    <w:rsid w:val="7D2D3DD9"/>
    <w:rsid w:val="7D992B22"/>
    <w:rsid w:val="7DB61C4E"/>
    <w:rsid w:val="7DDD367E"/>
    <w:rsid w:val="7DDE5E6C"/>
    <w:rsid w:val="7DF32EA2"/>
    <w:rsid w:val="7DF94956"/>
    <w:rsid w:val="7E050C3A"/>
    <w:rsid w:val="7E2476F8"/>
    <w:rsid w:val="7E2F4B6B"/>
    <w:rsid w:val="7E301A00"/>
    <w:rsid w:val="7E4104D3"/>
    <w:rsid w:val="7ECD36F3"/>
    <w:rsid w:val="7EF1027D"/>
    <w:rsid w:val="7F7A0ABF"/>
    <w:rsid w:val="7F9345EA"/>
    <w:rsid w:val="7FA123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qFormat="1" w:unhideWhenUsed="0" w:uiPriority="99" w:semiHidden="0" w:name="List Bullet 4"/>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ocked="1"/>
    <w:lsdException w:qFormat="1" w:unhideWhenUsed="0" w:uiPriority="99" w:semiHidden="0"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qFormat="1"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4"/>
    <w:autoRedefine/>
    <w:qFormat/>
    <w:uiPriority w:val="99"/>
    <w:pPr>
      <w:keepNext/>
      <w:keepLines/>
      <w:spacing w:before="340" w:after="330" w:line="578" w:lineRule="auto"/>
      <w:outlineLvl w:val="0"/>
    </w:pPr>
    <w:rPr>
      <w:rFonts w:ascii="Calibri" w:hAnsi="Calibri" w:cs="Arial"/>
      <w:b/>
      <w:bCs/>
      <w:kern w:val="44"/>
      <w:sz w:val="44"/>
      <w:szCs w:val="44"/>
    </w:rPr>
  </w:style>
  <w:style w:type="paragraph" w:styleId="3">
    <w:name w:val="heading 2"/>
    <w:basedOn w:val="1"/>
    <w:next w:val="4"/>
    <w:link w:val="65"/>
    <w:autoRedefine/>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6"/>
    <w:autoRedefine/>
    <w:qFormat/>
    <w:uiPriority w:val="99"/>
    <w:pPr>
      <w:keepNext/>
      <w:keepLines/>
      <w:spacing w:before="120" w:after="120"/>
      <w:outlineLvl w:val="2"/>
    </w:pPr>
    <w:rPr>
      <w:rFonts w:ascii="Calibri" w:hAnsi="Calibri"/>
      <w:b/>
      <w:bCs/>
      <w:szCs w:val="32"/>
    </w:rPr>
  </w:style>
  <w:style w:type="paragraph" w:styleId="6">
    <w:name w:val="heading 4"/>
    <w:basedOn w:val="1"/>
    <w:next w:val="1"/>
    <w:link w:val="67"/>
    <w:autoRedefine/>
    <w:qFormat/>
    <w:uiPriority w:val="99"/>
    <w:pPr>
      <w:keepNext/>
      <w:widowControl/>
      <w:spacing w:before="240" w:after="60"/>
      <w:jc w:val="left"/>
      <w:outlineLvl w:val="3"/>
    </w:pPr>
    <w:rPr>
      <w:rFonts w:ascii="Calibri" w:hAnsi="Calibri" w:cs="Arial"/>
      <w:b/>
      <w:bCs/>
      <w:kern w:val="0"/>
      <w:sz w:val="28"/>
      <w:szCs w:val="28"/>
      <w:lang w:eastAsia="en-US"/>
    </w:rPr>
  </w:style>
  <w:style w:type="paragraph" w:styleId="7">
    <w:name w:val="heading 5"/>
    <w:basedOn w:val="1"/>
    <w:next w:val="1"/>
    <w:link w:val="68"/>
    <w:autoRedefine/>
    <w:qFormat/>
    <w:uiPriority w:val="99"/>
    <w:pPr>
      <w:widowControl/>
      <w:spacing w:before="240" w:after="60"/>
      <w:jc w:val="left"/>
      <w:outlineLvl w:val="4"/>
    </w:pPr>
    <w:rPr>
      <w:rFonts w:ascii="Calibri" w:hAnsi="Calibri" w:cs="Arial"/>
      <w:b/>
      <w:bCs/>
      <w:i/>
      <w:iCs/>
      <w:kern w:val="0"/>
      <w:sz w:val="26"/>
      <w:szCs w:val="26"/>
      <w:lang w:eastAsia="en-US"/>
    </w:rPr>
  </w:style>
  <w:style w:type="paragraph" w:styleId="8">
    <w:name w:val="heading 6"/>
    <w:basedOn w:val="1"/>
    <w:next w:val="1"/>
    <w:link w:val="70"/>
    <w:autoRedefine/>
    <w:qFormat/>
    <w:uiPriority w:val="99"/>
    <w:pPr>
      <w:widowControl/>
      <w:spacing w:before="240" w:after="60"/>
      <w:jc w:val="left"/>
      <w:outlineLvl w:val="5"/>
    </w:pPr>
    <w:rPr>
      <w:rFonts w:ascii="Calibri" w:hAnsi="Calibri" w:cs="Arial"/>
      <w:b/>
      <w:bCs/>
      <w:kern w:val="0"/>
      <w:sz w:val="22"/>
      <w:szCs w:val="22"/>
      <w:lang w:eastAsia="en-US"/>
    </w:rPr>
  </w:style>
  <w:style w:type="paragraph" w:styleId="9">
    <w:name w:val="heading 7"/>
    <w:basedOn w:val="1"/>
    <w:next w:val="1"/>
    <w:link w:val="71"/>
    <w:autoRedefine/>
    <w:qFormat/>
    <w:uiPriority w:val="99"/>
    <w:pPr>
      <w:widowControl/>
      <w:spacing w:before="240" w:after="60"/>
      <w:jc w:val="left"/>
      <w:outlineLvl w:val="6"/>
    </w:pPr>
    <w:rPr>
      <w:rFonts w:ascii="Calibri" w:hAnsi="Calibri" w:cs="Arial"/>
      <w:kern w:val="0"/>
      <w:sz w:val="24"/>
      <w:szCs w:val="24"/>
      <w:lang w:eastAsia="en-US"/>
    </w:rPr>
  </w:style>
  <w:style w:type="paragraph" w:styleId="10">
    <w:name w:val="heading 8"/>
    <w:basedOn w:val="1"/>
    <w:next w:val="1"/>
    <w:link w:val="72"/>
    <w:autoRedefine/>
    <w:qFormat/>
    <w:uiPriority w:val="99"/>
    <w:pPr>
      <w:widowControl/>
      <w:spacing w:before="240" w:after="60"/>
      <w:jc w:val="left"/>
      <w:outlineLvl w:val="7"/>
    </w:pPr>
    <w:rPr>
      <w:rFonts w:ascii="Calibri" w:hAnsi="Calibri" w:cs="Arial"/>
      <w:i/>
      <w:iCs/>
      <w:kern w:val="0"/>
      <w:sz w:val="24"/>
      <w:szCs w:val="24"/>
      <w:lang w:eastAsia="en-US"/>
    </w:rPr>
  </w:style>
  <w:style w:type="paragraph" w:styleId="11">
    <w:name w:val="heading 9"/>
    <w:basedOn w:val="1"/>
    <w:next w:val="1"/>
    <w:link w:val="73"/>
    <w:autoRedefine/>
    <w:qFormat/>
    <w:uiPriority w:val="99"/>
    <w:pPr>
      <w:widowControl/>
      <w:spacing w:before="240" w:after="60"/>
      <w:jc w:val="left"/>
      <w:outlineLvl w:val="8"/>
    </w:pPr>
    <w:rPr>
      <w:rFonts w:ascii="Cambria" w:hAnsi="Cambria" w:cs="Arial"/>
      <w:kern w:val="0"/>
      <w:sz w:val="22"/>
      <w:szCs w:val="22"/>
      <w:lang w:eastAsia="en-US"/>
    </w:rPr>
  </w:style>
  <w:style w:type="character" w:default="1" w:styleId="55">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link w:val="91"/>
    <w:autoRedefine/>
    <w:qFormat/>
    <w:uiPriority w:val="99"/>
    <w:pPr>
      <w:ind w:firstLine="420"/>
    </w:pPr>
    <w:rPr>
      <w:rFonts w:ascii="Calibri" w:hAnsi="Calibri"/>
    </w:rPr>
  </w:style>
  <w:style w:type="paragraph" w:styleId="12">
    <w:name w:val="toc 7"/>
    <w:basedOn w:val="1"/>
    <w:next w:val="1"/>
    <w:autoRedefine/>
    <w:qFormat/>
    <w:uiPriority w:val="99"/>
    <w:pPr>
      <w:ind w:left="1260"/>
      <w:jc w:val="left"/>
    </w:pPr>
    <w:rPr>
      <w:rFonts w:ascii="Calibri" w:hAnsi="Calibri" w:cs="Calibri"/>
      <w:sz w:val="18"/>
      <w:szCs w:val="18"/>
    </w:rPr>
  </w:style>
  <w:style w:type="paragraph" w:styleId="13">
    <w:name w:val="List Bullet 4"/>
    <w:basedOn w:val="1"/>
    <w:autoRedefine/>
    <w:qFormat/>
    <w:uiPriority w:val="99"/>
    <w:pPr>
      <w:widowControl/>
      <w:numPr>
        <w:ilvl w:val="0"/>
        <w:numId w:val="1"/>
      </w:numPr>
      <w:topLinePunct/>
      <w:adjustRightInd w:val="0"/>
      <w:snapToGrid w:val="0"/>
      <w:spacing w:before="160" w:after="160" w:line="240" w:lineRule="atLeast"/>
      <w:jc w:val="left"/>
    </w:pPr>
    <w:rPr>
      <w:rFonts w:cs="Arial"/>
      <w:szCs w:val="21"/>
    </w:rPr>
  </w:style>
  <w:style w:type="paragraph" w:styleId="14">
    <w:name w:val="caption"/>
    <w:basedOn w:val="1"/>
    <w:next w:val="1"/>
    <w:autoRedefine/>
    <w:qFormat/>
    <w:uiPriority w:val="99"/>
    <w:rPr>
      <w:rFonts w:ascii="Arial" w:hAnsi="Arial" w:eastAsia="黑体"/>
      <w:sz w:val="20"/>
    </w:rPr>
  </w:style>
  <w:style w:type="paragraph" w:styleId="15">
    <w:name w:val="List Bullet"/>
    <w:basedOn w:val="16"/>
    <w:autoRedefine/>
    <w:qFormat/>
    <w:uiPriority w:val="99"/>
    <w:pPr>
      <w:widowControl/>
      <w:numPr>
        <w:ilvl w:val="1"/>
        <w:numId w:val="1"/>
      </w:numPr>
      <w:spacing w:line="300" w:lineRule="auto"/>
      <w:ind w:firstLine="0" w:firstLineChars="0"/>
    </w:pPr>
    <w:rPr>
      <w:rFonts w:eastAsia="幼圆"/>
      <w:spacing w:val="-5"/>
      <w:kern w:val="0"/>
      <w:sz w:val="24"/>
      <w:szCs w:val="24"/>
      <w:lang w:val="zh-CN"/>
    </w:rPr>
  </w:style>
  <w:style w:type="paragraph" w:styleId="16">
    <w:name w:val="List"/>
    <w:basedOn w:val="1"/>
    <w:autoRedefine/>
    <w:qFormat/>
    <w:uiPriority w:val="99"/>
    <w:pPr>
      <w:ind w:left="200" w:hanging="200" w:hangingChars="200"/>
    </w:pPr>
  </w:style>
  <w:style w:type="paragraph" w:styleId="17">
    <w:name w:val="Document Map"/>
    <w:basedOn w:val="1"/>
    <w:link w:val="75"/>
    <w:autoRedefine/>
    <w:qFormat/>
    <w:uiPriority w:val="99"/>
    <w:pPr>
      <w:shd w:val="clear" w:color="auto" w:fill="000080"/>
    </w:pPr>
    <w:rPr>
      <w:rFonts w:ascii="Calibri" w:hAnsi="Calibri"/>
    </w:rPr>
  </w:style>
  <w:style w:type="paragraph" w:styleId="18">
    <w:name w:val="annotation text"/>
    <w:basedOn w:val="1"/>
    <w:link w:val="76"/>
    <w:autoRedefine/>
    <w:qFormat/>
    <w:uiPriority w:val="99"/>
    <w:pPr>
      <w:jc w:val="left"/>
    </w:pPr>
    <w:rPr>
      <w:rFonts w:ascii="Calibri" w:hAnsi="Calibri" w:cs="Arial"/>
    </w:rPr>
  </w:style>
  <w:style w:type="paragraph" w:styleId="19">
    <w:name w:val="Body Text 3"/>
    <w:basedOn w:val="1"/>
    <w:link w:val="77"/>
    <w:autoRedefine/>
    <w:qFormat/>
    <w:uiPriority w:val="99"/>
    <w:pPr>
      <w:spacing w:after="120"/>
    </w:pPr>
    <w:rPr>
      <w:sz w:val="16"/>
      <w:szCs w:val="16"/>
    </w:rPr>
  </w:style>
  <w:style w:type="paragraph" w:styleId="20">
    <w:name w:val="Body Text"/>
    <w:basedOn w:val="1"/>
    <w:link w:val="74"/>
    <w:autoRedefine/>
    <w:qFormat/>
    <w:uiPriority w:val="99"/>
    <w:pPr>
      <w:spacing w:line="360" w:lineRule="auto"/>
    </w:pPr>
    <w:rPr>
      <w:rFonts w:ascii="Calibri" w:hAnsi="Calibri"/>
      <w:sz w:val="24"/>
    </w:rPr>
  </w:style>
  <w:style w:type="paragraph" w:styleId="21">
    <w:name w:val="Body Text Indent"/>
    <w:basedOn w:val="1"/>
    <w:link w:val="78"/>
    <w:autoRedefine/>
    <w:qFormat/>
    <w:uiPriority w:val="99"/>
    <w:pPr>
      <w:snapToGrid w:val="0"/>
      <w:spacing w:line="400" w:lineRule="exact"/>
      <w:ind w:firstLine="540" w:firstLineChars="225"/>
    </w:pPr>
    <w:rPr>
      <w:rFonts w:ascii="Calibri" w:hAnsi="Calibri" w:eastAsia="仿宋_GB2312"/>
      <w:sz w:val="24"/>
      <w:szCs w:val="24"/>
    </w:rPr>
  </w:style>
  <w:style w:type="paragraph" w:styleId="22">
    <w:name w:val="toc 5"/>
    <w:basedOn w:val="1"/>
    <w:next w:val="1"/>
    <w:autoRedefine/>
    <w:qFormat/>
    <w:uiPriority w:val="99"/>
    <w:pPr>
      <w:ind w:left="840"/>
      <w:jc w:val="left"/>
    </w:pPr>
    <w:rPr>
      <w:rFonts w:ascii="Calibri" w:hAnsi="Calibri" w:cs="Calibri"/>
      <w:sz w:val="18"/>
      <w:szCs w:val="18"/>
    </w:rPr>
  </w:style>
  <w:style w:type="paragraph" w:styleId="23">
    <w:name w:val="toc 3"/>
    <w:basedOn w:val="1"/>
    <w:next w:val="1"/>
    <w:autoRedefine/>
    <w:qFormat/>
    <w:uiPriority w:val="39"/>
    <w:pPr>
      <w:ind w:left="420"/>
      <w:jc w:val="left"/>
    </w:pPr>
    <w:rPr>
      <w:rFonts w:ascii="Calibri" w:hAnsi="Calibri" w:cs="Calibri"/>
      <w:i/>
      <w:iCs/>
      <w:sz w:val="20"/>
    </w:rPr>
  </w:style>
  <w:style w:type="paragraph" w:styleId="24">
    <w:name w:val="Plain Text"/>
    <w:basedOn w:val="1"/>
    <w:link w:val="79"/>
    <w:autoRedefine/>
    <w:qFormat/>
    <w:uiPriority w:val="0"/>
    <w:rPr>
      <w:rFonts w:ascii="宋体" w:hAnsi="Courier New" w:cs="Arial"/>
    </w:rPr>
  </w:style>
  <w:style w:type="paragraph" w:styleId="25">
    <w:name w:val="toc 8"/>
    <w:basedOn w:val="1"/>
    <w:next w:val="1"/>
    <w:autoRedefine/>
    <w:qFormat/>
    <w:uiPriority w:val="99"/>
    <w:pPr>
      <w:ind w:left="1470"/>
      <w:jc w:val="left"/>
    </w:pPr>
    <w:rPr>
      <w:rFonts w:ascii="Calibri" w:hAnsi="Calibri" w:cs="Calibri"/>
      <w:sz w:val="18"/>
      <w:szCs w:val="18"/>
    </w:rPr>
  </w:style>
  <w:style w:type="paragraph" w:styleId="26">
    <w:name w:val="Date"/>
    <w:basedOn w:val="1"/>
    <w:next w:val="1"/>
    <w:link w:val="80"/>
    <w:autoRedefine/>
    <w:qFormat/>
    <w:uiPriority w:val="99"/>
    <w:rPr>
      <w:rFonts w:ascii="Calibri" w:hAnsi="Calibri"/>
    </w:rPr>
  </w:style>
  <w:style w:type="paragraph" w:styleId="27">
    <w:name w:val="Body Text Indent 2"/>
    <w:basedOn w:val="1"/>
    <w:link w:val="81"/>
    <w:autoRedefine/>
    <w:qFormat/>
    <w:uiPriority w:val="99"/>
    <w:pPr>
      <w:spacing w:after="120" w:line="480" w:lineRule="auto"/>
      <w:ind w:left="420" w:leftChars="200"/>
    </w:pPr>
    <w:rPr>
      <w:rFonts w:ascii="Calibri" w:hAnsi="Calibri"/>
    </w:rPr>
  </w:style>
  <w:style w:type="paragraph" w:styleId="28">
    <w:name w:val="Balloon Text"/>
    <w:basedOn w:val="1"/>
    <w:link w:val="82"/>
    <w:autoRedefine/>
    <w:qFormat/>
    <w:uiPriority w:val="99"/>
    <w:rPr>
      <w:rFonts w:ascii="Calibri" w:hAnsi="Calibri"/>
      <w:sz w:val="18"/>
      <w:szCs w:val="18"/>
    </w:rPr>
  </w:style>
  <w:style w:type="paragraph" w:styleId="29">
    <w:name w:val="footer"/>
    <w:basedOn w:val="1"/>
    <w:link w:val="83"/>
    <w:autoRedefine/>
    <w:qFormat/>
    <w:uiPriority w:val="99"/>
    <w:pPr>
      <w:tabs>
        <w:tab w:val="center" w:pos="4153"/>
        <w:tab w:val="right" w:pos="8306"/>
      </w:tabs>
      <w:snapToGrid w:val="0"/>
      <w:jc w:val="left"/>
    </w:pPr>
    <w:rPr>
      <w:rFonts w:ascii="Calibri" w:hAnsi="Calibri"/>
      <w:sz w:val="18"/>
    </w:rPr>
  </w:style>
  <w:style w:type="paragraph" w:styleId="30">
    <w:name w:val="header"/>
    <w:basedOn w:val="1"/>
    <w:link w:val="84"/>
    <w:autoRedefine/>
    <w:qFormat/>
    <w:uiPriority w:val="99"/>
    <w:pPr>
      <w:pBdr>
        <w:bottom w:val="single" w:color="auto" w:sz="6" w:space="1"/>
      </w:pBdr>
      <w:tabs>
        <w:tab w:val="center" w:pos="4153"/>
        <w:tab w:val="right" w:pos="8306"/>
      </w:tabs>
      <w:snapToGrid w:val="0"/>
      <w:jc w:val="center"/>
    </w:pPr>
    <w:rPr>
      <w:rFonts w:ascii="Calibri" w:hAnsi="Calibri"/>
      <w:sz w:val="18"/>
    </w:rPr>
  </w:style>
  <w:style w:type="paragraph" w:styleId="31">
    <w:name w:val="toc 1"/>
    <w:basedOn w:val="1"/>
    <w:next w:val="1"/>
    <w:autoRedefine/>
    <w:qFormat/>
    <w:uiPriority w:val="39"/>
    <w:pPr>
      <w:spacing w:before="120" w:after="120"/>
      <w:jc w:val="left"/>
    </w:pPr>
    <w:rPr>
      <w:rFonts w:ascii="Calibri" w:hAnsi="Calibri" w:cs="Calibri"/>
      <w:b/>
      <w:bCs/>
      <w:caps/>
      <w:sz w:val="20"/>
    </w:rPr>
  </w:style>
  <w:style w:type="paragraph" w:styleId="32">
    <w:name w:val="toc 4"/>
    <w:basedOn w:val="1"/>
    <w:next w:val="1"/>
    <w:autoRedefine/>
    <w:qFormat/>
    <w:uiPriority w:val="39"/>
    <w:pPr>
      <w:ind w:left="630"/>
      <w:jc w:val="left"/>
    </w:pPr>
    <w:rPr>
      <w:rFonts w:ascii="Calibri" w:hAnsi="Calibri" w:cs="Calibri"/>
      <w:sz w:val="18"/>
      <w:szCs w:val="18"/>
    </w:rPr>
  </w:style>
  <w:style w:type="paragraph" w:styleId="33">
    <w:name w:val="Subtitle"/>
    <w:basedOn w:val="1"/>
    <w:next w:val="1"/>
    <w:link w:val="85"/>
    <w:autoRedefine/>
    <w:qFormat/>
    <w:uiPriority w:val="99"/>
    <w:pPr>
      <w:widowControl/>
      <w:spacing w:after="60"/>
      <w:jc w:val="center"/>
      <w:outlineLvl w:val="1"/>
    </w:pPr>
    <w:rPr>
      <w:rFonts w:ascii="Cambria" w:hAnsi="Cambria" w:cs="Arial"/>
      <w:kern w:val="0"/>
      <w:sz w:val="24"/>
      <w:szCs w:val="24"/>
      <w:lang w:eastAsia="en-US"/>
    </w:rPr>
  </w:style>
  <w:style w:type="paragraph" w:styleId="34">
    <w:name w:val="toc 6"/>
    <w:basedOn w:val="1"/>
    <w:next w:val="1"/>
    <w:autoRedefine/>
    <w:qFormat/>
    <w:uiPriority w:val="99"/>
    <w:pPr>
      <w:ind w:left="1050"/>
      <w:jc w:val="left"/>
    </w:pPr>
    <w:rPr>
      <w:rFonts w:ascii="Calibri" w:hAnsi="Calibri" w:cs="Calibri"/>
      <w:sz w:val="18"/>
      <w:szCs w:val="18"/>
    </w:rPr>
  </w:style>
  <w:style w:type="paragraph" w:styleId="35">
    <w:name w:val="Body Text Indent 3"/>
    <w:basedOn w:val="1"/>
    <w:link w:val="86"/>
    <w:autoRedefine/>
    <w:qFormat/>
    <w:uiPriority w:val="99"/>
    <w:pPr>
      <w:spacing w:after="120"/>
      <w:ind w:left="420" w:leftChars="200"/>
    </w:pPr>
    <w:rPr>
      <w:rFonts w:ascii="Calibri" w:hAnsi="Calibri"/>
      <w:sz w:val="16"/>
      <w:szCs w:val="16"/>
    </w:rPr>
  </w:style>
  <w:style w:type="paragraph" w:styleId="36">
    <w:name w:val="toc 2"/>
    <w:basedOn w:val="1"/>
    <w:next w:val="1"/>
    <w:autoRedefine/>
    <w:qFormat/>
    <w:uiPriority w:val="39"/>
    <w:pPr>
      <w:ind w:left="210"/>
      <w:jc w:val="left"/>
    </w:pPr>
    <w:rPr>
      <w:rFonts w:ascii="Calibri" w:hAnsi="Calibri" w:cs="Calibri"/>
      <w:smallCaps/>
      <w:sz w:val="20"/>
    </w:rPr>
  </w:style>
  <w:style w:type="paragraph" w:styleId="37">
    <w:name w:val="toc 9"/>
    <w:basedOn w:val="1"/>
    <w:next w:val="1"/>
    <w:autoRedefine/>
    <w:qFormat/>
    <w:uiPriority w:val="99"/>
    <w:pPr>
      <w:ind w:left="1680"/>
      <w:jc w:val="left"/>
    </w:pPr>
    <w:rPr>
      <w:rFonts w:ascii="Calibri" w:hAnsi="Calibri" w:cs="Calibri"/>
      <w:sz w:val="18"/>
      <w:szCs w:val="18"/>
    </w:rPr>
  </w:style>
  <w:style w:type="paragraph" w:styleId="38">
    <w:name w:val="Body Text 2"/>
    <w:basedOn w:val="1"/>
    <w:link w:val="87"/>
    <w:autoRedefine/>
    <w:qFormat/>
    <w:uiPriority w:val="99"/>
    <w:pPr>
      <w:spacing w:after="120" w:line="480" w:lineRule="auto"/>
    </w:pPr>
    <w:rPr>
      <w:rFonts w:ascii="Calibri" w:hAnsi="Calibri"/>
      <w:szCs w:val="21"/>
    </w:rPr>
  </w:style>
  <w:style w:type="paragraph" w:styleId="39">
    <w:name w:val="HTML Preformatted"/>
    <w:basedOn w:val="1"/>
    <w:link w:val="8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0">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41">
    <w:name w:val="index 1"/>
    <w:basedOn w:val="1"/>
    <w:next w:val="1"/>
    <w:autoRedefine/>
    <w:semiHidden/>
    <w:qFormat/>
    <w:uiPriority w:val="99"/>
  </w:style>
  <w:style w:type="paragraph" w:styleId="42">
    <w:name w:val="Title"/>
    <w:basedOn w:val="1"/>
    <w:link w:val="89"/>
    <w:autoRedefine/>
    <w:qFormat/>
    <w:uiPriority w:val="99"/>
    <w:pPr>
      <w:spacing w:before="240" w:after="60"/>
      <w:jc w:val="center"/>
      <w:outlineLvl w:val="0"/>
    </w:pPr>
    <w:rPr>
      <w:rFonts w:ascii="Arial" w:hAnsi="Arial"/>
      <w:b/>
      <w:bCs/>
      <w:sz w:val="32"/>
      <w:szCs w:val="32"/>
    </w:rPr>
  </w:style>
  <w:style w:type="paragraph" w:styleId="43">
    <w:name w:val="annotation subject"/>
    <w:basedOn w:val="18"/>
    <w:next w:val="18"/>
    <w:link w:val="90"/>
    <w:autoRedefine/>
    <w:qFormat/>
    <w:uiPriority w:val="99"/>
    <w:rPr>
      <w:b/>
      <w:bCs/>
    </w:rPr>
  </w:style>
  <w:style w:type="paragraph" w:styleId="44">
    <w:name w:val="Body Text First Indent"/>
    <w:basedOn w:val="45"/>
    <w:autoRedefine/>
    <w:qFormat/>
    <w:uiPriority w:val="0"/>
    <w:pPr>
      <w:spacing w:after="120"/>
      <w:ind w:firstLine="420" w:firstLineChars="100"/>
      <w:jc w:val="both"/>
    </w:pPr>
    <w:rPr>
      <w:sz w:val="21"/>
    </w:rPr>
  </w:style>
  <w:style w:type="paragraph" w:customStyle="1" w:styleId="45">
    <w:name w:val="正文文本_0"/>
    <w:basedOn w:val="46"/>
    <w:autoRedefine/>
    <w:semiHidden/>
    <w:qFormat/>
    <w:uiPriority w:val="0"/>
    <w:pPr>
      <w:spacing w:before="100" w:beforeAutospacing="1" w:after="120"/>
    </w:pPr>
    <w:rPr>
      <w:rFonts w:ascii="Calibri" w:hAnsi="Calibri"/>
      <w:szCs w:val="21"/>
    </w:rPr>
  </w:style>
  <w:style w:type="paragraph" w:customStyle="1" w:styleId="46">
    <w:name w:val="正文_1_0"/>
    <w:basedOn w:val="47"/>
    <w:next w:val="49"/>
    <w:autoRedefine/>
    <w:qFormat/>
    <w:uiPriority w:val="0"/>
    <w:pPr>
      <w:widowControl w:val="0"/>
      <w:jc w:val="both"/>
    </w:pPr>
    <w:rPr>
      <w:rFonts w:ascii="Calibri" w:hAnsi="Calibri"/>
      <w:kern w:val="2"/>
      <w:sz w:val="21"/>
      <w:szCs w:val="22"/>
      <w:lang w:val="en-US" w:eastAsia="zh-CN" w:bidi="ar-SA"/>
    </w:rPr>
  </w:style>
  <w:style w:type="paragraph" w:customStyle="1" w:styleId="47">
    <w:name w:val="正文_2"/>
    <w:next w:val="4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文本_1"/>
    <w:basedOn w:val="46"/>
    <w:autoRedefine/>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49">
    <w:name w:val="正文首行缩进1"/>
    <w:basedOn w:val="50"/>
    <w:autoRedefine/>
    <w:unhideWhenUsed/>
    <w:qFormat/>
    <w:uiPriority w:val="99"/>
    <w:pPr>
      <w:ind w:firstLine="420" w:firstLineChars="100"/>
    </w:pPr>
    <w:rPr>
      <w:szCs w:val="22"/>
    </w:rPr>
  </w:style>
  <w:style w:type="paragraph" w:customStyle="1" w:styleId="50">
    <w:name w:val="正文文本_0_0"/>
    <w:basedOn w:val="51"/>
    <w:autoRedefine/>
    <w:qFormat/>
    <w:uiPriority w:val="0"/>
    <w:pPr>
      <w:spacing w:before="100" w:beforeAutospacing="1" w:after="120"/>
    </w:pPr>
    <w:rPr>
      <w:rFonts w:ascii="Calibri" w:hAnsi="Calibri"/>
    </w:rPr>
  </w:style>
  <w:style w:type="paragraph" w:customStyle="1" w:styleId="51">
    <w:name w:val="正文_1_3"/>
    <w:autoRedefine/>
    <w:qFormat/>
    <w:uiPriority w:val="0"/>
    <w:pPr>
      <w:widowControl w:val="0"/>
      <w:jc w:val="both"/>
    </w:pPr>
    <w:rPr>
      <w:rFonts w:ascii="Calibri" w:hAnsi="Calibri" w:eastAsia="宋体" w:cs="Times New Roman"/>
      <w:kern w:val="2"/>
      <w:sz w:val="21"/>
      <w:szCs w:val="22"/>
      <w:lang w:val="en-US" w:eastAsia="zh-CN" w:bidi="ar-SA"/>
    </w:rPr>
  </w:style>
  <w:style w:type="paragraph" w:styleId="52">
    <w:name w:val="Body Text First Indent 2"/>
    <w:basedOn w:val="21"/>
    <w:autoRedefine/>
    <w:qFormat/>
    <w:locked/>
    <w:uiPriority w:val="0"/>
    <w:pPr>
      <w:widowControl/>
      <w:spacing w:after="120" w:line="240" w:lineRule="auto"/>
      <w:ind w:left="420" w:firstLine="210"/>
      <w:jc w:val="left"/>
    </w:pPr>
    <w:rPr>
      <w:rFonts w:ascii="Times New Roman"/>
      <w:kern w:val="0"/>
      <w:sz w:val="20"/>
    </w:rPr>
  </w:style>
  <w:style w:type="table" w:styleId="54">
    <w:name w:val="Table Grid"/>
    <w:basedOn w:val="5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autoRedefine/>
    <w:qFormat/>
    <w:uiPriority w:val="22"/>
    <w:rPr>
      <w:rFonts w:cs="Times New Roman"/>
      <w:b/>
      <w:bCs/>
    </w:rPr>
  </w:style>
  <w:style w:type="character" w:styleId="57">
    <w:name w:val="page number"/>
    <w:basedOn w:val="55"/>
    <w:autoRedefine/>
    <w:qFormat/>
    <w:uiPriority w:val="99"/>
    <w:rPr>
      <w:rFonts w:cs="Times New Roman"/>
    </w:rPr>
  </w:style>
  <w:style w:type="character" w:styleId="58">
    <w:name w:val="FollowedHyperlink"/>
    <w:basedOn w:val="55"/>
    <w:autoRedefine/>
    <w:qFormat/>
    <w:uiPriority w:val="99"/>
    <w:rPr>
      <w:rFonts w:cs="Times New Roman"/>
      <w:color w:val="800080"/>
      <w:u w:val="single"/>
    </w:rPr>
  </w:style>
  <w:style w:type="character" w:styleId="59">
    <w:name w:val="line number"/>
    <w:basedOn w:val="55"/>
    <w:autoRedefine/>
    <w:qFormat/>
    <w:uiPriority w:val="99"/>
    <w:rPr>
      <w:rFonts w:cs="Times New Roman"/>
    </w:rPr>
  </w:style>
  <w:style w:type="character" w:styleId="60">
    <w:name w:val="Hyperlink"/>
    <w:basedOn w:val="55"/>
    <w:autoRedefine/>
    <w:qFormat/>
    <w:uiPriority w:val="99"/>
    <w:rPr>
      <w:rFonts w:cs="Times New Roman"/>
      <w:color w:val="0000FF"/>
      <w:u w:val="single"/>
    </w:rPr>
  </w:style>
  <w:style w:type="character" w:styleId="61">
    <w:name w:val="annotation reference"/>
    <w:basedOn w:val="55"/>
    <w:autoRedefine/>
    <w:qFormat/>
    <w:uiPriority w:val="99"/>
    <w:rPr>
      <w:rFonts w:cs="Times New Roman"/>
      <w:sz w:val="21"/>
    </w:rPr>
  </w:style>
  <w:style w:type="character" w:styleId="62">
    <w:name w:val="HTML Sample"/>
    <w:basedOn w:val="55"/>
    <w:autoRedefine/>
    <w:semiHidden/>
    <w:unhideWhenUsed/>
    <w:qFormat/>
    <w:locked/>
    <w:uiPriority w:val="99"/>
    <w:rPr>
      <w:rFonts w:ascii="宋体" w:hAnsi="宋体" w:eastAsia="宋体" w:cs="宋体"/>
    </w:rPr>
  </w:style>
  <w:style w:type="paragraph" w:customStyle="1" w:styleId="63">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4">
    <w:name w:val="标题 1 字符"/>
    <w:basedOn w:val="55"/>
    <w:link w:val="2"/>
    <w:autoRedefine/>
    <w:qFormat/>
    <w:locked/>
    <w:uiPriority w:val="99"/>
    <w:rPr>
      <w:rFonts w:eastAsia="宋体"/>
      <w:b/>
      <w:kern w:val="44"/>
      <w:sz w:val="44"/>
      <w:lang w:val="en-US" w:eastAsia="zh-CN"/>
    </w:rPr>
  </w:style>
  <w:style w:type="character" w:customStyle="1" w:styleId="65">
    <w:name w:val="标题 2 字符"/>
    <w:basedOn w:val="55"/>
    <w:link w:val="3"/>
    <w:autoRedefine/>
    <w:qFormat/>
    <w:locked/>
    <w:uiPriority w:val="99"/>
    <w:rPr>
      <w:rFonts w:ascii="Arial" w:hAnsi="Arial" w:eastAsia="黑体"/>
      <w:b/>
      <w:kern w:val="2"/>
      <w:sz w:val="32"/>
    </w:rPr>
  </w:style>
  <w:style w:type="character" w:customStyle="1" w:styleId="66">
    <w:name w:val="标题 3 字符"/>
    <w:basedOn w:val="55"/>
    <w:link w:val="5"/>
    <w:autoRedefine/>
    <w:qFormat/>
    <w:locked/>
    <w:uiPriority w:val="99"/>
    <w:rPr>
      <w:b/>
      <w:kern w:val="2"/>
      <w:sz w:val="32"/>
    </w:rPr>
  </w:style>
  <w:style w:type="character" w:customStyle="1" w:styleId="67">
    <w:name w:val="标题 4 字符"/>
    <w:basedOn w:val="55"/>
    <w:link w:val="6"/>
    <w:autoRedefine/>
    <w:qFormat/>
    <w:locked/>
    <w:uiPriority w:val="99"/>
    <w:rPr>
      <w:rFonts w:ascii="Calibri" w:hAnsi="Calibri"/>
      <w:b/>
      <w:sz w:val="28"/>
      <w:lang w:eastAsia="en-US"/>
    </w:rPr>
  </w:style>
  <w:style w:type="character" w:customStyle="1" w:styleId="68">
    <w:name w:val="标题 5 字符"/>
    <w:basedOn w:val="55"/>
    <w:link w:val="7"/>
    <w:autoRedefine/>
    <w:qFormat/>
    <w:locked/>
    <w:uiPriority w:val="99"/>
    <w:rPr>
      <w:rFonts w:ascii="Calibri" w:hAnsi="Calibri"/>
      <w:b/>
      <w:i/>
      <w:sz w:val="26"/>
      <w:lang w:eastAsia="en-US"/>
    </w:rPr>
  </w:style>
  <w:style w:type="paragraph" w:customStyle="1" w:styleId="69">
    <w:name w:val="列出段落1"/>
    <w:basedOn w:val="1"/>
    <w:autoRedefine/>
    <w:qFormat/>
    <w:uiPriority w:val="99"/>
    <w:pPr>
      <w:spacing w:line="360" w:lineRule="auto"/>
      <w:ind w:firstLine="420" w:firstLineChars="200"/>
    </w:pPr>
    <w:rPr>
      <w:rFonts w:ascii="Calibri" w:hAnsi="Calibri"/>
    </w:rPr>
  </w:style>
  <w:style w:type="character" w:customStyle="1" w:styleId="70">
    <w:name w:val="标题 6 字符"/>
    <w:basedOn w:val="55"/>
    <w:link w:val="8"/>
    <w:autoRedefine/>
    <w:qFormat/>
    <w:locked/>
    <w:uiPriority w:val="99"/>
    <w:rPr>
      <w:rFonts w:ascii="Calibri" w:hAnsi="Calibri"/>
      <w:b/>
      <w:sz w:val="22"/>
      <w:lang w:eastAsia="en-US"/>
    </w:rPr>
  </w:style>
  <w:style w:type="character" w:customStyle="1" w:styleId="71">
    <w:name w:val="标题 7 字符"/>
    <w:basedOn w:val="55"/>
    <w:link w:val="9"/>
    <w:autoRedefine/>
    <w:qFormat/>
    <w:locked/>
    <w:uiPriority w:val="99"/>
    <w:rPr>
      <w:rFonts w:ascii="Calibri" w:hAnsi="Calibri"/>
      <w:sz w:val="24"/>
      <w:lang w:eastAsia="en-US"/>
    </w:rPr>
  </w:style>
  <w:style w:type="character" w:customStyle="1" w:styleId="72">
    <w:name w:val="标题 8 字符"/>
    <w:basedOn w:val="55"/>
    <w:link w:val="10"/>
    <w:autoRedefine/>
    <w:qFormat/>
    <w:locked/>
    <w:uiPriority w:val="99"/>
    <w:rPr>
      <w:rFonts w:ascii="Calibri" w:hAnsi="Calibri"/>
      <w:i/>
      <w:sz w:val="24"/>
      <w:lang w:eastAsia="en-US"/>
    </w:rPr>
  </w:style>
  <w:style w:type="character" w:customStyle="1" w:styleId="73">
    <w:name w:val="标题 9 字符"/>
    <w:basedOn w:val="55"/>
    <w:link w:val="11"/>
    <w:autoRedefine/>
    <w:qFormat/>
    <w:locked/>
    <w:uiPriority w:val="99"/>
    <w:rPr>
      <w:rFonts w:ascii="Cambria" w:hAnsi="Cambria"/>
      <w:sz w:val="22"/>
      <w:lang w:eastAsia="en-US"/>
    </w:rPr>
  </w:style>
  <w:style w:type="character" w:customStyle="1" w:styleId="74">
    <w:name w:val="正文文本 字符"/>
    <w:basedOn w:val="55"/>
    <w:link w:val="20"/>
    <w:autoRedefine/>
    <w:qFormat/>
    <w:locked/>
    <w:uiPriority w:val="99"/>
    <w:rPr>
      <w:kern w:val="2"/>
      <w:sz w:val="24"/>
    </w:rPr>
  </w:style>
  <w:style w:type="character" w:customStyle="1" w:styleId="75">
    <w:name w:val="文档结构图 字符"/>
    <w:basedOn w:val="55"/>
    <w:link w:val="17"/>
    <w:autoRedefine/>
    <w:qFormat/>
    <w:locked/>
    <w:uiPriority w:val="99"/>
    <w:rPr>
      <w:kern w:val="2"/>
      <w:sz w:val="21"/>
      <w:shd w:val="clear" w:color="auto" w:fill="000080"/>
    </w:rPr>
  </w:style>
  <w:style w:type="character" w:customStyle="1" w:styleId="76">
    <w:name w:val="批注文字 字符"/>
    <w:basedOn w:val="55"/>
    <w:link w:val="18"/>
    <w:autoRedefine/>
    <w:qFormat/>
    <w:locked/>
    <w:uiPriority w:val="99"/>
    <w:rPr>
      <w:rFonts w:eastAsia="宋体"/>
      <w:kern w:val="2"/>
      <w:sz w:val="21"/>
      <w:lang w:val="en-US" w:eastAsia="zh-CN"/>
    </w:rPr>
  </w:style>
  <w:style w:type="character" w:customStyle="1" w:styleId="77">
    <w:name w:val="正文文本 3 字符"/>
    <w:basedOn w:val="55"/>
    <w:link w:val="19"/>
    <w:autoRedefine/>
    <w:semiHidden/>
    <w:qFormat/>
    <w:uiPriority w:val="99"/>
    <w:rPr>
      <w:rFonts w:ascii="Times New Roman" w:hAnsi="Times New Roman" w:cs="Times New Roman"/>
      <w:sz w:val="16"/>
      <w:szCs w:val="16"/>
    </w:rPr>
  </w:style>
  <w:style w:type="character" w:customStyle="1" w:styleId="78">
    <w:name w:val="正文文本缩进 字符"/>
    <w:basedOn w:val="55"/>
    <w:link w:val="21"/>
    <w:autoRedefine/>
    <w:qFormat/>
    <w:locked/>
    <w:uiPriority w:val="99"/>
    <w:rPr>
      <w:rFonts w:eastAsia="仿宋_GB2312"/>
      <w:kern w:val="2"/>
      <w:sz w:val="24"/>
    </w:rPr>
  </w:style>
  <w:style w:type="character" w:customStyle="1" w:styleId="79">
    <w:name w:val="纯文本 字符"/>
    <w:basedOn w:val="55"/>
    <w:link w:val="24"/>
    <w:autoRedefine/>
    <w:qFormat/>
    <w:locked/>
    <w:uiPriority w:val="0"/>
    <w:rPr>
      <w:rFonts w:ascii="宋体" w:hAnsi="Courier New" w:eastAsia="宋体"/>
      <w:kern w:val="2"/>
      <w:sz w:val="21"/>
      <w:lang w:val="en-US" w:eastAsia="zh-CN"/>
    </w:rPr>
  </w:style>
  <w:style w:type="character" w:customStyle="1" w:styleId="80">
    <w:name w:val="日期 字符"/>
    <w:basedOn w:val="55"/>
    <w:link w:val="26"/>
    <w:autoRedefine/>
    <w:qFormat/>
    <w:locked/>
    <w:uiPriority w:val="99"/>
    <w:rPr>
      <w:kern w:val="2"/>
      <w:sz w:val="21"/>
    </w:rPr>
  </w:style>
  <w:style w:type="character" w:customStyle="1" w:styleId="81">
    <w:name w:val="正文文本缩进 2 字符"/>
    <w:basedOn w:val="55"/>
    <w:link w:val="27"/>
    <w:autoRedefine/>
    <w:qFormat/>
    <w:locked/>
    <w:uiPriority w:val="99"/>
    <w:rPr>
      <w:kern w:val="2"/>
      <w:sz w:val="21"/>
    </w:rPr>
  </w:style>
  <w:style w:type="character" w:customStyle="1" w:styleId="82">
    <w:name w:val="批注框文本 字符"/>
    <w:basedOn w:val="55"/>
    <w:link w:val="28"/>
    <w:autoRedefine/>
    <w:qFormat/>
    <w:locked/>
    <w:uiPriority w:val="99"/>
    <w:rPr>
      <w:kern w:val="2"/>
      <w:sz w:val="18"/>
    </w:rPr>
  </w:style>
  <w:style w:type="character" w:customStyle="1" w:styleId="83">
    <w:name w:val="页脚 字符1"/>
    <w:basedOn w:val="55"/>
    <w:link w:val="29"/>
    <w:autoRedefine/>
    <w:qFormat/>
    <w:locked/>
    <w:uiPriority w:val="99"/>
    <w:rPr>
      <w:kern w:val="2"/>
      <w:sz w:val="18"/>
    </w:rPr>
  </w:style>
  <w:style w:type="character" w:customStyle="1" w:styleId="84">
    <w:name w:val="页眉 字符1"/>
    <w:basedOn w:val="55"/>
    <w:link w:val="30"/>
    <w:autoRedefine/>
    <w:qFormat/>
    <w:locked/>
    <w:uiPriority w:val="99"/>
    <w:rPr>
      <w:kern w:val="2"/>
      <w:sz w:val="18"/>
    </w:rPr>
  </w:style>
  <w:style w:type="character" w:customStyle="1" w:styleId="85">
    <w:name w:val="副标题 字符"/>
    <w:basedOn w:val="55"/>
    <w:link w:val="33"/>
    <w:autoRedefine/>
    <w:qFormat/>
    <w:locked/>
    <w:uiPriority w:val="99"/>
    <w:rPr>
      <w:rFonts w:ascii="Cambria" w:hAnsi="Cambria"/>
      <w:sz w:val="24"/>
      <w:lang w:eastAsia="en-US"/>
    </w:rPr>
  </w:style>
  <w:style w:type="character" w:customStyle="1" w:styleId="86">
    <w:name w:val="正文文本缩进 3 字符"/>
    <w:basedOn w:val="55"/>
    <w:link w:val="35"/>
    <w:autoRedefine/>
    <w:qFormat/>
    <w:locked/>
    <w:uiPriority w:val="99"/>
    <w:rPr>
      <w:kern w:val="2"/>
      <w:sz w:val="16"/>
    </w:rPr>
  </w:style>
  <w:style w:type="character" w:customStyle="1" w:styleId="87">
    <w:name w:val="正文文本 2 字符"/>
    <w:basedOn w:val="55"/>
    <w:link w:val="38"/>
    <w:autoRedefine/>
    <w:qFormat/>
    <w:locked/>
    <w:uiPriority w:val="99"/>
    <w:rPr>
      <w:kern w:val="2"/>
      <w:sz w:val="21"/>
    </w:rPr>
  </w:style>
  <w:style w:type="character" w:customStyle="1" w:styleId="88">
    <w:name w:val="HTML 预设格式 字符"/>
    <w:basedOn w:val="55"/>
    <w:link w:val="39"/>
    <w:autoRedefine/>
    <w:semiHidden/>
    <w:qFormat/>
    <w:uiPriority w:val="99"/>
    <w:rPr>
      <w:rFonts w:ascii="Courier New" w:hAnsi="Courier New" w:cs="Courier New"/>
      <w:sz w:val="20"/>
      <w:szCs w:val="20"/>
    </w:rPr>
  </w:style>
  <w:style w:type="character" w:customStyle="1" w:styleId="89">
    <w:name w:val="标题 字符"/>
    <w:basedOn w:val="55"/>
    <w:link w:val="42"/>
    <w:autoRedefine/>
    <w:qFormat/>
    <w:locked/>
    <w:uiPriority w:val="99"/>
    <w:rPr>
      <w:rFonts w:ascii="Arial" w:hAnsi="Arial"/>
      <w:b/>
      <w:kern w:val="2"/>
      <w:sz w:val="32"/>
    </w:rPr>
  </w:style>
  <w:style w:type="character" w:customStyle="1" w:styleId="90">
    <w:name w:val="批注主题 字符"/>
    <w:basedOn w:val="76"/>
    <w:link w:val="43"/>
    <w:autoRedefine/>
    <w:qFormat/>
    <w:locked/>
    <w:uiPriority w:val="99"/>
    <w:rPr>
      <w:rFonts w:eastAsia="宋体"/>
      <w:b/>
      <w:kern w:val="2"/>
      <w:sz w:val="21"/>
      <w:lang w:val="en-US" w:eastAsia="zh-CN"/>
    </w:rPr>
  </w:style>
  <w:style w:type="character" w:customStyle="1" w:styleId="91">
    <w:name w:val="正文缩进 字符"/>
    <w:link w:val="4"/>
    <w:autoRedefine/>
    <w:qFormat/>
    <w:locked/>
    <w:uiPriority w:val="99"/>
    <w:rPr>
      <w:kern w:val="2"/>
      <w:sz w:val="21"/>
    </w:rPr>
  </w:style>
  <w:style w:type="paragraph" w:customStyle="1" w:styleId="92">
    <w:name w:val="标题1"/>
    <w:basedOn w:val="42"/>
    <w:autoRedefine/>
    <w:qFormat/>
    <w:uiPriority w:val="99"/>
    <w:pPr>
      <w:spacing w:after="240"/>
    </w:pPr>
    <w:rPr>
      <w:spacing w:val="2"/>
      <w:sz w:val="44"/>
      <w:szCs w:val="44"/>
    </w:rPr>
  </w:style>
  <w:style w:type="paragraph" w:customStyle="1" w:styleId="93">
    <w:name w:val="font8"/>
    <w:basedOn w:val="1"/>
    <w:autoRedefine/>
    <w:qFormat/>
    <w:uiPriority w:val="99"/>
    <w:pPr>
      <w:widowControl/>
      <w:spacing w:before="100" w:beforeAutospacing="1" w:after="100" w:afterAutospacing="1"/>
      <w:jc w:val="left"/>
    </w:pPr>
    <w:rPr>
      <w:rFonts w:ascii="宋体" w:hAnsi="宋体"/>
      <w:kern w:val="0"/>
      <w:sz w:val="22"/>
      <w:szCs w:val="22"/>
    </w:rPr>
  </w:style>
  <w:style w:type="paragraph" w:customStyle="1" w:styleId="94">
    <w:name w:val="Char Char Char Char Char Char1 Char Char Char Char Char Char1 Char Char Char Char Char Char Char"/>
    <w:basedOn w:val="1"/>
    <w:autoRedefine/>
    <w:qFormat/>
    <w:uiPriority w:val="99"/>
    <w:rPr>
      <w:rFonts w:ascii="Tahoma" w:hAnsi="Tahoma"/>
      <w:sz w:val="24"/>
    </w:rPr>
  </w:style>
  <w:style w:type="paragraph" w:customStyle="1" w:styleId="95">
    <w:name w:val="xl7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96">
    <w:name w:val="xl80"/>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97">
    <w:name w:val="xl68"/>
    <w:basedOn w:val="1"/>
    <w:autoRedefine/>
    <w:qFormat/>
    <w:uiPriority w:val="99"/>
    <w:pPr>
      <w:widowControl/>
      <w:spacing w:before="100" w:beforeAutospacing="1" w:after="100" w:afterAutospacing="1"/>
      <w:jc w:val="center"/>
    </w:pPr>
    <w:rPr>
      <w:rFonts w:ascii="宋体" w:hAnsi="宋体" w:cs="宋体"/>
      <w:kern w:val="0"/>
      <w:sz w:val="24"/>
      <w:szCs w:val="24"/>
    </w:rPr>
  </w:style>
  <w:style w:type="paragraph" w:customStyle="1" w:styleId="98">
    <w:name w:val="font0"/>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xl315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szCs w:val="24"/>
    </w:rPr>
  </w:style>
  <w:style w:type="paragraph" w:customStyle="1" w:styleId="100">
    <w:name w:val="font1"/>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Char"/>
    <w:basedOn w:val="1"/>
    <w:autoRedefine/>
    <w:qFormat/>
    <w:uiPriority w:val="99"/>
    <w:rPr>
      <w:szCs w:val="24"/>
    </w:rPr>
  </w:style>
  <w:style w:type="paragraph" w:customStyle="1" w:styleId="102">
    <w:name w:val="xl32"/>
    <w:basedOn w:val="1"/>
    <w:autoRedefine/>
    <w:qFormat/>
    <w:uiPriority w:val="99"/>
    <w:pPr>
      <w:widowControl/>
      <w:spacing w:before="100" w:beforeAutospacing="1" w:after="100" w:afterAutospacing="1"/>
      <w:jc w:val="left"/>
    </w:pPr>
    <w:rPr>
      <w:rFonts w:ascii="宋体" w:hAnsi="宋体"/>
      <w:kern w:val="0"/>
      <w:sz w:val="22"/>
      <w:szCs w:val="22"/>
    </w:rPr>
  </w:style>
  <w:style w:type="paragraph" w:customStyle="1" w:styleId="103">
    <w:name w:val="font10"/>
    <w:basedOn w:val="1"/>
    <w:autoRedefine/>
    <w:qFormat/>
    <w:uiPriority w:val="99"/>
    <w:pPr>
      <w:widowControl/>
      <w:spacing w:before="100" w:beforeAutospacing="1" w:after="100" w:afterAutospacing="1"/>
      <w:jc w:val="left"/>
    </w:pPr>
    <w:rPr>
      <w:rFonts w:ascii="Arial" w:hAnsi="Arial" w:cs="Arial"/>
      <w:color w:val="000000"/>
      <w:kern w:val="0"/>
      <w:sz w:val="20"/>
    </w:rPr>
  </w:style>
  <w:style w:type="paragraph" w:customStyle="1" w:styleId="104">
    <w:name w:val="Char3 Char Char Char"/>
    <w:basedOn w:val="1"/>
    <w:autoRedefine/>
    <w:qFormat/>
    <w:uiPriority w:val="99"/>
    <w:rPr>
      <w:rFonts w:ascii="Tahoma" w:hAnsi="Tahoma"/>
      <w:sz w:val="24"/>
    </w:rPr>
  </w:style>
  <w:style w:type="paragraph" w:customStyle="1" w:styleId="105">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06">
    <w:name w:val="xl28"/>
    <w:basedOn w:val="1"/>
    <w:autoRedefine/>
    <w:qFormat/>
    <w:uiPriority w:val="99"/>
    <w:pPr>
      <w:widowControl/>
      <w:spacing w:before="100" w:beforeAutospacing="1" w:after="100" w:afterAutospacing="1"/>
      <w:textAlignment w:val="top"/>
    </w:pPr>
    <w:rPr>
      <w:rFonts w:ascii="宋体" w:hAnsi="宋体"/>
      <w:kern w:val="0"/>
      <w:sz w:val="22"/>
      <w:szCs w:val="22"/>
    </w:rPr>
  </w:style>
  <w:style w:type="paragraph" w:customStyle="1" w:styleId="107">
    <w:name w:val="正文加重首行缩进2字"/>
    <w:basedOn w:val="108"/>
    <w:link w:val="110"/>
    <w:autoRedefine/>
    <w:qFormat/>
    <w:uiPriority w:val="99"/>
    <w:rPr>
      <w:b/>
      <w:bCs/>
    </w:rPr>
  </w:style>
  <w:style w:type="paragraph" w:customStyle="1" w:styleId="108">
    <w:name w:val="正文首行缩进2字"/>
    <w:basedOn w:val="1"/>
    <w:link w:val="109"/>
    <w:autoRedefine/>
    <w:qFormat/>
    <w:uiPriority w:val="99"/>
    <w:pPr>
      <w:ind w:firstLine="560" w:firstLineChars="200"/>
    </w:pPr>
    <w:rPr>
      <w:rFonts w:ascii="Calibri" w:hAnsi="Calibri" w:eastAsia="楷体_GB2312" w:cs="Arial"/>
      <w:kern w:val="0"/>
      <w:sz w:val="28"/>
      <w:szCs w:val="24"/>
    </w:rPr>
  </w:style>
  <w:style w:type="character" w:customStyle="1" w:styleId="109">
    <w:name w:val="正文首行缩进2字 Char"/>
    <w:link w:val="108"/>
    <w:autoRedefine/>
    <w:qFormat/>
    <w:locked/>
    <w:uiPriority w:val="99"/>
    <w:rPr>
      <w:rFonts w:eastAsia="楷体_GB2312"/>
      <w:sz w:val="24"/>
      <w:lang w:val="en-US" w:eastAsia="zh-CN"/>
    </w:rPr>
  </w:style>
  <w:style w:type="character" w:customStyle="1" w:styleId="110">
    <w:name w:val="正文加重首行缩进2字 Char"/>
    <w:link w:val="107"/>
    <w:autoRedefine/>
    <w:qFormat/>
    <w:locked/>
    <w:uiPriority w:val="99"/>
    <w:rPr>
      <w:rFonts w:eastAsia="楷体_GB2312"/>
      <w:b/>
      <w:sz w:val="24"/>
      <w:lang w:val="en-US" w:eastAsia="zh-CN"/>
    </w:rPr>
  </w:style>
  <w:style w:type="paragraph" w:customStyle="1" w:styleId="111">
    <w:name w:val="xl314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2">
    <w:name w:val="xl36"/>
    <w:basedOn w:val="1"/>
    <w:autoRedefine/>
    <w:qFormat/>
    <w:uiPriority w:val="99"/>
    <w:pPr>
      <w:widowControl/>
      <w:spacing w:before="100" w:beforeAutospacing="1" w:after="100" w:afterAutospacing="1"/>
      <w:jc w:val="left"/>
    </w:pPr>
    <w:rPr>
      <w:rFonts w:ascii="宋体" w:hAnsi="宋体"/>
      <w:kern w:val="0"/>
      <w:sz w:val="22"/>
      <w:szCs w:val="22"/>
    </w:rPr>
  </w:style>
  <w:style w:type="paragraph" w:customStyle="1" w:styleId="113">
    <w:name w:val="Char Char Char1 Char Char Char Char Char Char Char Char Char Char"/>
    <w:basedOn w:val="1"/>
    <w:autoRedefine/>
    <w:qFormat/>
    <w:uiPriority w:val="99"/>
    <w:rPr>
      <w:rFonts w:ascii="Tahoma" w:hAnsi="Tahoma"/>
      <w:sz w:val="24"/>
    </w:rPr>
  </w:style>
  <w:style w:type="paragraph" w:customStyle="1" w:styleId="114">
    <w:name w:val="xl314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15">
    <w:name w:val="xl81"/>
    <w:basedOn w:val="1"/>
    <w:autoRedefine/>
    <w:qFormat/>
    <w:uiPriority w:val="99"/>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116">
    <w:name w:val="Char Char Char Char Char Char1 Char Char Char Char Char Char1 Char Char Char Char"/>
    <w:basedOn w:val="1"/>
    <w:autoRedefine/>
    <w:qFormat/>
    <w:uiPriority w:val="99"/>
    <w:rPr>
      <w:rFonts w:ascii="Tahoma" w:hAnsi="Tahoma"/>
      <w:sz w:val="24"/>
    </w:rPr>
  </w:style>
  <w:style w:type="paragraph" w:customStyle="1" w:styleId="117">
    <w:name w:val="Char Char Char Char Char Char Char Char Char Char Char Char Char"/>
    <w:basedOn w:val="1"/>
    <w:autoRedefine/>
    <w:qFormat/>
    <w:uiPriority w:val="99"/>
    <w:pPr>
      <w:tabs>
        <w:tab w:val="left" w:pos="360"/>
      </w:tabs>
      <w:ind w:firstLine="420" w:firstLineChars="150"/>
    </w:pPr>
    <w:rPr>
      <w:rFonts w:ascii="Arial" w:hAnsi="Arial" w:cs="Arial"/>
      <w:sz w:val="20"/>
    </w:rPr>
  </w:style>
  <w:style w:type="paragraph" w:customStyle="1" w:styleId="118">
    <w:name w:val="Char Char Char"/>
    <w:basedOn w:val="1"/>
    <w:autoRedefine/>
    <w:qFormat/>
    <w:uiPriority w:val="99"/>
    <w:rPr>
      <w:rFonts w:ascii="Tahoma" w:hAnsi="Tahoma"/>
      <w:sz w:val="24"/>
    </w:rPr>
  </w:style>
  <w:style w:type="paragraph" w:styleId="119">
    <w:name w:val="List Paragraph"/>
    <w:basedOn w:val="120"/>
    <w:link w:val="122"/>
    <w:autoRedefine/>
    <w:qFormat/>
    <w:uiPriority w:val="99"/>
    <w:pPr>
      <w:ind w:firstLine="420" w:firstLineChars="200"/>
    </w:pPr>
    <w:rPr>
      <w:rFonts w:ascii="Calibri" w:hAnsi="Calibri"/>
    </w:rPr>
  </w:style>
  <w:style w:type="paragraph" w:customStyle="1" w:styleId="120">
    <w:name w:val="正文_0"/>
    <w:basedOn w:val="121"/>
    <w:next w:val="16"/>
    <w:autoRedefine/>
    <w:qFormat/>
    <w:uiPriority w:val="0"/>
    <w:rPr>
      <w:rFonts w:ascii="Times New Roman" w:hAnsi="Times New Roman"/>
      <w:szCs w:val="21"/>
    </w:rPr>
  </w:style>
  <w:style w:type="paragraph" w:customStyle="1" w:styleId="12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2">
    <w:name w:val="列表段落 字符"/>
    <w:link w:val="119"/>
    <w:autoRedefine/>
    <w:qFormat/>
    <w:locked/>
    <w:uiPriority w:val="99"/>
    <w:rPr>
      <w:kern w:val="2"/>
      <w:sz w:val="21"/>
    </w:rPr>
  </w:style>
  <w:style w:type="paragraph" w:customStyle="1" w:styleId="123">
    <w:name w:val="xl3158"/>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top"/>
    </w:pPr>
    <w:rPr>
      <w:rFonts w:ascii="宋体" w:hAnsi="宋体" w:cs="宋体"/>
      <w:kern w:val="0"/>
      <w:sz w:val="24"/>
      <w:szCs w:val="24"/>
    </w:rPr>
  </w:style>
  <w:style w:type="paragraph" w:customStyle="1" w:styleId="124">
    <w:name w:val="xl29"/>
    <w:basedOn w:val="1"/>
    <w:autoRedefine/>
    <w:qFormat/>
    <w:uiPriority w:val="99"/>
    <w:pPr>
      <w:widowControl/>
      <w:spacing w:before="100" w:beforeAutospacing="1" w:after="100" w:afterAutospacing="1"/>
      <w:textAlignment w:val="top"/>
    </w:pPr>
    <w:rPr>
      <w:rFonts w:ascii="宋体" w:hAnsi="宋体"/>
      <w:b/>
      <w:bCs/>
      <w:kern w:val="0"/>
      <w:sz w:val="22"/>
      <w:szCs w:val="22"/>
    </w:rPr>
  </w:style>
  <w:style w:type="paragraph" w:customStyle="1" w:styleId="125">
    <w:name w:val="节2"/>
    <w:basedOn w:val="1"/>
    <w:autoRedefine/>
    <w:qFormat/>
    <w:uiPriority w:val="99"/>
    <w:rPr>
      <w:rFonts w:eastAsia="黑体"/>
      <w:bCs/>
      <w:sz w:val="28"/>
      <w:szCs w:val="24"/>
    </w:rPr>
  </w:style>
  <w:style w:type="paragraph" w:customStyle="1" w:styleId="126">
    <w:name w:val="xl79"/>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0"/>
    </w:rPr>
  </w:style>
  <w:style w:type="paragraph" w:customStyle="1" w:styleId="127">
    <w:name w:val="font7"/>
    <w:basedOn w:val="1"/>
    <w:autoRedefine/>
    <w:qFormat/>
    <w:uiPriority w:val="99"/>
    <w:pPr>
      <w:widowControl/>
      <w:spacing w:before="100" w:beforeAutospacing="1" w:after="100" w:afterAutospacing="1"/>
      <w:jc w:val="left"/>
    </w:pPr>
    <w:rPr>
      <w:rFonts w:ascii="宋体" w:hAnsi="宋体"/>
      <w:kern w:val="0"/>
      <w:sz w:val="22"/>
      <w:szCs w:val="22"/>
    </w:rPr>
  </w:style>
  <w:style w:type="paragraph" w:customStyle="1" w:styleId="128">
    <w:name w:val="xl7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29">
    <w:name w:val="xl3140"/>
    <w:basedOn w:val="1"/>
    <w:autoRedefine/>
    <w:qFormat/>
    <w:uiPriority w:val="99"/>
    <w:pPr>
      <w:widowControl/>
      <w:spacing w:before="100" w:beforeAutospacing="1" w:after="100" w:afterAutospacing="1"/>
      <w:jc w:val="center"/>
      <w:textAlignment w:val="center"/>
    </w:pPr>
    <w:rPr>
      <w:rFonts w:ascii="宋体" w:hAnsi="宋体" w:cs="宋体"/>
      <w:kern w:val="0"/>
      <w:sz w:val="24"/>
      <w:szCs w:val="24"/>
    </w:rPr>
  </w:style>
  <w:style w:type="paragraph" w:customStyle="1" w:styleId="130">
    <w:name w:val="正文样式"/>
    <w:basedOn w:val="131"/>
    <w:autoRedefine/>
    <w:qFormat/>
    <w:uiPriority w:val="99"/>
    <w:pPr>
      <w:ind w:firstLine="420"/>
    </w:pPr>
  </w:style>
  <w:style w:type="paragraph" w:customStyle="1" w:styleId="131">
    <w:name w:val="文"/>
    <w:basedOn w:val="1"/>
    <w:autoRedefine/>
    <w:qFormat/>
    <w:uiPriority w:val="99"/>
    <w:pPr>
      <w:adjustRightInd w:val="0"/>
      <w:ind w:firstLine="200" w:firstLineChars="200"/>
      <w:jc w:val="left"/>
    </w:pPr>
    <w:rPr>
      <w:szCs w:val="21"/>
    </w:rPr>
  </w:style>
  <w:style w:type="paragraph" w:customStyle="1" w:styleId="132">
    <w:name w:val="xl3153"/>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133">
    <w:name w:val="xl3162"/>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34">
    <w:name w:val="xl30"/>
    <w:basedOn w:val="1"/>
    <w:autoRedefine/>
    <w:qFormat/>
    <w:uiPriority w:val="99"/>
    <w:pPr>
      <w:widowControl/>
      <w:spacing w:before="100" w:beforeAutospacing="1" w:after="100" w:afterAutospacing="1"/>
      <w:jc w:val="left"/>
      <w:textAlignment w:val="top"/>
    </w:pPr>
    <w:rPr>
      <w:rFonts w:ascii="宋体" w:hAnsi="宋体"/>
      <w:kern w:val="0"/>
      <w:sz w:val="22"/>
      <w:szCs w:val="22"/>
    </w:rPr>
  </w:style>
  <w:style w:type="paragraph" w:customStyle="1" w:styleId="135">
    <w:name w:val="xl35"/>
    <w:basedOn w:val="1"/>
    <w:autoRedefine/>
    <w:qFormat/>
    <w:uiPriority w:val="99"/>
    <w:pPr>
      <w:widowControl/>
      <w:spacing w:before="100" w:beforeAutospacing="1" w:after="100" w:afterAutospacing="1"/>
      <w:jc w:val="left"/>
    </w:pPr>
    <w:rPr>
      <w:rFonts w:ascii="宋体" w:hAnsi="宋体"/>
      <w:b/>
      <w:bCs/>
      <w:kern w:val="0"/>
      <w:sz w:val="22"/>
      <w:szCs w:val="22"/>
    </w:rPr>
  </w:style>
  <w:style w:type="paragraph" w:customStyle="1" w:styleId="136">
    <w:name w:val="xl314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37">
    <w:name w:val="font5"/>
    <w:basedOn w:val="1"/>
    <w:autoRedefine/>
    <w:qFormat/>
    <w:uiPriority w:val="99"/>
    <w:pPr>
      <w:widowControl/>
      <w:spacing w:before="100" w:beforeAutospacing="1" w:after="100" w:afterAutospacing="1"/>
      <w:jc w:val="left"/>
    </w:pPr>
    <w:rPr>
      <w:rFonts w:ascii="宋体" w:hAnsi="宋体"/>
      <w:kern w:val="0"/>
      <w:sz w:val="18"/>
      <w:szCs w:val="18"/>
    </w:rPr>
  </w:style>
  <w:style w:type="paragraph" w:customStyle="1" w:styleId="138">
    <w:name w:val="Char Char Char Char"/>
    <w:basedOn w:val="1"/>
    <w:autoRedefine/>
    <w:qFormat/>
    <w:uiPriority w:val="0"/>
    <w:pPr>
      <w:widowControl/>
      <w:spacing w:after="160" w:line="240" w:lineRule="exact"/>
      <w:jc w:val="left"/>
    </w:pPr>
    <w:rPr>
      <w:rFonts w:ascii="Verdana" w:hAnsi="Verdana"/>
      <w:kern w:val="0"/>
      <w:lang w:eastAsia="en-US"/>
    </w:rPr>
  </w:style>
  <w:style w:type="paragraph" w:customStyle="1" w:styleId="139">
    <w:name w:val="xl6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40">
    <w:name w:val="xl3166"/>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41">
    <w:name w:val="font12"/>
    <w:basedOn w:val="1"/>
    <w:autoRedefine/>
    <w:qFormat/>
    <w:uiPriority w:val="99"/>
    <w:pPr>
      <w:widowControl/>
      <w:spacing w:before="100" w:beforeAutospacing="1" w:after="100" w:afterAutospacing="1"/>
      <w:jc w:val="left"/>
    </w:pPr>
    <w:rPr>
      <w:rFonts w:ascii="Arial" w:hAnsi="Arial" w:cs="Arial"/>
      <w:kern w:val="0"/>
      <w:sz w:val="20"/>
    </w:rPr>
  </w:style>
  <w:style w:type="paragraph" w:customStyle="1" w:styleId="142">
    <w:name w:val="xl3160"/>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textAlignment w:val="center"/>
    </w:pPr>
    <w:rPr>
      <w:rFonts w:ascii="宋体" w:hAnsi="宋体" w:cs="宋体"/>
      <w:kern w:val="0"/>
      <w:sz w:val="24"/>
      <w:szCs w:val="24"/>
    </w:rPr>
  </w:style>
  <w:style w:type="paragraph" w:customStyle="1" w:styleId="143">
    <w:name w:val="xl33"/>
    <w:basedOn w:val="1"/>
    <w:autoRedefine/>
    <w:qFormat/>
    <w:uiPriority w:val="99"/>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144">
    <w:name w:val="xl3147"/>
    <w:basedOn w:val="1"/>
    <w:autoRedefine/>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145">
    <w:name w:val="Char Char1 Char Char Char Char Char Char"/>
    <w:basedOn w:val="1"/>
    <w:autoRedefine/>
    <w:qFormat/>
    <w:uiPriority w:val="99"/>
    <w:pPr>
      <w:widowControl/>
      <w:spacing w:after="160" w:line="240" w:lineRule="exact"/>
      <w:jc w:val="left"/>
    </w:pPr>
    <w:rPr>
      <w:rFonts w:ascii="Verdana" w:hAnsi="Verdana" w:eastAsia="仿宋_GB2312"/>
      <w:kern w:val="0"/>
      <w:sz w:val="24"/>
      <w:lang w:eastAsia="en-US"/>
    </w:rPr>
  </w:style>
  <w:style w:type="paragraph" w:customStyle="1" w:styleId="146">
    <w:name w:val="xl3165"/>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47">
    <w:name w:val="Balloon Text1"/>
    <w:basedOn w:val="1"/>
    <w:autoRedefine/>
    <w:qFormat/>
    <w:uiPriority w:val="99"/>
    <w:rPr>
      <w:sz w:val="18"/>
      <w:szCs w:val="18"/>
    </w:rPr>
  </w:style>
  <w:style w:type="paragraph" w:customStyle="1" w:styleId="148">
    <w:name w:val="xl3146"/>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149">
    <w:name w:val="引用1"/>
    <w:basedOn w:val="1"/>
    <w:next w:val="1"/>
    <w:link w:val="150"/>
    <w:autoRedefine/>
    <w:qFormat/>
    <w:uiPriority w:val="99"/>
    <w:pPr>
      <w:widowControl/>
      <w:jc w:val="left"/>
    </w:pPr>
    <w:rPr>
      <w:rFonts w:ascii="Calibri" w:hAnsi="Calibri" w:cs="Arial"/>
      <w:i/>
      <w:kern w:val="0"/>
      <w:sz w:val="24"/>
      <w:szCs w:val="24"/>
      <w:lang w:eastAsia="en-US"/>
    </w:rPr>
  </w:style>
  <w:style w:type="character" w:customStyle="1" w:styleId="150">
    <w:name w:val="引用 Char"/>
    <w:link w:val="149"/>
    <w:autoRedefine/>
    <w:qFormat/>
    <w:locked/>
    <w:uiPriority w:val="99"/>
    <w:rPr>
      <w:rFonts w:ascii="Calibri" w:hAnsi="Calibri"/>
      <w:i/>
      <w:sz w:val="24"/>
      <w:lang w:eastAsia="en-US"/>
    </w:rPr>
  </w:style>
  <w:style w:type="paragraph" w:customStyle="1" w:styleId="151">
    <w:name w:val="xl82"/>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152">
    <w:name w:val="xl78"/>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153">
    <w:name w:val="无间隔1"/>
    <w:basedOn w:val="1"/>
    <w:link w:val="154"/>
    <w:autoRedefine/>
    <w:qFormat/>
    <w:uiPriority w:val="99"/>
    <w:pPr>
      <w:widowControl/>
      <w:jc w:val="left"/>
    </w:pPr>
    <w:rPr>
      <w:rFonts w:ascii="Calibri" w:hAnsi="Calibri" w:cs="Arial"/>
      <w:kern w:val="0"/>
      <w:sz w:val="24"/>
      <w:szCs w:val="32"/>
      <w:lang w:eastAsia="en-US"/>
    </w:rPr>
  </w:style>
  <w:style w:type="character" w:customStyle="1" w:styleId="154">
    <w:name w:val="无间隔 Char"/>
    <w:link w:val="153"/>
    <w:autoRedefine/>
    <w:qFormat/>
    <w:locked/>
    <w:uiPriority w:val="99"/>
    <w:rPr>
      <w:rFonts w:ascii="Calibri" w:hAnsi="Calibri"/>
      <w:sz w:val="32"/>
      <w:lang w:eastAsia="en-US"/>
    </w:rPr>
  </w:style>
  <w:style w:type="paragraph" w:customStyle="1" w:styleId="155">
    <w:name w:val="Char Char Char Char Char Char Char Char Char Char Char Char Char1"/>
    <w:basedOn w:val="1"/>
    <w:autoRedefine/>
    <w:qFormat/>
    <w:uiPriority w:val="99"/>
    <w:pPr>
      <w:tabs>
        <w:tab w:val="left" w:pos="360"/>
      </w:tabs>
      <w:ind w:firstLine="420" w:firstLineChars="150"/>
    </w:pPr>
    <w:rPr>
      <w:rFonts w:ascii="Arial" w:hAnsi="Arial" w:cs="Arial"/>
      <w:sz w:val="20"/>
    </w:rPr>
  </w:style>
  <w:style w:type="paragraph" w:customStyle="1" w:styleId="156">
    <w:name w:val="1 Char Char Char Char"/>
    <w:basedOn w:val="1"/>
    <w:autoRedefine/>
    <w:qFormat/>
    <w:uiPriority w:val="99"/>
    <w:rPr>
      <w:rFonts w:ascii="Tahoma" w:hAnsi="Tahoma"/>
      <w:sz w:val="24"/>
    </w:rPr>
  </w:style>
  <w:style w:type="paragraph" w:customStyle="1" w:styleId="157">
    <w:name w:val="font11"/>
    <w:basedOn w:val="1"/>
    <w:autoRedefine/>
    <w:qFormat/>
    <w:uiPriority w:val="99"/>
    <w:pPr>
      <w:widowControl/>
      <w:spacing w:before="100" w:beforeAutospacing="1" w:after="100" w:afterAutospacing="1"/>
      <w:jc w:val="left"/>
    </w:pPr>
    <w:rPr>
      <w:rFonts w:ascii="华文细黑" w:hAnsi="华文细黑" w:eastAsia="华文细黑" w:cs="宋体"/>
      <w:color w:val="000000"/>
      <w:kern w:val="0"/>
      <w:sz w:val="20"/>
    </w:rPr>
  </w:style>
  <w:style w:type="paragraph" w:customStyle="1" w:styleId="158">
    <w:name w:val="正文符号1"/>
    <w:basedOn w:val="108"/>
    <w:link w:val="159"/>
    <w:autoRedefine/>
    <w:qFormat/>
    <w:uiPriority w:val="99"/>
    <w:pPr>
      <w:numPr>
        <w:ilvl w:val="0"/>
        <w:numId w:val="2"/>
      </w:numPr>
      <w:tabs>
        <w:tab w:val="left" w:pos="960"/>
        <w:tab w:val="left" w:pos="1080"/>
        <w:tab w:val="clear" w:pos="1500"/>
      </w:tabs>
      <w:ind w:left="960" w:firstLine="0" w:firstLineChars="0"/>
    </w:pPr>
  </w:style>
  <w:style w:type="character" w:customStyle="1" w:styleId="159">
    <w:name w:val="正文符号1 Char"/>
    <w:link w:val="158"/>
    <w:autoRedefine/>
    <w:qFormat/>
    <w:locked/>
    <w:uiPriority w:val="99"/>
    <w:rPr>
      <w:rFonts w:eastAsia="楷体_GB2312"/>
      <w:kern w:val="0"/>
      <w:sz w:val="28"/>
      <w:szCs w:val="24"/>
    </w:rPr>
  </w:style>
  <w:style w:type="paragraph" w:customStyle="1" w:styleId="160">
    <w:name w:val="xl76"/>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161">
    <w:name w:val="xl77"/>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162">
    <w:name w:val="正文 首行缩进:  2 字符"/>
    <w:basedOn w:val="1"/>
    <w:link w:val="163"/>
    <w:autoRedefine/>
    <w:qFormat/>
    <w:uiPriority w:val="99"/>
    <w:pPr>
      <w:ind w:firstLine="560" w:firstLineChars="200"/>
    </w:pPr>
    <w:rPr>
      <w:rFonts w:ascii="Arial" w:hAnsi="Arial" w:eastAsia="楷体_GB2312" w:cs="Arial"/>
      <w:sz w:val="28"/>
    </w:rPr>
  </w:style>
  <w:style w:type="character" w:customStyle="1" w:styleId="163">
    <w:name w:val="正文 首行缩进:  2 字符 Char1"/>
    <w:link w:val="162"/>
    <w:autoRedefine/>
    <w:qFormat/>
    <w:locked/>
    <w:uiPriority w:val="99"/>
    <w:rPr>
      <w:rFonts w:ascii="Arial" w:hAnsi="Arial" w:eastAsia="楷体_GB2312"/>
      <w:kern w:val="2"/>
      <w:sz w:val="28"/>
      <w:lang w:val="en-US" w:eastAsia="zh-CN"/>
    </w:rPr>
  </w:style>
  <w:style w:type="paragraph" w:customStyle="1" w:styleId="164">
    <w:name w:val="xl3167"/>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65">
    <w:name w:val="style2"/>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6">
    <w:name w:val="xl315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167">
    <w:name w:val="xl7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rPr>
  </w:style>
  <w:style w:type="paragraph" w:customStyle="1" w:styleId="168">
    <w:name w:val="font6"/>
    <w:basedOn w:val="1"/>
    <w:autoRedefine/>
    <w:qFormat/>
    <w:uiPriority w:val="99"/>
    <w:pPr>
      <w:widowControl/>
      <w:spacing w:before="100" w:beforeAutospacing="1" w:after="100" w:afterAutospacing="1"/>
      <w:jc w:val="left"/>
    </w:pPr>
    <w:rPr>
      <w:rFonts w:ascii="宋体" w:hAnsi="宋体"/>
      <w:kern w:val="0"/>
      <w:sz w:val="22"/>
      <w:szCs w:val="22"/>
    </w:rPr>
  </w:style>
  <w:style w:type="paragraph" w:customStyle="1" w:styleId="169">
    <w:name w:val="xl7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170">
    <w:name w:val="xl3155"/>
    <w:basedOn w:val="1"/>
    <w:autoRedefine/>
    <w:qFormat/>
    <w:uiPriority w:val="99"/>
    <w:pPr>
      <w:widowControl/>
      <w:pBdr>
        <w:top w:val="single" w:color="auto" w:sz="4" w:space="0"/>
        <w:left w:val="single" w:color="auto" w:sz="4" w:space="0"/>
        <w:right w:val="single" w:color="auto" w:sz="4" w:space="0"/>
      </w:pBdr>
      <w:shd w:val="clear" w:color="000000" w:fill="FFFF00"/>
      <w:spacing w:before="100" w:beforeAutospacing="1" w:after="100" w:afterAutospacing="1"/>
      <w:jc w:val="right"/>
      <w:textAlignment w:val="center"/>
    </w:pPr>
    <w:rPr>
      <w:rFonts w:ascii="宋体" w:hAnsi="宋体" w:cs="宋体"/>
      <w:color w:val="000000"/>
      <w:kern w:val="0"/>
      <w:sz w:val="24"/>
      <w:szCs w:val="24"/>
    </w:rPr>
  </w:style>
  <w:style w:type="paragraph" w:customStyle="1" w:styleId="171">
    <w:name w:val="contentlabel"/>
    <w:basedOn w:val="1"/>
    <w:autoRedefine/>
    <w:qFormat/>
    <w:uiPriority w:val="99"/>
    <w:pPr>
      <w:widowControl/>
      <w:spacing w:before="30" w:after="100" w:afterAutospacing="1"/>
      <w:ind w:left="90"/>
      <w:jc w:val="left"/>
    </w:pPr>
    <w:rPr>
      <w:rFonts w:ascii="Arial Unicode MS" w:hAnsi="Arial Unicode MS" w:cs="Arial Unicode MS"/>
      <w:color w:val="336666"/>
      <w:kern w:val="0"/>
      <w:sz w:val="18"/>
      <w:szCs w:val="18"/>
    </w:rPr>
  </w:style>
  <w:style w:type="paragraph" w:customStyle="1" w:styleId="172">
    <w:name w:val="xl25"/>
    <w:basedOn w:val="1"/>
    <w:autoRedefine/>
    <w:qFormat/>
    <w:uiPriority w:val="99"/>
    <w:pPr>
      <w:widowControl/>
      <w:spacing w:before="100" w:beforeAutospacing="1" w:after="100" w:afterAutospacing="1"/>
      <w:jc w:val="left"/>
      <w:textAlignment w:val="center"/>
    </w:pPr>
    <w:rPr>
      <w:rFonts w:ascii="宋体" w:hAnsi="宋体"/>
      <w:b/>
      <w:bCs/>
      <w:kern w:val="0"/>
      <w:sz w:val="22"/>
      <w:szCs w:val="22"/>
    </w:rPr>
  </w:style>
  <w:style w:type="paragraph" w:customStyle="1" w:styleId="173">
    <w:name w:val="p0"/>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74">
    <w:name w:val="xl3151"/>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175">
    <w:name w:val="xl314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76">
    <w:name w:val="Char1"/>
    <w:basedOn w:val="1"/>
    <w:autoRedefine/>
    <w:qFormat/>
    <w:uiPriority w:val="99"/>
    <w:pPr>
      <w:widowControl/>
      <w:spacing w:after="160" w:line="240" w:lineRule="exact"/>
      <w:jc w:val="left"/>
    </w:pPr>
    <w:rPr>
      <w:rFonts w:ascii="Verdana" w:hAnsi="Verdana" w:eastAsia="仿宋_GB2312"/>
      <w:kern w:val="0"/>
      <w:sz w:val="24"/>
      <w:lang w:eastAsia="en-US"/>
    </w:rPr>
  </w:style>
  <w:style w:type="paragraph" w:customStyle="1" w:styleId="177">
    <w:name w:val="xl7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8">
    <w:name w:val="font9"/>
    <w:basedOn w:val="1"/>
    <w:autoRedefine/>
    <w:qFormat/>
    <w:uiPriority w:val="99"/>
    <w:pPr>
      <w:widowControl/>
      <w:spacing w:before="100" w:beforeAutospacing="1" w:after="100" w:afterAutospacing="1"/>
      <w:jc w:val="left"/>
    </w:pPr>
    <w:rPr>
      <w:kern w:val="0"/>
      <w:sz w:val="20"/>
    </w:rPr>
  </w:style>
  <w:style w:type="paragraph" w:customStyle="1" w:styleId="179">
    <w:name w:val="xl83"/>
    <w:basedOn w:val="1"/>
    <w:autoRedefine/>
    <w:qFormat/>
    <w:uiPriority w:val="99"/>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180">
    <w:name w:val="xl316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181">
    <w:name w:val="_Style 132"/>
    <w:autoRedefine/>
    <w:semiHidden/>
    <w:qFormat/>
    <w:uiPriority w:val="99"/>
    <w:rPr>
      <w:rFonts w:ascii="Times New Roman" w:hAnsi="Times New Roman" w:eastAsia="宋体" w:cs="Times New Roman"/>
      <w:kern w:val="2"/>
      <w:sz w:val="21"/>
      <w:lang w:val="en-US" w:eastAsia="zh-CN" w:bidi="ar-SA"/>
    </w:rPr>
  </w:style>
  <w:style w:type="paragraph" w:customStyle="1" w:styleId="182">
    <w:name w:val="xl6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3">
    <w:name w:val="xl3152"/>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184">
    <w:name w:val="xl6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5">
    <w:name w:val="xl314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86">
    <w:name w:val="he"/>
    <w:basedOn w:val="1"/>
    <w:next w:val="4"/>
    <w:autoRedefine/>
    <w:qFormat/>
    <w:uiPriority w:val="99"/>
    <w:pPr>
      <w:keepNext/>
      <w:keepLines/>
      <w:autoSpaceDE w:val="0"/>
      <w:autoSpaceDN w:val="0"/>
      <w:adjustRightInd w:val="0"/>
      <w:spacing w:before="120" w:line="300" w:lineRule="auto"/>
      <w:jc w:val="center"/>
    </w:pPr>
    <w:rPr>
      <w:rFonts w:ascii="Arial" w:hAnsi="Arial" w:eastAsia="黑体"/>
      <w:b/>
      <w:bCs/>
      <w:kern w:val="0"/>
      <w:sz w:val="30"/>
      <w:szCs w:val="30"/>
    </w:rPr>
  </w:style>
  <w:style w:type="paragraph" w:customStyle="1" w:styleId="187">
    <w:name w:val="xl75"/>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8">
    <w:name w:val="节"/>
    <w:basedOn w:val="1"/>
    <w:autoRedefine/>
    <w:qFormat/>
    <w:uiPriority w:val="99"/>
    <w:pPr>
      <w:adjustRightInd w:val="0"/>
      <w:spacing w:before="100" w:beforeAutospacing="1"/>
    </w:pPr>
    <w:rPr>
      <w:rFonts w:eastAsia="仿宋_GB2312"/>
      <w:b/>
      <w:sz w:val="32"/>
      <w:szCs w:val="32"/>
    </w:rPr>
  </w:style>
  <w:style w:type="paragraph" w:customStyle="1" w:styleId="189">
    <w:name w:val="xl24"/>
    <w:basedOn w:val="1"/>
    <w:autoRedefine/>
    <w:qFormat/>
    <w:uiPriority w:val="99"/>
    <w:pPr>
      <w:widowControl/>
      <w:spacing w:before="100" w:beforeAutospacing="1" w:after="100" w:afterAutospacing="1"/>
      <w:jc w:val="left"/>
      <w:textAlignment w:val="top"/>
    </w:pPr>
    <w:rPr>
      <w:rFonts w:ascii="宋体" w:hAnsi="宋体"/>
      <w:kern w:val="0"/>
      <w:sz w:val="22"/>
      <w:szCs w:val="22"/>
    </w:rPr>
  </w:style>
  <w:style w:type="paragraph" w:customStyle="1" w:styleId="190">
    <w:name w:val="xl6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91">
    <w:name w:val="正文 A"/>
    <w:next w:val="192"/>
    <w:autoRedefine/>
    <w:qFormat/>
    <w:uiPriority w:val="99"/>
    <w:pPr>
      <w:widowControl w:val="0"/>
      <w:jc w:val="both"/>
    </w:pPr>
    <w:rPr>
      <w:rFonts w:ascii="Arial Unicode MS" w:hAnsi="Arial Unicode MS" w:eastAsia="宋体" w:cs="Arial Unicode MS"/>
      <w:color w:val="000000"/>
      <w:kern w:val="2"/>
      <w:sz w:val="21"/>
      <w:szCs w:val="21"/>
      <w:u w:color="000000"/>
      <w:lang w:val="en-US" w:eastAsia="zh-CN" w:bidi="ar-SA"/>
    </w:rPr>
  </w:style>
  <w:style w:type="paragraph" w:customStyle="1" w:styleId="192">
    <w:name w:val="段"/>
    <w:next w:val="191"/>
    <w:autoRedefine/>
    <w:qFormat/>
    <w:uiPriority w:val="99"/>
    <w:pPr>
      <w:widowControl w:val="0"/>
      <w:ind w:firstLine="200"/>
      <w:jc w:val="both"/>
    </w:pPr>
    <w:rPr>
      <w:rFonts w:ascii="宋体" w:hAnsi="宋体" w:eastAsia="宋体" w:cs="宋体"/>
      <w:color w:val="000000"/>
      <w:sz w:val="21"/>
      <w:szCs w:val="21"/>
      <w:lang w:val="en-US" w:eastAsia="zh-CN" w:bidi="ar-SA"/>
    </w:rPr>
  </w:style>
  <w:style w:type="paragraph" w:customStyle="1" w:styleId="193">
    <w:name w:val="font13"/>
    <w:basedOn w:val="1"/>
    <w:autoRedefine/>
    <w:qFormat/>
    <w:uiPriority w:val="99"/>
    <w:pPr>
      <w:widowControl/>
      <w:spacing w:before="100" w:beforeAutospacing="1" w:after="100" w:afterAutospacing="1"/>
      <w:jc w:val="left"/>
    </w:pPr>
    <w:rPr>
      <w:rFonts w:ascii="华文细黑" w:hAnsi="华文细黑" w:eastAsia="华文细黑" w:cs="宋体"/>
      <w:kern w:val="0"/>
      <w:sz w:val="20"/>
    </w:rPr>
  </w:style>
  <w:style w:type="paragraph" w:customStyle="1" w:styleId="194">
    <w:name w:val="xl3163"/>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95">
    <w:name w:val="Char Char Char Char Char Char1 Char Char Char Char Char Char1 Char Char Char Char1"/>
    <w:basedOn w:val="1"/>
    <w:autoRedefine/>
    <w:qFormat/>
    <w:uiPriority w:val="99"/>
    <w:rPr>
      <w:rFonts w:ascii="Tahoma" w:hAnsi="Tahoma"/>
      <w:sz w:val="24"/>
    </w:rPr>
  </w:style>
  <w:style w:type="paragraph" w:customStyle="1" w:styleId="196">
    <w:name w:val="xl31"/>
    <w:basedOn w:val="1"/>
    <w:autoRedefine/>
    <w:qFormat/>
    <w:uiPriority w:val="99"/>
    <w:pPr>
      <w:widowControl/>
      <w:spacing w:before="100" w:beforeAutospacing="1" w:after="100" w:afterAutospacing="1"/>
      <w:jc w:val="left"/>
      <w:textAlignment w:val="top"/>
    </w:pPr>
    <w:rPr>
      <w:rFonts w:ascii="宋体" w:hAnsi="宋体"/>
      <w:b/>
      <w:bCs/>
      <w:kern w:val="0"/>
      <w:sz w:val="22"/>
      <w:szCs w:val="22"/>
    </w:rPr>
  </w:style>
  <w:style w:type="paragraph" w:customStyle="1" w:styleId="197">
    <w:name w:val="Char Char Char Char Char Char1 Char Char Char Char Char Char1 Char Char Char Char Char Char Char1"/>
    <w:basedOn w:val="1"/>
    <w:autoRedefine/>
    <w:qFormat/>
    <w:uiPriority w:val="99"/>
    <w:rPr>
      <w:rFonts w:ascii="Tahoma" w:hAnsi="Tahoma"/>
      <w:sz w:val="24"/>
    </w:rPr>
  </w:style>
  <w:style w:type="paragraph" w:customStyle="1" w:styleId="198">
    <w:name w:val="图中文字"/>
    <w:basedOn w:val="1"/>
    <w:autoRedefine/>
    <w:qFormat/>
    <w:uiPriority w:val="99"/>
    <w:pPr>
      <w:adjustRightInd w:val="0"/>
      <w:snapToGrid w:val="0"/>
      <w:spacing w:line="240" w:lineRule="atLeast"/>
      <w:jc w:val="center"/>
    </w:pPr>
    <w:rPr>
      <w:sz w:val="24"/>
      <w:szCs w:val="24"/>
    </w:rPr>
  </w:style>
  <w:style w:type="paragraph" w:customStyle="1" w:styleId="199">
    <w:name w:val="font14"/>
    <w:basedOn w:val="1"/>
    <w:autoRedefine/>
    <w:qFormat/>
    <w:uiPriority w:val="99"/>
    <w:pPr>
      <w:widowControl/>
      <w:spacing w:before="100" w:beforeAutospacing="1" w:after="100" w:afterAutospacing="1"/>
      <w:jc w:val="left"/>
    </w:pPr>
    <w:rPr>
      <w:rFonts w:ascii="Calibri" w:hAnsi="Calibri" w:cs="宋体"/>
      <w:kern w:val="0"/>
      <w:sz w:val="20"/>
    </w:rPr>
  </w:style>
  <w:style w:type="paragraph" w:customStyle="1" w:styleId="200">
    <w:name w:val="xl27"/>
    <w:basedOn w:val="1"/>
    <w:autoRedefine/>
    <w:qFormat/>
    <w:uiPriority w:val="99"/>
    <w:pPr>
      <w:widowControl/>
      <w:spacing w:before="100" w:beforeAutospacing="1" w:after="100" w:afterAutospacing="1"/>
      <w:jc w:val="left"/>
    </w:pPr>
    <w:rPr>
      <w:rFonts w:ascii="宋体" w:hAnsi="宋体"/>
      <w:b/>
      <w:bCs/>
      <w:kern w:val="0"/>
      <w:sz w:val="22"/>
      <w:szCs w:val="22"/>
    </w:rPr>
  </w:style>
  <w:style w:type="paragraph" w:customStyle="1" w:styleId="201">
    <w:name w:val="xl316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202">
    <w:name w:val="xl26"/>
    <w:basedOn w:val="1"/>
    <w:autoRedefine/>
    <w:qFormat/>
    <w:uiPriority w:val="99"/>
    <w:pPr>
      <w:widowControl/>
      <w:spacing w:before="100" w:beforeAutospacing="1" w:after="100" w:afterAutospacing="1"/>
      <w:jc w:val="left"/>
      <w:textAlignment w:val="top"/>
    </w:pPr>
    <w:rPr>
      <w:rFonts w:ascii="宋体" w:hAnsi="宋体"/>
      <w:kern w:val="0"/>
      <w:sz w:val="22"/>
      <w:szCs w:val="22"/>
    </w:rPr>
  </w:style>
  <w:style w:type="paragraph" w:customStyle="1" w:styleId="203">
    <w:name w:val="xl3161"/>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204">
    <w:name w:val="style5"/>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05">
    <w:name w:val="xl3159"/>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206">
    <w:name w:val="xl34"/>
    <w:basedOn w:val="1"/>
    <w:autoRedefine/>
    <w:qFormat/>
    <w:uiPriority w:val="99"/>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207">
    <w:name w:val="Char2"/>
    <w:basedOn w:val="1"/>
    <w:autoRedefine/>
    <w:qFormat/>
    <w:uiPriority w:val="99"/>
    <w:pPr>
      <w:widowControl/>
      <w:spacing w:after="160" w:line="240" w:lineRule="exact"/>
      <w:jc w:val="left"/>
    </w:pPr>
    <w:rPr>
      <w:rFonts w:ascii="Verdana" w:hAnsi="Verdana" w:eastAsia="仿宋_GB2312"/>
      <w:kern w:val="0"/>
      <w:sz w:val="24"/>
      <w:lang w:eastAsia="en-US"/>
    </w:rPr>
  </w:style>
  <w:style w:type="paragraph" w:customStyle="1" w:styleId="208">
    <w:name w:val="明显引用1"/>
    <w:basedOn w:val="1"/>
    <w:next w:val="1"/>
    <w:link w:val="209"/>
    <w:autoRedefine/>
    <w:qFormat/>
    <w:uiPriority w:val="99"/>
    <w:pPr>
      <w:widowControl/>
      <w:ind w:left="720" w:right="720"/>
      <w:jc w:val="left"/>
    </w:pPr>
    <w:rPr>
      <w:rFonts w:ascii="Calibri" w:hAnsi="Calibri" w:cs="Arial"/>
      <w:b/>
      <w:i/>
      <w:kern w:val="0"/>
      <w:sz w:val="24"/>
      <w:szCs w:val="22"/>
      <w:lang w:eastAsia="en-US"/>
    </w:rPr>
  </w:style>
  <w:style w:type="character" w:customStyle="1" w:styleId="209">
    <w:name w:val="明显引用 Char"/>
    <w:link w:val="208"/>
    <w:autoRedefine/>
    <w:qFormat/>
    <w:locked/>
    <w:uiPriority w:val="99"/>
    <w:rPr>
      <w:rFonts w:ascii="Calibri" w:hAnsi="Calibri"/>
      <w:b/>
      <w:i/>
      <w:sz w:val="22"/>
      <w:lang w:eastAsia="en-US"/>
    </w:rPr>
  </w:style>
  <w:style w:type="paragraph" w:customStyle="1" w:styleId="210">
    <w:name w:val="style4"/>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11">
    <w:name w:val="xl3154"/>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212">
    <w:name w:val="xl3156"/>
    <w:basedOn w:val="1"/>
    <w:autoRedefine/>
    <w:qFormat/>
    <w:uiPriority w:val="99"/>
    <w:pPr>
      <w:widowControl/>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213">
    <w:name w:val="xl3141"/>
    <w:basedOn w:val="1"/>
    <w:autoRedefine/>
    <w:qFormat/>
    <w:uiPriority w:val="99"/>
    <w:pPr>
      <w:widowControl/>
      <w:spacing w:before="100" w:beforeAutospacing="1" w:after="100" w:afterAutospacing="1"/>
      <w:jc w:val="center"/>
      <w:textAlignment w:val="center"/>
    </w:pPr>
    <w:rPr>
      <w:rFonts w:ascii="宋体" w:hAnsi="宋体" w:cs="宋体"/>
      <w:kern w:val="0"/>
      <w:sz w:val="24"/>
      <w:szCs w:val="24"/>
    </w:rPr>
  </w:style>
  <w:style w:type="paragraph" w:customStyle="1" w:styleId="214">
    <w:name w:val="xl314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215">
    <w:name w:val="List Paragraph1"/>
    <w:basedOn w:val="1"/>
    <w:autoRedefine/>
    <w:qFormat/>
    <w:uiPriority w:val="99"/>
    <w:pPr>
      <w:ind w:firstLine="420" w:firstLineChars="200"/>
    </w:pPr>
    <w:rPr>
      <w:szCs w:val="24"/>
    </w:rPr>
  </w:style>
  <w:style w:type="paragraph" w:customStyle="1" w:styleId="216">
    <w:name w:val="*正文"/>
    <w:basedOn w:val="1"/>
    <w:autoRedefine/>
    <w:qFormat/>
    <w:uiPriority w:val="99"/>
    <w:pPr>
      <w:spacing w:line="360" w:lineRule="auto"/>
      <w:ind w:firstLine="480" w:firstLineChars="200"/>
    </w:pPr>
    <w:rPr>
      <w:rFonts w:ascii="宋体" w:hAnsi="宋体"/>
      <w:kern w:val="0"/>
      <w:sz w:val="24"/>
      <w:szCs w:val="24"/>
      <w:lang w:val="zh-CN"/>
    </w:rPr>
  </w:style>
  <w:style w:type="paragraph" w:customStyle="1" w:styleId="217">
    <w:name w:val="标准文本"/>
    <w:basedOn w:val="1"/>
    <w:link w:val="218"/>
    <w:autoRedefine/>
    <w:qFormat/>
    <w:uiPriority w:val="99"/>
    <w:pPr>
      <w:spacing w:line="360" w:lineRule="auto"/>
      <w:ind w:firstLine="480" w:firstLineChars="200"/>
    </w:pPr>
    <w:rPr>
      <w:rFonts w:ascii="Calibri" w:hAnsi="Calibri"/>
    </w:rPr>
  </w:style>
  <w:style w:type="character" w:customStyle="1" w:styleId="218">
    <w:name w:val="标准文本 Char"/>
    <w:link w:val="217"/>
    <w:autoRedefine/>
    <w:qFormat/>
    <w:locked/>
    <w:uiPriority w:val="99"/>
    <w:rPr>
      <w:kern w:val="2"/>
      <w:sz w:val="21"/>
    </w:rPr>
  </w:style>
  <w:style w:type="character" w:customStyle="1" w:styleId="219">
    <w:name w:val="locspan"/>
    <w:basedOn w:val="55"/>
    <w:autoRedefine/>
    <w:qFormat/>
    <w:uiPriority w:val="99"/>
    <w:rPr>
      <w:rFonts w:cs="Times New Roman"/>
    </w:rPr>
  </w:style>
  <w:style w:type="character" w:customStyle="1" w:styleId="220">
    <w:name w:val="font31"/>
    <w:autoRedefine/>
    <w:qFormat/>
    <w:uiPriority w:val="99"/>
    <w:rPr>
      <w:rFonts w:ascii="Arial" w:hAnsi="Arial"/>
      <w:color w:val="000000"/>
      <w:sz w:val="20"/>
      <w:u w:val="none"/>
    </w:rPr>
  </w:style>
  <w:style w:type="character" w:customStyle="1" w:styleId="221">
    <w:name w:val="apple-converted-space"/>
    <w:basedOn w:val="55"/>
    <w:autoRedefine/>
    <w:qFormat/>
    <w:uiPriority w:val="99"/>
    <w:rPr>
      <w:rFonts w:cs="Times New Roman"/>
    </w:rPr>
  </w:style>
  <w:style w:type="character" w:customStyle="1" w:styleId="222">
    <w:name w:val="style41"/>
    <w:autoRedefine/>
    <w:qFormat/>
    <w:uiPriority w:val="99"/>
    <w:rPr>
      <w:sz w:val="18"/>
    </w:rPr>
  </w:style>
  <w:style w:type="character" w:customStyle="1" w:styleId="223">
    <w:name w:val="标题 Char1"/>
    <w:autoRedefine/>
    <w:qFormat/>
    <w:uiPriority w:val="99"/>
    <w:rPr>
      <w:rFonts w:ascii="Cambria" w:hAnsi="Cambria"/>
      <w:b/>
      <w:kern w:val="2"/>
      <w:sz w:val="32"/>
    </w:rPr>
  </w:style>
  <w:style w:type="character" w:customStyle="1" w:styleId="224">
    <w:name w:val="text1"/>
    <w:autoRedefine/>
    <w:qFormat/>
    <w:uiPriority w:val="99"/>
    <w:rPr>
      <w:rFonts w:ascii="Arial" w:hAnsi="Arial"/>
      <w:color w:val="333333"/>
      <w:sz w:val="18"/>
    </w:rPr>
  </w:style>
  <w:style w:type="character" w:customStyle="1" w:styleId="225">
    <w:name w:val="Char Char2"/>
    <w:autoRedefine/>
    <w:qFormat/>
    <w:uiPriority w:val="99"/>
    <w:rPr>
      <w:kern w:val="2"/>
      <w:sz w:val="21"/>
    </w:rPr>
  </w:style>
  <w:style w:type="character" w:customStyle="1" w:styleId="226">
    <w:name w:val="副标题 Char1"/>
    <w:autoRedefine/>
    <w:qFormat/>
    <w:uiPriority w:val="99"/>
    <w:rPr>
      <w:rFonts w:ascii="Cambria" w:hAnsi="Cambria"/>
      <w:b/>
      <w:kern w:val="28"/>
      <w:sz w:val="32"/>
    </w:rPr>
  </w:style>
  <w:style w:type="character" w:customStyle="1" w:styleId="227">
    <w:name w:val="style11"/>
    <w:autoRedefine/>
    <w:qFormat/>
    <w:uiPriority w:val="99"/>
    <w:rPr>
      <w:color w:val="000000"/>
      <w:sz w:val="18"/>
    </w:rPr>
  </w:style>
  <w:style w:type="character" w:customStyle="1" w:styleId="228">
    <w:name w:val="Char Char1"/>
    <w:autoRedefine/>
    <w:qFormat/>
    <w:uiPriority w:val="99"/>
    <w:rPr>
      <w:kern w:val="2"/>
      <w:sz w:val="24"/>
    </w:rPr>
  </w:style>
  <w:style w:type="character" w:customStyle="1" w:styleId="229">
    <w:name w:val="powerlab_title_model1"/>
    <w:autoRedefine/>
    <w:qFormat/>
    <w:uiPriority w:val="99"/>
    <w:rPr>
      <w:b/>
      <w:sz w:val="21"/>
    </w:rPr>
  </w:style>
  <w:style w:type="character" w:customStyle="1" w:styleId="230">
    <w:name w:val="font71"/>
    <w:autoRedefine/>
    <w:qFormat/>
    <w:uiPriority w:val="99"/>
    <w:rPr>
      <w:rFonts w:ascii="宋体" w:hAnsi="宋体" w:eastAsia="宋体"/>
      <w:color w:val="000000"/>
      <w:sz w:val="20"/>
      <w:u w:val="none"/>
    </w:rPr>
  </w:style>
  <w:style w:type="character" w:customStyle="1" w:styleId="231">
    <w:name w:val="xdrichtextbox2"/>
    <w:autoRedefine/>
    <w:qFormat/>
    <w:uiPriority w:val="99"/>
    <w:rPr>
      <w:color w:val="0000FF"/>
      <w:sz w:val="18"/>
      <w:u w:val="none"/>
      <w:bdr w:val="single" w:color="DCDCDC" w:sz="8" w:space="0"/>
      <w:shd w:val="clear" w:color="auto" w:fill="9FFDDC"/>
    </w:rPr>
  </w:style>
  <w:style w:type="paragraph" w:customStyle="1" w:styleId="232">
    <w:name w:val="样式2"/>
    <w:basedOn w:val="1"/>
    <w:autoRedefine/>
    <w:qFormat/>
    <w:uiPriority w:val="99"/>
    <w:pPr>
      <w:spacing w:line="300" w:lineRule="auto"/>
      <w:jc w:val="center"/>
      <w:outlineLvl w:val="0"/>
    </w:pPr>
    <w:rPr>
      <w:rFonts w:ascii="宋体" w:hAnsi="宋体" w:cs="宋体"/>
      <w:b/>
      <w:bCs/>
      <w:sz w:val="24"/>
      <w:szCs w:val="24"/>
    </w:rPr>
  </w:style>
  <w:style w:type="character" w:customStyle="1" w:styleId="233">
    <w:name w:val="Table Text Char"/>
    <w:link w:val="234"/>
    <w:autoRedefine/>
    <w:qFormat/>
    <w:locked/>
    <w:uiPriority w:val="99"/>
    <w:rPr>
      <w:rFonts w:ascii="Arial" w:hAnsi="Arial" w:eastAsia="宋体"/>
      <w:sz w:val="18"/>
      <w:lang w:val="en-US" w:eastAsia="zh-CN"/>
    </w:rPr>
  </w:style>
  <w:style w:type="paragraph" w:customStyle="1" w:styleId="234">
    <w:name w:val="Table Text"/>
    <w:link w:val="233"/>
    <w:autoRedefine/>
    <w:qFormat/>
    <w:uiPriority w:val="99"/>
    <w:pPr>
      <w:snapToGrid w:val="0"/>
      <w:spacing w:before="80" w:after="80"/>
    </w:pPr>
    <w:rPr>
      <w:rFonts w:ascii="Arial" w:hAnsi="Arial" w:eastAsia="宋体" w:cs="Arial"/>
      <w:sz w:val="18"/>
      <w:szCs w:val="18"/>
      <w:lang w:val="en-US" w:eastAsia="zh-CN" w:bidi="ar-SA"/>
    </w:rPr>
  </w:style>
  <w:style w:type="character" w:customStyle="1" w:styleId="235">
    <w:name w:val="Table Heading Char"/>
    <w:link w:val="236"/>
    <w:autoRedefine/>
    <w:qFormat/>
    <w:locked/>
    <w:uiPriority w:val="99"/>
    <w:rPr>
      <w:rFonts w:ascii="Arial" w:hAnsi="Arial" w:eastAsia="黑体"/>
      <w:sz w:val="18"/>
      <w:lang w:val="en-US" w:eastAsia="zh-CN"/>
    </w:rPr>
  </w:style>
  <w:style w:type="paragraph" w:customStyle="1" w:styleId="236">
    <w:name w:val="Table Heading"/>
    <w:link w:val="235"/>
    <w:autoRedefine/>
    <w:qFormat/>
    <w:uiPriority w:val="99"/>
    <w:pPr>
      <w:keepNext/>
      <w:snapToGrid w:val="0"/>
      <w:spacing w:before="80" w:after="80"/>
      <w:jc w:val="center"/>
    </w:pPr>
    <w:rPr>
      <w:rFonts w:ascii="Arial" w:hAnsi="Arial" w:eastAsia="黑体" w:cs="Times New Roman"/>
      <w:sz w:val="18"/>
      <w:szCs w:val="18"/>
      <w:lang w:val="en-US" w:eastAsia="zh-CN" w:bidi="ar-SA"/>
    </w:rPr>
  </w:style>
  <w:style w:type="character" w:customStyle="1" w:styleId="237">
    <w:name w:val="Item List Char"/>
    <w:link w:val="238"/>
    <w:autoRedefine/>
    <w:qFormat/>
    <w:locked/>
    <w:uiPriority w:val="99"/>
    <w:rPr>
      <w:rFonts w:ascii="Arial" w:hAnsi="Arial" w:cs="Times New Roman"/>
      <w:kern w:val="0"/>
      <w:sz w:val="20"/>
      <w:szCs w:val="21"/>
    </w:rPr>
  </w:style>
  <w:style w:type="paragraph" w:customStyle="1" w:styleId="238">
    <w:name w:val="Item List"/>
    <w:link w:val="237"/>
    <w:autoRedefine/>
    <w:qFormat/>
    <w:uiPriority w:val="99"/>
    <w:pPr>
      <w:numPr>
        <w:ilvl w:val="0"/>
        <w:numId w:val="3"/>
      </w:numPr>
      <w:tabs>
        <w:tab w:val="left" w:pos="992"/>
      </w:tabs>
      <w:spacing w:line="300" w:lineRule="auto"/>
      <w:jc w:val="both"/>
    </w:pPr>
    <w:rPr>
      <w:rFonts w:ascii="Arial" w:hAnsi="Arial" w:eastAsia="宋体" w:cs="Times New Roman"/>
      <w:szCs w:val="21"/>
      <w:lang w:val="en-US" w:eastAsia="zh-CN" w:bidi="ar-SA"/>
    </w:rPr>
  </w:style>
  <w:style w:type="character" w:customStyle="1" w:styleId="239">
    <w:name w:val="表格文本 Char"/>
    <w:link w:val="240"/>
    <w:autoRedefine/>
    <w:qFormat/>
    <w:locked/>
    <w:uiPriority w:val="99"/>
    <w:rPr>
      <w:rFonts w:ascii="Arial" w:hAnsi="Arial" w:eastAsia="宋体"/>
      <w:sz w:val="21"/>
      <w:lang w:val="en-US" w:eastAsia="zh-CN"/>
    </w:rPr>
  </w:style>
  <w:style w:type="paragraph" w:customStyle="1" w:styleId="240">
    <w:name w:val="表格文本"/>
    <w:link w:val="239"/>
    <w:autoRedefine/>
    <w:qFormat/>
    <w:uiPriority w:val="99"/>
    <w:pPr>
      <w:tabs>
        <w:tab w:val="decimal" w:pos="0"/>
      </w:tabs>
    </w:pPr>
    <w:rPr>
      <w:rFonts w:ascii="Arial" w:hAnsi="Arial" w:eastAsia="宋体" w:cs="Times New Roman"/>
      <w:szCs w:val="21"/>
      <w:lang w:val="en-US" w:eastAsia="zh-CN" w:bidi="ar-SA"/>
    </w:rPr>
  </w:style>
  <w:style w:type="character" w:customStyle="1" w:styleId="241">
    <w:name w:val="Sub Item List Char"/>
    <w:link w:val="242"/>
    <w:autoRedefine/>
    <w:qFormat/>
    <w:locked/>
    <w:uiPriority w:val="99"/>
    <w:rPr>
      <w:rFonts w:ascii="Arial" w:hAnsi="Arial" w:cs="Times New Roman"/>
      <w:kern w:val="0"/>
      <w:sz w:val="20"/>
      <w:szCs w:val="21"/>
    </w:rPr>
  </w:style>
  <w:style w:type="paragraph" w:customStyle="1" w:styleId="242">
    <w:name w:val="Sub Item List"/>
    <w:basedOn w:val="1"/>
    <w:link w:val="241"/>
    <w:autoRedefine/>
    <w:qFormat/>
    <w:uiPriority w:val="99"/>
    <w:pPr>
      <w:widowControl/>
      <w:numPr>
        <w:ilvl w:val="0"/>
        <w:numId w:val="4"/>
      </w:numPr>
      <w:topLinePunct/>
      <w:adjustRightInd w:val="0"/>
      <w:snapToGrid w:val="0"/>
      <w:spacing w:before="80" w:after="80" w:line="240" w:lineRule="atLeast"/>
      <w:jc w:val="left"/>
    </w:pPr>
    <w:rPr>
      <w:rFonts w:ascii="Arial" w:hAnsi="Arial"/>
      <w:kern w:val="0"/>
      <w:sz w:val="20"/>
      <w:szCs w:val="21"/>
    </w:rPr>
  </w:style>
  <w:style w:type="paragraph" w:customStyle="1" w:styleId="243">
    <w:name w:val="Item List in Table"/>
    <w:basedOn w:val="1"/>
    <w:autoRedefine/>
    <w:qFormat/>
    <w:uiPriority w:val="99"/>
    <w:pPr>
      <w:widowControl/>
      <w:tabs>
        <w:tab w:val="left" w:pos="1500"/>
      </w:tabs>
      <w:topLinePunct/>
      <w:adjustRightInd w:val="0"/>
      <w:snapToGrid w:val="0"/>
      <w:spacing w:before="80" w:after="80" w:line="240" w:lineRule="atLeast"/>
      <w:ind w:left="1500" w:hanging="420"/>
      <w:jc w:val="left"/>
    </w:pPr>
    <w:rPr>
      <w:rFonts w:cs="Arial"/>
      <w:kern w:val="0"/>
      <w:szCs w:val="21"/>
    </w:rPr>
  </w:style>
  <w:style w:type="paragraph" w:customStyle="1" w:styleId="244">
    <w:name w:val="二级条标题"/>
    <w:basedOn w:val="1"/>
    <w:next w:val="1"/>
    <w:autoRedefine/>
    <w:qFormat/>
    <w:uiPriority w:val="99"/>
    <w:pPr>
      <w:widowControl/>
      <w:numPr>
        <w:ilvl w:val="3"/>
        <w:numId w:val="5"/>
      </w:numPr>
      <w:tabs>
        <w:tab w:val="left" w:pos="2100"/>
      </w:tabs>
      <w:outlineLvl w:val="3"/>
    </w:pPr>
    <w:rPr>
      <w:rFonts w:ascii="黑体" w:eastAsia="黑体"/>
      <w:kern w:val="0"/>
    </w:rPr>
  </w:style>
  <w:style w:type="paragraph" w:customStyle="1" w:styleId="245">
    <w:name w:val="样式3"/>
    <w:basedOn w:val="1"/>
    <w:autoRedefine/>
    <w:qFormat/>
    <w:uiPriority w:val="99"/>
    <w:pPr>
      <w:widowControl/>
      <w:spacing w:line="520" w:lineRule="exact"/>
      <w:ind w:firstLine="567"/>
      <w:jc w:val="left"/>
    </w:pPr>
    <w:rPr>
      <w:rFonts w:ascii="Calibri" w:hAnsi="Calibri" w:eastAsia="仿宋_GB2312"/>
      <w:kern w:val="0"/>
      <w:sz w:val="28"/>
      <w:szCs w:val="24"/>
      <w:lang w:eastAsia="en-US"/>
    </w:rPr>
  </w:style>
  <w:style w:type="paragraph" w:customStyle="1" w:styleId="246">
    <w:name w:val="表头文本"/>
    <w:autoRedefine/>
    <w:qFormat/>
    <w:uiPriority w:val="99"/>
    <w:pPr>
      <w:jc w:val="center"/>
    </w:pPr>
    <w:rPr>
      <w:rFonts w:ascii="Arial" w:hAnsi="Arial" w:eastAsia="宋体" w:cs="Times New Roman"/>
      <w:b/>
      <w:sz w:val="21"/>
      <w:szCs w:val="21"/>
      <w:lang w:val="en-US" w:eastAsia="zh-CN" w:bidi="ar-SA"/>
    </w:rPr>
  </w:style>
  <w:style w:type="character" w:customStyle="1" w:styleId="247">
    <w:name w:val="正文缩进 Char1"/>
    <w:autoRedefine/>
    <w:qFormat/>
    <w:uiPriority w:val="99"/>
    <w:rPr>
      <w:rFonts w:eastAsia="宋体"/>
      <w:kern w:val="2"/>
      <w:sz w:val="21"/>
      <w:lang w:val="en-US" w:eastAsia="zh-CN"/>
    </w:rPr>
  </w:style>
  <w:style w:type="paragraph" w:customStyle="1" w:styleId="248">
    <w:name w:val="TOC 标题1"/>
    <w:basedOn w:val="2"/>
    <w:next w:val="1"/>
    <w:autoRedefine/>
    <w:qFormat/>
    <w:uiPriority w:val="9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249">
    <w:name w:val="4"/>
    <w:basedOn w:val="1"/>
    <w:next w:val="1"/>
    <w:autoRedefine/>
    <w:qFormat/>
    <w:uiPriority w:val="99"/>
    <w:pPr>
      <w:ind w:left="420" w:leftChars="200"/>
    </w:pPr>
    <w:rPr>
      <w:rFonts w:ascii="Calibri" w:hAnsi="Calibri"/>
      <w:szCs w:val="22"/>
    </w:rPr>
  </w:style>
  <w:style w:type="character" w:customStyle="1" w:styleId="250">
    <w:name w:val="页眉 字符"/>
    <w:autoRedefine/>
    <w:qFormat/>
    <w:uiPriority w:val="99"/>
  </w:style>
  <w:style w:type="character" w:customStyle="1" w:styleId="251">
    <w:name w:val="页脚 字符"/>
    <w:autoRedefine/>
    <w:qFormat/>
    <w:uiPriority w:val="99"/>
  </w:style>
  <w:style w:type="paragraph" w:customStyle="1" w:styleId="252">
    <w:name w:val="倪芳"/>
    <w:basedOn w:val="1"/>
    <w:autoRedefine/>
    <w:qFormat/>
    <w:uiPriority w:val="99"/>
    <w:pPr>
      <w:spacing w:beforeLines="25" w:line="400" w:lineRule="exact"/>
    </w:pPr>
    <w:rPr>
      <w:rFonts w:ascii="宋体" w:hAnsi="Courier New" w:cs="Courier New"/>
      <w:szCs w:val="21"/>
    </w:rPr>
  </w:style>
  <w:style w:type="character" w:customStyle="1" w:styleId="253">
    <w:name w:val="正文文本缩进 2 Char1"/>
    <w:basedOn w:val="55"/>
    <w:autoRedefine/>
    <w:semiHidden/>
    <w:qFormat/>
    <w:uiPriority w:val="99"/>
    <w:rPr>
      <w:rFonts w:ascii="Calibri" w:hAnsi="Calibri" w:eastAsia="宋体" w:cs="Times New Roman"/>
      <w:sz w:val="24"/>
    </w:rPr>
  </w:style>
  <w:style w:type="paragraph" w:customStyle="1" w:styleId="254">
    <w:name w:val="TOC 标题2"/>
    <w:basedOn w:val="2"/>
    <w:next w:val="1"/>
    <w:autoRedefine/>
    <w:qFormat/>
    <w:uiPriority w:val="99"/>
    <w:pPr>
      <w:widowControl/>
      <w:spacing w:before="240" w:after="0" w:line="259" w:lineRule="auto"/>
      <w:jc w:val="left"/>
      <w:outlineLvl w:val="9"/>
    </w:pPr>
    <w:rPr>
      <w:rFonts w:ascii="Cambria" w:hAnsi="Cambria" w:cs="Times New Roman"/>
      <w:b w:val="0"/>
      <w:bCs w:val="0"/>
      <w:color w:val="365F91"/>
      <w:kern w:val="0"/>
      <w:sz w:val="32"/>
      <w:szCs w:val="32"/>
    </w:rPr>
  </w:style>
  <w:style w:type="character" w:customStyle="1" w:styleId="255">
    <w:name w:val="redfilefwwh"/>
    <w:basedOn w:val="55"/>
    <w:autoRedefine/>
    <w:qFormat/>
    <w:uiPriority w:val="99"/>
    <w:rPr>
      <w:rFonts w:cs="Times New Roman"/>
      <w:color w:val="BA2636"/>
      <w:sz w:val="18"/>
      <w:szCs w:val="18"/>
    </w:rPr>
  </w:style>
  <w:style w:type="character" w:customStyle="1" w:styleId="256">
    <w:name w:val="gjfg"/>
    <w:basedOn w:val="55"/>
    <w:autoRedefine/>
    <w:qFormat/>
    <w:uiPriority w:val="99"/>
    <w:rPr>
      <w:rFonts w:cs="Times New Roman"/>
    </w:rPr>
  </w:style>
  <w:style w:type="character" w:customStyle="1" w:styleId="257">
    <w:name w:val="displayarti"/>
    <w:basedOn w:val="55"/>
    <w:autoRedefine/>
    <w:qFormat/>
    <w:uiPriority w:val="99"/>
    <w:rPr>
      <w:rFonts w:cs="Times New Roman"/>
      <w:color w:val="FFFFFF"/>
      <w:shd w:val="clear" w:color="auto" w:fill="A00000"/>
    </w:rPr>
  </w:style>
  <w:style w:type="character" w:customStyle="1" w:styleId="258">
    <w:name w:val="qxdate"/>
    <w:basedOn w:val="55"/>
    <w:autoRedefine/>
    <w:qFormat/>
    <w:uiPriority w:val="99"/>
    <w:rPr>
      <w:rFonts w:cs="Times New Roman"/>
      <w:color w:val="333333"/>
      <w:sz w:val="18"/>
      <w:szCs w:val="18"/>
    </w:rPr>
  </w:style>
  <w:style w:type="character" w:customStyle="1" w:styleId="259">
    <w:name w:val="cfdate"/>
    <w:basedOn w:val="55"/>
    <w:autoRedefine/>
    <w:qFormat/>
    <w:uiPriority w:val="99"/>
    <w:rPr>
      <w:rFonts w:cs="Times New Roman"/>
      <w:color w:val="333333"/>
      <w:sz w:val="18"/>
      <w:szCs w:val="18"/>
    </w:rPr>
  </w:style>
  <w:style w:type="character" w:customStyle="1" w:styleId="260">
    <w:name w:val="redfilenumber"/>
    <w:basedOn w:val="55"/>
    <w:autoRedefine/>
    <w:qFormat/>
    <w:uiPriority w:val="99"/>
    <w:rPr>
      <w:rFonts w:cs="Times New Roman"/>
      <w:color w:val="BA2636"/>
      <w:sz w:val="18"/>
      <w:szCs w:val="18"/>
    </w:rPr>
  </w:style>
  <w:style w:type="paragraph" w:customStyle="1" w:styleId="261">
    <w:name w:val="TOC 标题3"/>
    <w:basedOn w:val="2"/>
    <w:next w:val="1"/>
    <w:autoRedefine/>
    <w:qFormat/>
    <w:uiPriority w:val="99"/>
    <w:pPr>
      <w:widowControl/>
      <w:spacing w:before="480" w:after="0" w:line="276" w:lineRule="auto"/>
      <w:jc w:val="left"/>
      <w:outlineLvl w:val="9"/>
    </w:pPr>
    <w:rPr>
      <w:rFonts w:ascii="Cambria" w:hAnsi="Cambria" w:cs="Times New Roman"/>
      <w:color w:val="365F91"/>
      <w:kern w:val="0"/>
      <w:sz w:val="28"/>
      <w:szCs w:val="28"/>
    </w:rPr>
  </w:style>
  <w:style w:type="paragraph" w:customStyle="1" w:styleId="262">
    <w:name w:val="1"/>
    <w:basedOn w:val="1"/>
    <w:next w:val="263"/>
    <w:autoRedefine/>
    <w:qFormat/>
    <w:uiPriority w:val="0"/>
    <w:pPr>
      <w:tabs>
        <w:tab w:val="left" w:pos="0"/>
      </w:tabs>
      <w:spacing w:line="360" w:lineRule="auto"/>
    </w:pPr>
    <w:rPr>
      <w:rFonts w:ascii="宋体" w:hAnsi="宋体"/>
      <w:bCs/>
      <w:sz w:val="24"/>
    </w:rPr>
  </w:style>
  <w:style w:type="paragraph" w:customStyle="1" w:styleId="263">
    <w:name w:val="1.1"/>
    <w:basedOn w:val="1"/>
    <w:autoRedefine/>
    <w:qFormat/>
    <w:uiPriority w:val="0"/>
    <w:pPr>
      <w:spacing w:line="360" w:lineRule="auto"/>
      <w:ind w:left="1" w:hanging="1"/>
    </w:pPr>
    <w:rPr>
      <w:rFonts w:ascii="宋体" w:hAnsi="宋体"/>
      <w:b/>
      <w:bCs/>
      <w:color w:val="000000"/>
      <w:sz w:val="24"/>
      <w:szCs w:val="24"/>
      <w:u w:color="FF0000"/>
    </w:rPr>
  </w:style>
  <w:style w:type="table" w:customStyle="1" w:styleId="264">
    <w:name w:val="网格型1"/>
    <w:basedOn w:val="5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5">
    <w:name w:val="方案正文"/>
    <w:basedOn w:val="1"/>
    <w:autoRedefine/>
    <w:qFormat/>
    <w:uiPriority w:val="0"/>
    <w:pPr>
      <w:adjustRightInd w:val="0"/>
      <w:spacing w:before="120" w:line="360" w:lineRule="auto"/>
      <w:ind w:firstLine="425" w:firstLineChars="177"/>
      <w:textAlignment w:val="baseline"/>
    </w:pPr>
    <w:rPr>
      <w:rFonts w:ascii="华文细黑" w:hAnsi="华文细黑" w:eastAsia="华文细黑"/>
      <w:kern w:val="0"/>
      <w:sz w:val="24"/>
    </w:rPr>
  </w:style>
  <w:style w:type="paragraph" w:customStyle="1" w:styleId="266">
    <w:name w:val="Paragraph2"/>
    <w:basedOn w:val="1"/>
    <w:autoRedefine/>
    <w:qFormat/>
    <w:uiPriority w:val="0"/>
    <w:pPr>
      <w:overflowPunct w:val="0"/>
      <w:autoSpaceDE w:val="0"/>
      <w:autoSpaceDN w:val="0"/>
      <w:spacing w:before="20" w:after="120"/>
    </w:pPr>
    <w:rPr>
      <w:rFonts w:ascii="Arial" w:hAnsi="Arial" w:eastAsia="楷体_GB2312"/>
      <w:kern w:val="0"/>
    </w:rPr>
  </w:style>
  <w:style w:type="character" w:customStyle="1" w:styleId="267">
    <w:name w:val="font41"/>
    <w:autoRedefine/>
    <w:qFormat/>
    <w:uiPriority w:val="0"/>
    <w:rPr>
      <w:rFonts w:hint="eastAsia" w:ascii="宋体" w:hAnsi="宋体" w:eastAsia="宋体" w:cs="宋体"/>
      <w:b/>
      <w:bCs/>
      <w:color w:val="000000"/>
      <w:sz w:val="21"/>
      <w:szCs w:val="21"/>
      <w:u w:val="none"/>
    </w:rPr>
  </w:style>
  <w:style w:type="paragraph" w:customStyle="1" w:styleId="268">
    <w:name w:val="首行缩进"/>
    <w:basedOn w:val="1"/>
    <w:autoRedefine/>
    <w:qFormat/>
    <w:uiPriority w:val="0"/>
    <w:pPr>
      <w:spacing w:after="156" w:afterLines="50" w:line="360" w:lineRule="auto"/>
      <w:ind w:firstLine="200" w:firstLineChars="200"/>
    </w:pPr>
    <w:rPr>
      <w:rFonts w:ascii="宋体" w:hAnsi="宋体"/>
      <w:sz w:val="24"/>
      <w:szCs w:val="24"/>
    </w:rPr>
  </w:style>
  <w:style w:type="paragraph" w:customStyle="1" w:styleId="269">
    <w:name w:val="Table Paragraph"/>
    <w:basedOn w:val="1"/>
    <w:autoRedefine/>
    <w:qFormat/>
    <w:uiPriority w:val="1"/>
    <w:pPr>
      <w:jc w:val="left"/>
    </w:pPr>
    <w:rPr>
      <w:rFonts w:ascii="宋体" w:hAnsi="宋体" w:cs="宋体"/>
      <w:kern w:val="0"/>
      <w:sz w:val="22"/>
      <w:szCs w:val="22"/>
      <w:lang w:eastAsia="en-US"/>
    </w:rPr>
  </w:style>
  <w:style w:type="character" w:customStyle="1" w:styleId="270">
    <w:name w:val="bookmark-item"/>
    <w:basedOn w:val="55"/>
    <w:autoRedefine/>
    <w:qFormat/>
    <w:uiPriority w:val="0"/>
  </w:style>
  <w:style w:type="paragraph" w:customStyle="1" w:styleId="271">
    <w:name w:val="su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72">
    <w:name w:val="正文_4"/>
    <w:basedOn w:val="273"/>
    <w:autoRedefine/>
    <w:qFormat/>
    <w:uiPriority w:val="0"/>
    <w:pPr>
      <w:widowControl w:val="0"/>
      <w:jc w:val="both"/>
    </w:pPr>
    <w:rPr>
      <w:rFonts w:ascii="Calibri" w:hAnsi="Calibri"/>
      <w:kern w:val="2"/>
      <w:sz w:val="21"/>
      <w:szCs w:val="22"/>
      <w:lang w:val="en-US" w:eastAsia="zh-CN" w:bidi="ar-SA"/>
    </w:rPr>
  </w:style>
  <w:style w:type="paragraph" w:customStyle="1" w:styleId="273">
    <w:name w:val="正文_0_1"/>
    <w:autoRedefine/>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4">
    <w:name w:val="正文_0_1_0"/>
    <w:basedOn w:val="121"/>
    <w:autoRedefine/>
    <w:qFormat/>
    <w:uiPriority w:val="0"/>
    <w:rPr>
      <w:rFonts w:ascii="Calibri" w:hAnsi="Calibri" w:cs="宋体"/>
      <w:szCs w:val="21"/>
    </w:rPr>
  </w:style>
  <w:style w:type="paragraph" w:customStyle="1" w:styleId="275">
    <w:name w:val="正文_3"/>
    <w:basedOn w:val="47"/>
    <w:next w:val="44"/>
    <w:autoRedefine/>
    <w:qFormat/>
    <w:uiPriority w:val="0"/>
    <w:pPr>
      <w:widowControl w:val="0"/>
      <w:jc w:val="both"/>
    </w:pPr>
    <w:rPr>
      <w:kern w:val="2"/>
      <w:sz w:val="21"/>
      <w:szCs w:val="24"/>
      <w:lang w:val="en-US" w:eastAsia="zh-CN" w:bidi="ar-SA"/>
    </w:rPr>
  </w:style>
  <w:style w:type="table" w:customStyle="1" w:styleId="27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6CCC57-68C1-4B42-9284-2B68E611431D}">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82</Pages>
  <Words>33903</Words>
  <Characters>35915</Characters>
  <Lines>324</Lines>
  <Paragraphs>91</Paragraphs>
  <TotalTime>3</TotalTime>
  <ScaleCrop>false</ScaleCrop>
  <LinksUpToDate>false</LinksUpToDate>
  <CharactersWithSpaces>37859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2022-07-27T04:06:00Z</dcterms:created>
  <dc:creator>dufangyu</dc:creator>
  <cp:lastModifiedBy>饕鬄</cp:lastModifiedBy>
  <cp:lastPrinted>2023-04-07T02:39:00Z</cp:lastPrinted>
  <dcterms:modified xsi:type="dcterms:W3CDTF">2024-03-25T05:20:35Z</dcterms:modified>
  <dc:title>招标文件</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129AD04D7EE24F858F6FC6564CDDBD28_13</vt:lpwstr>
  </property>
</Properties>
</file>