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jc w:val="righ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：XJYHZB2024-055</w:t>
      </w:r>
    </w:p>
    <w:p>
      <w:pPr>
        <w:snapToGrid w:val="0"/>
        <w:spacing w:line="360" w:lineRule="auto"/>
        <w:ind w:right="17"/>
        <w:jc w:val="right"/>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8"/>
        <w:ind w:left="0" w:leftChars="0" w:firstLine="0" w:firstLineChars="0"/>
        <w:rPr>
          <w:rFonts w:hint="eastAsia" w:ascii="宋体" w:hAnsi="宋体" w:eastAsia="宋体" w:cs="宋体"/>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hint="eastAsia" w:ascii="宋体" w:hAnsi="宋体" w:cs="宋体"/>
          <w:b w:val="0"/>
          <w:bCs w:val="0"/>
          <w:color w:val="auto"/>
          <w:kern w:val="36"/>
          <w:sz w:val="56"/>
          <w:szCs w:val="56"/>
          <w:highlight w:val="none"/>
          <w:lang w:val="en-US" w:eastAsia="zh-CN"/>
        </w:rPr>
      </w:pPr>
      <w:r>
        <w:rPr>
          <w:rFonts w:hint="eastAsia" w:ascii="宋体" w:hAnsi="宋体" w:eastAsia="宋体" w:cs="宋体"/>
          <w:b w:val="0"/>
          <w:bCs w:val="0"/>
          <w:color w:val="auto"/>
          <w:kern w:val="36"/>
          <w:sz w:val="56"/>
          <w:szCs w:val="56"/>
          <w:highlight w:val="none"/>
        </w:rPr>
        <w:t>新疆维吾尔自治区克孜勒苏</w:t>
      </w:r>
      <w:r>
        <w:rPr>
          <w:rFonts w:hint="eastAsia" w:ascii="宋体" w:hAnsi="宋体" w:cs="宋体"/>
          <w:b w:val="0"/>
          <w:bCs w:val="0"/>
          <w:color w:val="auto"/>
          <w:kern w:val="36"/>
          <w:sz w:val="56"/>
          <w:szCs w:val="56"/>
          <w:highlight w:val="none"/>
          <w:lang w:val="en-US" w:eastAsia="zh-CN"/>
        </w:rPr>
        <w:t>某单位</w:t>
      </w: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hint="eastAsia" w:ascii="宋体" w:hAnsi="宋体" w:eastAsia="宋体" w:cs="宋体"/>
          <w:b w:val="0"/>
          <w:bCs w:val="0"/>
          <w:color w:val="auto"/>
          <w:kern w:val="36"/>
          <w:sz w:val="56"/>
          <w:szCs w:val="56"/>
          <w:highlight w:val="none"/>
        </w:rPr>
      </w:pPr>
      <w:r>
        <w:rPr>
          <w:rFonts w:hint="eastAsia" w:ascii="宋体" w:hAnsi="宋体" w:eastAsia="宋体" w:cs="宋体"/>
          <w:b w:val="0"/>
          <w:bCs w:val="0"/>
          <w:color w:val="auto"/>
          <w:kern w:val="36"/>
          <w:sz w:val="56"/>
          <w:szCs w:val="56"/>
          <w:highlight w:val="none"/>
        </w:rPr>
        <w:t>食堂餐饮服务项目</w:t>
      </w: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hint="eastAsia" w:ascii="宋体" w:hAnsi="宋体" w:eastAsia="宋体" w:cs="宋体"/>
          <w:b/>
          <w:bCs/>
          <w:color w:val="auto"/>
          <w:kern w:val="36"/>
          <w:sz w:val="72"/>
          <w:szCs w:val="7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hint="eastAsia" w:ascii="宋体" w:hAnsi="宋体" w:eastAsia="宋体" w:cs="宋体"/>
          <w:b/>
          <w:bCs/>
          <w:color w:val="auto"/>
          <w:kern w:val="36"/>
          <w:sz w:val="96"/>
          <w:szCs w:val="96"/>
          <w:highlight w:val="none"/>
        </w:rPr>
      </w:pPr>
      <w:r>
        <w:rPr>
          <w:rFonts w:hint="eastAsia" w:ascii="宋体" w:hAnsi="宋体" w:eastAsia="宋体" w:cs="宋体"/>
          <w:b/>
          <w:bCs/>
          <w:color w:val="auto"/>
          <w:kern w:val="36"/>
          <w:sz w:val="96"/>
          <w:szCs w:val="96"/>
          <w:highlight w:val="none"/>
        </w:rPr>
        <w:t>招标文件</w:t>
      </w:r>
    </w:p>
    <w:p>
      <w:pPr>
        <w:rPr>
          <w:rFonts w:hint="eastAsia" w:ascii="宋体" w:hAnsi="宋体" w:eastAsia="宋体" w:cs="宋体"/>
          <w:color w:val="auto"/>
          <w:kern w:val="0"/>
          <w:sz w:val="24"/>
          <w:szCs w:val="24"/>
          <w:highlight w:val="none"/>
        </w:rPr>
      </w:pPr>
    </w:p>
    <w:p>
      <w:pPr>
        <w:pStyle w:val="8"/>
        <w:ind w:left="0" w:leftChars="0" w:firstLine="0" w:firstLineChars="0"/>
        <w:rPr>
          <w:rFonts w:hint="eastAsia"/>
          <w:color w:val="auto"/>
          <w:highlight w:val="none"/>
        </w:rPr>
      </w:pPr>
    </w:p>
    <w:p>
      <w:pPr>
        <w:rPr>
          <w:rFonts w:hint="eastAsia"/>
          <w:color w:val="auto"/>
          <w:highlight w:val="none"/>
        </w:rPr>
      </w:pPr>
    </w:p>
    <w:p>
      <w:pPr>
        <w:snapToGrid w:val="0"/>
        <w:spacing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招标人：新疆维吾尔自治区克孜勒苏</w:t>
      </w:r>
      <w:r>
        <w:rPr>
          <w:rFonts w:hint="eastAsia" w:ascii="宋体" w:hAnsi="宋体" w:cs="宋体"/>
          <w:color w:val="auto"/>
          <w:kern w:val="0"/>
          <w:sz w:val="24"/>
          <w:szCs w:val="24"/>
          <w:highlight w:val="none"/>
          <w:lang w:eastAsia="zh-CN"/>
        </w:rPr>
        <w:t>某单位</w:t>
      </w:r>
      <w:r>
        <w:rPr>
          <w:rFonts w:hint="eastAsia" w:ascii="宋体" w:hAnsi="宋体" w:eastAsia="宋体" w:cs="宋体"/>
          <w:color w:val="auto"/>
          <w:kern w:val="0"/>
          <w:sz w:val="24"/>
          <w:szCs w:val="24"/>
          <w:highlight w:val="none"/>
        </w:rPr>
        <w:t>（盖章）</w:t>
      </w:r>
    </w:p>
    <w:p>
      <w:pPr>
        <w:snapToGrid w:val="0"/>
        <w:spacing w:line="48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联系人：向志国</w:t>
      </w:r>
    </w:p>
    <w:p>
      <w:pPr>
        <w:snapToGrid w:val="0"/>
        <w:spacing w:line="48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电话：19990677287</w:t>
      </w:r>
    </w:p>
    <w:p>
      <w:pPr>
        <w:pStyle w:val="17"/>
        <w:jc w:val="left"/>
        <w:rPr>
          <w:rFonts w:hint="eastAsia" w:ascii="宋体" w:hAnsi="宋体" w:eastAsia="宋体" w:cs="宋体"/>
          <w:color w:val="auto"/>
          <w:highlight w:val="none"/>
        </w:rPr>
      </w:pPr>
    </w:p>
    <w:p>
      <w:pPr>
        <w:snapToGrid w:val="0"/>
        <w:spacing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招标代理机构：新疆元泓工程项目管理咨询有限公司（盖章）</w:t>
      </w:r>
    </w:p>
    <w:p>
      <w:pPr>
        <w:snapToGrid w:val="0"/>
        <w:spacing w:line="480" w:lineRule="auto"/>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李楠、穆香竹、高娟</w:t>
      </w:r>
    </w:p>
    <w:p>
      <w:pPr>
        <w:snapToGrid w:val="0"/>
        <w:spacing w:line="480" w:lineRule="auto"/>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0991-3726636转801</w:t>
      </w:r>
    </w:p>
    <w:p>
      <w:pPr>
        <w:snapToGrid w:val="0"/>
        <w:spacing w:line="48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联系地址：乌鲁木齐</w:t>
      </w:r>
      <w:r>
        <w:rPr>
          <w:rFonts w:hint="eastAsia" w:ascii="宋体" w:hAnsi="宋体" w:eastAsia="宋体" w:cs="宋体"/>
          <w:color w:val="auto"/>
          <w:kern w:val="0"/>
          <w:sz w:val="24"/>
          <w:szCs w:val="24"/>
          <w:highlight w:val="none"/>
          <w:lang w:val="en-US" w:eastAsia="zh-CN"/>
        </w:rPr>
        <w:t>市</w:t>
      </w:r>
      <w:r>
        <w:rPr>
          <w:rFonts w:hint="eastAsia" w:ascii="宋体" w:hAnsi="宋体" w:eastAsia="宋体" w:cs="宋体"/>
          <w:color w:val="auto"/>
          <w:kern w:val="0"/>
          <w:sz w:val="24"/>
          <w:szCs w:val="24"/>
          <w:highlight w:val="none"/>
        </w:rPr>
        <w:t>经济技术开发区乌昌路252号九方财富广场A座525</w:t>
      </w:r>
      <w:r>
        <w:rPr>
          <w:rFonts w:hint="eastAsia" w:ascii="宋体" w:hAnsi="宋体" w:eastAsia="宋体" w:cs="宋体"/>
          <w:color w:val="auto"/>
          <w:kern w:val="0"/>
          <w:sz w:val="24"/>
          <w:szCs w:val="24"/>
          <w:highlight w:val="none"/>
          <w:lang w:val="en-US" w:eastAsia="zh-CN"/>
        </w:rPr>
        <w:t>室</w:t>
      </w:r>
    </w:p>
    <w:p>
      <w:pPr>
        <w:snapToGrid w:val="0"/>
        <w:spacing w:line="48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二〇二</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月</w:t>
      </w:r>
    </w:p>
    <w:p>
      <w:pPr>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6"/>
          <w:szCs w:val="36"/>
          <w:highlight w:val="none"/>
        </w:rPr>
        <w:t>目  录</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采购公告</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第二部分 </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一、总则</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二、招标文件</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三、投标文件的编制</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四、投标文件的递交</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五、无效标、废标条款</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六、评标程序及最终报价</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七、评标办法</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八、中标及合同签订</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九、验收及付款</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合同</w:t>
      </w:r>
    </w:p>
    <w:p>
      <w:pPr>
        <w:spacing w:line="48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第四部分  </w:t>
      </w:r>
      <w:r>
        <w:rPr>
          <w:rFonts w:hint="eastAsia" w:ascii="宋体" w:hAnsi="宋体" w:eastAsia="宋体" w:cs="宋体"/>
          <w:color w:val="auto"/>
          <w:kern w:val="0"/>
          <w:sz w:val="24"/>
          <w:szCs w:val="24"/>
          <w:highlight w:val="none"/>
          <w:lang w:eastAsia="zh-CN"/>
        </w:rPr>
        <w:t>项目需求</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第五部分  投标文件格式</w:t>
      </w:r>
    </w:p>
    <w:p>
      <w:pPr>
        <w:snapToGrid w:val="0"/>
        <w:spacing w:line="360" w:lineRule="auto"/>
        <w:rPr>
          <w:rFonts w:hint="eastAsia" w:ascii="宋体" w:hAnsi="宋体" w:eastAsia="宋体" w:cs="宋体"/>
          <w:bCs/>
          <w:color w:val="auto"/>
          <w:sz w:val="36"/>
          <w:szCs w:val="36"/>
          <w:highlight w:val="none"/>
        </w:rPr>
      </w:pPr>
    </w:p>
    <w:p>
      <w:pPr>
        <w:snapToGrid w:val="0"/>
        <w:spacing w:line="360" w:lineRule="auto"/>
        <w:rPr>
          <w:rFonts w:hint="eastAsia" w:ascii="宋体" w:hAnsi="宋体" w:eastAsia="宋体" w:cs="宋体"/>
          <w:bCs/>
          <w:color w:val="auto"/>
          <w:sz w:val="36"/>
          <w:szCs w:val="36"/>
          <w:highlight w:val="none"/>
        </w:rPr>
      </w:pPr>
    </w:p>
    <w:p>
      <w:pPr>
        <w:snapToGrid w:val="0"/>
        <w:spacing w:line="360" w:lineRule="auto"/>
        <w:rPr>
          <w:rFonts w:hint="eastAsia" w:ascii="宋体" w:hAnsi="宋体" w:eastAsia="宋体" w:cs="宋体"/>
          <w:bCs/>
          <w:color w:val="auto"/>
          <w:sz w:val="36"/>
          <w:szCs w:val="36"/>
          <w:highlight w:val="none"/>
        </w:rPr>
      </w:pPr>
    </w:p>
    <w:p>
      <w:pPr>
        <w:snapToGrid w:val="0"/>
        <w:spacing w:line="360" w:lineRule="auto"/>
        <w:ind w:firstLine="200"/>
        <w:jc w:val="center"/>
        <w:rPr>
          <w:rFonts w:hint="eastAsia" w:ascii="宋体" w:hAnsi="宋体" w:eastAsia="宋体" w:cs="宋体"/>
          <w:b/>
          <w:color w:val="auto"/>
          <w:sz w:val="30"/>
          <w:szCs w:val="30"/>
          <w:highlight w:val="none"/>
        </w:rPr>
        <w:sectPr>
          <w:headerReference r:id="rId5" w:type="first"/>
          <w:headerReference r:id="rId4" w:type="default"/>
          <w:pgSz w:w="11906" w:h="16838"/>
          <w:pgMar w:top="1440" w:right="1701" w:bottom="1440" w:left="1701" w:header="851" w:footer="992" w:gutter="0"/>
          <w:pgNumType w:fmt="numberInDash"/>
          <w:cols w:space="720" w:num="1"/>
          <w:titlePg/>
          <w:docGrid w:type="lines" w:linePitch="312" w:charSpace="0"/>
        </w:sectPr>
      </w:pPr>
    </w:p>
    <w:p>
      <w:pPr>
        <w:snapToGrid w:val="0"/>
        <w:spacing w:line="360" w:lineRule="auto"/>
        <w:ind w:firstLine="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第一部分 采购公告</w:t>
      </w:r>
    </w:p>
    <w:p>
      <w:pPr>
        <w:widowControl/>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新疆维吾尔自治区克孜勒苏</w:t>
      </w:r>
      <w:r>
        <w:rPr>
          <w:rFonts w:hint="eastAsia" w:ascii="宋体" w:hAnsi="宋体" w:cs="宋体"/>
          <w:bCs/>
          <w:color w:val="auto"/>
          <w:sz w:val="28"/>
          <w:szCs w:val="28"/>
          <w:highlight w:val="none"/>
          <w:lang w:val="en-US" w:eastAsia="zh-CN"/>
        </w:rPr>
        <w:t>某单位</w:t>
      </w:r>
      <w:r>
        <w:rPr>
          <w:rFonts w:hint="eastAsia" w:ascii="宋体" w:hAnsi="宋体" w:eastAsia="宋体" w:cs="宋体"/>
          <w:bCs/>
          <w:color w:val="auto"/>
          <w:sz w:val="28"/>
          <w:szCs w:val="28"/>
          <w:highlight w:val="none"/>
        </w:rPr>
        <w:t>食堂餐饮服务项目</w:t>
      </w:r>
    </w:p>
    <w:p>
      <w:pPr>
        <w:widowControl/>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公开招标公告</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项目概况</w:t>
      </w:r>
    </w:p>
    <w:p>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新疆维吾尔自治区克孜勒苏</w:t>
      </w:r>
      <w:r>
        <w:rPr>
          <w:rFonts w:hint="eastAsia" w:ascii="宋体" w:hAnsi="宋体" w:cs="宋体"/>
          <w:bCs/>
          <w:color w:val="auto"/>
          <w:highlight w:val="none"/>
          <w:lang w:val="en-US" w:eastAsia="zh-CN"/>
        </w:rPr>
        <w:t>某单位</w:t>
      </w:r>
      <w:r>
        <w:rPr>
          <w:rFonts w:hint="eastAsia" w:ascii="宋体" w:hAnsi="宋体" w:eastAsia="宋体" w:cs="宋体"/>
          <w:bCs/>
          <w:color w:val="auto"/>
          <w:highlight w:val="none"/>
        </w:rPr>
        <w:t>食堂餐饮服务项目的潜在</w:t>
      </w:r>
      <w:r>
        <w:rPr>
          <w:rFonts w:hint="eastAsia" w:ascii="宋体" w:hAnsi="宋体" w:cs="宋体"/>
          <w:bCs/>
          <w:color w:val="auto"/>
          <w:highlight w:val="none"/>
          <w:lang w:eastAsia="zh-CN"/>
        </w:rPr>
        <w:t>供应商</w:t>
      </w:r>
      <w:r>
        <w:rPr>
          <w:rFonts w:hint="eastAsia" w:ascii="宋体" w:hAnsi="宋体" w:eastAsia="宋体" w:cs="宋体"/>
          <w:bCs/>
          <w:color w:val="auto"/>
          <w:highlight w:val="none"/>
        </w:rPr>
        <w:t>应在政采云平台http://www.zcygov.cn获取招标文件，并于202</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 xml:space="preserve">日 </w:t>
      </w:r>
      <w:r>
        <w:rPr>
          <w:rFonts w:hint="eastAsia" w:ascii="宋体" w:hAnsi="宋体" w:cs="宋体"/>
          <w:bCs/>
          <w:color w:val="auto"/>
          <w:highlight w:val="none"/>
          <w:lang w:val="en-US" w:eastAsia="zh-CN"/>
        </w:rPr>
        <w:t>11</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00</w:t>
      </w:r>
      <w:r>
        <w:rPr>
          <w:rFonts w:hint="eastAsia" w:ascii="宋体" w:hAnsi="宋体" w:eastAsia="宋体" w:cs="宋体"/>
          <w:bCs/>
          <w:color w:val="auto"/>
          <w:highlight w:val="none"/>
        </w:rPr>
        <w:t>（北京时间）前递交投标文件。</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一、项目基本情况</w:t>
      </w:r>
    </w:p>
    <w:p>
      <w:pPr>
        <w:widowControl/>
        <w:spacing w:line="360" w:lineRule="auto"/>
        <w:jc w:val="left"/>
        <w:rPr>
          <w:rFonts w:hint="default" w:ascii="宋体" w:hAnsi="宋体" w:eastAsia="宋体" w:cs="宋体"/>
          <w:bCs/>
          <w:color w:val="auto"/>
          <w:highlight w:val="none"/>
          <w:lang w:val="en-US"/>
        </w:rPr>
      </w:pPr>
      <w:r>
        <w:rPr>
          <w:rFonts w:hint="eastAsia" w:ascii="宋体" w:hAnsi="宋体" w:eastAsia="宋体" w:cs="宋体"/>
          <w:bCs/>
          <w:color w:val="auto"/>
          <w:highlight w:val="none"/>
        </w:rPr>
        <w:t>项目编号：</w:t>
      </w:r>
      <w:r>
        <w:rPr>
          <w:rFonts w:hint="eastAsia" w:ascii="宋体" w:hAnsi="宋体" w:eastAsia="宋体" w:cs="宋体"/>
          <w:bCs/>
          <w:color w:val="auto"/>
          <w:highlight w:val="none"/>
          <w:lang w:eastAsia="zh-CN"/>
        </w:rPr>
        <w:t>XJYHZB2024-055</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项目名称：新疆维吾尔自治区克孜勒苏</w:t>
      </w:r>
      <w:r>
        <w:rPr>
          <w:rFonts w:hint="eastAsia" w:ascii="宋体" w:hAnsi="宋体" w:cs="宋体"/>
          <w:bCs/>
          <w:color w:val="auto"/>
          <w:highlight w:val="none"/>
          <w:lang w:val="en-US" w:eastAsia="zh-CN"/>
        </w:rPr>
        <w:t>某单位</w:t>
      </w:r>
      <w:r>
        <w:rPr>
          <w:rFonts w:hint="eastAsia" w:ascii="宋体" w:hAnsi="宋体" w:eastAsia="宋体" w:cs="宋体"/>
          <w:bCs/>
          <w:color w:val="auto"/>
          <w:highlight w:val="none"/>
        </w:rPr>
        <w:t>食堂餐饮服务项目</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采购方式：公开招标</w:t>
      </w:r>
    </w:p>
    <w:p>
      <w:pPr>
        <w:widowControl/>
        <w:spacing w:line="360" w:lineRule="auto"/>
        <w:jc w:val="left"/>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预算金额（元）：2400000</w:t>
      </w:r>
    </w:p>
    <w:p>
      <w:pPr>
        <w:widowControl/>
        <w:spacing w:line="360" w:lineRule="auto"/>
        <w:jc w:val="left"/>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最高限价（元）：2400000</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采购需求：</w:t>
      </w:r>
      <w:r>
        <w:rPr>
          <w:rFonts w:hint="eastAsia" w:ascii="宋体" w:hAnsi="宋体" w:eastAsia="宋体" w:cs="宋体"/>
          <w:bCs/>
          <w:color w:val="auto"/>
          <w:highlight w:val="none"/>
          <w:lang w:eastAsia="zh-CN"/>
        </w:rPr>
        <w:t>食堂分为汉餐与民餐，汉餐不开早餐，只开中餐与晚餐，民餐开早中晚餐，节假日值班餐，临时性接待餐，卫生清洁，从业人数必须保证正常运营</w:t>
      </w:r>
      <w:r>
        <w:rPr>
          <w:rFonts w:hint="eastAsia" w:ascii="宋体" w:hAnsi="宋体" w:cs="宋体"/>
          <w:bCs/>
          <w:color w:val="auto"/>
          <w:highlight w:val="none"/>
          <w:lang w:val="en-US" w:eastAsia="zh-CN"/>
        </w:rPr>
        <w:t>。</w:t>
      </w:r>
    </w:p>
    <w:p>
      <w:pPr>
        <w:widowControl/>
        <w:spacing w:line="360" w:lineRule="auto"/>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合同履约期限：自合同签订之日起</w:t>
      </w:r>
      <w:r>
        <w:rPr>
          <w:rFonts w:hint="eastAsia" w:ascii="宋体" w:hAnsi="宋体" w:eastAsia="宋体" w:cs="宋体"/>
          <w:bCs/>
          <w:color w:val="auto"/>
          <w:highlight w:val="none"/>
          <w:lang w:eastAsia="zh-CN"/>
        </w:rPr>
        <w:t>一年</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本项目不接受联合体投标。</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二、申请人的资格要求：</w:t>
      </w:r>
    </w:p>
    <w:p>
      <w:pPr>
        <w:widowControl/>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highlight w:val="none"/>
        </w:rPr>
        <w:t>1.满足《中华人民共和国政府采购法》第二十二条规定；</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2.落实政府采购政策需满足的资格要求：</w:t>
      </w:r>
      <w:r>
        <w:rPr>
          <w:rFonts w:hint="eastAsia" w:ascii="宋体" w:hAnsi="宋体" w:eastAsia="宋体" w:cs="宋体"/>
          <w:bCs/>
          <w:color w:val="auto"/>
          <w:highlight w:val="none"/>
          <w:lang w:eastAsia="zh-CN"/>
        </w:rPr>
        <w:t>本项目整体专门面向</w:t>
      </w:r>
      <w:r>
        <w:rPr>
          <w:rFonts w:hint="eastAsia" w:ascii="宋体" w:hAnsi="宋体" w:cs="宋体"/>
          <w:bCs/>
          <w:color w:val="auto"/>
          <w:highlight w:val="none"/>
          <w:lang w:val="en-US" w:eastAsia="zh-CN"/>
        </w:rPr>
        <w:t>小微</w:t>
      </w:r>
      <w:r>
        <w:rPr>
          <w:rFonts w:hint="eastAsia" w:ascii="宋体" w:hAnsi="宋体" w:eastAsia="宋体" w:cs="宋体"/>
          <w:bCs/>
          <w:color w:val="auto"/>
          <w:highlight w:val="none"/>
          <w:lang w:eastAsia="zh-CN"/>
        </w:rPr>
        <w:t>企业采购，参加本次采购的供应商需提供《中小企业声明函》。监狱企业、残疾人福利性单位视同小型、微型企业）</w:t>
      </w:r>
      <w:r>
        <w:rPr>
          <w:rFonts w:hint="eastAsia" w:ascii="宋体" w:hAnsi="宋体" w:cs="宋体"/>
          <w:bCs/>
          <w:color w:val="auto"/>
          <w:highlight w:val="none"/>
          <w:lang w:eastAsia="zh-CN"/>
        </w:rPr>
        <w:t>；</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3.本项目的特定资格要求：</w:t>
      </w:r>
    </w:p>
    <w:p>
      <w:pPr>
        <w:widowControl/>
        <w:spacing w:line="360" w:lineRule="auto"/>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（1）</w:t>
      </w:r>
      <w:r>
        <w:rPr>
          <w:rFonts w:hint="eastAsia" w:ascii="宋体" w:hAnsi="宋体" w:cs="宋体"/>
          <w:bCs/>
          <w:color w:val="auto"/>
          <w:highlight w:val="none"/>
          <w:lang w:eastAsia="zh-CN"/>
        </w:rPr>
        <w:t>供应商</w:t>
      </w:r>
      <w:r>
        <w:rPr>
          <w:rFonts w:hint="eastAsia" w:ascii="宋体" w:hAnsi="宋体" w:eastAsia="宋体" w:cs="宋体"/>
          <w:bCs/>
          <w:color w:val="auto"/>
          <w:highlight w:val="none"/>
          <w:lang w:eastAsia="zh-CN"/>
        </w:rPr>
        <w:t>具有有效期内的《食品经营许可证》</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且所有</w:t>
      </w:r>
      <w:r>
        <w:rPr>
          <w:rFonts w:hint="eastAsia" w:ascii="宋体" w:hAnsi="宋体" w:cs="宋体"/>
          <w:bCs/>
          <w:color w:val="auto"/>
          <w:highlight w:val="none"/>
          <w:lang w:eastAsia="zh-CN"/>
        </w:rPr>
        <w:t>餐饮服务上岗人员均需具备在有效期内的健康证</w:t>
      </w:r>
      <w:r>
        <w:rPr>
          <w:rFonts w:hint="eastAsia" w:ascii="宋体" w:hAnsi="宋体" w:eastAsia="宋体" w:cs="宋体"/>
          <w:bCs/>
          <w:color w:val="auto"/>
          <w:highlight w:val="none"/>
          <w:lang w:eastAsia="zh-CN"/>
        </w:rPr>
        <w:t>；</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三、获取招标文件</w:t>
      </w:r>
    </w:p>
    <w:p>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时间：202</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rPr>
        <w:t>日至202</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22</w:t>
      </w:r>
      <w:r>
        <w:rPr>
          <w:rFonts w:hint="eastAsia" w:ascii="宋体" w:hAnsi="宋体" w:eastAsia="宋体" w:cs="宋体"/>
          <w:bCs/>
          <w:color w:val="auto"/>
          <w:highlight w:val="none"/>
        </w:rPr>
        <w:t>日，每天上午10:</w:t>
      </w:r>
      <w:r>
        <w:rPr>
          <w:rFonts w:hint="eastAsia" w:ascii="宋体" w:hAnsi="宋体" w:eastAsia="宋体" w:cs="宋体"/>
          <w:bCs/>
          <w:color w:val="auto"/>
          <w:highlight w:val="none"/>
          <w:lang w:val="en-US" w:eastAsia="zh-CN"/>
        </w:rPr>
        <w:t>0</w:t>
      </w:r>
      <w:r>
        <w:rPr>
          <w:rFonts w:hint="eastAsia" w:ascii="宋体" w:hAnsi="宋体" w:eastAsia="宋体" w:cs="宋体"/>
          <w:bCs/>
          <w:color w:val="auto"/>
          <w:highlight w:val="none"/>
        </w:rPr>
        <w:t>0至13:30，下午15:30至19:00（北京时间，法定节假日除外）</w:t>
      </w:r>
    </w:p>
    <w:p>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地点：登录政采云平台https://www.zcygov.cn/后进入“项目采购”应用，在获取采购文件菜单中选择项目，自行获取采购文件。</w:t>
      </w:r>
    </w:p>
    <w:p>
      <w:pPr>
        <w:widowControl/>
        <w:spacing w:line="360" w:lineRule="auto"/>
        <w:ind w:firstLine="420" w:firstLineChars="200"/>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方式：</w:t>
      </w:r>
      <w:r>
        <w:rPr>
          <w:rFonts w:hint="eastAsia" w:ascii="宋体" w:hAnsi="宋体" w:eastAsia="宋体" w:cs="宋体"/>
          <w:bCs/>
          <w:color w:val="auto"/>
          <w:highlight w:val="none"/>
          <w:lang w:eastAsia="zh-CN"/>
        </w:rPr>
        <w:t>线上获取</w:t>
      </w:r>
    </w:p>
    <w:p>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售价（元）：</w:t>
      </w:r>
      <w:r>
        <w:rPr>
          <w:rFonts w:hint="eastAsia" w:ascii="宋体" w:hAnsi="宋体" w:eastAsia="宋体" w:cs="宋体"/>
          <w:bCs/>
          <w:color w:val="auto"/>
          <w:highlight w:val="none"/>
          <w:lang w:val="en-US" w:eastAsia="zh-CN"/>
        </w:rPr>
        <w:t>0</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四、提交投标文件截止时间、开标时间和地点</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提交投标文件截止时间：202</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 xml:space="preserve"> 7</w:t>
      </w:r>
      <w:r>
        <w:rPr>
          <w:rFonts w:hint="eastAsia" w:ascii="宋体" w:hAnsi="宋体" w:eastAsia="宋体" w:cs="宋体"/>
          <w:bCs/>
          <w:color w:val="auto"/>
          <w:highlight w:val="none"/>
        </w:rPr>
        <w:t xml:space="preserve">日 </w:t>
      </w:r>
      <w:r>
        <w:rPr>
          <w:rFonts w:hint="eastAsia" w:ascii="宋体" w:hAnsi="宋体" w:cs="宋体"/>
          <w:bCs/>
          <w:color w:val="auto"/>
          <w:highlight w:val="none"/>
          <w:lang w:val="en-US" w:eastAsia="zh-CN"/>
        </w:rPr>
        <w:t>11</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00</w:t>
      </w:r>
      <w:r>
        <w:rPr>
          <w:rFonts w:hint="eastAsia" w:ascii="宋体" w:hAnsi="宋体" w:eastAsia="宋体" w:cs="宋体"/>
          <w:bCs/>
          <w:color w:val="auto"/>
          <w:highlight w:val="none"/>
        </w:rPr>
        <w:t>（北京时间）</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投标地点：</w:t>
      </w:r>
      <w:r>
        <w:rPr>
          <w:rFonts w:hint="eastAsia" w:ascii="宋体" w:hAnsi="宋体" w:eastAsia="宋体" w:cs="宋体"/>
          <w:bCs/>
          <w:color w:val="auto"/>
          <w:highlight w:val="none"/>
          <w:lang w:val="en-US" w:eastAsia="zh-CN"/>
        </w:rPr>
        <w:t>政采云平台https://www.zcygov.cn/ 注：</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应将投标文件上传至政采云平台对应位置（逾期未上传的或不符合规定的投标文件将被拒绝接收）。</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开标时间：202</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日</w:t>
      </w:r>
      <w:r>
        <w:rPr>
          <w:rFonts w:hint="eastAsia" w:ascii="宋体" w:hAnsi="宋体" w:cs="宋体"/>
          <w:bCs/>
          <w:color w:val="auto"/>
          <w:highlight w:val="none"/>
          <w:lang w:val="en-US" w:eastAsia="zh-CN"/>
        </w:rPr>
        <w:t>11</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00</w:t>
      </w:r>
      <w:r>
        <w:rPr>
          <w:rFonts w:hint="eastAsia" w:ascii="宋体" w:hAnsi="宋体" w:eastAsia="宋体" w:cs="宋体"/>
          <w:bCs/>
          <w:color w:val="auto"/>
          <w:highlight w:val="none"/>
        </w:rPr>
        <w:t xml:space="preserve"> （北京时间）</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开标地点：</w:t>
      </w:r>
      <w:r>
        <w:rPr>
          <w:rFonts w:hint="eastAsia" w:ascii="宋体" w:hAnsi="宋体" w:eastAsia="宋体" w:cs="宋体"/>
          <w:bCs/>
          <w:color w:val="auto"/>
          <w:highlight w:val="none"/>
          <w:lang w:val="en-US" w:eastAsia="zh-CN"/>
        </w:rPr>
        <w:t>政采云平台https://www.zcygov.cn/</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五、公告期限</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自本公告发布之日起5个工作日。</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六、其他补充事宜</w:t>
      </w:r>
    </w:p>
    <w:p>
      <w:pPr>
        <w:widowControl/>
        <w:spacing w:line="360" w:lineRule="auto"/>
        <w:ind w:firstLine="420" w:firstLineChars="200"/>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1、本项目为电子招投标项目，供应商需要使用CA加密设备，凡参加本项目</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可自主通过新疆CA申领渠道“新疆政务通”申请政采云平台可使用的CA设备。如有操作性问题可与政采云在线客服进行咨询，咨询电话：95763；</w:t>
      </w:r>
      <w:r>
        <w:rPr>
          <w:rFonts w:hint="eastAsia" w:ascii="宋体" w:hAnsi="宋体" w:eastAsia="宋体" w:cs="宋体"/>
          <w:bCs/>
          <w:color w:val="auto"/>
          <w:highlight w:val="none"/>
          <w:lang w:val="en-US" w:eastAsia="zh-CN"/>
        </w:rPr>
        <w:br w:type="textWrapping"/>
      </w:r>
      <w:r>
        <w:rPr>
          <w:rFonts w:hint="eastAsia" w:ascii="宋体" w:hAnsi="宋体" w:eastAsia="宋体" w:cs="宋体"/>
          <w:bCs/>
          <w:color w:val="auto"/>
          <w:highlight w:val="none"/>
          <w:lang w:val="en-US" w:eastAsia="zh-CN"/>
        </w:rPr>
        <w:t xml:space="preserve">    2、本项目实行网上投标，采用电子投标文件；    </w:t>
      </w:r>
    </w:p>
    <w:p>
      <w:pPr>
        <w:widowControl/>
        <w:spacing w:line="360" w:lineRule="auto"/>
        <w:ind w:firstLine="420" w:firstLineChars="200"/>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3、各</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应在开标前确保成为新疆政府采购网正式注册入库</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，并完成CA数字证书申领。因未注册入库、未办理CA数字证书等原因造成无法谈判或谈判失败等后果由供应商自行承担。</w:t>
      </w:r>
      <w:r>
        <w:rPr>
          <w:rFonts w:hint="eastAsia" w:ascii="宋体" w:hAnsi="宋体" w:eastAsia="宋体" w:cs="宋体"/>
          <w:bCs/>
          <w:color w:val="auto"/>
          <w:highlight w:val="none"/>
          <w:lang w:val="en-US" w:eastAsia="zh-CN"/>
        </w:rPr>
        <w:br w:type="textWrapping"/>
      </w:r>
      <w:r>
        <w:rPr>
          <w:rFonts w:hint="eastAsia" w:ascii="宋体" w:hAnsi="宋体" w:eastAsia="宋体" w:cs="宋体"/>
          <w:bCs/>
          <w:color w:val="auto"/>
          <w:highlight w:val="none"/>
          <w:lang w:val="en-US" w:eastAsia="zh-CN"/>
        </w:rPr>
        <w:t xml:space="preserve">    4、</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宋体"/>
          <w:bCs/>
          <w:color w:val="auto"/>
          <w:highlight w:val="none"/>
          <w:lang w:val="en-US" w:eastAsia="zh-CN"/>
        </w:rPr>
        <w:br w:type="textWrapping"/>
      </w:r>
      <w:r>
        <w:rPr>
          <w:rFonts w:hint="eastAsia" w:ascii="宋体" w:hAnsi="宋体" w:eastAsia="宋体" w:cs="宋体"/>
          <w:bCs/>
          <w:color w:val="auto"/>
          <w:highlight w:val="none"/>
          <w:lang w:val="en-US" w:eastAsia="zh-CN"/>
        </w:rPr>
        <w:t xml:space="preserve">    5、</w:t>
      </w:r>
      <w:r>
        <w:rPr>
          <w:rFonts w:hint="eastAsia" w:ascii="宋体" w:hAnsi="宋体" w:cs="宋体"/>
          <w:bCs/>
          <w:color w:val="auto"/>
          <w:highlight w:val="none"/>
          <w:lang w:val="en-US" w:eastAsia="zh-CN"/>
        </w:rPr>
        <w:t>供应商</w:t>
      </w:r>
      <w:r>
        <w:rPr>
          <w:rFonts w:hint="eastAsia" w:ascii="宋体" w:hAnsi="宋体" w:eastAsia="宋体" w:cs="宋体"/>
          <w:bCs/>
          <w:color w:val="auto"/>
          <w:highlight w:val="none"/>
          <w:lang w:val="en-US" w:eastAsia="zh-CN"/>
        </w:rPr>
        <w:t>应当在投标截止时间前，将生成的“电子加密投标文件”上传递交至“政府采购云平台”，投标截止时间以后上传递交的投标文件将被“政府采购云平台”拒收。</w:t>
      </w:r>
    </w:p>
    <w:p>
      <w:pPr>
        <w:widowControl/>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七、对本次采购提出询问，请按以下方式联系</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1.采购人信息</w:t>
      </w:r>
    </w:p>
    <w:p>
      <w:pPr>
        <w:widowControl/>
        <w:spacing w:line="360" w:lineRule="auto"/>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名 称：新疆维吾尔自治区克孜勒苏</w:t>
      </w:r>
      <w:r>
        <w:rPr>
          <w:rFonts w:hint="eastAsia" w:ascii="宋体" w:hAnsi="宋体" w:cs="宋体"/>
          <w:bCs/>
          <w:color w:val="auto"/>
          <w:highlight w:val="none"/>
          <w:lang w:eastAsia="zh-CN"/>
        </w:rPr>
        <w:t>某单位</w:t>
      </w:r>
    </w:p>
    <w:p>
      <w:pPr>
        <w:widowControl/>
        <w:spacing w:line="360" w:lineRule="auto"/>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地 址：新疆克州阿图什市阿湖乡</w:t>
      </w:r>
    </w:p>
    <w:p>
      <w:pPr>
        <w:widowControl/>
        <w:spacing w:line="360" w:lineRule="auto"/>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联系人：向志国</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联系方式：19990677287</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2.采购代理机构信息</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名 称：新疆元泓工程项目管理咨询有限公司 </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地 址：乌鲁木齐市经济技术开发区乌昌路252号九方财富广场A座525室</w:t>
      </w:r>
      <w:r>
        <w:rPr>
          <w:rFonts w:hint="eastAsia" w:ascii="宋体" w:hAnsi="宋体" w:eastAsia="宋体" w:cs="宋体"/>
          <w:bCs/>
          <w:color w:val="auto"/>
          <w:highlight w:val="none"/>
          <w:lang w:val="en-US" w:eastAsia="zh-CN"/>
        </w:rPr>
        <w:t xml:space="preserve"> </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联系方式：</w:t>
      </w:r>
      <w:r>
        <w:rPr>
          <w:rFonts w:hint="eastAsia" w:ascii="宋体" w:hAnsi="宋体" w:cs="宋体"/>
          <w:bCs/>
          <w:color w:val="auto"/>
          <w:highlight w:val="none"/>
          <w:lang w:val="en-US" w:eastAsia="zh-CN"/>
        </w:rPr>
        <w:t>0991-3726636转801</w:t>
      </w:r>
    </w:p>
    <w:p>
      <w:pPr>
        <w:widowControl/>
        <w:numPr>
          <w:ilvl w:val="0"/>
          <w:numId w:val="1"/>
        </w:numPr>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项目联系方式</w:t>
      </w:r>
    </w:p>
    <w:p>
      <w:pPr>
        <w:widowControl/>
        <w:numPr>
          <w:ilvl w:val="0"/>
          <w:numId w:val="0"/>
        </w:numPr>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项目联系人：</w:t>
      </w:r>
      <w:r>
        <w:rPr>
          <w:rFonts w:hint="eastAsia" w:ascii="宋体" w:hAnsi="宋体" w:cs="宋体"/>
          <w:bCs/>
          <w:color w:val="auto"/>
          <w:highlight w:val="none"/>
          <w:lang w:val="en-US" w:eastAsia="zh-CN"/>
        </w:rPr>
        <w:t>李楠、穆香竹、高娟</w:t>
      </w:r>
      <w:r>
        <w:rPr>
          <w:rFonts w:hint="eastAsia" w:ascii="宋体" w:hAnsi="宋体" w:eastAsia="宋体" w:cs="宋体"/>
          <w:bCs/>
          <w:color w:val="auto"/>
          <w:highlight w:val="none"/>
          <w:lang w:val="en-US" w:eastAsia="zh-CN"/>
        </w:rPr>
        <w:t xml:space="preserve">     </w:t>
      </w:r>
    </w:p>
    <w:p>
      <w:pPr>
        <w:rPr>
          <w:rFonts w:hint="eastAsia" w:ascii="宋体" w:hAnsi="宋体" w:cs="宋体"/>
          <w:bCs/>
          <w:color w:val="auto"/>
          <w:highlight w:val="none"/>
          <w:lang w:val="en-US" w:eastAsia="zh-CN"/>
        </w:rPr>
      </w:pPr>
      <w:r>
        <w:rPr>
          <w:rFonts w:hint="eastAsia" w:ascii="宋体" w:hAnsi="宋体" w:eastAsia="宋体" w:cs="宋体"/>
          <w:bCs/>
          <w:color w:val="auto"/>
          <w:highlight w:val="none"/>
        </w:rPr>
        <w:t>电 话：</w:t>
      </w:r>
      <w:r>
        <w:rPr>
          <w:rFonts w:hint="eastAsia" w:ascii="宋体" w:hAnsi="宋体" w:cs="宋体"/>
          <w:bCs/>
          <w:color w:val="auto"/>
          <w:highlight w:val="none"/>
          <w:lang w:val="en-US" w:eastAsia="zh-CN"/>
        </w:rPr>
        <w:t>0991-3726636转801</w:t>
      </w:r>
    </w:p>
    <w:p>
      <w:pPr>
        <w:widowControl/>
        <w:numPr>
          <w:ilvl w:val="0"/>
          <w:numId w:val="0"/>
        </w:num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idowControl/>
        <w:numPr>
          <w:ilvl w:val="0"/>
          <w:numId w:val="0"/>
        </w:num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第二部分   </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须知前附表</w:t>
      </w:r>
    </w:p>
    <w:tbl>
      <w:tblPr>
        <w:tblStyle w:val="1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7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175"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名称</w:t>
            </w:r>
          </w:p>
        </w:tc>
        <w:tc>
          <w:tcPr>
            <w:tcW w:w="78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75"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项目名称及编号</w:t>
            </w:r>
          </w:p>
        </w:tc>
        <w:tc>
          <w:tcPr>
            <w:tcW w:w="7875" w:type="dxa"/>
            <w:vAlign w:val="center"/>
          </w:tcPr>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：新疆维吾尔自治区克孜勒苏</w:t>
            </w:r>
            <w:r>
              <w:rPr>
                <w:rFonts w:hint="eastAsia" w:ascii="宋体" w:hAnsi="宋体" w:cs="宋体"/>
                <w:color w:val="auto"/>
                <w:highlight w:val="none"/>
                <w:lang w:val="en-US" w:eastAsia="zh-CN"/>
              </w:rPr>
              <w:t>某单位</w:t>
            </w:r>
            <w:r>
              <w:rPr>
                <w:rFonts w:hint="eastAsia" w:ascii="宋体" w:hAnsi="宋体" w:eastAsia="宋体" w:cs="宋体"/>
                <w:color w:val="auto"/>
                <w:highlight w:val="none"/>
                <w:lang w:eastAsia="zh-CN"/>
              </w:rPr>
              <w:t>食堂餐饮服务项目</w:t>
            </w:r>
          </w:p>
          <w:p>
            <w:pPr>
              <w:spacing w:line="320" w:lineRule="exact"/>
              <w:rPr>
                <w:rFonts w:hint="default" w:ascii="宋体" w:hAnsi="宋体" w:eastAsia="宋体" w:cs="宋体"/>
                <w:color w:val="auto"/>
                <w:highlight w:val="none"/>
                <w:lang w:val="en-US"/>
              </w:rPr>
            </w:pP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编号：</w:t>
            </w:r>
            <w:r>
              <w:rPr>
                <w:rFonts w:hint="eastAsia" w:ascii="宋体" w:hAnsi="宋体" w:eastAsia="宋体" w:cs="宋体"/>
                <w:bCs/>
                <w:color w:val="auto"/>
                <w:highlight w:val="none"/>
                <w:lang w:eastAsia="zh-CN"/>
              </w:rPr>
              <w:t>XJYHZB2024-055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1175"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联系方式</w:t>
            </w:r>
          </w:p>
        </w:tc>
        <w:tc>
          <w:tcPr>
            <w:tcW w:w="7875" w:type="dxa"/>
            <w:vAlign w:val="center"/>
          </w:tcPr>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：新疆维吾尔自治区克孜勒苏</w:t>
            </w:r>
            <w:r>
              <w:rPr>
                <w:rFonts w:hint="eastAsia" w:ascii="宋体" w:hAnsi="宋体" w:cs="宋体"/>
                <w:color w:val="auto"/>
                <w:highlight w:val="none"/>
                <w:lang w:eastAsia="zh-CN"/>
              </w:rPr>
              <w:t>某单位</w:t>
            </w:r>
          </w:p>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w:t>
            </w:r>
            <w:r>
              <w:rPr>
                <w:rFonts w:hint="eastAsia" w:ascii="宋体" w:hAnsi="宋体" w:eastAsia="宋体" w:cs="宋体"/>
                <w:bCs/>
                <w:color w:val="auto"/>
                <w:highlight w:val="none"/>
              </w:rPr>
              <w:t>向志国</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bCs/>
                <w:color w:val="auto"/>
                <w:highlight w:val="none"/>
              </w:rPr>
              <w:t>19990677287</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招标代理机构</w:t>
            </w:r>
            <w:r>
              <w:rPr>
                <w:rFonts w:hint="eastAsia" w:ascii="宋体" w:hAnsi="宋体" w:eastAsia="宋体" w:cs="宋体"/>
                <w:color w:val="auto"/>
                <w:highlight w:val="none"/>
              </w:rPr>
              <w:t>：新疆元泓工程项目管理咨询有限公司 </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李楠、穆香竹、高娟</w:t>
            </w:r>
            <w:r>
              <w:rPr>
                <w:rFonts w:hint="eastAsia" w:ascii="宋体" w:hAnsi="宋体" w:eastAsia="宋体" w:cs="宋体"/>
                <w:bCs/>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cs="宋体"/>
                <w:color w:val="auto"/>
                <w:highlight w:val="none"/>
                <w:lang w:val="en-US" w:eastAsia="zh-CN"/>
              </w:rPr>
              <w:t>0991-3726636转801</w:t>
            </w:r>
            <w:r>
              <w:rPr>
                <w:rFonts w:hint="eastAsia" w:ascii="宋体" w:hAnsi="宋体" w:eastAsia="宋体" w:cs="宋体"/>
                <w:color w:val="auto"/>
                <w:highlight w:val="none"/>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预算金额</w:t>
            </w:r>
          </w:p>
        </w:tc>
        <w:tc>
          <w:tcPr>
            <w:tcW w:w="7875" w:type="dxa"/>
            <w:vAlign w:val="center"/>
          </w:tcPr>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预算金额：</w:t>
            </w:r>
            <w:r>
              <w:rPr>
                <w:rFonts w:hint="eastAsia" w:ascii="宋体" w:hAnsi="宋体" w:cs="宋体"/>
                <w:color w:val="auto"/>
                <w:highlight w:val="none"/>
                <w:lang w:val="en-US" w:eastAsia="zh-CN"/>
              </w:rPr>
              <w:t>2400000元/年（200000</w:t>
            </w:r>
            <w:r>
              <w:rPr>
                <w:rFonts w:hint="eastAsia" w:ascii="宋体" w:hAnsi="宋体" w:eastAsia="宋体" w:cs="宋体"/>
                <w:color w:val="auto"/>
                <w:highlight w:val="none"/>
                <w:lang w:val="en-US" w:eastAsia="zh-CN"/>
              </w:rPr>
              <w:t>元</w:t>
            </w:r>
            <w:r>
              <w:rPr>
                <w:rFonts w:hint="eastAsia" w:ascii="宋体" w:hAnsi="宋体" w:cs="宋体"/>
                <w:color w:val="auto"/>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175"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服务期限及地点</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服务期限</w:t>
            </w:r>
            <w:r>
              <w:rPr>
                <w:rFonts w:hint="eastAsia" w:ascii="宋体" w:hAnsi="宋体" w:eastAsia="宋体" w:cs="宋体"/>
                <w:color w:val="auto"/>
                <w:highlight w:val="none"/>
              </w:rPr>
              <w:t>：自合同签订之日起</w:t>
            </w:r>
            <w:r>
              <w:rPr>
                <w:rFonts w:hint="eastAsia" w:ascii="宋体" w:hAnsi="宋体" w:eastAsia="宋体" w:cs="宋体"/>
                <w:color w:val="auto"/>
                <w:highlight w:val="none"/>
                <w:lang w:val="en-US" w:eastAsia="zh-CN"/>
              </w:rPr>
              <w:t>一年</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服务地点：</w:t>
            </w:r>
            <w:r>
              <w:rPr>
                <w:rFonts w:hint="eastAsia" w:ascii="宋体" w:hAnsi="宋体" w:eastAsia="宋体" w:cs="宋体"/>
                <w:bCs/>
                <w:color w:val="auto"/>
                <w:highlight w:val="none"/>
              </w:rPr>
              <w:t>新疆克州阿图什市阿湖乡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7875" w:type="dxa"/>
            <w:vAlign w:val="center"/>
          </w:tcPr>
          <w:p>
            <w:pPr>
              <w:snapToGrid w:val="0"/>
              <w:spacing w:line="420" w:lineRule="exact"/>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详见招标文件第四部分</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175" w:type="dxa"/>
            <w:vAlign w:val="center"/>
          </w:tcPr>
          <w:p>
            <w:pPr>
              <w:spacing w:line="320" w:lineRule="exact"/>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资格要求</w:t>
            </w:r>
          </w:p>
          <w:p>
            <w:pPr>
              <w:spacing w:line="320" w:lineRule="exact"/>
              <w:jc w:val="center"/>
              <w:rPr>
                <w:rFonts w:hint="eastAsia" w:ascii="宋体" w:hAnsi="宋体" w:eastAsia="宋体" w:cs="宋体"/>
                <w:color w:val="auto"/>
                <w:highlight w:val="none"/>
              </w:rPr>
            </w:pPr>
          </w:p>
        </w:tc>
        <w:tc>
          <w:tcPr>
            <w:tcW w:w="7875" w:type="dxa"/>
            <w:vAlign w:val="center"/>
          </w:tcPr>
          <w:p>
            <w:pPr>
              <w:widowControl/>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highlight w:val="none"/>
              </w:rPr>
              <w:t>1.满足《中华人民共和国政府采购法》第二十二条规定；</w:t>
            </w:r>
          </w:p>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2.落实政府采购政策需满足的资格要求：</w:t>
            </w:r>
            <w:r>
              <w:rPr>
                <w:rFonts w:hint="eastAsia" w:ascii="宋体" w:hAnsi="宋体" w:eastAsia="宋体" w:cs="宋体"/>
                <w:bCs/>
                <w:color w:val="auto"/>
                <w:highlight w:val="none"/>
                <w:lang w:eastAsia="zh-CN"/>
              </w:rPr>
              <w:t>本项目整体专门面向</w:t>
            </w:r>
            <w:r>
              <w:rPr>
                <w:rFonts w:hint="eastAsia" w:ascii="宋体" w:hAnsi="宋体" w:cs="宋体"/>
                <w:bCs/>
                <w:color w:val="auto"/>
                <w:highlight w:val="none"/>
                <w:lang w:val="en-US" w:eastAsia="zh-CN"/>
              </w:rPr>
              <w:t>小微</w:t>
            </w:r>
            <w:r>
              <w:rPr>
                <w:rFonts w:hint="eastAsia" w:ascii="宋体" w:hAnsi="宋体" w:eastAsia="宋体" w:cs="宋体"/>
                <w:bCs/>
                <w:color w:val="auto"/>
                <w:highlight w:val="none"/>
                <w:lang w:eastAsia="zh-CN"/>
              </w:rPr>
              <w:t>企业采购，参加本次采购的供应商需提供《中小企业声明函》。监狱企业、残疾人福利性单位视同小型、微型企业）</w:t>
            </w:r>
            <w:r>
              <w:rPr>
                <w:rFonts w:hint="eastAsia" w:ascii="宋体" w:hAnsi="宋体" w:cs="宋体"/>
                <w:bCs/>
                <w:color w:val="auto"/>
                <w:highlight w:val="none"/>
                <w:lang w:eastAsia="zh-CN"/>
              </w:rPr>
              <w:t>；</w:t>
            </w:r>
          </w:p>
          <w:p>
            <w:pPr>
              <w:widowControl/>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3.本项目的特定资格要求：</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bCs/>
                <w:color w:val="auto"/>
                <w:highlight w:val="none"/>
              </w:rPr>
              <w:t>（1）</w:t>
            </w:r>
            <w:r>
              <w:rPr>
                <w:rFonts w:hint="eastAsia" w:ascii="宋体" w:hAnsi="宋体" w:cs="宋体"/>
                <w:bCs/>
                <w:color w:val="auto"/>
                <w:highlight w:val="none"/>
                <w:lang w:eastAsia="zh-CN"/>
              </w:rPr>
              <w:t>供应商</w:t>
            </w:r>
            <w:r>
              <w:rPr>
                <w:rFonts w:hint="eastAsia" w:ascii="宋体" w:hAnsi="宋体" w:eastAsia="宋体" w:cs="宋体"/>
                <w:bCs/>
                <w:color w:val="auto"/>
                <w:highlight w:val="none"/>
                <w:lang w:eastAsia="zh-CN"/>
              </w:rPr>
              <w:t>具有有效期内的《食品经营许可证》</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且所有</w:t>
            </w:r>
            <w:r>
              <w:rPr>
                <w:rFonts w:hint="eastAsia" w:ascii="宋体" w:hAnsi="宋体" w:cs="宋体"/>
                <w:bCs/>
                <w:color w:val="auto"/>
                <w:highlight w:val="none"/>
                <w:lang w:eastAsia="zh-CN"/>
              </w:rPr>
              <w:t>餐饮服务上岗人员均需具备在有效期内的健康证</w:t>
            </w:r>
            <w:r>
              <w:rPr>
                <w:rFonts w:hint="eastAsia" w:ascii="宋体" w:hAnsi="宋体" w:eastAsia="宋体" w:cs="宋体"/>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175" w:type="dxa"/>
            <w:vAlign w:val="center"/>
          </w:tcPr>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评标方法</w:t>
            </w:r>
          </w:p>
        </w:tc>
        <w:tc>
          <w:tcPr>
            <w:tcW w:w="7875" w:type="dxa"/>
            <w:vAlign w:val="center"/>
          </w:tcPr>
          <w:p>
            <w:pPr>
              <w:widowControl/>
              <w:spacing w:line="360" w:lineRule="auto"/>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信用信息查询时间及方式</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1、查询时间：自公告发布之日起至投标文件递交截止时间止（该时间段内任一时间），</w:t>
            </w:r>
            <w:r>
              <w:rPr>
                <w:rFonts w:hint="eastAsia" w:ascii="宋体" w:hAnsi="宋体" w:eastAsia="宋体" w:cs="宋体"/>
                <w:b/>
                <w:bCs/>
                <w:color w:val="auto"/>
                <w:highlight w:val="none"/>
              </w:rPr>
              <w:t>未体现查询时间或超出此时间范围将被视为无效投标</w:t>
            </w:r>
            <w:r>
              <w:rPr>
                <w:rFonts w:hint="eastAsia" w:ascii="宋体" w:hAnsi="宋体" w:eastAsia="宋体" w:cs="宋体"/>
                <w:color w:val="auto"/>
                <w:highlight w:val="none"/>
              </w:rPr>
              <w:t>。</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2、查询方式：</w:t>
            </w:r>
            <w:r>
              <w:rPr>
                <w:rFonts w:hint="eastAsia" w:ascii="宋体" w:hAnsi="宋体" w:cs="宋体"/>
                <w:color w:val="auto"/>
                <w:highlight w:val="none"/>
                <w:lang w:eastAsia="zh-CN"/>
              </w:rPr>
              <w:t>供应商</w:t>
            </w:r>
            <w:r>
              <w:rPr>
                <w:rFonts w:hint="eastAsia" w:ascii="宋体" w:hAnsi="宋体" w:eastAsia="宋体" w:cs="宋体"/>
                <w:color w:val="auto"/>
                <w:highlight w:val="none"/>
              </w:rPr>
              <w:t>自行通过“信用中国”“中国执行信息公开网”及“中国政府采购网”查询，并按招标文件要求提供网页材料。</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①“信用中国”网站查询截图（“信用中国”网站查询方法：信用服务-信用分类查询-重大税收违法失信主体-搜索栏输入单位全称-查询；②“中国执行信息公开网”网站查询截图(首页-失信被执行人-搜索栏输入单位全称-查询);③“中国政府采购网”网站查询截图：首页-政府采购严重违法失信行为记录名单-搜索栏输入单位全称-查询）； </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3、被列入重大税收违法失信主体、失信被执行人、政府采购严重违法失信行为记录名单及其他不符合《中华人民共和国政府采购法》第二十二条规定条件的供应商，其投标文件将被视为无效投标。</w:t>
            </w:r>
            <w:r>
              <w:rPr>
                <w:rFonts w:hint="eastAsia" w:ascii="宋体" w:hAnsi="宋体" w:eastAsia="宋体" w:cs="宋体"/>
                <w:b/>
                <w:bCs/>
                <w:color w:val="auto"/>
                <w:highlight w:val="none"/>
              </w:rPr>
              <w:t>未提供证明材料的视为不响应招标文件。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投标文件/电子标书 </w:t>
            </w:r>
          </w:p>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须知</w:t>
            </w:r>
          </w:p>
          <w:p>
            <w:pPr>
              <w:spacing w:line="320" w:lineRule="exact"/>
              <w:jc w:val="center"/>
              <w:rPr>
                <w:rFonts w:hint="eastAsia" w:ascii="宋体" w:hAnsi="宋体" w:eastAsia="宋体" w:cs="宋体"/>
                <w:color w:val="auto"/>
                <w:highlight w:val="none"/>
              </w:rPr>
            </w:pPr>
          </w:p>
        </w:tc>
        <w:tc>
          <w:tcPr>
            <w:tcW w:w="7875" w:type="dxa"/>
            <w:vAlign w:val="center"/>
          </w:tcPr>
          <w:p>
            <w:pPr>
              <w:numPr>
                <w:ilvl w:val="0"/>
                <w:numId w:val="2"/>
              </w:num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本项目采用远程不见面开标、</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需要递交电子投标文件，加密的电子投标文件（文件格式为.jmbs），在投标截止时间前通过政采云平台上传到指定位置；</w:t>
            </w:r>
          </w:p>
          <w:p>
            <w:pPr>
              <w:numPr>
                <w:ilvl w:val="0"/>
                <w:numId w:val="0"/>
              </w:num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2.开标当日，</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无需到达开标现场，仅需在任意地点通过政采云平台完成投标截止时间前签到、开标过程中远程解密、提疑澄清、开标唱标、结果公布等交互环节。本项目投标文件的解密时间定为30分钟，</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必须使用能正确解密投标文件的“CA锁”在规定的时间内完成远程解密，因</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原因未能解密、解密失败或解密超时，视为</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撤销其投标文件，系统内投标文件将被退回；</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参与“不见面”开标的招标人或其委托代理机构、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等各交易主体，应当按照规定使用CA数字证书及电子签章。各方主体在系统中所有操作均具有法律效力，并承担法律责任；</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由于数字证书遗失、损坏、更换、续期等情况导致投标文件无法解密，由</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（供应商）自行承担责任；</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6.开标、评标过程中，</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参与远程音视频交互（以下简称“交互”）的</w:t>
            </w:r>
            <w:r>
              <w:rPr>
                <w:rFonts w:hint="eastAsia" w:ascii="宋体" w:hAnsi="宋体" w:cs="宋体"/>
                <w:color w:val="auto"/>
                <w:highlight w:val="none"/>
                <w:lang w:val="en-US" w:eastAsia="zh-CN"/>
              </w:rPr>
              <w:t>法定代表人</w:t>
            </w:r>
            <w:r>
              <w:rPr>
                <w:rFonts w:hint="eastAsia" w:ascii="宋体" w:hAnsi="宋体" w:eastAsia="宋体" w:cs="宋体"/>
                <w:color w:val="auto"/>
                <w:highlight w:val="none"/>
                <w:lang w:val="en-US" w:eastAsia="zh-CN"/>
              </w:rPr>
              <w:t>或授权委托人应始终为同一人，中途不得更换，并保持签到的通讯畅通。</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端口操作人员均被视为</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法人代表或授权委托人，</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投标文件编制及密封</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须在开标后提供纸质版投标文件</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份（1正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副，密封在档案袋中），未加密的电子投标文件1份U盘（内容：投标文件正本按照招标文件规定的投标文件格式加盖完</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公章及法定代表人章的彩色扫描件，PDF格式），做好标示，密封提交至新疆元泓工程项目管理咨询有限公司（乌鲁木齐市经开区乌昌路252号九方财富广场A座525），纸质版投标文件与电子版投标文件内容保持一致，由此产生的一切风险与后果由各潜在投标供应商承担。装订应采取A4纸分包牢固胶装装订成册，必须编写目录页码（页码应连续），</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应在密封袋上注明项目名称、编号和</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投标文件签署及盖章</w:t>
            </w:r>
          </w:p>
        </w:tc>
        <w:tc>
          <w:tcPr>
            <w:tcW w:w="7875" w:type="dxa"/>
            <w:vAlign w:val="center"/>
          </w:tcPr>
          <w:p>
            <w:pPr>
              <w:numPr>
                <w:ilvl w:val="0"/>
                <w:numId w:val="0"/>
              </w:num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投标文件的页面必须用印刷体打印。</w:t>
            </w:r>
          </w:p>
          <w:p>
            <w:pPr>
              <w:numPr>
                <w:ilvl w:val="0"/>
                <w:numId w:val="0"/>
              </w:num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除</w:t>
            </w:r>
            <w:r>
              <w:rPr>
                <w:rFonts w:hint="eastAsia" w:ascii="宋体" w:hAnsi="宋体" w:cs="宋体"/>
                <w:color w:val="auto"/>
                <w:highlight w:val="none"/>
                <w:lang w:eastAsia="zh-CN"/>
              </w:rPr>
              <w:t>供应商</w:t>
            </w:r>
            <w:r>
              <w:rPr>
                <w:rFonts w:hint="eastAsia" w:ascii="宋体" w:hAnsi="宋体" w:eastAsia="宋体" w:cs="宋体"/>
                <w:color w:val="auto"/>
                <w:highlight w:val="none"/>
              </w:rPr>
              <w:t>对错处做必要修改外，投标文件不得行间插字、涂改或增删，必要的修改处必须有</w:t>
            </w:r>
            <w:r>
              <w:rPr>
                <w:rFonts w:hint="eastAsia" w:ascii="宋体" w:hAnsi="宋体" w:cs="宋体"/>
                <w:color w:val="auto"/>
                <w:highlight w:val="none"/>
                <w:lang w:eastAsia="zh-CN"/>
              </w:rPr>
              <w:t>供应商</w:t>
            </w:r>
            <w:r>
              <w:rPr>
                <w:rFonts w:hint="eastAsia" w:ascii="宋体" w:hAnsi="宋体" w:eastAsia="宋体" w:cs="宋体"/>
                <w:color w:val="auto"/>
                <w:highlight w:val="none"/>
              </w:rPr>
              <w:t>法定代表人或其法人授权代表人签字并加盖公章。</w:t>
            </w:r>
          </w:p>
          <w:p>
            <w:pPr>
              <w:numPr>
                <w:ilvl w:val="0"/>
                <w:numId w:val="0"/>
              </w:num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投标文件应由法定代表人或法人授权代表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在规定的签章处逐一签署或加盖单位公章，投标文件方为有效，</w:t>
            </w:r>
            <w:r>
              <w:rPr>
                <w:rFonts w:hint="eastAsia" w:ascii="宋体" w:hAnsi="宋体" w:eastAsia="宋体" w:cs="宋体"/>
                <w:b/>
                <w:bCs/>
                <w:color w:val="auto"/>
                <w:highlight w:val="none"/>
              </w:rPr>
              <w:t>否则视为不响应招标文件</w:t>
            </w:r>
            <w:r>
              <w:rPr>
                <w:rFonts w:hint="eastAsia" w:ascii="宋体" w:hAnsi="宋体" w:eastAsia="宋体" w:cs="宋体"/>
                <w:color w:val="auto"/>
                <w:highlight w:val="none"/>
              </w:rPr>
              <w:t>。</w:t>
            </w:r>
          </w:p>
          <w:p>
            <w:pPr>
              <w:numPr>
                <w:ilvl w:val="0"/>
                <w:numId w:val="0"/>
              </w:numPr>
              <w:spacing w:line="320" w:lineRule="exact"/>
              <w:rPr>
                <w:rFonts w:hint="eastAsia" w:ascii="宋体" w:hAnsi="宋体" w:eastAsia="宋体" w:cs="宋体"/>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color w:val="auto"/>
                <w:highlight w:val="none"/>
              </w:rPr>
              <w:t>招标文件格式要求加盖公章及签字处，</w:t>
            </w:r>
            <w:r>
              <w:rPr>
                <w:rFonts w:hint="eastAsia" w:ascii="宋体" w:hAnsi="宋体" w:cs="宋体"/>
                <w:color w:val="auto"/>
                <w:highlight w:val="none"/>
                <w:lang w:eastAsia="zh-CN"/>
              </w:rPr>
              <w:t>供应商</w:t>
            </w:r>
            <w:r>
              <w:rPr>
                <w:rFonts w:hint="eastAsia" w:ascii="宋体" w:hAnsi="宋体" w:eastAsia="宋体" w:cs="宋体"/>
                <w:color w:val="auto"/>
                <w:highlight w:val="none"/>
              </w:rPr>
              <w:t>均应使用 CA 数字证书加盖企业电子签章和法定代表人的电子签章。</w:t>
            </w:r>
          </w:p>
          <w:p>
            <w:pPr>
              <w:spacing w:line="32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投标文件的正本与副本应当完全一致。当正本和副本之间出现差异时，以正本为准。</w:t>
            </w:r>
          </w:p>
          <w:p>
            <w:pPr>
              <w:rPr>
                <w:rFonts w:hint="eastAsia" w:ascii="宋体" w:hAnsi="宋体" w:eastAsia="宋体" w:cs="宋体"/>
                <w:color w:val="auto"/>
                <w:highlight w:val="none"/>
              </w:rPr>
            </w:pPr>
            <w:r>
              <w:rPr>
                <w:rFonts w:hint="eastAsia" w:ascii="宋体" w:hAnsi="宋体" w:eastAsia="宋体" w:cs="宋体"/>
                <w:color w:val="auto"/>
                <w:highlight w:val="none"/>
              </w:rPr>
              <w:t>说明：若涉及到授权代表签字的可将文件签字页先进行签字、扫描后导入加密电子投标文件。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投标文件格式</w:t>
            </w:r>
          </w:p>
        </w:tc>
        <w:tc>
          <w:tcPr>
            <w:tcW w:w="7875" w:type="dxa"/>
            <w:vAlign w:val="center"/>
          </w:tcPr>
          <w:p>
            <w:pPr>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 xml:space="preserve">应按招标文件中提供的投标文件格式填写。 </w:t>
            </w:r>
          </w:p>
          <w:p>
            <w:pPr>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2.如招标文件没有提供格式的，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 xml:space="preserve">可自行设置。 </w:t>
            </w:r>
          </w:p>
          <w:p>
            <w:pPr>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 xml:space="preserve">应将投标文件按规定的顺序编排、并应编制目录、逐页标注连续页码。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7875" w:type="dxa"/>
            <w:vAlign w:val="center"/>
          </w:tcPr>
          <w:p>
            <w:pPr>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90日历天（从投标截止之日算起）如不满足将导致废标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投标保证金金额：</w:t>
            </w:r>
            <w:r>
              <w:rPr>
                <w:rFonts w:hint="eastAsia" w:ascii="宋体" w:hAnsi="宋体" w:cs="宋体"/>
                <w:color w:val="auto"/>
                <w:highlight w:val="none"/>
                <w:lang w:val="en-US" w:eastAsia="zh-CN"/>
              </w:rPr>
              <w:t>20000</w:t>
            </w:r>
            <w:r>
              <w:rPr>
                <w:rFonts w:hint="eastAsia" w:ascii="宋体" w:hAnsi="宋体" w:eastAsia="宋体" w:cs="宋体"/>
                <w:color w:val="auto"/>
                <w:highlight w:val="none"/>
              </w:rPr>
              <w:t>.00元（</w:t>
            </w:r>
            <w:r>
              <w:rPr>
                <w:rFonts w:hint="eastAsia" w:ascii="宋体" w:hAnsi="宋体" w:cs="宋体"/>
                <w:color w:val="auto"/>
                <w:highlight w:val="none"/>
                <w:lang w:val="en-US" w:eastAsia="zh-CN"/>
              </w:rPr>
              <w:t>贰万</w:t>
            </w:r>
            <w:r>
              <w:rPr>
                <w:rFonts w:hint="eastAsia" w:ascii="宋体" w:hAnsi="宋体" w:eastAsia="宋体" w:cs="宋体"/>
                <w:color w:val="auto"/>
                <w:highlight w:val="none"/>
              </w:rPr>
              <w:t>元整）</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开户单位名称：新疆元泓工程项目管理咨询有限公司</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开 户 行：交通银行股份有限公司乌鲁木齐青年路支行</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银行帐号：</w:t>
            </w:r>
            <w:r>
              <w:rPr>
                <w:rFonts w:hint="eastAsia" w:ascii="宋体" w:hAnsi="宋体" w:eastAsia="宋体" w:cs="宋体"/>
                <w:color w:val="auto"/>
                <w:highlight w:val="none"/>
                <w:lang w:val="en-US" w:eastAsia="zh-CN"/>
              </w:rPr>
              <w:t>86516510350188001001160</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银行行号：301881000198</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投标保证金的缴纳形式：投标保证金于开标之前从</w:t>
            </w:r>
            <w:r>
              <w:rPr>
                <w:rFonts w:hint="eastAsia" w:ascii="宋体" w:hAnsi="宋体" w:cs="宋体"/>
                <w:color w:val="auto"/>
                <w:highlight w:val="none"/>
                <w:lang w:eastAsia="zh-CN"/>
              </w:rPr>
              <w:t>供应商</w:t>
            </w:r>
            <w:r>
              <w:rPr>
                <w:rFonts w:hint="eastAsia" w:ascii="宋体" w:hAnsi="宋体" w:eastAsia="宋体" w:cs="宋体"/>
                <w:color w:val="auto"/>
                <w:highlight w:val="none"/>
              </w:rPr>
              <w:t>基本账户以银行电汇或网银形式汇至投标保证金专用账户，否则其投标文件将被拒绝评审。</w:t>
            </w:r>
            <w:r>
              <w:rPr>
                <w:rFonts w:hint="eastAsia" w:ascii="宋体" w:hAnsi="宋体" w:cs="宋体"/>
                <w:color w:val="auto"/>
                <w:highlight w:val="none"/>
                <w:lang w:eastAsia="zh-CN"/>
              </w:rPr>
              <w:t>供应商</w:t>
            </w:r>
            <w:r>
              <w:rPr>
                <w:rFonts w:hint="eastAsia" w:ascii="宋体" w:hAnsi="宋体" w:eastAsia="宋体" w:cs="宋体"/>
                <w:color w:val="auto"/>
                <w:highlight w:val="none"/>
              </w:rPr>
              <w:t>应充分考虑资金在途时间，以代理</w:t>
            </w:r>
            <w:bookmarkStart w:id="61" w:name="_GoBack"/>
            <w:bookmarkEnd w:id="61"/>
            <w:r>
              <w:rPr>
                <w:rFonts w:hint="eastAsia" w:ascii="宋体" w:hAnsi="宋体" w:eastAsia="宋体" w:cs="宋体"/>
                <w:color w:val="auto"/>
                <w:highlight w:val="none"/>
              </w:rPr>
              <w:t>机构的实际到账为准，无需更换保证金收据，文件内附保证金打款凭证即可。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保证金的退还</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供应商在投标截止时间前撤回已提交的响应文件的，采购人或者采购代理机构应当自收到供应商书面撤回通知之日起5个工作日内，退还已收取的投标保证金，但因供应商自身原因导致无法及时退还的除外。</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退还中标单位投标保证金时，中标单位须提供与招标人签订的合同原件一份（原件核查无误后退还）及已加盖中标方公章的合同全本复印件一份 （由代理机构存档备查）。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175" w:type="dxa"/>
            <w:vAlign w:val="center"/>
          </w:tcPr>
          <w:p>
            <w:pPr>
              <w:spacing w:line="320" w:lineRule="exact"/>
              <w:jc w:val="center"/>
              <w:rPr>
                <w:rFonts w:hint="eastAsia" w:ascii="宋体" w:hAnsi="宋体" w:eastAsia="宋体" w:cs="宋体"/>
                <w:color w:val="auto"/>
                <w:highlight w:val="none"/>
              </w:rPr>
            </w:pP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有下列情形之一的，保证金不予退还：</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在提交响应文件截止时间后撤回响应文件的；</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供应商</w:t>
            </w:r>
            <w:r>
              <w:rPr>
                <w:rFonts w:hint="eastAsia" w:ascii="宋体" w:hAnsi="宋体" w:eastAsia="宋体" w:cs="宋体"/>
                <w:color w:val="auto"/>
                <w:highlight w:val="none"/>
              </w:rPr>
              <w:t>在响应文件中提供虚假材料的；</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w:t>
            </w:r>
            <w:r>
              <w:rPr>
                <w:rFonts w:hint="eastAsia" w:ascii="宋体" w:hAnsi="宋体" w:eastAsia="宋体" w:cs="宋体"/>
                <w:color w:val="auto"/>
                <w:highlight w:val="none"/>
                <w:lang w:eastAsia="zh-CN"/>
              </w:rPr>
              <w:t>中标</w:t>
            </w:r>
            <w:r>
              <w:rPr>
                <w:rFonts w:hint="eastAsia" w:ascii="宋体" w:hAnsi="宋体" w:cs="宋体"/>
                <w:color w:val="auto"/>
                <w:highlight w:val="none"/>
                <w:lang w:eastAsia="zh-CN"/>
              </w:rPr>
              <w:t>供应商</w:t>
            </w:r>
            <w:r>
              <w:rPr>
                <w:rFonts w:hint="eastAsia" w:ascii="宋体" w:hAnsi="宋体" w:eastAsia="宋体" w:cs="宋体"/>
                <w:color w:val="auto"/>
                <w:highlight w:val="none"/>
              </w:rPr>
              <w:t>不与采购人签订合同的；</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供应商</w:t>
            </w:r>
            <w:r>
              <w:rPr>
                <w:rFonts w:hint="eastAsia" w:ascii="宋体" w:hAnsi="宋体" w:eastAsia="宋体" w:cs="宋体"/>
                <w:color w:val="auto"/>
                <w:highlight w:val="none"/>
              </w:rPr>
              <w:t>与采购人、其他供应商或者采购代理机构恶意串通的；</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88"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投标报价要求</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的报价应为所确定的招标范围内的全部工作内容的价格体现。</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投标文件递交截止时间及地点</w:t>
            </w:r>
          </w:p>
        </w:tc>
        <w:tc>
          <w:tcPr>
            <w:tcW w:w="7875" w:type="dxa"/>
            <w:vAlign w:val="center"/>
          </w:tcPr>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☑采用不见面开标：</w:t>
            </w:r>
          </w:p>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时间：202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日</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时</w:t>
            </w:r>
            <w:r>
              <w:rPr>
                <w:rFonts w:hint="eastAsia" w:ascii="宋体" w:hAnsi="宋体" w:cs="宋体"/>
                <w:color w:val="auto"/>
                <w:kern w:val="2"/>
                <w:sz w:val="21"/>
                <w:szCs w:val="21"/>
                <w:highlight w:val="none"/>
                <w:lang w:val="en-US" w:eastAsia="zh-CN" w:bidi="ar-SA"/>
              </w:rPr>
              <w:t>00</w:t>
            </w:r>
            <w:r>
              <w:rPr>
                <w:rFonts w:hint="eastAsia" w:ascii="宋体" w:hAnsi="宋体" w:eastAsia="宋体" w:cs="宋体"/>
                <w:color w:val="auto"/>
                <w:kern w:val="2"/>
                <w:sz w:val="21"/>
                <w:szCs w:val="21"/>
                <w:highlight w:val="none"/>
                <w:lang w:val="en-US" w:eastAsia="zh-CN" w:bidi="ar-SA"/>
              </w:rPr>
              <w:t>分（北京时间）</w:t>
            </w:r>
          </w:p>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地点：政采云平台（https://www.zcygov.cn/）远程不见面开标大厅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175" w:type="dxa"/>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开标时间及地点</w:t>
            </w:r>
          </w:p>
        </w:tc>
        <w:tc>
          <w:tcPr>
            <w:tcW w:w="7875" w:type="dxa"/>
            <w:vAlign w:val="center"/>
          </w:tcPr>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开标时间：202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日</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时</w:t>
            </w:r>
            <w:r>
              <w:rPr>
                <w:rFonts w:hint="eastAsia" w:ascii="宋体" w:hAnsi="宋体" w:cs="宋体"/>
                <w:color w:val="auto"/>
                <w:kern w:val="2"/>
                <w:sz w:val="21"/>
                <w:szCs w:val="21"/>
                <w:highlight w:val="none"/>
                <w:lang w:val="en-US" w:eastAsia="zh-CN" w:bidi="ar-SA"/>
              </w:rPr>
              <w:t>00</w:t>
            </w:r>
            <w:r>
              <w:rPr>
                <w:rFonts w:hint="eastAsia" w:ascii="宋体" w:hAnsi="宋体" w:eastAsia="宋体" w:cs="宋体"/>
                <w:color w:val="auto"/>
                <w:kern w:val="2"/>
                <w:sz w:val="21"/>
                <w:szCs w:val="21"/>
                <w:highlight w:val="none"/>
                <w:lang w:val="en-US" w:eastAsia="zh-CN" w:bidi="ar-SA"/>
              </w:rPr>
              <w:t>分（北京时间）</w:t>
            </w:r>
          </w:p>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开标地点：政采云平台（https://www.zcygov.cn/）远程不见面开标大厅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175" w:type="dxa"/>
            <w:vAlign w:val="center"/>
          </w:tcPr>
          <w:p>
            <w:pPr>
              <w:keepNext w:val="0"/>
              <w:keepLines w:val="0"/>
              <w:widowControl/>
              <w:suppressLineNumbers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付款方式及币种 </w:t>
            </w:r>
          </w:p>
        </w:tc>
        <w:tc>
          <w:tcPr>
            <w:tcW w:w="7875" w:type="dxa"/>
            <w:vAlign w:val="center"/>
          </w:tcPr>
          <w:p>
            <w:pPr>
              <w:keepNext w:val="0"/>
              <w:keepLines w:val="0"/>
              <w:widowControl/>
              <w:suppressLineNumbers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1、付款币种：本次招标所述的项目资金均以人民币支付。 </w:t>
            </w:r>
          </w:p>
          <w:p>
            <w:pPr>
              <w:keepNext w:val="0"/>
              <w:keepLines w:val="0"/>
              <w:widowControl/>
              <w:suppressLineNumbers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2、付款方式：在合同履行期限内，</w:t>
            </w:r>
            <w:r>
              <w:rPr>
                <w:rFonts w:hint="eastAsia" w:ascii="宋体" w:hAnsi="宋体" w:cs="宋体"/>
                <w:color w:val="auto"/>
                <w:kern w:val="2"/>
                <w:sz w:val="21"/>
                <w:szCs w:val="21"/>
                <w:highlight w:val="none"/>
                <w:lang w:val="en-US" w:eastAsia="zh-CN" w:bidi="ar-SA"/>
              </w:rPr>
              <w:t>按月支付。</w:t>
            </w:r>
          </w:p>
          <w:p>
            <w:pPr>
              <w:keepNext w:val="0"/>
              <w:keepLines w:val="0"/>
              <w:widowControl/>
              <w:suppressLineNumbers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最终付款方式以和甲方单位签订合同为准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175"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低于成本价不正当竞争预防措施</w:t>
            </w:r>
          </w:p>
        </w:tc>
        <w:tc>
          <w:tcPr>
            <w:tcW w:w="7875" w:type="dxa"/>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在评标过程中，评标委员会认为</w:t>
            </w:r>
            <w:r>
              <w:rPr>
                <w:rFonts w:hint="eastAsia" w:ascii="宋体" w:hAnsi="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cs="宋体"/>
                <w:color w:val="auto"/>
                <w:highlight w:val="none"/>
                <w:lang w:eastAsia="zh-CN"/>
              </w:rPr>
              <w:t>供应商</w:t>
            </w:r>
            <w:r>
              <w:rPr>
                <w:rFonts w:hint="eastAsia" w:ascii="宋体" w:hAnsi="宋体" w:eastAsia="宋体" w:cs="宋体"/>
                <w:color w:val="auto"/>
                <w:highlight w:val="none"/>
              </w:rPr>
              <w:t>的报价，有可能影响产品质量或者不能诚信履约的，评标委员会应当要求其在评标现场合理的时间内提供成本构成书面说明，并提交相关证明材料</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不能证明其报价合理性的，评标委员会应当将其作为无效投标处理。</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eastAsia="zh-CN"/>
              </w:rPr>
              <w:t>供应商</w:t>
            </w:r>
            <w:r>
              <w:rPr>
                <w:rFonts w:hint="eastAsia" w:ascii="宋体" w:hAnsi="宋体" w:eastAsia="宋体" w:cs="宋体"/>
                <w:color w:val="auto"/>
                <w:highlight w:val="none"/>
              </w:rPr>
              <w:t>书面说明应当签字确认或者加盖公章，否则无效。书面说明的签字确认，</w:t>
            </w:r>
            <w:r>
              <w:rPr>
                <w:rFonts w:hint="eastAsia" w:ascii="宋体" w:hAnsi="宋体" w:cs="宋体"/>
                <w:color w:val="auto"/>
                <w:highlight w:val="none"/>
                <w:lang w:eastAsia="zh-CN"/>
              </w:rPr>
              <w:t>供应商</w:t>
            </w:r>
            <w:r>
              <w:rPr>
                <w:rFonts w:hint="eastAsia" w:ascii="宋体" w:hAnsi="宋体" w:eastAsia="宋体" w:cs="宋体"/>
                <w:color w:val="auto"/>
                <w:highlight w:val="none"/>
              </w:rPr>
              <w:t>为法人的，由其法定代表人或者代理人签字确认；</w:t>
            </w:r>
            <w:r>
              <w:rPr>
                <w:rFonts w:hint="eastAsia" w:ascii="宋体" w:hAnsi="宋体" w:cs="宋体"/>
                <w:color w:val="auto"/>
                <w:highlight w:val="none"/>
                <w:lang w:eastAsia="zh-CN"/>
              </w:rPr>
              <w:t>供应商</w:t>
            </w:r>
            <w:r>
              <w:rPr>
                <w:rFonts w:hint="eastAsia" w:ascii="宋体" w:hAnsi="宋体" w:eastAsia="宋体" w:cs="宋体"/>
                <w:color w:val="auto"/>
                <w:highlight w:val="none"/>
              </w:rPr>
              <w:t>提供书面说明后，评标委员会应当结合采购项目采购需求、专业实际情况、</w:t>
            </w:r>
            <w:r>
              <w:rPr>
                <w:rFonts w:hint="eastAsia" w:ascii="宋体" w:hAnsi="宋体" w:cs="宋体"/>
                <w:color w:val="auto"/>
                <w:highlight w:val="none"/>
                <w:lang w:eastAsia="zh-CN"/>
              </w:rPr>
              <w:t>供应商</w:t>
            </w:r>
            <w:r>
              <w:rPr>
                <w:rFonts w:hint="eastAsia" w:ascii="宋体" w:hAnsi="宋体" w:eastAsia="宋体" w:cs="宋体"/>
                <w:color w:val="auto"/>
                <w:highlight w:val="none"/>
              </w:rPr>
              <w:t>财务状况报告、与其他供应商比较情况等就供应商书面说明进行审查评价。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175" w:type="dxa"/>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特别说明</w:t>
            </w:r>
          </w:p>
        </w:tc>
        <w:tc>
          <w:tcPr>
            <w:tcW w:w="7875" w:type="dxa"/>
            <w:vAlign w:val="center"/>
          </w:tcPr>
          <w:p>
            <w:pPr>
              <w:spacing w:line="320" w:lineRule="exac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1.请</w:t>
            </w:r>
            <w:r>
              <w:rPr>
                <w:rFonts w:hint="eastAsia" w:ascii="宋体" w:hAnsi="宋体" w:eastAsia="宋体" w:cs="宋体"/>
                <w:b/>
                <w:bCs/>
                <w:color w:val="auto"/>
                <w:highlight w:val="none"/>
              </w:rPr>
              <w:t>认真查看招标文件中的每一个条款及要求，因误读招标文件而造成的后果，招标人概不负责</w:t>
            </w:r>
            <w:r>
              <w:rPr>
                <w:rFonts w:hint="eastAsia" w:ascii="宋体" w:hAnsi="宋体" w:eastAsia="宋体" w:cs="宋体"/>
                <w:b/>
                <w:bCs/>
                <w:color w:val="auto"/>
                <w:highlight w:val="none"/>
                <w:lang w:eastAsia="zh-CN"/>
              </w:rPr>
              <w:t>；</w:t>
            </w:r>
          </w:p>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2、为保证本项目质量，良好的售后服务，最低报价不作为中标的唯一依据</w:t>
            </w:r>
            <w:r>
              <w:rPr>
                <w:rFonts w:hint="eastAsia" w:ascii="宋体" w:hAnsi="宋体" w:eastAsia="宋体" w:cs="宋体"/>
                <w:color w:val="auto"/>
                <w:highlight w:val="none"/>
                <w:lang w:eastAsia="zh-CN"/>
              </w:rPr>
              <w:t>；</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不论投标的结果如何，</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均应自行承担所有与参加投标有关的全部费用；</w:t>
            </w:r>
          </w:p>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4、采购人若发现中标候选人在投标过程中提供虚假证明文件，故意隐瞒公司不良信誉和财务状况，以及存在可能对合同圆满履行造成风险的其他因素等，则按规定取消其中标资格，由监管部门依法进行处理</w:t>
            </w:r>
            <w:r>
              <w:rPr>
                <w:rFonts w:hint="eastAsia" w:ascii="宋体" w:hAnsi="宋体" w:eastAsia="宋体" w:cs="宋体"/>
                <w:color w:val="auto"/>
                <w:highlight w:val="none"/>
                <w:lang w:eastAsia="zh-CN"/>
              </w:rPr>
              <w:t>；</w:t>
            </w:r>
          </w:p>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5、招标文件出现前后不一致时，以</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须知前附表为准</w:t>
            </w:r>
            <w:r>
              <w:rPr>
                <w:rFonts w:hint="eastAsia" w:ascii="宋体" w:hAnsi="宋体" w:eastAsia="宋体" w:cs="宋体"/>
                <w:color w:val="auto"/>
                <w:highlight w:val="none"/>
                <w:lang w:eastAsia="zh-CN"/>
              </w:rPr>
              <w:t>；</w:t>
            </w:r>
          </w:p>
          <w:p>
            <w:pPr>
              <w:spacing w:line="320" w:lineRule="exact"/>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本项目</w:t>
            </w:r>
            <w:r>
              <w:rPr>
                <w:rFonts w:hint="eastAsia" w:ascii="宋体" w:hAnsi="宋体" w:eastAsia="宋体" w:cs="宋体"/>
                <w:b/>
                <w:bCs/>
                <w:color w:val="auto"/>
                <w:highlight w:val="none"/>
                <w:lang w:val="en-US" w:eastAsia="zh-CN"/>
              </w:rPr>
              <w:t>所属行业</w:t>
            </w:r>
            <w:r>
              <w:rPr>
                <w:rFonts w:hint="eastAsia" w:ascii="宋体" w:hAnsi="宋体" w:cs="宋体"/>
                <w:b/>
                <w:bCs/>
                <w:color w:val="auto"/>
                <w:highlight w:val="none"/>
                <w:lang w:val="en-US" w:eastAsia="zh-CN"/>
              </w:rPr>
              <w:t>为</w:t>
            </w:r>
            <w:r>
              <w:rPr>
                <w:rFonts w:hint="eastAsia" w:ascii="宋体" w:hAnsi="宋体" w:eastAsia="宋体" w:cs="宋体"/>
                <w:b/>
                <w:bCs/>
                <w:color w:val="auto"/>
                <w:highlight w:val="none"/>
                <w:lang w:val="en-US" w:eastAsia="zh-CN"/>
              </w:rPr>
              <w:t>：餐饮业。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88"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175" w:type="dxa"/>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中标服务费</w:t>
            </w:r>
          </w:p>
        </w:tc>
        <w:tc>
          <w:tcPr>
            <w:tcW w:w="7875" w:type="dxa"/>
            <w:vAlign w:val="center"/>
          </w:tcPr>
          <w:p>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代理报酬的计算方法：</w:t>
            </w:r>
            <w:r>
              <w:rPr>
                <w:rFonts w:hint="eastAsia" w:ascii="宋体" w:hAnsi="宋体" w:eastAsia="宋体" w:cs="宋体"/>
                <w:color w:val="auto"/>
                <w:highlight w:val="none"/>
                <w:lang w:eastAsia="zh-CN"/>
              </w:rPr>
              <w:t>参照</w:t>
            </w:r>
            <w:r>
              <w:rPr>
                <w:rFonts w:hint="eastAsia" w:ascii="宋体" w:hAnsi="宋体" w:eastAsia="宋体" w:cs="宋体"/>
                <w:color w:val="auto"/>
                <w:highlight w:val="none"/>
              </w:rPr>
              <w:t>国家计委关于《招标代理服务收费管理暂行办法》（计价格[2002]1980号）和国家发改价格【2011】534号文件“规定的服务费取费收取</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本次招标代理服务费由中标单位支付。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88" w:type="dxa"/>
            <w:vAlign w:val="center"/>
          </w:tcPr>
          <w:p>
            <w:pPr>
              <w:pStyle w:val="45"/>
              <w:pageBreakBefore w:val="0"/>
              <w:wordWrap/>
              <w:overflowPunct/>
              <w:topLinePunct w:val="0"/>
              <w:bidi w:val="0"/>
              <w:spacing w:line="440" w:lineRule="atLeas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24</w:t>
            </w:r>
          </w:p>
        </w:tc>
        <w:tc>
          <w:tcPr>
            <w:tcW w:w="1175" w:type="dxa"/>
            <w:vAlign w:val="center"/>
          </w:tcPr>
          <w:p>
            <w:pPr>
              <w:pStyle w:val="45"/>
              <w:pageBreakBefore w:val="0"/>
              <w:wordWrap/>
              <w:overflowPunct/>
              <w:topLinePunct w:val="0"/>
              <w:bidi w:val="0"/>
              <w:spacing w:line="440" w:lineRule="atLeas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信息公告</w:t>
            </w:r>
            <w:r>
              <w:rPr>
                <w:rFonts w:hint="eastAsia" w:ascii="宋体" w:hAnsi="宋体" w:eastAsia="宋体" w:cs="宋体"/>
                <w:b w:val="0"/>
                <w:bCs w:val="0"/>
                <w:color w:val="auto"/>
                <w:kern w:val="0"/>
                <w:sz w:val="21"/>
                <w:szCs w:val="21"/>
                <w:highlight w:val="none"/>
                <w:lang w:eastAsia="zh-CN"/>
              </w:rPr>
              <w:t>发布</w:t>
            </w:r>
            <w:r>
              <w:rPr>
                <w:rFonts w:hint="eastAsia" w:ascii="宋体" w:hAnsi="宋体" w:eastAsia="宋体" w:cs="宋体"/>
                <w:b w:val="0"/>
                <w:bCs w:val="0"/>
                <w:color w:val="auto"/>
                <w:kern w:val="0"/>
                <w:sz w:val="21"/>
                <w:szCs w:val="21"/>
                <w:highlight w:val="none"/>
              </w:rPr>
              <w:t>媒体</w:t>
            </w:r>
          </w:p>
        </w:tc>
        <w:tc>
          <w:tcPr>
            <w:tcW w:w="7875" w:type="dxa"/>
            <w:vAlign w:val="center"/>
          </w:tcPr>
          <w:p>
            <w:pPr>
              <w:pStyle w:val="45"/>
              <w:pageBreakBefore w:val="0"/>
              <w:wordWrap/>
              <w:overflowPunct/>
              <w:topLinePunct w:val="0"/>
              <w:bidi w:val="0"/>
              <w:spacing w:line="440" w:lineRule="atLeas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新疆政府采购网（</w:t>
            </w:r>
            <w:r>
              <w:rPr>
                <w:rFonts w:hint="eastAsia" w:ascii="宋体" w:hAnsi="宋体" w:eastAsia="宋体" w:cs="宋体"/>
                <w:b w:val="0"/>
                <w:bCs w:val="0"/>
                <w:color w:val="auto"/>
                <w:sz w:val="21"/>
                <w:szCs w:val="21"/>
                <w:highlight w:val="none"/>
                <w:lang w:val="en-US" w:eastAsia="zh-CN"/>
              </w:rPr>
              <w:t>政采云平台https://www.zcygov.cn/</w:t>
            </w:r>
            <w:r>
              <w:rPr>
                <w:rFonts w:hint="eastAsia" w:ascii="宋体" w:hAnsi="宋体" w:cs="宋体"/>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88" w:type="dxa"/>
            <w:vAlign w:val="center"/>
          </w:tcPr>
          <w:p>
            <w:pPr>
              <w:pStyle w:val="45"/>
              <w:pageBreakBefore w:val="0"/>
              <w:wordWrap/>
              <w:overflowPunct/>
              <w:topLinePunct w:val="0"/>
              <w:bidi w:val="0"/>
              <w:spacing w:line="440" w:lineRule="atLeast"/>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25</w:t>
            </w:r>
          </w:p>
        </w:tc>
        <w:tc>
          <w:tcPr>
            <w:tcW w:w="1175" w:type="dxa"/>
            <w:vAlign w:val="center"/>
          </w:tcPr>
          <w:p>
            <w:pPr>
              <w:pStyle w:val="45"/>
              <w:pageBreakBefore w:val="0"/>
              <w:wordWrap/>
              <w:overflowPunct/>
              <w:topLinePunct w:val="0"/>
              <w:bidi w:val="0"/>
              <w:spacing w:line="440" w:lineRule="atLeas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评标委员会的组成</w:t>
            </w:r>
          </w:p>
        </w:tc>
        <w:tc>
          <w:tcPr>
            <w:tcW w:w="7875" w:type="dxa"/>
            <w:vAlign w:val="center"/>
          </w:tcPr>
          <w:p>
            <w:pPr>
              <w:pStyle w:val="45"/>
              <w:pageBreakBefore w:val="0"/>
              <w:wordWrap/>
              <w:overflowPunct/>
              <w:topLinePunct w:val="0"/>
              <w:bidi w:val="0"/>
              <w:spacing w:line="440" w:lineRule="atLeas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评标委员会构成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共计</w:t>
            </w:r>
            <w:r>
              <w:rPr>
                <w:rFonts w:hint="eastAsia" w:ascii="宋体" w:hAnsi="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rPr>
              <w:t>人</w:t>
            </w:r>
            <w:r>
              <w:rPr>
                <w:rFonts w:hint="eastAsia" w:ascii="宋体" w:hAnsi="宋体" w:cs="宋体"/>
                <w:b w:val="0"/>
                <w:bCs w:val="0"/>
                <w:color w:val="auto"/>
                <w:sz w:val="21"/>
                <w:szCs w:val="21"/>
                <w:highlight w:val="none"/>
                <w:lang w:eastAsia="zh-CN"/>
              </w:rPr>
              <w:t>；</w:t>
            </w:r>
          </w:p>
          <w:p>
            <w:pPr>
              <w:pStyle w:val="45"/>
              <w:pageBreakBefore w:val="0"/>
              <w:wordWrap/>
              <w:overflowPunct/>
              <w:topLinePunct w:val="0"/>
              <w:bidi w:val="0"/>
              <w:spacing w:line="440" w:lineRule="atLeas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评标委员会组成及</w:t>
            </w:r>
            <w:r>
              <w:rPr>
                <w:rFonts w:hint="eastAsia" w:ascii="宋体" w:hAnsi="宋体" w:eastAsia="宋体" w:cs="宋体"/>
                <w:b w:val="0"/>
                <w:bCs w:val="0"/>
                <w:color w:val="auto"/>
                <w:sz w:val="21"/>
                <w:szCs w:val="21"/>
                <w:highlight w:val="none"/>
              </w:rPr>
              <w:t>确定方式</w:t>
            </w:r>
            <w:r>
              <w:rPr>
                <w:rFonts w:hint="eastAsia" w:ascii="宋体" w:hAnsi="宋体" w:eastAsia="宋体" w:cs="宋体"/>
                <w:b w:val="0"/>
                <w:bCs w:val="0"/>
                <w:color w:val="auto"/>
                <w:sz w:val="21"/>
                <w:szCs w:val="21"/>
                <w:highlight w:val="none"/>
                <w:lang w:eastAsia="zh-CN"/>
              </w:rPr>
              <w:t>：评标委员会由</w:t>
            </w:r>
            <w:r>
              <w:rPr>
                <w:rFonts w:hint="eastAsia" w:ascii="宋体" w:hAnsi="宋体" w:cs="宋体"/>
                <w:b w:val="0"/>
                <w:bCs w:val="0"/>
                <w:color w:val="auto"/>
                <w:sz w:val="21"/>
                <w:szCs w:val="21"/>
                <w:highlight w:val="none"/>
                <w:lang w:eastAsia="zh-CN"/>
              </w:rPr>
              <w:t>五</w:t>
            </w:r>
            <w:r>
              <w:rPr>
                <w:rFonts w:hint="eastAsia" w:ascii="宋体" w:hAnsi="宋体" w:eastAsia="宋体" w:cs="宋体"/>
                <w:b w:val="0"/>
                <w:bCs w:val="0"/>
                <w:color w:val="auto"/>
                <w:sz w:val="21"/>
                <w:szCs w:val="21"/>
                <w:highlight w:val="none"/>
                <w:lang w:eastAsia="zh-CN"/>
              </w:rPr>
              <w:t>人组成</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通过</w:t>
            </w:r>
            <w:r>
              <w:rPr>
                <w:rFonts w:hint="eastAsia" w:ascii="宋体" w:hAnsi="宋体" w:eastAsia="宋体" w:cs="宋体"/>
                <w:b w:val="0"/>
                <w:bCs w:val="0"/>
                <w:color w:val="auto"/>
                <w:sz w:val="21"/>
                <w:szCs w:val="21"/>
                <w:highlight w:val="none"/>
                <w:lang w:eastAsia="zh-CN"/>
              </w:rPr>
              <w:t>“政采云”专家</w:t>
            </w:r>
            <w:r>
              <w:rPr>
                <w:rFonts w:hint="eastAsia" w:ascii="宋体" w:hAnsi="宋体" w:eastAsia="宋体" w:cs="宋体"/>
                <w:b w:val="0"/>
                <w:bCs w:val="0"/>
                <w:color w:val="auto"/>
                <w:sz w:val="21"/>
                <w:szCs w:val="21"/>
                <w:highlight w:val="none"/>
                <w:lang w:val="en-US" w:eastAsia="zh-CN"/>
              </w:rPr>
              <w:t>库</w:t>
            </w:r>
            <w:r>
              <w:rPr>
                <w:rFonts w:hint="eastAsia" w:ascii="宋体" w:hAnsi="宋体" w:eastAsia="宋体" w:cs="宋体"/>
                <w:b w:val="0"/>
                <w:bCs w:val="0"/>
                <w:color w:val="auto"/>
                <w:sz w:val="21"/>
                <w:szCs w:val="21"/>
                <w:highlight w:val="none"/>
                <w:lang w:eastAsia="zh-CN"/>
              </w:rPr>
              <w:t>平台随机抽取方式。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88" w:type="dxa"/>
            <w:vAlign w:val="center"/>
          </w:tcPr>
          <w:p>
            <w:pPr>
              <w:pStyle w:val="45"/>
              <w:pageBreakBefore w:val="0"/>
              <w:wordWrap/>
              <w:overflowPunct/>
              <w:topLinePunct w:val="0"/>
              <w:bidi w:val="0"/>
              <w:spacing w:line="440" w:lineRule="atLeas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26</w:t>
            </w:r>
          </w:p>
        </w:tc>
        <w:tc>
          <w:tcPr>
            <w:tcW w:w="1175" w:type="dxa"/>
            <w:vAlign w:val="center"/>
          </w:tcPr>
          <w:p>
            <w:pPr>
              <w:pStyle w:val="45"/>
              <w:pageBreakBefore w:val="0"/>
              <w:wordWrap/>
              <w:overflowPunct/>
              <w:topLinePunct w:val="0"/>
              <w:bidi w:val="0"/>
              <w:spacing w:line="4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质</w:t>
            </w:r>
            <w:r>
              <w:rPr>
                <w:rFonts w:hint="eastAsia" w:ascii="宋体" w:hAnsi="宋体" w:eastAsia="宋体" w:cs="宋体"/>
                <w:b w:val="0"/>
                <w:bCs w:val="0"/>
                <w:color w:val="auto"/>
                <w:sz w:val="21"/>
                <w:szCs w:val="21"/>
                <w:highlight w:val="none"/>
              </w:rPr>
              <w:t>疑接受时间</w:t>
            </w:r>
          </w:p>
        </w:tc>
        <w:tc>
          <w:tcPr>
            <w:tcW w:w="7875" w:type="dxa"/>
            <w:vAlign w:val="center"/>
          </w:tcPr>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认为</w:t>
            </w:r>
            <w:r>
              <w:rPr>
                <w:rFonts w:hint="eastAsia" w:ascii="宋体" w:hAnsi="宋体" w:eastAsia="宋体" w:cs="宋体"/>
                <w:b/>
                <w:bCs/>
                <w:color w:val="auto"/>
                <w:kern w:val="0"/>
                <w:sz w:val="21"/>
                <w:szCs w:val="21"/>
                <w:highlight w:val="none"/>
              </w:rPr>
              <w:t>采购文件、采购过程、中标或者成交结果</w:t>
            </w:r>
            <w:r>
              <w:rPr>
                <w:rFonts w:hint="eastAsia" w:ascii="宋体" w:hAnsi="宋体" w:eastAsia="宋体" w:cs="宋体"/>
                <w:color w:val="auto"/>
                <w:kern w:val="0"/>
                <w:sz w:val="21"/>
                <w:szCs w:val="21"/>
                <w:highlight w:val="none"/>
              </w:rPr>
              <w:t xml:space="preserve">使自己的权益受到损害的，可以在知道或者应知其权益受到损害之日起 7个工作日内，以书面形式向采购人、采购代理机构提出质疑。 </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应在法定质疑期内</w:t>
            </w:r>
            <w:r>
              <w:rPr>
                <w:rFonts w:hint="eastAsia" w:ascii="宋体" w:hAnsi="宋体" w:eastAsia="宋体" w:cs="宋体"/>
                <w:b/>
                <w:bCs/>
                <w:color w:val="auto"/>
                <w:kern w:val="0"/>
                <w:sz w:val="21"/>
                <w:szCs w:val="21"/>
                <w:highlight w:val="none"/>
              </w:rPr>
              <w:t>一次性</w:t>
            </w:r>
            <w:r>
              <w:rPr>
                <w:rFonts w:hint="eastAsia" w:ascii="宋体" w:hAnsi="宋体" w:eastAsia="宋体" w:cs="宋体"/>
                <w:color w:val="auto"/>
                <w:kern w:val="0"/>
                <w:sz w:val="21"/>
                <w:szCs w:val="21"/>
                <w:highlight w:val="none"/>
              </w:rPr>
              <w:t>提出针对</w:t>
            </w:r>
            <w:r>
              <w:rPr>
                <w:rFonts w:hint="eastAsia" w:ascii="宋体" w:hAnsi="宋体" w:eastAsia="宋体" w:cs="宋体"/>
                <w:b/>
                <w:bCs/>
                <w:color w:val="auto"/>
                <w:kern w:val="0"/>
                <w:sz w:val="21"/>
                <w:szCs w:val="21"/>
                <w:highlight w:val="none"/>
              </w:rPr>
              <w:t>同一采购程序环节</w:t>
            </w:r>
            <w:r>
              <w:rPr>
                <w:rFonts w:hint="eastAsia" w:ascii="宋体" w:hAnsi="宋体" w:eastAsia="宋体" w:cs="宋体"/>
                <w:color w:val="auto"/>
                <w:kern w:val="0"/>
                <w:sz w:val="21"/>
                <w:szCs w:val="21"/>
                <w:highlight w:val="none"/>
              </w:rPr>
              <w:t xml:space="preserve">的质疑。 </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3.质疑</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应按照财政部制定的《政府采购质疑函范本》格式10（可从财政部官方网站下载）和《政府采购质疑和投诉办法》（财政部令第 94 号）的要求，在法定质疑期内以书面形式提出质疑。 </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4.超出法定质疑期、重复或分次提出的、内容或形式不符合《政府采购质疑和投诉办法》规定的质疑将被拒绝。</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5.依据：《中华人民共和国政府采购法》第五十二条、《中华人民共和国政府采购法实施条例》第五十三条规定的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6.采购代理机构质疑函接收</w:t>
            </w:r>
            <w:r>
              <w:rPr>
                <w:rFonts w:hint="eastAsia" w:ascii="宋体" w:hAnsi="宋体" w:eastAsia="宋体" w:cs="宋体"/>
                <w:color w:val="auto"/>
                <w:kern w:val="0"/>
                <w:sz w:val="21"/>
                <w:szCs w:val="21"/>
                <w:highlight w:val="none"/>
                <w:lang w:eastAsia="zh-CN"/>
              </w:rPr>
              <w:t>信息</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接收部门：</w:t>
            </w:r>
            <w:r>
              <w:rPr>
                <w:rFonts w:hint="eastAsia" w:ascii="宋体" w:hAnsi="宋体" w:eastAsia="宋体" w:cs="宋体"/>
                <w:color w:val="auto"/>
                <w:sz w:val="21"/>
                <w:szCs w:val="21"/>
                <w:highlight w:val="none"/>
                <w:lang w:val="en-US" w:eastAsia="zh-CN"/>
              </w:rPr>
              <w:t>新疆元泓工程项目管理咨询有限公司</w:t>
            </w:r>
          </w:p>
          <w:p>
            <w:pPr>
              <w:pStyle w:val="45"/>
              <w:pageBreakBefore w:val="0"/>
              <w:wordWrap/>
              <w:overflowPunct/>
              <w:topLinePunct w:val="0"/>
              <w:bidi w:val="0"/>
              <w:spacing w:line="440" w:lineRule="atLeas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穆香竹、李楠</w:t>
            </w:r>
            <w:r>
              <w:rPr>
                <w:rFonts w:hint="eastAsia" w:ascii="宋体" w:hAnsi="宋体" w:eastAsia="宋体" w:cs="宋体"/>
                <w:color w:val="auto"/>
                <w:kern w:val="0"/>
                <w:sz w:val="21"/>
                <w:szCs w:val="21"/>
                <w:highlight w:val="none"/>
              </w:rPr>
              <w:t xml:space="preserve">   联系电话：</w:t>
            </w:r>
            <w:r>
              <w:rPr>
                <w:rFonts w:hint="eastAsia" w:ascii="宋体" w:hAnsi="宋体" w:cs="宋体"/>
                <w:color w:val="auto"/>
                <w:kern w:val="0"/>
                <w:sz w:val="21"/>
                <w:szCs w:val="21"/>
                <w:highlight w:val="none"/>
                <w:lang w:val="en-US" w:eastAsia="zh-CN"/>
              </w:rPr>
              <w:t>0991-3726636转801</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val="en-US" w:eastAsia="zh-CN"/>
              </w:rPr>
              <w:t>乌鲁木齐市经济技术开发区乌昌路252号九方财富广场A座525室</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提交方式：</w:t>
            </w:r>
            <w:r>
              <w:rPr>
                <w:rFonts w:hint="eastAsia" w:ascii="宋体" w:hAnsi="宋体" w:eastAsia="宋体" w:cs="宋体"/>
                <w:color w:val="auto"/>
                <w:kern w:val="0"/>
                <w:sz w:val="21"/>
                <w:szCs w:val="21"/>
                <w:highlight w:val="none"/>
                <w:lang w:eastAsia="zh-CN"/>
              </w:rPr>
              <w:t>现场提交</w:t>
            </w:r>
            <w:r>
              <w:rPr>
                <w:rFonts w:hint="eastAsia" w:ascii="宋体" w:hAnsi="宋体" w:eastAsia="宋体" w:cs="宋体"/>
                <w:color w:val="auto"/>
                <w:kern w:val="0"/>
                <w:sz w:val="21"/>
                <w:szCs w:val="21"/>
                <w:highlight w:val="none"/>
              </w:rPr>
              <w:t xml:space="preserve">盖章的纸质版原件。 </w:t>
            </w:r>
          </w:p>
          <w:p>
            <w:pPr>
              <w:pStyle w:val="45"/>
              <w:pageBreakBefore w:val="0"/>
              <w:wordWrap/>
              <w:overflowPunct/>
              <w:topLinePunct w:val="0"/>
              <w:bidi w:val="0"/>
              <w:spacing w:line="440" w:lineRule="atLeas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7.澄清、修改文件发出后（若有），</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必须使用最新的澄清文件制作电子响应文件。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738" w:type="dxa"/>
            <w:gridSpan w:val="3"/>
            <w:vAlign w:val="center"/>
          </w:tcPr>
          <w:p>
            <w:pPr>
              <w:spacing w:line="32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备注：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tc>
      </w:tr>
    </w:tbl>
    <w:p>
      <w:pPr>
        <w:snapToGrid w:val="0"/>
        <w:spacing w:line="360" w:lineRule="auto"/>
        <w:ind w:firstLine="20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kern w:val="2"/>
          <w:sz w:val="32"/>
          <w:szCs w:val="32"/>
          <w:highlight w:val="none"/>
          <w:lang w:val="en-US" w:eastAsia="zh-CN" w:bidi="ar-SA"/>
        </w:rPr>
        <w:t>一、总则</w:t>
      </w:r>
    </w:p>
    <w:p>
      <w:pPr>
        <w:snapToGrid w:val="0"/>
        <w:spacing w:line="360" w:lineRule="auto"/>
        <w:jc w:val="left"/>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1、项目概况：</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 项目名称：详见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 招标方式：详见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采购内容：详见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 资金来源：详见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项目地点：详见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 服务期：详见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pStyle w:val="8"/>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2.定义</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下述术语和缩写的定义为：</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 “招标人”“采购人”系指依法进行政府采购的国家机关、事业单位、团体组织。本次政府采购的采购人名称、地址、联系人、电话详见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 “采购代理机构”“招标代理机构”系指接受采购人委托，代理采购项目的采购代理机构。本次政府采购的采购代理机构名称、地址、联系人、电话详见</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 “</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”、“供应商”系指向采购人提供货物、工程或者服务的法人、其他组织或者自然人。</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 “货物”系指各种形态和种类的物品，包括原材料、设备、产品等。</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 “工程”系指建设工程，包括建筑物和构筑物的新建、改建、扩建，装修、拆除，修缮等。</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 “服务”系指除货物和工程以外的其他政府采购对象。</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 “节能产品”或者“环保产品”系指对财政部发布的《节能产品政府采购清单》或者《环境标志产品政府采购清单》的产品。</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 “进口产品”系指通过中国海关报关验收进入中国境内且产自境外的产品。详见《关于政府采购进口产品管理有关问题的通知》（财库［2007］119 号）。</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 偏离</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2.9.1 本条所称偏离为响应文件对招标文件的偏离，即不满足、或不响应招标文件的要求。偏离分为对招标文件的实质性要求条款偏离和对招标文件的一般商务和技术条款偏离。</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2.9.2  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注意，并认真查看招标文件中的每一个条款及要求，因误读招标文件而造成的后果，招标人概不负责。</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 特别说明</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2.10.1 供应商所使用的资格、信誉、荣誉、业绩与企业认证等必须为供应商所拥有。</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2.10.2 供应商应仔细阅读招标文件中的所有内容，按照招标文件的要求编制、提交响应文件，并对其所提供的全部资料的真实性承担法律责任。</w:t>
      </w:r>
    </w:p>
    <w:p>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2.10.3 招标文件所提供的资料，是采购人现有的能被供应商利用的资料，采购人对供应商做出的任何推论、理解和结论均不负任何责任。</w:t>
      </w:r>
    </w:p>
    <w:p>
      <w:pPr>
        <w:snapToGrid w:val="0"/>
        <w:spacing w:line="360" w:lineRule="auto"/>
        <w:jc w:val="left"/>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3、合格的</w:t>
      </w:r>
      <w:r>
        <w:rPr>
          <w:rFonts w:hint="eastAsia" w:ascii="宋体" w:hAnsi="宋体" w:cs="宋体"/>
          <w:b/>
          <w:bCs/>
          <w:color w:val="auto"/>
          <w:sz w:val="24"/>
          <w:szCs w:val="24"/>
          <w:highlight w:val="none"/>
          <w:lang w:eastAsia="zh-CN"/>
        </w:rPr>
        <w:t>供应商</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3.1、合格的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必须是有能力按照本招标文件规定的要求提供货物及服务，且具有独立承担民事等法律责任的法人或其它经济组织。</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3.2、合格的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必须符合招标文件第一部分《采购公告》第二条、申请人的资格要求规定，且具备独立完成本项目的能力。</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3.3、合格的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应遵守中华人民共和国《政府采购法》、《实施条例》、《民法典》和《反不正当竞争法》等有关法律、法规。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snapToGrid w:val="0"/>
        <w:spacing w:line="360"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4、适用法律</w:t>
      </w:r>
    </w:p>
    <w:p>
      <w:pPr>
        <w:snapToGrid w:val="0"/>
        <w:spacing w:line="360" w:lineRule="auto"/>
        <w:ind w:firstLine="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本次评标及由本次评标产生的合同受中华人民共和国的相关法律、法规制约和保护。</w:t>
      </w:r>
    </w:p>
    <w:p>
      <w:pPr>
        <w:snapToGrid w:val="0"/>
        <w:spacing w:line="360"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5、招标费用</w:t>
      </w:r>
    </w:p>
    <w:p>
      <w:pPr>
        <w:snapToGrid w:val="0"/>
        <w:spacing w:line="360" w:lineRule="auto"/>
        <w:ind w:firstLine="200"/>
        <w:jc w:val="left"/>
        <w:outlineLvl w:val="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应自行承担所有参加投标、评标有关的费用。</w:t>
      </w:r>
    </w:p>
    <w:p>
      <w:pPr>
        <w:snapToGrid w:val="0"/>
        <w:spacing w:line="360"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6、招标文件的约束力</w:t>
      </w:r>
    </w:p>
    <w:p>
      <w:pPr>
        <w:snapToGrid w:val="0"/>
        <w:spacing w:line="360" w:lineRule="auto"/>
        <w:ind w:firstLine="200"/>
        <w:jc w:val="left"/>
        <w:outlineLvl w:val="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一旦报名参加本项目投标，即被认为接受了本招标文件中的所有条件和规定。</w:t>
      </w:r>
    </w:p>
    <w:p>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pPr>
        <w:snapToGrid w:val="0"/>
        <w:spacing w:line="360" w:lineRule="auto"/>
        <w:ind w:firstLine="20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pPr>
        <w:snapToGrid w:val="0"/>
        <w:spacing w:line="432"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7、招标文件构成</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采购公告；</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授予合同；</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项目需求</w:t>
      </w:r>
      <w:r>
        <w:rPr>
          <w:rFonts w:hint="eastAsia" w:ascii="宋体" w:hAnsi="宋体" w:eastAsia="宋体" w:cs="宋体"/>
          <w:color w:val="auto"/>
          <w:sz w:val="24"/>
          <w:szCs w:val="24"/>
          <w:highlight w:val="none"/>
        </w:rPr>
        <w:t>；</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获取招标文件后，应仔细检查招标文件页数和附件数量，如发现有缺漏，请及时与采购代理机构联系补全。如果</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不按上述要求操作而造成不良后果，采购代理机构不承担责任。</w:t>
      </w:r>
    </w:p>
    <w:p>
      <w:pPr>
        <w:snapToGrid w:val="0"/>
        <w:spacing w:line="432"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8、招标文件的澄清</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任何要求对招标文件澄清的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，可在投标截止日期的</w:t>
      </w:r>
      <w:r>
        <w:rPr>
          <w:rFonts w:hint="eastAsia" w:ascii="宋体" w:hAnsi="宋体" w:eastAsia="宋体" w:cs="宋体"/>
          <w:color w:val="auto"/>
          <w:sz w:val="24"/>
          <w:szCs w:val="24"/>
          <w:highlight w:val="none"/>
          <w:u w:val="single"/>
        </w:rPr>
        <w:t>十五日</w:t>
      </w:r>
      <w:r>
        <w:rPr>
          <w:rFonts w:hint="eastAsia" w:ascii="宋体" w:hAnsi="宋体" w:eastAsia="宋体" w:cs="宋体"/>
          <w:color w:val="auto"/>
          <w:sz w:val="24"/>
          <w:szCs w:val="24"/>
          <w:highlight w:val="none"/>
        </w:rPr>
        <w:t>前按招标文件中的通讯地址，以书面形式（包括信函、电报或传真，不包括电子邮件）递交至采购代理机构，采购代理机构对规定时间内收到的澄清要求以书面形式予以答复，答复不包括问题的来源。</w:t>
      </w:r>
    </w:p>
    <w:p>
      <w:pPr>
        <w:snapToGrid w:val="0"/>
        <w:spacing w:line="432"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9、招标文件的修改</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9.1、在投标文件接收截止日期15日前，采购人可以更正公告或补充文件的形式对招标文件进行修改。</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9.2、招标文件的修改将以书面形式通知所有已报名</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，并对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收到修改文件后，应于1个工作日内回复采购人，逾期不回的，视同已收并接受修改文件内容。</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9.3、为使</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有充分的时间对招标文件的修改部分进行分析、研究，采购人有权推迟投标文件接收截止日期和开标时间，并将此变更书面通知所有购买招标文件的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snapToGrid w:val="0"/>
        <w:spacing w:line="432"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9.4、采购人发出的所有补充、修改和变更文件均作为招标文件的组成部分，与招标文件具有同等法律效力。</w:t>
      </w:r>
    </w:p>
    <w:p>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p>
    <w:p>
      <w:pPr>
        <w:snapToGrid w:val="0"/>
        <w:spacing w:line="360"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10、投标文件的编制要求</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11、投标文件构成</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（1）目录</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（2）投标函（附件一）； </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（3）报价一览表（附件二）； </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（4）报价明细表（附件三）</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（5）法定代表人身份证明书（附件四）；</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（6）法定代表人授权委托书（附件五）；</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）公司简介；</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）满足《中华人民共和国政府采购法》第二十二条规定的资料；</w:t>
      </w:r>
    </w:p>
    <w:p>
      <w:pPr>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①法人或者其他组织的营业执照等证明文件；</w:t>
      </w:r>
    </w:p>
    <w:p>
      <w:pPr>
        <w:snapToGrid w:val="0"/>
        <w:spacing w:line="360" w:lineRule="auto"/>
        <w:ind w:firstLine="600" w:firstLineChars="25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lang w:val="en-US" w:eastAsia="zh-CN"/>
        </w:rPr>
        <w:t>具有健全的财务会计制度；须提供相关证明材料，财务会计制度需提供2022年度财务审计报告，若成立不满1年则需提供参加本次政府采购活动前一个月的财务报表，若成立不满1个月则无需提供）；</w:t>
      </w:r>
    </w:p>
    <w:p>
      <w:pPr>
        <w:snapToGrid w:val="0"/>
        <w:spacing w:line="360" w:lineRule="auto"/>
        <w:ind w:firstLine="600" w:firstLineChars="2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③提供开标前半年内任一月依法缴纳税收证明；</w:t>
      </w:r>
    </w:p>
    <w:p>
      <w:pPr>
        <w:snapToGrid w:val="0"/>
        <w:spacing w:line="360" w:lineRule="auto"/>
        <w:ind w:firstLine="600" w:firstLineChars="2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④提供社保机构出具的开标前半年内任一月社保缴纳证明；</w:t>
      </w:r>
    </w:p>
    <w:p>
      <w:pPr>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⑤</w:t>
      </w:r>
      <w:r>
        <w:rPr>
          <w:rFonts w:hint="eastAsia" w:ascii="宋体" w:hAnsi="宋体" w:eastAsia="宋体" w:cs="宋体"/>
          <w:color w:val="auto"/>
          <w:sz w:val="24"/>
          <w:szCs w:val="24"/>
          <w:highlight w:val="none"/>
        </w:rPr>
        <w:t>具备履行合同所必需的设备和专业技术能力的证明材料；</w:t>
      </w:r>
    </w:p>
    <w:p>
      <w:pPr>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⑥</w:t>
      </w:r>
      <w:r>
        <w:rPr>
          <w:rFonts w:hint="eastAsia" w:ascii="宋体" w:hAnsi="宋体" w:eastAsia="宋体" w:cs="宋体"/>
          <w:color w:val="auto"/>
          <w:sz w:val="24"/>
          <w:szCs w:val="24"/>
          <w:highlight w:val="none"/>
        </w:rPr>
        <w:t>参加政府采购活动前3年内在经营活动中没有重大违法记录的书面声明；</w:t>
      </w:r>
    </w:p>
    <w:p>
      <w:pPr>
        <w:snapToGrid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w:t>
      </w:r>
      <w:r>
        <w:rPr>
          <w:rFonts w:hint="eastAsia" w:ascii="宋体" w:hAnsi="宋体" w:eastAsia="宋体" w:cs="宋体"/>
          <w:color w:val="auto"/>
          <w:sz w:val="24"/>
          <w:szCs w:val="24"/>
          <w:highlight w:val="none"/>
        </w:rPr>
        <w:t>具备法律、行政法规规定的其他条件的证明材料。（</w:t>
      </w:r>
      <w:r>
        <w:rPr>
          <w:rFonts w:hint="eastAsia" w:ascii="宋体" w:hAnsi="宋体" w:eastAsia="宋体" w:cs="宋体"/>
          <w:color w:val="auto"/>
          <w:sz w:val="24"/>
          <w:szCs w:val="24"/>
          <w:highlight w:val="none"/>
          <w:lang w:eastAsia="zh-CN"/>
        </w:rPr>
        <w:t>本项目提供《食品经营许可证》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月1日至今）类似项目业绩一览表（附件六）；</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）主要项目人员配备情况</w:t>
      </w:r>
      <w:r>
        <w:rPr>
          <w:rFonts w:hint="eastAsia" w:ascii="宋体" w:hAnsi="宋体" w:eastAsia="宋体" w:cs="宋体"/>
          <w:color w:val="auto"/>
          <w:sz w:val="21"/>
          <w:szCs w:val="21"/>
          <w:highlight w:val="none"/>
        </w:rPr>
        <w:t>一览</w:t>
      </w: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lang w:eastAsia="zh-CN"/>
        </w:rPr>
        <w:t>招标文件第四部分项目内容）</w:t>
      </w:r>
      <w:r>
        <w:rPr>
          <w:rFonts w:hint="eastAsia" w:ascii="宋体" w:hAnsi="宋体" w:eastAsia="宋体" w:cs="宋体"/>
          <w:color w:val="auto"/>
          <w:sz w:val="24"/>
          <w:szCs w:val="24"/>
          <w:highlight w:val="none"/>
          <w:lang w:val="en-US" w:eastAsia="zh-CN"/>
        </w:rPr>
        <w:t>(附件七)</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）商务条款偏离表（附件</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实施方案</w:t>
      </w:r>
      <w:r>
        <w:rPr>
          <w:rFonts w:hint="eastAsia" w:ascii="宋体" w:hAnsi="宋体" w:eastAsia="宋体" w:cs="宋体"/>
          <w:color w:val="auto"/>
          <w:sz w:val="24"/>
          <w:szCs w:val="24"/>
          <w:highlight w:val="none"/>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服务保障措施</w:t>
      </w:r>
      <w:r>
        <w:rPr>
          <w:rFonts w:hint="eastAsia" w:ascii="宋体" w:hAnsi="宋体" w:eastAsia="宋体" w:cs="宋体"/>
          <w:color w:val="auto"/>
          <w:sz w:val="24"/>
          <w:szCs w:val="24"/>
          <w:highlight w:val="none"/>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）技术规格偏离表（附件</w:t>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）符合性审查、商务、技术标中要求的其他内容资料；</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中小企业声明函(工程、服务)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附件十</w:t>
      </w:r>
      <w:r>
        <w:rPr>
          <w:rFonts w:hint="eastAsia" w:ascii="宋体" w:hAnsi="宋体" w:eastAsia="宋体" w:cs="宋体"/>
          <w:color w:val="auto"/>
          <w:sz w:val="24"/>
          <w:szCs w:val="24"/>
          <w:highlight w:val="none"/>
          <w:lang w:eastAsia="zh-CN"/>
        </w:rPr>
        <w:t>）</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认为有必要提供的其它材料。</w:t>
      </w:r>
    </w:p>
    <w:p>
      <w:pPr>
        <w:snapToGrid w:val="0"/>
        <w:spacing w:line="360" w:lineRule="auto"/>
        <w:jc w:val="left"/>
        <w:rPr>
          <w:rFonts w:hint="eastAsia" w:ascii="宋体" w:hAnsi="宋体" w:eastAsia="宋体" w:cs="宋体"/>
          <w:b/>
          <w:iCs/>
          <w:color w:val="auto"/>
          <w:sz w:val="24"/>
          <w:szCs w:val="24"/>
          <w:highlight w:val="none"/>
          <w:u w:val="none"/>
        </w:rPr>
      </w:pPr>
      <w:r>
        <w:rPr>
          <w:rFonts w:hint="eastAsia" w:ascii="宋体" w:hAnsi="宋体" w:eastAsia="宋体" w:cs="宋体"/>
          <w:b/>
          <w:bCs/>
          <w:iCs/>
          <w:color w:val="auto"/>
          <w:sz w:val="24"/>
          <w:szCs w:val="24"/>
          <w:highlight w:val="none"/>
          <w:u w:val="none"/>
        </w:rPr>
        <w:t>注：以上材料须加盖单位公章</w:t>
      </w:r>
      <w:r>
        <w:rPr>
          <w:rFonts w:hint="eastAsia" w:ascii="宋体" w:hAnsi="宋体" w:eastAsia="宋体" w:cs="宋体"/>
          <w:b/>
          <w:iCs/>
          <w:color w:val="auto"/>
          <w:sz w:val="24"/>
          <w:szCs w:val="24"/>
          <w:highlight w:val="none"/>
          <w:u w:val="none"/>
        </w:rPr>
        <w:t>。</w:t>
      </w:r>
    </w:p>
    <w:p>
      <w:pPr>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12、投标文件格式</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需按照上述投标文件构成顺序编制投标文件，并按招标文件中提供的格式填写投标函、授权委托书、报价一览表等材料，招标文件中未提供格式的，由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自行拟定。</w:t>
      </w:r>
    </w:p>
    <w:p>
      <w:pPr>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13、投标报价</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的报价应为所确定的招标范围内的全部工作内容的价格体现。</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、凡要求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考虑在报价中的内容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在投标文件中没有考虑、没有计入的或未单独列出，采购人认为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已将此项费用涵盖在其它费用、价格中。</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、采购人不接受备选的投标方案或有选择的报价，只允许有一个报价。</w:t>
      </w:r>
    </w:p>
    <w:p>
      <w:pPr>
        <w:snapToGrid w:val="0"/>
        <w:spacing w:line="360" w:lineRule="auto"/>
        <w:ind w:firstLine="836" w:firstLineChars="34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投标报价应包含项目实施过程中涉及到的一切费用。</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13.5、报价注意事项：</w:t>
      </w:r>
    </w:p>
    <w:p>
      <w:pPr>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报价时应充分考虑所有可能影响到报价的报价因素，一旦评标结束最终中标，总价将包定，不予调整。</w:t>
      </w:r>
      <w:r>
        <w:rPr>
          <w:rFonts w:hint="eastAsia" w:ascii="宋体" w:hAnsi="宋体" w:eastAsia="宋体" w:cs="宋体"/>
          <w:b/>
          <w:color w:val="auto"/>
          <w:sz w:val="24"/>
          <w:szCs w:val="24"/>
          <w:highlight w:val="none"/>
        </w:rPr>
        <w:t>如发生漏、缺、少项，都将被认为是中标人的报价让利行为，损失自负。</w:t>
      </w:r>
    </w:p>
    <w:p>
      <w:pPr>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14、投标保证金</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需提交投标保证金（投标保证金必须在投标文件递交截止时间前确保到账，投标保证金金额、银行账号见前附表），并作为参与投标的组成部分之一。</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14.2、对于未按要求提交投标保证金的，将被视为非响应性投标而予以拒绝。</w:t>
      </w:r>
    </w:p>
    <w:p>
      <w:pPr>
        <w:snapToGrid w:val="0"/>
        <w:spacing w:line="360" w:lineRule="auto"/>
        <w:ind w:firstLine="360" w:firstLine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14.3、未中标人的投标保证金将在中标通知书签发后5个工作日内退还。</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配合采购代理机构财务要求提供投标保证金退回手续资料。</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退还中标单位投标保证金时，中标单位须提供与招标人签订的合同原件一份（原件核查无误后退还）及已加盖中标方公章的合同全本复印件一份 （由代理机构存档备查）。</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提供的开户行和银行账号信息不准确或错误导致保证金不能及时退付或退付出现问题和纠纷的，由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承担责任。</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14.4、下列任何情况发生时，投标保证金将被没收:</w:t>
      </w:r>
    </w:p>
    <w:p>
      <w:pPr>
        <w:snapToGrid w:val="0"/>
        <w:spacing w:line="360" w:lineRule="auto"/>
        <w:ind w:firstLine="472" w:firstLineChars="197"/>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①供应商在提交响应文件截止时间后撤回响应文件的；</w:t>
      </w:r>
    </w:p>
    <w:p>
      <w:pPr>
        <w:snapToGrid w:val="0"/>
        <w:spacing w:line="360" w:lineRule="auto"/>
        <w:ind w:firstLine="472" w:firstLineChars="197"/>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②供应商在响应文件中提供虚假材料的；</w:t>
      </w:r>
    </w:p>
    <w:p>
      <w:pPr>
        <w:snapToGrid w:val="0"/>
        <w:spacing w:line="360" w:lineRule="auto"/>
        <w:ind w:firstLine="472" w:firstLineChars="197"/>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③除因不可抗力或招标文件认可的情形以外，成交供应商不与采购人签订合同的；</w:t>
      </w:r>
    </w:p>
    <w:p>
      <w:pPr>
        <w:snapToGrid w:val="0"/>
        <w:spacing w:line="360" w:lineRule="auto"/>
        <w:ind w:firstLine="472" w:firstLineChars="197"/>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④供应商与采购人、其他供应商或者采购代理机构恶意串通的；</w:t>
      </w:r>
    </w:p>
    <w:p>
      <w:pPr>
        <w:snapToGrid w:val="0"/>
        <w:spacing w:line="360" w:lineRule="auto"/>
        <w:ind w:firstLine="472" w:firstLineChars="197"/>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⑤招标文件规定的其他情形。</w:t>
      </w:r>
    </w:p>
    <w:p>
      <w:pPr>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15、投标有效期</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1、投标有效期为招标文件规定的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提交投标文件截止之日起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日历天。投标有效期不满足招标文件要求的将视为非响应性文件而予以拒绝。</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2、在特殊情况下，采购人于原投标有效期满之前，可向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提出延长投标有效期的要求，这种要求与答复均应采用书面形式（如信件、传真或电报等），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可以拒绝采购人的这一要求而放弃参与投标，投标保证金予以退回；同意延长的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既不能要求也不允许修改其投标文件。第十四条有关投标保证金的没收和退还的规定在延长期内继续有效。</w:t>
      </w:r>
    </w:p>
    <w:p>
      <w:pPr>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16、投标文件</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签署</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16.1 </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电子投标文件的编制</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16.2.1</w:t>
      </w:r>
      <w:r>
        <w:rPr>
          <w:rFonts w:hint="eastAsia" w:ascii="宋体" w:hAnsi="宋体" w:eastAsia="宋体" w:cs="宋体"/>
          <w:color w:val="auto"/>
          <w:sz w:val="24"/>
          <w:szCs w:val="24"/>
          <w:highlight w:val="none"/>
        </w:rPr>
        <w:t>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16.2.2 </w:t>
      </w:r>
      <w:r>
        <w:rPr>
          <w:rFonts w:hint="eastAsia" w:ascii="宋体" w:hAnsi="宋体" w:eastAsia="宋体" w:cs="宋体"/>
          <w:color w:val="auto"/>
          <w:sz w:val="24"/>
          <w:szCs w:val="24"/>
          <w:highlight w:val="none"/>
        </w:rPr>
        <w:t>电子投标文件须使用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公章的电子签章以及法定代表人的电子签章。若无电子签章，则视为无效投标。</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16.2.3</w:t>
      </w:r>
      <w:r>
        <w:rPr>
          <w:rFonts w:hint="eastAsia" w:ascii="宋体" w:hAnsi="宋体" w:eastAsia="宋体" w:cs="宋体"/>
          <w:color w:val="auto"/>
          <w:sz w:val="24"/>
          <w:szCs w:val="24"/>
          <w:highlight w:val="none"/>
        </w:rPr>
        <w:t xml:space="preserve"> 电子招投标文件具有法律效力，与其他形式的招投标文件在内容和格式上等同，若投标文件与招标文件要求不一致，其内容影响中标结果时，责任由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递交的电子投标文件因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自身原因而导致无法导入电子辅助评标系统，该投标文件视为无效投标文件，将导致其投标被拒绝。</w:t>
      </w:r>
    </w:p>
    <w:p>
      <w:pPr>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、详见第二部分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snapToGrid w:val="0"/>
        <w:spacing w:line="360" w:lineRule="auto"/>
        <w:jc w:val="left"/>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17、投标文件</w:t>
      </w:r>
      <w:r>
        <w:rPr>
          <w:rFonts w:hint="eastAsia" w:ascii="宋体" w:hAnsi="宋体" w:eastAsia="宋体" w:cs="宋体"/>
          <w:b/>
          <w:bCs/>
          <w:color w:val="auto"/>
          <w:sz w:val="24"/>
          <w:szCs w:val="24"/>
          <w:highlight w:val="none"/>
          <w:lang w:eastAsia="zh-CN"/>
        </w:rPr>
        <w:t>的其他要求</w:t>
      </w:r>
    </w:p>
    <w:p>
      <w:pPr>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17.1、详见第二部分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snapToGrid w:val="0"/>
        <w:spacing w:line="360" w:lineRule="auto"/>
        <w:ind w:firstLine="20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四、投标文件的递交</w:t>
      </w:r>
    </w:p>
    <w:p>
      <w:pPr>
        <w:snapToGrid w:val="0"/>
        <w:spacing w:line="360" w:lineRule="auto"/>
        <w:ind w:firstLine="361" w:firstLineChars="150"/>
        <w:jc w:val="left"/>
        <w:rPr>
          <w:rFonts w:hint="eastAsia" w:ascii="宋体" w:hAnsi="宋体" w:eastAsia="宋体" w:cs="宋体"/>
          <w:b/>
          <w:bCs/>
          <w:color w:val="auto"/>
          <w:sz w:val="24"/>
          <w:szCs w:val="24"/>
          <w:highlight w:val="none"/>
          <w:lang w:val="en-US" w:eastAsia="zh-CN"/>
        </w:rPr>
      </w:pPr>
      <w:bookmarkStart w:id="0" w:name="_Toc213839734"/>
      <w:r>
        <w:rPr>
          <w:rFonts w:hint="eastAsia" w:ascii="宋体" w:hAnsi="宋体" w:eastAsia="宋体" w:cs="宋体"/>
          <w:b/>
          <w:bCs/>
          <w:color w:val="auto"/>
          <w:sz w:val="24"/>
          <w:szCs w:val="24"/>
          <w:highlight w:val="none"/>
          <w:lang w:val="en-US" w:eastAsia="zh-CN"/>
        </w:rPr>
        <w:t>18. 投标文件的密封和标记</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18.1 </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应通过电子投标文件制作工具严格按招标文件要求制作投标文件，在投标截止时间前完成上传经过数字证书电子签章并加密的投标文件（加密和解密须用同一把数字证书）。</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在投标截止时间前，可以对其所递交的投标文件进行修改并重新上传，但以投标截止时间前最后一次上传的投标文件为有效投标文件。</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投标截止时间以政采云上显示的时间为准，逾期系统将自动关闭，未完成上传的投标文件视为逾期送达，将被拒绝。</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 投标文件递交截止时间</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19.1 </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应当在招标文件要求提交投标文件的截止时间前网上投标。</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 在招标文件要求提交投标文件的截止时间之后上传的投标文件，为无效投标文件，采购代理机构将拒绝接收。</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 是否采用不见面开标详见</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 投标文件的修改和撤回</w:t>
      </w:r>
    </w:p>
    <w:p>
      <w:pPr>
        <w:snapToGrid w:val="0"/>
        <w:spacing w:line="360" w:lineRule="auto"/>
        <w:ind w:firstLine="360" w:firstLine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在递交投标文件后，可以修改或撤回其投标，但这种修改和撤回，必须在规定的投标截止时间前。在投标截止时间后，</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不得要求修改或撤回其投标文件。</w:t>
      </w:r>
    </w:p>
    <w:p>
      <w:pPr>
        <w:snapToGrid w:val="0"/>
        <w:spacing w:line="360" w:lineRule="auto"/>
        <w:ind w:firstLine="20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五、无效标、废标条款</w:t>
      </w:r>
    </w:p>
    <w:p>
      <w:pPr>
        <w:snapToGrid w:val="0"/>
        <w:spacing w:line="360" w:lineRule="auto"/>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21、无效投标条款</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21.1、未按照招标文件的规定提交投标保证金的；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21.2、投标文件未按招标文件要求签署、盖章的；</w:t>
      </w:r>
    </w:p>
    <w:p>
      <w:pPr>
        <w:pStyle w:val="34"/>
        <w:snapToGrid w:val="0"/>
        <w:spacing w:line="360" w:lineRule="auto"/>
        <w:ind w:left="36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21.3、不具备招标文件中规定的资格要求的；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21.4、报价超过招标文件中规定的预算金额的；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21.5、投标文件含有采购人不能接受的附加条件的；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串通投标、妨碍其他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的竞争行为；</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21.7、报价同时出现两种以上不一致的，按照招标文件规定的顺序修正。修正后的报价经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21.8、报价明显偏低，投标书面材料不认可，修改后的报价，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不认可的；</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21.9、法律、法规和招标文件规定的其他无效情形。</w:t>
      </w:r>
    </w:p>
    <w:p>
      <w:pPr>
        <w:snapToGrid w:val="0"/>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22、有下列情形之一的，视为</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串通投标，其投标无效：</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的投标文件由同一单位或者个人编制；</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的投标文件载明的项目管理成员或者联系人员为同一人；</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的投标文件异常一致或者投标报价呈规律性差异；</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的投标文件相互混装；</w:t>
      </w:r>
    </w:p>
    <w:p>
      <w:pPr>
        <w:snapToGrid w:val="0"/>
        <w:spacing w:line="360" w:lineRule="auto"/>
        <w:ind w:firstLine="360" w:firstLineChars="15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的投标保证金从同一单位或者个人的账户转出。</w:t>
      </w:r>
    </w:p>
    <w:p>
      <w:pPr>
        <w:snapToGrid w:val="0"/>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23、废标条款</w:t>
      </w:r>
    </w:p>
    <w:p>
      <w:pPr>
        <w:snapToGrid w:val="0"/>
        <w:spacing w:line="360" w:lineRule="auto"/>
        <w:ind w:firstLine="360" w:firstLineChars="1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23.1、符合专业条件的供应商或者对招标文件作实质响应的供应商不足三家的；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23.2、出现影响采购公正的违法、违规行为的；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的报价均超过了采购预算，采购人不能支付的；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23.4、因重大变故，采购任务取消的。</w:t>
      </w:r>
    </w:p>
    <w:p>
      <w:pPr>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24、取消中标候选人资格条款</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24.1、提供虚假材料谋取中标的；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24.2、采取不正当手段诋毁、排挤其他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24.3、与采购人、其他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或者采购代理机构恶意串通的；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24.4、向采购人、采购代理机构行贿或者提供其他不正当利益的；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24.5、在规定的时间内未与采购人签订采购合同的；</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24.6、法律、法规规定的其他情况。</w:t>
      </w:r>
    </w:p>
    <w:p>
      <w:pPr>
        <w:snapToGrid w:val="0"/>
        <w:spacing w:line="360" w:lineRule="auto"/>
        <w:ind w:firstLine="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六、</w:t>
      </w:r>
      <w:bookmarkEnd w:id="0"/>
      <w:r>
        <w:rPr>
          <w:rFonts w:hint="eastAsia" w:ascii="宋体" w:hAnsi="宋体" w:eastAsia="宋体" w:cs="宋体"/>
          <w:b/>
          <w:bCs/>
          <w:color w:val="auto"/>
          <w:sz w:val="24"/>
          <w:szCs w:val="24"/>
          <w:highlight w:val="none"/>
        </w:rPr>
        <w:t>开标程序</w:t>
      </w:r>
    </w:p>
    <w:p>
      <w:pPr>
        <w:pStyle w:val="60"/>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采用不见面开标方式</w:t>
      </w:r>
    </w:p>
    <w:p>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25.1</w:t>
      </w:r>
      <w:r>
        <w:rPr>
          <w:rFonts w:hint="eastAsia" w:ascii="宋体" w:hAnsi="宋体" w:eastAsia="宋体" w:cs="宋体"/>
          <w:color w:val="auto"/>
          <w:sz w:val="24"/>
          <w:highlight w:val="none"/>
        </w:rPr>
        <w:t>招标人在规定的投标截止时间（开标时间）和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须知前附表规定的地点开标。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的法定代表人或其委托代理人无需到达开标现场，仅需在任意地点通过政采云系统，使用CA密钥完成远程解密、提疑澄清、开标唱标、结果公布等交互环节。</w:t>
      </w:r>
    </w:p>
    <w:p>
      <w:pPr>
        <w:pStyle w:val="6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2"/>
          <w:highlight w:val="none"/>
          <w:lang w:val="en-US" w:eastAsia="zh-CN"/>
        </w:rPr>
        <w:t xml:space="preserve">25.2 </w:t>
      </w:r>
      <w:r>
        <w:rPr>
          <w:rFonts w:hint="eastAsia" w:ascii="宋体" w:hAnsi="宋体" w:eastAsia="宋体" w:cs="宋体"/>
          <w:color w:val="auto"/>
          <w:sz w:val="24"/>
          <w:szCs w:val="22"/>
          <w:highlight w:val="none"/>
        </w:rPr>
        <w:t>法定代表人或法定代表人授权委托人参与远程交互，中途不得更换，在废标、澄清、提疑、传送文件等特殊情况下需要交互时，</w:t>
      </w:r>
      <w:r>
        <w:rPr>
          <w:rFonts w:hint="eastAsia" w:cs="宋体"/>
          <w:color w:val="auto"/>
          <w:sz w:val="24"/>
          <w:szCs w:val="22"/>
          <w:highlight w:val="none"/>
          <w:lang w:eastAsia="zh-CN"/>
        </w:rPr>
        <w:t>供应商</w:t>
      </w:r>
      <w:r>
        <w:rPr>
          <w:rFonts w:hint="eastAsia" w:ascii="宋体" w:hAnsi="宋体" w:eastAsia="宋体" w:cs="宋体"/>
          <w:color w:val="auto"/>
          <w:sz w:val="24"/>
          <w:szCs w:val="22"/>
          <w:highlight w:val="none"/>
        </w:rPr>
        <w:t>一端参与交互的人员将均被视为是</w:t>
      </w:r>
      <w:r>
        <w:rPr>
          <w:rFonts w:hint="eastAsia" w:cs="宋体"/>
          <w:color w:val="auto"/>
          <w:sz w:val="24"/>
          <w:szCs w:val="22"/>
          <w:highlight w:val="none"/>
          <w:lang w:eastAsia="zh-CN"/>
        </w:rPr>
        <w:t>供应商</w:t>
      </w:r>
      <w:r>
        <w:rPr>
          <w:rFonts w:hint="eastAsia" w:ascii="宋体" w:hAnsi="宋体" w:eastAsia="宋体" w:cs="宋体"/>
          <w:color w:val="auto"/>
          <w:sz w:val="24"/>
          <w:szCs w:val="22"/>
          <w:highlight w:val="none"/>
        </w:rPr>
        <w:t>的授权委托人或法人代表，</w:t>
      </w:r>
      <w:r>
        <w:rPr>
          <w:rFonts w:hint="eastAsia" w:cs="宋体"/>
          <w:color w:val="auto"/>
          <w:sz w:val="24"/>
          <w:szCs w:val="22"/>
          <w:highlight w:val="none"/>
          <w:lang w:eastAsia="zh-CN"/>
        </w:rPr>
        <w:t>供应商</w:t>
      </w:r>
      <w:r>
        <w:rPr>
          <w:rFonts w:hint="eastAsia" w:ascii="宋体" w:hAnsi="宋体" w:eastAsia="宋体" w:cs="宋体"/>
          <w:color w:val="auto"/>
          <w:sz w:val="24"/>
          <w:szCs w:val="22"/>
          <w:highlight w:val="none"/>
        </w:rPr>
        <w:t>不得以不承认交互人员的资格或身份等为借口推脱，</w:t>
      </w:r>
      <w:r>
        <w:rPr>
          <w:rFonts w:hint="eastAsia" w:cs="宋体"/>
          <w:color w:val="auto"/>
          <w:sz w:val="24"/>
          <w:szCs w:val="22"/>
          <w:highlight w:val="none"/>
          <w:lang w:eastAsia="zh-CN"/>
        </w:rPr>
        <w:t>供应商</w:t>
      </w:r>
      <w:r>
        <w:rPr>
          <w:rFonts w:hint="eastAsia" w:ascii="宋体" w:hAnsi="宋体" w:eastAsia="宋体" w:cs="宋体"/>
          <w:color w:val="auto"/>
          <w:sz w:val="24"/>
          <w:szCs w:val="22"/>
          <w:highlight w:val="none"/>
        </w:rPr>
        <w:t>自行承担随意更换人员所导致的一切后果。</w:t>
      </w:r>
      <w:bookmarkStart w:id="1" w:name="第三章 投标文件的编写"/>
      <w:bookmarkEnd w:id="1"/>
      <w:bookmarkStart w:id="2" w:name="第二章 招标文件的编写"/>
      <w:bookmarkEnd w:id="2"/>
      <w:bookmarkStart w:id="3" w:name="第四章 投标文件的递交"/>
      <w:bookmarkEnd w:id="3"/>
    </w:p>
    <w:p>
      <w:pPr>
        <w:snapToGrid w:val="0"/>
        <w:spacing w:line="360" w:lineRule="auto"/>
        <w:ind w:firstLine="487"/>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26、评标原则</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26.1、严格执行《中华人民共和国政府采购法》及自治区有关法规、政策、维护采购人、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的合法权益，选择对采购人最为有利的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或候选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26.2、坚持价格合理、方案第一的原则，不以最低报价作为中标唯一标准。</w:t>
      </w:r>
    </w:p>
    <w:p>
      <w:pPr>
        <w:adjustRightInd w:val="0"/>
        <w:snapToGrid w:val="0"/>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27、</w:t>
      </w:r>
      <w:r>
        <w:rPr>
          <w:rFonts w:hint="eastAsia" w:ascii="宋体" w:hAnsi="宋体" w:eastAsia="宋体" w:cs="宋体"/>
          <w:b/>
          <w:color w:val="auto"/>
          <w:sz w:val="24"/>
          <w:szCs w:val="24"/>
          <w:highlight w:val="none"/>
        </w:rPr>
        <w:t>评标委员会</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27.1</w:t>
      </w:r>
      <w:r>
        <w:rPr>
          <w:rFonts w:hint="eastAsia" w:ascii="宋体" w:hAnsi="宋体" w:eastAsia="宋体" w:cs="宋体"/>
          <w:color w:val="auto"/>
          <w:sz w:val="24"/>
          <w:szCs w:val="24"/>
          <w:highlight w:val="none"/>
        </w:rPr>
        <w:t>招标人将根据《中华人民共和国政府采购法》相关的法律、法规及规定，依法组建本次招标的评标委员会，负责本次招标的评审、评标等活动。评标委员会负责向招标人推荐中标候选人或者根据招标人的授权直接确定中标人。</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27.2</w:t>
      </w:r>
      <w:r>
        <w:rPr>
          <w:rFonts w:hint="eastAsia" w:ascii="宋体" w:hAnsi="宋体" w:eastAsia="宋体" w:cs="宋体"/>
          <w:color w:val="auto"/>
          <w:sz w:val="24"/>
          <w:szCs w:val="24"/>
          <w:highlight w:val="none"/>
        </w:rPr>
        <w:t>根据本项目的特点，于开标前48小时内，从政采云专家库中随机抽取组建评标委员会。评标委员会在监督部门的监督下独立完成评审工作，负责对投标文件进行审查、质询、评审、推选中标候选人。</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27.1、评标事务由评标委员会负责，并独立履行下列职责：</w:t>
      </w:r>
    </w:p>
    <w:p>
      <w:pPr>
        <w:spacing w:line="360" w:lineRule="auto"/>
        <w:ind w:left="714" w:leftChars="1" w:hanging="712" w:hangingChars="29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（a）审查投标文件是否符合本文件要求，并做出评价；</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（b）要求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对投标文件有关事项做出澄清或答复；</w:t>
      </w:r>
    </w:p>
    <w:p>
      <w:pPr>
        <w:spacing w:line="360" w:lineRule="auto"/>
        <w:ind w:left="714" w:leftChars="1" w:hanging="712" w:hangingChars="29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（c）推荐中标候选人名单，或者直接确定中标人；</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（d）向招标采购单位或者有关部门报告非法干预评标工作的行为。</w:t>
      </w:r>
    </w:p>
    <w:p>
      <w:pPr>
        <w:spacing w:line="360" w:lineRule="auto"/>
        <w:ind w:left="714" w:leftChars="1" w:hanging="712" w:hangingChars="29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27.2．评标委员会成员的义务</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（a）遵纪守法，客观、公正、廉洁地履行职责；</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（b）按照招标文件规定的评标方法和标准进行评标，对评审意见承担个人责任；</w:t>
      </w:r>
    </w:p>
    <w:p>
      <w:pPr>
        <w:spacing w:line="360" w:lineRule="auto"/>
        <w:ind w:left="714" w:leftChars="1" w:hanging="712" w:hangingChars="29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（c）对评标过程和结果，以及</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的商业秘密保密；</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（d）参与评标报告的起草；</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（e）配合财政部门的投诉处理工作；</w:t>
      </w:r>
    </w:p>
    <w:p>
      <w:pPr>
        <w:spacing w:line="360" w:lineRule="auto"/>
        <w:ind w:left="714" w:leftChars="1" w:hanging="712" w:hangingChars="2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（f）配合采购人答复</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提出的质疑。</w:t>
      </w:r>
    </w:p>
    <w:p>
      <w:pPr>
        <w:snapToGrid w:val="0"/>
        <w:spacing w:line="360" w:lineRule="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28、评标程序</w:t>
      </w:r>
    </w:p>
    <w:p>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审会议由评标委员会组长主持。评标委员会首先对各投标文件进行符合性审查，未通过审查的为无效标。符合性检查：依据招标文件的规定，从投标文件的有效性、完整性和对招标文件的响应程度进行审查，以确定是否对招标文件的要求做出了实质性的响应，存在重大偏离的投标文件为无效标。所谓重大偏离是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投标文件中所述服务质量、技术、规格、数量、交货期等和服务明显不能满足招标文件要求。重大偏离的认定须经评标委员会三分之二以上组员同意。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2、评标委员会判断最终确认的“投标文件”的响应性，仅基于“投标文件”本身而不靠外部证据。对非实质性响应的投标文件，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不能通过修正或撤销不符之处，而使其成为实质性响应。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3、评标委员会根据招标文件要求，讨论、通过评标工作流程和评标要点。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4、围绕评标要点，评标委员会全体成员对有效</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递交的投标文件分别进行评标。</w:t>
      </w:r>
    </w:p>
    <w:p>
      <w:pPr>
        <w:pStyle w:val="11"/>
        <w:spacing w:line="360" w:lineRule="auto"/>
        <w:ind w:firstLine="477" w:firstLineChars="19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5、评标过程出现异议的，由评标委员会共同商讨决定，需要</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澄清的，评标委员会将以书面形式通知</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tabs>
          <w:tab w:val="left" w:pos="126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投标文件的澄清：在评标期间，评标委员会可要求</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29、确定中标候选人</w:t>
      </w:r>
    </w:p>
    <w:p>
      <w:pPr>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综合评分法，是指投标文件满足招标文件全部实质性要求且按评审因素的量化指标评审得分最高的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为中标候选人的评审方法。</w:t>
      </w:r>
    </w:p>
    <w:p>
      <w:pPr>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为排名第一的中标候选人。</w:t>
      </w:r>
    </w:p>
    <w:p>
      <w:pPr>
        <w:spacing w:line="360" w:lineRule="auto"/>
        <w:ind w:firstLine="464" w:firstLineChars="1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综合评分的主要因素为</w:t>
      </w:r>
      <w:r>
        <w:rPr>
          <w:rFonts w:hint="eastAsia" w:ascii="宋体" w:hAnsi="宋体" w:eastAsia="宋体" w:cs="宋体"/>
          <w:color w:val="auto"/>
          <w:kern w:val="0"/>
          <w:sz w:val="24"/>
          <w:szCs w:val="24"/>
          <w:highlight w:val="none"/>
        </w:rPr>
        <w:t>，包括投标报价、技术或者服务水平、履约能力、售后服务等</w:t>
      </w:r>
      <w:r>
        <w:rPr>
          <w:rFonts w:hint="eastAsia" w:ascii="宋体" w:hAnsi="宋体" w:eastAsia="宋体" w:cs="宋体"/>
          <w:color w:val="auto"/>
          <w:spacing w:val="-2"/>
          <w:sz w:val="24"/>
          <w:szCs w:val="24"/>
          <w:highlight w:val="none"/>
        </w:rPr>
        <w:t>。</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需通过初步评审后才能参加下一阶段的评标工作。</w:t>
      </w:r>
      <w:r>
        <w:rPr>
          <w:rFonts w:hint="eastAsia" w:ascii="宋体" w:hAnsi="宋体" w:eastAsia="宋体" w:cs="宋体"/>
          <w:bCs/>
          <w:color w:val="auto"/>
          <w:sz w:val="24"/>
          <w:szCs w:val="24"/>
          <w:highlight w:val="none"/>
        </w:rPr>
        <w:t>计算结果值在小数点后均保留两位小数，后余位数四舍五入计。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评标委员会将分析</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提交的总报价及各个分项报价是否合理，报价范围是否完整，有否重大错漏项，</w:t>
      </w:r>
      <w:r>
        <w:rPr>
          <w:rFonts w:hint="eastAsia" w:ascii="宋体" w:hAnsi="宋体" w:eastAsia="宋体" w:cs="宋体"/>
          <w:b/>
          <w:color w:val="auto"/>
          <w:sz w:val="24"/>
          <w:szCs w:val="24"/>
          <w:highlight w:val="none"/>
        </w:rPr>
        <w:t>特别说明：评标委员会认为，</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的最低投标价或者某些分项报价明显不合理或者低于成本，有可能影响商品质量和不能诚信履约的，应当要求其在规定的期限内提供书面文件予以解释说明，并提交相关证明材料；否则，评标委员会可以取消该</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的中标候选资格。为保证本项目产品质量、良好的售后服务，最低报价不作为中标的唯一依据。</w:t>
      </w:r>
      <w:r>
        <w:rPr>
          <w:rFonts w:hint="eastAsia" w:ascii="宋体" w:hAnsi="宋体" w:eastAsia="宋体" w:cs="宋体"/>
          <w:color w:val="auto"/>
          <w:sz w:val="24"/>
          <w:szCs w:val="24"/>
          <w:highlight w:val="none"/>
        </w:rPr>
        <w:t>如果某</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的报价中有漏项，将认为是</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的让利行为。如果该</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中标，则其中标价不能调整，即漏项部分的价格需该投标方自行消化（如构成未实质性响应招标文件要求的，将不得中标）。</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必须如实提供和本项目所要求的有关内容，评委一旦发现</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提供的材料与事实不符，评标委员会核实无误后，将作无效投标处理。</w:t>
      </w:r>
    </w:p>
    <w:p>
      <w:pPr>
        <w:snapToGrid w:val="0"/>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30、评标过程保密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30.1、在评标过程中和评标结束后，凡属于审查、澄清、评价、比较招标文件等有关信息，评标委员会的研究情况和所有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的商业秘密都属于保密内容，相关当事人均不得泄露给任何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或与评标工作无关的人员。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不得探听上述信息，不得以任何行为影响评标过程，否则其投标文件将被作为无效投标文件。</w:t>
      </w:r>
    </w:p>
    <w:p>
      <w:pPr>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30.3、采购人和评标委员会不向未成交的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解释未成交原因，也不对评标过程中的细节问题进行公布。</w:t>
      </w:r>
    </w:p>
    <w:p>
      <w:pPr>
        <w:rPr>
          <w:rFonts w:hint="eastAsia" w:ascii="宋体" w:hAnsi="宋体" w:eastAsia="宋体" w:cs="宋体"/>
          <w:b/>
          <w:color w:val="auto"/>
          <w:sz w:val="24"/>
          <w:szCs w:val="24"/>
          <w:highlight w:val="none"/>
        </w:rPr>
      </w:pPr>
    </w:p>
    <w:p>
      <w:pPr>
        <w:snapToGrid w:val="0"/>
        <w:spacing w:line="360" w:lineRule="auto"/>
        <w:jc w:val="center"/>
        <w:outlineLvl w:val="0"/>
        <w:rPr>
          <w:rFonts w:hint="eastAsia" w:ascii="宋体" w:hAnsi="宋体" w:eastAsia="宋体" w:cs="宋体"/>
          <w:b/>
          <w:color w:val="auto"/>
          <w:sz w:val="28"/>
          <w:szCs w:val="28"/>
          <w:highlight w:val="none"/>
        </w:rPr>
      </w:pPr>
    </w:p>
    <w:p>
      <w:pPr>
        <w:snapToGrid w:val="0"/>
        <w:spacing w:line="360" w:lineRule="auto"/>
        <w:jc w:val="center"/>
        <w:outlineLvl w:val="0"/>
        <w:rPr>
          <w:rFonts w:hint="eastAsia" w:ascii="宋体" w:hAnsi="宋体" w:eastAsia="宋体" w:cs="宋体"/>
          <w:b/>
          <w:color w:val="auto"/>
          <w:sz w:val="28"/>
          <w:szCs w:val="28"/>
          <w:highlight w:val="none"/>
        </w:rPr>
        <w:sectPr>
          <w:footerReference r:id="rId7" w:type="first"/>
          <w:footerReference r:id="rId6" w:type="default"/>
          <w:pgSz w:w="11906" w:h="16838"/>
          <w:pgMar w:top="1440" w:right="1701" w:bottom="1440" w:left="1701" w:header="851" w:footer="992" w:gutter="0"/>
          <w:pgNumType w:fmt="decimal" w:start="1"/>
          <w:cols w:space="720" w:num="1"/>
          <w:titlePg/>
          <w:docGrid w:type="lines" w:linePitch="312" w:charSpace="0"/>
        </w:sectPr>
      </w:pPr>
    </w:p>
    <w:p>
      <w:pPr>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七、评标办法</w:t>
      </w:r>
    </w:p>
    <w:p>
      <w:pPr>
        <w:snapToGrid w:val="0"/>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资格性审查</w:t>
      </w:r>
    </w:p>
    <w:tbl>
      <w:tblPr>
        <w:tblStyle w:val="1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具有独立承担民事责任的能力；（提供合法有效的营业执照或事业单位法人证书）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具有健全的财务会计制度；须提供相关证明材料，财务会计制度需提供2022年度财务审计报告，若成立不满1年则需提供参加本次政府采购活动前一个月的财务报表，若成立不满1个月则无需提供）；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具有履行合同所必需的设备和专业技术能力；（根据项目需求提供履行合同所必需的设备和专业技术能力的证明材料或加盖单位章的书面承诺函）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有依法缴纳税收和社会保障资金的良好记录；（提供参加本次政府采购活动前六个月内（至少一个月）依法缴纳税收和社会保障资金的相关材料）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参加政府采购活动前三年内，在经营活动中没有重大违法记录；（提供参加本次政府采购活动前3年内在经营活动中没有重大违法记录的书面承诺函并加盖单位章）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7750" w:type="dxa"/>
            <w:vAlign w:val="top"/>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在信用中国（ www.creditchina.gov.cn ） 、 中国政府采购网（www.ccgp.gov.cn）等渠道查询后，未被列入失信被执行人、重大税收违法失信主体、政府采购严重违法失信行为记录名单（以代理机构开标当日查询结果为准）；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提供《中小企业声明函》，供应商必须为小微企业（含小型、微型企业）。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059"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7750"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供应商具有有效期内的《食品经营许可证》，且所有餐饮服务上岗人员均需具备在有效期内的健康证；</w:t>
            </w:r>
          </w:p>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val="en-US" w:eastAsia="zh-CN"/>
              </w:rPr>
            </w:pPr>
          </w:p>
        </w:tc>
      </w:tr>
    </w:tbl>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cs="宋体"/>
          <w:b/>
          <w:bCs/>
          <w:color w:val="auto"/>
          <w:sz w:val="28"/>
          <w:szCs w:val="28"/>
          <w:highlight w:val="none"/>
          <w:lang w:val="en-US" w:eastAsia="zh-CN"/>
        </w:rPr>
        <w:sectPr>
          <w:pgSz w:w="11906" w:h="16838"/>
          <w:pgMar w:top="1440" w:right="1701" w:bottom="1440" w:left="1701" w:header="851" w:footer="992" w:gutter="0"/>
          <w:pgNumType w:fmt="decimal" w:start="1"/>
          <w:cols w:space="720" w:num="1"/>
          <w:titlePg/>
          <w:docGrid w:type="lines" w:linePitch="312" w:charSpace="0"/>
        </w:sectPr>
      </w:pPr>
    </w:p>
    <w:p>
      <w:pPr>
        <w:keepNext w:val="0"/>
        <w:keepLines w:val="0"/>
        <w:pageBreakBefore w:val="0"/>
        <w:kinsoku/>
        <w:wordWrap/>
        <w:overflowPunct/>
        <w:topLinePunct w:val="0"/>
        <w:autoSpaceDE/>
        <w:autoSpaceDN/>
        <w:bidi w:val="0"/>
        <w:adjustRightInd/>
        <w:snapToGrid w:val="0"/>
        <w:spacing w:line="20" w:lineRule="atLeas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符合性审查</w:t>
      </w:r>
    </w:p>
    <w:tbl>
      <w:tblPr>
        <w:tblStyle w:val="1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both"/>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投标函有单位盖章及法定代表人或法定代表人授权的代理人签字或盖章的；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是否按照招标文件要求缴纳投标保证金；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373" w:type="dxa"/>
            <w:vAlign w:val="center"/>
          </w:tcPr>
          <w:p>
            <w:pPr>
              <w:keepNext w:val="0"/>
              <w:keepLines w:val="0"/>
              <w:pageBreakBefore w:val="0"/>
              <w:widowControl/>
              <w:kinsoku/>
              <w:wordWrap/>
              <w:overflowPunct/>
              <w:topLinePunct w:val="0"/>
              <w:autoSpaceDE/>
              <w:autoSpaceDN/>
              <w:bidi w:val="0"/>
              <w:adjustRightInd/>
              <w:snapToGri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投标文件是否按规定的格式填写，内容不全或关键字迹模糊、无法辨认的、无重大缺漏项；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投标文件是否按照招标文件要求编写；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合同履约期限</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地点是否符合招标文件要求；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的报价及分项报价是否超过了本项目采购预算；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6" w:type="dxa"/>
            <w:vAlign w:val="center"/>
          </w:tcPr>
          <w:p>
            <w:pPr>
              <w:keepNext w:val="0"/>
              <w:keepLines w:val="0"/>
              <w:pageBreakBefore w:val="0"/>
              <w:kinsoku/>
              <w:wordWrap/>
              <w:overflowPunct/>
              <w:topLinePunct w:val="0"/>
              <w:autoSpaceDE/>
              <w:autoSpaceDN/>
              <w:bidi w:val="0"/>
              <w:adjustRightInd/>
              <w:snapToGrid w:val="0"/>
              <w:spacing w:line="20" w:lineRule="atLeas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373" w:type="dxa"/>
            <w:vAlign w:val="center"/>
          </w:tcPr>
          <w:p>
            <w:pPr>
              <w:keepNext w:val="0"/>
              <w:keepLines w:val="0"/>
              <w:pageBreakBefore w:val="0"/>
              <w:widowControl/>
              <w:kinsoku/>
              <w:wordWrap/>
              <w:overflowPunct/>
              <w:topLinePunct w:val="0"/>
              <w:autoSpaceDE/>
              <w:autoSpaceDN/>
              <w:bidi w:val="0"/>
              <w:adjustRightInd/>
              <w:spacing w:line="20" w:lineRule="atLeast"/>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是否</w:t>
            </w:r>
            <w:r>
              <w:rPr>
                <w:rFonts w:hint="eastAsia" w:ascii="宋体" w:hAnsi="宋体" w:eastAsia="宋体" w:cs="宋体"/>
                <w:color w:val="auto"/>
                <w:kern w:val="0"/>
                <w:sz w:val="24"/>
                <w:szCs w:val="24"/>
                <w:highlight w:val="none"/>
              </w:rPr>
              <w:t>满足招标文件规定的其他实质性要求。</w:t>
            </w:r>
          </w:p>
        </w:tc>
      </w:tr>
    </w:tbl>
    <w:p>
      <w:pPr>
        <w:snapToGrid w:val="0"/>
        <w:spacing w:line="360" w:lineRule="auto"/>
        <w:ind w:firstLine="354" w:firstLineChars="147"/>
        <w:jc w:val="left"/>
        <w:rPr>
          <w:rFonts w:hint="eastAsia" w:ascii="宋体" w:hAnsi="宋体" w:eastAsia="宋体" w:cs="宋体"/>
          <w:b/>
          <w:bCs w:val="0"/>
          <w:color w:val="auto"/>
          <w:sz w:val="24"/>
          <w:szCs w:val="24"/>
          <w:highlight w:val="none"/>
        </w:rPr>
      </w:pPr>
    </w:p>
    <w:p>
      <w:pPr>
        <w:snapToGrid w:val="0"/>
        <w:spacing w:line="360" w:lineRule="auto"/>
        <w:ind w:firstLine="354" w:firstLineChars="147"/>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备注：如果</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提供的投标文件中有一项未通过上述审查标准，评审小组将认定整个投标文件不响应招标文件而予以废标，并且不允许</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通过修改或撤销其不符合要求的差异或保留，使之成为具有响应性的竞标。</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idowControl/>
        <w:jc w:val="center"/>
        <w:rPr>
          <w:rFonts w:hint="eastAsia" w:ascii="宋体" w:hAnsi="宋体" w:eastAsia="宋体" w:cs="宋体"/>
          <w:b/>
          <w:bCs/>
          <w:color w:val="auto"/>
          <w:sz w:val="24"/>
          <w:szCs w:val="24"/>
          <w:highlight w:val="none"/>
        </w:rPr>
        <w:sectPr>
          <w:pgSz w:w="11906" w:h="16838"/>
          <w:pgMar w:top="1440" w:right="1701" w:bottom="1440" w:left="1701" w:header="851" w:footer="992" w:gutter="0"/>
          <w:pgNumType w:fmt="decimal" w:start="1"/>
          <w:cols w:space="720" w:num="1"/>
          <w:titlePg/>
          <w:docGrid w:type="lines" w:linePitch="312" w:charSpace="0"/>
        </w:sectPr>
      </w:pPr>
    </w:p>
    <w:p>
      <w:pPr>
        <w:widowControl/>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评审标准</w:t>
      </w:r>
    </w:p>
    <w:tbl>
      <w:tblPr>
        <w:tblStyle w:val="18"/>
        <w:tblW w:w="9739" w:type="dxa"/>
        <w:tblInd w:w="-552" w:type="dxa"/>
        <w:tblLayout w:type="fixed"/>
        <w:tblCellMar>
          <w:top w:w="15" w:type="dxa"/>
          <w:left w:w="15" w:type="dxa"/>
          <w:bottom w:w="15" w:type="dxa"/>
          <w:right w:w="15" w:type="dxa"/>
        </w:tblCellMar>
      </w:tblPr>
      <w:tblGrid>
        <w:gridCol w:w="704"/>
        <w:gridCol w:w="1297"/>
        <w:gridCol w:w="762"/>
        <w:gridCol w:w="6976"/>
      </w:tblGrid>
      <w:tr>
        <w:tblPrEx>
          <w:tblCellMar>
            <w:top w:w="15" w:type="dxa"/>
            <w:left w:w="15" w:type="dxa"/>
            <w:bottom w:w="15" w:type="dxa"/>
            <w:right w:w="15" w:type="dxa"/>
          </w:tblCellMar>
        </w:tblPrEx>
        <w:trPr>
          <w:trHeight w:val="513"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9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CellMar>
            <w:top w:w="15" w:type="dxa"/>
            <w:left w:w="15" w:type="dxa"/>
            <w:bottom w:w="15" w:type="dxa"/>
            <w:right w:w="15" w:type="dxa"/>
          </w:tblCellMar>
        </w:tblPrEx>
        <w:trPr>
          <w:trHeight w:val="1017"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762"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30分</w:t>
            </w:r>
          </w:p>
        </w:tc>
        <w:tc>
          <w:tcPr>
            <w:tcW w:w="6976"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经评委会审核，满足招标文件要求且报价最低的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的价格为基准价，其价格分为满分（保留小数点后两位）。</w:t>
            </w:r>
          </w:p>
          <w:p>
            <w:pPr>
              <w:spacing w:line="320" w:lineRule="exact"/>
              <w:ind w:right="126" w:rightChars="6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报价得分=（投标基准价/投标报价）×100*30%</w:t>
            </w:r>
          </w:p>
        </w:tc>
      </w:tr>
      <w:tr>
        <w:tblPrEx>
          <w:tblCellMar>
            <w:top w:w="15" w:type="dxa"/>
            <w:left w:w="15" w:type="dxa"/>
            <w:bottom w:w="15" w:type="dxa"/>
            <w:right w:w="15" w:type="dxa"/>
          </w:tblCellMar>
        </w:tblPrEx>
        <w:trPr>
          <w:trHeight w:val="376"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商务、技术部分</w:t>
            </w:r>
          </w:p>
        </w:tc>
      </w:tr>
      <w:tr>
        <w:tblPrEx>
          <w:tblCellMar>
            <w:top w:w="15" w:type="dxa"/>
            <w:left w:w="15" w:type="dxa"/>
            <w:bottom w:w="15" w:type="dxa"/>
            <w:right w:w="15" w:type="dxa"/>
          </w:tblCellMar>
        </w:tblPrEx>
        <w:trPr>
          <w:trHeight w:val="122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7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976"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投标供应商提供近三年内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年1月1日至今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类似业绩（附中标通知书或成交通知书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合同复印件、服务业绩证明）：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每提供一个类似业绩得2分，最高得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320" w:lineRule="exact"/>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合同需体现项目名称、服务内容、金额页、双方盖章页及签订时间；</w:t>
            </w:r>
          </w:p>
        </w:tc>
      </w:tr>
      <w:tr>
        <w:tblPrEx>
          <w:tblCellMar>
            <w:top w:w="15" w:type="dxa"/>
            <w:left w:w="15" w:type="dxa"/>
            <w:bottom w:w="15" w:type="dxa"/>
            <w:right w:w="15" w:type="dxa"/>
          </w:tblCellMar>
        </w:tblPrEx>
        <w:trPr>
          <w:trHeight w:val="1444" w:hRule="atLeast"/>
        </w:trPr>
        <w:tc>
          <w:tcPr>
            <w:tcW w:w="704" w:type="dxa"/>
            <w:vMerge w:val="restart"/>
            <w:tcBorders>
              <w:top w:val="single" w:color="auto" w:sz="4" w:space="0"/>
              <w:left w:val="single" w:color="000000" w:sz="4" w:space="0"/>
              <w:righ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297" w:type="dxa"/>
            <w:vMerge w:val="restart"/>
            <w:tcBorders>
              <w:top w:val="single" w:color="auto" w:sz="4" w:space="0"/>
              <w:left w:val="single" w:color="000000" w:sz="4" w:space="0"/>
              <w:right w:val="single" w:color="000000" w:sz="4" w:space="0"/>
            </w:tcBorders>
            <w:vAlign w:val="center"/>
          </w:tcPr>
          <w:p>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人员配置及</w:t>
            </w:r>
            <w:r>
              <w:rPr>
                <w:rFonts w:hint="eastAsia" w:ascii="宋体" w:hAnsi="宋体" w:eastAsia="宋体" w:cs="宋体"/>
                <w:color w:val="auto"/>
                <w:sz w:val="21"/>
                <w:szCs w:val="21"/>
                <w:highlight w:val="none"/>
                <w:lang w:eastAsia="zh-CN"/>
              </w:rPr>
              <w:t>团队人员证书情况</w:t>
            </w:r>
          </w:p>
        </w:tc>
        <w:tc>
          <w:tcPr>
            <w:tcW w:w="762" w:type="dxa"/>
            <w:tcBorders>
              <w:top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976" w:type="dxa"/>
            <w:tcBorders>
              <w:top w:val="single" w:color="auto" w:sz="4" w:space="0"/>
              <w:bottom w:val="single" w:color="000000" w:sz="4" w:space="0"/>
              <w:right w:val="single" w:color="000000" w:sz="4" w:space="0"/>
            </w:tcBorders>
            <w:vAlign w:val="center"/>
          </w:tcPr>
          <w:p>
            <w:pPr>
              <w:numPr>
                <w:ilvl w:val="0"/>
                <w:numId w:val="3"/>
              </w:numPr>
              <w:spacing w:line="320" w:lineRule="exact"/>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厨师长</w:t>
            </w:r>
            <w:r>
              <w:rPr>
                <w:rFonts w:hint="eastAsia" w:ascii="宋体" w:hAnsi="宋体" w:eastAsia="宋体" w:cs="宋体"/>
                <w:color w:val="auto"/>
                <w:sz w:val="21"/>
                <w:szCs w:val="21"/>
                <w:highlight w:val="none"/>
                <w:lang w:eastAsia="zh-CN"/>
              </w:rPr>
              <w:t>都</w:t>
            </w:r>
            <w:r>
              <w:rPr>
                <w:rFonts w:hint="eastAsia" w:ascii="宋体" w:hAnsi="宋体" w:eastAsia="宋体" w:cs="宋体"/>
                <w:color w:val="auto"/>
                <w:sz w:val="21"/>
                <w:szCs w:val="21"/>
                <w:highlight w:val="none"/>
              </w:rPr>
              <w:t>具有5年</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以上管理工作经验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得2分；管理经验</w:t>
            </w:r>
            <w:r>
              <w:rPr>
                <w:rFonts w:hint="eastAsia" w:ascii="宋体" w:hAnsi="宋体" w:eastAsia="宋体" w:cs="宋体"/>
                <w:color w:val="auto"/>
                <w:sz w:val="21"/>
                <w:szCs w:val="21"/>
                <w:highlight w:val="none"/>
                <w:lang w:eastAsia="zh-CN"/>
              </w:rPr>
              <w:t>每增加</w:t>
            </w:r>
            <w:r>
              <w:rPr>
                <w:rFonts w:hint="eastAsia" w:ascii="宋体" w:hAnsi="宋体" w:eastAsia="宋体" w:cs="宋体"/>
                <w:color w:val="auto"/>
                <w:sz w:val="21"/>
                <w:szCs w:val="21"/>
                <w:highlight w:val="none"/>
              </w:rPr>
              <w:t>2年得1分，(根据相关资格证书考取时间为准）满分4分；</w:t>
            </w:r>
          </w:p>
          <w:p>
            <w:pPr>
              <w:numPr>
                <w:ilvl w:val="0"/>
                <w:numId w:val="0"/>
              </w:numPr>
              <w:spacing w:line="320" w:lineRule="exact"/>
              <w:ind w:right="126" w:rightChars="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2、厨师长承接过类似案例（项目），每一个案例（项目）得1分，本项满分3分，未提供的不得分。 </w:t>
            </w:r>
          </w:p>
          <w:p>
            <w:pPr>
              <w:numPr>
                <w:ilvl w:val="0"/>
                <w:numId w:val="0"/>
              </w:numPr>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（需提供中标通知书或合同或协议或其他相关证明材料）</w:t>
            </w:r>
          </w:p>
        </w:tc>
      </w:tr>
      <w:tr>
        <w:tblPrEx>
          <w:tblCellMar>
            <w:top w:w="15" w:type="dxa"/>
            <w:left w:w="15" w:type="dxa"/>
            <w:bottom w:w="15" w:type="dxa"/>
            <w:right w:w="15" w:type="dxa"/>
          </w:tblCellMar>
        </w:tblPrEx>
        <w:trPr>
          <w:trHeight w:val="1988" w:hRule="atLeast"/>
        </w:trPr>
        <w:tc>
          <w:tcPr>
            <w:tcW w:w="704" w:type="dxa"/>
            <w:vMerge w:val="continue"/>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eastAsia="宋体" w:cs="宋体"/>
                <w:color w:val="auto"/>
                <w:kern w:val="0"/>
                <w:sz w:val="21"/>
                <w:szCs w:val="21"/>
                <w:highlight w:val="none"/>
              </w:rPr>
            </w:pPr>
          </w:p>
        </w:tc>
        <w:tc>
          <w:tcPr>
            <w:tcW w:w="1297" w:type="dxa"/>
            <w:vMerge w:val="continue"/>
            <w:tcBorders>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kern w:val="2"/>
                <w:sz w:val="21"/>
                <w:szCs w:val="21"/>
                <w:highlight w:val="none"/>
                <w:lang w:val="en-US" w:eastAsia="zh-CN" w:bidi="ar-SA"/>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tc>
        <w:tc>
          <w:tcPr>
            <w:tcW w:w="697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20" w:lineRule="exact"/>
              <w:ind w:right="126" w:rightChars="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人员配置按照招标文件第四部分项目需求中的要求填报，人员职务、数量符合招标文件要求的得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分；未提供或提供不完整不符合的本项不得分。</w:t>
            </w:r>
          </w:p>
          <w:p>
            <w:pPr>
              <w:numPr>
                <w:ilvl w:val="0"/>
                <w:numId w:val="4"/>
              </w:num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按照第1项所填报的人员并按招标文件第四部分项目需求中要求提供人员相关证件，所提供的人员相关证件符合招标文件要求的得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分，未提供或提供不完整不符合的不得分；</w:t>
            </w:r>
          </w:p>
          <w:p>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3、投入本项目人员在满足招标文件的前提下，每增加一名人员加 1 分，直至满</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分，未提供的不得分。（需提供人员相关证件）</w:t>
            </w:r>
          </w:p>
        </w:tc>
      </w:tr>
      <w:tr>
        <w:tblPrEx>
          <w:tblCellMar>
            <w:top w:w="15" w:type="dxa"/>
            <w:left w:w="15" w:type="dxa"/>
            <w:bottom w:w="15" w:type="dxa"/>
            <w:right w:w="15" w:type="dxa"/>
          </w:tblCellMar>
        </w:tblPrEx>
        <w:trPr>
          <w:trHeight w:val="1167"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29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保密措施</w:t>
            </w:r>
          </w:p>
          <w:p>
            <w:pPr>
              <w:jc w:val="center"/>
              <w:rPr>
                <w:rFonts w:hint="eastAsia" w:ascii="宋体" w:hAnsi="宋体" w:eastAsia="宋体" w:cs="宋体"/>
                <w:color w:val="auto"/>
                <w:kern w:val="2"/>
                <w:sz w:val="21"/>
                <w:szCs w:val="21"/>
                <w:highlight w:val="none"/>
                <w:lang w:val="en-US" w:eastAsia="zh-CN" w:bidi="ar-SA"/>
              </w:rPr>
            </w:pP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5分</w:t>
            </w:r>
          </w:p>
        </w:tc>
        <w:tc>
          <w:tcPr>
            <w:tcW w:w="6976"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保密保障措施全面合理，数据资料保密制度细致得5分；</w:t>
            </w:r>
          </w:p>
          <w:p>
            <w:pPr>
              <w:spacing w:line="320" w:lineRule="exact"/>
              <w:ind w:right="126" w:rightChars="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保密保障措施，数据资料保密制度基本满足磋商文件要求得3分；</w:t>
            </w:r>
          </w:p>
          <w:p>
            <w:pPr>
              <w:spacing w:line="320" w:lineRule="exact"/>
              <w:ind w:right="126" w:rightChars="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保密保障措施，数据资料保密制度欠缺得1分；</w:t>
            </w:r>
          </w:p>
          <w:p>
            <w:pPr>
              <w:spacing w:line="320" w:lineRule="exact"/>
              <w:ind w:right="126" w:rightChars="6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无相关内容得0分。</w:t>
            </w:r>
          </w:p>
        </w:tc>
      </w:tr>
      <w:tr>
        <w:tblPrEx>
          <w:tblCellMar>
            <w:top w:w="15" w:type="dxa"/>
            <w:left w:w="15" w:type="dxa"/>
            <w:bottom w:w="15" w:type="dxa"/>
            <w:right w:w="15" w:type="dxa"/>
          </w:tblCellMar>
        </w:tblPrEx>
        <w:trPr>
          <w:trHeight w:val="1732"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实施方案</w:t>
            </w:r>
          </w:p>
        </w:tc>
        <w:tc>
          <w:tcPr>
            <w:tcW w:w="7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6976"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依据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为本项目拟定的管理实施方案进行评审，项目管理服务方案须包括以下内容：1、管理体系搭建；2、管理规章制度；3、安全、卫生、质量控制；4、临时性工作服务方案；</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、设施设备维护；</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、特色服务（特色菜谱的制定及描述）。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阐述内容涵盖上述全部内容，满分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分；每有一项不满足扣2分，扣完为止；未提供或者提供与本项目不相符的方案不得分。</w:t>
            </w:r>
          </w:p>
        </w:tc>
      </w:tr>
      <w:tr>
        <w:tblPrEx>
          <w:tblCellMar>
            <w:top w:w="15" w:type="dxa"/>
            <w:left w:w="15" w:type="dxa"/>
            <w:bottom w:w="15" w:type="dxa"/>
            <w:right w:w="15" w:type="dxa"/>
          </w:tblCellMar>
        </w:tblPrEx>
        <w:trPr>
          <w:trHeight w:val="1145"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p>
        </w:tc>
        <w:tc>
          <w:tcPr>
            <w:tcW w:w="1297"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jc w:val="center"/>
              <w:rPr>
                <w:rFonts w:hint="eastAsia" w:ascii="宋体" w:hAnsi="宋体" w:eastAsia="宋体" w:cs="宋体"/>
                <w:color w:val="auto"/>
                <w:sz w:val="21"/>
                <w:szCs w:val="21"/>
                <w:highlight w:val="none"/>
                <w:lang w:val="en-US" w:eastAsia="zh-CN"/>
              </w:rPr>
            </w:pPr>
          </w:p>
          <w:p>
            <w:pPr>
              <w:pStyle w:val="6"/>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p>
            <w:pPr>
              <w:pStyle w:val="6"/>
              <w:ind w:firstLine="0" w:firstLineChars="0"/>
              <w:jc w:val="center"/>
              <w:rPr>
                <w:rFonts w:hint="eastAsia" w:ascii="宋体" w:hAnsi="宋体" w:eastAsia="宋体" w:cs="宋体"/>
                <w:color w:val="auto"/>
                <w:kern w:val="2"/>
                <w:sz w:val="21"/>
                <w:szCs w:val="21"/>
                <w:highlight w:val="none"/>
                <w:lang w:val="en-US" w:eastAsia="zh-CN" w:bidi="ar-SA"/>
              </w:rPr>
            </w:pP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14</w:t>
            </w:r>
          </w:p>
        </w:tc>
        <w:tc>
          <w:tcPr>
            <w:tcW w:w="69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根据投标人提供的服务期期间紧急情况下的应急预案进行综合评审：内容包括但不仅限于①</w:t>
            </w:r>
            <w:r>
              <w:rPr>
                <w:rFonts w:hint="eastAsia" w:ascii="宋体" w:hAnsi="宋体" w:eastAsia="宋体" w:cs="宋体"/>
                <w:color w:val="auto"/>
                <w:sz w:val="21"/>
                <w:szCs w:val="21"/>
                <w:highlight w:val="none"/>
                <w:lang w:eastAsia="zh-CN"/>
              </w:rPr>
              <w:t>食品中毒；</w:t>
            </w:r>
            <w:r>
              <w:rPr>
                <w:rFonts w:hint="eastAsia" w:ascii="宋体" w:hAnsi="宋体" w:eastAsia="宋体" w:cs="宋体"/>
                <w:color w:val="auto"/>
                <w:kern w:val="0"/>
                <w:sz w:val="21"/>
                <w:szCs w:val="21"/>
                <w:highlight w:val="none"/>
                <w:lang w:val="en-US" w:eastAsia="zh-CN" w:bidi="ar"/>
              </w:rPr>
              <w:t>②消防预案；③</w:t>
            </w:r>
            <w:r>
              <w:rPr>
                <w:rFonts w:hint="eastAsia" w:ascii="宋体" w:hAnsi="宋体" w:eastAsia="宋体" w:cs="宋体"/>
                <w:color w:val="auto"/>
                <w:sz w:val="21"/>
                <w:szCs w:val="21"/>
                <w:highlight w:val="none"/>
                <w:lang w:eastAsia="zh-CN"/>
              </w:rPr>
              <w:t>意外事故；④</w:t>
            </w:r>
            <w:r>
              <w:rPr>
                <w:rFonts w:hint="eastAsia" w:ascii="宋体" w:hAnsi="宋体" w:eastAsia="宋体" w:cs="宋体"/>
                <w:color w:val="auto"/>
                <w:kern w:val="0"/>
                <w:sz w:val="21"/>
                <w:szCs w:val="21"/>
                <w:highlight w:val="none"/>
                <w:lang w:val="en-US" w:eastAsia="zh-CN" w:bidi="ar"/>
              </w:rPr>
              <w:t>停电漏电预案；</w:t>
            </w:r>
            <w:r>
              <w:rPr>
                <w:rFonts w:hint="eastAsia" w:ascii="宋体" w:hAnsi="宋体" w:eastAsia="宋体" w:cs="宋体"/>
                <w:color w:val="auto"/>
                <w:sz w:val="21"/>
                <w:szCs w:val="21"/>
                <w:highlight w:val="none"/>
                <w:lang w:eastAsia="zh-CN"/>
              </w:rPr>
              <w:t>⑤</w:t>
            </w:r>
            <w:r>
              <w:rPr>
                <w:rFonts w:hint="eastAsia" w:ascii="宋体" w:hAnsi="宋体" w:eastAsia="宋体" w:cs="宋体"/>
                <w:color w:val="auto"/>
                <w:kern w:val="0"/>
                <w:sz w:val="21"/>
                <w:szCs w:val="21"/>
                <w:highlight w:val="none"/>
                <w:lang w:val="en-US" w:eastAsia="zh-CN" w:bidi="ar"/>
              </w:rPr>
              <w:t>停水预案；⑥燃气泄露预案；⑦日常投诉等突发事件。内容丰富、详细、合理得 14 分，每出现一个缺失（或负偏离、瑕疵）的扣 2 分，扣完为止</w:t>
            </w:r>
            <w:r>
              <w:rPr>
                <w:rFonts w:hint="eastAsia" w:ascii="宋体" w:hAnsi="宋体" w:cs="宋体"/>
                <w:color w:val="auto"/>
                <w:kern w:val="0"/>
                <w:sz w:val="21"/>
                <w:szCs w:val="21"/>
                <w:highlight w:val="none"/>
                <w:lang w:val="en-US" w:eastAsia="zh-CN" w:bidi="ar"/>
              </w:rPr>
              <w:t>。</w:t>
            </w:r>
          </w:p>
        </w:tc>
      </w:tr>
      <w:tr>
        <w:tblPrEx>
          <w:tblCellMar>
            <w:top w:w="15" w:type="dxa"/>
            <w:left w:w="15" w:type="dxa"/>
            <w:bottom w:w="15" w:type="dxa"/>
            <w:right w:w="15" w:type="dxa"/>
          </w:tblCellMar>
        </w:tblPrEx>
        <w:trPr>
          <w:trHeight w:val="990"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环保方案</w:t>
            </w:r>
          </w:p>
          <w:p>
            <w:pPr>
              <w:jc w:val="center"/>
              <w:rPr>
                <w:rFonts w:hint="eastAsia" w:ascii="宋体" w:hAnsi="宋体" w:eastAsia="宋体" w:cs="宋体"/>
                <w:color w:val="auto"/>
                <w:kern w:val="2"/>
                <w:sz w:val="21"/>
                <w:szCs w:val="21"/>
                <w:highlight w:val="none"/>
                <w:lang w:val="en-US" w:eastAsia="zh-CN" w:bidi="ar-SA"/>
              </w:rPr>
            </w:pP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6分</w:t>
            </w:r>
          </w:p>
        </w:tc>
        <w:tc>
          <w:tcPr>
            <w:tcW w:w="6976"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针对本项目实施的环保方案，含抽排烟处理、污水处理、</w:t>
            </w:r>
            <w:r>
              <w:rPr>
                <w:rFonts w:hint="eastAsia" w:ascii="宋体" w:hAnsi="宋体" w:eastAsia="宋体" w:cs="宋体"/>
                <w:color w:val="auto"/>
                <w:sz w:val="21"/>
                <w:szCs w:val="21"/>
                <w:highlight w:val="none"/>
                <w:lang w:val="en-US" w:eastAsia="zh-CN"/>
              </w:rPr>
              <w:t>厨余</w:t>
            </w:r>
            <w:r>
              <w:rPr>
                <w:rFonts w:hint="eastAsia" w:ascii="宋体" w:hAnsi="宋体" w:eastAsia="宋体" w:cs="宋体"/>
                <w:color w:val="auto"/>
                <w:sz w:val="21"/>
                <w:szCs w:val="21"/>
                <w:highlight w:val="none"/>
                <w:lang w:eastAsia="zh-CN"/>
              </w:rPr>
              <w:t>垃圾</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环保方案可行性优的得6分；环保方案可行性较好的得4分；环保方案可行性基本满足磋商文件的得1分；环保方案无可行性的得0分。</w:t>
            </w:r>
          </w:p>
        </w:tc>
      </w:tr>
      <w:tr>
        <w:tblPrEx>
          <w:tblCellMar>
            <w:top w:w="15" w:type="dxa"/>
            <w:left w:w="15" w:type="dxa"/>
            <w:bottom w:w="15" w:type="dxa"/>
            <w:right w:w="15" w:type="dxa"/>
          </w:tblCellMar>
        </w:tblPrEx>
        <w:trPr>
          <w:trHeight w:val="758"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7</w:t>
            </w:r>
          </w:p>
        </w:tc>
        <w:tc>
          <w:tcPr>
            <w:tcW w:w="1297"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食品安全</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4分</w:t>
            </w:r>
          </w:p>
        </w:tc>
        <w:tc>
          <w:tcPr>
            <w:tcW w:w="69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从①食品安全保证承诺函、②食品安全保障措施。两方面进行评价，内容详细、合理得4分，每出现一个缺失（或负偏离、瑕疵）的扣 2 分，扣完为止。</w:t>
            </w:r>
          </w:p>
        </w:tc>
      </w:tr>
    </w:tbl>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snapToGrid w:val="0"/>
        <w:spacing w:line="360" w:lineRule="auto"/>
        <w:ind w:firstLine="443" w:firstLineChars="147"/>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八、中标及合同签订</w:t>
      </w:r>
    </w:p>
    <w:p>
      <w:pPr>
        <w:snapToGrid w:val="0"/>
        <w:spacing w:line="360" w:lineRule="auto"/>
        <w:jc w:val="left"/>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31、中标人</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根据评标委员会对各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32、资格条件</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32.3、如果中标候选人被确认为不具备执行合同的能力，采购人将考虑按同样的程序审查下一个中标候选人。</w:t>
      </w:r>
    </w:p>
    <w:p>
      <w:pPr>
        <w:snapToGrid w:val="0"/>
        <w:spacing w:line="360" w:lineRule="auto"/>
        <w:jc w:val="left"/>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33、中标通知书</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33.1、中标结果经采购人确认后，采购人将向中标人发出中标通知书。</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33.2、中标人应及时到采购人或者代理机构领取中标通知书，中标通知书是签订合同的依据和组成部分。</w:t>
      </w:r>
    </w:p>
    <w:p>
      <w:pPr>
        <w:snapToGrid w:val="0"/>
        <w:spacing w:line="360" w:lineRule="auto"/>
        <w:jc w:val="left"/>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34、签订合同</w:t>
      </w:r>
    </w:p>
    <w:p>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中标人应在规定的时间、地点与采购人签订合同，招标文件、中标人的投标文件、分次报价及服务承诺文件以及评标过程中有关澄清文件均作为合同附件，</w:t>
      </w:r>
      <w:r>
        <w:rPr>
          <w:rFonts w:hint="eastAsia" w:ascii="宋体" w:hAnsi="宋体" w:eastAsia="宋体" w:cs="宋体"/>
          <w:b/>
          <w:color w:val="auto"/>
          <w:sz w:val="24"/>
          <w:highlight w:val="none"/>
        </w:rPr>
        <w:t>合同经采购人审核盖章后实施</w:t>
      </w:r>
      <w:r>
        <w:rPr>
          <w:rFonts w:hint="eastAsia" w:ascii="宋体" w:hAnsi="宋体" w:eastAsia="宋体" w:cs="宋体"/>
          <w:color w:val="auto"/>
          <w:sz w:val="24"/>
          <w:highlight w:val="none"/>
        </w:rPr>
        <w:t>。</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中标人无正当理由未在规定时间内与采购人签订合同的，采购人有权建议取消其中标资格，监管部门将对其依法处理。</w:t>
      </w:r>
    </w:p>
    <w:p>
      <w:pPr>
        <w:snapToGrid w:val="0"/>
        <w:spacing w:line="360" w:lineRule="auto"/>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35、中标服务费</w:t>
      </w:r>
    </w:p>
    <w:p>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中标人在领取中标通知书时，缴纳项目中标服务费。</w:t>
      </w:r>
    </w:p>
    <w:p>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九、验收及付款</w:t>
      </w:r>
    </w:p>
    <w:p>
      <w:pPr>
        <w:snapToGrid w:val="0"/>
        <w:spacing w:line="360" w:lineRule="auto"/>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36、验收</w:t>
      </w:r>
    </w:p>
    <w:p>
      <w:pPr>
        <w:snapToGrid w:val="0"/>
        <w:spacing w:line="360" w:lineRule="auto"/>
        <w:ind w:right="105" w:rightChars="5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采购单位组建验收小组，验收小组由采购单位三人以上组成，按</w:t>
      </w:r>
      <w:r>
        <w:rPr>
          <w:rFonts w:hint="eastAsia" w:ascii="宋体" w:hAnsi="宋体" w:eastAsia="宋体" w:cs="宋体"/>
          <w:bCs/>
          <w:color w:val="auto"/>
          <w:sz w:val="24"/>
          <w:highlight w:val="none"/>
        </w:rPr>
        <w:t>采购合同约定的时间组织验收。</w:t>
      </w:r>
    </w:p>
    <w:p>
      <w:pPr>
        <w:snapToGrid w:val="0"/>
        <w:spacing w:line="360" w:lineRule="auto"/>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37、付款</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按合同签订支付费用。</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numPr>
          <w:ilvl w:val="0"/>
          <w:numId w:val="5"/>
        </w:numPr>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合同</w:t>
      </w:r>
    </w:p>
    <w:p>
      <w:pPr>
        <w:spacing w:line="6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（本合同仅供参考，具体签订以双方协商为准）</w:t>
      </w:r>
    </w:p>
    <w:p>
      <w:pPr>
        <w:spacing w:line="440" w:lineRule="exact"/>
        <w:ind w:firstLine="472" w:firstLineChars="200"/>
        <w:rPr>
          <w:rFonts w:hint="eastAsia" w:ascii="宋体" w:hAnsi="宋体" w:eastAsia="宋体" w:cs="宋体"/>
          <w:color w:val="auto"/>
          <w:spacing w:val="-2"/>
          <w:sz w:val="24"/>
          <w:highlight w:val="none"/>
        </w:rPr>
      </w:pPr>
    </w:p>
    <w:p>
      <w:pPr>
        <w:spacing w:line="440" w:lineRule="exact"/>
        <w:ind w:firstLine="472" w:firstLineChars="200"/>
        <w:rPr>
          <w:rFonts w:hint="eastAsia"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合同编号：</w:t>
      </w:r>
      <w:r>
        <w:rPr>
          <w:rFonts w:hint="eastAsia" w:ascii="宋体" w:hAnsi="宋体" w:eastAsia="宋体" w:cs="宋体"/>
          <w:color w:val="auto"/>
          <w:spacing w:val="-2"/>
          <w:sz w:val="24"/>
          <w:highlight w:val="none"/>
          <w:u w:val="single"/>
        </w:rPr>
        <w:t xml:space="preserve">           </w:t>
      </w:r>
    </w:p>
    <w:p>
      <w:pPr>
        <w:pStyle w:val="3"/>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hint="eastAsia" w:ascii="宋体" w:hAnsi="宋体" w:eastAsia="宋体" w:cs="宋体"/>
          <w:b w:val="0"/>
          <w:bCs w:val="0"/>
          <w:color w:val="auto"/>
          <w:kern w:val="36"/>
          <w:sz w:val="40"/>
          <w:szCs w:val="40"/>
          <w:highlight w:val="none"/>
          <w:lang w:eastAsia="zh-CN"/>
        </w:rPr>
      </w:pPr>
      <w:r>
        <w:rPr>
          <w:rFonts w:hint="eastAsia" w:ascii="宋体" w:hAnsi="宋体" w:eastAsia="宋体" w:cs="宋体"/>
          <w:b w:val="0"/>
          <w:bCs w:val="0"/>
          <w:color w:val="auto"/>
          <w:kern w:val="36"/>
          <w:sz w:val="40"/>
          <w:szCs w:val="40"/>
          <w:highlight w:val="none"/>
        </w:rPr>
        <w:t>新疆维吾尔自治区克孜勒苏</w:t>
      </w:r>
      <w:r>
        <w:rPr>
          <w:rFonts w:hint="eastAsia" w:ascii="宋体" w:hAnsi="宋体" w:cs="宋体"/>
          <w:b w:val="0"/>
          <w:bCs w:val="0"/>
          <w:color w:val="auto"/>
          <w:kern w:val="36"/>
          <w:sz w:val="40"/>
          <w:szCs w:val="40"/>
          <w:highlight w:val="none"/>
          <w:lang w:eastAsia="zh-CN"/>
        </w:rPr>
        <w:t>某单位</w:t>
      </w:r>
    </w:p>
    <w:p>
      <w:pPr>
        <w:keepNext w:val="0"/>
        <w:keepLines w:val="0"/>
        <w:pageBreakBefore w:val="0"/>
        <w:widowControl w:val="0"/>
        <w:kinsoku/>
        <w:wordWrap/>
        <w:overflowPunct/>
        <w:topLinePunct w:val="0"/>
        <w:autoSpaceDE/>
        <w:autoSpaceDN/>
        <w:bidi w:val="0"/>
        <w:adjustRightInd/>
        <w:snapToGrid w:val="0"/>
        <w:spacing w:line="360" w:lineRule="auto"/>
        <w:ind w:right="17"/>
        <w:jc w:val="center"/>
        <w:textAlignment w:val="auto"/>
        <w:rPr>
          <w:rFonts w:ascii="宋体" w:hAnsi="宋体" w:eastAsia="宋体" w:cs="宋体"/>
          <w:b/>
          <w:color w:val="auto"/>
          <w:sz w:val="28"/>
          <w:szCs w:val="28"/>
          <w:highlight w:val="none"/>
        </w:rPr>
      </w:pPr>
      <w:r>
        <w:rPr>
          <w:rFonts w:hint="eastAsia" w:ascii="宋体" w:hAnsi="宋体" w:eastAsia="宋体" w:cs="宋体"/>
          <w:b w:val="0"/>
          <w:bCs w:val="0"/>
          <w:color w:val="auto"/>
          <w:kern w:val="36"/>
          <w:sz w:val="40"/>
          <w:szCs w:val="40"/>
          <w:highlight w:val="none"/>
        </w:rPr>
        <w:t>食堂餐饮服务项目</w:t>
      </w:r>
    </w:p>
    <w:p>
      <w:pPr>
        <w:spacing w:line="480" w:lineRule="auto"/>
        <w:jc w:val="center"/>
        <w:rPr>
          <w:rFonts w:hint="eastAsia" w:ascii="宋体" w:hAnsi="宋体" w:cs="宋体"/>
          <w:b/>
          <w:color w:val="auto"/>
          <w:sz w:val="56"/>
          <w:szCs w:val="96"/>
          <w:highlight w:val="none"/>
        </w:rPr>
      </w:pPr>
    </w:p>
    <w:p>
      <w:pPr>
        <w:spacing w:line="480" w:lineRule="auto"/>
        <w:jc w:val="center"/>
        <w:rPr>
          <w:rFonts w:ascii="宋体" w:hAnsi="宋体" w:cs="宋体"/>
          <w:b/>
          <w:color w:val="auto"/>
          <w:sz w:val="56"/>
          <w:szCs w:val="96"/>
          <w:highlight w:val="none"/>
        </w:rPr>
      </w:pPr>
      <w:r>
        <w:rPr>
          <w:rFonts w:hint="eastAsia" w:ascii="宋体" w:hAnsi="宋体" w:cs="宋体"/>
          <w:b/>
          <w:color w:val="auto"/>
          <w:sz w:val="56"/>
          <w:szCs w:val="96"/>
          <w:highlight w:val="none"/>
        </w:rPr>
        <w:t xml:space="preserve"> 合同书</w:t>
      </w:r>
    </w:p>
    <w:p>
      <w:pPr>
        <w:pStyle w:val="63"/>
        <w:rPr>
          <w:rFonts w:ascii="宋体" w:hAnsi="宋体" w:cs="宋体"/>
          <w:color w:val="auto"/>
          <w:szCs w:val="24"/>
          <w:highlight w:val="none"/>
        </w:rPr>
      </w:pPr>
    </w:p>
    <w:p>
      <w:pPr>
        <w:pStyle w:val="63"/>
        <w:rPr>
          <w:rFonts w:ascii="宋体" w:hAnsi="宋体" w:cs="宋体"/>
          <w:color w:val="auto"/>
          <w:szCs w:val="24"/>
          <w:highlight w:val="none"/>
        </w:rPr>
      </w:pPr>
    </w:p>
    <w:p>
      <w:pPr>
        <w:pStyle w:val="63"/>
        <w:rPr>
          <w:rFonts w:ascii="宋体" w:hAnsi="宋体" w:cs="宋体"/>
          <w:color w:val="auto"/>
          <w:szCs w:val="24"/>
          <w:highlight w:val="none"/>
        </w:rPr>
      </w:pPr>
    </w:p>
    <w:p>
      <w:pPr>
        <w:pStyle w:val="63"/>
        <w:rPr>
          <w:rFonts w:ascii="宋体" w:hAnsi="宋体" w:cs="宋体"/>
          <w:color w:val="auto"/>
          <w:szCs w:val="24"/>
          <w:highlight w:val="none"/>
        </w:rPr>
      </w:pPr>
    </w:p>
    <w:p>
      <w:pPr>
        <w:pStyle w:val="63"/>
        <w:rPr>
          <w:rFonts w:ascii="宋体" w:hAnsi="宋体" w:cs="宋体"/>
          <w:color w:val="auto"/>
          <w:szCs w:val="24"/>
          <w:highlight w:val="none"/>
        </w:rPr>
      </w:pPr>
    </w:p>
    <w:p>
      <w:pPr>
        <w:spacing w:line="440" w:lineRule="exact"/>
        <w:ind w:firstLine="472" w:firstLineChars="200"/>
        <w:rPr>
          <w:rFonts w:hint="eastAsia" w:ascii="宋体" w:hAnsi="宋体" w:eastAsia="宋体" w:cs="宋体"/>
          <w:color w:val="auto"/>
          <w:spacing w:val="-2"/>
          <w:sz w:val="24"/>
          <w:highlight w:val="none"/>
        </w:rPr>
      </w:pP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项目名称：</w:t>
      </w:r>
    </w:p>
    <w:p>
      <w:pPr>
        <w:spacing w:line="440" w:lineRule="exact"/>
        <w:ind w:firstLine="472" w:firstLineChars="200"/>
        <w:rPr>
          <w:rFonts w:hint="eastAsia"/>
          <w:color w:val="auto"/>
          <w:highlight w:val="none"/>
          <w:lang w:eastAsia="zh-CN"/>
        </w:rPr>
      </w:pPr>
      <w:r>
        <w:rPr>
          <w:rFonts w:hint="eastAsia" w:ascii="宋体" w:hAnsi="宋体" w:eastAsia="宋体" w:cs="宋体"/>
          <w:color w:val="auto"/>
          <w:spacing w:val="-2"/>
          <w:sz w:val="24"/>
          <w:highlight w:val="none"/>
        </w:rPr>
        <w:t xml:space="preserve">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甲方：                                       </w:t>
      </w:r>
    </w:p>
    <w:p>
      <w:pPr>
        <w:spacing w:line="440" w:lineRule="exact"/>
        <w:ind w:firstLine="472" w:firstLineChars="200"/>
        <w:rPr>
          <w:rFonts w:hint="eastAsia" w:ascii="宋体" w:hAnsi="宋体" w:eastAsia="宋体" w:cs="宋体"/>
          <w:color w:val="auto"/>
          <w:spacing w:val="-2"/>
          <w:sz w:val="24"/>
          <w:highlight w:val="none"/>
        </w:rPr>
      </w:pP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乙方：                                       </w:t>
      </w:r>
    </w:p>
    <w:p>
      <w:pPr>
        <w:spacing w:line="440" w:lineRule="exact"/>
        <w:ind w:firstLine="472" w:firstLineChars="200"/>
        <w:rPr>
          <w:rFonts w:hint="eastAsia" w:ascii="宋体" w:hAnsi="宋体" w:eastAsia="宋体" w:cs="宋体"/>
          <w:color w:val="auto"/>
          <w:spacing w:val="-2"/>
          <w:sz w:val="24"/>
          <w:highlight w:val="none"/>
        </w:rPr>
      </w:pP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签订地：                                     </w:t>
      </w:r>
    </w:p>
    <w:p>
      <w:pPr>
        <w:spacing w:line="440" w:lineRule="exact"/>
        <w:ind w:firstLine="472" w:firstLineChars="200"/>
        <w:rPr>
          <w:rFonts w:hint="eastAsia" w:ascii="宋体" w:hAnsi="宋体" w:eastAsia="宋体" w:cs="宋体"/>
          <w:color w:val="auto"/>
          <w:spacing w:val="-2"/>
          <w:sz w:val="24"/>
          <w:highlight w:val="none"/>
        </w:rPr>
      </w:pP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签订日期：               年       月       日</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br w:type="page"/>
      </w:r>
    </w:p>
    <w:p>
      <w:pPr>
        <w:spacing w:line="440" w:lineRule="exact"/>
        <w:ind w:firstLine="635" w:firstLineChars="200"/>
        <w:jc w:val="center"/>
        <w:rPr>
          <w:rFonts w:hint="eastAsia" w:ascii="宋体" w:hAnsi="宋体" w:eastAsia="宋体" w:cs="宋体"/>
          <w:b/>
          <w:bCs/>
          <w:color w:val="auto"/>
          <w:spacing w:val="-2"/>
          <w:sz w:val="32"/>
          <w:szCs w:val="24"/>
          <w:highlight w:val="none"/>
          <w:lang w:eastAsia="zh-CN"/>
        </w:rPr>
      </w:pPr>
      <w:r>
        <w:rPr>
          <w:rFonts w:hint="eastAsia" w:ascii="宋体" w:hAnsi="宋体" w:eastAsia="宋体" w:cs="宋体"/>
          <w:b/>
          <w:bCs/>
          <w:color w:val="auto"/>
          <w:spacing w:val="-2"/>
          <w:sz w:val="32"/>
          <w:szCs w:val="24"/>
          <w:highlight w:val="none"/>
          <w:lang w:eastAsia="zh-CN"/>
        </w:rPr>
        <w:t>合</w:t>
      </w:r>
      <w:r>
        <w:rPr>
          <w:rFonts w:hint="eastAsia" w:ascii="宋体" w:hAnsi="宋体" w:cs="宋体"/>
          <w:b/>
          <w:bCs/>
          <w:color w:val="auto"/>
          <w:spacing w:val="-2"/>
          <w:sz w:val="32"/>
          <w:szCs w:val="24"/>
          <w:highlight w:val="none"/>
          <w:lang w:val="en-US" w:eastAsia="zh-CN"/>
        </w:rPr>
        <w:t xml:space="preserve"> </w:t>
      </w:r>
      <w:r>
        <w:rPr>
          <w:rFonts w:hint="eastAsia" w:ascii="宋体" w:hAnsi="宋体" w:eastAsia="宋体" w:cs="宋体"/>
          <w:b/>
          <w:bCs/>
          <w:color w:val="auto"/>
          <w:spacing w:val="-2"/>
          <w:sz w:val="32"/>
          <w:szCs w:val="24"/>
          <w:highlight w:val="none"/>
          <w:lang w:eastAsia="zh-CN"/>
        </w:rPr>
        <w:t>同</w:t>
      </w:r>
      <w:r>
        <w:rPr>
          <w:rFonts w:hint="eastAsia" w:ascii="宋体" w:hAnsi="宋体" w:cs="宋体"/>
          <w:b/>
          <w:bCs/>
          <w:color w:val="auto"/>
          <w:spacing w:val="-2"/>
          <w:sz w:val="32"/>
          <w:szCs w:val="24"/>
          <w:highlight w:val="none"/>
          <w:lang w:val="en-US" w:eastAsia="zh-CN"/>
        </w:rPr>
        <w:t xml:space="preserve"> </w:t>
      </w:r>
      <w:r>
        <w:rPr>
          <w:rFonts w:hint="eastAsia" w:ascii="宋体" w:hAnsi="宋体" w:eastAsia="宋体" w:cs="宋体"/>
          <w:b/>
          <w:bCs/>
          <w:color w:val="auto"/>
          <w:spacing w:val="-2"/>
          <w:sz w:val="32"/>
          <w:szCs w:val="24"/>
          <w:highlight w:val="none"/>
          <w:lang w:eastAsia="zh-CN"/>
        </w:rPr>
        <w:t>书</w:t>
      </w:r>
    </w:p>
    <w:p>
      <w:pPr>
        <w:spacing w:line="440" w:lineRule="exact"/>
        <w:ind w:firstLine="472" w:firstLineChars="200"/>
        <w:rPr>
          <w:rFonts w:hint="eastAsia" w:ascii="宋体" w:hAnsi="宋体" w:eastAsia="宋体" w:cs="宋体"/>
          <w:color w:val="auto"/>
          <w:spacing w:val="-2"/>
          <w:sz w:val="24"/>
          <w:highlight w:val="none"/>
          <w:u w:val="single"/>
          <w:lang w:val="en-US" w:eastAsia="zh-CN"/>
        </w:rPr>
      </w:pP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lang w:val="zh-CN"/>
        </w:rPr>
        <w:t>年</w:t>
      </w:r>
      <w:r>
        <w:rPr>
          <w:rFonts w:hint="eastAsia" w:ascii="宋体" w:hAnsi="宋体" w:eastAsia="宋体" w:cs="宋体"/>
          <w:color w:val="auto"/>
          <w:spacing w:val="-2"/>
          <w:sz w:val="24"/>
          <w:highlight w:val="none"/>
          <w:u w:val="single"/>
          <w:lang w:val="zh-CN"/>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u w:val="single"/>
          <w:lang w:val="zh-CN"/>
        </w:rPr>
        <w:t xml:space="preserve"> </w:t>
      </w:r>
      <w:r>
        <w:rPr>
          <w:rFonts w:hint="eastAsia" w:ascii="宋体" w:hAnsi="宋体" w:eastAsia="宋体" w:cs="宋体"/>
          <w:color w:val="auto"/>
          <w:spacing w:val="-2"/>
          <w:sz w:val="24"/>
          <w:highlight w:val="none"/>
          <w:lang w:val="zh-CN"/>
        </w:rPr>
        <w:t>月</w:t>
      </w:r>
      <w:r>
        <w:rPr>
          <w:rFonts w:hint="eastAsia" w:ascii="宋体" w:hAnsi="宋体" w:eastAsia="宋体" w:cs="宋体"/>
          <w:color w:val="auto"/>
          <w:spacing w:val="-2"/>
          <w:sz w:val="24"/>
          <w:highlight w:val="none"/>
          <w:u w:val="single"/>
          <w:lang w:val="zh-CN"/>
        </w:rPr>
        <w:t xml:space="preserve">    </w:t>
      </w:r>
      <w:r>
        <w:rPr>
          <w:rFonts w:hint="eastAsia" w:ascii="宋体" w:hAnsi="宋体" w:eastAsia="宋体" w:cs="宋体"/>
          <w:color w:val="auto"/>
          <w:spacing w:val="-2"/>
          <w:sz w:val="24"/>
          <w:highlight w:val="none"/>
          <w:lang w:val="zh-CN"/>
        </w:rPr>
        <w:t>日</w:t>
      </w:r>
      <w:r>
        <w:rPr>
          <w:rFonts w:hint="eastAsia" w:ascii="宋体" w:hAnsi="宋体" w:eastAsia="宋体" w:cs="宋体"/>
          <w:color w:val="auto"/>
          <w:spacing w:val="-2"/>
          <w:sz w:val="24"/>
          <w:highlight w:val="none"/>
        </w:rPr>
        <w:t>，   （采购人名称）   以   （政府采购方式）  对   （同前页项目名称）   项目进行了采购。经评定，（中标供应商名称） 为该项目中标供应商。现于中标通知书发出之日起三十日内，按照采购文件确定的事项签订本合同。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zh-CN"/>
        </w:rPr>
        <w:t>根据《中华人民共和国民典法》等相关法律法规之规定，按照平等、自愿、公平和诚实信用的原则，经</w:t>
      </w:r>
      <w:r>
        <w:rPr>
          <w:rFonts w:hint="eastAsia" w:ascii="宋体" w:hAnsi="宋体" w:eastAsia="宋体" w:cs="宋体"/>
          <w:color w:val="auto"/>
          <w:spacing w:val="-2"/>
          <w:sz w:val="24"/>
          <w:highlight w:val="none"/>
        </w:rPr>
        <w:t xml:space="preserve">   （采购人名称）   </w:t>
      </w:r>
      <w:r>
        <w:rPr>
          <w:rFonts w:hint="eastAsia" w:ascii="宋体" w:hAnsi="宋体" w:eastAsia="宋体" w:cs="宋体"/>
          <w:color w:val="auto"/>
          <w:spacing w:val="-2"/>
          <w:sz w:val="24"/>
          <w:highlight w:val="none"/>
          <w:lang w:val="zh-CN"/>
        </w:rPr>
        <w:t>(以下简称：甲方)和</w:t>
      </w:r>
      <w:r>
        <w:rPr>
          <w:rFonts w:hint="eastAsia" w:ascii="宋体" w:hAnsi="宋体" w:eastAsia="宋体" w:cs="宋体"/>
          <w:color w:val="auto"/>
          <w:spacing w:val="-2"/>
          <w:sz w:val="24"/>
          <w:highlight w:val="none"/>
        </w:rPr>
        <w:t xml:space="preserve">   （中标供应商名称）   </w:t>
      </w:r>
      <w:r>
        <w:rPr>
          <w:rFonts w:hint="eastAsia" w:ascii="宋体" w:hAnsi="宋体" w:eastAsia="宋体" w:cs="宋体"/>
          <w:color w:val="auto"/>
          <w:spacing w:val="-2"/>
          <w:sz w:val="24"/>
          <w:highlight w:val="none"/>
          <w:lang w:val="zh-CN"/>
        </w:rPr>
        <w:t>(以下简称：乙方)协商一致，约定以下合同</w:t>
      </w:r>
      <w:r>
        <w:rPr>
          <w:rFonts w:hint="eastAsia" w:ascii="宋体" w:hAnsi="宋体" w:eastAsia="宋体" w:cs="宋体"/>
          <w:color w:val="auto"/>
          <w:spacing w:val="-2"/>
          <w:sz w:val="24"/>
          <w:highlight w:val="none"/>
        </w:rPr>
        <w:t>条款，以兹共同遵守、全面履行。</w:t>
      </w:r>
    </w:p>
    <w:p>
      <w:pPr>
        <w:spacing w:line="440" w:lineRule="exact"/>
        <w:ind w:firstLine="474" w:firstLineChars="200"/>
        <w:rPr>
          <w:rFonts w:hint="eastAsia" w:ascii="宋体" w:hAnsi="宋体" w:eastAsia="宋体" w:cs="宋体"/>
          <w:b/>
          <w:bCs/>
          <w:color w:val="auto"/>
          <w:spacing w:val="-2"/>
          <w:sz w:val="24"/>
          <w:highlight w:val="none"/>
        </w:rPr>
      </w:pPr>
      <w:bookmarkStart w:id="4" w:name="_Toc22967"/>
      <w:bookmarkStart w:id="5" w:name="_Toc15367"/>
      <w:bookmarkStart w:id="6" w:name="_Toc28855"/>
      <w:bookmarkStart w:id="7" w:name="_Toc17179"/>
      <w:bookmarkStart w:id="8" w:name="_Toc26075"/>
      <w:bookmarkStart w:id="9" w:name="_Toc20421"/>
      <w:bookmarkStart w:id="10" w:name="_Toc19273"/>
      <w:r>
        <w:rPr>
          <w:rFonts w:hint="eastAsia" w:ascii="宋体" w:hAnsi="宋体" w:eastAsia="宋体" w:cs="宋体"/>
          <w:b/>
          <w:bCs/>
          <w:color w:val="auto"/>
          <w:spacing w:val="-2"/>
          <w:sz w:val="24"/>
          <w:highlight w:val="none"/>
        </w:rPr>
        <w:t>1.1 合同组成部分</w:t>
      </w:r>
      <w:bookmarkEnd w:id="4"/>
      <w:bookmarkEnd w:id="5"/>
      <w:bookmarkEnd w:id="6"/>
      <w:bookmarkEnd w:id="7"/>
      <w:bookmarkEnd w:id="8"/>
      <w:bookmarkEnd w:id="9"/>
      <w:bookmarkEnd w:id="10"/>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1.1.1 本合同及其补充合同、变更协议；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1.1.2 中标通知书；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1.1.3 投标文件（含澄清或者说明文件）；</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1.1.4 招标文件（含澄清或者修改文件）；</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1.1.5 其他相关采购文件。</w:t>
      </w:r>
    </w:p>
    <w:p>
      <w:pPr>
        <w:spacing w:line="440" w:lineRule="exact"/>
        <w:ind w:firstLine="474" w:firstLineChars="200"/>
        <w:rPr>
          <w:rFonts w:hint="eastAsia" w:ascii="宋体" w:hAnsi="宋体" w:eastAsia="宋体" w:cs="宋体"/>
          <w:b/>
          <w:bCs/>
          <w:color w:val="auto"/>
          <w:spacing w:val="-2"/>
          <w:sz w:val="24"/>
          <w:highlight w:val="none"/>
        </w:rPr>
      </w:pPr>
      <w:bookmarkStart w:id="11" w:name="_Toc6311"/>
      <w:bookmarkStart w:id="12" w:name="_Toc18585"/>
      <w:bookmarkStart w:id="13" w:name="_Toc22185"/>
      <w:bookmarkStart w:id="14" w:name="_Toc6773"/>
      <w:bookmarkStart w:id="15" w:name="_Toc2918"/>
      <w:bookmarkStart w:id="16" w:name="_Toc9365"/>
      <w:bookmarkStart w:id="17" w:name="_Toc13204"/>
      <w:r>
        <w:rPr>
          <w:rFonts w:hint="eastAsia" w:ascii="宋体" w:hAnsi="宋体" w:eastAsia="宋体" w:cs="宋体"/>
          <w:b/>
          <w:bCs/>
          <w:color w:val="auto"/>
          <w:spacing w:val="-2"/>
          <w:sz w:val="24"/>
          <w:highlight w:val="none"/>
        </w:rPr>
        <w:t>1.2 标的</w:t>
      </w:r>
      <w:bookmarkEnd w:id="11"/>
      <w:bookmarkEnd w:id="12"/>
      <w:bookmarkEnd w:id="13"/>
      <w:bookmarkEnd w:id="14"/>
      <w:bookmarkEnd w:id="15"/>
      <w:bookmarkEnd w:id="16"/>
      <w:bookmarkEnd w:id="17"/>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1.2.1 标的名称：</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 xml:space="preserve">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1.2.2 标的数量：</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 xml:space="preserve">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1.2.3 标的质量：</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 xml:space="preserve"> 。</w:t>
      </w:r>
    </w:p>
    <w:p>
      <w:pPr>
        <w:spacing w:line="440" w:lineRule="exact"/>
        <w:ind w:firstLine="474" w:firstLineChars="200"/>
        <w:rPr>
          <w:rFonts w:hint="eastAsia" w:ascii="宋体" w:hAnsi="宋体" w:eastAsia="宋体" w:cs="宋体"/>
          <w:b/>
          <w:bCs/>
          <w:color w:val="auto"/>
          <w:spacing w:val="-2"/>
          <w:sz w:val="24"/>
          <w:highlight w:val="none"/>
        </w:rPr>
      </w:pPr>
      <w:bookmarkStart w:id="18" w:name="_Toc4929"/>
      <w:bookmarkStart w:id="19" w:name="_Toc1386"/>
      <w:bookmarkStart w:id="20" w:name="_Toc13918"/>
      <w:bookmarkStart w:id="21" w:name="_Toc7486"/>
      <w:bookmarkStart w:id="22" w:name="_Toc21124"/>
      <w:bookmarkStart w:id="23" w:name="_Toc5635"/>
      <w:bookmarkStart w:id="24" w:name="_Toc26054"/>
      <w:r>
        <w:rPr>
          <w:rFonts w:hint="eastAsia" w:ascii="宋体" w:hAnsi="宋体" w:eastAsia="宋体" w:cs="宋体"/>
          <w:b/>
          <w:bCs/>
          <w:color w:val="auto"/>
          <w:spacing w:val="-2"/>
          <w:sz w:val="24"/>
          <w:highlight w:val="none"/>
        </w:rPr>
        <w:t>1.3 价款</w:t>
      </w:r>
      <w:bookmarkEnd w:id="18"/>
      <w:bookmarkEnd w:id="19"/>
      <w:bookmarkEnd w:id="20"/>
      <w:bookmarkEnd w:id="21"/>
      <w:bookmarkEnd w:id="22"/>
      <w:bookmarkEnd w:id="23"/>
      <w:bookmarkEnd w:id="24"/>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本合同总价为：￥</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元（大写：</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元人民币）。</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分项价格：</w:t>
      </w:r>
    </w:p>
    <w:p>
      <w:pPr>
        <w:spacing w:line="440" w:lineRule="exact"/>
        <w:ind w:firstLine="472" w:firstLineChars="200"/>
        <w:rPr>
          <w:rFonts w:hint="eastAsia" w:ascii="宋体" w:hAnsi="宋体" w:eastAsia="宋体" w:cs="宋体"/>
          <w:color w:val="auto"/>
          <w:spacing w:val="-2"/>
          <w:sz w:val="24"/>
          <w:highlight w:val="none"/>
        </w:rPr>
      </w:pP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序号</w:t>
            </w:r>
          </w:p>
        </w:tc>
        <w:tc>
          <w:tcPr>
            <w:tcW w:w="340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分项名称</w:t>
            </w: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340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340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340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340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总价</w:t>
            </w:r>
          </w:p>
        </w:tc>
        <w:tc>
          <w:tcPr>
            <w:tcW w:w="2552" w:type="dxa"/>
            <w:noWrap w:val="0"/>
            <w:vAlign w:val="center"/>
          </w:tcPr>
          <w:p>
            <w:pPr>
              <w:spacing w:line="440" w:lineRule="exact"/>
              <w:ind w:firstLine="472" w:firstLineChars="200"/>
              <w:rPr>
                <w:rFonts w:hint="eastAsia" w:ascii="宋体" w:hAnsi="宋体" w:eastAsia="宋体" w:cs="宋体"/>
                <w:color w:val="auto"/>
                <w:spacing w:val="-2"/>
                <w:sz w:val="24"/>
                <w:highlight w:val="none"/>
              </w:rPr>
            </w:pPr>
          </w:p>
        </w:tc>
      </w:tr>
    </w:tbl>
    <w:p>
      <w:pPr>
        <w:spacing w:line="440" w:lineRule="exact"/>
        <w:ind w:firstLine="474" w:firstLineChars="200"/>
        <w:rPr>
          <w:rFonts w:hint="eastAsia" w:ascii="宋体" w:hAnsi="宋体" w:eastAsia="宋体" w:cs="宋体"/>
          <w:b/>
          <w:bCs/>
          <w:color w:val="auto"/>
          <w:spacing w:val="-2"/>
          <w:sz w:val="24"/>
          <w:highlight w:val="none"/>
        </w:rPr>
      </w:pPr>
      <w:bookmarkStart w:id="25" w:name="_Toc30850"/>
      <w:bookmarkStart w:id="26" w:name="_Toc14993"/>
      <w:bookmarkStart w:id="27" w:name="_Toc26916"/>
      <w:bookmarkStart w:id="28" w:name="_Toc30506"/>
      <w:bookmarkStart w:id="29" w:name="_Toc30158"/>
      <w:bookmarkStart w:id="30" w:name="_Toc3654"/>
      <w:bookmarkStart w:id="31" w:name="_Toc23210"/>
      <w:r>
        <w:rPr>
          <w:rFonts w:hint="eastAsia" w:ascii="宋体" w:hAnsi="宋体" w:eastAsia="宋体" w:cs="宋体"/>
          <w:b/>
          <w:bCs/>
          <w:color w:val="auto"/>
          <w:spacing w:val="-2"/>
          <w:sz w:val="24"/>
          <w:highlight w:val="none"/>
        </w:rPr>
        <w:t>1.4 付款方式和发票开具方式</w:t>
      </w:r>
      <w:bookmarkEnd w:id="25"/>
      <w:bookmarkEnd w:id="26"/>
      <w:bookmarkEnd w:id="27"/>
      <w:bookmarkEnd w:id="28"/>
      <w:bookmarkEnd w:id="29"/>
      <w:bookmarkEnd w:id="30"/>
      <w:bookmarkEnd w:id="31"/>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1.4.1付款方式：</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 xml:space="preserve">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1.4.2 发票开具方式：</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 xml:space="preserve"> 。</w:t>
      </w:r>
    </w:p>
    <w:p>
      <w:pPr>
        <w:spacing w:line="440" w:lineRule="exact"/>
        <w:ind w:firstLine="474" w:firstLineChars="200"/>
        <w:rPr>
          <w:rFonts w:hint="eastAsia" w:ascii="宋体" w:hAnsi="宋体" w:eastAsia="宋体" w:cs="宋体"/>
          <w:b/>
          <w:bCs/>
          <w:color w:val="auto"/>
          <w:spacing w:val="-2"/>
          <w:sz w:val="24"/>
          <w:highlight w:val="none"/>
        </w:rPr>
      </w:pPr>
      <w:bookmarkStart w:id="32" w:name="_Toc11108"/>
      <w:bookmarkStart w:id="33" w:name="_Toc8772"/>
      <w:bookmarkStart w:id="34" w:name="_Toc3625"/>
      <w:bookmarkStart w:id="35" w:name="_Toc28696"/>
      <w:bookmarkStart w:id="36" w:name="_Toc4630"/>
      <w:bookmarkStart w:id="37" w:name="_Toc4760"/>
      <w:bookmarkStart w:id="38" w:name="_Toc31421"/>
      <w:r>
        <w:rPr>
          <w:rFonts w:hint="eastAsia" w:ascii="宋体" w:hAnsi="宋体" w:eastAsia="宋体" w:cs="宋体"/>
          <w:b/>
          <w:bCs/>
          <w:color w:val="auto"/>
          <w:spacing w:val="-2"/>
          <w:sz w:val="24"/>
          <w:highlight w:val="none"/>
        </w:rPr>
        <w:t>1.5 履行期限、地点和方式</w:t>
      </w:r>
      <w:bookmarkEnd w:id="32"/>
      <w:bookmarkEnd w:id="33"/>
      <w:bookmarkEnd w:id="34"/>
      <w:bookmarkEnd w:id="35"/>
      <w:bookmarkEnd w:id="36"/>
      <w:bookmarkEnd w:id="37"/>
      <w:bookmarkEnd w:id="38"/>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1.5.1 履行期限：</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1.5.2 履行地点：</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履行方式：</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w:t>
      </w:r>
    </w:p>
    <w:p>
      <w:pPr>
        <w:spacing w:line="440" w:lineRule="exact"/>
        <w:ind w:firstLine="474" w:firstLineChars="200"/>
        <w:rPr>
          <w:rFonts w:hint="eastAsia" w:ascii="宋体" w:hAnsi="宋体" w:eastAsia="宋体" w:cs="宋体"/>
          <w:b/>
          <w:bCs/>
          <w:color w:val="auto"/>
          <w:spacing w:val="-2"/>
          <w:sz w:val="24"/>
          <w:highlight w:val="none"/>
        </w:rPr>
      </w:pPr>
      <w:bookmarkStart w:id="39" w:name="_Toc4595"/>
      <w:bookmarkStart w:id="40" w:name="_Toc2375"/>
      <w:bookmarkStart w:id="41" w:name="_Toc8586"/>
      <w:bookmarkStart w:id="42" w:name="_Toc24662"/>
      <w:bookmarkStart w:id="43" w:name="_Toc3079"/>
      <w:bookmarkStart w:id="44" w:name="_Toc5698"/>
      <w:bookmarkStart w:id="45" w:name="_Toc20462"/>
      <w:r>
        <w:rPr>
          <w:rFonts w:hint="eastAsia" w:ascii="宋体" w:hAnsi="宋体" w:eastAsia="宋体" w:cs="宋体"/>
          <w:b/>
          <w:bCs/>
          <w:color w:val="auto"/>
          <w:spacing w:val="-2"/>
          <w:sz w:val="24"/>
          <w:highlight w:val="none"/>
        </w:rPr>
        <w:t>1.6 违约责任</w:t>
      </w:r>
      <w:bookmarkEnd w:id="39"/>
      <w:bookmarkEnd w:id="40"/>
      <w:bookmarkEnd w:id="41"/>
      <w:bookmarkEnd w:id="42"/>
      <w:bookmarkEnd w:id="43"/>
      <w:bookmarkEnd w:id="44"/>
      <w:bookmarkEnd w:id="45"/>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%计算，最高限额为本合同总价的</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%；迟延履行的违约金计算数额达到前述最高限额之日起，甲方有权在要求乙方支付违约金的同时，书面通知乙方解除本合同；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%计算，最高限额为本合同总价的</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%；迟延付款的违约金计算数额达到前述最高限额之日起，乙方有权在要求甲方支付违约金的同时，书面通知甲方解除本合同；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440" w:lineRule="exact"/>
        <w:ind w:firstLine="474" w:firstLineChars="200"/>
        <w:rPr>
          <w:rFonts w:hint="eastAsia" w:ascii="宋体" w:hAnsi="宋体" w:eastAsia="宋体" w:cs="宋体"/>
          <w:b/>
          <w:bCs/>
          <w:color w:val="auto"/>
          <w:spacing w:val="-2"/>
          <w:sz w:val="24"/>
          <w:highlight w:val="none"/>
        </w:rPr>
      </w:pPr>
      <w:bookmarkStart w:id="46" w:name="_Toc9497"/>
      <w:bookmarkStart w:id="47" w:name="_Toc30329"/>
      <w:bookmarkStart w:id="48" w:name="_Toc29824"/>
      <w:bookmarkStart w:id="49" w:name="_Toc18683"/>
      <w:bookmarkStart w:id="50" w:name="_Toc9921"/>
      <w:bookmarkStart w:id="51" w:name="_Toc26807"/>
      <w:bookmarkStart w:id="52" w:name="_Toc32454"/>
      <w:r>
        <w:rPr>
          <w:rFonts w:hint="eastAsia" w:ascii="宋体" w:hAnsi="宋体" w:eastAsia="宋体" w:cs="宋体"/>
          <w:b/>
          <w:bCs/>
          <w:color w:val="auto"/>
          <w:spacing w:val="-2"/>
          <w:sz w:val="24"/>
          <w:highlight w:val="none"/>
        </w:rPr>
        <w:t>1.7 合同争议的解决</w:t>
      </w:r>
      <w:bookmarkEnd w:id="46"/>
      <w:bookmarkEnd w:id="47"/>
      <w:bookmarkEnd w:id="48"/>
      <w:bookmarkEnd w:id="49"/>
      <w:bookmarkEnd w:id="50"/>
      <w:bookmarkEnd w:id="51"/>
      <w:bookmarkEnd w:id="52"/>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种方式解决：</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将争议提交</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仲裁委员会依申请仲裁时其现行有效的仲裁规则裁决；</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向</w:t>
      </w:r>
      <w:r>
        <w:rPr>
          <w:rFonts w:hint="eastAsia" w:ascii="宋体" w:hAnsi="宋体" w:eastAsia="宋体" w:cs="宋体"/>
          <w:color w:val="auto"/>
          <w:spacing w:val="-2"/>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pacing w:val="-2"/>
          <w:sz w:val="24"/>
          <w:highlight w:val="none"/>
        </w:rPr>
        <w:t>人民法院起诉。</w:t>
      </w:r>
    </w:p>
    <w:p>
      <w:pPr>
        <w:spacing w:line="440" w:lineRule="exact"/>
        <w:ind w:firstLine="474" w:firstLineChars="200"/>
        <w:rPr>
          <w:rFonts w:hint="eastAsia" w:ascii="宋体" w:hAnsi="宋体" w:eastAsia="宋体" w:cs="宋体"/>
          <w:b/>
          <w:bCs/>
          <w:color w:val="auto"/>
          <w:spacing w:val="-2"/>
          <w:sz w:val="24"/>
          <w:highlight w:val="none"/>
        </w:rPr>
      </w:pPr>
      <w:bookmarkStart w:id="53" w:name="_Toc26227"/>
      <w:bookmarkStart w:id="54" w:name="_Toc23784"/>
      <w:bookmarkStart w:id="55" w:name="_Toc31895"/>
      <w:bookmarkStart w:id="56" w:name="_Toc16417"/>
      <w:bookmarkStart w:id="57" w:name="_Toc15827"/>
      <w:bookmarkStart w:id="58" w:name="_Toc12273"/>
      <w:bookmarkStart w:id="59" w:name="_Toc3387"/>
      <w:r>
        <w:rPr>
          <w:rFonts w:hint="eastAsia" w:ascii="宋体" w:hAnsi="宋体" w:eastAsia="宋体" w:cs="宋体"/>
          <w:b/>
          <w:bCs/>
          <w:color w:val="auto"/>
          <w:spacing w:val="-2"/>
          <w:sz w:val="24"/>
          <w:highlight w:val="none"/>
        </w:rPr>
        <w:t>1.8 合同生效</w:t>
      </w:r>
      <w:bookmarkEnd w:id="53"/>
      <w:bookmarkEnd w:id="54"/>
      <w:bookmarkEnd w:id="55"/>
      <w:bookmarkEnd w:id="56"/>
      <w:bookmarkEnd w:id="57"/>
      <w:bookmarkEnd w:id="58"/>
      <w:bookmarkEnd w:id="59"/>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rPr>
        <w:t>本合同自双方当事人盖章或者签字时生效。</w:t>
      </w:r>
    </w:p>
    <w:p>
      <w:pPr>
        <w:rPr>
          <w:rFonts w:hint="eastAsia"/>
          <w:color w:val="auto"/>
          <w:highlight w:val="none"/>
          <w:lang w:val="zh-CN"/>
        </w:rPr>
      </w:pPr>
    </w:p>
    <w:p>
      <w:pPr>
        <w:spacing w:line="440" w:lineRule="exact"/>
        <w:ind w:firstLine="474" w:firstLineChars="200"/>
        <w:rPr>
          <w:rFonts w:hint="eastAsia" w:ascii="宋体" w:hAnsi="宋体" w:eastAsia="宋体" w:cs="宋体"/>
          <w:color w:val="auto"/>
          <w:spacing w:val="-2"/>
          <w:sz w:val="24"/>
          <w:highlight w:val="none"/>
          <w:lang w:val="zh-CN"/>
        </w:rPr>
      </w:pPr>
      <w:r>
        <w:rPr>
          <w:rFonts w:hint="eastAsia" w:ascii="宋体" w:hAnsi="宋体" w:eastAsia="宋体" w:cs="宋体"/>
          <w:b/>
          <w:bCs/>
          <w:color w:val="auto"/>
          <w:spacing w:val="-2"/>
          <w:sz w:val="24"/>
          <w:highlight w:val="none"/>
          <w:lang w:val="zh-CN"/>
        </w:rPr>
        <w:t xml:space="preserve">甲方： </w:t>
      </w:r>
      <w:r>
        <w:rPr>
          <w:rFonts w:hint="eastAsia" w:ascii="宋体" w:hAnsi="宋体" w:eastAsia="宋体" w:cs="宋体"/>
          <w:color w:val="auto"/>
          <w:spacing w:val="-2"/>
          <w:sz w:val="24"/>
          <w:highlight w:val="none"/>
          <w:lang w:val="zh-CN"/>
        </w:rPr>
        <w:t xml:space="preserve">                                </w:t>
      </w:r>
      <w:r>
        <w:rPr>
          <w:rFonts w:hint="eastAsia" w:ascii="宋体" w:hAnsi="宋体" w:eastAsia="宋体" w:cs="宋体"/>
          <w:b/>
          <w:bCs/>
          <w:color w:val="auto"/>
          <w:spacing w:val="-2"/>
          <w:sz w:val="24"/>
          <w:highlight w:val="none"/>
          <w:lang w:val="zh-CN"/>
        </w:rPr>
        <w:t xml:space="preserve">  乙方：</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统一社会信用代码：                       统一社会信用代码：</w:t>
      </w:r>
      <w:r>
        <w:rPr>
          <w:rFonts w:hint="eastAsia" w:ascii="宋体" w:hAnsi="宋体" w:eastAsia="宋体" w:cs="宋体"/>
          <w:color w:val="auto"/>
          <w:spacing w:val="-2"/>
          <w:sz w:val="24"/>
          <w:highlight w:val="none"/>
          <w:lang w:val="en-US" w:eastAsia="zh-CN"/>
        </w:rPr>
        <w:t xml:space="preserve">                                            </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住所：                                   住所：</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法定代表人或                             法定代表人</w:t>
      </w:r>
      <w:r>
        <w:rPr>
          <w:rFonts w:hint="eastAsia" w:ascii="宋体" w:hAnsi="宋体" w:cs="宋体"/>
          <w:color w:val="auto"/>
          <w:spacing w:val="-2"/>
          <w:sz w:val="24"/>
          <w:highlight w:val="none"/>
          <w:lang w:val="zh-CN"/>
        </w:rPr>
        <w:t>或</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 xml:space="preserve">授权代表（签字）：                      </w:t>
      </w:r>
      <w:r>
        <w:rPr>
          <w:rFonts w:hint="eastAsia" w:ascii="宋体" w:hAnsi="宋体" w:cs="宋体"/>
          <w:color w:val="auto"/>
          <w:spacing w:val="-2"/>
          <w:sz w:val="24"/>
          <w:highlight w:val="none"/>
          <w:lang w:val="en-US" w:eastAsia="zh-CN"/>
        </w:rPr>
        <w:t xml:space="preserve"> </w:t>
      </w:r>
      <w:r>
        <w:rPr>
          <w:rFonts w:hint="eastAsia" w:ascii="宋体" w:hAnsi="宋体" w:eastAsia="宋体" w:cs="宋体"/>
          <w:color w:val="auto"/>
          <w:spacing w:val="-2"/>
          <w:sz w:val="24"/>
          <w:highlight w:val="none"/>
          <w:lang w:val="zh-CN"/>
        </w:rPr>
        <w:t xml:space="preserve">授权代表（签字）: </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联系人：                                 联系人：</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约定送达地址：                           约定送达地址：</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邮政编码：                               邮政编码：</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 xml:space="preserve">电话:                                    电话: </w:t>
      </w:r>
    </w:p>
    <w:p>
      <w:pPr>
        <w:spacing w:line="440" w:lineRule="exact"/>
        <w:ind w:firstLine="472" w:firstLineChars="20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传真:                                    传真:</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zh-CN"/>
        </w:rPr>
        <w:t>电子邮箱：                               电子邮箱：</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开户银行：                               开户银行：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开户名称：                               开户名称： </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开户账号：</w:t>
      </w:r>
      <w:r>
        <w:rPr>
          <w:rFonts w:hint="eastAsia" w:ascii="宋体" w:hAnsi="宋体" w:eastAsia="宋体" w:cs="宋体"/>
          <w:color w:val="auto"/>
          <w:spacing w:val="-2"/>
          <w:sz w:val="24"/>
          <w:highlight w:val="none"/>
          <w:lang w:val="zh-CN"/>
        </w:rPr>
        <w:t xml:space="preserve">                               </w:t>
      </w:r>
      <w:r>
        <w:rPr>
          <w:rFonts w:hint="eastAsia" w:ascii="宋体" w:hAnsi="宋体" w:eastAsia="宋体" w:cs="宋体"/>
          <w:color w:val="auto"/>
          <w:spacing w:val="-2"/>
          <w:sz w:val="24"/>
          <w:highlight w:val="none"/>
        </w:rPr>
        <w:t>开户账号：</w:t>
      </w:r>
    </w:p>
    <w:p>
      <w:pPr>
        <w:pStyle w:val="7"/>
        <w:rPr>
          <w:rFonts w:hint="eastAsia" w:ascii="宋体" w:hAnsi="宋体" w:eastAsia="宋体" w:cs="宋体"/>
          <w:color w:val="auto"/>
          <w:spacing w:val="-2"/>
          <w:sz w:val="24"/>
          <w:highlight w:val="none"/>
        </w:rPr>
      </w:pPr>
    </w:p>
    <w:p>
      <w:pPr>
        <w:pStyle w:val="8"/>
        <w:rPr>
          <w:rFonts w:hint="eastAsia" w:ascii="宋体" w:hAnsi="宋体" w:eastAsia="宋体" w:cs="宋体"/>
          <w:color w:val="auto"/>
          <w:spacing w:val="-2"/>
          <w:sz w:val="24"/>
          <w:highlight w:val="none"/>
        </w:rPr>
      </w:pPr>
    </w:p>
    <w:p>
      <w:pPr>
        <w:pStyle w:val="8"/>
        <w:rPr>
          <w:rFonts w:hint="eastAsia" w:ascii="宋体" w:hAnsi="宋体" w:eastAsia="宋体" w:cs="宋体"/>
          <w:color w:val="auto"/>
          <w:spacing w:val="-2"/>
          <w:sz w:val="24"/>
          <w:highlight w:val="none"/>
        </w:rPr>
      </w:pPr>
    </w:p>
    <w:p>
      <w:pPr>
        <w:widowControl/>
        <w:numPr>
          <w:ilvl w:val="0"/>
          <w:numId w:val="5"/>
        </w:num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项目需求</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一、职工食堂餐饮服务项目概括</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项目概况：就餐人数xxx人，食堂分为汉餐与民餐，汉餐不开早餐，只开中餐与晚餐，民餐开早中晚餐，节假日值班餐，临时性接待餐，卫生清洁，从业人数必须保证正常运营，服务期限：自合同签订之日起一年。</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二、服务地点</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新疆维吾尔自治区克孜勒苏州</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三、组织结构及人员要求</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（一）厨师长x人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 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2．具备高级厨师证和营养师证；</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3.负责食堂的组织领导与业务管理工作，统筹做好食堂人员管理和卫生情况的监督、检查；</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4.按照每日营养搭配需求，负责制订每周食谱；</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5.做好每日食材成本的核算工作；</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6.每月配合后勤保障人员，食堂管理人员做好物资的盘点工作；</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（二）炒菜师傅x人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2.具有厨师资格证；</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3.熟悉各种菜品的烹饪方法，熟练掌握烹饪技能，有较强的工作责任心、吃苦耐劳、爱岗敬业，满足对食品提出的特殊烹饪要求；</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4.负责制作当天所需水煮食品及半成品，配置各种调料。</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5.严格把控食材用量；</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6.管理好厨具、用具和设备，下班前认真检查，并关好煤气、水电开关。</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（三）面点师傅x人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2．具有面点师资格证；</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3.能熟练掌握点心的制作技能，熟练掌握制作中点、西点、花点等；</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4.经常更换花色和品种，常吃常新；</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5.努力学习点心的制作理论知识，不断提高业务水平。</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（四）配菜师傅x人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2.严格按照厨师长要求做好当日各餐各类食品的准备工作，力争做到门类清楚、摆放整齐有序，并努力做好厨师的助手；</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3.负责所有菜肴的刀工处理，使食品原材料符合烹饪要求；</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4.根据菜单要求，严格按照标准食谱及时、准确的配菜。</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（五）服务员x人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2.在厨师长的领导下工作，做好用餐服务保障及卫生清扫工作；</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3.做好开餐前的准备工作，检查餐厅设备、餐具是否完好使用，按照规范要求配备用具，布置台型，美化环境；</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4．保持餐厅的卫生，做到无蚊蝇、无灰尘、无杂物、无异味，使餐具炊具清洁完好；</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5.注重个人仪表仪容，保持服装整洁，站立端正；</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6.在服务工作中不断总结提高，对提出的问题和意见，积极给予答复，不断改进服务工作。</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（六）洗碗工x人</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1.经政治审查合格后，持有效健康证上岗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2.负责餐具的清洗与消毒工作，清洗时各类餐具要注意轻拿轻放，保证不被意外破损；</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3.保证对所有使用过的餐具每次能够进行除菌、消毒，对未使用的餐具摆放整理，使用时及时进行清洗。</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四、相关要求及说明</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投标单位所属从业人员必须经政治审查合格后，持有效健康证上岗；必须统一着装和使用卫生达标用品，费用自理；投标单位根据工作需要更换人员的，需提前一周报后勤保障相关部门，经同意后，方可进行。</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2．投标单位按照《民法典》要求，招录的从业人员男性不得高于60岁，女性不得高于55岁；并为从业人员购买人身意外伤害保险和缴纳社保。</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3.投标单位必须严格落实保密要求，未经许可，不得离开指定活动区域，不得将就餐人员信息透露给他人，严禁拍摄营区照片等违反保密要求相关要求。违反保密要求的，将对负有直接责任的主管人员和其他直接责任人员扣除月工资总额的3%、开除的处分；构成犯罪的，依法追究刑事责任；</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4. 投标单位做好人员岗位调配，工作日期间白天保持全员在岗在位；根据保障服务需要安排好员工日常值班，值班人员每个岗位不得少于1人，其他未值班服务人员按时正常上下班；如遇突发情况，接单位通知后，2小时内迅速到位；</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5.投标单位按照核定员工数量，实行员工打卡制度，要确保每天工作人员足额足量到位，并在每月1日之前报送上月员工考勤至后勤保障相关责任科室；</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6.项目管理区域内杜绝因人为破坏、操作不当、技术水平不到位、管理不善等原因发生火灾、人为操作事故等其他重大事故，因以上原因造成事故的，由投标单位负责。</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7.投标单位及其员工如因人为破坏、操作不当、技术水平不到位等原因造成各类设施设备损坏的，能维修继续使用的由投标单位自费维修，并承担减少使用寿命的责任；对无法维修继续使用的，由投标单位照价赔偿；构成重大事故，终止合同并追究投标单位的法律责任；造成财产和人身伤害的均由投标单位承担责任及所发生的一切费用。</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8.投标单位及其员工不得私自变卖餐饮服务物品，违者除给予没收非法所得外，按实物折价金额2倍赔偿，情节特别严重者，触犯刑法的移交公安机关处理。</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9.投标单位必须认真履行合同规定的工作范围和承包内容，提供优质的餐饮服务工作，服从并全力配合后勤保障处管理，做好食堂卫生清扫、优质食材的采购、配送及严格检验等工作，杜绝各类事故发生，对经营场所进行定期防鼠灭蝇工作，确保食堂安全、卫生、干净，并正常运转。</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10.承包期满，投标单位应按规定配合所交付中标方使用的餐厅用品完成清算工作。如有减少、损坏或不符，投标单位应按市价赔偿。</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11.承包期满，投标单位因管理工作需要而添置的设备设施所有权归中标方所有，投标单位自行搬走。</w:t>
      </w:r>
    </w:p>
    <w:p>
      <w:pPr>
        <w:snapToGrid w:val="0"/>
        <w:spacing w:line="480" w:lineRule="auto"/>
        <w:jc w:val="left"/>
        <w:rPr>
          <w:rStyle w:val="39"/>
          <w:rFonts w:hint="eastAsia" w:ascii="宋体" w:hAnsi="宋体" w:eastAsia="宋体" w:cs="宋体"/>
          <w:color w:val="auto"/>
          <w:sz w:val="24"/>
          <w:szCs w:val="24"/>
          <w:highlight w:val="none"/>
        </w:rPr>
      </w:pPr>
      <w:r>
        <w:rPr>
          <w:rStyle w:val="39"/>
          <w:rFonts w:hint="eastAsia" w:ascii="宋体" w:hAnsi="宋体" w:eastAsia="宋体" w:cs="宋体"/>
          <w:color w:val="auto"/>
          <w:sz w:val="24"/>
          <w:szCs w:val="24"/>
          <w:highlight w:val="none"/>
        </w:rPr>
        <w:t>12.本着科学、合理、营养、健康来编制食谱，杜绝浪费，坚决杜绝食物中毒事件发生，消除霉烂过期食品。</w:t>
      </w:r>
    </w:p>
    <w:p>
      <w:pPr>
        <w:snapToGrid w:val="0"/>
        <w:spacing w:line="480" w:lineRule="auto"/>
        <w:jc w:val="left"/>
        <w:rPr>
          <w:rStyle w:val="39"/>
          <w:rFonts w:hint="eastAsia" w:ascii="宋体" w:hAnsi="宋体" w:eastAsia="宋体" w:cs="宋体"/>
          <w:color w:val="auto"/>
          <w:sz w:val="24"/>
          <w:szCs w:val="24"/>
          <w:highlight w:val="none"/>
        </w:rPr>
        <w:sectPr>
          <w:pgSz w:w="11906" w:h="16838"/>
          <w:pgMar w:top="1440" w:right="1701" w:bottom="1440" w:left="1701" w:header="851" w:footer="992" w:gutter="0"/>
          <w:pgNumType w:fmt="decimal"/>
          <w:cols w:space="0" w:num="1"/>
          <w:titlePg/>
          <w:docGrid w:type="lines" w:linePitch="314" w:charSpace="0"/>
        </w:sectPr>
      </w:pPr>
      <w:r>
        <w:rPr>
          <w:rStyle w:val="39"/>
          <w:rFonts w:hint="eastAsia" w:ascii="宋体" w:hAnsi="宋体" w:eastAsia="宋体" w:cs="宋体"/>
          <w:color w:val="auto"/>
          <w:sz w:val="24"/>
          <w:szCs w:val="24"/>
          <w:highlight w:val="none"/>
        </w:rPr>
        <w:t>四、供应商应依法经营，保障职工的合法权益，确保饮食安全，提供优质的饮食服务；应符合《中华人民共和国食品安全法》、《中华人民共和国安全生产法》、《餐饮服务食品安全操作规范》等法律、法规，遵守采购人的相关管理规定和要求，做好食堂的服务经营管理；在经营服务中应建立和完善各项操作规程，与采购人签订食品安全责任书，并予以遵守。</w:t>
      </w:r>
    </w:p>
    <w:p>
      <w:pPr>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第五部分  投标文件部分格式</w:t>
      </w:r>
    </w:p>
    <w:p>
      <w:pPr>
        <w:snapToGrid w:val="0"/>
        <w:spacing w:line="360" w:lineRule="auto"/>
        <w:jc w:val="center"/>
        <w:rPr>
          <w:rFonts w:hint="eastAsia" w:ascii="宋体" w:hAnsi="宋体" w:cs="宋体"/>
          <w:b/>
          <w:color w:val="auto"/>
          <w:sz w:val="28"/>
          <w:szCs w:val="28"/>
          <w:highlight w:val="none"/>
          <w:lang w:val="en-US" w:eastAsia="zh-CN"/>
        </w:rPr>
      </w:pPr>
    </w:p>
    <w:p>
      <w:pPr>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w:t>
      </w: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函</w:t>
      </w:r>
    </w:p>
    <w:p>
      <w:pPr>
        <w:pStyle w:val="7"/>
        <w:rPr>
          <w:rFonts w:hint="eastAsia"/>
          <w:color w:val="auto"/>
          <w:highlight w:val="none"/>
        </w:rPr>
      </w:pPr>
    </w:p>
    <w:p>
      <w:pPr>
        <w:snapToGrid w:val="0"/>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经研究，我们决定参加项目名称：，项目编号：的招投标活动，为此，我方正式授权</w:t>
      </w:r>
      <w:r>
        <w:rPr>
          <w:rFonts w:hint="eastAsia" w:ascii="宋体" w:hAnsi="宋体" w:eastAsia="宋体" w:cs="宋体"/>
          <w:color w:val="auto"/>
          <w:sz w:val="24"/>
          <w:highlight w:val="none"/>
          <w:u w:val="single"/>
        </w:rPr>
        <w:t>（委托代理人）</w:t>
      </w:r>
      <w:r>
        <w:rPr>
          <w:rFonts w:hint="eastAsia" w:ascii="宋体" w:hAnsi="宋体" w:eastAsia="宋体" w:cs="宋体"/>
          <w:color w:val="auto"/>
          <w:sz w:val="24"/>
          <w:highlight w:val="none"/>
        </w:rPr>
        <w:t>代表我公司签署投标文件，郑重声明以下诸点，并负法律责任。</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一、我方提交投标文件，正本1份，副本</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份，电子版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份；</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二、如果我方的投标文件被接受，我方将履行招标文件中规定的每项要求，并按我方投标文件中的承诺按期、按质、按量履约；</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三、我方理解，最低报价不是中标的唯一条件，你们有选择</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的权利；</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四、我方愿按《</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》及其他有关法律、法规的规定，自觉履行自己的全部责任；</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五、我方同意按招标文件的规定交纳投标保证金、中标服务费，遵守贵方有关投标的各项规定；</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七、我方的投标文件有效期为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w:t>
      </w:r>
    </w:p>
    <w:p>
      <w:pPr>
        <w:snapToGrid w:val="0"/>
        <w:spacing w:line="480" w:lineRule="auto"/>
        <w:ind w:right="105" w:rightChars="50" w:firstLine="480" w:firstLineChars="200"/>
        <w:rPr>
          <w:rFonts w:hint="eastAsia" w:ascii="宋体" w:hAnsi="宋体" w:eastAsia="宋体" w:cs="宋体"/>
          <w:color w:val="auto"/>
          <w:sz w:val="24"/>
          <w:highlight w:val="none"/>
        </w:rPr>
      </w:pPr>
    </w:p>
    <w:p>
      <w:pPr>
        <w:snapToGrid w:val="0"/>
        <w:spacing w:line="480" w:lineRule="auto"/>
        <w:ind w:right="105" w:rightChars="5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p>
    <w:p>
      <w:pPr>
        <w:snapToGrid w:val="0"/>
        <w:spacing w:line="480" w:lineRule="auto"/>
        <w:ind w:right="105" w:righ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法定代表人（盖章）：</w:t>
      </w:r>
    </w:p>
    <w:p>
      <w:pPr>
        <w:snapToGrid w:val="0"/>
        <w:spacing w:line="480" w:lineRule="auto"/>
        <w:ind w:right="105" w:righ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法人授权代表（签字）：</w:t>
      </w:r>
    </w:p>
    <w:p>
      <w:pPr>
        <w:snapToGrid w:val="0"/>
        <w:spacing w:line="72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napToGrid w:val="0"/>
        <w:spacing w:line="360" w:lineRule="auto"/>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eastAsia="zh-CN"/>
        </w:rPr>
        <w:t>二</w:t>
      </w:r>
    </w:p>
    <w:p>
      <w:pPr>
        <w:snapToGrid w:val="0"/>
        <w:spacing w:line="360" w:lineRule="auto"/>
        <w:rPr>
          <w:rFonts w:hint="eastAsia" w:ascii="宋体" w:hAnsi="宋体" w:eastAsia="宋体" w:cs="宋体"/>
          <w:b/>
          <w:color w:val="auto"/>
          <w:sz w:val="30"/>
          <w:szCs w:val="30"/>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 价 一览 表</w:t>
      </w:r>
    </w:p>
    <w:tbl>
      <w:tblPr>
        <w:tblStyle w:val="18"/>
        <w:tblpPr w:leftFromText="180" w:rightFromText="180" w:vertAnchor="text" w:horzAnchor="margin" w:tblpXSpec="center" w:tblpY="225"/>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97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p>
        </w:tc>
        <w:tc>
          <w:tcPr>
            <w:tcW w:w="7262" w:type="dxa"/>
            <w:vAlign w:val="center"/>
          </w:tcPr>
          <w:p>
            <w:pPr>
              <w:snapToGrid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97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262" w:type="dxa"/>
            <w:vAlign w:val="center"/>
          </w:tcPr>
          <w:p>
            <w:pPr>
              <w:snapToGrid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w:t>
            </w:r>
          </w:p>
        </w:tc>
        <w:tc>
          <w:tcPr>
            <w:tcW w:w="726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960" w:firstLineChars="400"/>
              <w:jc w:val="left"/>
              <w:rPr>
                <w:rFonts w:hint="eastAsia" w:ascii="宋体" w:hAnsi="宋体" w:cs="宋体"/>
                <w:bCs/>
                <w:color w:val="auto"/>
                <w:sz w:val="24"/>
                <w:highlight w:val="none"/>
                <w:u w:val="single"/>
                <w:lang w:val="en-US" w:eastAsia="zh-CN"/>
              </w:rPr>
            </w:pPr>
            <w:r>
              <w:rPr>
                <w:rFonts w:hint="eastAsia" w:ascii="宋体" w:hAnsi="宋体" w:cs="宋体"/>
                <w:bCs/>
                <w:color w:val="auto"/>
                <w:sz w:val="24"/>
                <w:highlight w:val="none"/>
                <w:u w:val="single"/>
                <w:lang w:val="en-US" w:eastAsia="zh-CN"/>
              </w:rPr>
              <w:t>小写：</w:t>
            </w:r>
          </w:p>
          <w:p>
            <w:pPr>
              <w:snapToGrid w:val="0"/>
              <w:spacing w:line="360" w:lineRule="auto"/>
              <w:ind w:firstLine="960" w:firstLineChars="400"/>
              <w:rPr>
                <w:rFonts w:hint="default" w:ascii="宋体" w:hAnsi="宋体" w:cs="宋体"/>
                <w:bCs/>
                <w:color w:val="auto"/>
                <w:sz w:val="24"/>
                <w:highlight w:val="none"/>
                <w:u w:val="single"/>
                <w:lang w:val="en-US" w:eastAsia="zh-CN"/>
              </w:rPr>
            </w:pPr>
            <w:r>
              <w:rPr>
                <w:rFonts w:hint="eastAsia" w:ascii="宋体" w:hAnsi="宋体" w:cs="宋体"/>
                <w:bCs/>
                <w:color w:val="auto"/>
                <w:sz w:val="24"/>
                <w:highlight w:val="none"/>
                <w:u w:val="singl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lang w:eastAsia="zh-CN"/>
              </w:rPr>
              <w:t>期限</w:t>
            </w:r>
          </w:p>
        </w:tc>
        <w:tc>
          <w:tcPr>
            <w:tcW w:w="726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（严格按照招标文件中文字表述方式填写）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服务地点</w:t>
            </w:r>
          </w:p>
        </w:tc>
        <w:tc>
          <w:tcPr>
            <w:tcW w:w="726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（严格按照招标文件中文字表述方式填写）</w:t>
            </w:r>
          </w:p>
        </w:tc>
      </w:tr>
    </w:tbl>
    <w:p>
      <w:pPr>
        <w:snapToGrid w:val="0"/>
        <w:spacing w:line="480" w:lineRule="auto"/>
        <w:ind w:right="105" w:rightChars="50"/>
        <w:rPr>
          <w:rFonts w:hint="default" w:ascii="宋体" w:hAnsi="宋体" w:eastAsia="宋体" w:cs="宋体"/>
          <w:color w:val="auto"/>
          <w:sz w:val="24"/>
          <w:szCs w:val="24"/>
          <w:highlight w:val="none"/>
          <w:lang w:val="en-US" w:eastAsia="zh-CN"/>
        </w:rPr>
      </w:pP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 xml:space="preserve">（盖章）：    </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法定代表人（盖章）：</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法人授权代表（签字）：</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注：1.投标货币为人民币。本项目为总价合同，投标报价为最终的总报价，不得作出任何调整；</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2.报价一览表中须填写内容严格按照招标文件中文字表述方式填写，否则按不响应招标文件内容处理。</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3.投标总价不得高于本项目最高限价，否则按无效投标处理。</w:t>
      </w:r>
    </w:p>
    <w:p>
      <w:pPr>
        <w:snapToGrid w:val="0"/>
        <w:spacing w:line="360" w:lineRule="auto"/>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eastAsia="zh-CN"/>
        </w:rPr>
        <w:t>三</w:t>
      </w:r>
    </w:p>
    <w:p>
      <w:pPr>
        <w:snapToGrid w:val="0"/>
        <w:spacing w:line="360" w:lineRule="auto"/>
        <w:rPr>
          <w:rFonts w:hint="eastAsia" w:ascii="宋体" w:hAnsi="宋体" w:eastAsia="宋体" w:cs="宋体"/>
          <w:b/>
          <w:color w:val="auto"/>
          <w:sz w:val="28"/>
          <w:szCs w:val="28"/>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报价明细表</w:t>
      </w:r>
    </w:p>
    <w:p>
      <w:pPr>
        <w:snapToGrid w:val="0"/>
        <w:spacing w:line="360" w:lineRule="auto"/>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名称：                                   单位：元</w:t>
      </w:r>
    </w:p>
    <w:tbl>
      <w:tblPr>
        <w:tblStyle w:val="19"/>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71"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513"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513"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514"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14"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71" w:type="dxa"/>
            <w:vAlign w:val="bottom"/>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厨师长</w:t>
            </w: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Merge w:val="restart"/>
            <w:vAlign w:val="bottom"/>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8"/>
                <w:highlight w:val="none"/>
              </w:rPr>
              <w:t>一、工资（含社保、福利费）</w:t>
            </w:r>
            <w:r>
              <w:rPr>
                <w:rFonts w:hint="eastAsia" w:ascii="宋体" w:hAnsi="宋体" w:eastAsia="宋体" w:cs="宋体"/>
                <w:color w:val="auto"/>
                <w:szCs w:val="28"/>
                <w:highlight w:val="none"/>
                <w:lang w:eastAsia="zh-CN"/>
              </w:rPr>
              <w:t>；二、</w:t>
            </w:r>
            <w:r>
              <w:rPr>
                <w:rFonts w:hint="eastAsia" w:ascii="宋体" w:hAnsi="宋体" w:eastAsia="宋体" w:cs="宋体"/>
                <w:color w:val="auto"/>
                <w:szCs w:val="28"/>
                <w:highlight w:val="none"/>
              </w:rPr>
              <w:t>本项目为总价合同，投标报价为最终的总报价，不得作出任何调整；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471"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Merge w:val="continue"/>
            <w:vAlign w:val="bottom"/>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471"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Merge w:val="continue"/>
            <w:vAlign w:val="bottom"/>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471"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Merge w:val="continue"/>
            <w:vAlign w:val="bottom"/>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471"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Merge w:val="continue"/>
            <w:vAlign w:val="bottom"/>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rPr>
            </w:pPr>
          </w:p>
        </w:tc>
        <w:tc>
          <w:tcPr>
            <w:tcW w:w="2471"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s="宋体"/>
                <w:color w:val="auto"/>
                <w:sz w:val="24"/>
                <w:highlight w:val="none"/>
              </w:rPr>
            </w:pPr>
          </w:p>
        </w:tc>
        <w:tc>
          <w:tcPr>
            <w:tcW w:w="2471" w:type="dxa"/>
            <w:vAlign w:val="bottom"/>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3"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c>
          <w:tcPr>
            <w:tcW w:w="1514" w:type="dxa"/>
            <w:vAlign w:val="bottom"/>
          </w:tcPr>
          <w:p>
            <w:pPr>
              <w:snapToGrid w:val="0"/>
              <w:spacing w:line="360" w:lineRule="auto"/>
              <w:jc w:val="center"/>
              <w:rPr>
                <w:rFonts w:hint="eastAsia" w:ascii="宋体" w:hAnsi="宋体" w:eastAsia="宋体" w:cs="宋体"/>
                <w:color w:val="auto"/>
                <w:sz w:val="24"/>
                <w:highlight w:val="none"/>
              </w:rPr>
            </w:pPr>
          </w:p>
        </w:tc>
      </w:tr>
    </w:tbl>
    <w:p>
      <w:pPr>
        <w:snapToGrid w:val="0"/>
        <w:spacing w:line="720" w:lineRule="auto"/>
        <w:rPr>
          <w:rFonts w:hint="eastAsia" w:ascii="宋体" w:hAnsi="宋体" w:eastAsia="宋体" w:cs="宋体"/>
          <w:color w:val="auto"/>
          <w:sz w:val="24"/>
          <w:szCs w:val="24"/>
          <w:highlight w:val="none"/>
        </w:rPr>
      </w:pPr>
    </w:p>
    <w:p>
      <w:pPr>
        <w:snapToGrid w:val="0"/>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注：此表中的投标总报价必须</w:t>
      </w:r>
      <w:r>
        <w:rPr>
          <w:rFonts w:hint="eastAsia" w:ascii="宋体" w:hAnsi="宋体" w:cs="宋体"/>
          <w:color w:val="auto"/>
          <w:sz w:val="24"/>
          <w:szCs w:val="24"/>
          <w:highlight w:val="none"/>
          <w:lang w:val="en-US" w:eastAsia="zh-CN"/>
        </w:rPr>
        <w:t>与</w:t>
      </w:r>
      <w:r>
        <w:rPr>
          <w:rFonts w:hint="eastAsia" w:ascii="宋体" w:hAnsi="宋体" w:cs="宋体"/>
          <w:color w:val="auto"/>
          <w:sz w:val="24"/>
          <w:szCs w:val="24"/>
          <w:highlight w:val="none"/>
          <w:lang w:eastAsia="zh-CN"/>
        </w:rPr>
        <w:t>报价一览表计算后的价格</w:t>
      </w:r>
      <w:r>
        <w:rPr>
          <w:rFonts w:hint="eastAsia" w:ascii="宋体" w:hAnsi="宋体" w:eastAsia="宋体" w:cs="宋体"/>
          <w:color w:val="auto"/>
          <w:sz w:val="24"/>
          <w:szCs w:val="24"/>
          <w:highlight w:val="none"/>
        </w:rPr>
        <w:t>一致。</w:t>
      </w:r>
    </w:p>
    <w:p>
      <w:pPr>
        <w:snapToGrid w:val="0"/>
        <w:spacing w:line="720" w:lineRule="auto"/>
        <w:ind w:right="105" w:rightChars="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p>
    <w:p>
      <w:pPr>
        <w:snapToGrid w:val="0"/>
        <w:spacing w:line="720" w:lineRule="auto"/>
        <w:ind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法定代表人（盖章）：</w:t>
      </w:r>
    </w:p>
    <w:p>
      <w:pPr>
        <w:snapToGrid w:val="0"/>
        <w:spacing w:line="720" w:lineRule="auto"/>
        <w:ind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法人授权代表</w:t>
      </w:r>
      <w:r>
        <w:rPr>
          <w:rFonts w:hint="eastAsia" w:ascii="宋体" w:hAnsi="宋体" w:eastAsia="宋体" w:cs="宋体"/>
          <w:color w:val="auto"/>
          <w:sz w:val="24"/>
          <w:szCs w:val="24"/>
          <w:highlight w:val="none"/>
        </w:rPr>
        <w:t>（签字）：</w:t>
      </w:r>
    </w:p>
    <w:p>
      <w:pPr>
        <w:pStyle w:val="28"/>
        <w:ind w:left="0" w:leftChars="0" w:firstLine="0" w:firstLineChars="0"/>
        <w:rPr>
          <w:rFonts w:hint="eastAsia" w:ascii="宋体" w:hAnsi="宋体" w:eastAsia="宋体" w:cs="宋体"/>
          <w:color w:val="auto"/>
          <w:highlight w:val="none"/>
          <w:lang w:eastAsia="zh-CN"/>
        </w:rPr>
      </w:pPr>
    </w:p>
    <w:p>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snapToGrid w:val="0"/>
        <w:spacing w:line="360" w:lineRule="auto"/>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eastAsia="zh-CN"/>
        </w:rPr>
        <w:t>四</w:t>
      </w: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法定代表人身份证明书</w:t>
      </w:r>
    </w:p>
    <w:p>
      <w:pPr>
        <w:spacing w:line="360" w:lineRule="auto"/>
        <w:ind w:firstLine="420" w:firstLineChars="200"/>
        <w:rPr>
          <w:rFonts w:hint="eastAsia" w:ascii="宋体" w:hAnsi="宋体" w:eastAsia="宋体" w:cs="宋体"/>
          <w:color w:val="auto"/>
          <w:highlight w:val="none"/>
        </w:rPr>
      </w:pPr>
    </w:p>
    <w:p>
      <w:pPr>
        <w:spacing w:line="720" w:lineRule="auto"/>
        <w:ind w:firstLine="820" w:firstLineChars="342"/>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p>
    <w:p>
      <w:pPr>
        <w:spacing w:line="720" w:lineRule="auto"/>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720" w:lineRule="auto"/>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w:t>
      </w:r>
    </w:p>
    <w:p>
      <w:pPr>
        <w:spacing w:line="720" w:lineRule="auto"/>
        <w:ind w:firstLine="820" w:firstLineChars="34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年龄：                职务：</w:t>
      </w:r>
    </w:p>
    <w:p>
      <w:pPr>
        <w:spacing w:line="720" w:lineRule="auto"/>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w:t>
      </w:r>
    </w:p>
    <w:p>
      <w:pPr>
        <w:spacing w:line="720" w:lineRule="auto"/>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附：法定代表人身份证复印件（正反面）</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720" w:lineRule="auto"/>
        <w:ind w:firstLine="4800" w:firstLineChars="20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p>
    <w:p>
      <w:pPr>
        <w:spacing w:line="72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360" w:lineRule="auto"/>
        <w:ind w:firstLine="820" w:firstLineChars="342"/>
        <w:rPr>
          <w:rFonts w:hint="eastAsia" w:ascii="宋体" w:hAnsi="宋体" w:eastAsia="宋体" w:cs="宋体"/>
          <w:color w:val="auto"/>
          <w:sz w:val="24"/>
          <w:highlight w:val="none"/>
        </w:rPr>
      </w:pPr>
    </w:p>
    <w:p>
      <w:pPr>
        <w:spacing w:line="360" w:lineRule="auto"/>
        <w:ind w:firstLine="420" w:firstLineChars="200"/>
        <w:rPr>
          <w:rFonts w:hint="eastAsia" w:ascii="宋体" w:hAnsi="宋体" w:eastAsia="宋体" w:cs="宋体"/>
          <w:color w:val="auto"/>
          <w:highlight w:val="none"/>
        </w:rPr>
      </w:pPr>
    </w:p>
    <w:p>
      <w:pPr>
        <w:spacing w:line="360" w:lineRule="auto"/>
        <w:ind w:firstLine="4200" w:firstLineChars="2000"/>
        <w:rPr>
          <w:rFonts w:hint="eastAsia" w:ascii="宋体" w:hAnsi="宋体" w:eastAsia="宋体" w:cs="宋体"/>
          <w:color w:val="auto"/>
          <w:highlight w:val="none"/>
        </w:rPr>
      </w:pPr>
    </w:p>
    <w:p>
      <w:pPr>
        <w:spacing w:line="360" w:lineRule="auto"/>
        <w:ind w:firstLine="4515" w:firstLineChars="2150"/>
        <w:rPr>
          <w:rFonts w:hint="eastAsia" w:ascii="宋体" w:hAnsi="宋体" w:eastAsia="宋体" w:cs="宋体"/>
          <w:color w:val="auto"/>
          <w:highlight w:val="none"/>
          <w:u w:val="single"/>
        </w:rPr>
      </w:pPr>
    </w:p>
    <w:p>
      <w:pPr>
        <w:spacing w:line="360" w:lineRule="auto"/>
        <w:ind w:firstLine="4515" w:firstLineChars="2150"/>
        <w:rPr>
          <w:rFonts w:hint="eastAsia" w:ascii="宋体" w:hAnsi="宋体" w:eastAsia="宋体" w:cs="宋体"/>
          <w:color w:val="auto"/>
          <w:highlight w:val="none"/>
          <w:u w:val="single"/>
        </w:rPr>
      </w:pPr>
    </w:p>
    <w:p>
      <w:pPr>
        <w:spacing w:line="360" w:lineRule="auto"/>
        <w:ind w:firstLine="4515" w:firstLineChars="2150"/>
        <w:rPr>
          <w:rFonts w:hint="eastAsia" w:ascii="宋体" w:hAnsi="宋体" w:eastAsia="宋体" w:cs="宋体"/>
          <w:color w:val="auto"/>
          <w:highlight w:val="none"/>
          <w:u w:val="single"/>
        </w:rPr>
      </w:pPr>
    </w:p>
    <w:p>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附件五</w:t>
      </w: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法定代表人授权委托书</w:t>
      </w:r>
    </w:p>
    <w:p>
      <w:pPr>
        <w:snapToGrid w:val="0"/>
        <w:spacing w:line="360" w:lineRule="auto"/>
        <w:rPr>
          <w:rFonts w:hint="eastAsia" w:ascii="宋体" w:hAnsi="宋体" w:eastAsia="宋体" w:cs="宋体"/>
          <w:b/>
          <w:color w:val="auto"/>
          <w:sz w:val="32"/>
          <w:highlight w:val="none"/>
        </w:rPr>
      </w:pPr>
    </w:p>
    <w:p>
      <w:pPr>
        <w:snapToGrid w:val="0"/>
        <w:spacing w:line="72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snapToGrid w:val="0"/>
        <w:spacing w:line="72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法定代表人授权我单位</w:t>
      </w:r>
      <w:r>
        <w:rPr>
          <w:rFonts w:hint="eastAsia" w:ascii="宋体" w:hAnsi="宋体" w:eastAsia="宋体" w:cs="宋体"/>
          <w:color w:val="auto"/>
          <w:sz w:val="24"/>
          <w:highlight w:val="none"/>
          <w:u w:val="single"/>
        </w:rPr>
        <w:t>（职务或职称）（姓名）</w:t>
      </w:r>
      <w:r>
        <w:rPr>
          <w:rFonts w:hint="eastAsia" w:ascii="宋体" w:hAnsi="宋体" w:eastAsia="宋体" w:cs="宋体"/>
          <w:color w:val="auto"/>
          <w:sz w:val="24"/>
          <w:highlight w:val="none"/>
        </w:rPr>
        <w:t>为我单位本次授权代理人，全权处理</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kern w:val="10"/>
          <w:sz w:val="24"/>
          <w:highlight w:val="none"/>
        </w:rPr>
        <w:t>投标</w:t>
      </w:r>
      <w:r>
        <w:rPr>
          <w:rFonts w:hint="eastAsia" w:ascii="宋体" w:hAnsi="宋体" w:eastAsia="宋体" w:cs="宋体"/>
          <w:color w:val="auto"/>
          <w:sz w:val="24"/>
          <w:highlight w:val="none"/>
        </w:rPr>
        <w:t>活动的一切事宜。</w:t>
      </w:r>
    </w:p>
    <w:p>
      <w:pPr>
        <w:snapToGrid w:val="0"/>
        <w:spacing w:line="72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委托期限：____________________。</w:t>
      </w:r>
    </w:p>
    <w:p>
      <w:pPr>
        <w:snapToGrid w:val="0"/>
        <w:spacing w:line="72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（附法定代表人、授权代理人身份证明复印件）正反面</w:t>
      </w: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720" w:lineRule="auto"/>
        <w:ind w:right="105" w:rightChars="5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p>
    <w:p>
      <w:pPr>
        <w:snapToGrid w:val="0"/>
        <w:spacing w:line="720" w:lineRule="auto"/>
        <w:ind w:right="105" w:righ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法定代表人（盖章）：</w:t>
      </w:r>
    </w:p>
    <w:p>
      <w:pPr>
        <w:widowControl/>
        <w:snapToGrid w:val="0"/>
        <w:spacing w:line="72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法人授权代表（签字）：</w:t>
      </w:r>
    </w:p>
    <w:p>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widowControl/>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b/>
          <w:color w:val="auto"/>
          <w:sz w:val="30"/>
          <w:szCs w:val="30"/>
          <w:highlight w:val="none"/>
        </w:rPr>
        <w:br w:type="page"/>
      </w:r>
    </w:p>
    <w:p>
      <w:pPr>
        <w:snapToGrid w:val="0"/>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eastAsia="zh-CN"/>
        </w:rPr>
        <w:t>六</w:t>
      </w:r>
    </w:p>
    <w:p>
      <w:pPr>
        <w:pStyle w:val="7"/>
        <w:rPr>
          <w:rFonts w:hint="eastAsia"/>
          <w:color w:val="auto"/>
          <w:highlight w:val="none"/>
        </w:rPr>
      </w:pPr>
    </w:p>
    <w:p>
      <w:pPr>
        <w:snapToGrid w:val="0"/>
        <w:spacing w:line="48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t>近三年（20</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月1日至今）类似项目业绩一览表</w:t>
      </w:r>
    </w:p>
    <w:tbl>
      <w:tblPr>
        <w:tblStyle w:val="1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2018"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项目名称</w:t>
            </w:r>
          </w:p>
        </w:tc>
        <w:tc>
          <w:tcPr>
            <w:tcW w:w="1401"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合同金额</w:t>
            </w:r>
          </w:p>
        </w:tc>
        <w:tc>
          <w:tcPr>
            <w:tcW w:w="1303"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签订时间</w:t>
            </w:r>
          </w:p>
        </w:tc>
        <w:tc>
          <w:tcPr>
            <w:tcW w:w="1374"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联系人及联系电话</w:t>
            </w:r>
          </w:p>
        </w:tc>
        <w:tc>
          <w:tcPr>
            <w:tcW w:w="1054"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完成</w:t>
            </w:r>
          </w:p>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情况</w:t>
            </w:r>
          </w:p>
        </w:tc>
        <w:tc>
          <w:tcPr>
            <w:tcW w:w="1054" w:type="dxa"/>
            <w:vAlign w:val="center"/>
          </w:tcPr>
          <w:p>
            <w:pPr>
              <w:widowControl/>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宋体" w:hAnsi="宋体" w:eastAsia="宋体" w:cs="宋体"/>
                <w:color w:val="auto"/>
                <w:sz w:val="22"/>
                <w:highlight w:val="none"/>
              </w:rPr>
            </w:pPr>
          </w:p>
        </w:tc>
        <w:tc>
          <w:tcPr>
            <w:tcW w:w="2018" w:type="dxa"/>
          </w:tcPr>
          <w:p>
            <w:pPr>
              <w:snapToGrid w:val="0"/>
              <w:spacing w:line="480" w:lineRule="auto"/>
              <w:rPr>
                <w:rFonts w:hint="eastAsia" w:ascii="宋体" w:hAnsi="宋体" w:eastAsia="宋体" w:cs="宋体"/>
                <w:color w:val="auto"/>
                <w:sz w:val="22"/>
                <w:highlight w:val="none"/>
              </w:rPr>
            </w:pPr>
          </w:p>
        </w:tc>
        <w:tc>
          <w:tcPr>
            <w:tcW w:w="1401" w:type="dxa"/>
          </w:tcPr>
          <w:p>
            <w:pPr>
              <w:snapToGrid w:val="0"/>
              <w:spacing w:line="480" w:lineRule="auto"/>
              <w:rPr>
                <w:rFonts w:hint="eastAsia" w:ascii="宋体" w:hAnsi="宋体" w:eastAsia="宋体" w:cs="宋体"/>
                <w:color w:val="auto"/>
                <w:sz w:val="22"/>
                <w:highlight w:val="none"/>
              </w:rPr>
            </w:pPr>
          </w:p>
        </w:tc>
        <w:tc>
          <w:tcPr>
            <w:tcW w:w="1303" w:type="dxa"/>
          </w:tcPr>
          <w:p>
            <w:pPr>
              <w:snapToGrid w:val="0"/>
              <w:spacing w:line="480" w:lineRule="auto"/>
              <w:rPr>
                <w:rFonts w:hint="eastAsia" w:ascii="宋体" w:hAnsi="宋体" w:eastAsia="宋体" w:cs="宋体"/>
                <w:color w:val="auto"/>
                <w:sz w:val="22"/>
                <w:highlight w:val="none"/>
              </w:rPr>
            </w:pPr>
          </w:p>
        </w:tc>
        <w:tc>
          <w:tcPr>
            <w:tcW w:w="137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c>
          <w:tcPr>
            <w:tcW w:w="1054" w:type="dxa"/>
          </w:tcPr>
          <w:p>
            <w:pPr>
              <w:snapToGrid w:val="0"/>
              <w:spacing w:line="480" w:lineRule="auto"/>
              <w:rPr>
                <w:rFonts w:hint="eastAsia" w:ascii="宋体" w:hAnsi="宋体" w:eastAsia="宋体" w:cs="宋体"/>
                <w:color w:val="auto"/>
                <w:sz w:val="22"/>
                <w:highlight w:val="none"/>
              </w:rPr>
            </w:pPr>
          </w:p>
        </w:tc>
      </w:tr>
    </w:tbl>
    <w:p>
      <w:pPr>
        <w:snapToGrid w:val="0"/>
        <w:spacing w:line="48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w:t>
      </w:r>
      <w:bookmarkStart w:id="60" w:name="业绩"/>
      <w:bookmarkEnd w:id="60"/>
      <w:r>
        <w:rPr>
          <w:rFonts w:hint="eastAsia" w:ascii="宋体" w:hAnsi="宋体" w:eastAsia="宋体" w:cs="宋体"/>
          <w:color w:val="auto"/>
          <w:sz w:val="24"/>
          <w:highlight w:val="none"/>
        </w:rPr>
        <w:t>附中标通知书或成交通知书或合同复印件、服务业绩证明</w:t>
      </w:r>
      <w:r>
        <w:rPr>
          <w:rFonts w:hint="eastAsia" w:ascii="宋体" w:hAnsi="宋体" w:eastAsia="宋体" w:cs="宋体"/>
          <w:color w:val="auto"/>
          <w:sz w:val="24"/>
          <w:highlight w:val="none"/>
          <w:lang w:eastAsia="zh-CN"/>
        </w:rPr>
        <w:t>。</w:t>
      </w:r>
    </w:p>
    <w:p>
      <w:pPr>
        <w:snapToGrid w:val="0"/>
        <w:spacing w:line="480" w:lineRule="auto"/>
        <w:ind w:right="105" w:rightChars="50"/>
        <w:rPr>
          <w:rFonts w:hint="eastAsia" w:ascii="宋体" w:hAnsi="宋体" w:eastAsia="宋体" w:cs="宋体"/>
          <w:color w:val="auto"/>
          <w:sz w:val="32"/>
          <w:highlight w:val="none"/>
        </w:rPr>
      </w:pPr>
    </w:p>
    <w:p>
      <w:pPr>
        <w:snapToGrid w:val="0"/>
        <w:spacing w:line="480" w:lineRule="auto"/>
        <w:ind w:right="105" w:rightChars="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（盖章）：    </w:t>
      </w:r>
    </w:p>
    <w:p>
      <w:pPr>
        <w:snapToGrid w:val="0"/>
        <w:spacing w:line="48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法定代表人（盖章）：</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法人授权代表（签字）：</w:t>
      </w:r>
    </w:p>
    <w:p>
      <w:pPr>
        <w:snapToGrid w:val="0"/>
        <w:spacing w:line="360" w:lineRule="auto"/>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br w:type="page"/>
      </w:r>
    </w:p>
    <w:p>
      <w:pPr>
        <w:snapToGrid w:val="0"/>
        <w:spacing w:line="360" w:lineRule="auto"/>
        <w:rPr>
          <w:rFonts w:hint="eastAsia" w:ascii="宋体" w:hAnsi="宋体" w:eastAsia="宋体" w:cs="宋体"/>
          <w:b/>
          <w:color w:val="auto"/>
          <w:sz w:val="28"/>
          <w:szCs w:val="28"/>
          <w:highlight w:val="none"/>
        </w:rPr>
        <w:sectPr>
          <w:pgSz w:w="11906" w:h="16838"/>
          <w:pgMar w:top="1440" w:right="1701" w:bottom="1440" w:left="1701" w:header="851" w:footer="992" w:gutter="0"/>
          <w:pgNumType w:fmt="decimal"/>
          <w:cols w:space="0" w:num="1"/>
          <w:titlePg/>
          <w:docGrid w:type="lines" w:linePitch="314" w:charSpace="0"/>
        </w:sectPr>
      </w:pPr>
    </w:p>
    <w:p>
      <w:pPr>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附件七</w:t>
      </w:r>
    </w:p>
    <w:p>
      <w:pPr>
        <w:widowControl/>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项目人员配备情况一览表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348"/>
        <w:gridCol w:w="1229"/>
        <w:gridCol w:w="1932"/>
        <w:gridCol w:w="124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437"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政治面貌</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身份证号码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服务地点</w:t>
            </w:r>
          </w:p>
        </w:tc>
        <w:tc>
          <w:tcPr>
            <w:tcW w:w="694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在本项目中担任职务</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bl>
    <w:p>
      <w:pPr>
        <w:widowControl/>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附</w:t>
      </w:r>
      <w:r>
        <w:rPr>
          <w:rFonts w:hint="eastAsia" w:ascii="宋体" w:hAnsi="宋体" w:eastAsia="宋体" w:cs="宋体"/>
          <w:bCs/>
          <w:color w:val="auto"/>
          <w:kern w:val="0"/>
          <w:sz w:val="24"/>
          <w:szCs w:val="24"/>
          <w:highlight w:val="none"/>
          <w:lang w:eastAsia="zh-CN"/>
        </w:rPr>
        <w:t>人员相关证件</w:t>
      </w:r>
      <w:r>
        <w:rPr>
          <w:rFonts w:hint="eastAsia" w:ascii="宋体" w:hAnsi="宋体" w:eastAsia="宋体" w:cs="宋体"/>
          <w:bCs/>
          <w:color w:val="auto"/>
          <w:kern w:val="0"/>
          <w:sz w:val="24"/>
          <w:szCs w:val="24"/>
          <w:highlight w:val="none"/>
        </w:rPr>
        <w:t>（要求内容详见第四部分</w:t>
      </w:r>
      <w:r>
        <w:rPr>
          <w:rFonts w:hint="eastAsia" w:ascii="宋体" w:hAnsi="宋体" w:eastAsia="宋体" w:cs="宋体"/>
          <w:bCs/>
          <w:color w:val="auto"/>
          <w:kern w:val="0"/>
          <w:sz w:val="24"/>
          <w:szCs w:val="24"/>
          <w:highlight w:val="none"/>
          <w:lang w:eastAsia="zh-CN"/>
        </w:rPr>
        <w:t>项目</w:t>
      </w:r>
      <w:r>
        <w:rPr>
          <w:rFonts w:hint="eastAsia" w:ascii="宋体" w:hAnsi="宋体" w:eastAsia="宋体" w:cs="宋体"/>
          <w:bCs/>
          <w:color w:val="auto"/>
          <w:kern w:val="0"/>
          <w:sz w:val="24"/>
          <w:szCs w:val="24"/>
          <w:highlight w:val="none"/>
        </w:rPr>
        <w:t>需求）</w:t>
      </w:r>
    </w:p>
    <w:p>
      <w:pPr>
        <w:widowControl/>
        <w:autoSpaceDE w:val="0"/>
        <w:autoSpaceDN w:val="0"/>
        <w:adjustRightInd w:val="0"/>
        <w:spacing w:line="360" w:lineRule="auto"/>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highlight w:val="none"/>
        </w:rPr>
        <w:t>主要人员：</w:t>
      </w:r>
      <w:r>
        <w:rPr>
          <w:rFonts w:hint="eastAsia" w:ascii="宋体" w:hAnsi="宋体" w:eastAsia="宋体" w:cs="宋体"/>
          <w:color w:val="auto"/>
          <w:kern w:val="0"/>
          <w:sz w:val="24"/>
          <w:highlight w:val="none"/>
          <w:lang w:eastAsia="zh-CN"/>
        </w:rPr>
        <w:t>厨师长、炒菜师傅、面点师傅、配菜师、服务员、洗碗工</w:t>
      </w:r>
    </w:p>
    <w:p>
      <w:pPr>
        <w:snapToGrid w:val="0"/>
        <w:spacing w:line="720" w:lineRule="auto"/>
        <w:ind w:right="105" w:rightChars="50"/>
        <w:rPr>
          <w:rFonts w:hint="eastAsia" w:ascii="宋体" w:hAnsi="宋体" w:eastAsia="宋体" w:cs="宋体"/>
          <w:color w:val="auto"/>
          <w:sz w:val="24"/>
          <w:highlight w:val="none"/>
        </w:rPr>
      </w:pPr>
    </w:p>
    <w:p>
      <w:pPr>
        <w:snapToGrid w:val="0"/>
        <w:spacing w:line="720" w:lineRule="auto"/>
        <w:ind w:right="105" w:rightChars="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p>
    <w:p>
      <w:pPr>
        <w:pStyle w:val="28"/>
        <w:rPr>
          <w:rFonts w:hint="eastAsia" w:ascii="宋体" w:hAnsi="宋体" w:eastAsia="宋体" w:cs="宋体"/>
          <w:color w:val="auto"/>
          <w:highlight w:val="none"/>
        </w:rPr>
      </w:pPr>
    </w:p>
    <w:p>
      <w:pPr>
        <w:rPr>
          <w:rFonts w:hint="eastAsia" w:ascii="宋体" w:hAnsi="宋体" w:eastAsia="宋体" w:cs="宋体"/>
          <w:color w:val="auto"/>
          <w:highlight w:val="none"/>
          <w:lang w:eastAsia="zh-CN"/>
        </w:rPr>
        <w:sectPr>
          <w:pgSz w:w="11906" w:h="16838"/>
          <w:pgMar w:top="1440" w:right="1701" w:bottom="1440" w:left="1701" w:header="851" w:footer="992" w:gutter="0"/>
          <w:pgNumType w:fmt="decimal"/>
          <w:cols w:space="0" w:num="1"/>
          <w:titlePg/>
          <w:docGrid w:type="lines" w:linePitch="314" w:charSpace="0"/>
        </w:sectPr>
      </w:pPr>
      <w:r>
        <w:rPr>
          <w:rFonts w:hint="eastAsia" w:ascii="宋体" w:hAnsi="宋体" w:eastAsia="宋体" w:cs="宋体"/>
          <w:color w:val="auto"/>
          <w:sz w:val="24"/>
          <w:highlight w:val="none"/>
        </w:rPr>
        <w:t>法定代表人或授权代表（签字或盖章）：</w:t>
      </w:r>
    </w:p>
    <w:p>
      <w:pPr>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附件</w:t>
      </w:r>
      <w:r>
        <w:rPr>
          <w:rFonts w:hint="eastAsia" w:ascii="宋体" w:hAnsi="宋体" w:cs="宋体"/>
          <w:b/>
          <w:color w:val="auto"/>
          <w:sz w:val="28"/>
          <w:szCs w:val="28"/>
          <w:highlight w:val="none"/>
          <w:lang w:val="en-US" w:eastAsia="zh-CN"/>
        </w:rPr>
        <w:t>八</w:t>
      </w: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商务条款偏离表</w:t>
      </w:r>
    </w:p>
    <w:p>
      <w:pPr>
        <w:snapToGrid w:val="0"/>
        <w:spacing w:line="360" w:lineRule="auto"/>
        <w:jc w:val="center"/>
        <w:rPr>
          <w:rFonts w:hint="eastAsia" w:ascii="宋体" w:hAnsi="宋体" w:eastAsia="宋体" w:cs="宋体"/>
          <w:color w:val="auto"/>
          <w:sz w:val="32"/>
          <w:highlight w:val="none"/>
        </w:rPr>
      </w:pPr>
    </w:p>
    <w:tbl>
      <w:tblPr>
        <w:tblStyle w:val="1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2265"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招标商务参数</w:t>
            </w:r>
          </w:p>
        </w:tc>
        <w:tc>
          <w:tcPr>
            <w:tcW w:w="2134"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投标商务参数</w:t>
            </w:r>
          </w:p>
        </w:tc>
        <w:tc>
          <w:tcPr>
            <w:tcW w:w="1552"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偏离情况</w:t>
            </w:r>
          </w:p>
        </w:tc>
        <w:tc>
          <w:tcPr>
            <w:tcW w:w="1730"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hint="eastAsia" w:ascii="宋体" w:hAnsi="宋体" w:eastAsia="宋体" w:cs="宋体"/>
                <w:color w:val="auto"/>
                <w:highlight w:val="none"/>
              </w:rPr>
            </w:pPr>
          </w:p>
        </w:tc>
        <w:tc>
          <w:tcPr>
            <w:tcW w:w="2265" w:type="dxa"/>
          </w:tcPr>
          <w:p>
            <w:pPr>
              <w:snapToGrid w:val="0"/>
              <w:spacing w:line="360" w:lineRule="auto"/>
              <w:rPr>
                <w:rFonts w:hint="eastAsia" w:ascii="宋体" w:hAnsi="宋体" w:eastAsia="宋体" w:cs="宋体"/>
                <w:color w:val="auto"/>
                <w:highlight w:val="none"/>
              </w:rPr>
            </w:pPr>
          </w:p>
        </w:tc>
        <w:tc>
          <w:tcPr>
            <w:tcW w:w="2134" w:type="dxa"/>
          </w:tcPr>
          <w:p>
            <w:pPr>
              <w:snapToGrid w:val="0"/>
              <w:spacing w:line="360" w:lineRule="auto"/>
              <w:rPr>
                <w:rFonts w:hint="eastAsia" w:ascii="宋体" w:hAnsi="宋体" w:eastAsia="宋体" w:cs="宋体"/>
                <w:color w:val="auto"/>
                <w:highlight w:val="none"/>
              </w:rPr>
            </w:pPr>
          </w:p>
        </w:tc>
        <w:tc>
          <w:tcPr>
            <w:tcW w:w="1552" w:type="dxa"/>
          </w:tcPr>
          <w:p>
            <w:pPr>
              <w:snapToGrid w:val="0"/>
              <w:spacing w:line="360" w:lineRule="auto"/>
              <w:rPr>
                <w:rFonts w:hint="eastAsia" w:ascii="宋体" w:hAnsi="宋体" w:eastAsia="宋体" w:cs="宋体"/>
                <w:color w:val="auto"/>
                <w:highlight w:val="none"/>
              </w:rPr>
            </w:pPr>
          </w:p>
        </w:tc>
        <w:tc>
          <w:tcPr>
            <w:tcW w:w="1730"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hint="eastAsia" w:ascii="宋体" w:hAnsi="宋体" w:eastAsia="宋体" w:cs="宋体"/>
                <w:color w:val="auto"/>
                <w:highlight w:val="none"/>
              </w:rPr>
            </w:pPr>
          </w:p>
        </w:tc>
        <w:tc>
          <w:tcPr>
            <w:tcW w:w="2265" w:type="dxa"/>
          </w:tcPr>
          <w:p>
            <w:pPr>
              <w:snapToGrid w:val="0"/>
              <w:spacing w:line="360" w:lineRule="auto"/>
              <w:rPr>
                <w:rFonts w:hint="eastAsia" w:ascii="宋体" w:hAnsi="宋体" w:eastAsia="宋体" w:cs="宋体"/>
                <w:color w:val="auto"/>
                <w:highlight w:val="none"/>
              </w:rPr>
            </w:pPr>
          </w:p>
        </w:tc>
        <w:tc>
          <w:tcPr>
            <w:tcW w:w="2134" w:type="dxa"/>
          </w:tcPr>
          <w:p>
            <w:pPr>
              <w:snapToGrid w:val="0"/>
              <w:spacing w:line="360" w:lineRule="auto"/>
              <w:rPr>
                <w:rFonts w:hint="eastAsia" w:ascii="宋体" w:hAnsi="宋体" w:eastAsia="宋体" w:cs="宋体"/>
                <w:color w:val="auto"/>
                <w:highlight w:val="none"/>
              </w:rPr>
            </w:pPr>
          </w:p>
        </w:tc>
        <w:tc>
          <w:tcPr>
            <w:tcW w:w="1552" w:type="dxa"/>
          </w:tcPr>
          <w:p>
            <w:pPr>
              <w:snapToGrid w:val="0"/>
              <w:spacing w:line="360" w:lineRule="auto"/>
              <w:rPr>
                <w:rFonts w:hint="eastAsia" w:ascii="宋体" w:hAnsi="宋体" w:eastAsia="宋体" w:cs="宋体"/>
                <w:color w:val="auto"/>
                <w:highlight w:val="none"/>
              </w:rPr>
            </w:pPr>
          </w:p>
        </w:tc>
        <w:tc>
          <w:tcPr>
            <w:tcW w:w="1730"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hint="eastAsia" w:ascii="宋体" w:hAnsi="宋体" w:eastAsia="宋体" w:cs="宋体"/>
                <w:color w:val="auto"/>
                <w:highlight w:val="none"/>
              </w:rPr>
            </w:pPr>
          </w:p>
        </w:tc>
        <w:tc>
          <w:tcPr>
            <w:tcW w:w="2265" w:type="dxa"/>
          </w:tcPr>
          <w:p>
            <w:pPr>
              <w:snapToGrid w:val="0"/>
              <w:spacing w:line="360" w:lineRule="auto"/>
              <w:rPr>
                <w:rFonts w:hint="eastAsia" w:ascii="宋体" w:hAnsi="宋体" w:eastAsia="宋体" w:cs="宋体"/>
                <w:color w:val="auto"/>
                <w:highlight w:val="none"/>
              </w:rPr>
            </w:pPr>
          </w:p>
        </w:tc>
        <w:tc>
          <w:tcPr>
            <w:tcW w:w="2134" w:type="dxa"/>
          </w:tcPr>
          <w:p>
            <w:pPr>
              <w:snapToGrid w:val="0"/>
              <w:spacing w:line="360" w:lineRule="auto"/>
              <w:rPr>
                <w:rFonts w:hint="eastAsia" w:ascii="宋体" w:hAnsi="宋体" w:eastAsia="宋体" w:cs="宋体"/>
                <w:color w:val="auto"/>
                <w:highlight w:val="none"/>
              </w:rPr>
            </w:pPr>
          </w:p>
        </w:tc>
        <w:tc>
          <w:tcPr>
            <w:tcW w:w="1552" w:type="dxa"/>
          </w:tcPr>
          <w:p>
            <w:pPr>
              <w:snapToGrid w:val="0"/>
              <w:spacing w:line="360" w:lineRule="auto"/>
              <w:rPr>
                <w:rFonts w:hint="eastAsia" w:ascii="宋体" w:hAnsi="宋体" w:eastAsia="宋体" w:cs="宋体"/>
                <w:color w:val="auto"/>
                <w:highlight w:val="none"/>
              </w:rPr>
            </w:pPr>
          </w:p>
        </w:tc>
        <w:tc>
          <w:tcPr>
            <w:tcW w:w="1730"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65" w:type="dxa"/>
          </w:tcPr>
          <w:p>
            <w:pPr>
              <w:snapToGrid w:val="0"/>
              <w:spacing w:line="360" w:lineRule="auto"/>
              <w:rPr>
                <w:rFonts w:hint="eastAsia" w:ascii="宋体" w:hAnsi="宋体" w:eastAsia="宋体" w:cs="宋体"/>
                <w:color w:val="auto"/>
                <w:highlight w:val="none"/>
              </w:rPr>
            </w:pPr>
          </w:p>
        </w:tc>
        <w:tc>
          <w:tcPr>
            <w:tcW w:w="2134" w:type="dxa"/>
          </w:tcPr>
          <w:p>
            <w:pPr>
              <w:snapToGrid w:val="0"/>
              <w:spacing w:line="360" w:lineRule="auto"/>
              <w:rPr>
                <w:rFonts w:hint="eastAsia" w:ascii="宋体" w:hAnsi="宋体" w:eastAsia="宋体" w:cs="宋体"/>
                <w:color w:val="auto"/>
                <w:highlight w:val="none"/>
              </w:rPr>
            </w:pPr>
          </w:p>
        </w:tc>
        <w:tc>
          <w:tcPr>
            <w:tcW w:w="1552" w:type="dxa"/>
          </w:tcPr>
          <w:p>
            <w:pPr>
              <w:snapToGrid w:val="0"/>
              <w:spacing w:line="360" w:lineRule="auto"/>
              <w:rPr>
                <w:rFonts w:hint="eastAsia" w:ascii="宋体" w:hAnsi="宋体" w:eastAsia="宋体" w:cs="宋体"/>
                <w:color w:val="auto"/>
                <w:highlight w:val="none"/>
              </w:rPr>
            </w:pPr>
          </w:p>
        </w:tc>
        <w:tc>
          <w:tcPr>
            <w:tcW w:w="1730"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hint="eastAsia" w:ascii="宋体" w:hAnsi="宋体" w:eastAsia="宋体" w:cs="宋体"/>
                <w:color w:val="auto"/>
                <w:highlight w:val="none"/>
              </w:rPr>
            </w:pPr>
          </w:p>
        </w:tc>
        <w:tc>
          <w:tcPr>
            <w:tcW w:w="2265" w:type="dxa"/>
          </w:tcPr>
          <w:p>
            <w:pPr>
              <w:snapToGrid w:val="0"/>
              <w:spacing w:line="360" w:lineRule="auto"/>
              <w:rPr>
                <w:rFonts w:hint="eastAsia" w:ascii="宋体" w:hAnsi="宋体" w:eastAsia="宋体" w:cs="宋体"/>
                <w:color w:val="auto"/>
                <w:highlight w:val="none"/>
              </w:rPr>
            </w:pPr>
          </w:p>
        </w:tc>
        <w:tc>
          <w:tcPr>
            <w:tcW w:w="2134" w:type="dxa"/>
          </w:tcPr>
          <w:p>
            <w:pPr>
              <w:snapToGrid w:val="0"/>
              <w:spacing w:line="360" w:lineRule="auto"/>
              <w:rPr>
                <w:rFonts w:hint="eastAsia" w:ascii="宋体" w:hAnsi="宋体" w:eastAsia="宋体" w:cs="宋体"/>
                <w:color w:val="auto"/>
                <w:highlight w:val="none"/>
              </w:rPr>
            </w:pPr>
          </w:p>
        </w:tc>
        <w:tc>
          <w:tcPr>
            <w:tcW w:w="1552" w:type="dxa"/>
          </w:tcPr>
          <w:p>
            <w:pPr>
              <w:snapToGrid w:val="0"/>
              <w:spacing w:line="360" w:lineRule="auto"/>
              <w:rPr>
                <w:rFonts w:hint="eastAsia" w:ascii="宋体" w:hAnsi="宋体" w:eastAsia="宋体" w:cs="宋体"/>
                <w:color w:val="auto"/>
                <w:highlight w:val="none"/>
              </w:rPr>
            </w:pPr>
          </w:p>
        </w:tc>
        <w:tc>
          <w:tcPr>
            <w:tcW w:w="1730" w:type="dxa"/>
          </w:tcPr>
          <w:p>
            <w:pPr>
              <w:snapToGrid w:val="0"/>
              <w:spacing w:line="360" w:lineRule="auto"/>
              <w:rPr>
                <w:rFonts w:hint="eastAsia" w:ascii="宋体" w:hAnsi="宋体" w:eastAsia="宋体" w:cs="宋体"/>
                <w:color w:val="auto"/>
                <w:highlight w:val="none"/>
              </w:rPr>
            </w:pPr>
          </w:p>
        </w:tc>
      </w:tr>
    </w:tbl>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注：凡投标文件中商务条款（包括</w:t>
      </w:r>
      <w:r>
        <w:rPr>
          <w:rFonts w:hint="eastAsia" w:ascii="宋体" w:hAnsi="宋体" w:eastAsia="宋体" w:cs="宋体"/>
          <w:color w:val="auto"/>
          <w:sz w:val="24"/>
          <w:highlight w:val="none"/>
          <w:lang w:eastAsia="zh-CN"/>
        </w:rPr>
        <w:t>合同履约期限，服务地点</w:t>
      </w:r>
      <w:r>
        <w:rPr>
          <w:rFonts w:hint="eastAsia" w:ascii="宋体" w:hAnsi="宋体" w:eastAsia="宋体" w:cs="宋体"/>
          <w:color w:val="auto"/>
          <w:sz w:val="24"/>
          <w:highlight w:val="none"/>
        </w:rPr>
        <w:t>以及其它所有商务内容）与招标文件有偏差的，均应在此表中列出（内容较多的可以标注见投标文件第几页，偏差包括正偏差和负偏差）。</w:t>
      </w:r>
    </w:p>
    <w:p>
      <w:pPr>
        <w:snapToGrid w:val="0"/>
        <w:spacing w:line="360" w:lineRule="auto"/>
        <w:ind w:right="105" w:rightChars="50"/>
        <w:rPr>
          <w:rFonts w:hint="eastAsia" w:ascii="宋体" w:hAnsi="宋体" w:eastAsia="宋体" w:cs="宋体"/>
          <w:color w:val="auto"/>
          <w:sz w:val="32"/>
          <w:highlight w:val="none"/>
        </w:rPr>
      </w:pPr>
    </w:p>
    <w:p>
      <w:pPr>
        <w:snapToGrid w:val="0"/>
        <w:spacing w:line="720" w:lineRule="auto"/>
        <w:ind w:right="105" w:rightChars="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（盖章）：    </w:t>
      </w:r>
    </w:p>
    <w:p>
      <w:pPr>
        <w:snapToGrid w:val="0"/>
        <w:spacing w:line="72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napToGrid w:val="0"/>
        <w:spacing w:line="360" w:lineRule="auto"/>
        <w:ind w:firstLine="301" w:firstLineChars="10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附件</w:t>
      </w:r>
      <w:r>
        <w:rPr>
          <w:rFonts w:hint="eastAsia" w:ascii="宋体" w:hAnsi="宋体" w:cs="宋体"/>
          <w:b/>
          <w:color w:val="auto"/>
          <w:sz w:val="30"/>
          <w:szCs w:val="30"/>
          <w:highlight w:val="none"/>
          <w:lang w:val="en-US" w:eastAsia="zh-CN"/>
        </w:rPr>
        <w:t>九</w:t>
      </w: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技术规格（</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需求）偏离表</w:t>
      </w:r>
    </w:p>
    <w:p>
      <w:pPr>
        <w:snapToGrid w:val="0"/>
        <w:spacing w:line="360" w:lineRule="auto"/>
        <w:jc w:val="center"/>
        <w:rPr>
          <w:rFonts w:hint="eastAsia" w:ascii="宋体" w:hAnsi="宋体" w:eastAsia="宋体" w:cs="宋体"/>
          <w:color w:val="auto"/>
          <w:sz w:val="32"/>
          <w:szCs w:val="32"/>
          <w:highlight w:val="none"/>
        </w:rPr>
      </w:pPr>
    </w:p>
    <w:tbl>
      <w:tblPr>
        <w:tblStyle w:val="1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2223"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招标技术参数</w:t>
            </w:r>
          </w:p>
        </w:tc>
        <w:tc>
          <w:tcPr>
            <w:tcW w:w="2096"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投标技术参数</w:t>
            </w:r>
          </w:p>
        </w:tc>
        <w:tc>
          <w:tcPr>
            <w:tcW w:w="1525"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偏离情况</w:t>
            </w:r>
          </w:p>
        </w:tc>
        <w:tc>
          <w:tcPr>
            <w:tcW w:w="1699" w:type="dxa"/>
            <w:vAlign w:val="center"/>
          </w:tcPr>
          <w:p>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hint="eastAsia" w:ascii="宋体" w:hAnsi="宋体" w:eastAsia="宋体" w:cs="宋体"/>
                <w:color w:val="auto"/>
                <w:highlight w:val="none"/>
              </w:rPr>
            </w:pPr>
          </w:p>
        </w:tc>
        <w:tc>
          <w:tcPr>
            <w:tcW w:w="2223" w:type="dxa"/>
          </w:tcPr>
          <w:p>
            <w:pPr>
              <w:snapToGrid w:val="0"/>
              <w:spacing w:line="360" w:lineRule="auto"/>
              <w:rPr>
                <w:rFonts w:hint="eastAsia" w:ascii="宋体" w:hAnsi="宋体" w:eastAsia="宋体" w:cs="宋体"/>
                <w:color w:val="auto"/>
                <w:highlight w:val="none"/>
              </w:rPr>
            </w:pPr>
          </w:p>
        </w:tc>
        <w:tc>
          <w:tcPr>
            <w:tcW w:w="2096" w:type="dxa"/>
          </w:tcPr>
          <w:p>
            <w:pPr>
              <w:snapToGrid w:val="0"/>
              <w:spacing w:line="360" w:lineRule="auto"/>
              <w:rPr>
                <w:rFonts w:hint="eastAsia" w:ascii="宋体" w:hAnsi="宋体" w:eastAsia="宋体" w:cs="宋体"/>
                <w:color w:val="auto"/>
                <w:highlight w:val="none"/>
              </w:rPr>
            </w:pPr>
          </w:p>
        </w:tc>
        <w:tc>
          <w:tcPr>
            <w:tcW w:w="1525" w:type="dxa"/>
          </w:tcPr>
          <w:p>
            <w:pPr>
              <w:snapToGrid w:val="0"/>
              <w:spacing w:line="360" w:lineRule="auto"/>
              <w:rPr>
                <w:rFonts w:hint="eastAsia" w:ascii="宋体" w:hAnsi="宋体" w:eastAsia="宋体" w:cs="宋体"/>
                <w:color w:val="auto"/>
                <w:highlight w:val="none"/>
              </w:rPr>
            </w:pPr>
          </w:p>
        </w:tc>
        <w:tc>
          <w:tcPr>
            <w:tcW w:w="1699"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hint="eastAsia" w:ascii="宋体" w:hAnsi="宋体" w:eastAsia="宋体" w:cs="宋体"/>
                <w:color w:val="auto"/>
                <w:highlight w:val="none"/>
              </w:rPr>
            </w:pPr>
          </w:p>
        </w:tc>
        <w:tc>
          <w:tcPr>
            <w:tcW w:w="2223" w:type="dxa"/>
          </w:tcPr>
          <w:p>
            <w:pPr>
              <w:snapToGrid w:val="0"/>
              <w:spacing w:line="360" w:lineRule="auto"/>
              <w:rPr>
                <w:rFonts w:hint="eastAsia" w:ascii="宋体" w:hAnsi="宋体" w:eastAsia="宋体" w:cs="宋体"/>
                <w:color w:val="auto"/>
                <w:highlight w:val="none"/>
              </w:rPr>
            </w:pPr>
          </w:p>
        </w:tc>
        <w:tc>
          <w:tcPr>
            <w:tcW w:w="2096" w:type="dxa"/>
          </w:tcPr>
          <w:p>
            <w:pPr>
              <w:snapToGrid w:val="0"/>
              <w:spacing w:line="360" w:lineRule="auto"/>
              <w:rPr>
                <w:rFonts w:hint="eastAsia" w:ascii="宋体" w:hAnsi="宋体" w:eastAsia="宋体" w:cs="宋体"/>
                <w:color w:val="auto"/>
                <w:highlight w:val="none"/>
              </w:rPr>
            </w:pPr>
          </w:p>
        </w:tc>
        <w:tc>
          <w:tcPr>
            <w:tcW w:w="1525" w:type="dxa"/>
          </w:tcPr>
          <w:p>
            <w:pPr>
              <w:snapToGrid w:val="0"/>
              <w:spacing w:line="360" w:lineRule="auto"/>
              <w:rPr>
                <w:rFonts w:hint="eastAsia" w:ascii="宋体" w:hAnsi="宋体" w:eastAsia="宋体" w:cs="宋体"/>
                <w:color w:val="auto"/>
                <w:highlight w:val="none"/>
              </w:rPr>
            </w:pPr>
          </w:p>
        </w:tc>
        <w:tc>
          <w:tcPr>
            <w:tcW w:w="1699"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hint="eastAsia" w:ascii="宋体" w:hAnsi="宋体" w:eastAsia="宋体" w:cs="宋体"/>
                <w:color w:val="auto"/>
                <w:highlight w:val="none"/>
              </w:rPr>
            </w:pPr>
          </w:p>
        </w:tc>
        <w:tc>
          <w:tcPr>
            <w:tcW w:w="2223" w:type="dxa"/>
          </w:tcPr>
          <w:p>
            <w:pPr>
              <w:snapToGrid w:val="0"/>
              <w:spacing w:line="360" w:lineRule="auto"/>
              <w:rPr>
                <w:rFonts w:hint="eastAsia" w:ascii="宋体" w:hAnsi="宋体" w:eastAsia="宋体" w:cs="宋体"/>
                <w:color w:val="auto"/>
                <w:highlight w:val="none"/>
              </w:rPr>
            </w:pPr>
          </w:p>
        </w:tc>
        <w:tc>
          <w:tcPr>
            <w:tcW w:w="2096" w:type="dxa"/>
          </w:tcPr>
          <w:p>
            <w:pPr>
              <w:snapToGrid w:val="0"/>
              <w:spacing w:line="360" w:lineRule="auto"/>
              <w:rPr>
                <w:rFonts w:hint="eastAsia" w:ascii="宋体" w:hAnsi="宋体" w:eastAsia="宋体" w:cs="宋体"/>
                <w:color w:val="auto"/>
                <w:highlight w:val="none"/>
              </w:rPr>
            </w:pPr>
          </w:p>
        </w:tc>
        <w:tc>
          <w:tcPr>
            <w:tcW w:w="1525" w:type="dxa"/>
          </w:tcPr>
          <w:p>
            <w:pPr>
              <w:snapToGrid w:val="0"/>
              <w:spacing w:line="360" w:lineRule="auto"/>
              <w:rPr>
                <w:rFonts w:hint="eastAsia" w:ascii="宋体" w:hAnsi="宋体" w:eastAsia="宋体" w:cs="宋体"/>
                <w:color w:val="auto"/>
                <w:highlight w:val="none"/>
              </w:rPr>
            </w:pPr>
          </w:p>
        </w:tc>
        <w:tc>
          <w:tcPr>
            <w:tcW w:w="1699"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23" w:type="dxa"/>
          </w:tcPr>
          <w:p>
            <w:pPr>
              <w:snapToGrid w:val="0"/>
              <w:spacing w:line="360" w:lineRule="auto"/>
              <w:rPr>
                <w:rFonts w:hint="eastAsia" w:ascii="宋体" w:hAnsi="宋体" w:eastAsia="宋体" w:cs="宋体"/>
                <w:color w:val="auto"/>
                <w:highlight w:val="none"/>
              </w:rPr>
            </w:pPr>
          </w:p>
        </w:tc>
        <w:tc>
          <w:tcPr>
            <w:tcW w:w="2096" w:type="dxa"/>
          </w:tcPr>
          <w:p>
            <w:pPr>
              <w:snapToGrid w:val="0"/>
              <w:spacing w:line="360" w:lineRule="auto"/>
              <w:rPr>
                <w:rFonts w:hint="eastAsia" w:ascii="宋体" w:hAnsi="宋体" w:eastAsia="宋体" w:cs="宋体"/>
                <w:color w:val="auto"/>
                <w:highlight w:val="none"/>
              </w:rPr>
            </w:pPr>
          </w:p>
        </w:tc>
        <w:tc>
          <w:tcPr>
            <w:tcW w:w="1525" w:type="dxa"/>
          </w:tcPr>
          <w:p>
            <w:pPr>
              <w:snapToGrid w:val="0"/>
              <w:spacing w:line="360" w:lineRule="auto"/>
              <w:rPr>
                <w:rFonts w:hint="eastAsia" w:ascii="宋体" w:hAnsi="宋体" w:eastAsia="宋体" w:cs="宋体"/>
                <w:color w:val="auto"/>
                <w:highlight w:val="none"/>
              </w:rPr>
            </w:pPr>
          </w:p>
        </w:tc>
        <w:tc>
          <w:tcPr>
            <w:tcW w:w="1699" w:type="dxa"/>
          </w:tcPr>
          <w:p>
            <w:pPr>
              <w:snapToGrid w:val="0"/>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hint="eastAsia" w:ascii="宋体" w:hAnsi="宋体" w:eastAsia="宋体" w:cs="宋体"/>
                <w:color w:val="auto"/>
                <w:highlight w:val="none"/>
              </w:rPr>
            </w:pPr>
          </w:p>
        </w:tc>
        <w:tc>
          <w:tcPr>
            <w:tcW w:w="2223" w:type="dxa"/>
          </w:tcPr>
          <w:p>
            <w:pPr>
              <w:snapToGrid w:val="0"/>
              <w:spacing w:line="360" w:lineRule="auto"/>
              <w:rPr>
                <w:rFonts w:hint="eastAsia" w:ascii="宋体" w:hAnsi="宋体" w:eastAsia="宋体" w:cs="宋体"/>
                <w:color w:val="auto"/>
                <w:highlight w:val="none"/>
              </w:rPr>
            </w:pPr>
          </w:p>
        </w:tc>
        <w:tc>
          <w:tcPr>
            <w:tcW w:w="2096" w:type="dxa"/>
          </w:tcPr>
          <w:p>
            <w:pPr>
              <w:snapToGrid w:val="0"/>
              <w:spacing w:line="360" w:lineRule="auto"/>
              <w:rPr>
                <w:rFonts w:hint="eastAsia" w:ascii="宋体" w:hAnsi="宋体" w:eastAsia="宋体" w:cs="宋体"/>
                <w:color w:val="auto"/>
                <w:highlight w:val="none"/>
              </w:rPr>
            </w:pPr>
          </w:p>
        </w:tc>
        <w:tc>
          <w:tcPr>
            <w:tcW w:w="1525" w:type="dxa"/>
          </w:tcPr>
          <w:p>
            <w:pPr>
              <w:snapToGrid w:val="0"/>
              <w:spacing w:line="360" w:lineRule="auto"/>
              <w:rPr>
                <w:rFonts w:hint="eastAsia" w:ascii="宋体" w:hAnsi="宋体" w:eastAsia="宋体" w:cs="宋体"/>
                <w:color w:val="auto"/>
                <w:highlight w:val="none"/>
              </w:rPr>
            </w:pPr>
          </w:p>
        </w:tc>
        <w:tc>
          <w:tcPr>
            <w:tcW w:w="1699" w:type="dxa"/>
          </w:tcPr>
          <w:p>
            <w:pPr>
              <w:snapToGrid w:val="0"/>
              <w:spacing w:line="360" w:lineRule="auto"/>
              <w:rPr>
                <w:rFonts w:hint="eastAsia" w:ascii="宋体" w:hAnsi="宋体" w:eastAsia="宋体" w:cs="宋体"/>
                <w:color w:val="auto"/>
                <w:highlight w:val="none"/>
              </w:rPr>
            </w:pPr>
          </w:p>
        </w:tc>
      </w:tr>
    </w:tbl>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05" w:rightChars="50"/>
        <w:rPr>
          <w:rFonts w:hint="eastAsia" w:ascii="宋体" w:hAnsi="宋体" w:eastAsia="宋体" w:cs="宋体"/>
          <w:color w:val="auto"/>
          <w:sz w:val="24"/>
          <w:highlight w:val="none"/>
        </w:rPr>
      </w:pPr>
    </w:p>
    <w:p>
      <w:pPr>
        <w:snapToGrid w:val="0"/>
        <w:spacing w:line="720" w:lineRule="auto"/>
        <w:ind w:right="105" w:rightChars="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（盖章）：    </w:t>
      </w:r>
    </w:p>
    <w:p>
      <w:pPr>
        <w:snapToGrid w:val="0"/>
        <w:spacing w:line="72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snapToGrid w:val="0"/>
        <w:spacing w:line="720" w:lineRule="auto"/>
        <w:ind w:right="105" w:rightChars="50"/>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b/>
          <w:color w:val="auto"/>
          <w:sz w:val="22"/>
          <w:highlight w:val="none"/>
        </w:rPr>
      </w:pPr>
    </w:p>
    <w:p>
      <w:pPr>
        <w:snapToGrid w:val="0"/>
        <w:spacing w:line="360" w:lineRule="auto"/>
        <w:rPr>
          <w:rFonts w:hint="eastAsia" w:ascii="宋体" w:hAnsi="宋体" w:eastAsia="宋体" w:cs="宋体"/>
          <w:b/>
          <w:color w:val="auto"/>
          <w:sz w:val="22"/>
          <w:highlight w:val="none"/>
        </w:rPr>
      </w:pPr>
    </w:p>
    <w:p>
      <w:pPr>
        <w:widowControl/>
        <w:jc w:val="left"/>
        <w:rPr>
          <w:rFonts w:hint="eastAsia" w:asciiTheme="majorEastAsia" w:hAnsiTheme="majorEastAsia" w:eastAsiaTheme="majorEastAsia"/>
          <w:b/>
          <w:color w:val="auto"/>
          <w:sz w:val="44"/>
          <w:szCs w:val="44"/>
          <w:highlight w:val="none"/>
        </w:rPr>
      </w:pPr>
      <w:r>
        <w:rPr>
          <w:rFonts w:hint="eastAsia" w:ascii="宋体" w:hAnsi="宋体" w:eastAsia="宋体" w:cs="宋体"/>
          <w:b/>
          <w:color w:val="auto"/>
          <w:sz w:val="22"/>
          <w:highlight w:val="none"/>
        </w:rPr>
        <w:br w:type="page"/>
      </w:r>
    </w:p>
    <w:p>
      <w:pPr>
        <w:jc w:val="left"/>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附件</w:t>
      </w:r>
      <w:r>
        <w:rPr>
          <w:rFonts w:hint="eastAsia" w:ascii="宋体" w:hAnsi="宋体" w:cs="宋体"/>
          <w:b/>
          <w:color w:val="auto"/>
          <w:sz w:val="36"/>
          <w:szCs w:val="36"/>
          <w:highlight w:val="none"/>
          <w:lang w:val="en-US" w:eastAsia="zh-CN"/>
        </w:rPr>
        <w:t>十</w:t>
      </w:r>
    </w:p>
    <w:p>
      <w:pPr>
        <w:ind w:left="128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中小企业声明函(工程、服务)</w:t>
      </w:r>
    </w:p>
    <w:p>
      <w:pPr>
        <w:ind w:left="1280"/>
        <w:rPr>
          <w:rFonts w:hint="eastAsia" w:ascii="宋体" w:hAnsi="宋体" w:eastAsia="宋体" w:cs="宋体"/>
          <w:color w:val="auto"/>
          <w:sz w:val="32"/>
          <w:szCs w:val="32"/>
          <w:highlight w:val="none"/>
        </w:rPr>
      </w:pPr>
    </w:p>
    <w:p>
      <w:pPr>
        <w:pStyle w:val="7"/>
        <w:rPr>
          <w:rFonts w:hint="eastAsia"/>
          <w:color w:val="auto"/>
          <w:highlight w:val="none"/>
        </w:rPr>
      </w:pP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480" w:firstLineChars="200"/>
        <w:rPr>
          <w:rFonts w:hint="eastAsia" w:ascii="宋体" w:hAnsi="宋体" w:eastAsia="宋体" w:cs="宋体"/>
          <w:i w:val="0"/>
          <w:iCs w:val="0"/>
          <w:color w:val="auto"/>
          <w:sz w:val="24"/>
          <w:szCs w:val="24"/>
          <w:highlight w:val="none"/>
        </w:rPr>
      </w:pPr>
    </w:p>
    <w:p>
      <w:pPr>
        <w:pStyle w:val="7"/>
        <w:rPr>
          <w:rFonts w:hint="eastAsia"/>
          <w:color w:val="auto"/>
          <w:highlight w:val="none"/>
        </w:rPr>
      </w:pP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Style w:val="25"/>
          <w:rFonts w:hint="eastAsia" w:ascii="宋体" w:hAnsi="宋体" w:eastAsia="宋体" w:cs="宋体"/>
          <w:i w:val="0"/>
          <w:iCs w:val="0"/>
          <w:color w:val="auto"/>
          <w:sz w:val="24"/>
          <w:szCs w:val="24"/>
          <w:highlight w:val="none"/>
        </w:rPr>
        <w:footnoteReference w:id="0"/>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w:t>
      </w: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 </w:t>
      </w:r>
      <w:r>
        <w:rPr>
          <w:rFonts w:hint="eastAsia" w:ascii="宋体" w:hAnsi="宋体" w:eastAsia="宋体" w:cs="宋体"/>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w:t>
      </w: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pPr>
        <w:snapToGrid w:val="0"/>
        <w:spacing w:line="300" w:lineRule="auto"/>
        <w:ind w:firstLine="480" w:firstLineChars="200"/>
        <w:rPr>
          <w:rFonts w:hint="eastAsia" w:ascii="宋体" w:hAnsi="宋体" w:eastAsia="宋体" w:cs="宋体"/>
          <w:i w:val="0"/>
          <w:iCs w:val="0"/>
          <w:color w:val="auto"/>
          <w:sz w:val="24"/>
          <w:szCs w:val="24"/>
          <w:highlight w:val="none"/>
        </w:rPr>
      </w:pPr>
    </w:p>
    <w:p>
      <w:pPr>
        <w:pStyle w:val="7"/>
        <w:rPr>
          <w:rFonts w:hint="eastAsia"/>
          <w:color w:val="auto"/>
          <w:highlight w:val="none"/>
        </w:rPr>
      </w:pP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以上企业，不属于大企业的分支机构，不存在控股股东为大企业的情形，也不存在与大企业的负责人为同一人的情形。</w:t>
      </w: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本企业对上述声明内容的真实性负责。如有虚假，将依法承担相应责任。</w:t>
      </w: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企业名称（盖章）：</w:t>
      </w:r>
    </w:p>
    <w:p>
      <w:pPr>
        <w:snapToGrid w:val="0"/>
        <w:spacing w:line="30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日期：</w:t>
      </w:r>
    </w:p>
    <w:p>
      <w:pPr>
        <w:snapToGrid w:val="0"/>
        <w:spacing w:line="300" w:lineRule="auto"/>
        <w:ind w:firstLine="480" w:firstLineChars="200"/>
        <w:rPr>
          <w:rFonts w:hint="eastAsia" w:ascii="宋体" w:hAnsi="宋体" w:eastAsia="宋体" w:cs="宋体"/>
          <w:i w:val="0"/>
          <w:iCs w:val="0"/>
          <w:color w:val="auto"/>
          <w:sz w:val="24"/>
          <w:szCs w:val="24"/>
          <w:highlight w:val="none"/>
        </w:rPr>
      </w:pPr>
    </w:p>
    <w:p>
      <w:pPr>
        <w:pStyle w:val="7"/>
        <w:rPr>
          <w:rFonts w:hint="eastAsia" w:ascii="宋体" w:hAnsi="宋体" w:eastAsia="宋体" w:cs="宋体"/>
          <w:i w:val="0"/>
          <w:iCs w:val="0"/>
          <w:color w:val="auto"/>
          <w:sz w:val="24"/>
          <w:szCs w:val="24"/>
          <w:highlight w:val="none"/>
        </w:rPr>
      </w:pPr>
    </w:p>
    <w:p>
      <w:pPr>
        <w:pStyle w:val="8"/>
        <w:rPr>
          <w:rFonts w:hint="eastAsia" w:ascii="宋体" w:hAnsi="宋体" w:eastAsia="宋体" w:cs="宋体"/>
          <w:i w:val="0"/>
          <w:iCs w:val="0"/>
          <w:color w:val="auto"/>
          <w:sz w:val="24"/>
          <w:szCs w:val="24"/>
          <w:highlight w:val="none"/>
        </w:rPr>
      </w:pPr>
    </w:p>
    <w:p>
      <w:pPr>
        <w:pStyle w:val="8"/>
        <w:rPr>
          <w:rFonts w:hint="eastAsia" w:ascii="宋体" w:hAnsi="宋体" w:eastAsia="宋体" w:cs="宋体"/>
          <w:i w:val="0"/>
          <w:iCs w:val="0"/>
          <w:color w:val="auto"/>
          <w:sz w:val="24"/>
          <w:szCs w:val="24"/>
          <w:highlight w:val="none"/>
        </w:rPr>
      </w:pPr>
    </w:p>
    <w:p>
      <w:pPr>
        <w:pStyle w:val="8"/>
        <w:rPr>
          <w:rFonts w:hint="eastAsia" w:ascii="宋体" w:hAnsi="宋体" w:eastAsia="宋体" w:cs="宋体"/>
          <w:i w:val="0"/>
          <w:iCs w:val="0"/>
          <w:color w:val="auto"/>
          <w:sz w:val="24"/>
          <w:szCs w:val="24"/>
          <w:highlight w:val="none"/>
        </w:rPr>
      </w:pPr>
    </w:p>
    <w:p>
      <w:pPr>
        <w:rPr>
          <w:color w:val="auto"/>
          <w:highlight w:val="none"/>
        </w:rPr>
      </w:pP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vertAlign w:val="superscript"/>
          <w:lang w:val="en-US" w:eastAsia="zh-CN" w:bidi="ar"/>
        </w:rPr>
        <w:t>1</w:t>
      </w:r>
      <w:r>
        <w:rPr>
          <w:rFonts w:hint="eastAsia" w:ascii="宋体" w:hAnsi="宋体" w:eastAsia="宋体" w:cs="宋体"/>
          <w:color w:val="auto"/>
          <w:highlight w:val="none"/>
        </w:rPr>
        <w:t>从业人员、营业收入、资产总额填报上一年度数据，无上一年度数据的新成立企业可不填报。</w:t>
      </w:r>
    </w:p>
    <w:p>
      <w:pPr>
        <w:rPr>
          <w:rFonts w:hint="eastAsia" w:ascii="宋体" w:hAnsi="宋体" w:eastAsia="宋体" w:cs="宋体"/>
          <w:color w:val="auto"/>
          <w:highlight w:val="none"/>
        </w:rPr>
        <w:sectPr>
          <w:pgSz w:w="11906" w:h="16838"/>
          <w:pgMar w:top="1440" w:right="1701" w:bottom="1440" w:left="1701" w:header="851" w:footer="992" w:gutter="0"/>
          <w:pgNumType w:fmt="decimal"/>
          <w:cols w:space="0" w:num="1"/>
          <w:titlePg/>
          <w:docGrid w:type="lines" w:linePitch="314" w:charSpace="0"/>
        </w:sectPr>
      </w:pPr>
    </w:p>
    <w:p>
      <w:pPr>
        <w:pStyle w:val="7"/>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供应商</w:t>
      </w:r>
      <w:r>
        <w:rPr>
          <w:rFonts w:hint="eastAsia" w:ascii="宋体" w:hAnsi="宋体" w:eastAsia="宋体" w:cs="宋体"/>
          <w:b/>
          <w:color w:val="auto"/>
          <w:sz w:val="28"/>
          <w:szCs w:val="28"/>
          <w:highlight w:val="none"/>
          <w:lang w:val="en-US" w:eastAsia="zh-CN"/>
        </w:rPr>
        <w:t>认为需要提供的其他资料</w:t>
      </w:r>
    </w:p>
    <w:p>
      <w:pPr>
        <w:spacing w:line="360" w:lineRule="auto"/>
        <w:jc w:val="center"/>
        <w:rPr>
          <w:rFonts w:hint="eastAsia"/>
          <w:color w:val="auto"/>
          <w:highlight w:val="none"/>
        </w:rPr>
      </w:pPr>
      <w:r>
        <w:rPr>
          <w:rFonts w:hint="eastAsia" w:ascii="宋体" w:hAnsi="宋体" w:cs="宋体"/>
          <w:color w:val="auto"/>
          <w:sz w:val="20"/>
          <w:highlight w:val="none"/>
          <w:lang w:eastAsia="zh-CN"/>
        </w:rPr>
        <w:t>（</w:t>
      </w:r>
      <w:r>
        <w:rPr>
          <w:rFonts w:hint="eastAsia" w:ascii="宋体" w:hAnsi="宋体" w:eastAsia="宋体" w:cs="宋体"/>
          <w:color w:val="auto"/>
          <w:sz w:val="20"/>
          <w:highlight w:val="none"/>
        </w:rPr>
        <w:t>内容、格式自拟</w:t>
      </w:r>
      <w:r>
        <w:rPr>
          <w:rFonts w:hint="eastAsia" w:ascii="宋体" w:hAnsi="宋体" w:cs="宋体"/>
          <w:color w:val="auto"/>
          <w:sz w:val="20"/>
          <w:highlight w:val="none"/>
          <w:lang w:eastAsia="zh-CN"/>
        </w:rPr>
        <w:t>）</w:t>
      </w:r>
    </w:p>
    <w:sectPr>
      <w:pgSz w:w="11906" w:h="16838"/>
      <w:pgMar w:top="1304" w:right="1247" w:bottom="130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382D"/>
    <w:multiLevelType w:val="singleLevel"/>
    <w:tmpl w:val="984C382D"/>
    <w:lvl w:ilvl="0" w:tentative="0">
      <w:start w:val="1"/>
      <w:numFmt w:val="decimal"/>
      <w:suff w:val="nothing"/>
      <w:lvlText w:val="%1．"/>
      <w:lvlJc w:val="left"/>
    </w:lvl>
  </w:abstractNum>
  <w:abstractNum w:abstractNumId="1">
    <w:nsid w:val="F349D38A"/>
    <w:multiLevelType w:val="singleLevel"/>
    <w:tmpl w:val="F349D38A"/>
    <w:lvl w:ilvl="0" w:tentative="0">
      <w:start w:val="1"/>
      <w:numFmt w:val="decimal"/>
      <w:suff w:val="nothing"/>
      <w:lvlText w:val="%1、"/>
      <w:lvlJc w:val="left"/>
    </w:lvl>
  </w:abstractNum>
  <w:abstractNum w:abstractNumId="2">
    <w:nsid w:val="5D4A58EE"/>
    <w:multiLevelType w:val="singleLevel"/>
    <w:tmpl w:val="5D4A58EE"/>
    <w:lvl w:ilvl="0" w:tentative="0">
      <w:start w:val="1"/>
      <w:numFmt w:val="decimal"/>
      <w:suff w:val="nothing"/>
      <w:lvlText w:val="%1、"/>
      <w:lvlJc w:val="left"/>
    </w:lvl>
  </w:abstractNum>
  <w:abstractNum w:abstractNumId="3">
    <w:nsid w:val="6D4F3E65"/>
    <w:multiLevelType w:val="singleLevel"/>
    <w:tmpl w:val="6D4F3E65"/>
    <w:lvl w:ilvl="0" w:tentative="0">
      <w:start w:val="3"/>
      <w:numFmt w:val="chineseCounting"/>
      <w:suff w:val="space"/>
      <w:lvlText w:val="第%1部分"/>
      <w:lvlJc w:val="left"/>
      <w:rPr>
        <w:rFonts w:hint="eastAsia"/>
      </w:rPr>
    </w:lvl>
  </w:abstractNum>
  <w:abstractNum w:abstractNumId="4">
    <w:nsid w:val="71AE7EDD"/>
    <w:multiLevelType w:val="singleLevel"/>
    <w:tmpl w:val="71AE7EDD"/>
    <w:lvl w:ilvl="0" w:tentative="0">
      <w:start w:val="3"/>
      <w:numFmt w:val="decimal"/>
      <w:lvlText w:val="%1."/>
      <w:lvlJc w:val="left"/>
      <w:pPr>
        <w:tabs>
          <w:tab w:val="left" w:pos="312"/>
        </w:tabs>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OTBiYjc1ZTAyNmQ3YTk4NDlhMzYxZDgyN2MwNTY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27B6E"/>
    <w:rsid w:val="00134370"/>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E075B"/>
    <w:rsid w:val="004E0863"/>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A4CF5"/>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10B6E2F"/>
    <w:rsid w:val="01CB731F"/>
    <w:rsid w:val="01CE29C1"/>
    <w:rsid w:val="01DB1D0B"/>
    <w:rsid w:val="01EE7C08"/>
    <w:rsid w:val="01F065DD"/>
    <w:rsid w:val="01FD7D5B"/>
    <w:rsid w:val="0259436B"/>
    <w:rsid w:val="02847D4F"/>
    <w:rsid w:val="0329499D"/>
    <w:rsid w:val="03393105"/>
    <w:rsid w:val="033D25A9"/>
    <w:rsid w:val="03860D9B"/>
    <w:rsid w:val="040C25C7"/>
    <w:rsid w:val="043438CC"/>
    <w:rsid w:val="04A04386"/>
    <w:rsid w:val="04DD5C4D"/>
    <w:rsid w:val="04E3614E"/>
    <w:rsid w:val="05193533"/>
    <w:rsid w:val="0522644D"/>
    <w:rsid w:val="05A27BE6"/>
    <w:rsid w:val="05A9508F"/>
    <w:rsid w:val="05C1783E"/>
    <w:rsid w:val="05D5449F"/>
    <w:rsid w:val="061D52DE"/>
    <w:rsid w:val="061F375B"/>
    <w:rsid w:val="06516B84"/>
    <w:rsid w:val="071608E4"/>
    <w:rsid w:val="071A4CC5"/>
    <w:rsid w:val="073124D5"/>
    <w:rsid w:val="07882CB8"/>
    <w:rsid w:val="078E7A14"/>
    <w:rsid w:val="07C50D60"/>
    <w:rsid w:val="07D26499"/>
    <w:rsid w:val="07DE427B"/>
    <w:rsid w:val="08431A44"/>
    <w:rsid w:val="08FB326B"/>
    <w:rsid w:val="099307F8"/>
    <w:rsid w:val="09C901D0"/>
    <w:rsid w:val="09E6781C"/>
    <w:rsid w:val="0AA921AB"/>
    <w:rsid w:val="0AF142C5"/>
    <w:rsid w:val="0AF3003D"/>
    <w:rsid w:val="0B163D2C"/>
    <w:rsid w:val="0B185CF6"/>
    <w:rsid w:val="0B56202D"/>
    <w:rsid w:val="0B626316"/>
    <w:rsid w:val="0B754FCA"/>
    <w:rsid w:val="0BA339E0"/>
    <w:rsid w:val="0BC11EE9"/>
    <w:rsid w:val="0BE75325"/>
    <w:rsid w:val="0C0B25F5"/>
    <w:rsid w:val="0C1F0973"/>
    <w:rsid w:val="0C646B0A"/>
    <w:rsid w:val="0CA330D5"/>
    <w:rsid w:val="0CE73BD2"/>
    <w:rsid w:val="0D4252AC"/>
    <w:rsid w:val="0D5F01B4"/>
    <w:rsid w:val="0D735DE1"/>
    <w:rsid w:val="0D8379E5"/>
    <w:rsid w:val="0D9C1E97"/>
    <w:rsid w:val="0DE545B5"/>
    <w:rsid w:val="0E0C29CB"/>
    <w:rsid w:val="0ED65CAC"/>
    <w:rsid w:val="0EDC2BF8"/>
    <w:rsid w:val="0F4241BA"/>
    <w:rsid w:val="0F442465"/>
    <w:rsid w:val="0FB45510"/>
    <w:rsid w:val="0FC41FA1"/>
    <w:rsid w:val="0FC773AA"/>
    <w:rsid w:val="10302913"/>
    <w:rsid w:val="104E293C"/>
    <w:rsid w:val="10512C16"/>
    <w:rsid w:val="1144433C"/>
    <w:rsid w:val="11641C12"/>
    <w:rsid w:val="11DA3373"/>
    <w:rsid w:val="122757FD"/>
    <w:rsid w:val="122C3E39"/>
    <w:rsid w:val="1232090E"/>
    <w:rsid w:val="12830C75"/>
    <w:rsid w:val="12FB03D7"/>
    <w:rsid w:val="13053004"/>
    <w:rsid w:val="141F22A8"/>
    <w:rsid w:val="143A6336"/>
    <w:rsid w:val="144A60B5"/>
    <w:rsid w:val="146C42C8"/>
    <w:rsid w:val="14A04A20"/>
    <w:rsid w:val="15467D37"/>
    <w:rsid w:val="156876C2"/>
    <w:rsid w:val="160C3F97"/>
    <w:rsid w:val="160D1FDA"/>
    <w:rsid w:val="17151B04"/>
    <w:rsid w:val="17645343"/>
    <w:rsid w:val="17A12C53"/>
    <w:rsid w:val="17BF5E77"/>
    <w:rsid w:val="17E05DED"/>
    <w:rsid w:val="180B1D24"/>
    <w:rsid w:val="183D3E39"/>
    <w:rsid w:val="18846D2A"/>
    <w:rsid w:val="18867DDA"/>
    <w:rsid w:val="18BB11EA"/>
    <w:rsid w:val="18D314AE"/>
    <w:rsid w:val="18DA0A8E"/>
    <w:rsid w:val="18EA2332"/>
    <w:rsid w:val="19C447CF"/>
    <w:rsid w:val="19EB3D17"/>
    <w:rsid w:val="1AB10C5F"/>
    <w:rsid w:val="1AFC4CEC"/>
    <w:rsid w:val="1B2A002D"/>
    <w:rsid w:val="1B43749D"/>
    <w:rsid w:val="1B547DD2"/>
    <w:rsid w:val="1B732AEE"/>
    <w:rsid w:val="1BE9203B"/>
    <w:rsid w:val="1C1F5D6C"/>
    <w:rsid w:val="1C225E2E"/>
    <w:rsid w:val="1C913177"/>
    <w:rsid w:val="1CA55F37"/>
    <w:rsid w:val="1CE343B6"/>
    <w:rsid w:val="1D097B94"/>
    <w:rsid w:val="1DEA3522"/>
    <w:rsid w:val="1E0008A6"/>
    <w:rsid w:val="1E2A5779"/>
    <w:rsid w:val="1E394A7B"/>
    <w:rsid w:val="1EDF6777"/>
    <w:rsid w:val="1F1703DB"/>
    <w:rsid w:val="202238EC"/>
    <w:rsid w:val="208154FB"/>
    <w:rsid w:val="211E6D91"/>
    <w:rsid w:val="21480755"/>
    <w:rsid w:val="2160043A"/>
    <w:rsid w:val="21DB60D2"/>
    <w:rsid w:val="224063E5"/>
    <w:rsid w:val="2317244A"/>
    <w:rsid w:val="23362D65"/>
    <w:rsid w:val="23BB172C"/>
    <w:rsid w:val="24175B4B"/>
    <w:rsid w:val="244C680E"/>
    <w:rsid w:val="24721A08"/>
    <w:rsid w:val="249441E7"/>
    <w:rsid w:val="24D22D07"/>
    <w:rsid w:val="25190735"/>
    <w:rsid w:val="2540611D"/>
    <w:rsid w:val="25743246"/>
    <w:rsid w:val="25865CD1"/>
    <w:rsid w:val="25B1348A"/>
    <w:rsid w:val="26125217"/>
    <w:rsid w:val="269E208E"/>
    <w:rsid w:val="26E21403"/>
    <w:rsid w:val="27651E6B"/>
    <w:rsid w:val="27914A0E"/>
    <w:rsid w:val="27951912"/>
    <w:rsid w:val="2798293F"/>
    <w:rsid w:val="27B04211"/>
    <w:rsid w:val="27C179A4"/>
    <w:rsid w:val="27E9087D"/>
    <w:rsid w:val="27F43225"/>
    <w:rsid w:val="280426FB"/>
    <w:rsid w:val="28701B39"/>
    <w:rsid w:val="28871665"/>
    <w:rsid w:val="28A44478"/>
    <w:rsid w:val="28AA222B"/>
    <w:rsid w:val="2952685F"/>
    <w:rsid w:val="29EC16DD"/>
    <w:rsid w:val="29EC6C2D"/>
    <w:rsid w:val="2A024180"/>
    <w:rsid w:val="2A165C26"/>
    <w:rsid w:val="2A7664EA"/>
    <w:rsid w:val="2A8B3997"/>
    <w:rsid w:val="2AD6777C"/>
    <w:rsid w:val="2B047A57"/>
    <w:rsid w:val="2B1E54F4"/>
    <w:rsid w:val="2BBC0D46"/>
    <w:rsid w:val="2BEF61A7"/>
    <w:rsid w:val="2C1837DA"/>
    <w:rsid w:val="2C7548FE"/>
    <w:rsid w:val="2CF90DD2"/>
    <w:rsid w:val="2D7746A6"/>
    <w:rsid w:val="2DC165D2"/>
    <w:rsid w:val="2DF52AA2"/>
    <w:rsid w:val="2E902ECB"/>
    <w:rsid w:val="2EC51979"/>
    <w:rsid w:val="2F0B317D"/>
    <w:rsid w:val="2F452CAE"/>
    <w:rsid w:val="2F7E5D1A"/>
    <w:rsid w:val="2F833C5E"/>
    <w:rsid w:val="2F904641"/>
    <w:rsid w:val="30204B81"/>
    <w:rsid w:val="30E12562"/>
    <w:rsid w:val="3146217F"/>
    <w:rsid w:val="31701B38"/>
    <w:rsid w:val="31904F39"/>
    <w:rsid w:val="31BB0EE7"/>
    <w:rsid w:val="326E58B4"/>
    <w:rsid w:val="328C29A2"/>
    <w:rsid w:val="32A13DCA"/>
    <w:rsid w:val="32A7158A"/>
    <w:rsid w:val="32B20E8F"/>
    <w:rsid w:val="330C2BF8"/>
    <w:rsid w:val="3333770A"/>
    <w:rsid w:val="33711F9A"/>
    <w:rsid w:val="337C1C26"/>
    <w:rsid w:val="33A76CCE"/>
    <w:rsid w:val="33AF6948"/>
    <w:rsid w:val="33CA3507"/>
    <w:rsid w:val="33CE53C7"/>
    <w:rsid w:val="33D11D7E"/>
    <w:rsid w:val="33F407FF"/>
    <w:rsid w:val="343203CF"/>
    <w:rsid w:val="344A16FB"/>
    <w:rsid w:val="34896C8C"/>
    <w:rsid w:val="34B65621"/>
    <w:rsid w:val="3538296D"/>
    <w:rsid w:val="35AC58BF"/>
    <w:rsid w:val="35F54101"/>
    <w:rsid w:val="360950CB"/>
    <w:rsid w:val="36511F38"/>
    <w:rsid w:val="36920209"/>
    <w:rsid w:val="378325C5"/>
    <w:rsid w:val="378944ED"/>
    <w:rsid w:val="378D640D"/>
    <w:rsid w:val="37CC0C62"/>
    <w:rsid w:val="37D77513"/>
    <w:rsid w:val="38137281"/>
    <w:rsid w:val="3825377E"/>
    <w:rsid w:val="386D1451"/>
    <w:rsid w:val="387D6E48"/>
    <w:rsid w:val="38CE1405"/>
    <w:rsid w:val="39411685"/>
    <w:rsid w:val="39C03E97"/>
    <w:rsid w:val="39C75E06"/>
    <w:rsid w:val="39F57D21"/>
    <w:rsid w:val="39F74BA5"/>
    <w:rsid w:val="3A0F33BD"/>
    <w:rsid w:val="3A175247"/>
    <w:rsid w:val="3A2B484E"/>
    <w:rsid w:val="3AB605BC"/>
    <w:rsid w:val="3B5953EB"/>
    <w:rsid w:val="3B5C7E1B"/>
    <w:rsid w:val="3B7641EF"/>
    <w:rsid w:val="3BBB7EF1"/>
    <w:rsid w:val="3C017DF2"/>
    <w:rsid w:val="3C7921E9"/>
    <w:rsid w:val="3D3305EA"/>
    <w:rsid w:val="3D5E3ABB"/>
    <w:rsid w:val="3DAE7C70"/>
    <w:rsid w:val="3DBD6105"/>
    <w:rsid w:val="3DCD2EF4"/>
    <w:rsid w:val="3E045AE2"/>
    <w:rsid w:val="3E5E70B0"/>
    <w:rsid w:val="3E7964D0"/>
    <w:rsid w:val="3EE501E4"/>
    <w:rsid w:val="3EE53571"/>
    <w:rsid w:val="3FC96FE3"/>
    <w:rsid w:val="40144AC2"/>
    <w:rsid w:val="40BC4452"/>
    <w:rsid w:val="40C50748"/>
    <w:rsid w:val="41AF7443"/>
    <w:rsid w:val="41E2613A"/>
    <w:rsid w:val="425828A0"/>
    <w:rsid w:val="42946E6E"/>
    <w:rsid w:val="42B3220B"/>
    <w:rsid w:val="42D12E06"/>
    <w:rsid w:val="43086F2D"/>
    <w:rsid w:val="432D5ADB"/>
    <w:rsid w:val="456622F0"/>
    <w:rsid w:val="45773B19"/>
    <w:rsid w:val="45A4394C"/>
    <w:rsid w:val="45AD5887"/>
    <w:rsid w:val="45CF69D6"/>
    <w:rsid w:val="45F3276F"/>
    <w:rsid w:val="46014AC2"/>
    <w:rsid w:val="46237C42"/>
    <w:rsid w:val="4634599A"/>
    <w:rsid w:val="466229CE"/>
    <w:rsid w:val="46AB2B69"/>
    <w:rsid w:val="46C44060"/>
    <w:rsid w:val="46D76F97"/>
    <w:rsid w:val="4745746A"/>
    <w:rsid w:val="480B417A"/>
    <w:rsid w:val="482374AD"/>
    <w:rsid w:val="4850740E"/>
    <w:rsid w:val="489F6B33"/>
    <w:rsid w:val="48CB3DCC"/>
    <w:rsid w:val="48D662CD"/>
    <w:rsid w:val="48E56F27"/>
    <w:rsid w:val="48ED72FF"/>
    <w:rsid w:val="490A0390"/>
    <w:rsid w:val="49CA7BE0"/>
    <w:rsid w:val="4A1D7F43"/>
    <w:rsid w:val="4A363712"/>
    <w:rsid w:val="4A9278A4"/>
    <w:rsid w:val="4A995804"/>
    <w:rsid w:val="4AB26564"/>
    <w:rsid w:val="4AF4571B"/>
    <w:rsid w:val="4B6A3F7E"/>
    <w:rsid w:val="4B6F73A0"/>
    <w:rsid w:val="4C7D0850"/>
    <w:rsid w:val="4CD0650A"/>
    <w:rsid w:val="4D3F2693"/>
    <w:rsid w:val="4D474848"/>
    <w:rsid w:val="4D6346F4"/>
    <w:rsid w:val="4D9E7C73"/>
    <w:rsid w:val="4DFA29AD"/>
    <w:rsid w:val="4E4B477D"/>
    <w:rsid w:val="4E7B019A"/>
    <w:rsid w:val="4EF43951"/>
    <w:rsid w:val="4F220E72"/>
    <w:rsid w:val="4F90060D"/>
    <w:rsid w:val="4FC03A74"/>
    <w:rsid w:val="4FC107EF"/>
    <w:rsid w:val="4FC20F88"/>
    <w:rsid w:val="4FEB08B0"/>
    <w:rsid w:val="502C045A"/>
    <w:rsid w:val="50624A15"/>
    <w:rsid w:val="50D16CFF"/>
    <w:rsid w:val="50ED6787"/>
    <w:rsid w:val="517E546A"/>
    <w:rsid w:val="51E67846"/>
    <w:rsid w:val="52126164"/>
    <w:rsid w:val="526130AB"/>
    <w:rsid w:val="52781282"/>
    <w:rsid w:val="52A6753F"/>
    <w:rsid w:val="52B76FFA"/>
    <w:rsid w:val="52C841E0"/>
    <w:rsid w:val="530A3743"/>
    <w:rsid w:val="53BE477E"/>
    <w:rsid w:val="53DF24DA"/>
    <w:rsid w:val="53E06252"/>
    <w:rsid w:val="54717E47"/>
    <w:rsid w:val="548328B3"/>
    <w:rsid w:val="54866DF9"/>
    <w:rsid w:val="54A025F8"/>
    <w:rsid w:val="54F730A8"/>
    <w:rsid w:val="55011664"/>
    <w:rsid w:val="55222AF6"/>
    <w:rsid w:val="55427A76"/>
    <w:rsid w:val="555F69C6"/>
    <w:rsid w:val="5587107B"/>
    <w:rsid w:val="559D43FA"/>
    <w:rsid w:val="55F61D5C"/>
    <w:rsid w:val="566E0F91"/>
    <w:rsid w:val="56BA722E"/>
    <w:rsid w:val="56D54068"/>
    <w:rsid w:val="57580F21"/>
    <w:rsid w:val="57684348"/>
    <w:rsid w:val="57D83E10"/>
    <w:rsid w:val="57F56770"/>
    <w:rsid w:val="58107DBF"/>
    <w:rsid w:val="58472D43"/>
    <w:rsid w:val="5877605E"/>
    <w:rsid w:val="58FE166B"/>
    <w:rsid w:val="59147184"/>
    <w:rsid w:val="595D4A48"/>
    <w:rsid w:val="597D28F2"/>
    <w:rsid w:val="598355C8"/>
    <w:rsid w:val="5A283DD0"/>
    <w:rsid w:val="5A3317E2"/>
    <w:rsid w:val="5A6000EC"/>
    <w:rsid w:val="5B977B3E"/>
    <w:rsid w:val="5C1967A5"/>
    <w:rsid w:val="5C5D0D87"/>
    <w:rsid w:val="5C8E7193"/>
    <w:rsid w:val="5CB116E0"/>
    <w:rsid w:val="5D897632"/>
    <w:rsid w:val="5E8648FF"/>
    <w:rsid w:val="5F0834E9"/>
    <w:rsid w:val="5FC73C1F"/>
    <w:rsid w:val="60286595"/>
    <w:rsid w:val="605779B1"/>
    <w:rsid w:val="6122678C"/>
    <w:rsid w:val="61686204"/>
    <w:rsid w:val="618A66AA"/>
    <w:rsid w:val="61FA0AEC"/>
    <w:rsid w:val="62446CB0"/>
    <w:rsid w:val="62491182"/>
    <w:rsid w:val="62A6338C"/>
    <w:rsid w:val="632A2BCD"/>
    <w:rsid w:val="633A3A30"/>
    <w:rsid w:val="634B7B8C"/>
    <w:rsid w:val="63A23524"/>
    <w:rsid w:val="63DF4E7B"/>
    <w:rsid w:val="640D3093"/>
    <w:rsid w:val="64A76A45"/>
    <w:rsid w:val="64C03C61"/>
    <w:rsid w:val="65744AB4"/>
    <w:rsid w:val="65917183"/>
    <w:rsid w:val="65997814"/>
    <w:rsid w:val="65EF7BF6"/>
    <w:rsid w:val="65F11F31"/>
    <w:rsid w:val="66664236"/>
    <w:rsid w:val="66B21CD0"/>
    <w:rsid w:val="66B56509"/>
    <w:rsid w:val="66E005EB"/>
    <w:rsid w:val="673B7F17"/>
    <w:rsid w:val="67A6426F"/>
    <w:rsid w:val="67B21AD1"/>
    <w:rsid w:val="67D915DC"/>
    <w:rsid w:val="68444440"/>
    <w:rsid w:val="68D4417F"/>
    <w:rsid w:val="68F23819"/>
    <w:rsid w:val="69007E07"/>
    <w:rsid w:val="69515C3A"/>
    <w:rsid w:val="69D12862"/>
    <w:rsid w:val="6A11384C"/>
    <w:rsid w:val="6A7614C5"/>
    <w:rsid w:val="6AD86CBB"/>
    <w:rsid w:val="6B1A4836"/>
    <w:rsid w:val="6B1D6173"/>
    <w:rsid w:val="6B3D0570"/>
    <w:rsid w:val="6BAE6B51"/>
    <w:rsid w:val="6BB00AA3"/>
    <w:rsid w:val="6CAB51F7"/>
    <w:rsid w:val="6CF21979"/>
    <w:rsid w:val="6CFA7F2C"/>
    <w:rsid w:val="6D4D256A"/>
    <w:rsid w:val="6D714693"/>
    <w:rsid w:val="6DA72717"/>
    <w:rsid w:val="6DBA561D"/>
    <w:rsid w:val="6DBB4806"/>
    <w:rsid w:val="6DCC7B1B"/>
    <w:rsid w:val="6E11732A"/>
    <w:rsid w:val="6E2C6FF7"/>
    <w:rsid w:val="6EB836F9"/>
    <w:rsid w:val="6F2230B4"/>
    <w:rsid w:val="6F4E52C9"/>
    <w:rsid w:val="6F632577"/>
    <w:rsid w:val="6F705BF7"/>
    <w:rsid w:val="6F90561D"/>
    <w:rsid w:val="6FEC3D89"/>
    <w:rsid w:val="70423440"/>
    <w:rsid w:val="70693F6C"/>
    <w:rsid w:val="70967F6C"/>
    <w:rsid w:val="71094BE2"/>
    <w:rsid w:val="71426395"/>
    <w:rsid w:val="71BB5EDC"/>
    <w:rsid w:val="71C32FE3"/>
    <w:rsid w:val="7269192B"/>
    <w:rsid w:val="72F53670"/>
    <w:rsid w:val="732310DD"/>
    <w:rsid w:val="73D9057D"/>
    <w:rsid w:val="73E53E19"/>
    <w:rsid w:val="74024296"/>
    <w:rsid w:val="740A57A1"/>
    <w:rsid w:val="74DB0643"/>
    <w:rsid w:val="74E40E24"/>
    <w:rsid w:val="752D668A"/>
    <w:rsid w:val="757C3BD5"/>
    <w:rsid w:val="75851341"/>
    <w:rsid w:val="75A64AC9"/>
    <w:rsid w:val="75CF01A8"/>
    <w:rsid w:val="761C2885"/>
    <w:rsid w:val="76612DCA"/>
    <w:rsid w:val="76986234"/>
    <w:rsid w:val="76D0185E"/>
    <w:rsid w:val="77894955"/>
    <w:rsid w:val="77CB129D"/>
    <w:rsid w:val="77F965DF"/>
    <w:rsid w:val="782F4AAF"/>
    <w:rsid w:val="789D0E33"/>
    <w:rsid w:val="78AF606F"/>
    <w:rsid w:val="78F55340"/>
    <w:rsid w:val="7A100D8F"/>
    <w:rsid w:val="7A160283"/>
    <w:rsid w:val="7AF31748"/>
    <w:rsid w:val="7B09510E"/>
    <w:rsid w:val="7B3D79A6"/>
    <w:rsid w:val="7B53007E"/>
    <w:rsid w:val="7B957D4E"/>
    <w:rsid w:val="7BED75DA"/>
    <w:rsid w:val="7C1B64B8"/>
    <w:rsid w:val="7C3D0B43"/>
    <w:rsid w:val="7C65462A"/>
    <w:rsid w:val="7C6745B7"/>
    <w:rsid w:val="7C983EFD"/>
    <w:rsid w:val="7CD9068C"/>
    <w:rsid w:val="7D1C3F4A"/>
    <w:rsid w:val="7D900690"/>
    <w:rsid w:val="7D922FBC"/>
    <w:rsid w:val="7DA657FF"/>
    <w:rsid w:val="7DBD5B7F"/>
    <w:rsid w:val="7E0E6C5F"/>
    <w:rsid w:val="7E434D39"/>
    <w:rsid w:val="7EC87E8B"/>
    <w:rsid w:val="7F313CA7"/>
    <w:rsid w:val="7F6A3F91"/>
    <w:rsid w:val="7F992702"/>
    <w:rsid w:val="7FC703B7"/>
    <w:rsid w:val="7FFF2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5">
    <w:name w:val="heading 7"/>
    <w:basedOn w:val="1"/>
    <w:next w:val="1"/>
    <w:autoRedefine/>
    <w:qFormat/>
    <w:uiPriority w:val="1"/>
    <w:pPr>
      <w:ind w:left="1364" w:hanging="483"/>
      <w:outlineLvl w:val="7"/>
    </w:pPr>
    <w:rPr>
      <w:rFonts w:ascii="宋体" w:hAnsi="宋体" w:eastAsia="宋体" w:cs="宋体"/>
      <w:b/>
      <w:bCs/>
      <w:sz w:val="24"/>
      <w:szCs w:val="24"/>
      <w:lang w:val="zh-CN" w:eastAsia="zh-CN" w:bidi="zh-CN"/>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autoRedefine/>
    <w:qFormat/>
    <w:uiPriority w:val="1"/>
    <w:pPr>
      <w:adjustRightInd w:val="0"/>
      <w:snapToGrid w:val="0"/>
    </w:pPr>
    <w:rPr>
      <w:rFonts w:ascii="Tahoma" w:hAnsi="Tahoma" w:eastAsia="宋体" w:cs="Times New Roman"/>
      <w:sz w:val="22"/>
      <w:szCs w:val="22"/>
      <w:lang w:val="en-US" w:eastAsia="zh-CN" w:bidi="ar-SA"/>
    </w:rPr>
  </w:style>
  <w:style w:type="paragraph" w:styleId="6">
    <w:name w:val="Normal Indent"/>
    <w:basedOn w:val="1"/>
    <w:autoRedefine/>
    <w:qFormat/>
    <w:uiPriority w:val="0"/>
    <w:pPr>
      <w:ind w:firstLine="420" w:firstLineChars="200"/>
    </w:pPr>
    <w:rPr>
      <w:rFonts w:ascii="Calibri" w:hAnsi="Calibri"/>
    </w:rPr>
  </w:style>
  <w:style w:type="paragraph" w:styleId="7">
    <w:name w:val="Body Text"/>
    <w:basedOn w:val="1"/>
    <w:next w:val="8"/>
    <w:autoRedefine/>
    <w:qFormat/>
    <w:uiPriority w:val="0"/>
    <w:pPr>
      <w:ind w:left="178"/>
    </w:pPr>
    <w:rPr>
      <w:sz w:val="22"/>
    </w:rPr>
  </w:style>
  <w:style w:type="paragraph" w:styleId="8">
    <w:name w:val="Body Text First Indent"/>
    <w:basedOn w:val="7"/>
    <w:autoRedefine/>
    <w:qFormat/>
    <w:uiPriority w:val="0"/>
    <w:pPr>
      <w:spacing w:after="120"/>
      <w:ind w:left="0" w:firstLine="420" w:firstLineChars="100"/>
    </w:pPr>
    <w:rPr>
      <w:sz w:val="21"/>
    </w:rPr>
  </w:style>
  <w:style w:type="paragraph" w:styleId="9">
    <w:name w:val="Body Text Indent"/>
    <w:basedOn w:val="1"/>
    <w:next w:val="10"/>
    <w:autoRedefine/>
    <w:qFormat/>
    <w:uiPriority w:val="0"/>
    <w:pPr>
      <w:spacing w:line="500" w:lineRule="exact"/>
      <w:ind w:left="1588" w:leftChars="832" w:firstLine="433" w:firstLineChars="196"/>
    </w:pPr>
    <w:rPr>
      <w:sz w:val="24"/>
      <w:szCs w:val="24"/>
    </w:rPr>
  </w:style>
  <w:style w:type="paragraph" w:styleId="10">
    <w:name w:val="Normal (Web)"/>
    <w:basedOn w:val="1"/>
    <w:next w:val="1"/>
    <w:autoRedefine/>
    <w:qFormat/>
    <w:uiPriority w:val="99"/>
    <w:pPr>
      <w:widowControl/>
      <w:jc w:val="left"/>
    </w:pPr>
    <w:rPr>
      <w:rFonts w:ascii="宋体" w:hAnsi="宋体"/>
      <w:kern w:val="0"/>
      <w:sz w:val="24"/>
      <w:szCs w:val="24"/>
    </w:rPr>
  </w:style>
  <w:style w:type="paragraph" w:styleId="11">
    <w:name w:val="Plain Text"/>
    <w:basedOn w:val="1"/>
    <w:autoRedefine/>
    <w:qFormat/>
    <w:uiPriority w:val="0"/>
    <w:rPr>
      <w:rFonts w:ascii="宋体" w:hAnsi="Courier New" w:cs="Times New Roman"/>
      <w:sz w:val="11"/>
      <w:szCs w:val="20"/>
    </w:rPr>
  </w:style>
  <w:style w:type="paragraph" w:styleId="12">
    <w:name w:val="Body Text Indent 2"/>
    <w:basedOn w:val="1"/>
    <w:autoRedefine/>
    <w:qFormat/>
    <w:uiPriority w:val="0"/>
    <w:pPr>
      <w:spacing w:line="360" w:lineRule="auto"/>
      <w:ind w:left="179" w:leftChars="85" w:hanging="1"/>
    </w:pPr>
    <w:rPr>
      <w:rFonts w:ascii="Times New Roman" w:hAnsi="Times New Roman" w:cs="Times New Roman"/>
      <w:b/>
      <w:sz w:val="24"/>
      <w:szCs w:val="20"/>
      <w:u w:val="single"/>
    </w:rPr>
  </w:style>
  <w:style w:type="paragraph" w:styleId="13">
    <w:name w:val="Balloon Text"/>
    <w:basedOn w:val="1"/>
    <w:link w:val="33"/>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6">
    <w:name w:val="footnote text"/>
    <w:basedOn w:val="1"/>
    <w:link w:val="38"/>
    <w:autoRedefine/>
    <w:unhideWhenUsed/>
    <w:qFormat/>
    <w:uiPriority w:val="99"/>
    <w:pPr>
      <w:snapToGrid w:val="0"/>
      <w:jc w:val="left"/>
    </w:pPr>
    <w:rPr>
      <w:rFonts w:asciiTheme="minorHAnsi" w:hAnsiTheme="minorHAnsi" w:eastAsiaTheme="minorEastAsia" w:cstheme="minorBidi"/>
      <w:sz w:val="18"/>
      <w:szCs w:val="18"/>
    </w:rPr>
  </w:style>
  <w:style w:type="paragraph" w:styleId="17">
    <w:name w:val="Body Text First Indent 2"/>
    <w:basedOn w:val="9"/>
    <w:next w:val="1"/>
    <w:autoRedefine/>
    <w:qFormat/>
    <w:uiPriority w:val="0"/>
    <w:pPr>
      <w:spacing w:after="120" w:line="240" w:lineRule="auto"/>
      <w:ind w:left="420" w:firstLine="420"/>
    </w:pPr>
    <w:rPr>
      <w:rFonts w:ascii="Times New Roman" w:hAnsi="Times New Roman" w:eastAsia="宋体"/>
      <w:color w:val="auto"/>
      <w:sz w:val="21"/>
      <w:szCs w:val="20"/>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22"/>
    <w:rPr>
      <w:b/>
      <w:bCs/>
    </w:rPr>
  </w:style>
  <w:style w:type="character" w:styleId="22">
    <w:name w:val="page number"/>
    <w:basedOn w:val="20"/>
    <w:autoRedefine/>
    <w:qFormat/>
    <w:uiPriority w:val="0"/>
  </w:style>
  <w:style w:type="character" w:styleId="23">
    <w:name w:val="Emphasis"/>
    <w:basedOn w:val="20"/>
    <w:autoRedefine/>
    <w:qFormat/>
    <w:uiPriority w:val="0"/>
    <w:rPr>
      <w:i/>
    </w:rPr>
  </w:style>
  <w:style w:type="character" w:styleId="24">
    <w:name w:val="Hyperlink"/>
    <w:basedOn w:val="20"/>
    <w:autoRedefine/>
    <w:qFormat/>
    <w:uiPriority w:val="0"/>
    <w:rPr>
      <w:color w:val="0000FF" w:themeColor="hyperlink"/>
      <w:u w:val="single"/>
      <w14:textFill>
        <w14:solidFill>
          <w14:schemeClr w14:val="hlink"/>
        </w14:solidFill>
      </w14:textFill>
    </w:rPr>
  </w:style>
  <w:style w:type="character" w:styleId="25">
    <w:name w:val="footnote reference"/>
    <w:basedOn w:val="20"/>
    <w:autoRedefine/>
    <w:unhideWhenUsed/>
    <w:qFormat/>
    <w:uiPriority w:val="99"/>
    <w:rPr>
      <w:vertAlign w:val="superscript"/>
    </w:rPr>
  </w:style>
  <w:style w:type="character" w:styleId="26">
    <w:name w:val="HTML Sample"/>
    <w:basedOn w:val="20"/>
    <w:autoRedefine/>
    <w:unhideWhenUsed/>
    <w:qFormat/>
    <w:uiPriority w:val="99"/>
    <w:rPr>
      <w:rFonts w:ascii="宋体" w:hAnsi="宋体" w:eastAsia="宋体" w:cs="宋体"/>
    </w:rPr>
  </w:style>
  <w:style w:type="paragraph" w:customStyle="1" w:styleId="27">
    <w:name w:val="Plain Text1"/>
    <w:basedOn w:val="1"/>
    <w:qFormat/>
    <w:uiPriority w:val="99"/>
    <w:rPr>
      <w:rFonts w:hAnsi="Courier New" w:cs="Courier New"/>
      <w:szCs w:val="21"/>
    </w:rPr>
  </w:style>
  <w:style w:type="paragraph" w:customStyle="1" w:styleId="28">
    <w:name w:val="Index6"/>
    <w:basedOn w:val="1"/>
    <w:next w:val="1"/>
    <w:autoRedefine/>
    <w:qFormat/>
    <w:uiPriority w:val="0"/>
    <w:pPr>
      <w:ind w:left="2100"/>
    </w:pPr>
  </w:style>
  <w:style w:type="paragraph" w:customStyle="1" w:styleId="29">
    <w:name w:val="列表段落1"/>
    <w:basedOn w:val="1"/>
    <w:autoRedefine/>
    <w:qFormat/>
    <w:uiPriority w:val="99"/>
    <w:pPr>
      <w:ind w:firstLine="420" w:firstLineChars="200"/>
    </w:pPr>
  </w:style>
  <w:style w:type="paragraph" w:customStyle="1" w:styleId="30">
    <w:name w:val="小五号正文"/>
    <w:basedOn w:val="1"/>
    <w:autoRedefine/>
    <w:qFormat/>
    <w:uiPriority w:val="0"/>
    <w:pPr>
      <w:spacing w:line="360" w:lineRule="auto"/>
    </w:pPr>
    <w:rPr>
      <w:rFonts w:ascii="宋体"/>
      <w:color w:val="000000"/>
      <w:kern w:val="21"/>
      <w:sz w:val="18"/>
      <w:szCs w:val="20"/>
    </w:rPr>
  </w:style>
  <w:style w:type="paragraph" w:customStyle="1" w:styleId="31">
    <w:name w:val="正文缩进2格"/>
    <w:basedOn w:val="1"/>
    <w:autoRedefine/>
    <w:qFormat/>
    <w:uiPriority w:val="0"/>
    <w:pPr>
      <w:spacing w:line="600" w:lineRule="exact"/>
      <w:ind w:firstLine="639" w:firstLineChars="206"/>
    </w:pPr>
    <w:rPr>
      <w:rFonts w:ascii="仿宋_GB2312" w:hAnsi="宋体" w:eastAsia="仿宋_GB2312" w:cs="Times New Roman"/>
      <w:sz w:val="31"/>
      <w:szCs w:val="28"/>
    </w:rPr>
  </w:style>
  <w:style w:type="character" w:customStyle="1" w:styleId="32">
    <w:name w:val="bookmark-item"/>
    <w:basedOn w:val="20"/>
    <w:qFormat/>
    <w:uiPriority w:val="0"/>
  </w:style>
  <w:style w:type="character" w:customStyle="1" w:styleId="33">
    <w:name w:val="批注框文本 Char"/>
    <w:basedOn w:val="20"/>
    <w:link w:val="13"/>
    <w:autoRedefine/>
    <w:qFormat/>
    <w:uiPriority w:val="0"/>
    <w:rPr>
      <w:rFonts w:cs="宋体"/>
      <w:kern w:val="2"/>
      <w:sz w:val="18"/>
      <w:szCs w:val="18"/>
    </w:rPr>
  </w:style>
  <w:style w:type="paragraph" w:customStyle="1" w:styleId="34">
    <w:name w:val="列出段落1"/>
    <w:basedOn w:val="1"/>
    <w:unhideWhenUsed/>
    <w:qFormat/>
    <w:uiPriority w:val="99"/>
    <w:pPr>
      <w:ind w:firstLine="420" w:firstLineChars="200"/>
    </w:pPr>
  </w:style>
  <w:style w:type="character" w:customStyle="1" w:styleId="35">
    <w:name w:val="标题 1 Char"/>
    <w:basedOn w:val="20"/>
    <w:link w:val="3"/>
    <w:autoRedefine/>
    <w:qFormat/>
    <w:uiPriority w:val="0"/>
    <w:rPr>
      <w:rFonts w:cs="宋体"/>
      <w:b/>
      <w:bCs/>
      <w:kern w:val="44"/>
      <w:sz w:val="44"/>
      <w:szCs w:val="44"/>
    </w:rPr>
  </w:style>
  <w:style w:type="paragraph" w:customStyle="1" w:styleId="36">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7">
    <w:name w:val="Table Paragraph"/>
    <w:basedOn w:val="1"/>
    <w:autoRedefine/>
    <w:qFormat/>
    <w:uiPriority w:val="1"/>
    <w:rPr>
      <w:rFonts w:ascii="仿宋" w:hAnsi="仿宋" w:eastAsia="仿宋" w:cs="仿宋"/>
    </w:rPr>
  </w:style>
  <w:style w:type="character" w:customStyle="1" w:styleId="38">
    <w:name w:val="脚注文本 Char"/>
    <w:basedOn w:val="20"/>
    <w:link w:val="16"/>
    <w:autoRedefine/>
    <w:qFormat/>
    <w:uiPriority w:val="99"/>
    <w:rPr>
      <w:rFonts w:asciiTheme="minorHAnsi" w:hAnsiTheme="minorHAnsi" w:eastAsiaTheme="minorEastAsia" w:cstheme="minorBidi"/>
      <w:kern w:val="2"/>
      <w:sz w:val="18"/>
      <w:szCs w:val="18"/>
    </w:rPr>
  </w:style>
  <w:style w:type="character" w:customStyle="1" w:styleId="39">
    <w:name w:val="NormalCharacter"/>
    <w:autoRedefine/>
    <w:qFormat/>
    <w:uiPriority w:val="0"/>
  </w:style>
  <w:style w:type="paragraph" w:customStyle="1" w:styleId="40">
    <w:name w:val="正文_29_3_4"/>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41">
    <w:name w:val="font31"/>
    <w:basedOn w:val="20"/>
    <w:autoRedefine/>
    <w:qFormat/>
    <w:uiPriority w:val="0"/>
    <w:rPr>
      <w:rFonts w:hint="eastAsia" w:ascii="宋体" w:hAnsi="宋体" w:eastAsia="宋体" w:cs="宋体"/>
      <w:color w:val="FF0000"/>
      <w:sz w:val="20"/>
      <w:szCs w:val="20"/>
      <w:u w:val="none"/>
    </w:rPr>
  </w:style>
  <w:style w:type="character" w:customStyle="1" w:styleId="42">
    <w:name w:val="font01"/>
    <w:basedOn w:val="20"/>
    <w:autoRedefine/>
    <w:qFormat/>
    <w:uiPriority w:val="0"/>
    <w:rPr>
      <w:rFonts w:hint="eastAsia" w:ascii="宋体" w:hAnsi="宋体" w:eastAsia="宋体" w:cs="宋体"/>
      <w:color w:val="000000"/>
      <w:sz w:val="20"/>
      <w:szCs w:val="20"/>
      <w:u w:val="none"/>
    </w:rPr>
  </w:style>
  <w:style w:type="paragraph" w:customStyle="1" w:styleId="43">
    <w:name w:val="样式 首行缩进:  2 字符"/>
    <w:basedOn w:val="1"/>
    <w:autoRedefine/>
    <w:qFormat/>
    <w:uiPriority w:val="99"/>
    <w:pPr>
      <w:ind w:firstLine="560"/>
    </w:pPr>
  </w:style>
  <w:style w:type="paragraph" w:customStyle="1" w:styleId="44">
    <w:name w:val="正文文本_1"/>
    <w:basedOn w:val="45"/>
    <w:autoRedefine/>
    <w:unhideWhenUsed/>
    <w:qFormat/>
    <w:uiPriority w:val="0"/>
    <w:pPr>
      <w:spacing w:after="120"/>
    </w:pPr>
    <w:rPr>
      <w:rFonts w:ascii="Calibri" w:hAnsi="Calibri" w:eastAsia="宋体" w:cs="Times New Roman"/>
    </w:rPr>
  </w:style>
  <w:style w:type="paragraph" w:customStyle="1" w:styleId="45">
    <w:name w:val="正文_1_0"/>
    <w:basedOn w:val="46"/>
    <w:next w:val="5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_1"/>
    <w:basedOn w:val="47"/>
    <w:autoRedefine/>
    <w:qFormat/>
    <w:uiPriority w:val="0"/>
    <w:pPr>
      <w:widowControl w:val="0"/>
      <w:jc w:val="both"/>
    </w:pPr>
    <w:rPr>
      <w:kern w:val="2"/>
      <w:sz w:val="21"/>
      <w:szCs w:val="22"/>
      <w:lang w:val="en-US" w:eastAsia="zh-CN" w:bidi="ar-SA"/>
    </w:rPr>
  </w:style>
  <w:style w:type="paragraph" w:customStyle="1" w:styleId="47">
    <w:name w:val="正文_5"/>
    <w:next w:val="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引文目录标题_0"/>
    <w:basedOn w:val="49"/>
    <w:next w:val="47"/>
    <w:autoRedefine/>
    <w:qFormat/>
    <w:uiPriority w:val="0"/>
    <w:pPr>
      <w:spacing w:before="120" w:beforeLines="0"/>
    </w:pPr>
    <w:rPr>
      <w:rFonts w:ascii="Arial" w:hAnsi="Arial"/>
      <w:sz w:val="24"/>
    </w:rPr>
  </w:style>
  <w:style w:type="paragraph" w:customStyle="1" w:styleId="49">
    <w:name w:val="正文_2_0"/>
    <w:basedOn w:val="46"/>
    <w:next w:val="48"/>
    <w:autoRedefine/>
    <w:qFormat/>
    <w:uiPriority w:val="0"/>
    <w:rPr>
      <w:rFonts w:ascii="Calibri" w:hAnsi="Calibri"/>
      <w:szCs w:val="21"/>
      <w:lang w:bidi="ug-CN"/>
    </w:rPr>
  </w:style>
  <w:style w:type="paragraph" w:customStyle="1" w:styleId="50">
    <w:name w:val="正文首行缩进1"/>
    <w:basedOn w:val="51"/>
    <w:autoRedefine/>
    <w:unhideWhenUsed/>
    <w:qFormat/>
    <w:uiPriority w:val="99"/>
    <w:pPr>
      <w:ind w:firstLine="420" w:firstLineChars="100"/>
    </w:pPr>
    <w:rPr>
      <w:szCs w:val="22"/>
    </w:rPr>
  </w:style>
  <w:style w:type="paragraph" w:customStyle="1" w:styleId="51">
    <w:name w:val="正文文本_0_0"/>
    <w:basedOn w:val="52"/>
    <w:autoRedefine/>
    <w:qFormat/>
    <w:uiPriority w:val="99"/>
    <w:rPr>
      <w:rFonts w:ascii="Calibri" w:hAnsi="Calibri" w:eastAsia="黑体"/>
      <w:kern w:val="0"/>
      <w:sz w:val="36"/>
      <w:szCs w:val="24"/>
    </w:rPr>
  </w:style>
  <w:style w:type="paragraph" w:customStyle="1" w:styleId="52">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2"/>
    <w:basedOn w:val="45"/>
    <w:next w:val="44"/>
    <w:autoRedefine/>
    <w:qFormat/>
    <w:uiPriority w:val="0"/>
    <w:pPr>
      <w:widowControl w:val="0"/>
      <w:jc w:val="both"/>
    </w:pPr>
    <w:rPr>
      <w:rFonts w:ascii="Calibri" w:hAnsi="Calibri"/>
      <w:kern w:val="2"/>
      <w:sz w:val="21"/>
      <w:szCs w:val="22"/>
      <w:lang w:val="en-US" w:eastAsia="zh-CN" w:bidi="ar-SA"/>
    </w:rPr>
  </w:style>
  <w:style w:type="paragraph" w:customStyle="1" w:styleId="55">
    <w:name w:val="正文_3"/>
    <w:next w:val="5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0"/>
    <w:basedOn w:val="57"/>
    <w:autoRedefine/>
    <w:qFormat/>
    <w:uiPriority w:val="0"/>
    <w:pPr>
      <w:spacing w:after="120"/>
    </w:pPr>
    <w:rPr>
      <w:rFonts w:ascii="Times New Roman" w:hAnsi="Times New Roman"/>
      <w:szCs w:val="24"/>
    </w:rPr>
  </w:style>
  <w:style w:type="paragraph" w:customStyle="1" w:styleId="57">
    <w:name w:val="正文_3_0_0"/>
    <w:basedOn w:val="58"/>
    <w:autoRedefine/>
    <w:qFormat/>
    <w:uiPriority w:val="0"/>
    <w:pPr>
      <w:widowControl w:val="0"/>
      <w:jc w:val="both"/>
    </w:pPr>
    <w:rPr>
      <w:rFonts w:ascii="Calibri" w:hAnsi="Calibri"/>
      <w:kern w:val="2"/>
      <w:sz w:val="21"/>
      <w:szCs w:val="22"/>
      <w:lang w:val="en-US" w:eastAsia="zh-CN" w:bidi="ar-SA"/>
    </w:rPr>
  </w:style>
  <w:style w:type="paragraph" w:customStyle="1" w:styleId="58">
    <w:name w:val="Normal"/>
    <w:next w:val="59"/>
    <w:autoRedefine/>
    <w:qFormat/>
    <w:uiPriority w:val="0"/>
    <w:rPr>
      <w:rFonts w:ascii="Times New Roman" w:hAnsi="Times New Roman" w:eastAsia="Times New Roman" w:cs="Times New Roman"/>
      <w:sz w:val="24"/>
      <w:szCs w:val="24"/>
      <w:lang w:bidi="ar-SA"/>
    </w:rPr>
  </w:style>
  <w:style w:type="paragraph" w:customStyle="1" w:styleId="59">
    <w:name w:val="Body Text"/>
    <w:basedOn w:val="58"/>
    <w:autoRedefine/>
    <w:qFormat/>
    <w:uiPriority w:val="0"/>
    <w:pPr>
      <w:spacing w:after="120"/>
    </w:pPr>
  </w:style>
  <w:style w:type="paragraph" w:customStyle="1" w:styleId="60">
    <w:name w:val="正文_1"/>
    <w:basedOn w:val="54"/>
    <w:next w:val="5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列表_0"/>
    <w:basedOn w:val="60"/>
    <w:autoRedefine/>
    <w:semiHidden/>
    <w:qFormat/>
    <w:locked/>
    <w:uiPriority w:val="0"/>
    <w:pPr>
      <w:ind w:left="200" w:hanging="200" w:hangingChars="200"/>
    </w:pPr>
  </w:style>
  <w:style w:type="paragraph" w:styleId="62">
    <w:name w:val="List Paragraph"/>
    <w:basedOn w:val="1"/>
    <w:autoRedefine/>
    <w:qFormat/>
    <w:uiPriority w:val="1"/>
    <w:pPr>
      <w:ind w:left="401" w:firstLine="480"/>
    </w:pPr>
    <w:rPr>
      <w:rFonts w:ascii="宋体" w:hAnsi="宋体" w:eastAsia="宋体" w:cs="宋体"/>
      <w:lang w:val="zh-CN" w:eastAsia="zh-CN" w:bidi="zh-CN"/>
    </w:rPr>
  </w:style>
  <w:style w:type="paragraph" w:customStyle="1" w:styleId="63">
    <w:name w:val="正文缩进1"/>
    <w:basedOn w:val="1"/>
    <w:autoRedefine/>
    <w:qFormat/>
    <w:uiPriority w:val="0"/>
    <w:pPr>
      <w:ind w:firstLine="420" w:firstLineChars="200"/>
    </w:pPr>
  </w:style>
  <w:style w:type="paragraph" w:customStyle="1" w:styleId="64">
    <w:name w:val="正文_0_1"/>
    <w:basedOn w:val="60"/>
    <w:next w:val="60"/>
    <w:autoRedefine/>
    <w:qFormat/>
    <w:uiPriority w:val="0"/>
    <w:rPr>
      <w:rFonts w:ascii="Times New Roman" w:hAnsi="Times New Roman" w:cs="Calibri"/>
      <w:szCs w:val="21"/>
      <w:lang w:bidi="ug-CN"/>
    </w:rPr>
  </w:style>
  <w:style w:type="paragraph" w:customStyle="1" w:styleId="65">
    <w:name w:val="UserStyle_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355FF-CE05-4A9C-B977-5CDC009BF7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24442</Words>
  <Characters>25408</Characters>
  <Lines>19</Lines>
  <Paragraphs>45</Paragraphs>
  <TotalTime>44</TotalTime>
  <ScaleCrop>false</ScaleCrop>
  <LinksUpToDate>false</LinksUpToDate>
  <CharactersWithSpaces>25676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2020-06-03T10:53:00Z</dcterms:created>
  <dc:creator>Administrator</dc:creator>
  <cp:lastModifiedBy>于峥</cp:lastModifiedBy>
  <cp:lastPrinted>2022-12-27T07:55:00Z</cp:lastPrinted>
  <dcterms:modified xsi:type="dcterms:W3CDTF">2024-03-22T09:23:47Z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A09DDF1F1A7B41F7802EFD44E2845DB6_13</vt:lpwstr>
  </property>
</Properties>
</file>