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hd w:val="clear" w:color="auto" w:fill="FFFFFF"/>
        <w:spacing w:line="560" w:lineRule="exact"/>
        <w:ind w:firstLine="442" w:firstLineChars="100"/>
        <w:rPr>
          <w:rFonts w:hint="eastAsia" w:ascii="黑体" w:hAnsi="黑体" w:eastAsia="黑体" w:cs="黑体"/>
          <w:b/>
          <w:bCs/>
          <w:kern w:val="2"/>
          <w:sz w:val="44"/>
          <w:szCs w:val="44"/>
          <w:lang w:val="en-US" w:eastAsia="zh-CN" w:bidi="ar-SA"/>
        </w:rPr>
      </w:pPr>
    </w:p>
    <w:p>
      <w:pPr>
        <w:bidi w:val="0"/>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乌苏市夹河子乡红房子村育苗基地建设项目竞争性磋商文件</w:t>
      </w:r>
    </w:p>
    <w:p>
      <w:pPr>
        <w:pStyle w:val="6"/>
        <w:jc w:val="center"/>
        <w:outlineLvl w:val="9"/>
        <w:rPr>
          <w:rFonts w:hint="eastAsia" w:asciiTheme="minorEastAsia" w:hAnsiTheme="minorEastAsia" w:eastAsiaTheme="minorEastAsia" w:cstheme="minorEastAsia"/>
          <w:b/>
          <w:bCs/>
          <w:sz w:val="36"/>
          <w:szCs w:val="36"/>
          <w:lang w:val="en-US" w:eastAsia="zh-CN"/>
        </w:rPr>
      </w:pPr>
    </w:p>
    <w:p>
      <w:pPr>
        <w:jc w:val="center"/>
        <w:rPr>
          <w:rFonts w:hint="default"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 xml:space="preserve"> </w:t>
      </w:r>
      <w:r>
        <w:rPr>
          <w:rFonts w:hint="eastAsia" w:ascii="黑体" w:hAnsi="黑体" w:eastAsia="黑体" w:cs="黑体"/>
          <w:b w:val="0"/>
          <w:bCs/>
          <w:color w:val="auto"/>
          <w:sz w:val="32"/>
          <w:szCs w:val="32"/>
          <w:lang w:eastAsia="zh-CN"/>
        </w:rPr>
        <w:t>项目编号：</w:t>
      </w:r>
      <w:r>
        <w:rPr>
          <w:rFonts w:hint="eastAsia" w:ascii="黑体" w:hAnsi="黑体" w:eastAsia="黑体" w:cs="黑体"/>
          <w:b w:val="0"/>
          <w:bCs/>
          <w:color w:val="auto"/>
          <w:sz w:val="32"/>
          <w:szCs w:val="32"/>
          <w:lang w:val="en-US" w:eastAsia="zh-CN"/>
        </w:rPr>
        <w:t>WSZFCG(CS)2024-010</w:t>
      </w:r>
    </w:p>
    <w:p>
      <w:pPr>
        <w:tabs>
          <w:tab w:val="left" w:pos="1134"/>
          <w:tab w:val="left" w:pos="5481"/>
          <w:tab w:val="left" w:pos="5859"/>
        </w:tabs>
        <w:jc w:val="center"/>
        <w:rPr>
          <w:rFonts w:hint="default" w:eastAsia="黑体"/>
          <w:b/>
          <w:sz w:val="36"/>
          <w:szCs w:val="36"/>
          <w:lang w:val="en-US" w:eastAsia="zh-CN"/>
        </w:rPr>
      </w:pPr>
    </w:p>
    <w:p>
      <w:pPr>
        <w:tabs>
          <w:tab w:val="left" w:pos="1134"/>
          <w:tab w:val="left" w:pos="5481"/>
          <w:tab w:val="left" w:pos="5859"/>
        </w:tabs>
        <w:jc w:val="left"/>
        <w:rPr>
          <w:rFonts w:hint="eastAsia" w:eastAsia="黑体"/>
          <w:b/>
          <w:sz w:val="21"/>
          <w:szCs w:val="21"/>
        </w:rPr>
      </w:pPr>
    </w:p>
    <w:p>
      <w:pPr>
        <w:pStyle w:val="18"/>
        <w:spacing w:line="240" w:lineRule="auto"/>
        <w:ind w:left="0" w:leftChars="0" w:firstLine="1540" w:firstLineChars="426"/>
        <w:jc w:val="left"/>
        <w:rPr>
          <w:rFonts w:hint="eastAsia" w:ascii="宋体" w:hAnsi="宋体"/>
          <w:b/>
          <w:sz w:val="36"/>
          <w:szCs w:val="36"/>
        </w:rPr>
      </w:pPr>
    </w:p>
    <w:p>
      <w:pPr>
        <w:pStyle w:val="18"/>
        <w:spacing w:line="240" w:lineRule="auto"/>
        <w:ind w:left="0" w:leftChars="0" w:firstLine="1540" w:firstLineChars="426"/>
        <w:jc w:val="left"/>
        <w:rPr>
          <w:rFonts w:hint="eastAsia" w:ascii="宋体" w:hAnsi="宋体"/>
          <w:b/>
          <w:sz w:val="36"/>
          <w:szCs w:val="36"/>
        </w:rPr>
      </w:pPr>
    </w:p>
    <w:p>
      <w:pPr>
        <w:pStyle w:val="6"/>
        <w:outlineLvl w:val="9"/>
      </w:pPr>
    </w:p>
    <w:p/>
    <w:p>
      <w:pPr>
        <w:pStyle w:val="6"/>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pStyle w:val="6"/>
        <w:rPr>
          <w:rFonts w:hint="eastAsia" w:ascii="仿宋_GB2312" w:hAnsi="仿宋_GB2312" w:eastAsia="仿宋_GB2312" w:cs="仿宋_GB2312"/>
          <w:b/>
          <w:color w:val="auto"/>
          <w:sz w:val="30"/>
          <w:szCs w:val="30"/>
        </w:rPr>
      </w:pPr>
    </w:p>
    <w:p>
      <w:pPr>
        <w:rPr>
          <w:rFonts w:hint="eastAsia" w:ascii="仿宋_GB2312" w:hAnsi="仿宋_GB2312" w:eastAsia="仿宋_GB2312" w:cs="仿宋_GB2312"/>
          <w:b/>
          <w:color w:val="auto"/>
          <w:sz w:val="30"/>
          <w:szCs w:val="30"/>
        </w:rPr>
      </w:pPr>
    </w:p>
    <w:p>
      <w:pPr>
        <w:rPr>
          <w:rFonts w:hint="eastAsia" w:ascii="仿宋_GB2312" w:hAnsi="仿宋_GB2312" w:eastAsia="仿宋_GB2312" w:cs="仿宋_GB2312"/>
          <w:b/>
          <w:color w:val="auto"/>
          <w:sz w:val="30"/>
          <w:szCs w:val="30"/>
        </w:rPr>
      </w:pPr>
    </w:p>
    <w:p>
      <w:pPr>
        <w:pStyle w:val="6"/>
        <w:rPr>
          <w:rFonts w:hint="eastAsia"/>
        </w:rPr>
      </w:pPr>
    </w:p>
    <w:p>
      <w:pPr>
        <w:rPr>
          <w:rFonts w:hint="eastAsia" w:ascii="仿宋_GB2312" w:hAnsi="仿宋_GB2312" w:eastAsia="仿宋_GB2312" w:cs="仿宋_GB2312"/>
          <w:b/>
          <w:color w:val="auto"/>
          <w:sz w:val="30"/>
          <w:szCs w:val="30"/>
        </w:rPr>
      </w:pPr>
    </w:p>
    <w:p>
      <w:pPr>
        <w:pStyle w:val="6"/>
        <w:rPr>
          <w:rFonts w:hint="eastAsia"/>
        </w:rPr>
      </w:pPr>
    </w:p>
    <w:p>
      <w:pPr>
        <w:ind w:firstLine="1807" w:firstLineChars="600"/>
        <w:rPr>
          <w:rFonts w:hint="eastAsia" w:ascii="仿宋_GB2312" w:hAnsi="仿宋_GB2312" w:eastAsia="仿宋_GB2312" w:cs="仿宋_GB2312"/>
          <w:b/>
          <w:color w:val="auto"/>
          <w:sz w:val="30"/>
          <w:szCs w:val="30"/>
        </w:rPr>
      </w:pPr>
    </w:p>
    <w:p>
      <w:pPr>
        <w:ind w:firstLine="1285" w:firstLineChars="400"/>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招 标 人：</w:t>
      </w:r>
      <w:r>
        <w:rPr>
          <w:rFonts w:hint="eastAsia" w:ascii="仿宋_GB2312" w:hAnsi="仿宋_GB2312" w:eastAsia="仿宋_GB2312" w:cs="仿宋_GB2312"/>
          <w:b/>
          <w:bCs/>
          <w:sz w:val="32"/>
          <w:szCs w:val="32"/>
          <w:lang w:val="en-US" w:eastAsia="zh-CN"/>
        </w:rPr>
        <w:t>乌苏市夹河子乡人民政府</w:t>
      </w:r>
    </w:p>
    <w:p>
      <w:pPr>
        <w:pStyle w:val="22"/>
        <w:rPr>
          <w:rFonts w:hint="eastAsia"/>
          <w:lang w:val="en-US" w:eastAsia="zh-CN"/>
        </w:rPr>
      </w:pPr>
    </w:p>
    <w:p>
      <w:pPr>
        <w:ind w:firstLine="1285" w:firstLineChars="4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color w:val="auto"/>
          <w:sz w:val="32"/>
          <w:szCs w:val="32"/>
        </w:rPr>
        <w:t>招标代理机构</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bCs/>
          <w:sz w:val="32"/>
          <w:szCs w:val="32"/>
          <w:lang w:val="en-US" w:eastAsia="zh-CN"/>
        </w:rPr>
        <w:t>乌苏市政务服务中心</w:t>
      </w:r>
    </w:p>
    <w:p>
      <w:pPr>
        <w:pStyle w:val="22"/>
        <w:rPr>
          <w:rFonts w:hint="eastAsia"/>
        </w:rPr>
      </w:pPr>
    </w:p>
    <w:p>
      <w:pPr>
        <w:ind w:firstLine="1285" w:firstLineChars="40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编制日期：</w:t>
      </w:r>
      <w:r>
        <w:rPr>
          <w:rFonts w:hint="eastAsia" w:ascii="仿宋_GB2312" w:hAnsi="仿宋_GB2312" w:eastAsia="仿宋_GB2312" w:cs="仿宋_GB2312"/>
          <w:b/>
          <w:color w:val="auto"/>
          <w:sz w:val="32"/>
          <w:szCs w:val="32"/>
          <w:lang w:val="en-US" w:eastAsia="zh-CN"/>
        </w:rPr>
        <w:t>二0二四</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eastAsia="zh-CN"/>
        </w:rPr>
        <w:t>三</w:t>
      </w:r>
      <w:r>
        <w:rPr>
          <w:rFonts w:hint="eastAsia" w:ascii="仿宋_GB2312" w:hAnsi="仿宋_GB2312" w:eastAsia="仿宋_GB2312" w:cs="仿宋_GB2312"/>
          <w:b/>
          <w:color w:val="auto"/>
          <w:sz w:val="32"/>
          <w:szCs w:val="32"/>
          <w:lang w:val="en-US" w:eastAsia="zh-CN"/>
        </w:rPr>
        <w:t>月</w:t>
      </w:r>
    </w:p>
    <w:p>
      <w:pPr>
        <w:pStyle w:val="6"/>
        <w:rPr>
          <w:rFonts w:hint="eastAsia" w:ascii="仿宋_GB2312" w:hAnsi="仿宋_GB2312" w:eastAsia="仿宋_GB2312" w:cs="仿宋_GB2312"/>
          <w:b/>
          <w:color w:val="auto"/>
          <w:sz w:val="32"/>
          <w:szCs w:val="32"/>
          <w:lang w:val="en-US" w:eastAsia="zh-CN"/>
        </w:rPr>
      </w:pPr>
    </w:p>
    <w:p>
      <w:pPr>
        <w:rPr>
          <w:rFonts w:hint="default"/>
          <w:lang w:val="en-US"/>
        </w:rPr>
      </w:pPr>
    </w:p>
    <w:p>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宋体" w:hAnsi="宋体" w:eastAsia="宋体" w:cs="宋体"/>
          <w:b/>
          <w:bCs/>
          <w:color w:val="4E4E4E"/>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21"/>
              <w:szCs w:val="21"/>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TOC \o "1-2" \h \u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_Toc28563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第一章 投标单位须知</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_Toc22395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 说明</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_Toc29558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二、磋商文件</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_Toc16947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三、响应文件的编制和数量</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_Toc11043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四、 响应文件的递交</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_Toc6803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五、竞争性磋商程序</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_Toc24424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六、授予合同</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_Toc29468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七、质疑和投诉</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_Toc15572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八、项目验收</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_Toc3809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九、适用法律</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_Toc4619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十、磋商文件的解释权</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_Toc18379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十一、其他注意事项</w:t>
          </w:r>
          <w:r>
            <w:rPr>
              <w:rFonts w:hint="eastAsia" w:ascii="宋体" w:hAnsi="宋体" w:eastAsia="宋体" w:cs="宋体"/>
              <w:bCs/>
              <w:kern w:val="2"/>
              <w:sz w:val="21"/>
              <w:szCs w:val="21"/>
              <w:lang w:val="en-US" w:eastAsia="zh-CN" w:bidi="ar-SA"/>
            </w:rPr>
            <w:fldChar w:fldCharType="end"/>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_Toc10052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第二章 工程量清单</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_Toc2423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一、工程量清单（另册）</w:t>
          </w:r>
          <w:r>
            <w:rPr>
              <w:rFonts w:hint="eastAsia" w:ascii="宋体" w:hAnsi="宋体" w:eastAsia="宋体" w:cs="宋体"/>
              <w:bCs/>
              <w:kern w:val="2"/>
              <w:sz w:val="21"/>
              <w:szCs w:val="21"/>
              <w:lang w:val="en-US" w:eastAsia="zh-CN" w:bidi="ar-SA"/>
            </w:rPr>
            <w:fldChar w:fldCharType="end"/>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_Toc14890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第三章 评审方法</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_Toc6132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一、 综合评分细则表</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_Toc10035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二、推荐中标候选人</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_Toc31160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三、确定中标单位</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_Toc13777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第四章 合同格式及合同条款草拟</w:t>
          </w:r>
          <w:r>
            <w:rPr>
              <w:rFonts w:hint="eastAsia" w:ascii="宋体" w:hAnsi="宋体" w:eastAsia="宋体" w:cs="宋体"/>
              <w:bCs/>
              <w:kern w:val="2"/>
              <w:sz w:val="21"/>
              <w:szCs w:val="21"/>
              <w:lang w:val="en-US" w:eastAsia="zh-CN" w:bidi="ar-SA"/>
            </w:rPr>
            <w:fldChar w:fldCharType="end"/>
          </w:r>
        </w:p>
        <w:p>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begin"/>
          </w:r>
          <w:r>
            <w:rPr>
              <w:rFonts w:hint="eastAsia" w:ascii="宋体" w:hAnsi="宋体" w:eastAsia="宋体" w:cs="宋体"/>
              <w:bCs/>
              <w:kern w:val="2"/>
              <w:sz w:val="21"/>
              <w:szCs w:val="21"/>
              <w:lang w:val="en-US" w:eastAsia="zh-CN" w:bidi="ar-SA"/>
            </w:rPr>
            <w:instrText xml:space="preserve"> HYPERLINK \l _Toc2362 </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第五章 竞争性磋商投标文件格式</w:t>
          </w:r>
          <w:r>
            <w:rPr>
              <w:rFonts w:hint="eastAsia" w:ascii="宋体" w:hAnsi="宋体" w:eastAsia="宋体" w:cs="宋体"/>
              <w:bCs/>
              <w:kern w:val="2"/>
              <w:sz w:val="21"/>
              <w:szCs w:val="21"/>
              <w:lang w:val="en-US" w:eastAsia="zh-CN" w:bidi="ar-SA"/>
            </w:rPr>
            <w:fldChar w:fldCharType="end"/>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fldChar w:fldCharType="end"/>
          </w:r>
          <w:r>
            <w:rPr>
              <w:rFonts w:hint="eastAsia" w:ascii="宋体" w:hAnsi="宋体" w:eastAsia="宋体" w:cs="宋体"/>
              <w:bCs/>
              <w:kern w:val="2"/>
              <w:sz w:val="21"/>
              <w:szCs w:val="21"/>
              <w:lang w:val="en-US" w:eastAsia="zh-CN" w:bidi="ar-SA"/>
            </w:rPr>
            <w:t xml:space="preserve">    一、承诺函</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二、投标函及投标函附录</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三、已标价工程量清单</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四、技术标投标格式</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五、项目管理机构</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六、资格审查资料</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七、近三年（2021年1月以后）项目业绩表</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八、商务条款偏离表</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九、服务需求偏离表</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十、供应商情况表</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十一、关于资格的声明函</w:t>
          </w:r>
        </w:p>
        <w:p>
          <w:pPr>
            <w:pStyle w:val="27"/>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十二、投标人认为需要提供的其他资料</w:t>
          </w: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9"/>
            <w:rPr>
              <w:rFonts w:hint="eastAsia" w:ascii="宋体" w:hAnsi="宋体" w:eastAsia="宋体" w:cs="宋体"/>
              <w:b/>
              <w:bCs/>
              <w:color w:val="4E4E4E"/>
              <w:sz w:val="21"/>
              <w:szCs w:val="21"/>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sdtContent>
    </w:sdt>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乌苏市夹河子乡红房子村育苗基地建设项目</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竞争性磋商公告</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项目名称</w:t>
      </w:r>
      <w:r>
        <w:rPr>
          <w:rFonts w:hint="eastAsia" w:ascii="仿宋" w:hAnsi="仿宋" w:eastAsia="仿宋" w:cs="仿宋"/>
          <w:color w:val="auto"/>
          <w:sz w:val="24"/>
          <w:szCs w:val="24"/>
          <w:lang w:val="en-US" w:eastAsia="zh-CN"/>
        </w:rPr>
        <w:t>：乌苏市夹河子乡红房子村育苗基地建设项目</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二、项目编号</w:t>
      </w:r>
      <w:r>
        <w:rPr>
          <w:rFonts w:hint="eastAsia" w:ascii="仿宋" w:hAnsi="仿宋" w:eastAsia="仿宋" w:cs="仿宋"/>
          <w:color w:val="auto"/>
          <w:sz w:val="24"/>
          <w:szCs w:val="24"/>
          <w:lang w:val="en-US" w:eastAsia="zh-CN"/>
        </w:rPr>
        <w:t>：WSZFCG(CS)2024-010</w:t>
      </w:r>
    </w:p>
    <w:p>
      <w:pPr>
        <w:keepNext w:val="0"/>
        <w:keepLines w:val="0"/>
        <w:pageBreakBefore w:val="0"/>
        <w:widowControl/>
        <w:kinsoku/>
        <w:wordWrap/>
        <w:overflowPunct/>
        <w:topLinePunct w:val="0"/>
        <w:autoSpaceDE/>
        <w:autoSpaceDN/>
        <w:bidi w:val="0"/>
        <w:adjustRightInd/>
        <w:snapToGrid w:val="0"/>
        <w:spacing w:after="0" w:line="560" w:lineRule="exact"/>
        <w:ind w:firstLine="482"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三、采购内容</w:t>
      </w:r>
      <w:r>
        <w:rPr>
          <w:rFonts w:hint="eastAsia" w:ascii="仿宋" w:hAnsi="仿宋" w:eastAsia="仿宋" w:cs="仿宋"/>
          <w:color w:val="auto"/>
          <w:sz w:val="24"/>
          <w:szCs w:val="24"/>
          <w:lang w:val="en-US" w:eastAsia="zh-CN"/>
        </w:rPr>
        <w:t>：新建育苗大棚14座及配套附属工程（具体详见施工图及工程量清单）。</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四、项目预算</w:t>
      </w:r>
      <w:r>
        <w:rPr>
          <w:rFonts w:hint="eastAsia" w:ascii="仿宋" w:hAnsi="仿宋" w:eastAsia="仿宋" w:cs="仿宋"/>
          <w:color w:val="auto"/>
          <w:sz w:val="24"/>
          <w:szCs w:val="24"/>
          <w:lang w:val="en-US" w:eastAsia="zh-CN"/>
        </w:rPr>
        <w:t>：人民币3641500.00元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五、供应商资格要求</w:t>
      </w:r>
      <w:r>
        <w:rPr>
          <w:rFonts w:hint="eastAsia" w:ascii="仿宋" w:hAnsi="仿宋" w:eastAsia="仿宋" w:cs="仿宋"/>
          <w:color w:val="auto"/>
          <w:sz w:val="24"/>
          <w:szCs w:val="24"/>
          <w:lang w:val="en-US"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（2）供应商必须是中华人民共和国境内注册的，且为中小企业；</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（3）建筑工程施工总承包三级及以上资质；具备施工企业安全生产许可证件；</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（4）工程项目负责人具备建筑工程二级及以上执业资格，具备有效的安全生产考核合格证书；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tl w:val="0"/>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（7）其他说明：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（8）本项目不接受联合体。</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i w:val="0"/>
          <w:iCs w:val="0"/>
          <w:sz w:val="24"/>
          <w:szCs w:val="24"/>
          <w:lang w:val="en-US" w:eastAsia="zh-CN"/>
        </w:rPr>
        <w:t>六、获取文件时间</w:t>
      </w:r>
      <w:r>
        <w:rPr>
          <w:rFonts w:hint="eastAsia" w:ascii="仿宋" w:hAnsi="仿宋" w:eastAsia="仿宋" w:cs="仿宋"/>
          <w:sz w:val="24"/>
          <w:szCs w:val="24"/>
          <w:lang w:val="en-US" w:eastAsia="zh-CN"/>
        </w:rPr>
        <w:t>：</w:t>
      </w:r>
      <w:r>
        <w:rPr>
          <w:rFonts w:hint="eastAsia" w:ascii="仿宋" w:hAnsi="仿宋" w:eastAsia="仿宋" w:cs="仿宋"/>
          <w:color w:val="FF0000"/>
          <w:sz w:val="24"/>
          <w:szCs w:val="24"/>
          <w:lang w:val="en-US" w:eastAsia="zh-CN"/>
        </w:rPr>
        <w:t>2024年3月27日至2024年4月3日</w:t>
      </w:r>
      <w:r>
        <w:rPr>
          <w:rFonts w:hint="eastAsia" w:ascii="仿宋" w:hAnsi="仿宋" w:eastAsia="仿宋" w:cs="仿宋"/>
          <w:color w:val="000000" w:themeColor="text1"/>
          <w:sz w:val="24"/>
          <w:szCs w:val="24"/>
          <w:lang w:val="en-US" w:eastAsia="zh-CN"/>
          <w14:textFill>
            <w14:solidFill>
              <w14:schemeClr w14:val="tx1"/>
            </w14:solidFill>
          </w14:textFill>
        </w:rPr>
        <w:t>每天00:00-12:00，12:00-23:59（北京时间，法定节假日除外）。</w:t>
      </w:r>
      <w:bookmarkStart w:id="303" w:name="_GoBack"/>
      <w:bookmarkEnd w:id="303"/>
    </w:p>
    <w:p>
      <w:pPr>
        <w:pStyle w:val="35"/>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获取文件地址：政采云平台https://zcygov.cn/</w:t>
      </w:r>
    </w:p>
    <w:p>
      <w:pPr>
        <w:pStyle w:val="35"/>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获取文件方式：供应商登录政采云平台https://zcygov.cn/在线申请获取采购文件（进入“项目采购”应用，在获取采购文件菜单中选择项目，申请获取采购文件）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有关本次项目采购的事项若存在变动或修改，敬请及时关注“新疆政府采购网”发布的信息更正公告。</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七、磋商文件售价</w:t>
      </w:r>
      <w:r>
        <w:rPr>
          <w:rFonts w:hint="eastAsia" w:ascii="仿宋" w:hAnsi="仿宋" w:eastAsia="仿宋" w:cs="仿宋"/>
          <w:sz w:val="24"/>
          <w:szCs w:val="24"/>
          <w:lang w:val="en-US" w:eastAsia="zh-CN"/>
        </w:rPr>
        <w:t>：0</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i w:val="0"/>
          <w:iCs w:val="0"/>
          <w:color w:val="auto"/>
          <w:sz w:val="24"/>
          <w:szCs w:val="24"/>
          <w:lang w:val="en-US" w:eastAsia="zh-CN"/>
        </w:rPr>
        <w:t>八、响应文件递交截止时间及磋商时</w:t>
      </w:r>
      <w:r>
        <w:rPr>
          <w:rFonts w:hint="eastAsia" w:ascii="仿宋" w:hAnsi="仿宋" w:eastAsia="仿宋" w:cs="仿宋"/>
          <w:b/>
          <w:bCs/>
          <w:i w:val="0"/>
          <w:iCs w:val="0"/>
          <w:kern w:val="2"/>
          <w:sz w:val="24"/>
          <w:szCs w:val="24"/>
          <w:lang w:val="en-US" w:eastAsia="zh-CN" w:bidi="ar-SA"/>
        </w:rPr>
        <w:t>间</w:t>
      </w:r>
      <w:r>
        <w:rPr>
          <w:rFonts w:hint="eastAsia" w:ascii="仿宋" w:hAnsi="仿宋" w:eastAsia="仿宋" w:cs="仿宋"/>
          <w:kern w:val="2"/>
          <w:sz w:val="24"/>
          <w:szCs w:val="24"/>
          <w:lang w:val="en-US" w:eastAsia="zh-CN" w:bidi="ar-SA"/>
        </w:rPr>
        <w:t>：</w:t>
      </w:r>
      <w:r>
        <w:rPr>
          <w:rFonts w:hint="eastAsia" w:ascii="仿宋" w:hAnsi="仿宋" w:eastAsia="仿宋" w:cs="仿宋"/>
          <w:color w:val="FF0000"/>
          <w:kern w:val="2"/>
          <w:sz w:val="24"/>
          <w:szCs w:val="24"/>
          <w:lang w:val="en-US" w:eastAsia="zh-CN" w:bidi="ar-SA"/>
        </w:rPr>
        <w:t>2024年4月7日16时30分</w:t>
      </w:r>
      <w:r>
        <w:rPr>
          <w:rFonts w:hint="eastAsia" w:ascii="仿宋" w:hAnsi="仿宋" w:eastAsia="仿宋" w:cs="仿宋"/>
          <w:kern w:val="2"/>
          <w:sz w:val="24"/>
          <w:szCs w:val="24"/>
          <w:lang w:val="en-US" w:eastAsia="zh-CN" w:bidi="ar-SA"/>
        </w:rPr>
        <w:t>（北</w:t>
      </w:r>
      <w:r>
        <w:rPr>
          <w:rFonts w:hint="eastAsia" w:ascii="仿宋" w:hAnsi="仿宋" w:eastAsia="仿宋" w:cs="仿宋"/>
          <w:color w:val="auto"/>
          <w:sz w:val="24"/>
          <w:szCs w:val="24"/>
          <w:lang w:val="en-US" w:eastAsia="zh-CN"/>
        </w:rPr>
        <w:t>京时间）</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九、磋商地点</w:t>
      </w:r>
      <w:r>
        <w:rPr>
          <w:rFonts w:hint="eastAsia" w:ascii="仿宋" w:hAnsi="仿宋" w:eastAsia="仿宋" w:cs="仿宋"/>
          <w:sz w:val="24"/>
          <w:szCs w:val="24"/>
          <w:lang w:val="en-US" w:eastAsia="zh-CN"/>
        </w:rPr>
        <w:t>: 政采云平台https://zcygov.cn/</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十、采 购 人</w:t>
      </w:r>
      <w:r>
        <w:rPr>
          <w:rFonts w:hint="eastAsia" w:ascii="仿宋" w:hAnsi="仿宋" w:eastAsia="仿宋" w:cs="仿宋"/>
          <w:sz w:val="24"/>
          <w:szCs w:val="24"/>
          <w:lang w:val="en-US" w:eastAsia="zh-CN"/>
        </w:rPr>
        <w:t>：乌苏市夹河子乡人民政府</w:t>
      </w:r>
    </w:p>
    <w:p>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 陈江</w:t>
      </w:r>
    </w:p>
    <w:p>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联系电话：15894066544</w:t>
      </w:r>
    </w:p>
    <w:p>
      <w:pPr>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采购人地址：乌苏市夹河子乡人民政府</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val="0"/>
          <w:iCs w:val="0"/>
          <w:sz w:val="24"/>
          <w:szCs w:val="24"/>
          <w:lang w:val="en-US" w:eastAsia="zh-CN"/>
        </w:rPr>
        <w:t>十一、采购代理机构</w:t>
      </w:r>
      <w:r>
        <w:rPr>
          <w:rFonts w:hint="eastAsia" w:ascii="仿宋" w:hAnsi="仿宋" w:eastAsia="仿宋" w:cs="仿宋"/>
          <w:sz w:val="24"/>
          <w:szCs w:val="24"/>
          <w:lang w:val="en-US" w:eastAsia="zh-CN"/>
        </w:rPr>
        <w:t>：乌苏市政务服务中心</w:t>
      </w:r>
    </w:p>
    <w:p>
      <w:pPr>
        <w:keepNext w:val="0"/>
        <w:keepLines w:val="0"/>
        <w:pageBreakBefore w:val="0"/>
        <w:widowControl/>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联系电话：0992-8507872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乌苏市政务服务中心</w:t>
      </w:r>
    </w:p>
    <w:p>
      <w:pPr>
        <w:pStyle w:val="6"/>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b w:val="0"/>
          <w:color w:val="auto"/>
          <w:kern w:val="2"/>
          <w:sz w:val="24"/>
          <w:szCs w:val="24"/>
          <w:lang w:val="en-US" w:eastAsia="zh-CN" w:bidi="ar-SA"/>
        </w:rPr>
        <w:t>2024年3月25日</w:t>
      </w:r>
    </w:p>
    <w:p>
      <w:pPr>
        <w:rPr>
          <w:rFonts w:hint="eastAsia" w:ascii="仿宋" w:hAnsi="仿宋" w:eastAsia="仿宋" w:cs="仿宋"/>
          <w:b w:val="0"/>
          <w:color w:val="auto"/>
          <w:kern w:val="2"/>
          <w:sz w:val="24"/>
          <w:szCs w:val="24"/>
          <w:lang w:val="en-US" w:eastAsia="zh-CN" w:bidi="ar-SA"/>
        </w:rPr>
      </w:pPr>
    </w:p>
    <w:p>
      <w:pPr>
        <w:pStyle w:val="22"/>
        <w:rPr>
          <w:rFonts w:hint="eastAsia" w:ascii="仿宋" w:hAnsi="仿宋" w:eastAsia="仿宋" w:cs="仿宋"/>
          <w:b w:val="0"/>
          <w:color w:val="auto"/>
          <w:kern w:val="2"/>
          <w:sz w:val="24"/>
          <w:szCs w:val="24"/>
          <w:lang w:val="en-US" w:eastAsia="zh-CN" w:bidi="ar-SA"/>
        </w:rPr>
      </w:pPr>
    </w:p>
    <w:p>
      <w:pPr>
        <w:pStyle w:val="3"/>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24"/>
          <w:szCs w:val="24"/>
          <w:highlight w:val="none"/>
          <w:u w:val="none"/>
          <w:lang w:val="en-US" w:eastAsia="zh-CN" w:bidi="ar-SA"/>
        </w:rPr>
      </w:pPr>
      <w:bookmarkStart w:id="2" w:name="_Toc2939"/>
      <w:bookmarkStart w:id="3" w:name="_Toc28563"/>
      <w:r>
        <w:rPr>
          <w:rFonts w:hint="eastAsia" w:ascii="仿宋" w:hAnsi="仿宋" w:eastAsia="仿宋" w:cs="仿宋"/>
          <w:b/>
          <w:bCs/>
          <w:color w:val="000000"/>
          <w:kern w:val="2"/>
          <w:sz w:val="32"/>
          <w:szCs w:val="32"/>
          <w:highlight w:val="none"/>
          <w:u w:val="none"/>
          <w:lang w:val="en-US" w:eastAsia="zh-CN" w:bidi="ar-SA"/>
        </w:rPr>
        <w:t>第一章 投标单位须知</w:t>
      </w:r>
      <w:bookmarkEnd w:id="0"/>
      <w:bookmarkEnd w:id="2"/>
      <w:bookmarkEnd w:id="3"/>
      <w:bookmarkStart w:id="4" w:name="_Toc14063"/>
      <w:bookmarkStart w:id="5" w:name="_Toc21720"/>
    </w:p>
    <w:p>
      <w:pPr>
        <w:pStyle w:val="3"/>
        <w:keepNext/>
        <w:keepLines/>
        <w:pageBreakBefore w:val="0"/>
        <w:widowControl w:val="0"/>
        <w:numPr>
          <w:ilvl w:val="0"/>
          <w:numId w:val="0"/>
        </w:numPr>
        <w:tabs>
          <w:tab w:val="left" w:pos="3990"/>
        </w:tabs>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000000"/>
          <w:kern w:val="2"/>
          <w:sz w:val="24"/>
          <w:szCs w:val="24"/>
          <w:highlight w:val="none"/>
          <w:u w:val="none"/>
          <w:lang w:val="en-US" w:eastAsia="zh-CN" w:bidi="ar-SA"/>
        </w:rPr>
      </w:pPr>
      <w:bookmarkStart w:id="6" w:name="_Toc22101"/>
      <w:r>
        <w:rPr>
          <w:rFonts w:hint="eastAsia" w:ascii="仿宋" w:hAnsi="仿宋" w:eastAsia="仿宋" w:cs="仿宋"/>
          <w:b/>
          <w:bCs/>
          <w:color w:val="000000"/>
          <w:kern w:val="2"/>
          <w:sz w:val="24"/>
          <w:szCs w:val="24"/>
          <w:highlight w:val="none"/>
          <w:u w:val="none"/>
          <w:lang w:val="en-US" w:eastAsia="zh-CN" w:bidi="ar-SA"/>
        </w:rPr>
        <w:t>投标单位须知前附表</w:t>
      </w:r>
      <w:bookmarkEnd w:id="4"/>
      <w:bookmarkEnd w:id="5"/>
      <w:bookmarkEnd w:id="6"/>
    </w:p>
    <w:tbl>
      <w:tblPr>
        <w:tblStyle w:val="36"/>
        <w:tblW w:w="8958"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7"/>
        <w:gridCol w:w="1607"/>
        <w:gridCol w:w="63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blHeader/>
        </w:trPr>
        <w:tc>
          <w:tcPr>
            <w:tcW w:w="957"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序列号</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条款名称</w:t>
            </w:r>
          </w:p>
        </w:tc>
        <w:tc>
          <w:tcPr>
            <w:tcW w:w="6394"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项目名称</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乌苏市夹河子乡红房子村育苗基地建设项目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60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招标人</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名  称：乌苏市夹河子乡人民政府</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联系人：陈江</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联系电话：15894066544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招标代理机构</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名  称：乌苏市政务服务中心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地  址：乌苏市温州路248号政务服务中心三楼</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工程规模</w:t>
            </w:r>
          </w:p>
          <w:p>
            <w:pPr>
              <w:bidi w:val="0"/>
              <w:jc w:val="center"/>
              <w:rPr>
                <w:rFonts w:hint="eastAsia" w:ascii="仿宋" w:hAnsi="仿宋" w:eastAsia="仿宋" w:cs="仿宋"/>
                <w:lang w:val="en-US" w:eastAsia="zh-CN"/>
              </w:rPr>
            </w:pPr>
            <w:r>
              <w:rPr>
                <w:rFonts w:hint="eastAsia" w:ascii="仿宋" w:hAnsi="仿宋" w:eastAsia="仿宋" w:cs="仿宋"/>
                <w:lang w:val="en-US" w:eastAsia="zh-CN"/>
              </w:rPr>
              <w:t>招标范围</w:t>
            </w:r>
          </w:p>
        </w:tc>
        <w:tc>
          <w:tcPr>
            <w:tcW w:w="639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4"/>
                <w:szCs w:val="24"/>
                <w:lang w:val="en-US" w:eastAsia="zh-CN"/>
              </w:rPr>
              <w:t>新建育苗大棚14座及配套附属工程</w:t>
            </w:r>
            <w:r>
              <w:rPr>
                <w:rFonts w:hint="eastAsia" w:ascii="仿宋" w:hAnsi="仿宋" w:eastAsia="仿宋" w:cs="仿宋"/>
                <w:color w:val="auto"/>
                <w:kern w:val="2"/>
                <w:sz w:val="21"/>
                <w:szCs w:val="21"/>
                <w:lang w:val="en-US" w:eastAsia="zh-CN" w:bidi="ar-SA"/>
              </w:rPr>
              <w:t>（具体详见施工图及工程量清单）。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招标控制价</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zh-CN" w:eastAsia="zh-CN" w:bidi="ar-SA"/>
              </w:rPr>
            </w:pPr>
            <w:r>
              <w:rPr>
                <w:rFonts w:hint="eastAsia" w:ascii="仿宋" w:hAnsi="仿宋" w:eastAsia="仿宋" w:cs="仿宋"/>
                <w:color w:val="auto"/>
                <w:kern w:val="2"/>
                <w:sz w:val="21"/>
                <w:szCs w:val="21"/>
                <w:lang w:val="zh-CN" w:eastAsia="zh-CN" w:bidi="ar-SA"/>
              </w:rPr>
              <w:t>金额（小写）：</w:t>
            </w:r>
            <w:r>
              <w:rPr>
                <w:rFonts w:hint="eastAsia" w:ascii="仿宋" w:hAnsi="仿宋" w:eastAsia="仿宋" w:cs="仿宋"/>
                <w:color w:val="auto"/>
                <w:kern w:val="2"/>
                <w:sz w:val="21"/>
                <w:szCs w:val="21"/>
                <w:lang w:val="en-US" w:eastAsia="zh-CN" w:bidi="ar-SA"/>
              </w:rPr>
              <w:t>3639376.52</w:t>
            </w:r>
            <w:r>
              <w:rPr>
                <w:rFonts w:hint="eastAsia" w:ascii="仿宋" w:hAnsi="仿宋" w:eastAsia="仿宋" w:cs="仿宋"/>
                <w:color w:val="auto"/>
                <w:sz w:val="21"/>
                <w:szCs w:val="21"/>
                <w:lang w:val="en-US" w:eastAsia="zh-CN"/>
              </w:rPr>
              <w:t>元</w:t>
            </w:r>
            <w:r>
              <w:rPr>
                <w:rFonts w:hint="eastAsia" w:ascii="仿宋" w:hAnsi="仿宋" w:eastAsia="仿宋" w:cs="仿宋"/>
                <w:color w:val="auto"/>
                <w:kern w:val="2"/>
                <w:sz w:val="21"/>
                <w:szCs w:val="21"/>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zh-CN" w:eastAsia="zh-CN" w:bidi="ar-SA"/>
              </w:rPr>
              <w:t>金额（大写）：叁佰</w:t>
            </w:r>
            <w:r>
              <w:rPr>
                <w:rFonts w:hint="eastAsia" w:ascii="仿宋" w:hAnsi="仿宋" w:eastAsia="仿宋" w:cs="仿宋"/>
                <w:color w:val="auto"/>
                <w:kern w:val="2"/>
                <w:sz w:val="21"/>
                <w:szCs w:val="21"/>
                <w:lang w:val="en-US" w:eastAsia="zh-CN" w:bidi="ar-SA"/>
              </w:rPr>
              <w:t>陆</w:t>
            </w:r>
            <w:r>
              <w:rPr>
                <w:rFonts w:hint="eastAsia" w:ascii="仿宋" w:hAnsi="仿宋" w:eastAsia="仿宋" w:cs="仿宋"/>
                <w:color w:val="auto"/>
                <w:kern w:val="2"/>
                <w:sz w:val="21"/>
                <w:szCs w:val="21"/>
                <w:lang w:val="zh-CN" w:eastAsia="zh-CN" w:bidi="ar-SA"/>
              </w:rPr>
              <w:t>拾</w:t>
            </w:r>
            <w:r>
              <w:rPr>
                <w:rFonts w:hint="eastAsia" w:ascii="仿宋" w:hAnsi="仿宋" w:eastAsia="仿宋" w:cs="仿宋"/>
                <w:color w:val="auto"/>
                <w:kern w:val="2"/>
                <w:sz w:val="21"/>
                <w:szCs w:val="21"/>
                <w:lang w:val="en-US" w:eastAsia="zh-CN" w:bidi="ar-SA"/>
              </w:rPr>
              <w:t>叁</w:t>
            </w:r>
            <w:r>
              <w:rPr>
                <w:rFonts w:hint="eastAsia" w:ascii="仿宋" w:hAnsi="仿宋" w:eastAsia="仿宋" w:cs="仿宋"/>
                <w:color w:val="auto"/>
                <w:kern w:val="2"/>
                <w:sz w:val="21"/>
                <w:szCs w:val="21"/>
                <w:lang w:val="zh-CN" w:eastAsia="zh-CN" w:bidi="ar-SA"/>
              </w:rPr>
              <w:t>万玖仟叁佰</w:t>
            </w:r>
            <w:r>
              <w:rPr>
                <w:rFonts w:hint="eastAsia" w:ascii="仿宋" w:hAnsi="仿宋" w:eastAsia="仿宋" w:cs="仿宋"/>
                <w:color w:val="auto"/>
                <w:kern w:val="2"/>
                <w:sz w:val="21"/>
                <w:szCs w:val="21"/>
                <w:lang w:val="en-US" w:eastAsia="zh-CN" w:bidi="ar-SA"/>
              </w:rPr>
              <w:t>柒</w:t>
            </w:r>
            <w:r>
              <w:rPr>
                <w:rFonts w:hint="eastAsia" w:ascii="仿宋" w:hAnsi="仿宋" w:eastAsia="仿宋" w:cs="仿宋"/>
                <w:color w:val="auto"/>
                <w:kern w:val="2"/>
                <w:sz w:val="21"/>
                <w:szCs w:val="21"/>
                <w:lang w:val="zh-CN" w:eastAsia="zh-CN" w:bidi="ar-SA"/>
              </w:rPr>
              <w:t>拾</w:t>
            </w:r>
            <w:r>
              <w:rPr>
                <w:rFonts w:hint="eastAsia" w:ascii="仿宋" w:hAnsi="仿宋" w:eastAsia="仿宋" w:cs="仿宋"/>
                <w:color w:val="auto"/>
                <w:kern w:val="2"/>
                <w:sz w:val="21"/>
                <w:szCs w:val="21"/>
                <w:lang w:val="en-US" w:eastAsia="zh-CN" w:bidi="ar-SA"/>
              </w:rPr>
              <w:t>陆</w:t>
            </w:r>
            <w:r>
              <w:rPr>
                <w:rFonts w:hint="eastAsia" w:ascii="仿宋" w:hAnsi="仿宋" w:eastAsia="仿宋" w:cs="仿宋"/>
                <w:color w:val="auto"/>
                <w:kern w:val="2"/>
                <w:sz w:val="21"/>
                <w:szCs w:val="21"/>
                <w:lang w:val="zh-CN" w:eastAsia="zh-CN" w:bidi="ar-SA"/>
              </w:rPr>
              <w:t>元</w:t>
            </w:r>
            <w:r>
              <w:rPr>
                <w:rFonts w:hint="eastAsia" w:ascii="仿宋" w:hAnsi="仿宋" w:eastAsia="仿宋" w:cs="仿宋"/>
                <w:color w:val="auto"/>
                <w:kern w:val="2"/>
                <w:sz w:val="21"/>
                <w:szCs w:val="21"/>
                <w:lang w:val="en-US" w:eastAsia="zh-CN" w:bidi="ar-SA"/>
              </w:rPr>
              <w:t>伍</w:t>
            </w:r>
            <w:r>
              <w:rPr>
                <w:rFonts w:hint="eastAsia" w:ascii="仿宋" w:hAnsi="仿宋" w:eastAsia="仿宋" w:cs="仿宋"/>
                <w:color w:val="auto"/>
                <w:kern w:val="2"/>
                <w:sz w:val="21"/>
                <w:szCs w:val="21"/>
                <w:lang w:val="zh-CN" w:eastAsia="zh-CN" w:bidi="ar-SA"/>
              </w:rPr>
              <w:t>角贰分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5"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投标单位资格条件</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（2）供应商必须是中华人民共和国境内注册的，且为中小企业；</w:t>
            </w:r>
          </w:p>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（3）供应商具备</w:t>
            </w:r>
            <w:r>
              <w:rPr>
                <w:rFonts w:hint="eastAsia" w:ascii="仿宋" w:hAnsi="仿宋" w:eastAsia="仿宋" w:cs="仿宋"/>
                <w:color w:val="auto"/>
                <w:sz w:val="21"/>
                <w:szCs w:val="21"/>
                <w:lang w:val="en-US" w:eastAsia="zh-CN"/>
              </w:rPr>
              <w:t>建筑工程</w:t>
            </w:r>
            <w:r>
              <w:rPr>
                <w:rFonts w:hint="eastAsia" w:ascii="仿宋" w:hAnsi="仿宋" w:eastAsia="仿宋" w:cs="仿宋"/>
                <w:color w:val="auto"/>
                <w:kern w:val="2"/>
                <w:sz w:val="21"/>
                <w:szCs w:val="21"/>
                <w:lang w:val="en-US" w:eastAsia="zh-CN" w:bidi="ar-SA"/>
              </w:rPr>
              <w:t>施工总承包三级及以上资质；具备施工企业安全生产许可证件；</w:t>
            </w:r>
          </w:p>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（4）工程项目负责人具备</w:t>
            </w:r>
            <w:r>
              <w:rPr>
                <w:rFonts w:hint="eastAsia" w:ascii="仿宋" w:hAnsi="仿宋" w:eastAsia="仿宋" w:cs="仿宋"/>
                <w:color w:val="auto"/>
                <w:sz w:val="21"/>
                <w:szCs w:val="21"/>
                <w:lang w:val="en-US" w:eastAsia="zh-CN"/>
              </w:rPr>
              <w:t>建筑</w:t>
            </w:r>
            <w:r>
              <w:rPr>
                <w:rFonts w:hint="eastAsia" w:ascii="仿宋" w:hAnsi="仿宋" w:eastAsia="仿宋" w:cs="仿宋"/>
                <w:color w:val="auto"/>
                <w:kern w:val="2"/>
                <w:sz w:val="21"/>
                <w:szCs w:val="21"/>
                <w:lang w:val="en-US" w:eastAsia="zh-CN" w:bidi="ar-SA"/>
              </w:rPr>
              <w:t>工程二级及以上执业资格，具备有效的安全生产考核合格证书，</w:t>
            </w:r>
          </w:p>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rtl w:val="0"/>
                <w:lang w:val="en-US" w:eastAsia="zh-CN" w:bidi="ar-SA"/>
              </w:rPr>
            </w:pPr>
            <w:r>
              <w:rPr>
                <w:rFonts w:hint="eastAsia" w:ascii="仿宋" w:hAnsi="仿宋" w:eastAsia="仿宋" w:cs="仿宋"/>
                <w:color w:val="auto"/>
                <w:kern w:val="2"/>
                <w:sz w:val="21"/>
                <w:szCs w:val="21"/>
                <w:lang w:val="en-US" w:eastAsia="zh-CN" w:bidi="ar-SA"/>
              </w:rPr>
              <w:t>（5）</w:t>
            </w:r>
            <w:r>
              <w:rPr>
                <w:rFonts w:hint="eastAsia" w:ascii="仿宋" w:hAnsi="仿宋" w:eastAsia="仿宋" w:cs="仿宋"/>
                <w:color w:val="auto"/>
                <w:kern w:val="2"/>
                <w:sz w:val="21"/>
                <w:szCs w:val="21"/>
                <w:rtl w:val="0"/>
                <w:lang w:val="en-US" w:eastAsia="zh-CN" w:bidi="ar-SA"/>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（8）本项目不接受联合体。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联合体投标</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备选方案</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响应文件递交截止时间</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FF0000"/>
                <w:kern w:val="2"/>
                <w:sz w:val="21"/>
                <w:szCs w:val="21"/>
                <w:highlight w:val="none"/>
                <w:lang w:val="en-US" w:eastAsia="zh-CN" w:bidi="ar-SA"/>
              </w:rPr>
              <w:t>2024年4月7日16：30（北京时间）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7"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磋商时间、地点</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磋商时间：</w:t>
            </w:r>
            <w:r>
              <w:rPr>
                <w:rFonts w:hint="eastAsia" w:ascii="仿宋" w:hAnsi="仿宋" w:eastAsia="仿宋" w:cs="仿宋"/>
                <w:color w:val="FF0000"/>
                <w:kern w:val="2"/>
                <w:sz w:val="21"/>
                <w:szCs w:val="21"/>
                <w:highlight w:val="none"/>
                <w:lang w:val="en-US" w:eastAsia="zh-CN" w:bidi="ar-SA"/>
              </w:rPr>
              <w:t>2024年4月7日16：30（北京时间）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11</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磋商小组的组建及评审专家的确定方式</w:t>
            </w:r>
          </w:p>
        </w:tc>
        <w:tc>
          <w:tcPr>
            <w:tcW w:w="6394"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招标单位依法组建磋商小组共3人组成。磋商小组3人（采购人代表1名，专家库随机抽取专家2名）。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12</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磋商保证金</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金额（小写）：0元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金额（大写）：零元整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评审办法</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磋商有效期</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15</w:t>
            </w:r>
          </w:p>
        </w:tc>
        <w:tc>
          <w:tcPr>
            <w:tcW w:w="1607" w:type="dxa"/>
            <w:vAlign w:val="top"/>
          </w:tcPr>
          <w:p>
            <w:pPr>
              <w:bidi w:val="0"/>
              <w:jc w:val="center"/>
              <w:rPr>
                <w:rFonts w:hint="eastAsia" w:ascii="仿宋" w:hAnsi="仿宋" w:eastAsia="仿宋" w:cs="仿宋"/>
                <w:lang w:val="en-US" w:eastAsia="zh-CN"/>
              </w:rPr>
            </w:pPr>
            <w:r>
              <w:rPr>
                <w:rFonts w:hint="eastAsia" w:ascii="仿宋" w:hAnsi="仿宋" w:eastAsia="仿宋" w:cs="仿宋"/>
                <w:lang w:val="en-US" w:eastAsia="zh-CN"/>
              </w:rPr>
              <w:t>招标方式</w:t>
            </w:r>
          </w:p>
        </w:tc>
        <w:tc>
          <w:tcPr>
            <w:tcW w:w="6394" w:type="dxa"/>
            <w:vAlign w:val="top"/>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5"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16</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是否允许投报进口产品</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17</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踏勘现场</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☑不组织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18</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履约保证金</w:t>
            </w:r>
          </w:p>
        </w:tc>
        <w:tc>
          <w:tcPr>
            <w:tcW w:w="6394"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19</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质量</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计划工期</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130天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21</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付款方式</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双方合同约定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4"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22</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投标文件递交及开标地点</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采用不见面开标：</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响应文件提交时间：同投标截止时间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开标地点：政采云远程不见面开标大厅</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不见面开标默认解密时长：30分钟。</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关于能否延长解密时间的约定：开标现场若发现默认解密时长不足，由采购人决定是否延长解密时长。</w:t>
            </w:r>
          </w:p>
          <w:p>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textAlignment w:val="auto"/>
              <w:rPr>
                <w:rFonts w:hint="eastAsia" w:ascii="仿宋" w:hAnsi="仿宋" w:eastAsia="仿宋" w:cs="仿宋"/>
                <w:b/>
                <w:bCs/>
                <w:color w:val="auto"/>
                <w:kern w:val="2"/>
                <w:sz w:val="21"/>
                <w:szCs w:val="21"/>
                <w:rtl w:val="0"/>
                <w:lang w:val="en-US" w:eastAsia="zh-CN" w:bidi="ar-SA"/>
              </w:rPr>
            </w:pPr>
            <w:r>
              <w:rPr>
                <w:rFonts w:hint="eastAsia" w:ascii="仿宋" w:hAnsi="仿宋" w:eastAsia="仿宋" w:cs="仿宋"/>
                <w:b/>
                <w:bCs/>
                <w:color w:val="auto"/>
                <w:kern w:val="2"/>
                <w:sz w:val="21"/>
                <w:szCs w:val="21"/>
                <w:rtl w:val="0"/>
                <w:lang w:val="en-US" w:eastAsia="zh-CN" w:bidi="ar-SA"/>
              </w:rPr>
              <w:t>注：供应商可通过账号密码或CA登录政采云客户端，依照招标文件要求进行投标文件的制作，本项目采用电子版投标文件。电子版投标文件封面无需标明“正本”或“副本”字样。</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采用不见面开标：</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本项目采用不见面开标、投标人需要递交电子响应文件，加密的电子响应文件，在投标截止</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26"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23</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响应性文件份数与密封性</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kern w:val="2"/>
                <w:sz w:val="21"/>
                <w:szCs w:val="21"/>
                <w:rtl w:val="0"/>
                <w:lang w:val="en-US" w:eastAsia="zh-CN" w:bidi="ar-SA"/>
              </w:rPr>
              <w:t>注：中标单位需在招标结束后7天日内提供纸质二套投标文件，其中：正本一套并封面标明“正本”字样。副本一套并封面标明“副本”字样。</w:t>
            </w:r>
            <w:r>
              <w:rPr>
                <w:rFonts w:hint="eastAsia" w:ascii="仿宋" w:hAnsi="仿宋" w:eastAsia="仿宋" w:cs="仿宋"/>
                <w:b/>
                <w:bCs/>
                <w:color w:val="auto"/>
                <w:kern w:val="2"/>
                <w:sz w:val="21"/>
                <w:szCs w:val="21"/>
                <w:lang w:val="en-US" w:eastAsia="zh-CN" w:bidi="ar-SA"/>
              </w:rPr>
              <w:t>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24</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投标文件签章</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68"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25</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政府采购</w:t>
            </w:r>
          </w:p>
          <w:p>
            <w:pPr>
              <w:bidi w:val="0"/>
              <w:jc w:val="center"/>
              <w:rPr>
                <w:rFonts w:hint="eastAsia" w:ascii="仿宋" w:hAnsi="仿宋" w:eastAsia="仿宋" w:cs="仿宋"/>
                <w:lang w:val="en-US" w:eastAsia="zh-CN"/>
              </w:rPr>
            </w:pPr>
            <w:r>
              <w:rPr>
                <w:rFonts w:hint="eastAsia" w:ascii="仿宋" w:hAnsi="仿宋" w:eastAsia="仿宋" w:cs="仿宋"/>
                <w:lang w:val="en-US" w:eastAsia="zh-CN"/>
              </w:rPr>
              <w:t>政策功能</w:t>
            </w:r>
          </w:p>
        </w:tc>
        <w:tc>
          <w:tcPr>
            <w:tcW w:w="6394" w:type="dxa"/>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促进中小企业发展政策：根据《政府采购促进中小企业发展管理办法》规定，本项目施工单位全部为符合政策要求的中小企业，将评审报价给予5%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5%的扣除。</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26</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特别提示</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1"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27</w:t>
            </w:r>
          </w:p>
        </w:tc>
        <w:tc>
          <w:tcPr>
            <w:tcW w:w="160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其他</w:t>
            </w:r>
          </w:p>
        </w:tc>
        <w:tc>
          <w:tcPr>
            <w:tcW w:w="639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95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备注</w:t>
            </w:r>
          </w:p>
        </w:tc>
        <w:tc>
          <w:tcPr>
            <w:tcW w:w="8001" w:type="dxa"/>
            <w:gridSpan w:val="2"/>
            <w:vAlign w:val="center"/>
          </w:tcPr>
          <w:p>
            <w:pPr>
              <w:rPr>
                <w:rFonts w:hint="eastAsia" w:ascii="仿宋" w:hAnsi="仿宋" w:eastAsia="仿宋" w:cs="仿宋"/>
                <w:color w:val="000000"/>
                <w:sz w:val="24"/>
                <w:szCs w:val="24"/>
                <w:u w:val="single"/>
                <w:lang w:val="en-US" w:eastAsia="zh-CN"/>
              </w:rPr>
            </w:pPr>
          </w:p>
        </w:tc>
      </w:tr>
    </w:tbl>
    <w:p>
      <w:pPr>
        <w:spacing w:line="440" w:lineRule="exact"/>
        <w:rPr>
          <w:rFonts w:hint="eastAsia" w:ascii="仿宋" w:hAnsi="仿宋" w:eastAsia="仿宋" w:cs="仿宋"/>
          <w:kern w:val="0"/>
          <w:sz w:val="24"/>
          <w:szCs w:val="24"/>
        </w:rPr>
      </w:pPr>
      <w:r>
        <w:rPr>
          <w:rFonts w:hint="eastAsia" w:ascii="仿宋" w:hAnsi="仿宋" w:eastAsia="仿宋" w:cs="仿宋"/>
          <w:b/>
          <w:bCs/>
          <w:kern w:val="0"/>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、本表内容与</w:t>
      </w:r>
      <w:r>
        <w:rPr>
          <w:rFonts w:hint="eastAsia" w:ascii="仿宋" w:hAnsi="仿宋" w:eastAsia="仿宋" w:cs="仿宋"/>
          <w:sz w:val="24"/>
          <w:szCs w:val="24"/>
          <w:lang w:eastAsia="zh-CN"/>
        </w:rPr>
        <w:t>磋商文件</w:t>
      </w:r>
      <w:r>
        <w:rPr>
          <w:rFonts w:hint="eastAsia" w:ascii="仿宋" w:hAnsi="仿宋" w:eastAsia="仿宋" w:cs="仿宋"/>
          <w:sz w:val="24"/>
          <w:szCs w:val="24"/>
        </w:rPr>
        <w:t>其它内容不一致的，应当以本表内容为准。</w:t>
      </w:r>
    </w:p>
    <w:p>
      <w:pPr>
        <w:numPr>
          <w:ilvl w:val="0"/>
          <w:numId w:val="4"/>
        </w:numPr>
        <w:rPr>
          <w:rFonts w:hint="eastAsia" w:ascii="仿宋" w:hAnsi="仿宋" w:eastAsia="仿宋" w:cs="仿宋"/>
          <w:sz w:val="24"/>
          <w:szCs w:val="24"/>
        </w:rPr>
      </w:pPr>
      <w:r>
        <w:rPr>
          <w:rFonts w:hint="eastAsia" w:ascii="仿宋" w:hAnsi="仿宋" w:eastAsia="仿宋" w:cs="仿宋"/>
          <w:kern w:val="0"/>
          <w:sz w:val="24"/>
          <w:szCs w:val="24"/>
        </w:rPr>
        <w:t>本表中“</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positio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”标示选择使用该项</w:t>
      </w:r>
      <w:bookmarkEnd w:id="1"/>
      <w:bookmarkStart w:id="7" w:name="_Toc513029202"/>
      <w:bookmarkEnd w:id="7"/>
      <w:bookmarkStart w:id="8" w:name="_Toc16938518"/>
      <w:bookmarkEnd w:id="8"/>
      <w:bookmarkStart w:id="9" w:name="_Toc120614213"/>
      <w:bookmarkEnd w:id="9"/>
      <w:bookmarkStart w:id="10" w:name="_Toc20823274"/>
      <w:bookmarkEnd w:id="10"/>
      <w:bookmarkStart w:id="11" w:name="_Toc455227390"/>
      <w:bookmarkEnd w:id="11"/>
      <w:bookmarkStart w:id="12" w:name="_Toc1621"/>
    </w:p>
    <w:p>
      <w:pPr>
        <w:pStyle w:val="4"/>
        <w:outlineLvl w:val="1"/>
        <w:rPr>
          <w:rFonts w:hint="eastAsia" w:ascii="仿宋" w:hAnsi="仿宋" w:eastAsia="仿宋" w:cs="仿宋"/>
          <w:b/>
          <w:bCs/>
          <w:sz w:val="24"/>
          <w:szCs w:val="24"/>
        </w:rPr>
      </w:pPr>
      <w:bookmarkStart w:id="13" w:name="_Toc22395"/>
      <w:bookmarkStart w:id="14" w:name="_Toc19596"/>
      <w:r>
        <w:rPr>
          <w:rFonts w:hint="eastAsia" w:ascii="仿宋" w:hAnsi="仿宋" w:eastAsia="仿宋" w:cs="仿宋"/>
          <w:b/>
          <w:bCs/>
          <w:sz w:val="24"/>
          <w:szCs w:val="24"/>
        </w:rPr>
        <w:t>一、 说明</w:t>
      </w:r>
      <w:bookmarkEnd w:id="12"/>
      <w:bookmarkEnd w:id="13"/>
      <w:bookmarkEnd w:id="14"/>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1.1适用范围</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1.1 .1本磋商文件仅适用于本磋商</w:t>
      </w:r>
      <w:r>
        <w:rPr>
          <w:rFonts w:hint="eastAsia" w:ascii="仿宋" w:hAnsi="仿宋" w:eastAsia="仿宋" w:cs="仿宋"/>
          <w:sz w:val="24"/>
          <w:szCs w:val="24"/>
          <w:lang w:eastAsia="zh-CN"/>
        </w:rPr>
        <w:t>文件</w:t>
      </w:r>
      <w:r>
        <w:rPr>
          <w:rFonts w:hint="eastAsia" w:ascii="仿宋" w:hAnsi="仿宋" w:eastAsia="仿宋" w:cs="仿宋"/>
          <w:sz w:val="24"/>
          <w:szCs w:val="24"/>
        </w:rPr>
        <w:t>中所述项目的货物及相关</w:t>
      </w:r>
      <w:r>
        <w:rPr>
          <w:rFonts w:hint="eastAsia" w:ascii="仿宋" w:hAnsi="仿宋" w:eastAsia="仿宋" w:cs="仿宋"/>
          <w:sz w:val="24"/>
          <w:szCs w:val="24"/>
          <w:lang w:eastAsia="zh-CN"/>
        </w:rPr>
        <w:t>货物</w:t>
      </w:r>
      <w:r>
        <w:rPr>
          <w:rFonts w:hint="eastAsia" w:ascii="仿宋" w:hAnsi="仿宋" w:eastAsia="仿宋" w:cs="仿宋"/>
          <w:sz w:val="24"/>
          <w:szCs w:val="24"/>
        </w:rPr>
        <w:t>的</w:t>
      </w:r>
      <w:r>
        <w:rPr>
          <w:rFonts w:hint="eastAsia" w:ascii="仿宋" w:hAnsi="仿宋" w:eastAsia="仿宋" w:cs="仿宋"/>
          <w:sz w:val="24"/>
          <w:szCs w:val="24"/>
          <w:lang w:eastAsia="zh-CN"/>
        </w:rPr>
        <w:t>招标</w:t>
      </w:r>
      <w:r>
        <w:rPr>
          <w:rFonts w:hint="eastAsia" w:ascii="仿宋" w:hAnsi="仿宋" w:eastAsia="仿宋" w:cs="仿宋"/>
          <w:sz w:val="24"/>
          <w:szCs w:val="24"/>
        </w:rPr>
        <w:t>。</w:t>
      </w:r>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1.2定义</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招标</w:t>
      </w:r>
      <w:r>
        <w:rPr>
          <w:rFonts w:hint="eastAsia" w:ascii="仿宋" w:hAnsi="仿宋" w:eastAsia="仿宋" w:cs="仿宋"/>
          <w:sz w:val="24"/>
          <w:szCs w:val="24"/>
        </w:rPr>
        <w:t>人”是指：详见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招标</w:t>
      </w:r>
      <w:r>
        <w:rPr>
          <w:rFonts w:hint="eastAsia" w:ascii="仿宋" w:hAnsi="仿宋" w:eastAsia="仿宋" w:cs="仿宋"/>
          <w:sz w:val="24"/>
          <w:szCs w:val="24"/>
        </w:rPr>
        <w:t>代理机构”是指：详见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1.2.3“监管部门”是指：详见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1.2.4 “</w:t>
      </w:r>
      <w:r>
        <w:rPr>
          <w:rFonts w:hint="eastAsia" w:ascii="仿宋" w:hAnsi="仿宋" w:eastAsia="仿宋" w:cs="仿宋"/>
          <w:sz w:val="24"/>
          <w:szCs w:val="24"/>
          <w:lang w:eastAsia="zh-CN"/>
        </w:rPr>
        <w:t>投标单位</w:t>
      </w:r>
      <w:r>
        <w:rPr>
          <w:rFonts w:hint="eastAsia" w:ascii="仿宋" w:hAnsi="仿宋" w:eastAsia="仿宋" w:cs="仿宋"/>
          <w:sz w:val="24"/>
          <w:szCs w:val="24"/>
        </w:rPr>
        <w:t>”是指：响应磋商文件要求并且符合磋商文件规定资格条件和参加竞争性磋商的法人、其他组织或者自然人。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中标单位</w:t>
      </w:r>
      <w:r>
        <w:rPr>
          <w:rFonts w:hint="eastAsia" w:ascii="仿宋" w:hAnsi="仿宋" w:eastAsia="仿宋" w:cs="仿宋"/>
          <w:sz w:val="24"/>
          <w:szCs w:val="24"/>
        </w:rPr>
        <w:t>”是指: 是指经磋商小组评审，授予合同的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pStyle w:val="22"/>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招标</w:t>
      </w:r>
      <w:r>
        <w:rPr>
          <w:rFonts w:hint="eastAsia" w:ascii="仿宋" w:hAnsi="仿宋" w:eastAsia="仿宋" w:cs="仿宋"/>
          <w:sz w:val="24"/>
          <w:szCs w:val="24"/>
        </w:rPr>
        <w:t>代理机构统称为</w:t>
      </w:r>
      <w:r>
        <w:rPr>
          <w:rFonts w:hint="eastAsia" w:ascii="仿宋" w:hAnsi="仿宋" w:eastAsia="仿宋" w:cs="仿宋"/>
          <w:sz w:val="24"/>
          <w:szCs w:val="24"/>
          <w:lang w:eastAsia="zh-CN"/>
        </w:rPr>
        <w:t>招标</w:t>
      </w:r>
      <w:r>
        <w:rPr>
          <w:rFonts w:hint="eastAsia" w:ascii="仿宋" w:hAnsi="仿宋" w:eastAsia="仿宋" w:cs="仿宋"/>
          <w:sz w:val="24"/>
          <w:szCs w:val="24"/>
        </w:rPr>
        <w:t>单位。</w:t>
      </w:r>
    </w:p>
    <w:p>
      <w:pPr>
        <w:pStyle w:val="22"/>
        <w:keepNext w:val="0"/>
        <w:keepLines w:val="0"/>
        <w:pageBreakBefore w:val="0"/>
        <w:widowControl w:val="0"/>
        <w:kinsoku/>
        <w:wordWrap/>
        <w:overflowPunct/>
        <w:topLinePunct w:val="0"/>
        <w:autoSpaceDE/>
        <w:autoSpaceDN/>
        <w:bidi w:val="0"/>
        <w:spacing w:line="360" w:lineRule="auto"/>
        <w:ind w:firstLine="484" w:firstLineChars="201"/>
        <w:contextualSpacing/>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1.3、货物和服务</w:t>
      </w:r>
    </w:p>
    <w:p>
      <w:pPr>
        <w:pStyle w:val="5"/>
        <w:keepNext w:val="0"/>
        <w:keepLines w:val="0"/>
        <w:pageBreakBefore w:val="0"/>
        <w:widowControl w:val="0"/>
        <w:kinsoku/>
        <w:wordWrap/>
        <w:overflowPunct/>
        <w:topLinePunct w:val="0"/>
        <w:autoSpaceDE/>
        <w:autoSpaceDN/>
        <w:bidi w:val="0"/>
        <w:spacing w:line="360" w:lineRule="auto"/>
        <w:ind w:firstLine="484" w:firstLineChars="202"/>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1.3.1“货物”是指：</w:t>
      </w:r>
      <w:r>
        <w:rPr>
          <w:rFonts w:hint="eastAsia" w:ascii="仿宋" w:hAnsi="仿宋" w:eastAsia="仿宋" w:cs="仿宋"/>
          <w:sz w:val="24"/>
          <w:szCs w:val="24"/>
          <w:lang w:eastAsia="zh-CN"/>
        </w:rPr>
        <w:t>投标单位</w:t>
      </w:r>
      <w:r>
        <w:rPr>
          <w:rFonts w:hint="eastAsia" w:ascii="仿宋" w:hAnsi="仿宋" w:eastAsia="仿宋" w:cs="仿宋"/>
          <w:sz w:val="24"/>
          <w:szCs w:val="24"/>
        </w:rPr>
        <w:t>制造或组织符合磋商文件要求的货物，包括原材料、燃料、设备、产品等。磋商文件中没有提及招标货物来源地的，根据《政府</w:t>
      </w:r>
      <w:r>
        <w:rPr>
          <w:rFonts w:hint="eastAsia" w:ascii="仿宋" w:hAnsi="仿宋" w:eastAsia="仿宋" w:cs="仿宋"/>
          <w:sz w:val="24"/>
          <w:szCs w:val="24"/>
          <w:lang w:eastAsia="zh-CN"/>
        </w:rPr>
        <w:t>采购</w:t>
      </w:r>
      <w:r>
        <w:rPr>
          <w:rFonts w:hint="eastAsia" w:ascii="仿宋" w:hAnsi="仿宋" w:eastAsia="仿宋" w:cs="仿宋"/>
          <w:sz w:val="24"/>
          <w:szCs w:val="24"/>
        </w:rPr>
        <w:t>法》的相关规定均应是本国货物，另有规定的除外。</w:t>
      </w:r>
      <w:r>
        <w:rPr>
          <w:rFonts w:hint="eastAsia" w:ascii="仿宋" w:hAnsi="仿宋" w:eastAsia="仿宋" w:cs="仿宋"/>
          <w:snapToGrid w:val="0"/>
          <w:kern w:val="0"/>
          <w:sz w:val="24"/>
          <w:szCs w:val="24"/>
        </w:rPr>
        <w:t>提供的货物必须是其合法生产的符合国家有关标准要求的货物，并能够按照合同规定的品牌、产地、质量、价格和有效期等履约。</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1.3.2“服务”是指：除货物和工程以外的其他政府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对象。包括：政府自身需要的服务和政府向社会公众提供的公共服务。</w:t>
      </w:r>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1.4、磋商费用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1.4.1</w:t>
      </w:r>
      <w:r>
        <w:rPr>
          <w:rFonts w:hint="eastAsia" w:ascii="仿宋" w:hAnsi="仿宋" w:eastAsia="仿宋" w:cs="仿宋"/>
          <w:sz w:val="24"/>
          <w:szCs w:val="24"/>
          <w:lang w:eastAsia="zh-CN"/>
        </w:rPr>
        <w:t>投标单位</w:t>
      </w:r>
      <w:r>
        <w:rPr>
          <w:rFonts w:hint="eastAsia" w:ascii="仿宋" w:hAnsi="仿宋" w:eastAsia="仿宋" w:cs="仿宋"/>
          <w:sz w:val="24"/>
          <w:szCs w:val="24"/>
        </w:rPr>
        <w:t>应承担所有准备和参加竞争性磋商有关的费用。不论磋商的结果如何，</w:t>
      </w:r>
      <w:r>
        <w:rPr>
          <w:rFonts w:hint="eastAsia" w:ascii="仿宋" w:hAnsi="仿宋" w:eastAsia="仿宋" w:cs="仿宋"/>
          <w:sz w:val="24"/>
          <w:szCs w:val="24"/>
          <w:lang w:eastAsia="zh-CN"/>
        </w:rPr>
        <w:t>招标</w:t>
      </w:r>
      <w:r>
        <w:rPr>
          <w:rFonts w:hint="eastAsia" w:ascii="仿宋" w:hAnsi="仿宋" w:eastAsia="仿宋" w:cs="仿宋"/>
          <w:sz w:val="24"/>
          <w:szCs w:val="24"/>
        </w:rPr>
        <w:t>单位均无义务和责任承担这些费用。</w:t>
      </w:r>
      <w:bookmarkStart w:id="15" w:name="_Toc293736011"/>
      <w:bookmarkStart w:id="16" w:name="_Toc3092"/>
      <w:bookmarkStart w:id="17" w:name="_Toc293736054"/>
      <w:bookmarkStart w:id="18" w:name="_Toc293738992"/>
      <w:bookmarkStart w:id="19" w:name="_Toc446599311"/>
    </w:p>
    <w:p>
      <w:pPr>
        <w:pStyle w:val="4"/>
        <w:outlineLvl w:val="1"/>
        <w:rPr>
          <w:rFonts w:hint="eastAsia" w:ascii="仿宋" w:hAnsi="仿宋" w:eastAsia="仿宋" w:cs="仿宋"/>
          <w:b/>
          <w:bCs/>
          <w:sz w:val="24"/>
          <w:szCs w:val="24"/>
        </w:rPr>
      </w:pPr>
      <w:bookmarkStart w:id="20" w:name="_Toc32620"/>
      <w:bookmarkStart w:id="21" w:name="_Toc29558"/>
      <w:r>
        <w:rPr>
          <w:rFonts w:hint="eastAsia" w:ascii="仿宋" w:hAnsi="仿宋" w:eastAsia="仿宋" w:cs="仿宋"/>
          <w:b/>
          <w:bCs/>
          <w:sz w:val="24"/>
          <w:szCs w:val="24"/>
        </w:rPr>
        <w:t>二、磋商文件</w:t>
      </w:r>
      <w:bookmarkEnd w:id="15"/>
      <w:bookmarkEnd w:id="16"/>
      <w:bookmarkEnd w:id="17"/>
      <w:bookmarkEnd w:id="18"/>
      <w:bookmarkEnd w:id="19"/>
      <w:bookmarkEnd w:id="20"/>
      <w:bookmarkEnd w:id="21"/>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2.1.磋商文件的构成</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2.1.1磋商文件由下列文件以及在</w:t>
      </w:r>
      <w:r>
        <w:rPr>
          <w:rFonts w:hint="eastAsia" w:ascii="仿宋" w:hAnsi="仿宋" w:eastAsia="仿宋" w:cs="仿宋"/>
          <w:sz w:val="24"/>
          <w:szCs w:val="24"/>
          <w:lang w:eastAsia="zh-CN"/>
        </w:rPr>
        <w:t>招标</w:t>
      </w:r>
      <w:r>
        <w:rPr>
          <w:rFonts w:hint="eastAsia" w:ascii="仿宋" w:hAnsi="仿宋" w:eastAsia="仿宋" w:cs="仿宋"/>
          <w:sz w:val="24"/>
          <w:szCs w:val="24"/>
        </w:rPr>
        <w:t>过程中发出的修正和补充文件组成：</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竞争性磋商公告</w:t>
      </w:r>
      <w:r>
        <w:rPr>
          <w:rFonts w:hint="eastAsia" w:ascii="仿宋" w:hAnsi="仿宋" w:eastAsia="仿宋" w:cs="仿宋"/>
          <w:sz w:val="24"/>
          <w:szCs w:val="24"/>
        </w:rPr>
        <w:t>；</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投标单位</w:t>
      </w:r>
      <w:r>
        <w:rPr>
          <w:rFonts w:hint="eastAsia" w:ascii="仿宋" w:hAnsi="仿宋" w:eastAsia="仿宋" w:cs="仿宋"/>
          <w:sz w:val="24"/>
          <w:szCs w:val="24"/>
        </w:rPr>
        <w:t>须知；</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工程量清单（另册）</w:t>
      </w:r>
      <w:r>
        <w:rPr>
          <w:rFonts w:hint="eastAsia" w:ascii="仿宋" w:hAnsi="仿宋" w:eastAsia="仿宋" w:cs="仿宋"/>
          <w:sz w:val="24"/>
          <w:szCs w:val="24"/>
        </w:rPr>
        <w:t>；</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(4)评审方法、步骤、标准；</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(5)合同格式及合同条款；</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(6)响应文件格式；</w:t>
      </w:r>
    </w:p>
    <w:p>
      <w:pPr>
        <w:pStyle w:val="5"/>
        <w:spacing w:line="500" w:lineRule="exact"/>
        <w:ind w:firstLine="484" w:firstLineChars="202"/>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(7)在磋商过程中由</w:t>
      </w:r>
      <w:r>
        <w:rPr>
          <w:rFonts w:hint="eastAsia" w:ascii="仿宋" w:hAnsi="仿宋" w:eastAsia="仿宋" w:cs="仿宋"/>
          <w:sz w:val="24"/>
          <w:szCs w:val="24"/>
          <w:lang w:eastAsia="zh-CN"/>
        </w:rPr>
        <w:t>招标</w:t>
      </w:r>
      <w:r>
        <w:rPr>
          <w:rFonts w:hint="eastAsia" w:ascii="仿宋" w:hAnsi="仿宋" w:eastAsia="仿宋" w:cs="仿宋"/>
          <w:sz w:val="24"/>
          <w:szCs w:val="24"/>
        </w:rPr>
        <w:t>单位发出的澄清和补充文件等。</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sz w:val="24"/>
          <w:szCs w:val="24"/>
          <w:lang w:eastAsia="zh-CN"/>
        </w:rPr>
        <w:t>投标单位</w:t>
      </w:r>
      <w:r>
        <w:rPr>
          <w:rFonts w:hint="eastAsia" w:ascii="仿宋" w:hAnsi="仿宋" w:eastAsia="仿宋" w:cs="仿宋"/>
          <w:sz w:val="24"/>
          <w:szCs w:val="24"/>
        </w:rPr>
        <w:t>应认真阅读磋商文件中所有的事项、格式、条款和技术规范、参数及相关要求等。</w:t>
      </w:r>
      <w:r>
        <w:rPr>
          <w:rFonts w:hint="eastAsia" w:ascii="仿宋" w:hAnsi="仿宋" w:eastAsia="仿宋" w:cs="仿宋"/>
          <w:sz w:val="24"/>
          <w:szCs w:val="24"/>
          <w:lang w:eastAsia="zh-CN"/>
        </w:rPr>
        <w:t>投标单位</w:t>
      </w:r>
      <w:r>
        <w:rPr>
          <w:rFonts w:hint="eastAsia" w:ascii="仿宋" w:hAnsi="仿宋" w:eastAsia="仿宋" w:cs="仿宋"/>
          <w:sz w:val="24"/>
          <w:szCs w:val="24"/>
        </w:rPr>
        <w:t>没有按照磋商文件要求提交全部资料，或者没有对磋商文件在各方面都做出实质性响应是</w:t>
      </w:r>
      <w:r>
        <w:rPr>
          <w:rFonts w:hint="eastAsia" w:ascii="仿宋" w:hAnsi="仿宋" w:eastAsia="仿宋" w:cs="仿宋"/>
          <w:sz w:val="24"/>
          <w:szCs w:val="24"/>
          <w:lang w:eastAsia="zh-CN"/>
        </w:rPr>
        <w:t>投标单位</w:t>
      </w:r>
      <w:r>
        <w:rPr>
          <w:rFonts w:hint="eastAsia" w:ascii="仿宋" w:hAnsi="仿宋" w:eastAsia="仿宋" w:cs="仿宋"/>
          <w:sz w:val="24"/>
          <w:szCs w:val="24"/>
        </w:rPr>
        <w:t>的风险，有可能导致被拒绝，或被按照无效文件处理或被确定为无效文件。</w:t>
      </w:r>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2.2. 磋商文件的澄清</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eastAsia="zh-CN"/>
        </w:rPr>
        <w:t>投标单位</w:t>
      </w:r>
      <w:r>
        <w:rPr>
          <w:rFonts w:hint="eastAsia" w:ascii="仿宋" w:hAnsi="仿宋" w:eastAsia="仿宋" w:cs="仿宋"/>
          <w:sz w:val="24"/>
          <w:szCs w:val="24"/>
        </w:rPr>
        <w:t>应仔细阅读和检查磋商文件的全部内容。</w:t>
      </w:r>
      <w:r>
        <w:rPr>
          <w:rFonts w:hint="eastAsia" w:ascii="仿宋" w:hAnsi="仿宋" w:eastAsia="仿宋" w:cs="仿宋"/>
          <w:sz w:val="24"/>
          <w:szCs w:val="24"/>
          <w:lang w:eastAsia="zh-CN"/>
        </w:rPr>
        <w:t>投标单位</w:t>
      </w:r>
      <w:r>
        <w:rPr>
          <w:rFonts w:hint="eastAsia" w:ascii="仿宋" w:hAnsi="仿宋" w:eastAsia="仿宋" w:cs="仿宋"/>
          <w:sz w:val="24"/>
          <w:szCs w:val="24"/>
        </w:rPr>
        <w:t>若对磋商文件有任何疑问，均应在响应文件递交截止时间5日前</w:t>
      </w:r>
      <w:r>
        <w:rPr>
          <w:rFonts w:hint="eastAsia" w:ascii="仿宋" w:hAnsi="仿宋" w:eastAsia="仿宋" w:cs="仿宋"/>
          <w:sz w:val="24"/>
          <w:szCs w:val="24"/>
          <w:lang w:eastAsia="zh-CN"/>
        </w:rPr>
        <w:t>提出。招标</w:t>
      </w:r>
      <w:r>
        <w:rPr>
          <w:rFonts w:hint="eastAsia" w:ascii="仿宋" w:hAnsi="仿宋" w:eastAsia="仿宋" w:cs="仿宋"/>
          <w:sz w:val="24"/>
          <w:szCs w:val="24"/>
        </w:rPr>
        <w:t>单位对</w:t>
      </w:r>
      <w:r>
        <w:rPr>
          <w:rFonts w:hint="eastAsia" w:ascii="仿宋" w:hAnsi="仿宋" w:eastAsia="仿宋" w:cs="仿宋"/>
          <w:sz w:val="24"/>
          <w:szCs w:val="24"/>
          <w:lang w:eastAsia="zh-CN"/>
        </w:rPr>
        <w:t>投标单位</w:t>
      </w:r>
      <w:r>
        <w:rPr>
          <w:rFonts w:hint="eastAsia" w:ascii="仿宋" w:hAnsi="仿宋" w:eastAsia="仿宋" w:cs="仿宋"/>
          <w:sz w:val="24"/>
          <w:szCs w:val="24"/>
        </w:rPr>
        <w:t>所要求澄清的内容均予以答复（答复中不包括问题的来源）。必要时，</w:t>
      </w:r>
      <w:r>
        <w:rPr>
          <w:rFonts w:hint="eastAsia" w:ascii="仿宋" w:hAnsi="仿宋" w:eastAsia="仿宋" w:cs="仿宋"/>
          <w:sz w:val="24"/>
          <w:szCs w:val="24"/>
          <w:lang w:eastAsia="zh-CN"/>
        </w:rPr>
        <w:t>招标</w:t>
      </w:r>
      <w:r>
        <w:rPr>
          <w:rFonts w:hint="eastAsia" w:ascii="仿宋" w:hAnsi="仿宋" w:eastAsia="仿宋" w:cs="仿宋"/>
          <w:sz w:val="24"/>
          <w:szCs w:val="24"/>
        </w:rPr>
        <w:t>单位将组织相关专家召开答疑会，并</w:t>
      </w:r>
      <w:r>
        <w:rPr>
          <w:rFonts w:hint="eastAsia" w:ascii="仿宋" w:hAnsi="仿宋" w:eastAsia="仿宋" w:cs="仿宋"/>
          <w:sz w:val="24"/>
          <w:szCs w:val="24"/>
          <w:lang w:eastAsia="zh-CN"/>
        </w:rPr>
        <w:t>书面</w:t>
      </w:r>
      <w:r>
        <w:rPr>
          <w:rFonts w:hint="eastAsia" w:ascii="仿宋" w:hAnsi="仿宋" w:eastAsia="仿宋" w:cs="仿宋"/>
          <w:sz w:val="24"/>
          <w:szCs w:val="24"/>
        </w:rPr>
        <w:t>澄清</w:t>
      </w:r>
      <w:r>
        <w:rPr>
          <w:rFonts w:hint="eastAsia" w:ascii="仿宋" w:hAnsi="仿宋" w:eastAsia="仿宋" w:cs="仿宋"/>
          <w:sz w:val="24"/>
          <w:szCs w:val="24"/>
          <w:lang w:eastAsia="zh-CN"/>
        </w:rPr>
        <w:t>，</w:t>
      </w:r>
      <w:r>
        <w:rPr>
          <w:rFonts w:hint="eastAsia" w:ascii="仿宋" w:hAnsi="仿宋" w:eastAsia="仿宋" w:cs="仿宋"/>
          <w:sz w:val="24"/>
          <w:szCs w:val="24"/>
        </w:rPr>
        <w:t>澄清文件作为磋商文件的组成部分，对</w:t>
      </w:r>
      <w:r>
        <w:rPr>
          <w:rFonts w:hint="eastAsia" w:ascii="仿宋" w:hAnsi="仿宋" w:eastAsia="仿宋" w:cs="仿宋"/>
          <w:sz w:val="24"/>
          <w:szCs w:val="24"/>
          <w:lang w:eastAsia="zh-CN"/>
        </w:rPr>
        <w:t>投标单位</w:t>
      </w:r>
      <w:r>
        <w:rPr>
          <w:rFonts w:hint="eastAsia" w:ascii="仿宋" w:hAnsi="仿宋" w:eastAsia="仿宋" w:cs="仿宋"/>
          <w:sz w:val="24"/>
          <w:szCs w:val="24"/>
        </w:rPr>
        <w:t>具有同等约束作用。</w:t>
      </w:r>
    </w:p>
    <w:p>
      <w:pPr>
        <w:pStyle w:val="5"/>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2.2.2</w:t>
      </w:r>
      <w:r>
        <w:rPr>
          <w:rFonts w:hint="eastAsia" w:ascii="仿宋" w:hAnsi="仿宋" w:eastAsia="仿宋" w:cs="仿宋"/>
          <w:sz w:val="24"/>
          <w:szCs w:val="24"/>
          <w:lang w:eastAsia="zh-CN"/>
        </w:rPr>
        <w:t>投标单位</w:t>
      </w:r>
      <w:r>
        <w:rPr>
          <w:rFonts w:hint="eastAsia" w:ascii="仿宋" w:hAnsi="仿宋" w:eastAsia="仿宋" w:cs="仿宋"/>
          <w:sz w:val="24"/>
          <w:szCs w:val="24"/>
        </w:rPr>
        <w:t>在本项目</w:t>
      </w:r>
      <w:r>
        <w:rPr>
          <w:rFonts w:hint="eastAsia" w:ascii="仿宋" w:hAnsi="仿宋" w:eastAsia="仿宋" w:cs="仿宋"/>
          <w:sz w:val="24"/>
          <w:szCs w:val="24"/>
          <w:lang w:eastAsia="zh-CN"/>
        </w:rPr>
        <w:t>招标</w:t>
      </w:r>
      <w:r>
        <w:rPr>
          <w:rFonts w:hint="eastAsia" w:ascii="仿宋" w:hAnsi="仿宋" w:eastAsia="仿宋" w:cs="仿宋"/>
          <w:sz w:val="24"/>
          <w:szCs w:val="24"/>
        </w:rPr>
        <w:t>公告期限届满之日起七个工作日内未对磋商文件提出异议的，</w:t>
      </w:r>
      <w:r>
        <w:rPr>
          <w:rFonts w:hint="eastAsia" w:ascii="仿宋" w:hAnsi="仿宋" w:eastAsia="仿宋" w:cs="仿宋"/>
          <w:sz w:val="24"/>
          <w:szCs w:val="24"/>
          <w:lang w:eastAsia="zh-CN"/>
        </w:rPr>
        <w:t>招标</w:t>
      </w:r>
      <w:r>
        <w:rPr>
          <w:rFonts w:hint="eastAsia" w:ascii="仿宋" w:hAnsi="仿宋" w:eastAsia="仿宋" w:cs="仿宋"/>
          <w:sz w:val="24"/>
          <w:szCs w:val="24"/>
        </w:rPr>
        <w:t>单位将视其为同意。在规定的时间后就磋商文件内容提出的质疑将不予受理。</w:t>
      </w:r>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2.3. 磋商文件的修改</w:t>
      </w:r>
    </w:p>
    <w:p>
      <w:pPr>
        <w:pStyle w:val="5"/>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2.3.1</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，并通知所有已购买</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投标单位，投标单位</w:t>
      </w:r>
      <w:r>
        <w:rPr>
          <w:rFonts w:hint="eastAsia" w:ascii="仿宋" w:hAnsi="仿宋" w:eastAsia="仿宋" w:cs="仿宋"/>
          <w:color w:val="auto"/>
          <w:sz w:val="24"/>
          <w:szCs w:val="24"/>
        </w:rPr>
        <w:t>收到修改内容后，应在</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须知前附表规定的时间内以书面形式通知</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，确认已收到该修改。</w:t>
      </w:r>
      <w:r>
        <w:rPr>
          <w:rFonts w:hint="eastAsia" w:ascii="仿宋" w:hAnsi="仿宋" w:eastAsia="仿宋" w:cs="仿宋"/>
          <w:sz w:val="24"/>
          <w:szCs w:val="24"/>
        </w:rPr>
        <w:t xml:space="preserve"> </w:t>
      </w:r>
    </w:p>
    <w:p>
      <w:pPr>
        <w:pStyle w:val="5"/>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2.3.2澄清或者修改的内容是磋商文件的组成部分，将</w:t>
      </w:r>
      <w:r>
        <w:rPr>
          <w:rFonts w:hint="eastAsia" w:ascii="仿宋" w:hAnsi="仿宋" w:eastAsia="仿宋" w:cs="仿宋"/>
          <w:sz w:val="24"/>
          <w:szCs w:val="24"/>
        </w:rPr>
        <w:t>向所有</w:t>
      </w:r>
      <w:r>
        <w:rPr>
          <w:rFonts w:hint="eastAsia" w:ascii="仿宋" w:hAnsi="仿宋" w:eastAsia="仿宋" w:cs="仿宋"/>
          <w:sz w:val="24"/>
          <w:szCs w:val="24"/>
          <w:lang w:eastAsia="zh-CN"/>
        </w:rPr>
        <w:t>投标单位</w:t>
      </w:r>
      <w:r>
        <w:rPr>
          <w:rFonts w:hint="eastAsia" w:ascii="仿宋" w:hAnsi="仿宋" w:eastAsia="仿宋" w:cs="仿宋"/>
          <w:sz w:val="24"/>
          <w:szCs w:val="24"/>
        </w:rPr>
        <w:t>公布，并对</w:t>
      </w:r>
      <w:r>
        <w:rPr>
          <w:rFonts w:hint="eastAsia" w:ascii="仿宋" w:hAnsi="仿宋" w:eastAsia="仿宋" w:cs="仿宋"/>
          <w:sz w:val="24"/>
          <w:szCs w:val="24"/>
          <w:lang w:eastAsia="zh-CN"/>
        </w:rPr>
        <w:t>投标单位</w:t>
      </w:r>
      <w:r>
        <w:rPr>
          <w:rFonts w:hint="eastAsia" w:ascii="仿宋" w:hAnsi="仿宋" w:eastAsia="仿宋" w:cs="仿宋"/>
          <w:sz w:val="24"/>
          <w:szCs w:val="24"/>
        </w:rPr>
        <w:t>具有约束力。</w:t>
      </w:r>
    </w:p>
    <w:p>
      <w:pPr>
        <w:pStyle w:val="5"/>
        <w:spacing w:line="500" w:lineRule="exact"/>
        <w:ind w:firstLine="484" w:firstLineChars="202"/>
        <w:jc w:val="left"/>
        <w:outlineLvl w:val="9"/>
        <w:rPr>
          <w:rFonts w:hint="eastAsia" w:ascii="仿宋" w:hAnsi="仿宋" w:eastAsia="仿宋" w:cs="仿宋"/>
          <w:spacing w:val="-6"/>
          <w:sz w:val="24"/>
          <w:szCs w:val="24"/>
        </w:rPr>
      </w:pPr>
      <w:r>
        <w:rPr>
          <w:rFonts w:hint="eastAsia" w:ascii="仿宋" w:hAnsi="仿宋" w:eastAsia="仿宋" w:cs="仿宋"/>
          <w:sz w:val="24"/>
          <w:szCs w:val="24"/>
        </w:rPr>
        <w:t>2.3.3为使</w:t>
      </w:r>
      <w:r>
        <w:rPr>
          <w:rFonts w:hint="eastAsia" w:ascii="仿宋" w:hAnsi="仿宋" w:eastAsia="仿宋" w:cs="仿宋"/>
          <w:sz w:val="24"/>
          <w:szCs w:val="24"/>
          <w:lang w:eastAsia="zh-CN"/>
        </w:rPr>
        <w:t>投标单位</w:t>
      </w:r>
      <w:r>
        <w:rPr>
          <w:rFonts w:hint="eastAsia" w:ascii="仿宋" w:hAnsi="仿宋" w:eastAsia="仿宋" w:cs="仿宋"/>
          <w:sz w:val="24"/>
          <w:szCs w:val="24"/>
        </w:rPr>
        <w:t>有充足的时间对磋商文件的修改部分进行研究，</w:t>
      </w:r>
      <w:r>
        <w:rPr>
          <w:rFonts w:hint="eastAsia" w:ascii="仿宋" w:hAnsi="仿宋" w:eastAsia="仿宋" w:cs="仿宋"/>
          <w:sz w:val="24"/>
          <w:szCs w:val="24"/>
          <w:lang w:eastAsia="zh-CN"/>
        </w:rPr>
        <w:t>招标</w:t>
      </w:r>
      <w:r>
        <w:rPr>
          <w:rFonts w:hint="eastAsia" w:ascii="仿宋" w:hAnsi="仿宋" w:eastAsia="仿宋" w:cs="仿宋"/>
          <w:sz w:val="24"/>
          <w:szCs w:val="24"/>
        </w:rPr>
        <w:t>单位可适当推迟响应文件截止期</w:t>
      </w:r>
      <w:r>
        <w:rPr>
          <w:rFonts w:hint="eastAsia" w:ascii="仿宋" w:hAnsi="仿宋" w:eastAsia="仿宋" w:cs="仿宋"/>
          <w:sz w:val="24"/>
          <w:szCs w:val="24"/>
          <w:lang w:eastAsia="zh-CN"/>
        </w:rPr>
        <w:t>，</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原因未及时获知澄清、修改或补充内容而导致的任何后果将由</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自行承担。</w:t>
      </w:r>
    </w:p>
    <w:p>
      <w:pPr>
        <w:pStyle w:val="4"/>
        <w:outlineLvl w:val="1"/>
        <w:rPr>
          <w:rFonts w:hint="eastAsia" w:ascii="仿宋" w:hAnsi="仿宋" w:eastAsia="仿宋" w:cs="仿宋"/>
          <w:b/>
          <w:bCs/>
          <w:sz w:val="24"/>
          <w:szCs w:val="24"/>
        </w:rPr>
      </w:pPr>
      <w:bookmarkStart w:id="22" w:name="_Toc13231"/>
      <w:bookmarkStart w:id="23" w:name="_Toc16947"/>
      <w:bookmarkStart w:id="24" w:name="_Toc31961"/>
      <w:bookmarkStart w:id="25" w:name="_Toc293738993"/>
      <w:bookmarkStart w:id="26" w:name="_Toc446599312"/>
      <w:bookmarkStart w:id="27" w:name="_Toc293736055"/>
      <w:bookmarkStart w:id="28" w:name="_Toc293736012"/>
      <w:r>
        <w:rPr>
          <w:rFonts w:hint="eastAsia" w:ascii="仿宋" w:hAnsi="仿宋" w:eastAsia="仿宋" w:cs="仿宋"/>
          <w:b/>
          <w:bCs/>
          <w:sz w:val="24"/>
          <w:szCs w:val="24"/>
        </w:rPr>
        <w:t>三、响应文件的编制和数量</w:t>
      </w:r>
      <w:bookmarkEnd w:id="22"/>
      <w:bookmarkEnd w:id="23"/>
      <w:bookmarkEnd w:id="24"/>
      <w:bookmarkEnd w:id="25"/>
      <w:bookmarkEnd w:id="26"/>
      <w:bookmarkEnd w:id="27"/>
      <w:bookmarkEnd w:id="28"/>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3.1．响应文件的语言</w:t>
      </w:r>
    </w:p>
    <w:p>
      <w:pPr>
        <w:pStyle w:val="5"/>
        <w:keepNext w:val="0"/>
        <w:keepLines w:val="0"/>
        <w:pageBreakBefore w:val="0"/>
        <w:widowControl w:val="0"/>
        <w:kinsoku/>
        <w:wordWrap/>
        <w:overflowPunct/>
        <w:topLinePunct w:val="0"/>
        <w:autoSpaceDE/>
        <w:autoSpaceDN/>
        <w:bidi w:val="0"/>
        <w:adjustRightInd/>
        <w:snapToGrid/>
        <w:spacing w:line="480" w:lineRule="auto"/>
        <w:ind w:firstLine="460" w:firstLineChars="202"/>
        <w:jc w:val="left"/>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3.1.1</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提交的响应文件以及</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与</w:t>
      </w:r>
      <w:r>
        <w:rPr>
          <w:rFonts w:hint="eastAsia" w:ascii="仿宋" w:hAnsi="仿宋" w:eastAsia="仿宋" w:cs="仿宋"/>
          <w:spacing w:val="-6"/>
          <w:sz w:val="24"/>
          <w:szCs w:val="24"/>
          <w:lang w:eastAsia="zh-CN"/>
        </w:rPr>
        <w:t>招标</w:t>
      </w:r>
      <w:r>
        <w:rPr>
          <w:rFonts w:hint="eastAsia" w:ascii="仿宋" w:hAnsi="仿宋" w:eastAsia="仿宋" w:cs="仿宋"/>
          <w:spacing w:val="-6"/>
          <w:sz w:val="24"/>
          <w:szCs w:val="24"/>
        </w:rPr>
        <w:t>单位就有关磋商的所有来往函电均应使用中文。</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提交的支持文件或印刷的文献可以用另一种语言，但相应内容应附有中文翻译本，在解释响应文件的修改内容时以中文翻译本为准。</w:t>
      </w:r>
    </w:p>
    <w:p>
      <w:pPr>
        <w:pStyle w:val="22"/>
        <w:keepNext w:val="0"/>
        <w:keepLines w:val="0"/>
        <w:pageBreakBefore w:val="0"/>
        <w:widowControl w:val="0"/>
        <w:kinsoku/>
        <w:wordWrap/>
        <w:overflowPunct/>
        <w:topLinePunct w:val="0"/>
        <w:autoSpaceDE/>
        <w:autoSpaceDN/>
        <w:bidi w:val="0"/>
        <w:adjustRightInd/>
        <w:snapToGrid/>
        <w:spacing w:line="480" w:lineRule="auto"/>
        <w:ind w:firstLine="484" w:firstLineChars="201"/>
        <w:contextualSpacing/>
        <w:jc w:val="left"/>
        <w:textAlignment w:val="auto"/>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3.2响应文件的构成</w:t>
      </w:r>
    </w:p>
    <w:p>
      <w:pPr>
        <w:pStyle w:val="5"/>
        <w:keepNext w:val="0"/>
        <w:keepLines w:val="0"/>
        <w:pageBreakBefore w:val="0"/>
        <w:widowControl w:val="0"/>
        <w:kinsoku/>
        <w:wordWrap/>
        <w:overflowPunct/>
        <w:topLinePunct w:val="0"/>
        <w:autoSpaceDE/>
        <w:autoSpaceDN/>
        <w:bidi w:val="0"/>
        <w:adjustRightInd/>
        <w:snapToGrid/>
        <w:spacing w:line="480" w:lineRule="auto"/>
        <w:ind w:firstLine="484" w:firstLineChars="202"/>
        <w:jc w:val="left"/>
        <w:textAlignment w:val="auto"/>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3.2.1投标单位编制的响应文件应包括但不少于下列内容：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29" w:name="_Toc32665"/>
      <w:bookmarkStart w:id="30" w:name="_Toc24143"/>
      <w:r>
        <w:rPr>
          <w:rFonts w:hint="eastAsia" w:ascii="仿宋" w:hAnsi="仿宋" w:eastAsia="仿宋" w:cs="仿宋"/>
          <w:b w:val="0"/>
          <w:color w:val="auto"/>
          <w:kern w:val="2"/>
          <w:sz w:val="24"/>
          <w:szCs w:val="24"/>
          <w:lang w:val="en-US" w:eastAsia="zh-CN" w:bidi="ar-SA"/>
        </w:rPr>
        <w:t>一、投标函及投标函附录</w:t>
      </w:r>
      <w:bookmarkEnd w:id="29"/>
      <w:bookmarkEnd w:id="30"/>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1" w:name="_Toc3762"/>
      <w:bookmarkStart w:id="32" w:name="_Toc10719"/>
      <w:r>
        <w:rPr>
          <w:rFonts w:hint="eastAsia" w:ascii="仿宋" w:hAnsi="仿宋" w:eastAsia="仿宋" w:cs="仿宋"/>
          <w:b w:val="0"/>
          <w:color w:val="auto"/>
          <w:kern w:val="2"/>
          <w:sz w:val="24"/>
          <w:szCs w:val="24"/>
          <w:lang w:val="en-US" w:eastAsia="zh-CN" w:bidi="ar-SA"/>
        </w:rPr>
        <w:t>二、法定代表人身份证明</w:t>
      </w:r>
      <w:bookmarkEnd w:id="31"/>
      <w:bookmarkEnd w:id="32"/>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3" w:name="_Toc16905"/>
      <w:bookmarkStart w:id="34" w:name="_Toc3324"/>
      <w:r>
        <w:rPr>
          <w:rFonts w:hint="eastAsia" w:ascii="仿宋" w:hAnsi="仿宋" w:eastAsia="仿宋" w:cs="仿宋"/>
          <w:b w:val="0"/>
          <w:color w:val="auto"/>
          <w:kern w:val="2"/>
          <w:sz w:val="24"/>
          <w:szCs w:val="24"/>
          <w:lang w:val="en-US" w:eastAsia="zh-CN" w:bidi="ar-SA"/>
        </w:rPr>
        <w:t>三、授权委托书</w:t>
      </w:r>
      <w:bookmarkEnd w:id="33"/>
      <w:bookmarkEnd w:id="34"/>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5" w:name="_Toc21673"/>
      <w:bookmarkStart w:id="36" w:name="_Toc21004"/>
      <w:r>
        <w:rPr>
          <w:rFonts w:hint="eastAsia" w:ascii="仿宋" w:hAnsi="仿宋" w:eastAsia="仿宋" w:cs="仿宋"/>
          <w:b w:val="0"/>
          <w:color w:val="auto"/>
          <w:kern w:val="2"/>
          <w:sz w:val="24"/>
          <w:szCs w:val="24"/>
          <w:lang w:val="en-US" w:eastAsia="zh-CN" w:bidi="ar-SA"/>
        </w:rPr>
        <w:t>四、</w:t>
      </w:r>
      <w:bookmarkEnd w:id="35"/>
      <w:bookmarkEnd w:id="36"/>
      <w:r>
        <w:rPr>
          <w:rFonts w:hint="eastAsia" w:ascii="仿宋" w:hAnsi="仿宋" w:eastAsia="仿宋" w:cs="仿宋"/>
          <w:b w:val="0"/>
          <w:color w:val="auto"/>
          <w:kern w:val="2"/>
          <w:sz w:val="24"/>
          <w:szCs w:val="24"/>
          <w:lang w:val="en-US" w:eastAsia="zh-CN" w:bidi="ar-SA"/>
        </w:rPr>
        <w:t>已标价工程量清单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37" w:name="_Toc9023"/>
      <w:bookmarkStart w:id="38" w:name="_Toc24"/>
      <w:r>
        <w:rPr>
          <w:rFonts w:hint="eastAsia" w:ascii="仿宋" w:hAnsi="仿宋" w:eastAsia="仿宋" w:cs="仿宋"/>
          <w:b w:val="0"/>
          <w:color w:val="auto"/>
          <w:kern w:val="2"/>
          <w:sz w:val="24"/>
          <w:szCs w:val="24"/>
          <w:lang w:val="en-US" w:eastAsia="zh-CN" w:bidi="ar-SA"/>
        </w:rPr>
        <w:t>五、</w:t>
      </w:r>
      <w:bookmarkEnd w:id="37"/>
      <w:bookmarkEnd w:id="38"/>
      <w:bookmarkStart w:id="39" w:name="_Toc7319"/>
      <w:bookmarkStart w:id="40" w:name="_Toc1833"/>
      <w:r>
        <w:rPr>
          <w:rFonts w:hint="eastAsia" w:ascii="仿宋" w:hAnsi="仿宋" w:eastAsia="仿宋" w:cs="仿宋"/>
          <w:b w:val="0"/>
          <w:color w:val="auto"/>
          <w:kern w:val="2"/>
          <w:sz w:val="24"/>
          <w:szCs w:val="24"/>
          <w:lang w:val="en-US" w:eastAsia="zh-CN" w:bidi="ar-SA"/>
        </w:rPr>
        <w:t>技术标投标格式</w:t>
      </w:r>
      <w:bookmarkEnd w:id="39"/>
      <w:bookmarkEnd w:id="40"/>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41" w:name="_Toc16242"/>
      <w:bookmarkStart w:id="42" w:name="_Toc31755"/>
      <w:r>
        <w:rPr>
          <w:rFonts w:hint="eastAsia" w:ascii="仿宋" w:hAnsi="仿宋" w:eastAsia="仿宋" w:cs="仿宋"/>
          <w:b w:val="0"/>
          <w:color w:val="auto"/>
          <w:kern w:val="2"/>
          <w:sz w:val="24"/>
          <w:szCs w:val="24"/>
          <w:lang w:val="en-US" w:eastAsia="zh-CN" w:bidi="ar-SA"/>
        </w:rPr>
        <w:t>六、项目管理机构</w:t>
      </w:r>
      <w:bookmarkEnd w:id="41"/>
      <w:bookmarkEnd w:id="42"/>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b w:val="0"/>
          <w:color w:val="auto"/>
          <w:kern w:val="2"/>
          <w:sz w:val="24"/>
          <w:szCs w:val="24"/>
          <w:lang w:val="en-US" w:eastAsia="zh-CN" w:bidi="ar-SA"/>
        </w:rPr>
      </w:pPr>
      <w:bookmarkStart w:id="43" w:name="_Toc12201"/>
      <w:bookmarkStart w:id="44" w:name="_Toc1559"/>
      <w:r>
        <w:rPr>
          <w:rFonts w:hint="eastAsia" w:ascii="仿宋" w:hAnsi="仿宋" w:eastAsia="仿宋" w:cs="仿宋"/>
          <w:b w:val="0"/>
          <w:color w:val="auto"/>
          <w:kern w:val="2"/>
          <w:sz w:val="24"/>
          <w:szCs w:val="24"/>
          <w:lang w:val="en-US" w:eastAsia="zh-CN" w:bidi="ar-SA"/>
        </w:rPr>
        <w:t>七、资格审查资料</w:t>
      </w:r>
      <w:bookmarkEnd w:id="43"/>
      <w:bookmarkEnd w:id="44"/>
    </w:p>
    <w:p>
      <w:pPr>
        <w:pStyle w:val="22"/>
        <w:keepNext w:val="0"/>
        <w:keepLines w:val="0"/>
        <w:pageBreakBefore w:val="0"/>
        <w:widowControl w:val="0"/>
        <w:kinsoku/>
        <w:wordWrap/>
        <w:overflowPunct/>
        <w:topLinePunct w:val="0"/>
        <w:autoSpaceDE/>
        <w:autoSpaceDN/>
        <w:bidi w:val="0"/>
        <w:adjustRightInd/>
        <w:snapToGrid/>
        <w:spacing w:line="480" w:lineRule="auto"/>
        <w:ind w:firstLine="484" w:firstLineChars="201"/>
        <w:contextualSpacing/>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3.3响应文件编制</w:t>
      </w:r>
    </w:p>
    <w:p>
      <w:pPr>
        <w:pStyle w:val="22"/>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3.3.1 项目有分包的，供应商可对采购文件其中某一个分包或几个分包进行响应。</w:t>
      </w:r>
      <w:r>
        <w:rPr>
          <w:rFonts w:hint="eastAsia" w:ascii="仿宋" w:hAnsi="仿宋" w:eastAsia="仿宋" w:cs="仿宋"/>
          <w:spacing w:val="-6"/>
          <w:kern w:val="2"/>
          <w:sz w:val="24"/>
          <w:szCs w:val="24"/>
          <w:lang w:val="en-US" w:eastAsia="zh-CN" w:bidi="ar-SA"/>
        </w:rPr>
        <w:br w:type="textWrapping"/>
      </w:r>
      <w:r>
        <w:rPr>
          <w:rFonts w:hint="eastAsia" w:ascii="仿宋" w:hAnsi="仿宋" w:eastAsia="仿宋" w:cs="仿宋"/>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2"/>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3.3.3无论采购文件服务需求中是否要求，供应商所响应的服务均应符合国家强制性标准。</w:t>
      </w:r>
    </w:p>
    <w:p>
      <w:pPr>
        <w:pStyle w:val="22"/>
        <w:keepNext w:val="0"/>
        <w:keepLines w:val="0"/>
        <w:pageBreakBefore w:val="0"/>
        <w:widowControl w:val="0"/>
        <w:kinsoku/>
        <w:wordWrap/>
        <w:overflowPunct/>
        <w:topLinePunct w:val="0"/>
        <w:autoSpaceDE/>
        <w:autoSpaceDN/>
        <w:bidi w:val="0"/>
        <w:adjustRightInd/>
        <w:snapToGrid/>
        <w:spacing w:line="480" w:lineRule="auto"/>
        <w:ind w:firstLine="460" w:firstLineChars="201"/>
        <w:contextualSpacing/>
        <w:jc w:val="left"/>
        <w:textAlignment w:val="auto"/>
        <w:outlineLvl w:val="9"/>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kern w:val="2"/>
          <w:sz w:val="24"/>
          <w:szCs w:val="24"/>
          <w:lang w:val="en-US" w:eastAsia="zh-CN" w:bidi="ar-SA"/>
        </w:rPr>
        <w:t>响应文件构成</w:t>
      </w:r>
    </w:p>
    <w:p>
      <w:pPr>
        <w:pStyle w:val="22"/>
        <w:keepNext w:val="0"/>
        <w:keepLines w:val="0"/>
        <w:pageBreakBefore w:val="0"/>
        <w:widowControl w:val="0"/>
        <w:kinsoku/>
        <w:wordWrap/>
        <w:overflowPunct/>
        <w:topLinePunct w:val="0"/>
        <w:autoSpaceDE/>
        <w:autoSpaceDN/>
        <w:bidi w:val="0"/>
        <w:adjustRightInd/>
        <w:snapToGrid/>
        <w:spacing w:line="480" w:lineRule="auto"/>
        <w:ind w:firstLine="458" w:firstLineChars="201"/>
        <w:contextualSpacing/>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pacing w:val="-6"/>
          <w:kern w:val="2"/>
          <w:sz w:val="24"/>
          <w:szCs w:val="24"/>
          <w:lang w:val="en-US" w:eastAsia="zh-CN" w:bidi="ar-SA"/>
        </w:rPr>
        <w:t>3.3.4响应文件应包括以下内容：</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承诺函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投标函及投标函附录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已标价工程量清单</w:t>
      </w:r>
    </w:p>
    <w:p>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技术标投标格式</w:t>
      </w:r>
    </w:p>
    <w:p>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项目管理机构</w:t>
      </w:r>
    </w:p>
    <w:p>
      <w:pPr>
        <w:keepNext w:val="0"/>
        <w:keepLines w:val="0"/>
        <w:pageBreakBefore w:val="0"/>
        <w:widowControl w:val="0"/>
        <w:kinsoku/>
        <w:wordWrap/>
        <w:overflowPunct/>
        <w:topLinePunct w:val="0"/>
        <w:bidi w:val="0"/>
        <w:snapToGrid/>
        <w:spacing w:line="48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资格审查资料</w:t>
      </w:r>
    </w:p>
    <w:p>
      <w:pPr>
        <w:pStyle w:val="86"/>
        <w:keepNext w:val="0"/>
        <w:keepLines w:val="0"/>
        <w:pageBreakBefore w:val="0"/>
        <w:widowControl w:val="0"/>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（7）</w:t>
      </w:r>
      <w:r>
        <w:rPr>
          <w:rFonts w:hint="eastAsia" w:ascii="仿宋" w:hAnsi="仿宋" w:eastAsia="仿宋" w:cs="仿宋"/>
          <w:color w:val="auto"/>
          <w:kern w:val="2"/>
          <w:sz w:val="24"/>
          <w:szCs w:val="24"/>
          <w:lang w:val="en-US" w:eastAsia="zh-CN" w:bidi="ar-SA"/>
        </w:rPr>
        <w:t>近三年（2021年1月以后）项目业绩表</w:t>
      </w:r>
    </w:p>
    <w:p>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（8）</w:t>
      </w:r>
      <w:r>
        <w:rPr>
          <w:rFonts w:hint="eastAsia" w:ascii="仿宋" w:hAnsi="仿宋" w:eastAsia="仿宋" w:cs="仿宋"/>
          <w:color w:val="auto"/>
          <w:kern w:val="2"/>
          <w:sz w:val="24"/>
          <w:szCs w:val="24"/>
          <w:lang w:val="en-US" w:eastAsia="zh-CN" w:bidi="ar-SA"/>
        </w:rPr>
        <w:t>商务条款偏离表</w:t>
      </w:r>
    </w:p>
    <w:p>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（9）</w:t>
      </w:r>
      <w:r>
        <w:rPr>
          <w:rFonts w:hint="eastAsia" w:ascii="仿宋" w:hAnsi="仿宋" w:eastAsia="仿宋" w:cs="仿宋"/>
          <w:color w:val="auto"/>
          <w:kern w:val="2"/>
          <w:sz w:val="24"/>
          <w:szCs w:val="24"/>
          <w:lang w:val="en-US" w:eastAsia="zh-CN" w:bidi="ar-SA"/>
        </w:rPr>
        <w:t>服务需求偏离表</w:t>
      </w:r>
    </w:p>
    <w:p>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color w:val="auto"/>
          <w:kern w:val="2"/>
          <w:sz w:val="24"/>
          <w:szCs w:val="24"/>
          <w:lang w:val="en-US" w:eastAsia="zh-CN" w:bidi="ar-SA"/>
        </w:rPr>
        <w:t>供应商情况表</w:t>
      </w:r>
    </w:p>
    <w:p>
      <w:pPr>
        <w:keepNext w:val="0"/>
        <w:keepLines w:val="0"/>
        <w:pageBreakBefore w:val="0"/>
        <w:widowControl w:val="0"/>
        <w:numPr>
          <w:ilvl w:val="0"/>
          <w:numId w:val="0"/>
        </w:numPr>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color w:val="auto"/>
          <w:kern w:val="2"/>
          <w:sz w:val="24"/>
          <w:szCs w:val="24"/>
          <w:lang w:val="en-US" w:eastAsia="zh-CN" w:bidi="ar-SA"/>
        </w:rPr>
        <w:t>关于资格的声明函</w:t>
      </w:r>
    </w:p>
    <w:p>
      <w:pPr>
        <w:keepNext w:val="0"/>
        <w:keepLines w:val="0"/>
        <w:pageBreakBefore w:val="0"/>
        <w:widowControl w:val="0"/>
        <w:kinsoku/>
        <w:wordWrap/>
        <w:overflowPunct/>
        <w:topLinePunct w:val="0"/>
        <w:bidi w:val="0"/>
        <w:snapToGrid/>
        <w:spacing w:line="480" w:lineRule="auto"/>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b w:val="0"/>
          <w:kern w:val="2"/>
          <w:sz w:val="24"/>
          <w:szCs w:val="24"/>
          <w:lang w:val="en-US" w:eastAsia="zh-CN" w:bidi="ar-SA"/>
        </w:rPr>
        <w:t>投标人认为需要提供的其他资料</w:t>
      </w:r>
    </w:p>
    <w:p>
      <w:pPr>
        <w:spacing w:line="540" w:lineRule="exact"/>
        <w:ind w:firstLine="456" w:firstLineChars="200"/>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 xml:space="preserve"> 3.3.5 除上述 3.3.4 条外，响应文件还应包括本须知第 3.3.6条的所有文件。</w:t>
      </w:r>
    </w:p>
    <w:p>
      <w:pPr>
        <w:pStyle w:val="2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3.3.6证明服务的合格性和符合磋商文件规定的文件</w:t>
      </w:r>
    </w:p>
    <w:p>
      <w:pPr>
        <w:pStyle w:val="2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bookmarkStart w:id="45" w:name="OLE_LINK1"/>
      <w:r>
        <w:rPr>
          <w:rFonts w:hint="eastAsia" w:ascii="仿宋" w:hAnsi="仿宋" w:eastAsia="仿宋" w:cs="仿宋"/>
          <w:spacing w:val="-6"/>
          <w:kern w:val="2"/>
          <w:sz w:val="24"/>
          <w:szCs w:val="24"/>
          <w:lang w:val="en-US" w:eastAsia="zh-CN" w:bidi="ar-SA"/>
        </w:rPr>
        <w:t>（1）</w:t>
      </w:r>
      <w:bookmarkEnd w:id="45"/>
      <w:r>
        <w:rPr>
          <w:rFonts w:hint="eastAsia" w:ascii="仿宋" w:hAnsi="仿宋" w:eastAsia="仿宋" w:cs="仿宋"/>
          <w:spacing w:val="-6"/>
          <w:kern w:val="2"/>
          <w:sz w:val="24"/>
          <w:szCs w:val="24"/>
          <w:lang w:val="en-US" w:eastAsia="zh-CN" w:bidi="ar-SA"/>
        </w:rPr>
        <w:t>供应商应提交证明文件，证明其拟供的合同项下的服务的合格性符合磋商文件的规定。该证明文件是磋商文件的一部分。</w:t>
      </w:r>
    </w:p>
    <w:p>
      <w:pPr>
        <w:pStyle w:val="2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（2）上款所述的证明文件，可以是文字资料、图纸和数据，它包括：</w:t>
      </w:r>
    </w:p>
    <w:p>
      <w:pPr>
        <w:pStyle w:val="22"/>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①服务内容及承诺的详细说明。</w:t>
      </w:r>
    </w:p>
    <w:p>
      <w:pPr>
        <w:pStyle w:val="22"/>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3.4. 磋商报价要求</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所提供的货物</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服务</w:t>
      </w:r>
      <w:r>
        <w:rPr>
          <w:rFonts w:hint="eastAsia" w:ascii="仿宋" w:hAnsi="仿宋" w:eastAsia="仿宋" w:cs="仿宋"/>
          <w:kern w:val="0"/>
          <w:sz w:val="24"/>
          <w:szCs w:val="24"/>
          <w:lang w:val="en-US" w:eastAsia="zh-CN"/>
        </w:rPr>
        <w:t>和工程</w:t>
      </w:r>
      <w:r>
        <w:rPr>
          <w:rFonts w:hint="eastAsia" w:ascii="仿宋" w:hAnsi="仿宋" w:eastAsia="仿宋" w:cs="仿宋"/>
          <w:color w:val="auto"/>
          <w:kern w:val="0"/>
          <w:sz w:val="24"/>
          <w:szCs w:val="24"/>
        </w:rPr>
        <w:t>均以人民币报价。</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3.4.2</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应按照“第</w:t>
      </w:r>
      <w:r>
        <w:rPr>
          <w:rFonts w:hint="eastAsia" w:ascii="仿宋" w:hAnsi="仿宋" w:eastAsia="仿宋" w:cs="仿宋"/>
          <w:kern w:val="0"/>
          <w:sz w:val="24"/>
          <w:szCs w:val="24"/>
          <w:lang w:eastAsia="zh-CN"/>
        </w:rPr>
        <w:t>二</w:t>
      </w:r>
      <w:r>
        <w:rPr>
          <w:rFonts w:hint="eastAsia" w:ascii="仿宋" w:hAnsi="仿宋" w:eastAsia="仿宋" w:cs="仿宋"/>
          <w:kern w:val="0"/>
          <w:sz w:val="24"/>
          <w:szCs w:val="24"/>
        </w:rPr>
        <w:t xml:space="preserve">章 </w:t>
      </w:r>
      <w:r>
        <w:rPr>
          <w:rFonts w:hint="eastAsia" w:ascii="仿宋" w:hAnsi="仿宋" w:eastAsia="仿宋" w:cs="仿宋"/>
          <w:kern w:val="0"/>
          <w:sz w:val="24"/>
          <w:szCs w:val="24"/>
          <w:lang w:eastAsia="zh-CN"/>
        </w:rPr>
        <w:t>工程量清单</w:t>
      </w:r>
      <w:r>
        <w:rPr>
          <w:rFonts w:hint="eastAsia" w:ascii="仿宋" w:hAnsi="仿宋" w:eastAsia="仿宋" w:cs="仿宋"/>
          <w:kern w:val="0"/>
          <w:sz w:val="24"/>
          <w:szCs w:val="24"/>
        </w:rPr>
        <w:t>”规定的货物、服务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工程</w:t>
      </w:r>
      <w:r>
        <w:rPr>
          <w:rFonts w:hint="eastAsia" w:ascii="仿宋" w:hAnsi="仿宋" w:eastAsia="仿宋" w:cs="仿宋"/>
          <w:kern w:val="0"/>
          <w:sz w:val="24"/>
          <w:szCs w:val="24"/>
        </w:rPr>
        <w:t>内容进行报价。</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应完整地填写</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中提供的《投标函及投标函附录》等</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 xml:space="preserve">中规定的所有内容。 </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3.4.3《投标函及投标函附录》填写时应响应下列要求：</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（1）对于报价免费的项目应标明“免费”；</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（2）所有根据合同或其它原因应由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支付的税款和其它应交纳的费用都要包括在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提交的磋商总价中；</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报价</w:t>
      </w:r>
      <w:r>
        <w:rPr>
          <w:rFonts w:hint="eastAsia" w:ascii="仿宋" w:hAnsi="仿宋" w:eastAsia="仿宋" w:cs="仿宋"/>
          <w:kern w:val="0"/>
          <w:sz w:val="24"/>
          <w:szCs w:val="24"/>
        </w:rPr>
        <w:t>应包含货物运至最终目的地的运输、保险和伴随货物服务的有关费用。</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每一种规格的货物只允许有一个报价，否则将被视为无效投标。</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所报的总价在合同执行过程中是固定不变的，不得以任何理由予以变更。</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的最后磋商报价超过项目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预算的为无效报价。</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3.5备选方案</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3.5.1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应按照</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须知前附表要求编制磋商备选方案，否则将被视为无效响应文件。</w:t>
      </w:r>
    </w:p>
    <w:p>
      <w:pPr>
        <w:pStyle w:val="5"/>
        <w:spacing w:line="500" w:lineRule="exact"/>
        <w:ind w:firstLine="487" w:firstLineChars="202"/>
        <w:jc w:val="left"/>
        <w:outlineLvl w:val="9"/>
        <w:rPr>
          <w:rFonts w:hint="eastAsia" w:ascii="仿宋" w:hAnsi="仿宋" w:eastAsia="仿宋" w:cs="仿宋"/>
          <w:kern w:val="0"/>
          <w:sz w:val="24"/>
          <w:szCs w:val="24"/>
          <w:lang w:eastAsia="zh-CN"/>
        </w:rPr>
      </w:pPr>
      <w:r>
        <w:rPr>
          <w:rFonts w:hint="eastAsia" w:ascii="仿宋" w:hAnsi="仿宋" w:eastAsia="仿宋" w:cs="仿宋"/>
          <w:b/>
          <w:bCs/>
          <w:kern w:val="0"/>
          <w:sz w:val="24"/>
          <w:szCs w:val="24"/>
        </w:rPr>
        <w:t>3.6联合体投标</w:t>
      </w:r>
      <w:r>
        <w:rPr>
          <w:rFonts w:hint="eastAsia" w:ascii="仿宋" w:hAnsi="仿宋" w:eastAsia="仿宋" w:cs="仿宋"/>
          <w:b/>
          <w:bCs/>
          <w:kern w:val="0"/>
          <w:sz w:val="24"/>
          <w:szCs w:val="24"/>
          <w:lang w:eastAsia="zh-CN"/>
        </w:rPr>
        <w:t>（若有时）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3.6.1两个以上</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可以组成一个联合体，以一个</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的身份共同参与磋商。</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3.6.2采取联合体形式磋商的，联合体各方均应当符合政府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法第二十二条规定的条件。</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人根据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项目的特殊要求规定</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特定条件的，联合体各方中至少有一方符合磋商文件规定的特定条件。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3.6.3联合体各方之间必须签订联合磋商协议，明确约定联合体主体及各方承担的工作和相应的责任，其响应文件中必须提供联合磋商协议。</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3.6.4以联合体形式参加政府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活动的，联合体各方不得再单独参加或者与其他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另外组成联合体参加同一合同项下的政府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3.6.5采取联合体形式投标的，其响应文件必须由联合体所有成员或其各自正式书面授权的代表签署（盖章），以便对所有成员作为整体及作为个体均具有法律约束力。</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3.6.6联合体成交的，联合体各方应当共同与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3.6.7联合体中有同类资质的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按照联合体分工承担相同工作的，应当按照资质等级较低的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确定资质等级。</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b/>
          <w:bCs/>
          <w:kern w:val="0"/>
          <w:sz w:val="24"/>
          <w:szCs w:val="24"/>
        </w:rPr>
      </w:pPr>
      <w:r>
        <w:rPr>
          <w:rFonts w:hint="eastAsia" w:ascii="仿宋" w:hAnsi="仿宋" w:eastAsia="仿宋" w:cs="仿宋"/>
          <w:kern w:val="0"/>
          <w:sz w:val="24"/>
          <w:szCs w:val="24"/>
        </w:rPr>
        <w:t xml:space="preserve">3.7. </w:t>
      </w:r>
      <w:r>
        <w:rPr>
          <w:rFonts w:hint="eastAsia" w:ascii="仿宋" w:hAnsi="仿宋" w:eastAsia="仿宋" w:cs="仿宋"/>
          <w:b/>
          <w:bCs/>
          <w:kern w:val="0"/>
          <w:sz w:val="24"/>
          <w:szCs w:val="24"/>
          <w:lang w:eastAsia="zh-CN"/>
        </w:rPr>
        <w:t>投标单位</w:t>
      </w:r>
      <w:r>
        <w:rPr>
          <w:rFonts w:hint="eastAsia" w:ascii="仿宋" w:hAnsi="仿宋" w:eastAsia="仿宋" w:cs="仿宋"/>
          <w:b/>
          <w:bCs/>
          <w:kern w:val="0"/>
          <w:sz w:val="24"/>
          <w:szCs w:val="24"/>
        </w:rPr>
        <w:t>资格证明文件</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3.7.1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应提交证明其有资格参加磋商和成交后有能力履行合同的文件，并作为其响应文件的一部分。</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3.7.2资格证明文件必须真实可靠、不得伪造。</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3.7.3</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相关资格证明文件：</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（1）法人或者其他组织的营业执照等证明文件，自然人的身份证明；</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）具备法律、行政法规规定的其他条件的证明材料；</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招标</w:t>
      </w:r>
      <w:r>
        <w:rPr>
          <w:rFonts w:hint="eastAsia" w:ascii="仿宋" w:hAnsi="仿宋" w:eastAsia="仿宋" w:cs="仿宋"/>
          <w:color w:val="auto"/>
          <w:kern w:val="0"/>
          <w:sz w:val="24"/>
          <w:szCs w:val="24"/>
        </w:rPr>
        <w:t>项目有特殊要求的，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还应当提供其符合特殊要求的证明材料或者情况说明；</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）信用信息查询记录；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（5）1.资质等级及范围：具备建设主管部门核发的建筑工程施工承包三级及以上资质；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720" w:firstLineChars="300"/>
        <w:jc w:val="left"/>
        <w:textAlignment w:val="auto"/>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2.项目负责人资质类别和等级:项目负责人资质要求具备建筑工程专业二级及以上注册建造师执业资格和有效的安全生产考核合格证书；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 3.具备施工企业安全生产许可证。</w:t>
      </w:r>
      <w:r>
        <w:rPr>
          <w:rFonts w:hint="eastAsia" w:ascii="仿宋" w:hAnsi="仿宋" w:eastAsia="仿宋" w:cs="仿宋"/>
          <w:color w:val="auto"/>
          <w:kern w:val="0"/>
          <w:sz w:val="24"/>
          <w:szCs w:val="24"/>
          <w:lang w:val="en-US" w:eastAsia="zh-CN" w:bidi="ar-SA"/>
        </w:rPr>
        <w:br w:type="textWrapping"/>
      </w:r>
      <w:r>
        <w:rPr>
          <w:rFonts w:hint="eastAsia" w:ascii="仿宋" w:hAnsi="仿宋" w:eastAsia="仿宋" w:cs="仿宋"/>
          <w:color w:val="auto"/>
          <w:kern w:val="0"/>
          <w:sz w:val="24"/>
          <w:szCs w:val="24"/>
          <w:lang w:val="en-US" w:eastAsia="zh-CN" w:bidi="ar-SA"/>
        </w:rPr>
        <w:t xml:space="preserve">     4.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）磋商文件要求或</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认为需提供的其它相关资格证明材料。</w:t>
      </w:r>
    </w:p>
    <w:p>
      <w:pPr>
        <w:pStyle w:val="5"/>
        <w:keepNext w:val="0"/>
        <w:keepLines w:val="0"/>
        <w:pageBreakBefore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3.7.4 采取资格</w:t>
      </w:r>
      <w:r>
        <w:rPr>
          <w:rFonts w:hint="eastAsia" w:ascii="仿宋" w:hAnsi="仿宋" w:eastAsia="仿宋" w:cs="仿宋"/>
          <w:kern w:val="0"/>
          <w:sz w:val="24"/>
          <w:szCs w:val="24"/>
          <w:lang w:eastAsia="zh-CN"/>
        </w:rPr>
        <w:t>后</w:t>
      </w:r>
      <w:r>
        <w:rPr>
          <w:rFonts w:hint="eastAsia" w:ascii="仿宋" w:hAnsi="仿宋" w:eastAsia="仿宋" w:cs="仿宋"/>
          <w:kern w:val="0"/>
          <w:sz w:val="24"/>
          <w:szCs w:val="24"/>
        </w:rPr>
        <w:t>审方式</w:t>
      </w:r>
      <w:r>
        <w:rPr>
          <w:rFonts w:hint="eastAsia" w:ascii="仿宋" w:hAnsi="仿宋" w:eastAsia="仿宋" w:cs="仿宋"/>
          <w:kern w:val="0"/>
          <w:sz w:val="24"/>
          <w:szCs w:val="24"/>
          <w:lang w:eastAsia="zh-CN"/>
        </w:rPr>
        <w:t>。</w:t>
      </w:r>
    </w:p>
    <w:p>
      <w:pPr>
        <w:pStyle w:val="22"/>
        <w:spacing w:line="600" w:lineRule="exact"/>
        <w:ind w:firstLine="484" w:firstLineChars="201"/>
        <w:contextualSpacing/>
        <w:jc w:val="left"/>
        <w:outlineLvl w:val="9"/>
        <w:rPr>
          <w:rFonts w:hint="eastAsia" w:ascii="仿宋" w:hAnsi="仿宋" w:eastAsia="仿宋" w:cs="仿宋"/>
          <w:b/>
          <w:sz w:val="24"/>
          <w:szCs w:val="24"/>
          <w:lang w:val="en-US" w:eastAsia="zh-CN"/>
        </w:rPr>
      </w:pPr>
      <w:r>
        <w:rPr>
          <w:rFonts w:hint="eastAsia" w:ascii="仿宋" w:hAnsi="仿宋" w:eastAsia="仿宋" w:cs="仿宋"/>
          <w:b/>
          <w:sz w:val="24"/>
          <w:szCs w:val="24"/>
        </w:rPr>
        <w:t xml:space="preserve">3.8. </w:t>
      </w:r>
      <w:r>
        <w:rPr>
          <w:rFonts w:hint="eastAsia" w:ascii="仿宋" w:hAnsi="仿宋" w:eastAsia="仿宋" w:cs="仿宋"/>
          <w:b/>
          <w:sz w:val="24"/>
          <w:szCs w:val="24"/>
          <w:lang w:eastAsia="zh-CN"/>
        </w:rPr>
        <w:t>磋商</w:t>
      </w:r>
      <w:r>
        <w:rPr>
          <w:rFonts w:hint="eastAsia" w:ascii="仿宋" w:hAnsi="仿宋" w:eastAsia="仿宋" w:cs="仿宋"/>
          <w:b/>
          <w:sz w:val="24"/>
          <w:szCs w:val="24"/>
        </w:rPr>
        <w:t>保证金</w:t>
      </w:r>
      <w:r>
        <w:rPr>
          <w:rFonts w:hint="eastAsia" w:ascii="仿宋" w:hAnsi="仿宋" w:eastAsia="仿宋" w:cs="仿宋"/>
          <w:b/>
          <w:sz w:val="24"/>
          <w:szCs w:val="24"/>
          <w:lang w:val="en-US" w:eastAsia="zh-CN"/>
        </w:rPr>
        <w:t>(此项目不收磋商保证金）</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3.8.1</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应在响应文件截止时间之前，应按</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须知前附表规定的金额</w:t>
      </w:r>
      <w:r>
        <w:rPr>
          <w:rFonts w:hint="eastAsia" w:ascii="仿宋" w:hAnsi="仿宋" w:eastAsia="仿宋" w:cs="仿宋"/>
          <w:sz w:val="24"/>
          <w:szCs w:val="24"/>
          <w:lang w:eastAsia="zh-CN"/>
        </w:rPr>
        <w:t>和磋商</w:t>
      </w:r>
      <w:r>
        <w:rPr>
          <w:rFonts w:hint="eastAsia" w:ascii="仿宋" w:hAnsi="仿宋" w:eastAsia="仿宋" w:cs="仿宋"/>
          <w:sz w:val="24"/>
          <w:szCs w:val="24"/>
        </w:rPr>
        <w:t>保证金格式递交</w:t>
      </w:r>
      <w:r>
        <w:rPr>
          <w:rFonts w:hint="eastAsia" w:ascii="仿宋" w:hAnsi="仿宋" w:eastAsia="仿宋" w:cs="仿宋"/>
          <w:sz w:val="24"/>
          <w:szCs w:val="24"/>
          <w:lang w:eastAsia="zh-CN"/>
        </w:rPr>
        <w:t>磋商</w:t>
      </w:r>
      <w:r>
        <w:rPr>
          <w:rFonts w:hint="eastAsia" w:ascii="仿宋" w:hAnsi="仿宋" w:eastAsia="仿宋" w:cs="仿宋"/>
          <w:sz w:val="24"/>
          <w:szCs w:val="24"/>
        </w:rPr>
        <w:t>保证金，并作为其响应文件的组成部分</w:t>
      </w:r>
      <w:r>
        <w:rPr>
          <w:rFonts w:hint="eastAsia" w:ascii="仿宋" w:hAnsi="仿宋" w:eastAsia="仿宋" w:cs="仿宋"/>
          <w:sz w:val="24"/>
          <w:szCs w:val="24"/>
          <w:lang w:eastAsia="zh-CN"/>
        </w:rPr>
        <w:t>。</w:t>
      </w:r>
      <w:r>
        <w:rPr>
          <w:rFonts w:hint="eastAsia" w:ascii="仿宋" w:hAnsi="仿宋" w:eastAsia="仿宋" w:cs="仿宋"/>
          <w:kern w:val="0"/>
          <w:sz w:val="24"/>
          <w:szCs w:val="24"/>
        </w:rPr>
        <w:t>（不接受现金缴纳）。保证金缴纳时间以该项目所对应的保证金收取账号中显示的到账时间为准。</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3.8.2对于未能按要求提交保证金的将视为未响应磋商文件的要求，其响应文件无效。</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3.8.3未</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保证金,代理机构将在</w:t>
      </w:r>
      <w:r>
        <w:rPr>
          <w:rFonts w:hint="eastAsia" w:ascii="仿宋" w:hAnsi="仿宋" w:eastAsia="仿宋" w:cs="仿宋"/>
          <w:kern w:val="0"/>
          <w:sz w:val="24"/>
          <w:szCs w:val="24"/>
          <w:lang w:eastAsia="zh-CN"/>
        </w:rPr>
        <w:t>中标</w:t>
      </w:r>
      <w:r>
        <w:rPr>
          <w:rFonts w:hint="eastAsia" w:ascii="仿宋" w:hAnsi="仿宋" w:eastAsia="仿宋" w:cs="仿宋"/>
          <w:kern w:val="0"/>
          <w:sz w:val="24"/>
          <w:szCs w:val="24"/>
        </w:rPr>
        <w:t>通知书发出后5个工作日内，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退还时，请携带投标单位收到退还</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保证金收据一份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并提供单位名称、账号、行号等相关资料</w:t>
      </w:r>
      <w:r>
        <w:rPr>
          <w:rFonts w:hint="eastAsia" w:ascii="仿宋" w:hAnsi="仿宋" w:eastAsia="仿宋" w:cs="仿宋"/>
          <w:kern w:val="0"/>
          <w:sz w:val="24"/>
          <w:szCs w:val="24"/>
          <w:lang w:eastAsia="zh-CN"/>
        </w:rPr>
        <w:t>）。代理机构</w:t>
      </w:r>
      <w:r>
        <w:rPr>
          <w:rFonts w:hint="eastAsia" w:ascii="仿宋" w:hAnsi="仿宋" w:eastAsia="仿宋" w:cs="仿宋"/>
          <w:kern w:val="0"/>
          <w:sz w:val="24"/>
          <w:szCs w:val="24"/>
        </w:rPr>
        <w:t>不退还现金。</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3.8.4</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人签订合同，并将合同原件报</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中标单位。</w:t>
      </w:r>
      <w:r>
        <w:rPr>
          <w:rFonts w:hint="eastAsia" w:ascii="仿宋" w:hAnsi="仿宋" w:eastAsia="仿宋" w:cs="仿宋"/>
          <w:b/>
          <w:bCs/>
          <w:kern w:val="0"/>
          <w:sz w:val="24"/>
          <w:szCs w:val="24"/>
        </w:rPr>
        <w:t>退还时，请携带投标单位收到退还</w:t>
      </w:r>
      <w:r>
        <w:rPr>
          <w:rFonts w:hint="eastAsia" w:ascii="仿宋" w:hAnsi="仿宋" w:eastAsia="仿宋" w:cs="仿宋"/>
          <w:b/>
          <w:bCs/>
          <w:kern w:val="0"/>
          <w:sz w:val="24"/>
          <w:szCs w:val="24"/>
          <w:lang w:eastAsia="zh-CN"/>
        </w:rPr>
        <w:t>磋商</w:t>
      </w:r>
      <w:r>
        <w:rPr>
          <w:rFonts w:hint="eastAsia" w:ascii="仿宋" w:hAnsi="仿宋" w:eastAsia="仿宋" w:cs="仿宋"/>
          <w:b/>
          <w:bCs/>
          <w:kern w:val="0"/>
          <w:sz w:val="24"/>
          <w:szCs w:val="24"/>
        </w:rPr>
        <w:t>保证金收据一份</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并提供单位名称、账号、行号等相关资料</w:t>
      </w:r>
      <w:r>
        <w:rPr>
          <w:rFonts w:hint="eastAsia" w:ascii="仿宋" w:hAnsi="仿宋" w:eastAsia="仿宋" w:cs="仿宋"/>
          <w:b/>
          <w:bCs/>
          <w:kern w:val="0"/>
          <w:sz w:val="24"/>
          <w:szCs w:val="24"/>
          <w:lang w:eastAsia="zh-CN"/>
        </w:rPr>
        <w:t>）。</w:t>
      </w:r>
      <w:r>
        <w:rPr>
          <w:rFonts w:hint="eastAsia" w:ascii="仿宋" w:hAnsi="仿宋" w:eastAsia="仿宋" w:cs="仿宋"/>
          <w:b w:val="0"/>
          <w:bCs w:val="0"/>
          <w:kern w:val="0"/>
          <w:sz w:val="24"/>
          <w:szCs w:val="24"/>
          <w:lang w:eastAsia="zh-CN"/>
        </w:rPr>
        <w:t>代理机构</w:t>
      </w:r>
      <w:r>
        <w:rPr>
          <w:rFonts w:hint="eastAsia" w:ascii="仿宋" w:hAnsi="仿宋" w:eastAsia="仿宋" w:cs="仿宋"/>
          <w:b w:val="0"/>
          <w:bCs w:val="0"/>
          <w:kern w:val="0"/>
          <w:sz w:val="24"/>
          <w:szCs w:val="24"/>
        </w:rPr>
        <w:t>不退还现金。</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3.8.5有下列情形之一的，保证金将被没收：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在响应文件中提供虚假资料的；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（2）除因不可抗力或磋商文件认可的情形以外，</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或者</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代理机构恶意串通的；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（4）磋商文件规定的其他情形。</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 磋商的有效期</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3.9.1磋商有效期详见</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响应文件中有效期不足的将被视为无效文件。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3.9.2 有效期内</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未经</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结果确认谈判达成一致不得改变其磋商最后报价及承诺的全部义务。</w:t>
      </w:r>
      <w:bookmarkStart w:id="46" w:name="_Toc293736056"/>
      <w:bookmarkStart w:id="47" w:name="_Toc446599313"/>
      <w:bookmarkStart w:id="48" w:name="_Toc293736013"/>
      <w:bookmarkStart w:id="49" w:name="_Toc22798"/>
      <w:bookmarkStart w:id="50" w:name="_Toc293738994"/>
    </w:p>
    <w:p>
      <w:pPr>
        <w:pStyle w:val="5"/>
        <w:spacing w:line="500" w:lineRule="exact"/>
        <w:ind w:firstLine="484" w:firstLineChars="202"/>
        <w:jc w:val="left"/>
        <w:outlineLvl w:val="9"/>
        <w:rPr>
          <w:rFonts w:hint="eastAsia" w:ascii="仿宋" w:hAnsi="仿宋" w:eastAsia="仿宋" w:cs="仿宋"/>
          <w:kern w:val="0"/>
          <w:sz w:val="24"/>
          <w:szCs w:val="24"/>
        </w:rPr>
      </w:pPr>
    </w:p>
    <w:p>
      <w:pPr>
        <w:pStyle w:val="4"/>
        <w:numPr>
          <w:ilvl w:val="0"/>
          <w:numId w:val="6"/>
        </w:numPr>
        <w:ind w:left="210" w:leftChars="0" w:firstLineChars="0"/>
        <w:outlineLvl w:val="1"/>
        <w:rPr>
          <w:rFonts w:hint="eastAsia" w:ascii="仿宋" w:hAnsi="仿宋" w:eastAsia="仿宋" w:cs="仿宋"/>
          <w:b/>
          <w:bCs/>
          <w:color w:val="000000" w:themeColor="text1"/>
          <w:sz w:val="24"/>
          <w:szCs w:val="24"/>
          <w14:textFill>
            <w14:solidFill>
              <w14:schemeClr w14:val="tx1"/>
            </w14:solidFill>
          </w14:textFill>
        </w:rPr>
      </w:pPr>
      <w:bookmarkStart w:id="51" w:name="_Toc11043"/>
      <w:r>
        <w:rPr>
          <w:rFonts w:hint="eastAsia" w:ascii="仿宋" w:hAnsi="仿宋" w:eastAsia="仿宋" w:cs="仿宋"/>
          <w:b/>
          <w:bCs/>
          <w:color w:val="000000" w:themeColor="text1"/>
          <w:sz w:val="24"/>
          <w:szCs w:val="24"/>
          <w14:textFill>
            <w14:solidFill>
              <w14:schemeClr w14:val="tx1"/>
            </w14:solidFill>
          </w14:textFill>
        </w:rPr>
        <w:t>响应文件的递交</w:t>
      </w:r>
      <w:bookmarkEnd w:id="46"/>
      <w:bookmarkEnd w:id="47"/>
      <w:bookmarkEnd w:id="48"/>
      <w:bookmarkEnd w:id="49"/>
      <w:bookmarkEnd w:id="50"/>
      <w:bookmarkEnd w:id="51"/>
    </w:p>
    <w:p>
      <w:pPr>
        <w:pStyle w:val="4"/>
        <w:numPr>
          <w:ilvl w:val="0"/>
          <w:numId w:val="0"/>
        </w:numPr>
        <w:ind w:firstLine="482" w:firstLineChars="200"/>
        <w:jc w:val="both"/>
        <w:outlineLvl w:val="1"/>
        <w:rPr>
          <w:rFonts w:hint="eastAsia" w:ascii="仿宋" w:hAnsi="仿宋" w:eastAsia="仿宋" w:cs="仿宋"/>
          <w:kern w:val="0"/>
          <w:sz w:val="24"/>
          <w:szCs w:val="24"/>
        </w:rPr>
      </w:pPr>
      <w:bookmarkStart w:id="52" w:name="_Toc31052"/>
      <w:r>
        <w:rPr>
          <w:rFonts w:hint="eastAsia" w:ascii="仿宋" w:hAnsi="仿宋" w:eastAsia="仿宋" w:cs="仿宋"/>
          <w:b/>
          <w:sz w:val="24"/>
          <w:szCs w:val="24"/>
        </w:rPr>
        <w:t>4.</w:t>
      </w:r>
      <w:r>
        <w:rPr>
          <w:rFonts w:hint="eastAsia" w:ascii="仿宋" w:hAnsi="仿宋" w:eastAsia="仿宋" w:cs="仿宋"/>
          <w:b/>
          <w:color w:val="000000" w:themeColor="text1"/>
          <w:sz w:val="24"/>
          <w:szCs w:val="24"/>
          <w14:textFill>
            <w14:solidFill>
              <w14:schemeClr w14:val="tx1"/>
            </w14:solidFill>
          </w14:textFill>
        </w:rPr>
        <w:t>响</w:t>
      </w:r>
      <w:r>
        <w:rPr>
          <w:rFonts w:hint="eastAsia" w:ascii="仿宋" w:hAnsi="仿宋" w:eastAsia="仿宋" w:cs="仿宋"/>
          <w:b/>
          <w:sz w:val="24"/>
          <w:szCs w:val="24"/>
        </w:rPr>
        <w:t>应文件</w:t>
      </w:r>
      <w:r>
        <w:rPr>
          <w:rFonts w:hint="eastAsia" w:ascii="仿宋" w:hAnsi="仿宋" w:eastAsia="仿宋" w:cs="仿宋"/>
          <w:b/>
          <w:color w:val="000000" w:themeColor="text1"/>
          <w:sz w:val="24"/>
          <w:szCs w:val="24"/>
          <w14:textFill>
            <w14:solidFill>
              <w14:schemeClr w14:val="tx1"/>
            </w14:solidFill>
          </w14:textFill>
        </w:rPr>
        <w:t>的</w:t>
      </w:r>
      <w:r>
        <w:rPr>
          <w:rFonts w:hint="eastAsia" w:ascii="仿宋" w:hAnsi="仿宋" w:eastAsia="仿宋" w:cs="仿宋"/>
          <w:b/>
          <w:sz w:val="24"/>
          <w:szCs w:val="24"/>
        </w:rPr>
        <w:t>递交</w:t>
      </w:r>
      <w:bookmarkEnd w:id="52"/>
    </w:p>
    <w:p>
      <w:pPr>
        <w:pStyle w:val="5"/>
        <w:spacing w:line="500" w:lineRule="exact"/>
        <w:ind w:firstLine="484" w:firstLineChars="202"/>
        <w:jc w:val="both"/>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投标截止时间以政采云中心交易平台显示的时间为准，逾期系统将自动关闭，未完成上传的响应文件视为逾期送达，将被拒绝。</w:t>
      </w:r>
    </w:p>
    <w:p>
      <w:pPr>
        <w:pStyle w:val="5"/>
        <w:spacing w:line="500" w:lineRule="exact"/>
        <w:ind w:firstLine="484" w:firstLineChars="202"/>
        <w:jc w:val="left"/>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4.3是否采用不见面开标方式详见投标人须知前附表，若本项目采用不见面开标，提供电子响应文件U盘、纸质响应文件详见须知前附表。</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4.4投标人应当在招标文件要求提交响应文件的截止时间前网上投标。</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4.6任何不完整或不满足招标文件要求的响应文件将被拒绝。</w:t>
      </w:r>
    </w:p>
    <w:p>
      <w:pPr>
        <w:pStyle w:val="4"/>
        <w:outlineLvl w:val="1"/>
        <w:rPr>
          <w:rFonts w:hint="eastAsia" w:ascii="仿宋" w:hAnsi="仿宋" w:eastAsia="仿宋" w:cs="仿宋"/>
          <w:b/>
          <w:bCs/>
          <w:sz w:val="24"/>
          <w:szCs w:val="24"/>
        </w:rPr>
      </w:pPr>
      <w:bookmarkStart w:id="53" w:name="_Toc293738995"/>
      <w:bookmarkStart w:id="54" w:name="_Toc293736057"/>
      <w:bookmarkStart w:id="55" w:name="_Toc293736014"/>
      <w:bookmarkStart w:id="56" w:name="_Toc446599314"/>
      <w:bookmarkStart w:id="57" w:name="_Toc9220"/>
      <w:bookmarkStart w:id="58" w:name="_Toc6803"/>
      <w:bookmarkStart w:id="59" w:name="_Toc19266"/>
      <w:r>
        <w:rPr>
          <w:rFonts w:hint="eastAsia" w:ascii="仿宋" w:hAnsi="仿宋" w:eastAsia="仿宋" w:cs="仿宋"/>
          <w:b/>
          <w:bCs/>
          <w:sz w:val="24"/>
          <w:szCs w:val="24"/>
        </w:rPr>
        <w:t>五、</w:t>
      </w:r>
      <w:bookmarkEnd w:id="53"/>
      <w:bookmarkEnd w:id="54"/>
      <w:bookmarkEnd w:id="55"/>
      <w:bookmarkEnd w:id="56"/>
      <w:r>
        <w:rPr>
          <w:rFonts w:hint="eastAsia" w:ascii="仿宋" w:hAnsi="仿宋" w:eastAsia="仿宋" w:cs="仿宋"/>
          <w:b/>
          <w:bCs/>
          <w:sz w:val="24"/>
          <w:szCs w:val="24"/>
        </w:rPr>
        <w:t>竞争性磋商程序</w:t>
      </w:r>
      <w:bookmarkEnd w:id="57"/>
      <w:bookmarkEnd w:id="58"/>
      <w:bookmarkEnd w:id="59"/>
    </w:p>
    <w:p>
      <w:pPr>
        <w:widowControl/>
        <w:spacing w:line="520" w:lineRule="atLeast"/>
        <w:ind w:firstLine="420"/>
        <w:textAlignment w:val="baseline"/>
        <w:rPr>
          <w:rFonts w:hint="eastAsia" w:ascii="仿宋" w:hAnsi="仿宋" w:eastAsia="仿宋" w:cs="仿宋"/>
          <w:b/>
          <w:sz w:val="24"/>
          <w:szCs w:val="24"/>
        </w:rPr>
      </w:pPr>
      <w:r>
        <w:rPr>
          <w:rFonts w:hint="eastAsia" w:ascii="仿宋" w:hAnsi="仿宋" w:eastAsia="仿宋" w:cs="仿宋"/>
          <w:b/>
          <w:sz w:val="24"/>
          <w:szCs w:val="24"/>
        </w:rPr>
        <w:t>5</w:t>
      </w:r>
      <w:r>
        <w:rPr>
          <w:rFonts w:hint="eastAsia" w:ascii="仿宋" w:hAnsi="仿宋" w:eastAsia="仿宋" w:cs="仿宋"/>
          <w:b/>
          <w:color w:val="000000"/>
          <w:kern w:val="0"/>
          <w:sz w:val="24"/>
          <w:szCs w:val="24"/>
        </w:rPr>
        <w:t>.</w:t>
      </w:r>
      <w:r>
        <w:rPr>
          <w:rFonts w:hint="eastAsia" w:ascii="仿宋" w:hAnsi="仿宋" w:eastAsia="仿宋" w:cs="仿宋"/>
          <w:b/>
          <w:sz w:val="24"/>
          <w:szCs w:val="24"/>
        </w:rPr>
        <w:t>1磋商小组的组成</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5.1.1评审由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单位依法组建的磋商小组负责。磋商小组由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"file:///C:\\WordForm\\e944b4b1-01b6-4e42-b170-f783fcf7903a.doc" \l "_评标委员会"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5.2磋商方法</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5.2.1磋商小组将按照磋商文件确定的评审方法进行评审。磋商小组对响应文件的评审分为响应文件初审、澄清有关问题、比较与评价响应文件、推荐中标候选人名单。</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5.2.1项目评审方法详见磋商文件“第</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评审方法。</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5.3响应文件的初审</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初审分为资格性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5.3.1资格性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的响应文件进行资格评审。</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（2）磋商小组在进行资格检查时，不得改变磋商文件中已载明的资格条件、标准和办法。</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）磋商小组在评审中必要时可按</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提供的联系方式就有关问题进行查询核实，或要求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做出书面澄清，查询及澄清结果将作为审查的依据。</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）通过全部</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条件合格的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才能通过资格检查，其响应文件方可进入下一个检查阶段。</w:t>
      </w:r>
    </w:p>
    <w:p>
      <w:pPr>
        <w:pStyle w:val="5"/>
        <w:spacing w:line="500" w:lineRule="exact"/>
        <w:ind w:firstLine="484" w:firstLineChars="202"/>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5.3.2</w:t>
      </w:r>
      <w:r>
        <w:rPr>
          <w:rFonts w:hint="eastAsia" w:ascii="仿宋" w:hAnsi="仿宋" w:eastAsia="仿宋" w:cs="仿宋"/>
          <w:kern w:val="0"/>
          <w:sz w:val="24"/>
          <w:szCs w:val="24"/>
          <w:lang w:eastAsia="zh-CN"/>
        </w:rPr>
        <w:t>初步评审检查</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 xml:space="preserve">5.4违法违规行为 </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kern w:val="0"/>
          <w:sz w:val="24"/>
          <w:szCs w:val="24"/>
        </w:rPr>
        <w:t>5.4.1在评审过程中，</w:t>
      </w:r>
      <w:r>
        <w:rPr>
          <w:rFonts w:hint="eastAsia" w:ascii="仿宋" w:hAnsi="仿宋" w:eastAsia="仿宋" w:cs="仿宋"/>
          <w:color w:val="auto"/>
          <w:kern w:val="0"/>
          <w:sz w:val="24"/>
          <w:szCs w:val="24"/>
        </w:rPr>
        <w:t>磋商小组发现</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有下列情形之一的，作无效文件处理：</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（1）属于同一集团、协会、商会等组织成员的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按照该组织要求协同投标；</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的响应文件由同一单位或者个人编制；</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委托同一单位或者个人办理投标事宜；</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的响应文件载明的项目管理成员为同一人；</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的响应文件异常一致或者投标报价呈规律性差异；</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的响应文件相互混装；</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的投标保证金从同一单位或者个人的账户转出；</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（8）使用伪造、变造的行政许可证件；</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（9）提供虚假的财务状况或者业绩；</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（10）提供虚假的项目负责人或者主要技术人员简历、劳动关系证明；</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（11）提供虚假的信用状况；</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（12）其他弄虚作假的行为。</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5.5 磋商小组审查响应文件是否完整、有无计算上的错误等。</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5.5.1 响应文件的修正及澄清</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（1）磋商小组对确定为实质上响应磋商文件要求的响应文件进行校核，看其是否有计算或表达上的错误，算术错误将按以下方法更正：</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不接受对其错误的更正，其响应文件将被视为无效文件。</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5.5.3实质上没有响应磋商文件要求的响应文件将被视为无效文件。</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不得通过修正或撤销不合要求的偏离从而使其成为实质上响应的文件。</w:t>
      </w:r>
    </w:p>
    <w:p>
      <w:pPr>
        <w:pStyle w:val="22"/>
        <w:spacing w:line="600" w:lineRule="exact"/>
        <w:ind w:firstLine="482" w:firstLineChars="201"/>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5.5.4评审期间，磋商小组有权要求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对其响应文件中含义不明确、同类问题表述不一致或者有明显文字和计算错误的内容等作必要的澄清、说明或者补正。</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必须按照磋商小组要求的澄清内容和时间做出澄清。除按本磋商文件规定改正算术错误外，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对响应文件的澄清不得超出响应文件的范围或者改变响应文件的实质性内容。在评审期间,磋商小组可要求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对其响应文件进行澄清，但不得寻求、提供或允许</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对投标报价等实质性内容做任何更改。有关澄清的答复均应由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的法定代表人或授权代表以书面形式作出并签字。</w:t>
      </w:r>
    </w:p>
    <w:p>
      <w:pPr>
        <w:pStyle w:val="5"/>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kern w:val="0"/>
          <w:sz w:val="24"/>
          <w:szCs w:val="24"/>
        </w:rPr>
        <w:t>5.5.5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的澄清文件是其响应文件</w:t>
      </w:r>
      <w:r>
        <w:rPr>
          <w:rFonts w:hint="eastAsia" w:ascii="仿宋" w:hAnsi="仿宋" w:eastAsia="仿宋" w:cs="仿宋"/>
          <w:sz w:val="24"/>
          <w:szCs w:val="24"/>
        </w:rPr>
        <w:t>的组成部分。</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5.6磋商</w:t>
      </w:r>
    </w:p>
    <w:p>
      <w:pPr>
        <w:pStyle w:val="5"/>
        <w:spacing w:line="500" w:lineRule="exact"/>
        <w:ind w:firstLine="484" w:firstLineChars="202"/>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5.6.1磋商小组所有成员应当集中与单一投标单位分别进行磋商，并给予所有参加磋商的投标单位平等的磋商机会。</w:t>
      </w:r>
    </w:p>
    <w:p>
      <w:pPr>
        <w:pStyle w:val="5"/>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xml:space="preserve">　  </w:t>
      </w: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5"/>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5"/>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5"/>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5"/>
        <w:spacing w:line="500" w:lineRule="exact"/>
        <w:ind w:firstLine="56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5.6.10招标结果确认</w:t>
      </w:r>
    </w:p>
    <w:p>
      <w:pPr>
        <w:pStyle w:val="5"/>
        <w:spacing w:line="500" w:lineRule="exact"/>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2"/>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5.7.公示或公告</w:t>
      </w:r>
    </w:p>
    <w:p>
      <w:pPr>
        <w:pStyle w:val="22"/>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5.7.1</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确定后，招标代理机构将</w:t>
      </w:r>
      <w:r>
        <w:rPr>
          <w:rFonts w:hint="eastAsia" w:ascii="仿宋" w:hAnsi="仿宋" w:eastAsia="仿宋" w:cs="仿宋"/>
          <w:sz w:val="24"/>
          <w:szCs w:val="24"/>
          <w:highlight w:val="white"/>
          <w:lang w:eastAsia="zh-CN"/>
        </w:rPr>
        <w:t>在</w:t>
      </w:r>
      <w:r>
        <w:rPr>
          <w:rFonts w:hint="eastAsia" w:ascii="仿宋" w:hAnsi="仿宋" w:eastAsia="仿宋" w:cs="仿宋"/>
          <w:sz w:val="24"/>
          <w:szCs w:val="24"/>
          <w:highlight w:val="white"/>
          <w:lang w:val="en-US" w:eastAsia="zh-CN"/>
        </w:rPr>
        <w:t>新疆政府采购网</w:t>
      </w:r>
      <w:r>
        <w:rPr>
          <w:rFonts w:hint="eastAsia" w:ascii="仿宋" w:hAnsi="仿宋" w:eastAsia="仿宋" w:cs="仿宋"/>
          <w:sz w:val="24"/>
          <w:szCs w:val="24"/>
          <w:highlight w:val="white"/>
          <w:lang w:eastAsia="zh-CN"/>
        </w:rPr>
        <w:t>上公示</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公示期</w:t>
      </w:r>
      <w:r>
        <w:rPr>
          <w:rFonts w:hint="eastAsia" w:ascii="仿宋" w:hAnsi="仿宋" w:eastAsia="仿宋" w:cs="仿宋"/>
          <w:sz w:val="24"/>
          <w:szCs w:val="24"/>
          <w:highlight w:val="white"/>
          <w:lang w:val="en-US" w:eastAsia="zh-CN"/>
        </w:rPr>
        <w:t>结束后</w:t>
      </w:r>
      <w:r>
        <w:rPr>
          <w:rFonts w:hint="eastAsia" w:ascii="仿宋" w:hAnsi="仿宋" w:eastAsia="仿宋" w:cs="仿宋"/>
          <w:sz w:val="24"/>
          <w:szCs w:val="24"/>
          <w:highlight w:val="white"/>
        </w:rPr>
        <w:t>向</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发出《中标通知书》。《中标通知书》是合同的组成部分,对</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和招标人具有同等法律效力。</w:t>
      </w:r>
    </w:p>
    <w:p>
      <w:pPr>
        <w:pStyle w:val="4"/>
        <w:outlineLvl w:val="1"/>
        <w:rPr>
          <w:rFonts w:hint="eastAsia" w:ascii="仿宋" w:hAnsi="仿宋" w:eastAsia="仿宋" w:cs="仿宋"/>
          <w:b/>
          <w:bCs/>
          <w:sz w:val="24"/>
          <w:szCs w:val="24"/>
        </w:rPr>
      </w:pPr>
      <w:bookmarkStart w:id="60" w:name="_Toc446599315"/>
      <w:bookmarkStart w:id="61" w:name="_Toc24424"/>
      <w:bookmarkStart w:id="62" w:name="_Toc293738996"/>
      <w:bookmarkStart w:id="63" w:name="_Toc293736058"/>
      <w:bookmarkStart w:id="64" w:name="_Toc293736015"/>
      <w:bookmarkStart w:id="65" w:name="_Toc14347"/>
      <w:bookmarkStart w:id="66" w:name="_Toc10373"/>
      <w:r>
        <w:rPr>
          <w:rFonts w:hint="eastAsia" w:ascii="仿宋" w:hAnsi="仿宋" w:eastAsia="仿宋" w:cs="仿宋"/>
          <w:b/>
          <w:bCs/>
          <w:sz w:val="24"/>
          <w:szCs w:val="24"/>
          <w:lang w:eastAsia="zh-CN"/>
        </w:rPr>
        <w:t>六、</w:t>
      </w:r>
      <w:r>
        <w:rPr>
          <w:rFonts w:hint="eastAsia" w:ascii="仿宋" w:hAnsi="仿宋" w:eastAsia="仿宋" w:cs="仿宋"/>
          <w:b/>
          <w:bCs/>
          <w:sz w:val="24"/>
          <w:szCs w:val="24"/>
        </w:rPr>
        <w:t>授予合同</w:t>
      </w:r>
      <w:bookmarkEnd w:id="60"/>
      <w:bookmarkEnd w:id="61"/>
      <w:bookmarkEnd w:id="62"/>
      <w:bookmarkEnd w:id="63"/>
      <w:bookmarkEnd w:id="64"/>
      <w:bookmarkEnd w:id="65"/>
      <w:bookmarkEnd w:id="66"/>
    </w:p>
    <w:p>
      <w:pPr>
        <w:widowControl/>
        <w:spacing w:line="520" w:lineRule="atLeast"/>
        <w:ind w:firstLine="42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6.1签订合同</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4"/>
        <w:outlineLvl w:val="1"/>
        <w:rPr>
          <w:rFonts w:hint="eastAsia" w:ascii="仿宋" w:hAnsi="仿宋" w:eastAsia="仿宋" w:cs="仿宋"/>
          <w:b/>
          <w:bCs/>
          <w:sz w:val="24"/>
          <w:szCs w:val="24"/>
        </w:rPr>
      </w:pPr>
      <w:bookmarkStart w:id="67" w:name="_Toc293736059"/>
      <w:bookmarkStart w:id="68" w:name="_Toc293738997"/>
      <w:bookmarkStart w:id="69" w:name="_Toc293736016"/>
      <w:bookmarkStart w:id="70" w:name="_Toc446599316"/>
      <w:bookmarkStart w:id="71" w:name="_Toc29468"/>
      <w:bookmarkStart w:id="72" w:name="_Toc14775"/>
      <w:bookmarkStart w:id="73" w:name="_Toc22901"/>
      <w:r>
        <w:rPr>
          <w:rFonts w:hint="eastAsia" w:ascii="仿宋" w:hAnsi="仿宋" w:eastAsia="仿宋" w:cs="仿宋"/>
          <w:b/>
          <w:bCs/>
          <w:sz w:val="24"/>
          <w:szCs w:val="24"/>
          <w:lang w:eastAsia="zh-CN"/>
        </w:rPr>
        <w:t>七、</w:t>
      </w:r>
      <w:r>
        <w:rPr>
          <w:rFonts w:hint="eastAsia" w:ascii="仿宋" w:hAnsi="仿宋" w:eastAsia="仿宋" w:cs="仿宋"/>
          <w:b/>
          <w:bCs/>
          <w:sz w:val="24"/>
          <w:szCs w:val="24"/>
        </w:rPr>
        <w:t>质疑</w:t>
      </w:r>
      <w:bookmarkEnd w:id="67"/>
      <w:bookmarkEnd w:id="68"/>
      <w:bookmarkEnd w:id="69"/>
      <w:bookmarkEnd w:id="70"/>
      <w:r>
        <w:rPr>
          <w:rFonts w:hint="eastAsia" w:ascii="仿宋" w:hAnsi="仿宋" w:eastAsia="仿宋" w:cs="仿宋"/>
          <w:b/>
          <w:bCs/>
          <w:sz w:val="24"/>
          <w:szCs w:val="24"/>
        </w:rPr>
        <w:t>和投诉</w:t>
      </w:r>
      <w:bookmarkEnd w:id="71"/>
      <w:bookmarkEnd w:id="72"/>
      <w:bookmarkEnd w:id="73"/>
    </w:p>
    <w:p>
      <w:pPr>
        <w:widowControl/>
        <w:spacing w:line="520" w:lineRule="atLeast"/>
        <w:ind w:firstLine="420"/>
        <w:textAlignment w:val="baseline"/>
        <w:rPr>
          <w:rFonts w:hint="eastAsia" w:ascii="仿宋" w:hAnsi="仿宋" w:eastAsia="仿宋" w:cs="仿宋"/>
          <w:b/>
          <w:sz w:val="24"/>
          <w:szCs w:val="24"/>
        </w:rPr>
      </w:pPr>
      <w:bookmarkStart w:id="74" w:name="_Toc294515577"/>
      <w:bookmarkStart w:id="75" w:name="_Toc293738998"/>
      <w:bookmarkStart w:id="76" w:name="_Toc446599317"/>
      <w:bookmarkStart w:id="77" w:name="_Toc293736060"/>
      <w:bookmarkStart w:id="78" w:name="_Toc293736017"/>
      <w:r>
        <w:rPr>
          <w:rFonts w:hint="eastAsia" w:ascii="仿宋" w:hAnsi="仿宋" w:eastAsia="仿宋" w:cs="仿宋"/>
          <w:b/>
          <w:sz w:val="24"/>
          <w:szCs w:val="24"/>
        </w:rPr>
        <w:t>7.1质疑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7.1.1</w:t>
      </w:r>
      <w:r>
        <w:rPr>
          <w:rFonts w:hint="eastAsia" w:ascii="仿宋" w:hAnsi="仿宋" w:eastAsia="仿宋" w:cs="仿宋"/>
          <w:sz w:val="24"/>
          <w:szCs w:val="24"/>
          <w:lang w:eastAsia="zh-CN"/>
        </w:rPr>
        <w:t>投标单位</w:t>
      </w:r>
      <w:r>
        <w:rPr>
          <w:rFonts w:hint="eastAsia" w:ascii="仿宋" w:hAnsi="仿宋" w:eastAsia="仿宋" w:cs="仿宋"/>
          <w:sz w:val="24"/>
          <w:szCs w:val="24"/>
        </w:rPr>
        <w:t>提出质疑应当符合以下条件：</w:t>
      </w:r>
    </w:p>
    <w:p>
      <w:pPr>
        <w:pStyle w:val="5"/>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lang w:eastAsia="zh-CN"/>
        </w:rPr>
        <w:t>投标单位</w:t>
      </w:r>
      <w:r>
        <w:rPr>
          <w:rFonts w:hint="eastAsia" w:ascii="仿宋" w:hAnsi="仿宋" w:eastAsia="仿宋" w:cs="仿宋"/>
          <w:sz w:val="24"/>
          <w:szCs w:val="24"/>
        </w:rPr>
        <w:t>对此次</w:t>
      </w:r>
      <w:r>
        <w:rPr>
          <w:rFonts w:hint="eastAsia" w:ascii="仿宋" w:hAnsi="仿宋" w:eastAsia="仿宋" w:cs="仿宋"/>
          <w:sz w:val="24"/>
          <w:szCs w:val="24"/>
          <w:lang w:eastAsia="zh-CN"/>
        </w:rPr>
        <w:t>招标</w:t>
      </w:r>
      <w:r>
        <w:rPr>
          <w:rFonts w:hint="eastAsia" w:ascii="仿宋" w:hAnsi="仿宋" w:eastAsia="仿宋" w:cs="仿宋"/>
          <w:sz w:val="24"/>
          <w:szCs w:val="24"/>
        </w:rPr>
        <w:t>活动有疑问，可依据《政府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等相关规定，在规定的时间内以书面形式向</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人或代理机构提出质疑。质疑书应当包括下列主要内容：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（1）质疑人的名称、地址、电话等；</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（2）质疑人法人签章和单位公章；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（3）具体的质疑事项及事实依据；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（4）明确的请求和必要（合法来源）的证明材料；</w:t>
      </w:r>
    </w:p>
    <w:p>
      <w:pPr>
        <w:wordWrap w:val="0"/>
        <w:topLinePunct/>
        <w:spacing w:line="420" w:lineRule="exact"/>
        <w:ind w:left="9300" w:leftChars="200" w:hanging="8880" w:hangingChars="3700"/>
        <w:rPr>
          <w:rFonts w:hint="eastAsia" w:ascii="仿宋" w:hAnsi="仿宋" w:eastAsia="仿宋" w:cs="仿宋"/>
          <w:sz w:val="24"/>
          <w:szCs w:val="24"/>
        </w:rPr>
      </w:pPr>
      <w:r>
        <w:rPr>
          <w:rFonts w:hint="eastAsia" w:ascii="仿宋" w:hAnsi="仿宋" w:eastAsia="仿宋" w:cs="仿宋"/>
          <w:sz w:val="24"/>
          <w:szCs w:val="24"/>
        </w:rPr>
        <w:t>（5）以联合体形式参与资格的，则必须联合体各方共同签署、盖章；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（6）提起质疑的日期。</w:t>
      </w:r>
    </w:p>
    <w:p>
      <w:pPr>
        <w:pStyle w:val="5"/>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特注：未按上述程序规定的必备内容进行质疑的，</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人或代理机构将不予以受理。</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7.1.4被质疑人应当在受理质疑后7个工作日内作出答复，并以书面形式通知质疑人和其他有关</w:t>
      </w:r>
      <w:r>
        <w:rPr>
          <w:rFonts w:hint="eastAsia" w:ascii="仿宋" w:hAnsi="仿宋" w:eastAsia="仿宋" w:cs="仿宋"/>
          <w:sz w:val="24"/>
          <w:szCs w:val="24"/>
          <w:lang w:eastAsia="zh-CN"/>
        </w:rPr>
        <w:t>投标单位</w:t>
      </w:r>
      <w:r>
        <w:rPr>
          <w:rFonts w:hint="eastAsia" w:ascii="仿宋" w:hAnsi="仿宋" w:eastAsia="仿宋" w:cs="仿宋"/>
          <w:sz w:val="24"/>
          <w:szCs w:val="24"/>
        </w:rPr>
        <w:t>，答复内容仅限于</w:t>
      </w:r>
      <w:r>
        <w:rPr>
          <w:rFonts w:hint="eastAsia" w:ascii="仿宋" w:hAnsi="仿宋" w:eastAsia="仿宋" w:cs="仿宋"/>
          <w:sz w:val="24"/>
          <w:szCs w:val="24"/>
          <w:lang w:eastAsia="zh-CN"/>
        </w:rPr>
        <w:t>投标单位</w:t>
      </w:r>
      <w:r>
        <w:rPr>
          <w:rFonts w:hint="eastAsia" w:ascii="仿宋" w:hAnsi="仿宋" w:eastAsia="仿宋" w:cs="仿宋"/>
          <w:sz w:val="24"/>
          <w:szCs w:val="24"/>
        </w:rPr>
        <w:t>所质疑的内容，不得涉及国家秘密和商业秘密。</w:t>
      </w:r>
    </w:p>
    <w:p>
      <w:pPr>
        <w:widowControl/>
        <w:spacing w:line="520" w:lineRule="atLeast"/>
        <w:ind w:firstLine="420"/>
        <w:textAlignment w:val="baseline"/>
        <w:rPr>
          <w:rFonts w:hint="eastAsia" w:ascii="仿宋" w:hAnsi="仿宋" w:eastAsia="仿宋" w:cs="仿宋"/>
          <w:b/>
          <w:sz w:val="24"/>
          <w:szCs w:val="24"/>
        </w:rPr>
      </w:pPr>
      <w:bookmarkStart w:id="79" w:name="_Toc456336161"/>
      <w:bookmarkStart w:id="80" w:name="_Toc450546725"/>
      <w:bookmarkStart w:id="81" w:name="_Toc483174929"/>
      <w:bookmarkStart w:id="82" w:name="_Toc9365"/>
      <w:r>
        <w:rPr>
          <w:rFonts w:hint="eastAsia" w:ascii="仿宋" w:hAnsi="仿宋" w:eastAsia="仿宋" w:cs="仿宋"/>
          <w:b/>
          <w:sz w:val="24"/>
          <w:szCs w:val="24"/>
        </w:rPr>
        <w:t>7.2投诉</w:t>
      </w:r>
      <w:bookmarkEnd w:id="79"/>
      <w:bookmarkEnd w:id="80"/>
      <w:bookmarkEnd w:id="81"/>
      <w:bookmarkEnd w:id="82"/>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7.2.1质疑人如对被质疑人的质疑回复不满意或在规定时间内未做出回复的，可在答复期满后15个工作日内向本项目管辖内的政府</w:t>
      </w:r>
      <w:r>
        <w:rPr>
          <w:rFonts w:hint="eastAsia" w:ascii="仿宋" w:hAnsi="仿宋" w:eastAsia="仿宋" w:cs="仿宋"/>
          <w:sz w:val="24"/>
          <w:szCs w:val="24"/>
          <w:lang w:eastAsia="zh-CN"/>
        </w:rPr>
        <w:t>招标</w:t>
      </w:r>
      <w:r>
        <w:rPr>
          <w:rFonts w:hint="eastAsia" w:ascii="仿宋" w:hAnsi="仿宋" w:eastAsia="仿宋" w:cs="仿宋"/>
          <w:sz w:val="24"/>
          <w:szCs w:val="24"/>
        </w:rPr>
        <w:t>监督部门提起投诉。</w:t>
      </w:r>
      <w:r>
        <w:rPr>
          <w:rFonts w:hint="eastAsia" w:ascii="仿宋" w:hAnsi="仿宋" w:eastAsia="仿宋" w:cs="仿宋"/>
          <w:sz w:val="24"/>
          <w:szCs w:val="24"/>
          <w:lang w:eastAsia="zh-CN"/>
        </w:rPr>
        <w:t>投标单位</w:t>
      </w:r>
      <w:r>
        <w:rPr>
          <w:rFonts w:hint="eastAsia" w:ascii="仿宋" w:hAnsi="仿宋" w:eastAsia="仿宋" w:cs="仿宋"/>
          <w:sz w:val="24"/>
          <w:szCs w:val="24"/>
        </w:rPr>
        <w:t>投诉应当有明确的请求和必要的证明材料。</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7.2.2投诉人提起投诉应符合以下条件：</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(1)投诉人应是参与项目的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(2)投诉前已依法进行质疑；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(3)投诉书内容符合中华人民共和国财政部</w:t>
      </w:r>
      <w:r>
        <w:rPr>
          <w:rFonts w:hint="eastAsia" w:ascii="仿宋" w:hAnsi="仿宋" w:eastAsia="仿宋" w:cs="仿宋"/>
          <w:sz w:val="24"/>
          <w:szCs w:val="24"/>
          <w:lang w:val="en-US" w:eastAsia="zh-CN"/>
        </w:rPr>
        <w:t>94</w:t>
      </w:r>
      <w:r>
        <w:rPr>
          <w:rFonts w:hint="eastAsia" w:ascii="仿宋" w:hAnsi="仿宋" w:eastAsia="仿宋" w:cs="仿宋"/>
          <w:sz w:val="24"/>
          <w:szCs w:val="24"/>
        </w:rPr>
        <w:t>号令《</w:t>
      </w:r>
      <w:r>
        <w:rPr>
          <w:rFonts w:hint="eastAsia" w:ascii="仿宋" w:hAnsi="仿宋" w:eastAsia="仿宋" w:cs="仿宋"/>
          <w:sz w:val="24"/>
          <w:szCs w:val="24"/>
          <w:lang w:val="en-US" w:eastAsia="zh-CN"/>
        </w:rPr>
        <w:t>政府采购质疑和投诉办法</w:t>
      </w:r>
      <w:r>
        <w:rPr>
          <w:rFonts w:hint="eastAsia" w:ascii="仿宋" w:hAnsi="仿宋" w:eastAsia="仿宋" w:cs="仿宋"/>
          <w:sz w:val="24"/>
          <w:szCs w:val="24"/>
        </w:rPr>
        <w:t>》的规定；</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(4)在投诉有效期内；</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(5)同一投诉事项未经处理的；</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(6)</w:t>
      </w:r>
      <w:r>
        <w:rPr>
          <w:rFonts w:hint="eastAsia" w:ascii="仿宋" w:hAnsi="仿宋" w:eastAsia="仿宋" w:cs="仿宋"/>
          <w:sz w:val="24"/>
          <w:szCs w:val="24"/>
        </w:rPr>
        <w:t>相关法律、法规和省级以上人民政府财政部门规定的其他条件。</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7.2.3</w:t>
      </w:r>
      <w:r>
        <w:rPr>
          <w:rFonts w:hint="eastAsia" w:ascii="仿宋" w:hAnsi="仿宋" w:eastAsia="仿宋" w:cs="仿宋"/>
          <w:sz w:val="24"/>
          <w:szCs w:val="24"/>
          <w:lang w:eastAsia="zh-CN"/>
        </w:rPr>
        <w:t>投标单位</w:t>
      </w:r>
      <w:r>
        <w:rPr>
          <w:rFonts w:hint="eastAsia" w:ascii="仿宋" w:hAnsi="仿宋" w:eastAsia="仿宋" w:cs="仿宋"/>
          <w:sz w:val="24"/>
          <w:szCs w:val="24"/>
        </w:rPr>
        <w:t>投诉时，应当当面提交投诉书，投诉书应当包括下列主要内容：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(1)投诉人的姓名或者名称、住所、联系方式及相关证明；</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(2)被投诉人的名称、住所、联系方式；</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(3)具体的投诉事项、事实根据和法律依据；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(4)质疑和质疑答复情况及相关证明材料；</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(5)提起投诉的日期。</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投诉人为自然人的，应当由本人签字。投诉人为法人的，应当由其法定代表人签字并加盖单位公章。投诉人为其他组织的，应当由其</w:t>
      </w:r>
      <w:r>
        <w:rPr>
          <w:rFonts w:hint="eastAsia" w:ascii="仿宋" w:hAnsi="仿宋" w:eastAsia="仿宋" w:cs="仿宋"/>
          <w:sz w:val="24"/>
          <w:szCs w:val="24"/>
          <w:lang w:eastAsia="zh-CN"/>
        </w:rPr>
        <w:t>法定代表人</w:t>
      </w:r>
      <w:r>
        <w:rPr>
          <w:rFonts w:hint="eastAsia" w:ascii="仿宋" w:hAnsi="仿宋" w:eastAsia="仿宋" w:cs="仿宋"/>
          <w:sz w:val="24"/>
          <w:szCs w:val="24"/>
        </w:rPr>
        <w:t>签字盖章并加盖单位公章。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7.2.5投诉人不符合上述规定提起的投诉，</w:t>
      </w:r>
      <w:r>
        <w:rPr>
          <w:rFonts w:hint="eastAsia" w:ascii="仿宋" w:hAnsi="仿宋" w:eastAsia="仿宋" w:cs="仿宋"/>
          <w:sz w:val="24"/>
          <w:szCs w:val="24"/>
          <w:lang w:eastAsia="zh-CN"/>
        </w:rPr>
        <w:t>招标</w:t>
      </w:r>
      <w:r>
        <w:rPr>
          <w:rFonts w:hint="eastAsia" w:ascii="仿宋" w:hAnsi="仿宋" w:eastAsia="仿宋" w:cs="仿宋"/>
          <w:sz w:val="24"/>
          <w:szCs w:val="24"/>
        </w:rPr>
        <w:t>监督部门不予受理。</w:t>
      </w:r>
    </w:p>
    <w:p>
      <w:pPr>
        <w:rPr>
          <w:rFonts w:hint="eastAsia" w:ascii="仿宋" w:hAnsi="仿宋" w:eastAsia="仿宋" w:cs="仿宋"/>
          <w:sz w:val="24"/>
          <w:szCs w:val="24"/>
        </w:rPr>
      </w:pPr>
    </w:p>
    <w:p>
      <w:pPr>
        <w:pStyle w:val="4"/>
        <w:outlineLvl w:val="1"/>
        <w:rPr>
          <w:rFonts w:hint="eastAsia" w:ascii="仿宋" w:hAnsi="仿宋" w:eastAsia="仿宋" w:cs="仿宋"/>
          <w:b/>
          <w:bCs/>
          <w:sz w:val="24"/>
          <w:szCs w:val="24"/>
        </w:rPr>
      </w:pPr>
      <w:bookmarkStart w:id="83" w:name="_Toc26647"/>
      <w:bookmarkStart w:id="84" w:name="_Toc15572"/>
      <w:bookmarkStart w:id="85" w:name="_Toc3182"/>
      <w:r>
        <w:rPr>
          <w:rFonts w:hint="eastAsia" w:ascii="仿宋" w:hAnsi="仿宋" w:eastAsia="仿宋" w:cs="仿宋"/>
          <w:b/>
          <w:bCs/>
          <w:sz w:val="24"/>
          <w:szCs w:val="24"/>
        </w:rPr>
        <w:t>八、项目验收</w:t>
      </w:r>
      <w:bookmarkEnd w:id="74"/>
      <w:bookmarkEnd w:id="75"/>
      <w:bookmarkEnd w:id="76"/>
      <w:bookmarkEnd w:id="77"/>
      <w:bookmarkEnd w:id="78"/>
      <w:bookmarkEnd w:id="83"/>
      <w:bookmarkEnd w:id="84"/>
      <w:bookmarkEnd w:id="85"/>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8.1</w:t>
      </w:r>
      <w:r>
        <w:rPr>
          <w:rFonts w:hint="eastAsia" w:ascii="仿宋" w:hAnsi="仿宋" w:eastAsia="仿宋" w:cs="仿宋"/>
          <w:sz w:val="24"/>
          <w:szCs w:val="24"/>
          <w:lang w:eastAsia="zh-CN"/>
        </w:rPr>
        <w:t>招标</w:t>
      </w:r>
      <w:r>
        <w:rPr>
          <w:rFonts w:hint="eastAsia" w:ascii="仿宋" w:hAnsi="仿宋" w:eastAsia="仿宋" w:cs="仿宋"/>
          <w:sz w:val="24"/>
          <w:szCs w:val="24"/>
        </w:rPr>
        <w:t>单位</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、安全标准对</w:t>
      </w:r>
      <w:r>
        <w:rPr>
          <w:rFonts w:hint="eastAsia" w:ascii="仿宋" w:hAnsi="仿宋" w:eastAsia="仿宋" w:cs="仿宋"/>
          <w:sz w:val="24"/>
          <w:szCs w:val="24"/>
          <w:lang w:eastAsia="zh-CN"/>
        </w:rPr>
        <w:t>投标单位</w:t>
      </w:r>
      <w:r>
        <w:rPr>
          <w:rFonts w:hint="eastAsia" w:ascii="仿宋" w:hAnsi="仿宋" w:eastAsia="仿宋" w:cs="仿宋"/>
          <w:sz w:val="24"/>
          <w:szCs w:val="24"/>
        </w:rPr>
        <w:t>履约情况进行验收，并出具验收书。验收书包括每一项技术、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、安全标准的履约情况。</w:t>
      </w:r>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8.2</w:t>
      </w:r>
      <w:r>
        <w:rPr>
          <w:rFonts w:hint="eastAsia" w:ascii="仿宋" w:hAnsi="仿宋" w:eastAsia="仿宋" w:cs="仿宋"/>
          <w:sz w:val="24"/>
          <w:szCs w:val="24"/>
        </w:rPr>
        <w:t>验收标准:磋商文件、响应文件、</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合同规定的标准。</w:t>
      </w:r>
    </w:p>
    <w:p>
      <w:pPr>
        <w:pStyle w:val="4"/>
        <w:outlineLvl w:val="1"/>
        <w:rPr>
          <w:rFonts w:hint="eastAsia" w:ascii="仿宋" w:hAnsi="仿宋" w:eastAsia="仿宋" w:cs="仿宋"/>
          <w:b/>
          <w:bCs/>
          <w:sz w:val="24"/>
          <w:szCs w:val="24"/>
        </w:rPr>
      </w:pPr>
      <w:bookmarkStart w:id="86" w:name="_Toc293736061"/>
      <w:bookmarkStart w:id="87" w:name="_Toc446599318"/>
      <w:bookmarkStart w:id="88" w:name="_Toc293738999"/>
      <w:bookmarkStart w:id="89" w:name="_Toc293736018"/>
      <w:bookmarkStart w:id="90" w:name="_Toc3809"/>
      <w:bookmarkStart w:id="91" w:name="_Toc9470"/>
      <w:bookmarkStart w:id="92" w:name="_Toc6671"/>
      <w:r>
        <w:rPr>
          <w:rFonts w:hint="eastAsia" w:ascii="仿宋" w:hAnsi="仿宋" w:eastAsia="仿宋" w:cs="仿宋"/>
          <w:b/>
          <w:bCs/>
          <w:sz w:val="24"/>
          <w:szCs w:val="24"/>
        </w:rPr>
        <w:t>九、适用法律</w:t>
      </w:r>
      <w:bookmarkEnd w:id="86"/>
      <w:bookmarkEnd w:id="87"/>
      <w:bookmarkEnd w:id="88"/>
      <w:bookmarkEnd w:id="89"/>
      <w:bookmarkEnd w:id="90"/>
      <w:bookmarkEnd w:id="91"/>
      <w:bookmarkEnd w:id="92"/>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9.1</w:t>
      </w:r>
      <w:r>
        <w:rPr>
          <w:rFonts w:hint="eastAsia" w:ascii="仿宋" w:hAnsi="仿宋" w:eastAsia="仿宋" w:cs="仿宋"/>
          <w:sz w:val="24"/>
          <w:szCs w:val="24"/>
          <w:lang w:eastAsia="zh-CN"/>
        </w:rPr>
        <w:t>招标</w:t>
      </w:r>
      <w:r>
        <w:rPr>
          <w:rFonts w:hint="eastAsia" w:ascii="仿宋" w:hAnsi="仿宋" w:eastAsia="仿宋" w:cs="仿宋"/>
          <w:sz w:val="24"/>
          <w:szCs w:val="24"/>
        </w:rPr>
        <w:t>单位和</w:t>
      </w:r>
      <w:r>
        <w:rPr>
          <w:rFonts w:hint="eastAsia" w:ascii="仿宋" w:hAnsi="仿宋" w:eastAsia="仿宋" w:cs="仿宋"/>
          <w:sz w:val="24"/>
          <w:szCs w:val="24"/>
          <w:lang w:eastAsia="zh-CN"/>
        </w:rPr>
        <w:t>投标单位</w:t>
      </w:r>
      <w:r>
        <w:rPr>
          <w:rFonts w:hint="eastAsia" w:ascii="仿宋" w:hAnsi="仿宋" w:eastAsia="仿宋" w:cs="仿宋"/>
          <w:sz w:val="24"/>
          <w:szCs w:val="24"/>
        </w:rPr>
        <w:t>的一切招标投标活动均适用于《政府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实施条例》、《政府</w:t>
      </w:r>
      <w:r>
        <w:rPr>
          <w:rFonts w:hint="eastAsia" w:ascii="仿宋" w:hAnsi="仿宋" w:eastAsia="仿宋" w:cs="仿宋"/>
          <w:sz w:val="24"/>
          <w:szCs w:val="24"/>
          <w:lang w:eastAsia="zh-CN"/>
        </w:rPr>
        <w:t>采购</w:t>
      </w:r>
      <w:r>
        <w:rPr>
          <w:rFonts w:hint="eastAsia" w:ascii="仿宋" w:hAnsi="仿宋" w:eastAsia="仿宋" w:cs="仿宋"/>
          <w:sz w:val="24"/>
          <w:szCs w:val="24"/>
        </w:rPr>
        <w:t>竞争性磋商</w:t>
      </w:r>
      <w:r>
        <w:rPr>
          <w:rFonts w:hint="eastAsia" w:ascii="仿宋" w:hAnsi="仿宋" w:eastAsia="仿宋" w:cs="仿宋"/>
          <w:sz w:val="24"/>
          <w:szCs w:val="24"/>
          <w:lang w:eastAsia="zh-CN"/>
        </w:rPr>
        <w:t>招标</w:t>
      </w:r>
      <w:r>
        <w:rPr>
          <w:rFonts w:hint="eastAsia" w:ascii="仿宋" w:hAnsi="仿宋" w:eastAsia="仿宋" w:cs="仿宋"/>
          <w:sz w:val="24"/>
          <w:szCs w:val="24"/>
        </w:rPr>
        <w:t>方式管理办法》等相关规定。</w:t>
      </w:r>
    </w:p>
    <w:p>
      <w:pPr>
        <w:autoSpaceDE w:val="0"/>
        <w:autoSpaceDN w:val="0"/>
        <w:spacing w:line="500" w:lineRule="exact"/>
        <w:ind w:left="560" w:right="32" w:hanging="480" w:hangingChars="200"/>
        <w:contextualSpacing/>
        <w:rPr>
          <w:rFonts w:hint="eastAsia" w:ascii="仿宋" w:hAnsi="仿宋" w:eastAsia="仿宋" w:cs="仿宋"/>
          <w:color w:val="000000" w:themeColor="text1"/>
          <w:sz w:val="24"/>
          <w:szCs w:val="24"/>
          <w14:textFill>
            <w14:solidFill>
              <w14:schemeClr w14:val="tx1"/>
            </w14:solidFill>
          </w14:textFill>
        </w:rPr>
      </w:pPr>
    </w:p>
    <w:p>
      <w:pPr>
        <w:pStyle w:val="4"/>
        <w:outlineLvl w:val="1"/>
        <w:rPr>
          <w:rFonts w:hint="eastAsia" w:ascii="仿宋" w:hAnsi="仿宋" w:eastAsia="仿宋" w:cs="仿宋"/>
          <w:b/>
          <w:bCs/>
          <w:sz w:val="24"/>
          <w:szCs w:val="24"/>
        </w:rPr>
      </w:pPr>
      <w:bookmarkStart w:id="93" w:name="_Toc272247702"/>
      <w:bookmarkStart w:id="94" w:name="_Toc437611460"/>
      <w:bookmarkStart w:id="95" w:name="_Toc278891599"/>
      <w:bookmarkStart w:id="96" w:name="_Toc12184"/>
      <w:bookmarkStart w:id="97" w:name="_Toc446599319"/>
      <w:bookmarkStart w:id="98" w:name="_Toc21968"/>
      <w:bookmarkStart w:id="99" w:name="_Toc4619"/>
      <w:r>
        <w:rPr>
          <w:rFonts w:hint="eastAsia" w:ascii="仿宋" w:hAnsi="仿宋" w:eastAsia="仿宋" w:cs="仿宋"/>
          <w:b/>
          <w:bCs/>
          <w:sz w:val="24"/>
          <w:szCs w:val="24"/>
        </w:rPr>
        <w:t>十、磋商文件的解释权</w:t>
      </w:r>
      <w:bookmarkEnd w:id="93"/>
      <w:bookmarkEnd w:id="94"/>
      <w:bookmarkEnd w:id="95"/>
      <w:bookmarkEnd w:id="96"/>
      <w:bookmarkEnd w:id="97"/>
      <w:bookmarkEnd w:id="98"/>
      <w:bookmarkEnd w:id="99"/>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10.1</w:t>
      </w:r>
      <w:r>
        <w:rPr>
          <w:rFonts w:hint="eastAsia" w:ascii="仿宋" w:hAnsi="仿宋" w:eastAsia="仿宋" w:cs="仿宋"/>
          <w:sz w:val="24"/>
          <w:szCs w:val="24"/>
        </w:rPr>
        <w:t>本项目磋商文件的最终解释权为</w:t>
      </w:r>
      <w:r>
        <w:rPr>
          <w:rFonts w:hint="eastAsia" w:ascii="仿宋" w:hAnsi="仿宋" w:eastAsia="仿宋" w:cs="仿宋"/>
          <w:sz w:val="24"/>
          <w:szCs w:val="24"/>
          <w:lang w:eastAsia="zh-CN"/>
        </w:rPr>
        <w:t>招标</w:t>
      </w:r>
      <w:r>
        <w:rPr>
          <w:rFonts w:hint="eastAsia" w:ascii="仿宋" w:hAnsi="仿宋" w:eastAsia="仿宋" w:cs="仿宋"/>
          <w:sz w:val="24"/>
          <w:szCs w:val="24"/>
        </w:rPr>
        <w:t>单位所有。</w:t>
      </w:r>
    </w:p>
    <w:p>
      <w:pPr>
        <w:pStyle w:val="4"/>
        <w:outlineLvl w:val="1"/>
        <w:rPr>
          <w:rFonts w:hint="eastAsia" w:ascii="仿宋" w:hAnsi="仿宋" w:eastAsia="仿宋" w:cs="仿宋"/>
          <w:b/>
          <w:bCs/>
          <w:sz w:val="24"/>
          <w:szCs w:val="24"/>
        </w:rPr>
      </w:pPr>
      <w:bookmarkStart w:id="100" w:name="_Toc21207"/>
      <w:bookmarkStart w:id="101" w:name="_Toc18379"/>
      <w:bookmarkStart w:id="102" w:name="_Toc6349"/>
      <w:bookmarkStart w:id="103" w:name="_Toc437611461"/>
      <w:bookmarkStart w:id="104" w:name="_Toc446599320"/>
      <w:r>
        <w:rPr>
          <w:rFonts w:hint="eastAsia" w:ascii="仿宋" w:hAnsi="仿宋" w:eastAsia="仿宋" w:cs="仿宋"/>
          <w:b/>
          <w:bCs/>
          <w:sz w:val="24"/>
          <w:szCs w:val="24"/>
        </w:rPr>
        <w:t>十一、其他注意事项</w:t>
      </w:r>
      <w:bookmarkEnd w:id="100"/>
      <w:bookmarkEnd w:id="101"/>
      <w:bookmarkEnd w:id="102"/>
      <w:bookmarkEnd w:id="103"/>
      <w:bookmarkEnd w:id="104"/>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11.1</w:t>
      </w:r>
      <w:r>
        <w:rPr>
          <w:rFonts w:hint="eastAsia" w:ascii="仿宋" w:hAnsi="仿宋" w:eastAsia="仿宋" w:cs="仿宋"/>
          <w:sz w:val="24"/>
          <w:szCs w:val="24"/>
        </w:rPr>
        <w:t>单位负责人为同一人或者存在直接控股、管理关系的不同</w:t>
      </w:r>
      <w:r>
        <w:rPr>
          <w:rFonts w:hint="eastAsia" w:ascii="仿宋" w:hAnsi="仿宋" w:eastAsia="仿宋" w:cs="仿宋"/>
          <w:sz w:val="24"/>
          <w:szCs w:val="24"/>
          <w:lang w:eastAsia="zh-CN"/>
        </w:rPr>
        <w:t>投标单位</w:t>
      </w:r>
      <w:r>
        <w:rPr>
          <w:rFonts w:hint="eastAsia" w:ascii="仿宋" w:hAnsi="仿宋" w:eastAsia="仿宋" w:cs="仿宋"/>
          <w:sz w:val="24"/>
          <w:szCs w:val="24"/>
        </w:rPr>
        <w:t>，不得参加同一合同项下的政府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11.2</w:t>
      </w:r>
      <w:r>
        <w:rPr>
          <w:rFonts w:hint="eastAsia" w:ascii="仿宋" w:hAnsi="仿宋" w:eastAsia="仿宋" w:cs="仿宋"/>
          <w:sz w:val="24"/>
          <w:szCs w:val="24"/>
          <w:lang w:eastAsia="zh-CN"/>
        </w:rPr>
        <w:t>投标单位</w:t>
      </w:r>
      <w:r>
        <w:rPr>
          <w:rFonts w:hint="eastAsia" w:ascii="仿宋" w:hAnsi="仿宋" w:eastAsia="仿宋" w:cs="仿宋"/>
          <w:sz w:val="24"/>
          <w:szCs w:val="24"/>
        </w:rPr>
        <w:t>为</w:t>
      </w:r>
      <w:r>
        <w:rPr>
          <w:rFonts w:hint="eastAsia" w:ascii="仿宋" w:hAnsi="仿宋" w:eastAsia="仿宋" w:cs="仿宋"/>
          <w:sz w:val="24"/>
          <w:szCs w:val="24"/>
          <w:lang w:eastAsia="zh-CN"/>
        </w:rPr>
        <w:t>招标</w:t>
      </w:r>
      <w:r>
        <w:rPr>
          <w:rFonts w:hint="eastAsia" w:ascii="仿宋" w:hAnsi="仿宋" w:eastAsia="仿宋" w:cs="仿宋"/>
          <w:sz w:val="24"/>
          <w:szCs w:val="24"/>
        </w:rPr>
        <w:t>项目提供整体设计、规范编制或者项目管理、监理、检测等服务的</w:t>
      </w:r>
      <w:r>
        <w:rPr>
          <w:rFonts w:hint="eastAsia" w:ascii="仿宋" w:hAnsi="仿宋" w:eastAsia="仿宋" w:cs="仿宋"/>
          <w:sz w:val="24"/>
          <w:szCs w:val="24"/>
          <w:lang w:eastAsia="zh-CN"/>
        </w:rPr>
        <w:t>投标单位</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w:t>
      </w:r>
      <w:r>
        <w:rPr>
          <w:rFonts w:hint="eastAsia" w:ascii="仿宋" w:hAnsi="仿宋" w:eastAsia="仿宋" w:cs="仿宋"/>
          <w:sz w:val="24"/>
          <w:szCs w:val="24"/>
        </w:rPr>
        <w:t>项目的其他</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11.3</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法第二十二条第一款第五项所称重大违法记录，是指</w:t>
      </w:r>
      <w:r>
        <w:rPr>
          <w:rFonts w:hint="eastAsia" w:ascii="仿宋" w:hAnsi="仿宋" w:eastAsia="仿宋" w:cs="仿宋"/>
          <w:sz w:val="24"/>
          <w:szCs w:val="24"/>
          <w:lang w:eastAsia="zh-CN"/>
        </w:rPr>
        <w:t>投标单位</w:t>
      </w:r>
      <w:r>
        <w:rPr>
          <w:rFonts w:hint="eastAsia" w:ascii="仿宋" w:hAnsi="仿宋" w:eastAsia="仿宋" w:cs="仿宋"/>
          <w:sz w:val="24"/>
          <w:szCs w:val="24"/>
        </w:rPr>
        <w:t>因违法经营受到刑事处罚或者责令停产停业、吊销许可证或者执照、较大数额罚款等行政处罚。</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11.4</w:t>
      </w:r>
      <w:r>
        <w:rPr>
          <w:rFonts w:hint="eastAsia" w:ascii="仿宋" w:hAnsi="仿宋" w:eastAsia="仿宋" w:cs="仿宋"/>
          <w:sz w:val="24"/>
          <w:szCs w:val="24"/>
        </w:rPr>
        <w:t>按照财政部《关于规范政府</w:t>
      </w:r>
      <w:r>
        <w:rPr>
          <w:rFonts w:hint="eastAsia" w:ascii="仿宋" w:hAnsi="仿宋" w:eastAsia="仿宋" w:cs="仿宋"/>
          <w:sz w:val="24"/>
          <w:szCs w:val="24"/>
          <w:lang w:eastAsia="zh-CN"/>
        </w:rPr>
        <w:t>采购</w:t>
      </w:r>
      <w:r>
        <w:rPr>
          <w:rFonts w:hint="eastAsia" w:ascii="仿宋" w:hAnsi="仿宋" w:eastAsia="仿宋" w:cs="仿宋"/>
          <w:sz w:val="24"/>
          <w:szCs w:val="24"/>
        </w:rPr>
        <w:t>行政处罚有关问题的通知》的规定，各级人民政府财政部门依法对参加政府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活动的</w:t>
      </w:r>
      <w:r>
        <w:rPr>
          <w:rFonts w:hint="eastAsia" w:ascii="仿宋" w:hAnsi="仿宋" w:eastAsia="仿宋" w:cs="仿宋"/>
          <w:sz w:val="24"/>
          <w:szCs w:val="24"/>
          <w:lang w:eastAsia="zh-CN"/>
        </w:rPr>
        <w:t>投标单位</w:t>
      </w:r>
      <w:r>
        <w:rPr>
          <w:rFonts w:hint="eastAsia" w:ascii="仿宋" w:hAnsi="仿宋" w:eastAsia="仿宋" w:cs="仿宋"/>
          <w:sz w:val="24"/>
          <w:szCs w:val="24"/>
        </w:rPr>
        <w:t>作出的禁止参加政府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活动等行政处罚决定在全国范围内生效。</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11.5</w:t>
      </w:r>
      <w:r>
        <w:rPr>
          <w:rFonts w:hint="eastAsia" w:ascii="仿宋" w:hAnsi="仿宋" w:eastAsia="仿宋" w:cs="仿宋"/>
          <w:sz w:val="24"/>
          <w:szCs w:val="24"/>
          <w:lang w:eastAsia="zh-CN"/>
        </w:rPr>
        <w:t>投标单位</w:t>
      </w:r>
      <w:r>
        <w:rPr>
          <w:rFonts w:hint="eastAsia" w:ascii="仿宋" w:hAnsi="仿宋" w:eastAsia="仿宋" w:cs="仿宋"/>
          <w:sz w:val="24"/>
          <w:szCs w:val="24"/>
        </w:rPr>
        <w:t>在参加政府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活动前3年内因违法经营被禁止在一定期限内参加政府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活动，期限届满的，可以参加政府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22"/>
        <w:adjustRightInd w:val="0"/>
        <w:snapToGrid w:val="0"/>
        <w:spacing w:line="500" w:lineRule="exact"/>
        <w:rPr>
          <w:rFonts w:hint="eastAsia" w:ascii="仿宋" w:hAnsi="仿宋" w:eastAsia="仿宋" w:cs="仿宋"/>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3"/>
        <w:numPr>
          <w:ilvl w:val="0"/>
          <w:numId w:val="0"/>
        </w:numPr>
        <w:spacing w:before="0" w:after="0" w:line="240" w:lineRule="auto"/>
        <w:ind w:leftChars="0"/>
        <w:jc w:val="center"/>
        <w:outlineLvl w:val="0"/>
        <w:rPr>
          <w:rFonts w:hint="eastAsia" w:ascii="仿宋" w:hAnsi="仿宋" w:eastAsia="仿宋" w:cs="仿宋"/>
          <w:b/>
          <w:bCs w:val="0"/>
          <w:sz w:val="36"/>
          <w:szCs w:val="36"/>
          <w:lang w:val="en-US" w:eastAsia="zh-CN"/>
        </w:rPr>
      </w:pPr>
      <w:bookmarkStart w:id="105" w:name="_Toc6992"/>
      <w:bookmarkStart w:id="106" w:name="_Toc294515580"/>
      <w:bookmarkStart w:id="107" w:name="_Toc293736020"/>
      <w:bookmarkStart w:id="108" w:name="_Toc293736063"/>
      <w:bookmarkStart w:id="109" w:name="_Toc446599322"/>
      <w:bookmarkStart w:id="110" w:name="_Toc293739001"/>
    </w:p>
    <w:p>
      <w:pPr>
        <w:pStyle w:val="3"/>
        <w:numPr>
          <w:ilvl w:val="0"/>
          <w:numId w:val="0"/>
        </w:numPr>
        <w:spacing w:before="0" w:after="0" w:line="240" w:lineRule="auto"/>
        <w:ind w:leftChars="0"/>
        <w:jc w:val="center"/>
        <w:outlineLvl w:val="0"/>
        <w:rPr>
          <w:rFonts w:hint="eastAsia" w:ascii="仿宋" w:hAnsi="仿宋" w:eastAsia="仿宋" w:cs="仿宋"/>
          <w:b/>
          <w:bCs w:val="0"/>
          <w:sz w:val="36"/>
          <w:szCs w:val="36"/>
          <w:lang w:eastAsia="zh-CN"/>
        </w:rPr>
      </w:pPr>
      <w:bookmarkStart w:id="111" w:name="_Toc10052"/>
      <w:r>
        <w:rPr>
          <w:rFonts w:hint="eastAsia" w:ascii="仿宋" w:hAnsi="仿宋" w:eastAsia="仿宋" w:cs="仿宋"/>
          <w:b/>
          <w:bCs w:val="0"/>
          <w:sz w:val="36"/>
          <w:szCs w:val="36"/>
          <w:lang w:val="en-US" w:eastAsia="zh-CN"/>
        </w:rPr>
        <w:t xml:space="preserve">第二章 </w:t>
      </w:r>
      <w:r>
        <w:rPr>
          <w:rFonts w:hint="eastAsia" w:ascii="仿宋" w:hAnsi="仿宋" w:eastAsia="仿宋" w:cs="仿宋"/>
          <w:b/>
          <w:bCs w:val="0"/>
          <w:sz w:val="36"/>
          <w:szCs w:val="36"/>
          <w:lang w:eastAsia="zh-CN"/>
        </w:rPr>
        <w:t>工程量清单</w:t>
      </w:r>
      <w:bookmarkEnd w:id="105"/>
      <w:bookmarkEnd w:id="111"/>
    </w:p>
    <w:bookmarkEnd w:id="106"/>
    <w:p>
      <w:pPr>
        <w:outlineLvl w:val="9"/>
        <w:rPr>
          <w:rFonts w:hint="eastAsia" w:ascii="仿宋" w:hAnsi="仿宋" w:eastAsia="仿宋" w:cs="仿宋"/>
          <w:b/>
          <w:bCs/>
          <w:sz w:val="24"/>
          <w:szCs w:val="24"/>
        </w:rPr>
      </w:pPr>
    </w:p>
    <w:p>
      <w:pPr>
        <w:outlineLvl w:val="9"/>
        <w:rPr>
          <w:rFonts w:hint="eastAsia" w:ascii="仿宋" w:hAnsi="仿宋" w:eastAsia="仿宋" w:cs="仿宋"/>
          <w:sz w:val="24"/>
          <w:szCs w:val="24"/>
        </w:rPr>
      </w:pPr>
    </w:p>
    <w:p>
      <w:pPr>
        <w:pStyle w:val="4"/>
        <w:jc w:val="both"/>
        <w:outlineLvl w:val="1"/>
        <w:rPr>
          <w:rFonts w:hint="eastAsia" w:ascii="仿宋" w:hAnsi="仿宋" w:eastAsia="仿宋" w:cs="仿宋"/>
          <w:b/>
          <w:bCs/>
          <w:color w:val="auto"/>
          <w:sz w:val="24"/>
          <w:szCs w:val="24"/>
        </w:rPr>
      </w:pPr>
      <w:bookmarkStart w:id="112" w:name="_Toc2423"/>
      <w:bookmarkStart w:id="113" w:name="_Toc24657"/>
      <w:bookmarkStart w:id="114" w:name="_Toc18089"/>
      <w:bookmarkStart w:id="115" w:name="_Toc15678"/>
      <w:bookmarkStart w:id="116" w:name="_Toc17736"/>
      <w:bookmarkStart w:id="117" w:name="_Toc3536"/>
      <w:bookmarkStart w:id="118" w:name="_Toc32026"/>
      <w:bookmarkStart w:id="119" w:name="_Toc19038"/>
      <w:bookmarkStart w:id="120" w:name="_Toc16208"/>
      <w:bookmarkStart w:id="121" w:name="_Toc27995"/>
      <w:bookmarkStart w:id="122" w:name="_Toc484700952"/>
      <w:bookmarkStart w:id="123" w:name="_Toc10205"/>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工程量清单（另册）</w:t>
      </w:r>
      <w:bookmarkEnd w:id="112"/>
      <w:bookmarkEnd w:id="113"/>
      <w:bookmarkEnd w:id="114"/>
      <w:bookmarkEnd w:id="115"/>
      <w:bookmarkEnd w:id="116"/>
      <w:bookmarkEnd w:id="117"/>
      <w:bookmarkEnd w:id="118"/>
      <w:bookmarkEnd w:id="119"/>
      <w:bookmarkEnd w:id="120"/>
      <w:bookmarkEnd w:id="121"/>
      <w:bookmarkEnd w:id="122"/>
      <w:bookmarkEnd w:id="123"/>
    </w:p>
    <w:p>
      <w:pPr>
        <w:rPr>
          <w:rFonts w:hint="eastAsia" w:ascii="仿宋" w:hAnsi="仿宋" w:eastAsia="仿宋" w:cs="仿宋"/>
          <w:sz w:val="24"/>
          <w:szCs w:val="24"/>
        </w:rPr>
      </w:pPr>
      <w:r>
        <w:rPr>
          <w:rFonts w:hint="eastAsia" w:ascii="仿宋" w:hAnsi="仿宋" w:eastAsia="仿宋" w:cs="仿宋"/>
          <w:sz w:val="24"/>
          <w:szCs w:val="24"/>
        </w:rPr>
        <w:br w:type="page"/>
      </w:r>
    </w:p>
    <w:p>
      <w:pPr>
        <w:pStyle w:val="3"/>
        <w:numPr>
          <w:ilvl w:val="0"/>
          <w:numId w:val="0"/>
        </w:numPr>
        <w:spacing w:before="0" w:after="0" w:line="240" w:lineRule="auto"/>
        <w:ind w:leftChars="0"/>
        <w:jc w:val="center"/>
        <w:outlineLvl w:val="0"/>
        <w:rPr>
          <w:rFonts w:hint="eastAsia" w:ascii="仿宋" w:hAnsi="仿宋" w:eastAsia="仿宋" w:cs="仿宋"/>
          <w:b/>
          <w:bCs w:val="0"/>
          <w:sz w:val="36"/>
          <w:szCs w:val="36"/>
          <w:lang w:eastAsia="zh-CN"/>
        </w:rPr>
      </w:pPr>
      <w:bookmarkStart w:id="124" w:name="_Toc27367"/>
      <w:bookmarkStart w:id="125" w:name="_Toc14890"/>
      <w:bookmarkStart w:id="126" w:name="_Toc10724"/>
      <w:r>
        <w:rPr>
          <w:rFonts w:hint="eastAsia" w:ascii="仿宋" w:hAnsi="仿宋" w:eastAsia="仿宋" w:cs="仿宋"/>
          <w:b/>
          <w:bCs w:val="0"/>
          <w:sz w:val="36"/>
          <w:szCs w:val="36"/>
          <w:lang w:val="en-US" w:eastAsia="zh-CN"/>
        </w:rPr>
        <w:t xml:space="preserve">第三章 </w:t>
      </w:r>
      <w:r>
        <w:rPr>
          <w:rFonts w:hint="eastAsia" w:ascii="仿宋" w:hAnsi="仿宋" w:eastAsia="仿宋" w:cs="仿宋"/>
          <w:b/>
          <w:bCs w:val="0"/>
          <w:sz w:val="36"/>
          <w:szCs w:val="36"/>
          <w:lang w:eastAsia="zh-CN"/>
        </w:rPr>
        <w:t>评审方法</w:t>
      </w:r>
      <w:bookmarkEnd w:id="107"/>
      <w:bookmarkEnd w:id="108"/>
      <w:bookmarkEnd w:id="109"/>
      <w:bookmarkEnd w:id="110"/>
      <w:bookmarkEnd w:id="124"/>
      <w:bookmarkEnd w:id="125"/>
      <w:bookmarkEnd w:id="126"/>
    </w:p>
    <w:p>
      <w:pPr>
        <w:rPr>
          <w:rFonts w:hint="eastAsia" w:ascii="仿宋" w:hAnsi="仿宋" w:eastAsia="仿宋" w:cs="仿宋"/>
          <w:sz w:val="24"/>
          <w:szCs w:val="24"/>
        </w:rPr>
      </w:pP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4"/>
          <w:szCs w:val="24"/>
        </w:rPr>
      </w:pPr>
      <w:bookmarkStart w:id="127" w:name="_Toc446599330"/>
      <w:bookmarkStart w:id="128" w:name="_Toc293736067"/>
      <w:bookmarkStart w:id="129" w:name="_Toc293736024"/>
      <w:bookmarkStart w:id="130" w:name="_Toc293739005"/>
      <w:r>
        <w:rPr>
          <w:rFonts w:hint="eastAsia" w:ascii="仿宋" w:hAnsi="仿宋" w:eastAsia="仿宋" w:cs="仿宋"/>
          <w:b/>
          <w:sz w:val="24"/>
          <w:szCs w:val="24"/>
          <w:highlight w:val="white"/>
          <w:lang w:val="en-US" w:eastAsia="zh-CN"/>
        </w:rPr>
        <w:t>一、</w:t>
      </w:r>
      <w:r>
        <w:rPr>
          <w:rFonts w:hint="eastAsia" w:ascii="仿宋" w:hAnsi="仿宋" w:eastAsia="仿宋" w:cs="仿宋"/>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1</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经磋商确定最终</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需求和提交最后报价的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后，由磋商小组采用</w:t>
      </w: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对提交最后报价的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是指响应文件满足磋商文件全部实质性要求且按评审因素的量化指标评审得分最高的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为</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2</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评审时，磋商小组各成员应当独立对每个有效响应的文件进行评价、打分，然后汇总每个</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3</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符合《政府</w:t>
      </w:r>
      <w:r>
        <w:rPr>
          <w:rFonts w:hint="eastAsia" w:ascii="仿宋" w:hAnsi="仿宋" w:eastAsia="仿宋" w:cs="仿宋"/>
          <w:sz w:val="24"/>
          <w:szCs w:val="24"/>
          <w:highlight w:val="white"/>
          <w:lang w:eastAsia="zh-CN"/>
        </w:rPr>
        <w:t>采购</w:t>
      </w:r>
      <w:r>
        <w:rPr>
          <w:rFonts w:hint="eastAsia" w:ascii="仿宋" w:hAnsi="仿宋" w:eastAsia="仿宋" w:cs="仿宋"/>
          <w:sz w:val="24"/>
          <w:szCs w:val="24"/>
          <w:highlight w:val="white"/>
        </w:rPr>
        <w:t>竞争性磋商</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 w:hAnsi="仿宋" w:eastAsia="仿宋" w:cs="仿宋"/>
          <w:b/>
          <w:bCs/>
          <w:color w:val="000000" w:themeColor="text1"/>
          <w:kern w:val="2"/>
          <w:sz w:val="24"/>
          <w:szCs w:val="24"/>
          <w:lang w:val="zh-CN"/>
          <w14:textFill>
            <w14:solidFill>
              <w14:schemeClr w14:val="tx1"/>
            </w14:solidFill>
          </w14:textFill>
        </w:rPr>
      </w:pPr>
      <w:bookmarkStart w:id="131" w:name="_Toc26597"/>
      <w:bookmarkStart w:id="132" w:name="_Toc2938"/>
      <w:bookmarkStart w:id="133" w:name="_Toc3537"/>
      <w:bookmarkStart w:id="134" w:name="_Toc8130"/>
      <w:bookmarkStart w:id="135" w:name="_Toc4618"/>
      <w:bookmarkStart w:id="136" w:name="_Toc26748"/>
      <w:r>
        <w:rPr>
          <w:rFonts w:hint="eastAsia" w:ascii="仿宋" w:hAnsi="仿宋" w:eastAsia="仿宋" w:cs="仿宋"/>
          <w:b/>
          <w:bCs/>
          <w:color w:val="000000" w:themeColor="text1"/>
          <w:kern w:val="2"/>
          <w:sz w:val="24"/>
          <w:szCs w:val="24"/>
          <w:lang w:val="zh-CN"/>
          <w14:textFill>
            <w14:solidFill>
              <w14:schemeClr w14:val="tx1"/>
            </w14:solidFill>
          </w14:textFill>
        </w:rPr>
        <w:t>资格后审评审表</w:t>
      </w:r>
      <w:bookmarkEnd w:id="131"/>
      <w:bookmarkEnd w:id="132"/>
      <w:bookmarkEnd w:id="133"/>
      <w:bookmarkEnd w:id="134"/>
      <w:bookmarkEnd w:id="135"/>
      <w:bookmarkEnd w:id="136"/>
    </w:p>
    <w:tbl>
      <w:tblPr>
        <w:tblStyle w:val="36"/>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602"/>
        <w:gridCol w:w="602"/>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 w:hAnsi="仿宋" w:eastAsia="仿宋" w:cs="仿宋"/>
                <w:b/>
                <w:spacing w:val="-2"/>
                <w:sz w:val="24"/>
                <w:szCs w:val="24"/>
              </w:rPr>
            </w:pPr>
            <w:bookmarkStart w:id="137" w:name="_Toc29464"/>
            <w:bookmarkStart w:id="138" w:name="_Toc8406"/>
            <w:bookmarkStart w:id="139" w:name="_Toc30312"/>
            <w:bookmarkStart w:id="140" w:name="_Toc11547"/>
            <w:bookmarkStart w:id="141" w:name="_Toc27601"/>
            <w:bookmarkStart w:id="142" w:name="_Toc11954"/>
            <w:r>
              <w:rPr>
                <w:rFonts w:hint="eastAsia" w:ascii="仿宋" w:hAnsi="仿宋" w:eastAsia="仿宋" w:cs="仿宋"/>
                <w:b/>
                <w:spacing w:val="-2"/>
                <w:sz w:val="24"/>
                <w:szCs w:val="24"/>
              </w:rPr>
              <w:t>序号</w:t>
            </w:r>
          </w:p>
        </w:tc>
        <w:tc>
          <w:tcPr>
            <w:tcW w:w="2124"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4437"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评审合格标准</w:t>
            </w:r>
          </w:p>
        </w:tc>
        <w:tc>
          <w:tcPr>
            <w:tcW w:w="1808"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2124"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4437"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02" w:type="dxa"/>
            <w:noWrap w:val="0"/>
            <w:vAlign w:val="bottom"/>
          </w:tcPr>
          <w:p>
            <w:pPr>
              <w:spacing w:line="360" w:lineRule="auto"/>
              <w:jc w:val="center"/>
              <w:rPr>
                <w:rFonts w:hint="eastAsia" w:ascii="仿宋" w:hAnsi="仿宋" w:eastAsia="仿宋" w:cs="仿宋"/>
                <w:b/>
                <w:spacing w:val="-2"/>
                <w:sz w:val="24"/>
                <w:szCs w:val="24"/>
              </w:rPr>
            </w:pPr>
          </w:p>
        </w:tc>
        <w:tc>
          <w:tcPr>
            <w:tcW w:w="602" w:type="dxa"/>
            <w:noWrap w:val="0"/>
            <w:vAlign w:val="top"/>
          </w:tcPr>
          <w:p>
            <w:pPr>
              <w:spacing w:line="360" w:lineRule="auto"/>
              <w:jc w:val="center"/>
              <w:rPr>
                <w:rFonts w:hint="eastAsia" w:ascii="仿宋" w:hAnsi="仿宋" w:eastAsia="仿宋" w:cs="仿宋"/>
                <w:b/>
                <w:spacing w:val="-2"/>
                <w:sz w:val="24"/>
                <w:szCs w:val="24"/>
              </w:rPr>
            </w:pPr>
          </w:p>
        </w:tc>
        <w:tc>
          <w:tcPr>
            <w:tcW w:w="604"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营业执照等证明</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有效的营业执照</w:t>
            </w:r>
            <w:r>
              <w:rPr>
                <w:rFonts w:hint="eastAsia" w:ascii="仿宋" w:hAnsi="仿宋" w:eastAsia="仿宋" w:cs="仿宋"/>
                <w:sz w:val="21"/>
                <w:szCs w:val="21"/>
                <w:highlight w:val="white"/>
                <w:lang w:eastAsia="zh-CN"/>
              </w:rPr>
              <w:t>；</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eastAsia="zh-CN"/>
              </w:rPr>
              <w:t>法定代表人身份证明书及</w:t>
            </w:r>
            <w:r>
              <w:rPr>
                <w:rFonts w:hint="eastAsia" w:ascii="仿宋" w:hAnsi="仿宋" w:eastAsia="仿宋" w:cs="仿宋"/>
                <w:sz w:val="21"/>
                <w:szCs w:val="21"/>
                <w:highlight w:val="white"/>
              </w:rPr>
              <w:t>法定代表人授权书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(1)</w:t>
            </w:r>
            <w:r>
              <w:rPr>
                <w:rFonts w:hint="eastAsia" w:ascii="仿宋" w:hAnsi="仿宋" w:eastAsia="仿宋" w:cs="仿宋"/>
                <w:sz w:val="21"/>
                <w:szCs w:val="21"/>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(2)</w:t>
            </w:r>
            <w:r>
              <w:rPr>
                <w:rFonts w:hint="eastAsia" w:ascii="仿宋" w:hAnsi="仿宋" w:eastAsia="仿宋" w:cs="仿宋"/>
                <w:sz w:val="21"/>
                <w:szCs w:val="21"/>
                <w:highlight w:val="white"/>
              </w:rPr>
              <w:t xml:space="preserve"> </w:t>
            </w:r>
            <w:r>
              <w:rPr>
                <w:rFonts w:hint="eastAsia" w:ascii="仿宋" w:hAnsi="仿宋" w:eastAsia="仿宋" w:cs="仿宋"/>
                <w:sz w:val="21"/>
                <w:szCs w:val="21"/>
                <w:highlight w:val="white"/>
                <w:lang w:eastAsia="zh-CN"/>
              </w:rPr>
              <w:t>法定代表人身份证明书附完整的</w:t>
            </w:r>
            <w:r>
              <w:rPr>
                <w:rFonts w:hint="eastAsia" w:ascii="仿宋" w:hAnsi="仿宋" w:eastAsia="仿宋" w:cs="仿宋"/>
                <w:sz w:val="21"/>
                <w:szCs w:val="21"/>
                <w:highlight w:val="white"/>
              </w:rPr>
              <w:t>法定代表人身份证复印件</w:t>
            </w:r>
            <w:r>
              <w:rPr>
                <w:rFonts w:hint="eastAsia" w:ascii="仿宋" w:hAnsi="仿宋" w:eastAsia="仿宋" w:cs="仿宋"/>
                <w:sz w:val="21"/>
                <w:szCs w:val="21"/>
                <w:highlight w:val="white"/>
                <w:lang w:eastAsia="zh-CN"/>
              </w:rPr>
              <w:t>，并</w:t>
            </w:r>
            <w:r>
              <w:rPr>
                <w:rFonts w:hint="eastAsia" w:ascii="仿宋" w:hAnsi="仿宋" w:eastAsia="仿宋" w:cs="仿宋"/>
                <w:sz w:val="21"/>
                <w:szCs w:val="21"/>
                <w:highlight w:val="white"/>
              </w:rPr>
              <w:t>加盖公章</w:t>
            </w:r>
            <w:r>
              <w:rPr>
                <w:rFonts w:hint="eastAsia" w:ascii="仿宋" w:hAnsi="仿宋" w:eastAsia="仿宋" w:cs="仿宋"/>
                <w:sz w:val="21"/>
                <w:szCs w:val="21"/>
                <w:highlight w:val="white"/>
                <w:lang w:eastAsia="zh-CN"/>
              </w:rPr>
              <w:t>。</w:t>
            </w:r>
            <w:r>
              <w:rPr>
                <w:rFonts w:hint="eastAsia" w:ascii="仿宋" w:hAnsi="仿宋" w:eastAsia="仿宋" w:cs="仿宋"/>
                <w:sz w:val="21"/>
                <w:szCs w:val="21"/>
                <w:highlight w:val="white"/>
              </w:rPr>
              <w:t>（</w:t>
            </w:r>
            <w:r>
              <w:rPr>
                <w:rFonts w:hint="eastAsia" w:ascii="仿宋" w:hAnsi="仿宋" w:eastAsia="仿宋" w:cs="仿宋"/>
                <w:sz w:val="21"/>
                <w:szCs w:val="21"/>
                <w:highlight w:val="white"/>
                <w:lang w:val="en-US" w:eastAsia="zh-CN"/>
              </w:rPr>
              <w:t>3</w:t>
            </w:r>
            <w:r>
              <w:rPr>
                <w:rFonts w:hint="eastAsia" w:ascii="仿宋" w:hAnsi="仿宋" w:eastAsia="仿宋" w:cs="仿宋"/>
                <w:sz w:val="21"/>
                <w:szCs w:val="21"/>
                <w:highlight w:val="white"/>
              </w:rPr>
              <w:t>）</w:t>
            </w:r>
            <w:r>
              <w:rPr>
                <w:rFonts w:hint="eastAsia" w:ascii="仿宋" w:hAnsi="仿宋" w:eastAsia="仿宋" w:cs="仿宋"/>
                <w:sz w:val="21"/>
                <w:szCs w:val="21"/>
                <w:highlight w:val="white"/>
                <w:lang w:eastAsia="zh-CN"/>
              </w:rPr>
              <w:t>法定代表人授权委托书</w:t>
            </w:r>
            <w:r>
              <w:rPr>
                <w:rFonts w:hint="eastAsia" w:ascii="仿宋" w:hAnsi="仿宋" w:eastAsia="仿宋" w:cs="仿宋"/>
                <w:sz w:val="21"/>
                <w:szCs w:val="21"/>
                <w:highlight w:val="white"/>
              </w:rPr>
              <w:t>附完整的法定代表人身份证复印件、被授权人身份证复印件，</w:t>
            </w:r>
            <w:r>
              <w:rPr>
                <w:rFonts w:hint="eastAsia" w:ascii="仿宋" w:hAnsi="仿宋" w:eastAsia="仿宋" w:cs="仿宋"/>
                <w:sz w:val="21"/>
                <w:szCs w:val="21"/>
                <w:highlight w:val="white"/>
                <w:lang w:eastAsia="zh-CN"/>
              </w:rPr>
              <w:t>并</w:t>
            </w:r>
            <w:r>
              <w:rPr>
                <w:rFonts w:hint="eastAsia" w:ascii="仿宋" w:hAnsi="仿宋" w:eastAsia="仿宋" w:cs="仿宋"/>
                <w:sz w:val="21"/>
                <w:szCs w:val="21"/>
                <w:highlight w:val="white"/>
              </w:rPr>
              <w:t>加盖公章；</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具有良好的商业信誉和健全的财务会计制度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（1）</w:t>
            </w:r>
            <w:r>
              <w:rPr>
                <w:rFonts w:hint="eastAsia" w:ascii="仿宋" w:hAnsi="仿宋" w:eastAsia="仿宋" w:cs="仿宋"/>
                <w:color w:val="000000" w:themeColor="text1"/>
                <w:sz w:val="21"/>
                <w:szCs w:val="21"/>
                <w:highlight w:val="white"/>
                <w14:textFill>
                  <w14:solidFill>
                    <w14:schemeClr w14:val="tx1"/>
                  </w14:solidFill>
                </w14:textFill>
              </w:rPr>
              <w:t>提供会计师事务所出具的</w:t>
            </w:r>
            <w:r>
              <w:rPr>
                <w:rFonts w:hint="eastAsia" w:ascii="仿宋" w:hAnsi="仿宋" w:eastAsia="仿宋" w:cs="仿宋"/>
                <w:color w:val="000000" w:themeColor="text1"/>
                <w:sz w:val="21"/>
                <w:szCs w:val="21"/>
                <w:highlight w:val="white"/>
                <w:lang w:val="en-US" w:eastAsia="zh-CN"/>
                <w14:textFill>
                  <w14:solidFill>
                    <w14:schemeClr w14:val="tx1"/>
                  </w14:solidFill>
                </w14:textFill>
              </w:rPr>
              <w:t>2022年度或2023年</w:t>
            </w:r>
            <w:r>
              <w:rPr>
                <w:rFonts w:hint="eastAsia" w:ascii="仿宋" w:hAnsi="仿宋" w:eastAsia="仿宋" w:cs="仿宋"/>
                <w:sz w:val="21"/>
                <w:szCs w:val="21"/>
                <w:highlight w:val="white"/>
                <w:lang w:val="en-US" w:eastAsia="zh-CN"/>
              </w:rPr>
              <w:t>度财务审计报告</w:t>
            </w:r>
            <w:r>
              <w:rPr>
                <w:rFonts w:hint="eastAsia" w:ascii="仿宋" w:hAnsi="仿宋" w:eastAsia="仿宋" w:cs="仿宋"/>
                <w:sz w:val="21"/>
                <w:szCs w:val="21"/>
                <w:highlight w:val="white"/>
              </w:rPr>
              <w:t>复印件或银行在开标日前</w:t>
            </w:r>
            <w:r>
              <w:rPr>
                <w:rFonts w:hint="eastAsia" w:ascii="仿宋" w:hAnsi="仿宋" w:eastAsia="仿宋" w:cs="仿宋"/>
                <w:sz w:val="21"/>
                <w:szCs w:val="21"/>
                <w:highlight w:val="white"/>
                <w:lang w:val="en-US" w:eastAsia="zh-CN"/>
              </w:rPr>
              <w:t>六</w:t>
            </w:r>
            <w:r>
              <w:rPr>
                <w:rFonts w:hint="eastAsia" w:ascii="仿宋" w:hAnsi="仿宋" w:eastAsia="仿宋" w:cs="仿宋"/>
                <w:sz w:val="21"/>
                <w:szCs w:val="21"/>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（2）复印件加盖</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公章；</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具有履行合同所必需的设备和专业技术能力</w:t>
            </w:r>
          </w:p>
        </w:tc>
        <w:tc>
          <w:tcPr>
            <w:tcW w:w="4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提供了可充分满足履行合同所需设备和专业技术能力的承诺</w:t>
            </w:r>
            <w:r>
              <w:rPr>
                <w:rFonts w:hint="eastAsia" w:ascii="仿宋" w:hAnsi="仿宋" w:eastAsia="仿宋" w:cs="仿宋"/>
                <w:sz w:val="21"/>
                <w:szCs w:val="21"/>
                <w:highlight w:val="white"/>
                <w:lang w:eastAsia="zh-CN"/>
              </w:rPr>
              <w:t>（格式自拟）</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有依法缴纳税收和社会保障资金的良好记录</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（1）提供开标</w:t>
            </w:r>
            <w:r>
              <w:rPr>
                <w:rFonts w:hint="eastAsia" w:ascii="仿宋" w:hAnsi="仿宋" w:eastAsia="仿宋" w:cs="仿宋"/>
                <w:sz w:val="21"/>
                <w:szCs w:val="21"/>
                <w:highlight w:val="white"/>
                <w:lang w:val="en-US" w:eastAsia="zh-CN"/>
              </w:rPr>
              <w:t>日</w:t>
            </w:r>
            <w:r>
              <w:rPr>
                <w:rFonts w:hint="eastAsia" w:ascii="仿宋" w:hAnsi="仿宋" w:eastAsia="仿宋" w:cs="仿宋"/>
                <w:sz w:val="21"/>
                <w:szCs w:val="21"/>
                <w:highlight w:val="white"/>
              </w:rPr>
              <w:t>前</w:t>
            </w:r>
            <w:r>
              <w:rPr>
                <w:rFonts w:hint="eastAsia" w:ascii="仿宋" w:hAnsi="仿宋" w:eastAsia="仿宋" w:cs="仿宋"/>
                <w:sz w:val="21"/>
                <w:szCs w:val="21"/>
                <w:highlight w:val="white"/>
                <w:lang w:eastAsia="zh-CN"/>
              </w:rPr>
              <w:t>六个月</w:t>
            </w:r>
            <w:r>
              <w:rPr>
                <w:rFonts w:hint="eastAsia" w:ascii="仿宋" w:hAnsi="仿宋" w:eastAsia="仿宋" w:cs="仿宋"/>
                <w:sz w:val="21"/>
                <w:szCs w:val="21"/>
                <w:highlight w:val="white"/>
                <w:lang w:val="en-US" w:eastAsia="zh-CN"/>
              </w:rPr>
              <w:t>任意三</w:t>
            </w:r>
            <w:r>
              <w:rPr>
                <w:rFonts w:hint="eastAsia" w:ascii="仿宋" w:hAnsi="仿宋" w:eastAsia="仿宋" w:cs="仿宋"/>
                <w:sz w:val="21"/>
                <w:szCs w:val="21"/>
                <w:highlight w:val="white"/>
              </w:rPr>
              <w:t>个月依法缴纳税收证明，证明材料可以是缴费的银行单据等复印件并加盖公章或免缴纳证明</w:t>
            </w:r>
            <w:r>
              <w:rPr>
                <w:rFonts w:hint="eastAsia" w:ascii="仿宋" w:hAnsi="仿宋" w:eastAsia="仿宋" w:cs="仿宋"/>
                <w:sz w:val="21"/>
                <w:szCs w:val="21"/>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（2）提供开标</w:t>
            </w:r>
            <w:r>
              <w:rPr>
                <w:rFonts w:hint="eastAsia" w:ascii="仿宋" w:hAnsi="仿宋" w:eastAsia="仿宋" w:cs="仿宋"/>
                <w:sz w:val="21"/>
                <w:szCs w:val="21"/>
                <w:highlight w:val="white"/>
                <w:lang w:eastAsia="zh-CN"/>
              </w:rPr>
              <w:t>日</w:t>
            </w:r>
            <w:r>
              <w:rPr>
                <w:rFonts w:hint="eastAsia" w:ascii="仿宋" w:hAnsi="仿宋" w:eastAsia="仿宋" w:cs="仿宋"/>
                <w:sz w:val="21"/>
                <w:szCs w:val="21"/>
                <w:highlight w:val="white"/>
              </w:rPr>
              <w:t>前</w:t>
            </w:r>
            <w:r>
              <w:rPr>
                <w:rFonts w:hint="eastAsia" w:ascii="仿宋" w:hAnsi="仿宋" w:eastAsia="仿宋" w:cs="仿宋"/>
                <w:sz w:val="21"/>
                <w:szCs w:val="21"/>
                <w:highlight w:val="white"/>
                <w:lang w:eastAsia="zh-CN"/>
              </w:rPr>
              <w:t>六个月任意三</w:t>
            </w:r>
            <w:r>
              <w:rPr>
                <w:rFonts w:hint="eastAsia" w:ascii="仿宋" w:hAnsi="仿宋" w:eastAsia="仿宋" w:cs="仿宋"/>
                <w:sz w:val="21"/>
                <w:szCs w:val="21"/>
                <w:highlight w:val="white"/>
              </w:rPr>
              <w:t>个月依法缴纳社保证明，证明材料可以是缴费的银行单据或社保机构开具的证明等复印件并加盖公章或免缴纳证明</w:t>
            </w:r>
            <w:r>
              <w:rPr>
                <w:rFonts w:hint="eastAsia" w:ascii="仿宋" w:hAnsi="仿宋" w:eastAsia="仿宋" w:cs="仿宋"/>
                <w:sz w:val="21"/>
                <w:szCs w:val="21"/>
                <w:highlight w:val="white"/>
                <w:lang w:eastAsia="zh-CN"/>
              </w:rPr>
              <w:t>。</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投标人声明函</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rPr>
              <w:t>提供了参加政府采购活动前三年内，在经营活动中没有重大违法记录的书面声明</w:t>
            </w:r>
            <w:r>
              <w:rPr>
                <w:rFonts w:hint="eastAsia" w:ascii="仿宋" w:hAnsi="仿宋" w:eastAsia="仿宋" w:cs="仿宋"/>
                <w:sz w:val="21"/>
                <w:szCs w:val="21"/>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单位负责人为同一人或者存在直接控股、管理关系的不同</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，不得参加同一合同项下的政府采购活动。除单一来源采购项目外，为采购项目提供整体设计、规范编制或者项目管理、监理、检测等服务的</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，不得再参加该采购项目的其他采购活动</w:t>
            </w:r>
            <w:r>
              <w:rPr>
                <w:rFonts w:hint="eastAsia" w:ascii="仿宋" w:hAnsi="仿宋" w:eastAsia="仿宋" w:cs="仿宋"/>
                <w:sz w:val="21"/>
                <w:szCs w:val="21"/>
                <w:highlight w:val="white"/>
                <w:lang w:eastAsia="zh-CN"/>
              </w:rPr>
              <w:t>的书面声明。</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信用信息查询</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eastAsia="zh-CN"/>
              </w:rPr>
            </w:pPr>
            <w:r>
              <w:rPr>
                <w:rFonts w:hint="eastAsia" w:ascii="仿宋" w:hAnsi="仿宋" w:eastAsia="仿宋" w:cs="仿宋"/>
                <w:sz w:val="21"/>
                <w:szCs w:val="21"/>
                <w:highlight w:val="white"/>
              </w:rPr>
              <w:t>投标人不得为“信用中国网站（www.creditchina.gov.cn）中列入失信被执行人和</w:t>
            </w:r>
            <w:r>
              <w:rPr>
                <w:rFonts w:hint="eastAsia" w:ascii="仿宋" w:hAnsi="仿宋" w:eastAsia="仿宋" w:cs="仿宋"/>
                <w:sz w:val="21"/>
                <w:szCs w:val="21"/>
                <w:highlight w:val="white"/>
                <w:lang w:eastAsia="zh-CN"/>
              </w:rPr>
              <w:t>税收违法黑名单</w:t>
            </w:r>
            <w:r>
              <w:rPr>
                <w:rFonts w:hint="eastAsia" w:ascii="仿宋" w:hAnsi="仿宋" w:eastAsia="仿宋" w:cs="仿宋"/>
                <w:sz w:val="21"/>
                <w:szCs w:val="21"/>
                <w:highlight w:val="white"/>
              </w:rPr>
              <w:t>的</w:t>
            </w:r>
            <w:r>
              <w:rPr>
                <w:rFonts w:hint="eastAsia" w:ascii="仿宋" w:hAnsi="仿宋" w:eastAsia="仿宋" w:cs="仿宋"/>
                <w:sz w:val="21"/>
                <w:szCs w:val="21"/>
                <w:highlight w:val="white"/>
                <w:lang w:eastAsia="zh-CN"/>
              </w:rPr>
              <w:t>投标人</w:t>
            </w:r>
            <w:r>
              <w:rPr>
                <w:rFonts w:hint="eastAsia" w:ascii="仿宋" w:hAnsi="仿宋" w:eastAsia="仿宋" w:cs="仿宋"/>
                <w:sz w:val="21"/>
                <w:szCs w:val="21"/>
                <w:highlight w:val="white"/>
              </w:rPr>
              <w:t>，不得为中国政府采购网（www.ccgp.gov.cn）政府采购严重违法失信行为记录名单中被财政部门禁止参加政府采购活动的投标人（以代理机构查询结果为准）</w:t>
            </w:r>
            <w:r>
              <w:rPr>
                <w:rFonts w:hint="eastAsia" w:ascii="仿宋" w:hAnsi="仿宋" w:eastAsia="仿宋" w:cs="仿宋"/>
                <w:sz w:val="21"/>
                <w:szCs w:val="21"/>
                <w:highlight w:val="white"/>
                <w:lang w:eastAsia="zh-CN"/>
              </w:rPr>
              <w:t>。</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eastAsia="zh-CN"/>
              </w:rPr>
              <w:t>落实政策</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lang w:val="en-US" w:eastAsia="zh-CN"/>
              </w:rPr>
              <w:t>本项目为专门面向中小企业，故只接受全部服务由中小企业提供，按要求填写中小企业声明函。</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lang w:val="en-US" w:eastAsia="zh-CN"/>
              </w:rPr>
              <w:t>企业资质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建筑工程施工总承包三级及以上资质，</w:t>
            </w:r>
            <w:r>
              <w:rPr>
                <w:rFonts w:hint="eastAsia" w:ascii="仿宋" w:hAnsi="仿宋" w:eastAsia="仿宋" w:cs="仿宋"/>
                <w:sz w:val="21"/>
                <w:szCs w:val="21"/>
                <w:highlight w:val="white"/>
                <w:lang w:val="en-US" w:eastAsia="zh-CN"/>
              </w:rPr>
              <w:t>具备施工企业安全生产许可证件。</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1"/>
                <w:szCs w:val="21"/>
                <w:lang w:val="en-US" w:eastAsia="zh-CN"/>
              </w:rPr>
            </w:pPr>
            <w:r>
              <w:rPr>
                <w:rFonts w:hint="eastAsia" w:ascii="仿宋" w:hAnsi="仿宋" w:eastAsia="仿宋" w:cs="仿宋"/>
                <w:b w:val="0"/>
                <w:bCs w:val="0"/>
                <w:color w:val="auto"/>
                <w:spacing w:val="-2"/>
                <w:sz w:val="21"/>
                <w:szCs w:val="21"/>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lang w:val="en-US" w:eastAsia="zh-CN"/>
              </w:rPr>
              <w:t>项目负责人资质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1"/>
                <w:szCs w:val="21"/>
                <w:highlight w:val="white"/>
                <w:lang w:val="en-US" w:eastAsia="zh-CN"/>
              </w:rPr>
            </w:pPr>
            <w:r>
              <w:rPr>
                <w:rFonts w:hint="eastAsia" w:ascii="仿宋" w:hAnsi="仿宋" w:eastAsia="仿宋" w:cs="仿宋"/>
                <w:sz w:val="21"/>
                <w:szCs w:val="21"/>
                <w:highlight w:val="white"/>
                <w:lang w:val="en-US" w:eastAsia="zh-CN"/>
              </w:rPr>
              <w:t>工程项目负责人具备</w:t>
            </w:r>
            <w:r>
              <w:rPr>
                <w:rFonts w:hint="eastAsia" w:ascii="仿宋" w:hAnsi="仿宋" w:eastAsia="仿宋" w:cs="仿宋"/>
                <w:sz w:val="21"/>
                <w:szCs w:val="21"/>
                <w:lang w:val="en-US" w:eastAsia="zh-CN"/>
              </w:rPr>
              <w:t>建筑</w:t>
            </w:r>
            <w:r>
              <w:rPr>
                <w:rFonts w:hint="eastAsia" w:ascii="仿宋" w:hAnsi="仿宋" w:eastAsia="仿宋" w:cs="仿宋"/>
                <w:sz w:val="21"/>
                <w:szCs w:val="21"/>
                <w:highlight w:val="white"/>
                <w:lang w:val="en-US" w:eastAsia="zh-CN"/>
              </w:rPr>
              <w:t>工程二级及以上执业资格，具备有效的安全生产考核合格证书。</w:t>
            </w: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仿宋" w:hAnsi="仿宋" w:eastAsia="仿宋" w:cs="仿宋"/>
                <w:sz w:val="21"/>
                <w:szCs w:val="21"/>
                <w:highlight w:val="white"/>
              </w:rPr>
            </w:pPr>
            <w:r>
              <w:rPr>
                <w:rFonts w:hint="eastAsia" w:ascii="仿宋" w:hAnsi="仿宋" w:eastAsia="仿宋" w:cs="仿宋"/>
                <w:sz w:val="21"/>
                <w:szCs w:val="21"/>
                <w:highlight w:val="white"/>
              </w:rPr>
              <w:t>结论</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仿宋" w:hAnsi="仿宋" w:eastAsia="仿宋" w:cs="仿宋"/>
                <w:sz w:val="21"/>
                <w:szCs w:val="21"/>
                <w:highlight w:val="white"/>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2" w:type="dxa"/>
            <w:noWrap w:val="0"/>
            <w:vAlign w:val="top"/>
          </w:tcPr>
          <w:p>
            <w:pPr>
              <w:spacing w:line="360" w:lineRule="auto"/>
              <w:jc w:val="center"/>
              <w:rPr>
                <w:rFonts w:hint="eastAsia" w:ascii="仿宋" w:hAnsi="仿宋" w:eastAsia="仿宋" w:cs="仿宋"/>
                <w:spacing w:val="-2"/>
                <w:sz w:val="21"/>
                <w:szCs w:val="21"/>
              </w:rPr>
            </w:pPr>
          </w:p>
        </w:tc>
        <w:tc>
          <w:tcPr>
            <w:tcW w:w="604" w:type="dxa"/>
            <w:noWrap w:val="0"/>
            <w:vAlign w:val="top"/>
          </w:tcPr>
          <w:p>
            <w:pPr>
              <w:spacing w:line="360" w:lineRule="auto"/>
              <w:jc w:val="center"/>
              <w:rPr>
                <w:rFonts w:hint="eastAsia" w:ascii="仿宋" w:hAnsi="仿宋" w:eastAsia="仿宋" w:cs="仿宋"/>
                <w:spacing w:val="-2"/>
                <w:sz w:val="21"/>
                <w:szCs w:val="21"/>
              </w:rPr>
            </w:pPr>
          </w:p>
        </w:tc>
      </w:tr>
      <w:bookmarkEnd w:id="137"/>
      <w:bookmarkEnd w:id="138"/>
      <w:bookmarkEnd w:id="139"/>
      <w:bookmarkEnd w:id="140"/>
      <w:bookmarkEnd w:id="141"/>
      <w:bookmarkEnd w:id="142"/>
    </w:tbl>
    <w:tbl>
      <w:tblPr>
        <w:tblStyle w:val="37"/>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326" w:type="dxa"/>
          </w:tcPr>
          <w:p>
            <w:pPr>
              <w:rPr>
                <w:rFonts w:hint="eastAsia" w:ascii="仿宋" w:hAnsi="仿宋" w:eastAsia="仿宋" w:cs="仿宋"/>
                <w:sz w:val="24"/>
                <w:szCs w:val="24"/>
                <w:highlight w:val="white"/>
                <w:vertAlign w:val="baseline"/>
              </w:rPr>
            </w:pPr>
          </w:p>
        </w:tc>
      </w:tr>
    </w:tbl>
    <w:p>
      <w:pPr>
        <w:spacing w:line="360" w:lineRule="auto"/>
        <w:ind w:firstLine="472"/>
        <w:jc w:val="left"/>
        <w:rPr>
          <w:rFonts w:hint="eastAsia" w:ascii="仿宋" w:hAnsi="仿宋" w:eastAsia="仿宋" w:cs="仿宋"/>
          <w:sz w:val="24"/>
          <w:szCs w:val="24"/>
        </w:rPr>
      </w:pPr>
      <w:r>
        <w:rPr>
          <w:rFonts w:hint="eastAsia" w:ascii="仿宋" w:hAnsi="仿宋" w:eastAsia="仿宋" w:cs="仿宋"/>
          <w:spacing w:val="-2"/>
          <w:sz w:val="24"/>
          <w:szCs w:val="24"/>
        </w:rPr>
        <w:t>注：符合要求用“√”表示，不符合用“×”表示，结论为“合格”或“不合格”，有任一项不符合要求，结论为不合格。</w:t>
      </w:r>
    </w:p>
    <w:p>
      <w:pPr>
        <w:pStyle w:val="6"/>
        <w:outlineLvl w:val="9"/>
        <w:rPr>
          <w:rFonts w:hint="eastAsia" w:ascii="仿宋" w:hAnsi="仿宋" w:eastAsia="仿宋" w:cs="仿宋"/>
          <w:sz w:val="24"/>
          <w:szCs w:val="24"/>
        </w:rPr>
      </w:pPr>
      <w:r>
        <w:rPr>
          <w:rFonts w:hint="eastAsia" w:ascii="仿宋" w:hAnsi="仿宋" w:eastAsia="仿宋" w:cs="仿宋"/>
          <w:sz w:val="24"/>
          <w:szCs w:val="24"/>
        </w:rPr>
        <w:t>投标文件符合性审查</w:t>
      </w:r>
    </w:p>
    <w:p>
      <w:pPr>
        <w:rPr>
          <w:rFonts w:hint="eastAsia" w:ascii="仿宋" w:hAnsi="仿宋" w:eastAsia="仿宋" w:cs="仿宋"/>
          <w:sz w:val="24"/>
          <w:szCs w:val="24"/>
        </w:rPr>
      </w:pPr>
    </w:p>
    <w:tbl>
      <w:tblPr>
        <w:tblStyle w:val="36"/>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序号</w:t>
            </w:r>
          </w:p>
        </w:tc>
        <w:tc>
          <w:tcPr>
            <w:tcW w:w="6211"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2097"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211"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投标文件按招标文件的规定要求签署、盖章的；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按规定的格式填写，没有内容不全的；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工期满足招标文件规定的；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投标报价未超过最高限价的；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投标有效期满足招标文件要求；</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符合招标文件中规定的其它实质性要求的；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投标文件中未附有招标人不能接受的附加条件的；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不属于法律、法规和招标文件中规定的其他无效投标情形的。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16"/>
              <w:spacing w:line="360" w:lineRule="auto"/>
              <w:rPr>
                <w:rFonts w:hint="eastAsia" w:ascii="仿宋" w:hAnsi="仿宋" w:eastAsia="仿宋" w:cs="仿宋"/>
                <w:sz w:val="24"/>
                <w:szCs w:val="24"/>
              </w:rPr>
            </w:pPr>
          </w:p>
        </w:tc>
        <w:tc>
          <w:tcPr>
            <w:tcW w:w="6211" w:type="dxa"/>
            <w:noWrap w:val="0"/>
            <w:vAlign w:val="top"/>
          </w:tcPr>
          <w:p>
            <w:pPr>
              <w:pStyle w:val="16"/>
              <w:spacing w:line="360" w:lineRule="auto"/>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结论</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bl>
    <w:p>
      <w:pPr>
        <w:spacing w:line="360" w:lineRule="auto"/>
        <w:ind w:firstLine="472"/>
        <w:jc w:val="left"/>
        <w:rPr>
          <w:rFonts w:hint="eastAsia" w:ascii="仿宋" w:hAnsi="仿宋" w:eastAsia="仿宋" w:cs="仿宋"/>
          <w:sz w:val="24"/>
          <w:szCs w:val="24"/>
          <w:highlight w:val="white"/>
        </w:rPr>
      </w:pPr>
      <w:r>
        <w:rPr>
          <w:rFonts w:hint="eastAsia" w:ascii="仿宋" w:hAnsi="仿宋" w:eastAsia="仿宋" w:cs="仿宋"/>
          <w:spacing w:val="-2"/>
          <w:sz w:val="24"/>
          <w:szCs w:val="24"/>
        </w:rPr>
        <w:t>注：符合要求用“√”表示，不符合用“×”表示，结论为“合格”或“不合格”，有任一项不符合要求，结论为不合格。</w:t>
      </w:r>
    </w:p>
    <w:p>
      <w:pPr>
        <w:pStyle w:val="6"/>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bl>
      <w:tblPr>
        <w:tblStyle w:val="36"/>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r>
              <w:rPr>
                <w:rFonts w:hint="eastAsia" w:ascii="仿宋" w:hAnsi="仿宋" w:eastAsia="仿宋" w:cs="仿宋"/>
                <w:lang w:val="en-US" w:eastAsia="zh-CN"/>
              </w:rPr>
              <w:t>商务部分</w:t>
            </w:r>
          </w:p>
        </w:tc>
        <w:tc>
          <w:tcPr>
            <w:tcW w:w="5123" w:type="dxa"/>
            <w:tcBorders>
              <w:top w:val="single" w:color="000000" w:sz="4" w:space="0"/>
              <w:left w:val="nil"/>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r>
              <w:rPr>
                <w:rFonts w:hint="eastAsia" w:ascii="仿宋" w:hAnsi="仿宋" w:eastAsia="仿宋" w:cs="仿宋"/>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r>
              <w:rPr>
                <w:rFonts w:hint="eastAsia" w:ascii="仿宋" w:hAnsi="仿宋" w:eastAsia="仿宋" w:cs="仿宋"/>
                <w:lang w:val="en-US" w:eastAsia="zh-CN"/>
              </w:rPr>
              <w:t>经济部分</w:t>
            </w:r>
          </w:p>
        </w:tc>
        <w:tc>
          <w:tcPr>
            <w:tcW w:w="5123" w:type="dxa"/>
            <w:tcBorders>
              <w:top w:val="single" w:color="000000" w:sz="4" w:space="0"/>
              <w:left w:val="nil"/>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bookmarkStart w:id="143" w:name="sumBusiness"/>
            <w:bookmarkEnd w:id="143"/>
            <w:r>
              <w:rPr>
                <w:rFonts w:hint="eastAsia" w:ascii="仿宋" w:hAnsi="仿宋" w:eastAsia="仿宋" w:cs="仿宋"/>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r>
              <w:rPr>
                <w:rFonts w:hint="eastAsia" w:ascii="仿宋" w:hAnsi="仿宋" w:eastAsia="仿宋" w:cs="仿宋"/>
                <w:lang w:val="en-US" w:eastAsia="zh-CN"/>
              </w:rPr>
              <w:t>技术部分</w:t>
            </w:r>
          </w:p>
        </w:tc>
        <w:tc>
          <w:tcPr>
            <w:tcW w:w="5123" w:type="dxa"/>
            <w:tcBorders>
              <w:top w:val="single" w:color="000000" w:sz="4" w:space="0"/>
              <w:left w:val="nil"/>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bookmarkStart w:id="144" w:name="sumPrice"/>
            <w:bookmarkEnd w:id="144"/>
            <w:r>
              <w:rPr>
                <w:rFonts w:hint="eastAsia" w:ascii="仿宋" w:hAnsi="仿宋" w:eastAsia="仿宋" w:cs="仿宋"/>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5123" w:type="dxa"/>
            <w:tcBorders>
              <w:top w:val="single" w:color="000000" w:sz="4" w:space="0"/>
              <w:left w:val="nil"/>
              <w:bottom w:val="single" w:color="000000" w:sz="4" w:space="0"/>
              <w:right w:val="single" w:color="000000" w:sz="4" w:space="0"/>
            </w:tcBorders>
            <w:noWrap w:val="0"/>
            <w:vAlign w:val="top"/>
          </w:tcPr>
          <w:p>
            <w:pPr>
              <w:bidi w:val="0"/>
              <w:jc w:val="center"/>
              <w:rPr>
                <w:rFonts w:hint="eastAsia" w:ascii="仿宋" w:hAnsi="仿宋" w:eastAsia="仿宋" w:cs="仿宋"/>
                <w:lang w:val="en-US" w:eastAsia="zh-CN"/>
              </w:rPr>
            </w:pPr>
            <w:bookmarkStart w:id="145" w:name="sumpoint2"/>
            <w:bookmarkEnd w:id="145"/>
            <w:r>
              <w:rPr>
                <w:rFonts w:hint="eastAsia" w:ascii="仿宋" w:hAnsi="仿宋" w:eastAsia="仿宋" w:cs="仿宋"/>
                <w:lang w:val="en-US" w:eastAsia="zh-CN"/>
              </w:rPr>
              <w:t>100</w:t>
            </w:r>
          </w:p>
        </w:tc>
      </w:tr>
    </w:tbl>
    <w:p>
      <w:pPr>
        <w:numPr>
          <w:ilvl w:val="0"/>
          <w:numId w:val="7"/>
        </w:numPr>
        <w:spacing w:line="360" w:lineRule="exact"/>
        <w:ind w:left="0" w:leftChars="0" w:firstLine="0" w:firstLineChars="0"/>
        <w:outlineLvl w:val="1"/>
        <w:rPr>
          <w:rFonts w:hint="eastAsia" w:ascii="仿宋" w:hAnsi="仿宋" w:eastAsia="仿宋" w:cs="仿宋"/>
          <w:sz w:val="24"/>
          <w:szCs w:val="24"/>
          <w:lang w:eastAsia="zh-CN"/>
        </w:rPr>
      </w:pPr>
      <w:bookmarkStart w:id="146" w:name="_Toc6132"/>
      <w:r>
        <w:rPr>
          <w:rFonts w:hint="eastAsia" w:ascii="仿宋" w:hAnsi="仿宋" w:eastAsia="仿宋" w:cs="仿宋"/>
          <w:b/>
          <w:bCs/>
          <w:color w:val="auto"/>
          <w:sz w:val="24"/>
          <w:szCs w:val="24"/>
          <w:highlight w:val="white"/>
          <w:lang w:eastAsia="zh-CN"/>
        </w:rPr>
        <w:t>综合评分</w:t>
      </w:r>
      <w:r>
        <w:rPr>
          <w:rFonts w:hint="eastAsia" w:ascii="仿宋" w:hAnsi="仿宋" w:eastAsia="仿宋" w:cs="仿宋"/>
          <w:b/>
          <w:bCs/>
          <w:color w:val="auto"/>
          <w:sz w:val="24"/>
          <w:szCs w:val="24"/>
          <w:highlight w:val="white"/>
          <w:lang w:val="en-US" w:eastAsia="zh-CN"/>
        </w:rPr>
        <w:t>细则</w:t>
      </w:r>
      <w:r>
        <w:rPr>
          <w:rFonts w:hint="eastAsia" w:ascii="仿宋" w:hAnsi="仿宋" w:eastAsia="仿宋" w:cs="仿宋"/>
          <w:b/>
          <w:bCs/>
          <w:color w:val="auto"/>
          <w:sz w:val="24"/>
          <w:szCs w:val="24"/>
          <w:highlight w:val="white"/>
          <w:lang w:eastAsia="zh-CN"/>
        </w:rPr>
        <w:t>表</w:t>
      </w:r>
      <w:bookmarkEnd w:id="146"/>
    </w:p>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经济部分评分表</w:t>
      </w:r>
    </w:p>
    <w:tbl>
      <w:tblPr>
        <w:tblStyle w:val="36"/>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132"/>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86"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评审项目</w:t>
            </w:r>
          </w:p>
        </w:tc>
        <w:tc>
          <w:tcPr>
            <w:tcW w:w="1132"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分值</w:t>
            </w:r>
          </w:p>
        </w:tc>
        <w:tc>
          <w:tcPr>
            <w:tcW w:w="5835"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 w:hAnsi="仿宋" w:eastAsia="仿宋" w:cs="仿宋"/>
                <w:sz w:val="22"/>
                <w:szCs w:val="22"/>
              </w:rPr>
            </w:pPr>
            <w:r>
              <w:rPr>
                <w:rFonts w:hint="eastAsia" w:ascii="仿宋" w:hAnsi="仿宋" w:eastAsia="仿宋" w:cs="仿宋"/>
                <w:kern w:val="2"/>
                <w:sz w:val="22"/>
                <w:szCs w:val="22"/>
                <w:lang w:val="en-US" w:eastAsia="zh-CN" w:bidi="ar-SA"/>
              </w:rPr>
              <w:t>经济部分</w:t>
            </w:r>
          </w:p>
        </w:tc>
        <w:tc>
          <w:tcPr>
            <w:tcW w:w="1132" w:type="dxa"/>
            <w:noWrap w:val="0"/>
            <w:vAlign w:val="center"/>
          </w:tcPr>
          <w:p>
            <w:pPr>
              <w:jc w:val="center"/>
              <w:rPr>
                <w:rFonts w:hint="eastAsia" w:ascii="仿宋" w:hAnsi="仿宋" w:eastAsia="仿宋" w:cs="仿宋"/>
                <w:sz w:val="22"/>
                <w:szCs w:val="22"/>
              </w:rPr>
            </w:pPr>
            <w:r>
              <w:rPr>
                <w:rFonts w:hint="eastAsia" w:ascii="仿宋" w:hAnsi="仿宋" w:eastAsia="仿宋" w:cs="仿宋"/>
                <w:kern w:val="2"/>
                <w:sz w:val="22"/>
                <w:szCs w:val="22"/>
                <w:lang w:val="en-US" w:eastAsia="zh-CN" w:bidi="ar-SA"/>
              </w:rPr>
              <w:t>30分</w:t>
            </w:r>
          </w:p>
        </w:tc>
        <w:tc>
          <w:tcPr>
            <w:tcW w:w="5835" w:type="dxa"/>
            <w:noWrap w:val="0"/>
            <w:vAlign w:val="top"/>
          </w:tcPr>
          <w:p>
            <w:pPr>
              <w:pStyle w:val="16"/>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6"/>
              <w:rPr>
                <w:rFonts w:hint="eastAsia" w:ascii="仿宋" w:hAnsi="仿宋" w:eastAsia="仿宋" w:cs="仿宋"/>
                <w:sz w:val="22"/>
                <w:szCs w:val="22"/>
              </w:rPr>
            </w:pPr>
            <w:r>
              <w:rPr>
                <w:rFonts w:hint="eastAsia" w:ascii="仿宋" w:hAnsi="仿宋" w:eastAsia="仿宋" w:cs="仿宋"/>
                <w:kern w:val="2"/>
                <w:sz w:val="22"/>
                <w:szCs w:val="22"/>
                <w:lang w:val="en-US" w:eastAsia="zh-CN" w:bidi="ar-SA"/>
              </w:rPr>
              <w:t>投标报价得分=（评标基准价/投标报价）×价格权重。</w:t>
            </w:r>
          </w:p>
        </w:tc>
      </w:tr>
    </w:tbl>
    <w:p>
      <w:pPr>
        <w:outlineLvl w:val="9"/>
        <w:rPr>
          <w:rFonts w:hint="eastAsia" w:ascii="仿宋" w:hAnsi="仿宋" w:eastAsia="仿宋" w:cs="仿宋"/>
          <w:sz w:val="24"/>
          <w:szCs w:val="24"/>
          <w:lang w:eastAsia="zh-CN"/>
        </w:rPr>
      </w:pPr>
    </w:p>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商务部分评分表</w:t>
      </w:r>
    </w:p>
    <w:tbl>
      <w:tblPr>
        <w:tblStyle w:val="36"/>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1090"/>
        <w:gridCol w:w="1212"/>
        <w:gridCol w:w="5679"/>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1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总分</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商务</w:t>
            </w:r>
            <w:r>
              <w:rPr>
                <w:rFonts w:hint="eastAsia" w:ascii="仿宋" w:hAnsi="仿宋" w:eastAsia="仿宋" w:cs="仿宋"/>
                <w:sz w:val="24"/>
                <w:szCs w:val="24"/>
                <w:lang w:eastAsia="zh-CN"/>
              </w:rPr>
              <w:t>部分</w:t>
            </w:r>
          </w:p>
        </w:tc>
        <w:tc>
          <w:tcPr>
            <w:tcW w:w="10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10分</w:t>
            </w:r>
          </w:p>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4分</w:t>
            </w:r>
          </w:p>
        </w:tc>
        <w:tc>
          <w:tcPr>
            <w:tcW w:w="5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rPr>
              <w:t>提供类似业绩，每提供一</w:t>
            </w:r>
            <w:r>
              <w:rPr>
                <w:rFonts w:hint="eastAsia" w:ascii="仿宋" w:hAnsi="仿宋" w:eastAsia="仿宋" w:cs="仿宋"/>
                <w:sz w:val="24"/>
                <w:szCs w:val="24"/>
                <w:lang w:eastAsia="zh-CN"/>
              </w:rPr>
              <w:t>项</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分，最高得4分</w:t>
            </w:r>
            <w:r>
              <w:rPr>
                <w:rFonts w:hint="eastAsia" w:ascii="仿宋" w:hAnsi="仿宋" w:eastAsia="仿宋" w:cs="仿宋"/>
                <w:sz w:val="24"/>
                <w:szCs w:val="24"/>
                <w:lang w:eastAsia="zh-CN"/>
              </w:rPr>
              <w:t>；（提供中标通知书或与业主签订的正式合同，相关证明材料复印件并加盖投标单位公章，否则不得分）；</w:t>
            </w:r>
          </w:p>
        </w:tc>
      </w:tr>
    </w:tbl>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技术部分评分表</w:t>
      </w:r>
    </w:p>
    <w:tbl>
      <w:tblPr>
        <w:tblStyle w:val="36"/>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spacing w:line="360" w:lineRule="exact"/>
              <w:outlineLvl w:val="9"/>
              <w:rPr>
                <w:rFonts w:hint="eastAsia" w:ascii="仿宋" w:hAnsi="仿宋" w:eastAsia="仿宋" w:cs="仿宋"/>
                <w:b/>
                <w:bCs/>
                <w:sz w:val="24"/>
                <w:szCs w:val="24"/>
              </w:rPr>
            </w:pPr>
            <w:r>
              <w:rPr>
                <w:rFonts w:hint="eastAsia" w:ascii="仿宋" w:hAnsi="仿宋" w:eastAsia="仿宋" w:cs="仿宋"/>
                <w:color w:val="000080"/>
                <w:sz w:val="24"/>
                <w:szCs w:val="24"/>
                <w:highlight w:val="white"/>
              </w:rPr>
              <w:t xml:space="preserve"> </w:t>
            </w:r>
            <w:r>
              <w:rPr>
                <w:rFonts w:hint="eastAsia" w:ascii="仿宋" w:hAnsi="仿宋" w:eastAsia="仿宋" w:cs="仿宋"/>
                <w:b/>
                <w:bCs/>
                <w:sz w:val="24"/>
                <w:szCs w:val="24"/>
              </w:rPr>
              <w:t>项目分值</w:t>
            </w:r>
          </w:p>
        </w:tc>
        <w:tc>
          <w:tcPr>
            <w:tcW w:w="2209" w:type="dxa"/>
            <w:gridSpan w:val="2"/>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评分内容</w:t>
            </w:r>
          </w:p>
        </w:tc>
        <w:tc>
          <w:tcPr>
            <w:tcW w:w="5795" w:type="dxa"/>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技术标</w:t>
            </w:r>
          </w:p>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60</w:t>
            </w:r>
            <w:r>
              <w:rPr>
                <w:rFonts w:hint="eastAsia" w:ascii="仿宋" w:hAnsi="仿宋" w:eastAsia="仿宋" w:cs="仿宋"/>
                <w:color w:val="000000" w:themeColor="text1"/>
                <w:sz w:val="21"/>
                <w:szCs w:val="21"/>
                <w14:textFill>
                  <w14:solidFill>
                    <w14:schemeClr w14:val="tx1"/>
                  </w14:solidFill>
                </w14:textFill>
              </w:rPr>
              <w:t>分</w:t>
            </w:r>
          </w:p>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全面性</w:t>
            </w:r>
          </w:p>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r>
              <w:rPr>
                <w:rFonts w:hint="eastAsia" w:ascii="仿宋" w:hAnsi="仿宋" w:eastAsia="仿宋" w:cs="仿宋"/>
                <w:color w:val="000000" w:themeColor="text1"/>
                <w:sz w:val="21"/>
                <w:szCs w:val="21"/>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施工方法先进得</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5795" w:type="dxa"/>
            <w:vAlign w:val="center"/>
          </w:tcPr>
          <w:p>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施工设备、劳动力计划合理得</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确保工程质量、工期、安全措施得力得</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文明施工措施可信度高得</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施工总进度计划合理得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平面布置合理得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可行性</w:t>
            </w:r>
          </w:p>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r>
              <w:rPr>
                <w:rFonts w:hint="eastAsia" w:ascii="仿宋" w:hAnsi="仿宋" w:eastAsia="仿宋" w:cs="仿宋"/>
                <w:color w:val="000000" w:themeColor="text1"/>
                <w:sz w:val="21"/>
                <w:szCs w:val="21"/>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涉及主要内容齐全措施计划详尽得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5795" w:type="dxa"/>
            <w:vAlign w:val="center"/>
          </w:tcPr>
          <w:p>
            <w:pPr>
              <w:pStyle w:val="25"/>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流水段的划分合理得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分，一般得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pPr>
              <w:pStyle w:val="25"/>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流水作业的合理性得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795" w:type="dxa"/>
            <w:vAlign w:val="center"/>
          </w:tcPr>
          <w:p>
            <w:pPr>
              <w:pStyle w:val="25"/>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各项交叉作业切合实际得</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1"/>
                <w:szCs w:val="21"/>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795" w:type="dxa"/>
            <w:vAlign w:val="center"/>
          </w:tcPr>
          <w:p>
            <w:pPr>
              <w:pStyle w:val="25"/>
              <w:widowControl/>
              <w:snapToGrid/>
              <w:spacing w:line="340" w:lineRule="exact"/>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机具合理可行得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restart"/>
            <w:vAlign w:val="center"/>
          </w:tcPr>
          <w:p>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针对性</w:t>
            </w:r>
          </w:p>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14.5</w:t>
            </w:r>
            <w:r>
              <w:rPr>
                <w:rFonts w:hint="eastAsia" w:ascii="仿宋" w:hAnsi="仿宋" w:eastAsia="仿宋" w:cs="仿宋"/>
                <w:sz w:val="21"/>
                <w:szCs w:val="21"/>
              </w:rPr>
              <w:t>分</w:t>
            </w: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5</w:t>
            </w:r>
          </w:p>
        </w:tc>
        <w:tc>
          <w:tcPr>
            <w:tcW w:w="5795" w:type="dxa"/>
            <w:vAlign w:val="center"/>
          </w:tcPr>
          <w:p>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涉及重点内容突出得</w:t>
            </w:r>
            <w:r>
              <w:rPr>
                <w:rFonts w:hint="eastAsia" w:ascii="仿宋" w:hAnsi="仿宋" w:eastAsia="仿宋" w:cs="仿宋"/>
                <w:sz w:val="21"/>
                <w:szCs w:val="21"/>
                <w:lang w:val="en-US" w:eastAsia="zh-CN"/>
              </w:rPr>
              <w:t>5</w:t>
            </w:r>
            <w:r>
              <w:rPr>
                <w:rFonts w:hint="eastAsia" w:ascii="仿宋" w:hAnsi="仿宋" w:eastAsia="仿宋" w:cs="仿宋"/>
                <w:sz w:val="21"/>
                <w:szCs w:val="21"/>
              </w:rPr>
              <w:t>分、尚可得</w:t>
            </w:r>
            <w:r>
              <w:rPr>
                <w:rFonts w:hint="eastAsia" w:ascii="仿宋" w:hAnsi="仿宋" w:eastAsia="仿宋" w:cs="仿宋"/>
                <w:sz w:val="21"/>
                <w:szCs w:val="21"/>
                <w:lang w:val="en-US" w:eastAsia="zh-CN"/>
              </w:rPr>
              <w:t>3.5</w:t>
            </w:r>
            <w:r>
              <w:rPr>
                <w:rFonts w:hint="eastAsia" w:ascii="仿宋" w:hAnsi="仿宋" w:eastAsia="仿宋" w:cs="仿宋"/>
                <w:sz w:val="21"/>
                <w:szCs w:val="21"/>
              </w:rPr>
              <w:t>分，一般得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pPr>
              <w:pStyle w:val="25"/>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工程项目的质保体系健全得</w:t>
            </w:r>
            <w:r>
              <w:rPr>
                <w:rFonts w:hint="eastAsia" w:ascii="仿宋" w:hAnsi="仿宋" w:eastAsia="仿宋" w:cs="仿宋"/>
                <w:sz w:val="21"/>
                <w:szCs w:val="21"/>
                <w:lang w:val="en-US" w:eastAsia="zh-CN"/>
              </w:rPr>
              <w:t>2</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pPr>
              <w:pStyle w:val="25"/>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安保体系健全有效得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2.5</w:t>
            </w:r>
          </w:p>
        </w:tc>
        <w:tc>
          <w:tcPr>
            <w:tcW w:w="5795" w:type="dxa"/>
            <w:vAlign w:val="center"/>
          </w:tcPr>
          <w:p>
            <w:pPr>
              <w:pStyle w:val="25"/>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创优措施切实可行得</w:t>
            </w:r>
            <w:r>
              <w:rPr>
                <w:rFonts w:hint="eastAsia" w:ascii="仿宋" w:hAnsi="仿宋" w:eastAsia="仿宋" w:cs="仿宋"/>
                <w:sz w:val="21"/>
                <w:szCs w:val="21"/>
                <w:lang w:val="en-US" w:eastAsia="zh-CN"/>
              </w:rPr>
              <w:t>2.5</w:t>
            </w:r>
            <w:r>
              <w:rPr>
                <w:rFonts w:hint="eastAsia" w:ascii="仿宋" w:hAnsi="仿宋" w:eastAsia="仿宋" w:cs="仿宋"/>
                <w:sz w:val="21"/>
                <w:szCs w:val="21"/>
              </w:rPr>
              <w:t>分，尚可得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pPr>
              <w:pStyle w:val="25"/>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工程的安全措施得力</w:t>
            </w:r>
            <w:r>
              <w:rPr>
                <w:rFonts w:hint="eastAsia" w:ascii="仿宋" w:hAnsi="仿宋" w:eastAsia="仿宋" w:cs="仿宋"/>
                <w:sz w:val="21"/>
                <w:szCs w:val="21"/>
                <w:lang w:val="en-US" w:eastAsia="zh-CN"/>
              </w:rPr>
              <w:t>2</w:t>
            </w:r>
            <w:r>
              <w:rPr>
                <w:rFonts w:hint="eastAsia" w:ascii="仿宋" w:hAnsi="仿宋" w:eastAsia="仿宋" w:cs="仿宋"/>
                <w:sz w:val="21"/>
                <w:szCs w:val="21"/>
              </w:rPr>
              <w:t>分，一般得</w:t>
            </w:r>
            <w:r>
              <w:rPr>
                <w:rFonts w:hint="eastAsia" w:ascii="仿宋" w:hAnsi="仿宋" w:eastAsia="仿宋" w:cs="仿宋"/>
                <w:sz w:val="21"/>
                <w:szCs w:val="21"/>
                <w:lang w:val="en-US" w:eastAsia="zh-CN"/>
              </w:rPr>
              <w:t>0.5</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pPr>
              <w:pStyle w:val="25"/>
              <w:widowControl/>
              <w:snapToGrid/>
              <w:spacing w:line="340" w:lineRule="exact"/>
              <w:rPr>
                <w:rFonts w:hint="eastAsia" w:ascii="仿宋" w:hAnsi="仿宋" w:eastAsia="仿宋" w:cs="仿宋"/>
                <w:sz w:val="21"/>
                <w:szCs w:val="21"/>
              </w:rPr>
            </w:pPr>
            <w:r>
              <w:rPr>
                <w:rFonts w:hint="eastAsia" w:ascii="仿宋" w:hAnsi="仿宋" w:eastAsia="仿宋" w:cs="仿宋"/>
                <w:sz w:val="21"/>
                <w:szCs w:val="21"/>
              </w:rPr>
              <w:t>文明施工措施得力得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restart"/>
            <w:vAlign w:val="center"/>
          </w:tcPr>
          <w:p>
            <w:pPr>
              <w:pStyle w:val="81"/>
              <w:spacing w:line="34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先进性</w:t>
            </w:r>
          </w:p>
          <w:p>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3</w:t>
            </w:r>
          </w:p>
        </w:tc>
        <w:tc>
          <w:tcPr>
            <w:tcW w:w="5795" w:type="dxa"/>
            <w:vAlign w:val="center"/>
          </w:tcPr>
          <w:p>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采用新工艺、新技术、新设备各得</w:t>
            </w:r>
            <w:r>
              <w:rPr>
                <w:rFonts w:hint="eastAsia" w:ascii="仿宋" w:hAnsi="仿宋" w:eastAsia="仿宋" w:cs="仿宋"/>
                <w:sz w:val="21"/>
                <w:szCs w:val="21"/>
                <w:lang w:val="en-US" w:eastAsia="zh-CN"/>
              </w:rPr>
              <w:t>1</w:t>
            </w:r>
            <w:r>
              <w:rPr>
                <w:rFonts w:hint="eastAsia" w:ascii="仿宋" w:hAnsi="仿宋" w:eastAsia="仿宋" w:cs="仿宋"/>
                <w:sz w:val="21"/>
                <w:szCs w:val="21"/>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4</w:t>
            </w:r>
          </w:p>
        </w:tc>
        <w:tc>
          <w:tcPr>
            <w:tcW w:w="5795" w:type="dxa"/>
            <w:vAlign w:val="center"/>
          </w:tcPr>
          <w:p>
            <w:pPr>
              <w:widowControl/>
              <w:spacing w:line="340" w:lineRule="exact"/>
              <w:rPr>
                <w:rFonts w:hint="eastAsia" w:ascii="仿宋" w:hAnsi="仿宋" w:eastAsia="仿宋" w:cs="仿宋"/>
                <w:sz w:val="21"/>
                <w:szCs w:val="21"/>
              </w:rPr>
            </w:pPr>
            <w:r>
              <w:rPr>
                <w:rFonts w:hint="eastAsia" w:ascii="仿宋" w:hAnsi="仿宋" w:eastAsia="仿宋" w:cs="仿宋"/>
                <w:sz w:val="21"/>
                <w:szCs w:val="21"/>
              </w:rPr>
              <w:t>在确保工程质量前提下，有降低成本、缩短工期、减轻劳动强度提高进度提案者得</w:t>
            </w:r>
            <w:r>
              <w:rPr>
                <w:rFonts w:hint="eastAsia" w:ascii="仿宋" w:hAnsi="仿宋" w:eastAsia="仿宋" w:cs="仿宋"/>
                <w:sz w:val="21"/>
                <w:szCs w:val="21"/>
                <w:lang w:val="en-US" w:eastAsia="zh-CN"/>
              </w:rPr>
              <w:t>4</w:t>
            </w:r>
            <w:r>
              <w:rPr>
                <w:rFonts w:hint="eastAsia" w:ascii="仿宋" w:hAnsi="仿宋" w:eastAsia="仿宋" w:cs="仿宋"/>
                <w:sz w:val="21"/>
                <w:szCs w:val="21"/>
              </w:rPr>
              <w:t>分，方案尚可得</w:t>
            </w:r>
            <w:r>
              <w:rPr>
                <w:rFonts w:hint="eastAsia" w:ascii="仿宋" w:hAnsi="仿宋" w:eastAsia="仿宋" w:cs="仿宋"/>
                <w:sz w:val="21"/>
                <w:szCs w:val="21"/>
                <w:lang w:val="en-US" w:eastAsia="zh-CN"/>
              </w:rPr>
              <w:t>2.5</w:t>
            </w:r>
            <w:r>
              <w:rPr>
                <w:rFonts w:hint="eastAsia" w:ascii="仿宋" w:hAnsi="仿宋" w:eastAsia="仿宋" w:cs="仿宋"/>
                <w:sz w:val="21"/>
                <w:szCs w:val="21"/>
              </w:rPr>
              <w:t>分，一般得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lang w:val="en-US" w:eastAsia="zh-CN"/>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3</w:t>
            </w:r>
          </w:p>
        </w:tc>
        <w:tc>
          <w:tcPr>
            <w:tcW w:w="5795" w:type="dxa"/>
            <w:vAlign w:val="center"/>
          </w:tcPr>
          <w:p>
            <w:pPr>
              <w:pStyle w:val="81"/>
              <w:spacing w:line="340" w:lineRule="exact"/>
              <w:textAlignment w:val="center"/>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restart"/>
            <w:vAlign w:val="center"/>
          </w:tcPr>
          <w:p>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强制性</w:t>
            </w:r>
          </w:p>
          <w:p>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3.5</w:t>
            </w:r>
            <w:r>
              <w:rPr>
                <w:rFonts w:hint="eastAsia" w:ascii="仿宋" w:hAnsi="仿宋" w:eastAsia="仿宋" w:cs="仿宋"/>
                <w:sz w:val="21"/>
                <w:szCs w:val="21"/>
              </w:rPr>
              <w:t>分</w:t>
            </w: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pPr>
              <w:pStyle w:val="81"/>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制定了质量通病的防治措施、措施可行各得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1.5</w:t>
            </w:r>
          </w:p>
        </w:tc>
        <w:tc>
          <w:tcPr>
            <w:tcW w:w="5795" w:type="dxa"/>
            <w:vAlign w:val="center"/>
          </w:tcPr>
          <w:p>
            <w:pPr>
              <w:widowControl/>
              <w:spacing w:line="340" w:lineRule="exact"/>
              <w:jc w:val="left"/>
              <w:rPr>
                <w:rFonts w:hint="eastAsia" w:ascii="仿宋" w:hAnsi="仿宋" w:eastAsia="仿宋" w:cs="仿宋"/>
                <w:sz w:val="21"/>
                <w:szCs w:val="21"/>
              </w:rPr>
            </w:pPr>
            <w:r>
              <w:rPr>
                <w:rFonts w:hint="eastAsia" w:ascii="仿宋" w:hAnsi="仿宋" w:eastAsia="仿宋" w:cs="仿宋"/>
                <w:sz w:val="21"/>
                <w:szCs w:val="21"/>
              </w:rPr>
              <w:t>执行国家强制性条文、有切实可行的保证措施得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restart"/>
            <w:vAlign w:val="center"/>
          </w:tcPr>
          <w:p>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rPr>
              <w:t>承诺</w:t>
            </w:r>
          </w:p>
          <w:p>
            <w:pPr>
              <w:widowControl/>
              <w:spacing w:line="3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分</w:t>
            </w: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pPr>
              <w:widowControl/>
              <w:spacing w:line="340" w:lineRule="exact"/>
              <w:textAlignment w:val="center"/>
              <w:rPr>
                <w:rFonts w:hint="eastAsia" w:ascii="仿宋" w:hAnsi="仿宋" w:eastAsia="仿宋" w:cs="仿宋"/>
                <w:sz w:val="21"/>
                <w:szCs w:val="21"/>
              </w:rPr>
            </w:pPr>
            <w:r>
              <w:rPr>
                <w:rFonts w:hint="eastAsia" w:ascii="仿宋" w:hAnsi="仿宋" w:eastAsia="仿宋" w:cs="仿宋"/>
                <w:sz w:val="21"/>
                <w:szCs w:val="21"/>
              </w:rPr>
              <w:t>保修有承诺、有违约经济处罚且措施可行各得</w:t>
            </w:r>
            <w:r>
              <w:rPr>
                <w:rFonts w:hint="eastAsia" w:ascii="仿宋" w:hAnsi="仿宋" w:eastAsia="仿宋" w:cs="仿宋"/>
                <w:sz w:val="21"/>
                <w:szCs w:val="21"/>
                <w:lang w:val="en-US" w:eastAsia="zh-CN"/>
              </w:rPr>
              <w:t>1</w:t>
            </w:r>
            <w:r>
              <w:rPr>
                <w:rFonts w:hint="eastAsia" w:ascii="仿宋" w:hAnsi="仿宋" w:eastAsia="仿宋" w:cs="仿宋"/>
                <w:sz w:val="21"/>
                <w:szCs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 w:hAnsi="仿宋" w:eastAsia="仿宋" w:cs="仿宋"/>
                <w:sz w:val="21"/>
                <w:szCs w:val="21"/>
              </w:rPr>
            </w:pPr>
          </w:p>
        </w:tc>
        <w:tc>
          <w:tcPr>
            <w:tcW w:w="1123" w:type="dxa"/>
            <w:vMerge w:val="continue"/>
            <w:vAlign w:val="center"/>
          </w:tcPr>
          <w:p>
            <w:pPr>
              <w:widowControl/>
              <w:spacing w:line="340" w:lineRule="exact"/>
              <w:jc w:val="center"/>
              <w:rPr>
                <w:rFonts w:hint="eastAsia" w:ascii="仿宋" w:hAnsi="仿宋" w:eastAsia="仿宋" w:cs="仿宋"/>
                <w:sz w:val="21"/>
                <w:szCs w:val="21"/>
              </w:rPr>
            </w:pPr>
          </w:p>
        </w:tc>
        <w:tc>
          <w:tcPr>
            <w:tcW w:w="1086" w:type="dxa"/>
            <w:vAlign w:val="center"/>
          </w:tcPr>
          <w:p>
            <w:pPr>
              <w:widowControl/>
              <w:spacing w:line="3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w:t>
            </w:r>
            <w:r>
              <w:rPr>
                <w:rFonts w:hint="eastAsia" w:ascii="仿宋" w:hAnsi="仿宋" w:eastAsia="仿宋" w:cs="仿宋"/>
                <w:sz w:val="21"/>
                <w:szCs w:val="21"/>
                <w:lang w:val="en-US" w:eastAsia="zh-CN"/>
              </w:rPr>
              <w:t>2</w:t>
            </w:r>
          </w:p>
        </w:tc>
        <w:tc>
          <w:tcPr>
            <w:tcW w:w="5795" w:type="dxa"/>
            <w:vAlign w:val="center"/>
          </w:tcPr>
          <w:p>
            <w:pPr>
              <w:widowControl/>
              <w:spacing w:line="340" w:lineRule="exact"/>
              <w:jc w:val="left"/>
              <w:rPr>
                <w:rFonts w:hint="eastAsia" w:ascii="仿宋" w:hAnsi="仿宋" w:eastAsia="仿宋" w:cs="仿宋"/>
                <w:sz w:val="21"/>
                <w:szCs w:val="21"/>
              </w:rPr>
            </w:pPr>
            <w:r>
              <w:rPr>
                <w:rFonts w:hint="eastAsia" w:ascii="仿宋" w:hAnsi="仿宋" w:eastAsia="仿宋" w:cs="仿宋"/>
                <w:sz w:val="21"/>
                <w:szCs w:val="21"/>
              </w:rPr>
              <w:t>承诺达到优质质量标准、并有切实可行质量保证措施得</w:t>
            </w:r>
            <w:r>
              <w:rPr>
                <w:rFonts w:hint="eastAsia" w:ascii="仿宋" w:hAnsi="仿宋" w:eastAsia="仿宋" w:cs="仿宋"/>
                <w:sz w:val="21"/>
                <w:szCs w:val="21"/>
                <w:lang w:val="en-US" w:eastAsia="zh-CN"/>
              </w:rPr>
              <w:t>1.5</w:t>
            </w:r>
            <w:r>
              <w:rPr>
                <w:rFonts w:hint="eastAsia" w:ascii="仿宋" w:hAnsi="仿宋" w:eastAsia="仿宋" w:cs="仿宋"/>
                <w:sz w:val="21"/>
                <w:szCs w:val="21"/>
              </w:rPr>
              <w:t>分，否则酌情扣分；达不到有违约经济处罚的得</w:t>
            </w:r>
            <w:r>
              <w:rPr>
                <w:rFonts w:hint="eastAsia" w:ascii="仿宋" w:hAnsi="仿宋" w:eastAsia="仿宋" w:cs="仿宋"/>
                <w:sz w:val="21"/>
                <w:szCs w:val="21"/>
                <w:lang w:val="en-US" w:eastAsia="zh-CN"/>
              </w:rPr>
              <w:t>0.5</w:t>
            </w:r>
            <w:r>
              <w:rPr>
                <w:rFonts w:hint="eastAsia" w:ascii="仿宋" w:hAnsi="仿宋" w:eastAsia="仿宋" w:cs="仿宋"/>
                <w:sz w:val="21"/>
                <w:szCs w:val="21"/>
              </w:rPr>
              <w:t>分，否则不得分</w:t>
            </w:r>
          </w:p>
        </w:tc>
      </w:tr>
    </w:tbl>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7" w:name="_Toc10035"/>
      <w:r>
        <w:rPr>
          <w:rFonts w:hint="eastAsia" w:ascii="仿宋" w:hAnsi="仿宋" w:eastAsia="仿宋" w:cs="仿宋"/>
          <w:b/>
          <w:bCs/>
          <w:sz w:val="24"/>
          <w:szCs w:val="24"/>
          <w:highlight w:val="white"/>
          <w:lang w:val="en-US" w:eastAsia="zh-CN"/>
        </w:rPr>
        <w:t>二、</w:t>
      </w:r>
      <w:r>
        <w:rPr>
          <w:rFonts w:hint="eastAsia" w:ascii="仿宋" w:hAnsi="仿宋" w:eastAsia="仿宋" w:cs="仿宋"/>
          <w:b/>
          <w:bCs/>
          <w:sz w:val="24"/>
          <w:szCs w:val="24"/>
          <w:highlight w:val="white"/>
        </w:rPr>
        <w:t>推荐</w:t>
      </w:r>
      <w:r>
        <w:rPr>
          <w:rFonts w:hint="eastAsia" w:ascii="仿宋" w:hAnsi="仿宋" w:eastAsia="仿宋" w:cs="仿宋"/>
          <w:b/>
          <w:bCs/>
          <w:sz w:val="24"/>
          <w:szCs w:val="24"/>
          <w:highlight w:val="white"/>
          <w:lang w:eastAsia="zh-CN"/>
        </w:rPr>
        <w:t>中标候选人</w:t>
      </w:r>
      <w:bookmarkEnd w:id="147"/>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磋商小组应当根据综合评分情况，按照评审得分由高到低顺序推荐3名以上</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人</w:t>
      </w:r>
      <w:r>
        <w:rPr>
          <w:rFonts w:hint="eastAsia" w:ascii="仿宋" w:hAnsi="仿宋" w:eastAsia="仿宋" w:cs="仿宋"/>
          <w:bCs/>
          <w:sz w:val="24"/>
          <w:szCs w:val="24"/>
          <w:highlight w:val="white"/>
        </w:rPr>
        <w:t>，并编写评审报告。符合《政府</w:t>
      </w:r>
      <w:r>
        <w:rPr>
          <w:rFonts w:hint="eastAsia" w:ascii="仿宋" w:hAnsi="仿宋" w:eastAsia="仿宋" w:cs="仿宋"/>
          <w:bCs/>
          <w:sz w:val="24"/>
          <w:szCs w:val="24"/>
          <w:highlight w:val="white"/>
          <w:lang w:eastAsia="zh-CN"/>
        </w:rPr>
        <w:t>采购</w:t>
      </w:r>
      <w:r>
        <w:rPr>
          <w:rFonts w:hint="eastAsia" w:ascii="仿宋" w:hAnsi="仿宋" w:eastAsia="仿宋" w:cs="仿宋"/>
          <w:bCs/>
          <w:sz w:val="24"/>
          <w:szCs w:val="24"/>
          <w:highlight w:val="white"/>
        </w:rPr>
        <w:t>竞争性磋商</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方式管理暂行办法》（财库[2014]214号）中第二十一条第三款情形的，可以推荐2家</w:t>
      </w:r>
      <w:r>
        <w:rPr>
          <w:rFonts w:hint="eastAsia" w:ascii="仿宋" w:hAnsi="仿宋" w:eastAsia="仿宋" w:cs="仿宋"/>
          <w:bCs/>
          <w:sz w:val="24"/>
          <w:szCs w:val="24"/>
          <w:highlight w:val="white"/>
          <w:lang w:eastAsia="zh-CN"/>
        </w:rPr>
        <w:t>中标候选人</w:t>
      </w:r>
      <w:r>
        <w:rPr>
          <w:rFonts w:hint="eastAsia" w:ascii="仿宋" w:hAnsi="仿宋" w:eastAsia="仿宋" w:cs="仿宋"/>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评分计算方法解释</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8" w:name="_Toc31160"/>
      <w:r>
        <w:rPr>
          <w:rFonts w:hint="eastAsia" w:ascii="仿宋" w:hAnsi="仿宋" w:eastAsia="仿宋" w:cs="仿宋"/>
          <w:b/>
          <w:bCs/>
          <w:sz w:val="24"/>
          <w:szCs w:val="24"/>
          <w:highlight w:val="white"/>
          <w:lang w:val="en-US" w:eastAsia="zh-CN"/>
        </w:rPr>
        <w:t>三、</w:t>
      </w:r>
      <w:r>
        <w:rPr>
          <w:rFonts w:hint="eastAsia" w:ascii="仿宋" w:hAnsi="仿宋" w:eastAsia="仿宋" w:cs="仿宋"/>
          <w:b/>
          <w:bCs/>
          <w:sz w:val="24"/>
          <w:szCs w:val="24"/>
          <w:highlight w:val="white"/>
        </w:rPr>
        <w:t>确定</w:t>
      </w:r>
      <w:r>
        <w:rPr>
          <w:rFonts w:hint="eastAsia" w:ascii="仿宋" w:hAnsi="仿宋" w:eastAsia="仿宋" w:cs="仿宋"/>
          <w:b/>
          <w:bCs/>
          <w:sz w:val="24"/>
          <w:szCs w:val="24"/>
          <w:highlight w:val="white"/>
          <w:lang w:eastAsia="zh-CN"/>
        </w:rPr>
        <w:t>中标单位</w:t>
      </w:r>
      <w:bookmarkEnd w:id="148"/>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代理机构应当在评审结束后2个工作日内将评审报告送</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人确认。</w:t>
      </w:r>
    </w:p>
    <w:p>
      <w:pPr>
        <w:widowControl/>
        <w:adjustRightInd w:val="0"/>
        <w:snapToGrid w:val="0"/>
        <w:spacing w:line="360" w:lineRule="auto"/>
        <w:ind w:firstLine="480" w:firstLineChars="200"/>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人应当在收到评审报告后5个工作日内，从评审报告提出的</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中，按照排序由高到低的原则确定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，也可以书面授权磋商小组直接确定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人逾期未确定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且不提出异议的，视为确定评审报告提出的排序第一的</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为</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pStyle w:val="22"/>
        <w:rPr>
          <w:rFonts w:hint="eastAsia" w:ascii="仿宋" w:hAnsi="仿宋" w:eastAsia="仿宋" w:cs="仿宋"/>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r>
        <w:rPr>
          <w:rFonts w:hint="eastAsia" w:ascii="仿宋" w:hAnsi="仿宋" w:eastAsia="仿宋" w:cs="仿宋"/>
          <w:b/>
          <w:bCs/>
          <w:sz w:val="24"/>
          <w:szCs w:val="24"/>
          <w:highlight w:val="white"/>
          <w:lang w:val="en-US" w:eastAsia="zh-CN"/>
        </w:rPr>
        <w:t>四、控制价编制说明</w:t>
      </w:r>
      <w:bookmarkStart w:id="149" w:name="_Toc6170"/>
      <w:bookmarkStart w:id="150" w:name="_Toc25437"/>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宋体" w:hAnsi="宋体" w:cs="宋体"/>
          <w:b/>
          <w:sz w:val="28"/>
          <w:szCs w:val="28"/>
          <w:lang w:val="en-US" w:eastAsia="zh-CN"/>
        </w:rPr>
      </w:pPr>
      <w:bookmarkStart w:id="151" w:name="_Toc13777"/>
      <w:r>
        <w:rPr>
          <w:rFonts w:hint="eastAsia" w:ascii="宋体" w:hAnsi="宋体" w:eastAsia="宋体" w:cs="宋体"/>
          <w:b/>
          <w:sz w:val="28"/>
          <w:szCs w:val="28"/>
          <w:lang w:val="en-US" w:eastAsia="zh-CN"/>
        </w:rPr>
        <w:t>乌苏市夹河子乡红房子村育苗基地建设项目</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sz w:val="20"/>
          <w:szCs w:val="21"/>
        </w:rPr>
      </w:pPr>
      <w:r>
        <w:rPr>
          <w:rFonts w:hint="eastAsia" w:ascii="宋体" w:hAnsi="宋体" w:cs="宋体"/>
          <w:b/>
          <w:sz w:val="28"/>
          <w:szCs w:val="28"/>
          <w:lang w:val="en-US" w:eastAsia="zh-CN"/>
        </w:rPr>
        <w:t>控制价</w:t>
      </w:r>
      <w:r>
        <w:rPr>
          <w:rFonts w:hint="eastAsia" w:ascii="宋体" w:hAnsi="宋体" w:eastAsia="宋体" w:cs="宋体"/>
          <w:b/>
          <w:sz w:val="28"/>
          <w:szCs w:val="28"/>
        </w:rPr>
        <w:t>编制说明</w:t>
      </w:r>
    </w:p>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宋体" w:hAnsi="宋体" w:eastAsia="宋体" w:cs="宋体"/>
          <w:b w:val="0"/>
          <w:bCs/>
          <w:sz w:val="22"/>
          <w:szCs w:val="22"/>
        </w:rPr>
      </w:pPr>
      <w:r>
        <w:rPr>
          <w:rFonts w:hint="eastAsia" w:ascii="宋体" w:hAnsi="宋体" w:eastAsia="宋体" w:cs="宋体"/>
          <w:b w:val="0"/>
          <w:bCs/>
          <w:sz w:val="22"/>
          <w:szCs w:val="22"/>
        </w:rPr>
        <w:t>一、工程概况</w:t>
      </w:r>
    </w:p>
    <w:p>
      <w:pPr>
        <w:pStyle w:val="32"/>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0"/>
        <w:rPr>
          <w:rFonts w:hint="default"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1、建设单位：</w:t>
      </w:r>
      <w:r>
        <w:rPr>
          <w:rFonts w:hint="eastAsia" w:ascii="宋体" w:hAnsi="宋体" w:eastAsia="宋体" w:cs="宋体"/>
          <w:sz w:val="22"/>
          <w:szCs w:val="22"/>
          <w:lang w:val="en-US" w:eastAsia="zh-CN"/>
        </w:rPr>
        <w:t>乌苏市</w:t>
      </w:r>
      <w:r>
        <w:rPr>
          <w:rFonts w:hint="eastAsia" w:ascii="宋体" w:hAnsi="宋体" w:cs="宋体"/>
          <w:sz w:val="22"/>
          <w:szCs w:val="22"/>
          <w:lang w:val="en-US" w:eastAsia="zh-CN"/>
        </w:rPr>
        <w:t>夹河子乡人民政府</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40" w:firstLineChars="200"/>
        <w:jc w:val="both"/>
        <w:outlineLvl w:val="9"/>
        <w:rPr>
          <w:rFonts w:hint="default" w:ascii="宋体" w:hAnsi="宋体" w:eastAsia="宋体" w:cs="宋体"/>
          <w:b w:val="0"/>
          <w:bCs/>
          <w:sz w:val="22"/>
          <w:szCs w:val="22"/>
          <w:lang w:val="en-US" w:eastAsia="zh-CN"/>
        </w:rPr>
      </w:pPr>
      <w:r>
        <w:rPr>
          <w:rFonts w:hint="eastAsia" w:ascii="宋体" w:hAnsi="宋体" w:eastAsia="宋体" w:cs="宋体"/>
          <w:b w:val="0"/>
          <w:bCs/>
          <w:sz w:val="22"/>
          <w:szCs w:val="22"/>
        </w:rPr>
        <w:t>2、工程名称：</w:t>
      </w:r>
      <w:r>
        <w:rPr>
          <w:rFonts w:hint="eastAsia" w:ascii="宋体" w:hAnsi="宋体" w:eastAsia="宋体" w:cs="宋体"/>
          <w:kern w:val="2"/>
          <w:sz w:val="22"/>
          <w:szCs w:val="22"/>
          <w:lang w:val="en-US" w:eastAsia="zh-CN" w:bidi="ar-SA"/>
        </w:rPr>
        <w:t>乌苏市</w:t>
      </w:r>
      <w:r>
        <w:rPr>
          <w:rFonts w:hint="eastAsia" w:ascii="宋体" w:hAnsi="宋体" w:cs="宋体"/>
          <w:kern w:val="2"/>
          <w:sz w:val="22"/>
          <w:szCs w:val="22"/>
          <w:lang w:val="en-US" w:eastAsia="zh-CN" w:bidi="ar-SA"/>
        </w:rPr>
        <w:t>夹河子乡红房子村育苗基地建设项目</w:t>
      </w:r>
    </w:p>
    <w:p>
      <w:pPr>
        <w:keepNext w:val="0"/>
        <w:keepLines w:val="0"/>
        <w:pageBreakBefore w:val="0"/>
        <w:kinsoku/>
        <w:wordWrap/>
        <w:overflowPunct/>
        <w:topLinePunct w:val="0"/>
        <w:autoSpaceDE/>
        <w:autoSpaceDN/>
        <w:bidi w:val="0"/>
        <w:adjustRightInd/>
        <w:snapToGrid/>
        <w:spacing w:line="360" w:lineRule="auto"/>
        <w:ind w:right="0" w:rightChars="0" w:firstLine="440" w:firstLineChars="200"/>
        <w:jc w:val="both"/>
        <w:outlineLvl w:val="9"/>
        <w:rPr>
          <w:rFonts w:hint="eastAsia" w:ascii="宋体" w:hAnsi="宋体" w:eastAsia="宋体" w:cs="宋体"/>
          <w:sz w:val="22"/>
          <w:szCs w:val="22"/>
          <w:lang w:eastAsia="zh-CN"/>
        </w:rPr>
      </w:pPr>
      <w:r>
        <w:rPr>
          <w:rFonts w:hint="eastAsia" w:ascii="宋体" w:hAnsi="宋体" w:eastAsia="宋体" w:cs="宋体"/>
          <w:b w:val="0"/>
          <w:bCs/>
          <w:sz w:val="22"/>
          <w:szCs w:val="22"/>
          <w:lang w:eastAsia="zh-CN"/>
        </w:rPr>
        <w:t>3、工程概况</w:t>
      </w:r>
    </w:p>
    <w:tbl>
      <w:tblPr>
        <w:tblStyle w:val="37"/>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268"/>
        <w:gridCol w:w="378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项目名称</w:t>
            </w:r>
          </w:p>
        </w:tc>
        <w:tc>
          <w:tcPr>
            <w:tcW w:w="37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规模</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取费类别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220" w:firstLineChars="100"/>
              <w:jc w:val="both"/>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2268"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管理用房项目</w:t>
            </w:r>
          </w:p>
        </w:tc>
        <w:tc>
          <w:tcPr>
            <w:tcW w:w="3780"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建筑面积</w:t>
            </w:r>
            <w:r>
              <w:rPr>
                <w:rFonts w:hint="eastAsia" w:ascii="宋体" w:hAnsi="宋体" w:cs="宋体"/>
                <w:sz w:val="22"/>
                <w:szCs w:val="22"/>
                <w:vertAlign w:val="baseline"/>
                <w:lang w:val="en-US" w:eastAsia="zh-CN"/>
              </w:rPr>
              <w:t>107.45</w:t>
            </w:r>
            <w:r>
              <w:rPr>
                <w:rFonts w:hint="eastAsia" w:ascii="宋体" w:hAnsi="宋体" w:eastAsia="宋体" w:cs="宋体"/>
                <w:sz w:val="22"/>
                <w:szCs w:val="22"/>
                <w:vertAlign w:val="baseline"/>
                <w:lang w:val="en-US" w:eastAsia="zh-CN"/>
              </w:rPr>
              <w:t>m2，</w:t>
            </w:r>
            <w:r>
              <w:rPr>
                <w:rFonts w:hint="eastAsia" w:ascii="宋体" w:hAnsi="宋体" w:cs="宋体"/>
                <w:sz w:val="22"/>
                <w:szCs w:val="22"/>
                <w:vertAlign w:val="baseline"/>
                <w:lang w:val="en-US" w:eastAsia="zh-CN"/>
              </w:rPr>
              <w:t>砖混</w:t>
            </w:r>
            <w:r>
              <w:rPr>
                <w:rFonts w:hint="eastAsia" w:ascii="宋体" w:hAnsi="宋体" w:eastAsia="宋体" w:cs="宋体"/>
                <w:sz w:val="22"/>
                <w:szCs w:val="22"/>
                <w:vertAlign w:val="baseline"/>
                <w:lang w:val="en-US" w:eastAsia="zh-CN"/>
              </w:rPr>
              <w:t>结构，地上</w:t>
            </w:r>
            <w:r>
              <w:rPr>
                <w:rFonts w:hint="eastAsia" w:ascii="宋体" w:hAnsi="宋体" w:cs="宋体"/>
                <w:sz w:val="22"/>
                <w:szCs w:val="22"/>
                <w:vertAlign w:val="baseline"/>
                <w:lang w:val="en-US" w:eastAsia="zh-CN"/>
              </w:rPr>
              <w:t>一</w:t>
            </w:r>
            <w:r>
              <w:rPr>
                <w:rFonts w:hint="eastAsia" w:ascii="宋体" w:hAnsi="宋体" w:eastAsia="宋体" w:cs="宋体"/>
                <w:sz w:val="22"/>
                <w:szCs w:val="22"/>
                <w:vertAlign w:val="baseline"/>
                <w:lang w:val="en-US" w:eastAsia="zh-CN"/>
              </w:rPr>
              <w:t>层，建筑高</w:t>
            </w:r>
            <w:r>
              <w:rPr>
                <w:rFonts w:hint="eastAsia" w:ascii="宋体" w:hAnsi="宋体" w:cs="宋体"/>
                <w:sz w:val="22"/>
                <w:szCs w:val="22"/>
                <w:vertAlign w:val="baseline"/>
                <w:lang w:val="en-US" w:eastAsia="zh-CN"/>
              </w:rPr>
              <w:t>度3.6</w:t>
            </w:r>
            <w:r>
              <w:rPr>
                <w:rFonts w:hint="eastAsia" w:ascii="宋体" w:hAnsi="宋体" w:eastAsia="宋体" w:cs="宋体"/>
                <w:sz w:val="22"/>
                <w:szCs w:val="22"/>
                <w:vertAlign w:val="baseline"/>
                <w:lang w:val="en-US" w:eastAsia="zh-CN"/>
              </w:rPr>
              <w:t>m</w:t>
            </w:r>
          </w:p>
        </w:tc>
        <w:tc>
          <w:tcPr>
            <w:tcW w:w="3105"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取费为特殊地区类别不计取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220" w:firstLineChars="100"/>
              <w:jc w:val="both"/>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2</w:t>
            </w:r>
          </w:p>
        </w:tc>
        <w:tc>
          <w:tcPr>
            <w:tcW w:w="2268"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1#、2#、3#、4#、5#、6#、7#、8#育苗大棚</w:t>
            </w:r>
          </w:p>
        </w:tc>
        <w:tc>
          <w:tcPr>
            <w:tcW w:w="3780"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育苗大棚长度65m，宽度10m，砖砌大棚</w:t>
            </w:r>
          </w:p>
        </w:tc>
        <w:tc>
          <w:tcPr>
            <w:tcW w:w="3105"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取费为特殊地区类别不计取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0"/>
                <w:szCs w:val="21"/>
                <w:lang w:val="en-US" w:eastAsia="zh-CN"/>
              </w:rPr>
            </w:pPr>
            <w:r>
              <w:rPr>
                <w:rFonts w:hint="eastAsia" w:ascii="宋体" w:hAnsi="宋体" w:cs="宋体"/>
                <w:sz w:val="22"/>
                <w:szCs w:val="22"/>
                <w:vertAlign w:val="baseline"/>
                <w:lang w:val="en-US" w:eastAsia="zh-CN"/>
              </w:rPr>
              <w:t>3</w:t>
            </w:r>
          </w:p>
        </w:tc>
        <w:tc>
          <w:tcPr>
            <w:tcW w:w="2268"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9#、10#、11#、12#、13#、14#育苗大棚</w:t>
            </w:r>
          </w:p>
        </w:tc>
        <w:tc>
          <w:tcPr>
            <w:tcW w:w="3780"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育苗大棚长度30m，宽度10m，砖砌大棚</w:t>
            </w:r>
          </w:p>
        </w:tc>
        <w:tc>
          <w:tcPr>
            <w:tcW w:w="3105"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取费为特殊地区类别不计取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4</w:t>
            </w:r>
          </w:p>
        </w:tc>
        <w:tc>
          <w:tcPr>
            <w:tcW w:w="2268"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cs="宋体"/>
                <w:sz w:val="22"/>
                <w:szCs w:val="22"/>
                <w:vertAlign w:val="baseline"/>
                <w:lang w:val="en-US" w:eastAsia="zh-CN"/>
              </w:rPr>
            </w:pPr>
            <w:r>
              <w:rPr>
                <w:rFonts w:hint="eastAsia" w:ascii="宋体" w:hAnsi="宋体" w:eastAsia="宋体" w:cs="宋体"/>
                <w:sz w:val="22"/>
                <w:szCs w:val="22"/>
                <w:vertAlign w:val="baseline"/>
                <w:lang w:val="en-US" w:eastAsia="zh-CN"/>
              </w:rPr>
              <w:t>室外附属</w:t>
            </w:r>
          </w:p>
        </w:tc>
        <w:tc>
          <w:tcPr>
            <w:tcW w:w="3780"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cs="宋体"/>
                <w:sz w:val="22"/>
                <w:szCs w:val="22"/>
                <w:vertAlign w:val="baseline"/>
                <w:lang w:val="en-US" w:eastAsia="zh-CN"/>
              </w:rPr>
            </w:pPr>
            <w:r>
              <w:rPr>
                <w:rFonts w:hint="eastAsia" w:ascii="宋体" w:hAnsi="宋体" w:cs="宋体"/>
                <w:sz w:val="22"/>
                <w:szCs w:val="22"/>
                <w:vertAlign w:val="baseline"/>
                <w:lang w:val="en-US" w:eastAsia="zh-CN"/>
              </w:rPr>
              <w:t>室外电气、给水，</w:t>
            </w:r>
            <w:r>
              <w:rPr>
                <w:rFonts w:hint="eastAsia" w:ascii="宋体" w:hAnsi="宋体" w:eastAsia="宋体" w:cs="宋体"/>
                <w:sz w:val="22"/>
                <w:szCs w:val="22"/>
                <w:vertAlign w:val="baseline"/>
                <w:lang w:val="en-US" w:eastAsia="zh-CN"/>
              </w:rPr>
              <w:t>管道土方、</w:t>
            </w:r>
            <w:r>
              <w:rPr>
                <w:rFonts w:hint="eastAsia" w:ascii="宋体" w:hAnsi="宋体" w:cs="宋体"/>
                <w:sz w:val="22"/>
                <w:szCs w:val="22"/>
                <w:vertAlign w:val="baseline"/>
                <w:lang w:val="en-US" w:eastAsia="zh-CN"/>
              </w:rPr>
              <w:t>管网</w:t>
            </w:r>
            <w:r>
              <w:rPr>
                <w:rFonts w:hint="eastAsia" w:ascii="宋体" w:hAnsi="宋体" w:eastAsia="宋体" w:cs="宋体"/>
                <w:sz w:val="22"/>
                <w:szCs w:val="22"/>
                <w:vertAlign w:val="baseline"/>
                <w:lang w:val="en-US" w:eastAsia="zh-CN"/>
              </w:rPr>
              <w:t>、阀门井</w:t>
            </w:r>
            <w:r>
              <w:rPr>
                <w:rFonts w:hint="eastAsia" w:ascii="宋体" w:hAnsi="宋体" w:cs="宋体"/>
                <w:sz w:val="22"/>
                <w:szCs w:val="22"/>
                <w:vertAlign w:val="baseline"/>
                <w:lang w:val="en-US" w:eastAsia="zh-CN"/>
              </w:rPr>
              <w:t>及配电箱</w:t>
            </w:r>
            <w:r>
              <w:rPr>
                <w:rFonts w:hint="eastAsia" w:ascii="宋体" w:hAnsi="宋体" w:eastAsia="宋体" w:cs="宋体"/>
                <w:sz w:val="22"/>
                <w:szCs w:val="22"/>
                <w:vertAlign w:val="baseline"/>
                <w:lang w:val="en-US" w:eastAsia="zh-CN"/>
              </w:rPr>
              <w:t>等</w:t>
            </w:r>
          </w:p>
        </w:tc>
        <w:tc>
          <w:tcPr>
            <w:tcW w:w="3105"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取费为特殊地区类别不计取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5</w:t>
            </w:r>
          </w:p>
        </w:tc>
        <w:tc>
          <w:tcPr>
            <w:tcW w:w="2268"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沉淀池</w:t>
            </w:r>
          </w:p>
        </w:tc>
        <w:tc>
          <w:tcPr>
            <w:tcW w:w="3780"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沉淀池长度25.4m，宽度11.3m，深度2.1m混凝土浇筑</w:t>
            </w:r>
          </w:p>
        </w:tc>
        <w:tc>
          <w:tcPr>
            <w:tcW w:w="3105" w:type="dxa"/>
            <w:vAlign w:val="center"/>
          </w:tcPr>
          <w:p>
            <w:pPr>
              <w:keepNext w:val="0"/>
              <w:keepLines w:val="0"/>
              <w:pageBreakBefore w:val="0"/>
              <w:widowControl/>
              <w:suppressLineNumbers w:val="0"/>
              <w:kinsoku/>
              <w:wordWrap/>
              <w:overflowPunct/>
              <w:topLinePunct w:val="0"/>
              <w:bidi w:val="0"/>
              <w:snapToGrid/>
              <w:spacing w:line="360" w:lineRule="auto"/>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取费为特殊地区类别不计取</w:t>
            </w:r>
          </w:p>
        </w:tc>
      </w:tr>
    </w:tbl>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40" w:firstLineChars="200"/>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eastAsia="zh-CN"/>
        </w:rPr>
        <w:t>4、建设地点</w:t>
      </w:r>
      <w:r>
        <w:rPr>
          <w:rFonts w:hint="eastAsia" w:ascii="宋体" w:hAnsi="宋体" w:eastAsia="宋体" w:cs="宋体"/>
          <w:b w:val="0"/>
          <w:bCs/>
          <w:sz w:val="22"/>
          <w:szCs w:val="22"/>
          <w:lang w:val="en-US" w:eastAsia="zh-CN"/>
        </w:rPr>
        <w:t>:</w:t>
      </w:r>
      <w:r>
        <w:rPr>
          <w:rFonts w:hint="eastAsia" w:ascii="宋体" w:hAnsi="宋体" w:eastAsia="宋体" w:cs="宋体"/>
          <w:b w:val="0"/>
          <w:bCs/>
          <w:kern w:val="2"/>
          <w:sz w:val="22"/>
          <w:szCs w:val="22"/>
          <w:lang w:val="zh-CN" w:eastAsia="zh-CN" w:bidi="ar-SA"/>
        </w:rPr>
        <w:t>乌苏市</w:t>
      </w:r>
    </w:p>
    <w:p>
      <w:pPr>
        <w:keepNext w:val="0"/>
        <w:keepLines w:val="0"/>
        <w:pageBreakBefore w:val="0"/>
        <w:kinsoku/>
        <w:wordWrap/>
        <w:overflowPunct/>
        <w:topLinePunct w:val="0"/>
        <w:autoSpaceDE w:val="0"/>
        <w:autoSpaceDN w:val="0"/>
        <w:bidi w:val="0"/>
        <w:adjustRightInd w:val="0"/>
        <w:snapToGrid/>
        <w:spacing w:line="360" w:lineRule="auto"/>
        <w:ind w:firstLine="431" w:firstLineChars="196"/>
        <w:jc w:val="left"/>
        <w:textAlignment w:val="auto"/>
        <w:rPr>
          <w:rFonts w:hint="eastAsia" w:ascii="宋体" w:hAnsi="宋体" w:eastAsia="宋体" w:cs="宋体"/>
          <w:b w:val="0"/>
          <w:bCs/>
          <w:color w:val="auto"/>
          <w:sz w:val="22"/>
          <w:szCs w:val="22"/>
          <w:lang w:val="zh-CN" w:eastAsia="zh-CN"/>
        </w:rPr>
      </w:pPr>
      <w:r>
        <w:rPr>
          <w:rFonts w:hint="eastAsia" w:ascii="宋体" w:hAnsi="宋体" w:eastAsia="宋体" w:cs="宋体"/>
          <w:b w:val="0"/>
          <w:bCs/>
          <w:color w:val="auto"/>
          <w:sz w:val="22"/>
          <w:szCs w:val="22"/>
          <w:lang w:val="zh-CN" w:eastAsia="zh-CN"/>
        </w:rPr>
        <w:t>二、编制依据及说明</w:t>
      </w:r>
    </w:p>
    <w:p>
      <w:pPr>
        <w:pStyle w:val="32"/>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0"/>
        <w:textAlignment w:val="auto"/>
        <w:rPr>
          <w:rFonts w:hint="eastAsia" w:ascii="宋体" w:hAnsi="宋体" w:eastAsia="宋体" w:cs="宋体"/>
          <w:b w:val="0"/>
          <w:bCs/>
          <w:color w:val="auto"/>
          <w:sz w:val="22"/>
          <w:szCs w:val="22"/>
          <w:lang w:val="zh-CN" w:eastAsia="zh-CN"/>
        </w:rPr>
      </w:pPr>
      <w:r>
        <w:rPr>
          <w:rFonts w:hint="eastAsia" w:ascii="宋体" w:hAnsi="宋体" w:eastAsia="宋体" w:cs="宋体"/>
          <w:b w:val="0"/>
          <w:bCs/>
          <w:color w:val="auto"/>
          <w:sz w:val="22"/>
          <w:szCs w:val="22"/>
          <w:lang w:val="en-US" w:eastAsia="zh-CN"/>
        </w:rPr>
        <w:t xml:space="preserve">    1、本项目由</w:t>
      </w:r>
      <w:r>
        <w:rPr>
          <w:rFonts w:hint="eastAsia" w:ascii="宋体" w:hAnsi="宋体" w:cs="宋体"/>
          <w:b w:val="0"/>
          <w:bCs/>
          <w:color w:val="auto"/>
          <w:sz w:val="22"/>
          <w:szCs w:val="22"/>
          <w:lang w:val="en-US" w:eastAsia="zh-CN"/>
        </w:rPr>
        <w:t>新疆北疆建筑规划设计研究院</w:t>
      </w:r>
      <w:r>
        <w:rPr>
          <w:rFonts w:hint="eastAsia" w:ascii="宋体" w:hAnsi="宋体" w:eastAsia="宋体" w:cs="宋体"/>
          <w:b w:val="0"/>
          <w:bCs/>
          <w:color w:val="auto"/>
          <w:sz w:val="22"/>
          <w:szCs w:val="22"/>
          <w:lang w:val="en-US" w:eastAsia="zh-CN"/>
        </w:rPr>
        <w:t>提供初步设计图纸(设计编号：</w:t>
      </w:r>
      <w:r>
        <w:rPr>
          <w:rFonts w:hint="eastAsia" w:ascii="宋体" w:hAnsi="宋体" w:cs="宋体"/>
          <w:b w:val="0"/>
          <w:bCs/>
          <w:color w:val="auto"/>
          <w:sz w:val="22"/>
          <w:szCs w:val="22"/>
          <w:lang w:val="en-US" w:eastAsia="zh-CN"/>
        </w:rPr>
        <w:t>WS2024-63-01～10</w:t>
      </w:r>
      <w:r>
        <w:rPr>
          <w:rFonts w:hint="eastAsia" w:ascii="宋体" w:hAnsi="宋体" w:eastAsia="宋体" w:cs="宋体"/>
          <w:b w:val="0"/>
          <w:bCs/>
          <w:color w:val="auto"/>
          <w:sz w:val="22"/>
          <w:szCs w:val="22"/>
          <w:lang w:val="en-US" w:eastAsia="zh-CN"/>
        </w:rPr>
        <w:t>)及相关标准图集、规范、作法。</w:t>
      </w:r>
    </w:p>
    <w:p>
      <w:pPr>
        <w:keepNext w:val="0"/>
        <w:keepLines w:val="0"/>
        <w:pageBreakBefore w:val="0"/>
        <w:kinsoku/>
        <w:wordWrap/>
        <w:overflowPunct/>
        <w:topLinePunct w:val="0"/>
        <w:autoSpaceDE w:val="0"/>
        <w:autoSpaceDN w:val="0"/>
        <w:bidi w:val="0"/>
        <w:adjustRightInd w:val="0"/>
        <w:snapToGrid/>
        <w:spacing w:line="360" w:lineRule="auto"/>
        <w:ind w:firstLine="431" w:firstLineChars="196"/>
        <w:jc w:val="left"/>
        <w:textAlignment w:val="auto"/>
        <w:rPr>
          <w:rFonts w:hint="eastAsia" w:ascii="宋体" w:hAnsi="宋体" w:eastAsia="宋体" w:cs="宋体"/>
          <w:b w:val="0"/>
          <w:bCs/>
          <w:sz w:val="22"/>
          <w:szCs w:val="22"/>
          <w:lang w:eastAsia="zh-CN"/>
        </w:rPr>
      </w:pPr>
      <w:r>
        <w:rPr>
          <w:rFonts w:hint="eastAsia" w:ascii="宋体" w:hAnsi="宋体" w:eastAsia="宋体" w:cs="宋体"/>
          <w:b w:val="0"/>
          <w:bCs/>
          <w:color w:val="auto"/>
          <w:sz w:val="22"/>
          <w:szCs w:val="22"/>
          <w:lang w:val="en-US" w:eastAsia="zh-CN"/>
        </w:rPr>
        <w:t>2、本工程计价方式为清单计价，执行《</w:t>
      </w:r>
      <w:r>
        <w:rPr>
          <w:rFonts w:hint="eastAsia" w:ascii="宋体" w:hAnsi="宋体" w:eastAsia="宋体" w:cs="宋体"/>
          <w:b w:val="0"/>
          <w:bCs/>
          <w:color w:val="auto"/>
          <w:sz w:val="22"/>
          <w:szCs w:val="22"/>
          <w:lang w:val="zh-CN" w:eastAsia="zh-CN"/>
        </w:rPr>
        <w:t>建设工程工程量清单计价规范》</w:t>
      </w:r>
      <w:r>
        <w:rPr>
          <w:rFonts w:hint="eastAsia" w:ascii="宋体" w:hAnsi="宋体" w:eastAsia="宋体" w:cs="宋体"/>
          <w:b w:val="0"/>
          <w:bCs/>
          <w:color w:val="auto"/>
          <w:sz w:val="22"/>
          <w:szCs w:val="22"/>
          <w:lang w:val="en-US" w:eastAsia="zh-CN"/>
        </w:rPr>
        <w:t xml:space="preserve"> </w:t>
      </w:r>
      <w:r>
        <w:rPr>
          <w:rFonts w:hint="eastAsia" w:ascii="宋体" w:hAnsi="宋体" w:eastAsia="宋体" w:cs="宋体"/>
          <w:b w:val="0"/>
          <w:bCs/>
          <w:color w:val="auto"/>
          <w:sz w:val="22"/>
          <w:szCs w:val="22"/>
          <w:lang w:val="zh-CN" w:eastAsia="zh-CN"/>
        </w:rPr>
        <w:t>（GB50500-2013），中华人民共和国国家标准《建筑工程建筑面积计算规范》</w:t>
      </w:r>
      <w:r>
        <w:rPr>
          <w:rFonts w:hint="eastAsia" w:ascii="宋体" w:hAnsi="宋体" w:eastAsia="宋体" w:cs="宋体"/>
          <w:b w:val="0"/>
          <w:bCs/>
          <w:sz w:val="22"/>
          <w:szCs w:val="22"/>
        </w:rPr>
        <w:t>GB/T50353-20</w:t>
      </w:r>
      <w:r>
        <w:rPr>
          <w:rFonts w:hint="eastAsia" w:ascii="宋体" w:hAnsi="宋体" w:eastAsia="宋体" w:cs="宋体"/>
          <w:b w:val="0"/>
          <w:bCs/>
          <w:sz w:val="22"/>
          <w:szCs w:val="22"/>
          <w:lang w:val="en-US" w:eastAsia="zh-CN"/>
        </w:rPr>
        <w:t>13，</w:t>
      </w:r>
      <w:r>
        <w:rPr>
          <w:rFonts w:hint="eastAsia" w:ascii="宋体" w:hAnsi="宋体" w:eastAsia="宋体" w:cs="宋体"/>
          <w:b w:val="0"/>
          <w:bCs/>
          <w:sz w:val="22"/>
          <w:szCs w:val="22"/>
        </w:rPr>
        <w:t>《房屋建筑与装饰工程工程量计算规范》（GB50854-2013）</w:t>
      </w:r>
      <w:r>
        <w:rPr>
          <w:rFonts w:hint="eastAsia" w:ascii="宋体" w:hAnsi="宋体" w:eastAsia="宋体" w:cs="宋体"/>
          <w:b w:val="0"/>
          <w:bCs/>
          <w:sz w:val="22"/>
          <w:szCs w:val="22"/>
          <w:lang w:eastAsia="zh-CN"/>
        </w:rPr>
        <w:t>；《通用安装工程工程量计算规范》（</w:t>
      </w:r>
      <w:r>
        <w:rPr>
          <w:rFonts w:hint="eastAsia" w:ascii="宋体" w:hAnsi="宋体" w:eastAsia="宋体" w:cs="宋体"/>
          <w:b w:val="0"/>
          <w:bCs/>
          <w:sz w:val="22"/>
          <w:szCs w:val="22"/>
          <w:lang w:val="en-US" w:eastAsia="zh-CN"/>
        </w:rPr>
        <w:t>GB50856-2013</w:t>
      </w:r>
      <w:r>
        <w:rPr>
          <w:rFonts w:hint="eastAsia" w:ascii="宋体" w:hAnsi="宋体" w:eastAsia="宋体" w:cs="宋体"/>
          <w:b w:val="0"/>
          <w:bCs/>
          <w:sz w:val="22"/>
          <w:szCs w:val="22"/>
          <w:lang w:eastAsia="zh-CN"/>
        </w:rPr>
        <w:t>）。</w:t>
      </w:r>
    </w:p>
    <w:p>
      <w:pPr>
        <w:keepNext w:val="0"/>
        <w:keepLines w:val="0"/>
        <w:pageBreakBefore w:val="0"/>
        <w:widowControl/>
        <w:kinsoku/>
        <w:wordWrap/>
        <w:overflowPunct/>
        <w:topLinePunct w:val="0"/>
        <w:bidi w:val="0"/>
        <w:snapToGrid/>
        <w:spacing w:line="360" w:lineRule="auto"/>
        <w:ind w:firstLine="660" w:firstLineChars="300"/>
        <w:jc w:val="left"/>
        <w:textAlignment w:val="auto"/>
        <w:rPr>
          <w:rFonts w:hint="eastAsia" w:ascii="宋体" w:hAnsi="宋体" w:eastAsia="宋体" w:cs="宋体"/>
          <w:b w:val="0"/>
          <w:bCs/>
          <w:sz w:val="22"/>
          <w:szCs w:val="22"/>
        </w:rPr>
      </w:pPr>
      <w:r>
        <w:rPr>
          <w:rFonts w:hint="eastAsia" w:ascii="宋体" w:hAnsi="宋体" w:eastAsia="宋体" w:cs="宋体"/>
          <w:sz w:val="22"/>
          <w:szCs w:val="22"/>
          <w:lang w:val="en-US" w:eastAsia="zh-CN"/>
        </w:rPr>
        <w:t>3、</w:t>
      </w:r>
      <w:r>
        <w:rPr>
          <w:rFonts w:hint="eastAsia" w:ascii="宋体" w:hAnsi="宋体" w:eastAsia="宋体" w:cs="宋体"/>
          <w:bCs/>
          <w:sz w:val="22"/>
          <w:szCs w:val="22"/>
        </w:rPr>
        <w:t>本工程执行《新疆维吾尔自治区建筑</w:t>
      </w:r>
      <w:r>
        <w:rPr>
          <w:rFonts w:hint="eastAsia" w:ascii="宋体" w:hAnsi="宋体" w:eastAsia="宋体" w:cs="宋体"/>
          <w:bCs/>
          <w:sz w:val="22"/>
          <w:szCs w:val="22"/>
          <w:lang w:eastAsia="zh-CN"/>
        </w:rPr>
        <w:t>、</w:t>
      </w:r>
      <w:r>
        <w:rPr>
          <w:rFonts w:hint="eastAsia" w:ascii="宋体" w:hAnsi="宋体" w:eastAsia="宋体" w:cs="宋体"/>
          <w:bCs/>
          <w:sz w:val="22"/>
          <w:szCs w:val="22"/>
        </w:rPr>
        <w:t>安装</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市政</w:t>
      </w:r>
      <w:r>
        <w:rPr>
          <w:rFonts w:hint="eastAsia" w:ascii="宋体" w:hAnsi="宋体" w:eastAsia="宋体" w:cs="宋体"/>
          <w:bCs/>
          <w:sz w:val="22"/>
          <w:szCs w:val="22"/>
        </w:rPr>
        <w:t>工程费用定额》（20</w:t>
      </w:r>
      <w:r>
        <w:rPr>
          <w:rFonts w:hint="eastAsia" w:ascii="宋体" w:hAnsi="宋体" w:eastAsia="宋体" w:cs="宋体"/>
          <w:bCs/>
          <w:sz w:val="22"/>
          <w:szCs w:val="22"/>
          <w:lang w:val="en-US" w:eastAsia="zh-CN"/>
        </w:rPr>
        <w:t>20版</w:t>
      </w:r>
      <w:r>
        <w:rPr>
          <w:rFonts w:hint="eastAsia" w:ascii="宋体" w:hAnsi="宋体" w:eastAsia="宋体" w:cs="宋体"/>
          <w:bCs/>
          <w:sz w:val="22"/>
          <w:szCs w:val="22"/>
        </w:rPr>
        <w:t>）、《新疆维吾尔自治区</w:t>
      </w:r>
      <w:r>
        <w:rPr>
          <w:rFonts w:hint="eastAsia" w:ascii="宋体" w:hAnsi="宋体" w:eastAsia="宋体" w:cs="宋体"/>
          <w:bCs/>
          <w:sz w:val="22"/>
          <w:szCs w:val="22"/>
          <w:lang w:val="en-US" w:eastAsia="zh-CN"/>
        </w:rPr>
        <w:t>房屋</w:t>
      </w:r>
      <w:r>
        <w:rPr>
          <w:rFonts w:hint="eastAsia" w:ascii="宋体" w:hAnsi="宋体" w:eastAsia="宋体" w:cs="宋体"/>
          <w:bCs/>
          <w:sz w:val="22"/>
          <w:szCs w:val="22"/>
        </w:rPr>
        <w:t>建筑</w:t>
      </w:r>
      <w:r>
        <w:rPr>
          <w:rFonts w:hint="eastAsia" w:ascii="宋体" w:hAnsi="宋体" w:eastAsia="宋体" w:cs="宋体"/>
          <w:bCs/>
          <w:sz w:val="22"/>
          <w:szCs w:val="22"/>
          <w:lang w:val="en-US" w:eastAsia="zh-CN"/>
        </w:rPr>
        <w:t>与装饰</w:t>
      </w:r>
      <w:r>
        <w:rPr>
          <w:rFonts w:hint="eastAsia" w:ascii="宋体" w:hAnsi="宋体" w:eastAsia="宋体" w:cs="宋体"/>
          <w:bCs/>
          <w:sz w:val="22"/>
          <w:szCs w:val="22"/>
        </w:rPr>
        <w:t>工程消耗量定额》</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2020版</w:t>
      </w:r>
      <w:r>
        <w:rPr>
          <w:rFonts w:hint="eastAsia" w:ascii="宋体" w:hAnsi="宋体" w:eastAsia="宋体" w:cs="宋体"/>
          <w:bCs/>
          <w:sz w:val="22"/>
          <w:szCs w:val="22"/>
          <w:lang w:eastAsia="zh-CN"/>
        </w:rPr>
        <w:t>）、</w:t>
      </w:r>
      <w:r>
        <w:rPr>
          <w:rFonts w:hint="eastAsia" w:ascii="宋体" w:hAnsi="宋体" w:eastAsia="宋体" w:cs="宋体"/>
          <w:bCs/>
          <w:sz w:val="22"/>
          <w:szCs w:val="22"/>
        </w:rPr>
        <w:t>《</w:t>
      </w:r>
      <w:r>
        <w:rPr>
          <w:rFonts w:hint="eastAsia" w:ascii="宋体" w:hAnsi="宋体" w:eastAsia="宋体" w:cs="宋体"/>
          <w:bCs/>
          <w:sz w:val="22"/>
          <w:szCs w:val="22"/>
          <w:lang w:val="en-US" w:eastAsia="zh-CN"/>
        </w:rPr>
        <w:t>通用</w:t>
      </w:r>
      <w:r>
        <w:rPr>
          <w:rFonts w:hint="eastAsia" w:ascii="宋体" w:hAnsi="宋体" w:eastAsia="宋体" w:cs="宋体"/>
          <w:bCs/>
          <w:sz w:val="22"/>
          <w:szCs w:val="22"/>
        </w:rPr>
        <w:t>安装工程</w:t>
      </w:r>
      <w:r>
        <w:rPr>
          <w:rFonts w:hint="eastAsia" w:ascii="宋体" w:hAnsi="宋体" w:eastAsia="宋体" w:cs="宋体"/>
          <w:bCs/>
          <w:sz w:val="22"/>
          <w:szCs w:val="22"/>
          <w:lang w:val="en-US" w:eastAsia="zh-CN"/>
        </w:rPr>
        <w:t>消耗量</w:t>
      </w:r>
      <w:r>
        <w:rPr>
          <w:rFonts w:hint="eastAsia" w:ascii="宋体" w:hAnsi="宋体" w:eastAsia="宋体" w:cs="宋体"/>
          <w:bCs/>
          <w:sz w:val="22"/>
          <w:szCs w:val="22"/>
        </w:rPr>
        <w:t>定额》</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TY02-31-2015</w:t>
      </w:r>
      <w:r>
        <w:rPr>
          <w:rFonts w:hint="eastAsia" w:ascii="宋体" w:hAnsi="宋体" w:eastAsia="宋体" w:cs="宋体"/>
          <w:bCs/>
          <w:sz w:val="22"/>
          <w:szCs w:val="22"/>
          <w:lang w:eastAsia="zh-CN"/>
        </w:rPr>
        <w:t>）、《新疆维吾尔自治区安装工程补充消耗量定额》（</w:t>
      </w:r>
      <w:r>
        <w:rPr>
          <w:rFonts w:hint="eastAsia" w:ascii="宋体" w:hAnsi="宋体" w:eastAsia="宋体" w:cs="宋体"/>
          <w:bCs/>
          <w:sz w:val="22"/>
          <w:szCs w:val="22"/>
          <w:lang w:val="en-US" w:eastAsia="zh-CN"/>
        </w:rPr>
        <w:t>2020版</w:t>
      </w:r>
      <w:r>
        <w:rPr>
          <w:rFonts w:hint="eastAsia" w:ascii="宋体" w:hAnsi="宋体" w:eastAsia="宋体" w:cs="宋体"/>
          <w:bCs/>
          <w:sz w:val="22"/>
          <w:szCs w:val="22"/>
          <w:lang w:eastAsia="zh-CN"/>
        </w:rPr>
        <w:t>）</w:t>
      </w:r>
      <w:r>
        <w:rPr>
          <w:rFonts w:hint="eastAsia" w:ascii="宋体" w:hAnsi="宋体" w:eastAsia="宋体" w:cs="宋体"/>
          <w:bCs/>
          <w:sz w:val="22"/>
          <w:szCs w:val="22"/>
        </w:rPr>
        <w:t>。工程执行调整后的塔城地区乌苏市现行</w:t>
      </w:r>
      <w:r>
        <w:rPr>
          <w:rFonts w:hint="eastAsia" w:ascii="宋体" w:hAnsi="宋体" w:eastAsia="宋体" w:cs="宋体"/>
          <w:color w:val="000000"/>
          <w:kern w:val="0"/>
          <w:sz w:val="22"/>
          <w:szCs w:val="22"/>
          <w:lang w:val="en-US" w:eastAsia="zh-CN"/>
        </w:rPr>
        <w:t>估</w:t>
      </w:r>
      <w:r>
        <w:rPr>
          <w:rFonts w:hint="eastAsia" w:ascii="宋体" w:hAnsi="宋体" w:eastAsia="宋体" w:cs="宋体"/>
          <w:bCs/>
          <w:sz w:val="22"/>
          <w:szCs w:val="22"/>
        </w:rPr>
        <w:t>价表（除税后的</w:t>
      </w:r>
      <w:r>
        <w:rPr>
          <w:rFonts w:hint="eastAsia" w:ascii="宋体" w:hAnsi="宋体" w:eastAsia="宋体" w:cs="宋体"/>
          <w:color w:val="000000"/>
          <w:kern w:val="0"/>
          <w:sz w:val="22"/>
          <w:szCs w:val="22"/>
          <w:lang w:val="en-US" w:eastAsia="zh-CN"/>
        </w:rPr>
        <w:t>估</w:t>
      </w:r>
      <w:r>
        <w:rPr>
          <w:rFonts w:hint="eastAsia" w:ascii="宋体" w:hAnsi="宋体" w:eastAsia="宋体" w:cs="宋体"/>
          <w:bCs/>
          <w:sz w:val="22"/>
          <w:szCs w:val="22"/>
        </w:rPr>
        <w:t>价表），</w:t>
      </w:r>
      <w:r>
        <w:rPr>
          <w:rFonts w:hint="eastAsia" w:ascii="宋体" w:hAnsi="宋体" w:eastAsia="宋体" w:cs="宋体"/>
          <w:b w:val="0"/>
          <w:bCs/>
          <w:kern w:val="2"/>
          <w:sz w:val="22"/>
          <w:szCs w:val="22"/>
          <w:lang w:val="en-US" w:eastAsia="zh-CN" w:bidi="ar-SA"/>
        </w:rPr>
        <w:t>同时</w:t>
      </w:r>
      <w:r>
        <w:rPr>
          <w:rFonts w:hint="eastAsia" w:ascii="宋体" w:hAnsi="宋体" w:eastAsia="宋体" w:cs="宋体"/>
          <w:bCs/>
          <w:sz w:val="22"/>
          <w:szCs w:val="22"/>
        </w:rPr>
        <w:t>执行调整后的塔城地区乌苏市现行</w:t>
      </w:r>
      <w:r>
        <w:rPr>
          <w:rFonts w:hint="eastAsia" w:ascii="宋体" w:hAnsi="宋体" w:eastAsia="宋体" w:cs="宋体"/>
          <w:bCs/>
          <w:sz w:val="22"/>
          <w:szCs w:val="22"/>
          <w:lang w:eastAsia="zh-CN"/>
        </w:rPr>
        <w:t>估</w:t>
      </w:r>
      <w:r>
        <w:rPr>
          <w:rFonts w:hint="eastAsia" w:ascii="宋体" w:hAnsi="宋体" w:eastAsia="宋体" w:cs="宋体"/>
          <w:bCs/>
          <w:sz w:val="22"/>
          <w:szCs w:val="22"/>
        </w:rPr>
        <w:t>价表及乌鲁木齐现行</w:t>
      </w:r>
      <w:r>
        <w:rPr>
          <w:rFonts w:hint="eastAsia" w:ascii="宋体" w:hAnsi="宋体" w:eastAsia="宋体" w:cs="宋体"/>
          <w:bCs/>
          <w:sz w:val="22"/>
          <w:szCs w:val="22"/>
          <w:lang w:eastAsia="zh-CN"/>
        </w:rPr>
        <w:t>估</w:t>
      </w:r>
      <w:r>
        <w:rPr>
          <w:rFonts w:hint="eastAsia" w:ascii="宋体" w:hAnsi="宋体" w:eastAsia="宋体" w:cs="宋体"/>
          <w:bCs/>
          <w:sz w:val="22"/>
          <w:szCs w:val="22"/>
        </w:rPr>
        <w:t>价表，涉及营改增的费率调整执行《关于建筑业营业税改增值税调整塔城地区建设工程计价依据的实施意见》（新建标【2018】6号）。</w:t>
      </w:r>
    </w:p>
    <w:p>
      <w:pPr>
        <w:keepNext w:val="0"/>
        <w:keepLines w:val="0"/>
        <w:pageBreakBefore w:val="0"/>
        <w:kinsoku/>
        <w:wordWrap/>
        <w:overflowPunct/>
        <w:topLinePunct w:val="0"/>
        <w:autoSpaceDE/>
        <w:autoSpaceDN/>
        <w:bidi w:val="0"/>
        <w:adjustRightInd/>
        <w:snapToGrid/>
        <w:spacing w:line="360" w:lineRule="auto"/>
        <w:ind w:right="0" w:rightChars="0" w:firstLine="440" w:firstLineChars="200"/>
        <w:jc w:val="left"/>
        <w:outlineLvl w:val="9"/>
        <w:rPr>
          <w:rFonts w:hint="eastAsia" w:ascii="宋体" w:hAnsi="宋体" w:eastAsia="宋体" w:cs="宋体"/>
          <w:sz w:val="22"/>
          <w:szCs w:val="22"/>
          <w:lang w:val="en-US" w:eastAsia="zh-CN"/>
        </w:rPr>
      </w:pPr>
      <w:r>
        <w:rPr>
          <w:rFonts w:hint="eastAsia" w:ascii="宋体" w:hAnsi="宋体" w:eastAsia="宋体" w:cs="宋体"/>
          <w:b w:val="0"/>
          <w:bCs/>
          <w:sz w:val="22"/>
          <w:szCs w:val="22"/>
          <w:lang w:val="en-US" w:eastAsia="zh-CN"/>
        </w:rPr>
        <w:t xml:space="preserve"> </w:t>
      </w:r>
      <w:r>
        <w:rPr>
          <w:rFonts w:hint="eastAsia" w:ascii="宋体" w:hAnsi="宋体" w:cs="宋体"/>
          <w:b w:val="0"/>
          <w:bCs/>
          <w:sz w:val="22"/>
          <w:szCs w:val="22"/>
          <w:lang w:val="en-US" w:eastAsia="zh-CN"/>
        </w:rPr>
        <w:t>4</w:t>
      </w:r>
      <w:r>
        <w:rPr>
          <w:rFonts w:hint="eastAsia" w:ascii="宋体" w:hAnsi="宋体" w:eastAsia="宋体" w:cs="宋体"/>
          <w:b w:val="0"/>
          <w:bCs/>
          <w:sz w:val="22"/>
          <w:szCs w:val="22"/>
          <w:lang w:val="en-US" w:eastAsia="zh-CN"/>
        </w:rPr>
        <w:t>、定额内人工费单价调整，建筑装饰工程</w:t>
      </w:r>
      <w:r>
        <w:rPr>
          <w:rFonts w:hint="eastAsia" w:ascii="宋体" w:hAnsi="宋体" w:cs="宋体"/>
          <w:b w:val="0"/>
          <w:bCs/>
          <w:sz w:val="22"/>
          <w:szCs w:val="22"/>
          <w:lang w:val="en-US" w:eastAsia="zh-CN"/>
        </w:rPr>
        <w:t>人工费执行为</w:t>
      </w:r>
      <w:r>
        <w:rPr>
          <w:rFonts w:hint="eastAsia" w:ascii="宋体" w:hAnsi="宋体" w:eastAsia="宋体" w:cs="宋体"/>
          <w:b w:val="0"/>
          <w:bCs/>
          <w:sz w:val="22"/>
          <w:szCs w:val="22"/>
          <w:lang w:val="en-US" w:eastAsia="zh-CN"/>
        </w:rPr>
        <w:t>一类人工: 每工日 102 元：二类人工: 每工日 132 元：三类人工: 每工日 152 元；安装工程</w:t>
      </w:r>
      <w:r>
        <w:rPr>
          <w:rFonts w:hint="eastAsia" w:ascii="宋体" w:hAnsi="宋体" w:cs="宋体"/>
          <w:b w:val="0"/>
          <w:bCs/>
          <w:sz w:val="22"/>
          <w:szCs w:val="22"/>
          <w:lang w:val="en-US" w:eastAsia="zh-CN"/>
        </w:rPr>
        <w:t>人工费</w:t>
      </w:r>
      <w:r>
        <w:rPr>
          <w:rFonts w:hint="eastAsia" w:ascii="宋体" w:hAnsi="宋体" w:eastAsia="宋体" w:cs="宋体"/>
          <w:b w:val="0"/>
          <w:bCs/>
          <w:sz w:val="22"/>
          <w:szCs w:val="22"/>
          <w:lang w:val="en-US" w:eastAsia="zh-CN"/>
        </w:rPr>
        <w:t>执行</w:t>
      </w:r>
      <w:r>
        <w:rPr>
          <w:rFonts w:hint="eastAsia" w:ascii="宋体" w:hAnsi="宋体" w:cs="宋体"/>
          <w:b w:val="0"/>
          <w:bCs/>
          <w:sz w:val="22"/>
          <w:szCs w:val="22"/>
          <w:lang w:val="en-US" w:eastAsia="zh-CN"/>
        </w:rPr>
        <w:t>为</w:t>
      </w:r>
      <w:r>
        <w:rPr>
          <w:rFonts w:hint="eastAsia" w:ascii="宋体" w:hAnsi="宋体" w:eastAsia="宋体" w:cs="宋体"/>
          <w:b w:val="0"/>
          <w:bCs/>
          <w:sz w:val="22"/>
          <w:szCs w:val="22"/>
          <w:lang w:val="en-US" w:eastAsia="zh-CN"/>
        </w:rPr>
        <w:t>每工日132 元；</w:t>
      </w:r>
      <w:r>
        <w:rPr>
          <w:rFonts w:hint="eastAsia" w:ascii="宋体" w:hAnsi="宋体" w:eastAsia="宋体" w:cs="宋体"/>
          <w:b w:val="0"/>
          <w:bCs/>
          <w:sz w:val="22"/>
          <w:szCs w:val="22"/>
        </w:rPr>
        <w:t>调增部分单独列项，只计取税金，不计取其他费用。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b w:val="0"/>
          <w:bCs/>
          <w:sz w:val="22"/>
          <w:szCs w:val="22"/>
          <w:lang w:val="zh-CN"/>
        </w:rPr>
      </w:pPr>
      <w:r>
        <w:rPr>
          <w:rFonts w:hint="eastAsia" w:ascii="宋体" w:hAnsi="宋体" w:eastAsia="宋体" w:cs="宋体"/>
          <w:b w:val="0"/>
          <w:bCs/>
          <w:sz w:val="22"/>
          <w:szCs w:val="22"/>
          <w:lang w:val="en-US" w:eastAsia="zh-CN"/>
        </w:rPr>
        <w:t xml:space="preserve">   </w:t>
      </w:r>
      <w:r>
        <w:rPr>
          <w:rFonts w:hint="eastAsia" w:ascii="宋体" w:hAnsi="宋体" w:cs="宋体"/>
          <w:b w:val="0"/>
          <w:bCs/>
          <w:sz w:val="22"/>
          <w:szCs w:val="22"/>
          <w:lang w:val="en-US" w:eastAsia="zh-CN"/>
        </w:rPr>
        <w:t xml:space="preserve">  5</w:t>
      </w:r>
      <w:r>
        <w:rPr>
          <w:rFonts w:hint="eastAsia" w:ascii="宋体" w:hAnsi="宋体" w:eastAsia="宋体" w:cs="宋体"/>
          <w:b w:val="0"/>
          <w:bCs/>
          <w:sz w:val="22"/>
          <w:szCs w:val="22"/>
        </w:rPr>
        <w:t>、</w:t>
      </w:r>
      <w:r>
        <w:rPr>
          <w:rFonts w:hint="eastAsia" w:ascii="宋体" w:hAnsi="宋体" w:eastAsia="宋体" w:cs="宋体"/>
          <w:b w:val="0"/>
          <w:bCs/>
          <w:color w:val="auto"/>
          <w:sz w:val="22"/>
          <w:szCs w:val="22"/>
        </w:rPr>
        <w:t>材料价差调整依据《关于发布乌苏市20</w:t>
      </w:r>
      <w:r>
        <w:rPr>
          <w:rFonts w:hint="eastAsia" w:ascii="宋体" w:hAnsi="宋体" w:eastAsia="宋体" w:cs="宋体"/>
          <w:b w:val="0"/>
          <w:bCs/>
          <w:color w:val="auto"/>
          <w:sz w:val="22"/>
          <w:szCs w:val="22"/>
          <w:lang w:val="en-US" w:eastAsia="zh-CN"/>
        </w:rPr>
        <w:t>2</w:t>
      </w:r>
      <w:r>
        <w:rPr>
          <w:rFonts w:hint="eastAsia" w:ascii="宋体" w:hAnsi="宋体" w:cs="宋体"/>
          <w:b w:val="0"/>
          <w:bCs/>
          <w:color w:val="auto"/>
          <w:sz w:val="22"/>
          <w:szCs w:val="22"/>
          <w:lang w:val="en-US" w:eastAsia="zh-CN"/>
        </w:rPr>
        <w:t>4</w:t>
      </w:r>
      <w:r>
        <w:rPr>
          <w:rFonts w:hint="eastAsia" w:ascii="宋体" w:hAnsi="宋体" w:eastAsia="宋体" w:cs="宋体"/>
          <w:b w:val="0"/>
          <w:bCs/>
          <w:color w:val="auto"/>
          <w:sz w:val="22"/>
          <w:szCs w:val="22"/>
        </w:rPr>
        <w:t>年</w:t>
      </w:r>
      <w:r>
        <w:rPr>
          <w:rFonts w:hint="eastAsia" w:ascii="宋体" w:hAnsi="宋体" w:cs="宋体"/>
          <w:b w:val="0"/>
          <w:bCs/>
          <w:color w:val="auto"/>
          <w:sz w:val="22"/>
          <w:szCs w:val="22"/>
          <w:lang w:val="en-US" w:eastAsia="zh-CN"/>
        </w:rPr>
        <w:t>2</w:t>
      </w:r>
      <w:r>
        <w:rPr>
          <w:rFonts w:hint="eastAsia" w:ascii="宋体" w:hAnsi="宋体" w:eastAsia="宋体" w:cs="宋体"/>
          <w:b w:val="0"/>
          <w:bCs/>
          <w:color w:val="auto"/>
          <w:sz w:val="22"/>
          <w:szCs w:val="22"/>
        </w:rPr>
        <w:t>月份建设工</w:t>
      </w:r>
      <w:r>
        <w:rPr>
          <w:rFonts w:hint="eastAsia" w:ascii="宋体" w:hAnsi="宋体" w:eastAsia="宋体" w:cs="宋体"/>
          <w:b w:val="0"/>
          <w:bCs/>
          <w:color w:val="auto"/>
          <w:sz w:val="22"/>
          <w:szCs w:val="22"/>
          <w:highlight w:val="none"/>
        </w:rPr>
        <w:t>程</w:t>
      </w:r>
      <w:r>
        <w:rPr>
          <w:rFonts w:hint="eastAsia" w:ascii="宋体" w:hAnsi="宋体" w:eastAsia="宋体" w:cs="宋体"/>
          <w:b w:val="0"/>
          <w:bCs/>
          <w:color w:val="auto"/>
          <w:sz w:val="22"/>
          <w:szCs w:val="22"/>
          <w:highlight w:val="none"/>
          <w:lang w:eastAsia="zh-CN"/>
        </w:rPr>
        <w:t>除税综合</w:t>
      </w:r>
      <w:r>
        <w:rPr>
          <w:rFonts w:hint="eastAsia" w:ascii="宋体" w:hAnsi="宋体" w:eastAsia="宋体" w:cs="宋体"/>
          <w:b w:val="0"/>
          <w:bCs/>
          <w:color w:val="auto"/>
          <w:sz w:val="22"/>
          <w:szCs w:val="22"/>
          <w:highlight w:val="none"/>
        </w:rPr>
        <w:t>价</w:t>
      </w:r>
      <w:r>
        <w:rPr>
          <w:rFonts w:hint="eastAsia" w:ascii="宋体" w:hAnsi="宋体" w:eastAsia="宋体" w:cs="宋体"/>
          <w:b w:val="0"/>
          <w:bCs/>
          <w:color w:val="auto"/>
          <w:sz w:val="22"/>
          <w:szCs w:val="22"/>
        </w:rPr>
        <w:t>格信息的</w:t>
      </w:r>
      <w:r>
        <w:rPr>
          <w:rFonts w:hint="eastAsia" w:ascii="宋体" w:hAnsi="宋体" w:eastAsia="宋体" w:cs="宋体"/>
          <w:b w:val="0"/>
          <w:bCs/>
          <w:color w:val="auto"/>
          <w:sz w:val="22"/>
          <w:szCs w:val="22"/>
          <w:lang w:val="zh-CN"/>
        </w:rPr>
        <w:t>通知》，调整部分不参与取费，只计税金</w:t>
      </w:r>
      <w:r>
        <w:rPr>
          <w:rFonts w:hint="eastAsia" w:ascii="宋体" w:hAnsi="宋体" w:eastAsia="宋体" w:cs="宋体"/>
          <w:b w:val="0"/>
          <w:bCs/>
          <w:i w:val="0"/>
          <w:caps w:val="0"/>
          <w:color w:val="auto"/>
          <w:spacing w:val="0"/>
          <w:sz w:val="22"/>
          <w:szCs w:val="2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85" w:firstLineChars="266"/>
        <w:jc w:val="both"/>
        <w:textAlignment w:val="auto"/>
        <w:outlineLvl w:val="9"/>
        <w:rPr>
          <w:rFonts w:hint="eastAsia"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6、</w:t>
      </w:r>
      <w:r>
        <w:rPr>
          <w:rFonts w:hint="eastAsia" w:ascii="宋体" w:hAnsi="宋体" w:eastAsia="宋体" w:cs="宋体"/>
          <w:b w:val="0"/>
          <w:bCs/>
          <w:color w:val="auto"/>
          <w:sz w:val="22"/>
          <w:szCs w:val="22"/>
          <w:lang w:val="en-US" w:eastAsia="zh-CN"/>
        </w:rPr>
        <w:t>税金调整执行《关于实施建筑业增值税新税率调整建设工程计价依据的通知》</w:t>
      </w:r>
      <w:r>
        <w:rPr>
          <w:rFonts w:hint="eastAsia" w:ascii="宋体" w:hAnsi="宋体" w:eastAsia="宋体" w:cs="宋体"/>
          <w:b w:val="0"/>
          <w:bCs/>
          <w:kern w:val="2"/>
          <w:sz w:val="22"/>
          <w:szCs w:val="22"/>
          <w:lang w:val="en-US" w:eastAsia="zh-CN" w:bidi="ar-SA"/>
        </w:rPr>
        <w:t>（新建标〔20</w:t>
      </w:r>
      <w:r>
        <w:rPr>
          <w:rFonts w:hint="eastAsia" w:ascii="宋体" w:hAnsi="宋体" w:eastAsia="宋体" w:cs="宋体"/>
          <w:b w:val="0"/>
          <w:bCs/>
          <w:color w:val="auto"/>
          <w:kern w:val="2"/>
          <w:sz w:val="22"/>
          <w:szCs w:val="22"/>
          <w:lang w:val="en-US" w:eastAsia="zh-CN" w:bidi="ar-SA"/>
        </w:rPr>
        <w:t>19〕4号）</w:t>
      </w:r>
      <w:r>
        <w:rPr>
          <w:rFonts w:hint="eastAsia" w:ascii="宋体" w:hAnsi="宋体" w:eastAsia="宋体" w:cs="宋体"/>
          <w:b w:val="0"/>
          <w:bCs/>
          <w:color w:val="auto"/>
          <w:sz w:val="22"/>
          <w:szCs w:val="22"/>
          <w:lang w:val="en-US" w:eastAsia="zh-CN"/>
        </w:rPr>
        <w:t>，建筑业增值税税率为9%。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三</w:t>
      </w:r>
      <w:r>
        <w:rPr>
          <w:rFonts w:hint="eastAsia" w:ascii="宋体" w:hAnsi="宋体" w:eastAsia="宋体" w:cs="宋体"/>
          <w:b w:val="0"/>
          <w:bCs/>
          <w:color w:val="auto"/>
          <w:sz w:val="22"/>
          <w:szCs w:val="22"/>
          <w:lang w:val="zh-CN"/>
        </w:rPr>
        <w:t>、</w:t>
      </w:r>
      <w:r>
        <w:rPr>
          <w:rFonts w:hint="eastAsia" w:ascii="宋体" w:hAnsi="宋体" w:eastAsia="宋体" w:cs="宋体"/>
          <w:b w:val="0"/>
          <w:bCs/>
          <w:color w:val="auto"/>
          <w:sz w:val="22"/>
          <w:szCs w:val="22"/>
          <w:lang w:val="en-US" w:eastAsia="zh-CN"/>
        </w:rPr>
        <w:t>其他需要说明的有关问题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0" w:firstLineChars="200"/>
        <w:textAlignment w:val="auto"/>
        <w:outlineLvl w:val="9"/>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1、除税暂列金额共计</w:t>
      </w:r>
      <w:r>
        <w:rPr>
          <w:rFonts w:hint="eastAsia" w:ascii="宋体" w:hAnsi="宋体" w:cs="宋体"/>
          <w:b w:val="0"/>
          <w:bCs/>
          <w:color w:val="auto"/>
          <w:sz w:val="22"/>
          <w:szCs w:val="22"/>
          <w:lang w:val="en-US" w:eastAsia="zh-CN"/>
        </w:rPr>
        <w:t>135</w:t>
      </w:r>
      <w:r>
        <w:rPr>
          <w:rFonts w:hint="eastAsia" w:ascii="宋体" w:hAnsi="宋体" w:eastAsia="宋体" w:cs="宋体"/>
          <w:b w:val="0"/>
          <w:bCs/>
          <w:color w:val="auto"/>
          <w:sz w:val="22"/>
          <w:szCs w:val="22"/>
          <w:lang w:val="en-US" w:eastAsia="zh-CN"/>
        </w:rPr>
        <w:t>000元。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b w:val="0"/>
          <w:bCs/>
          <w:color w:val="auto"/>
          <w:sz w:val="22"/>
          <w:szCs w:val="22"/>
          <w:lang w:val="en-US" w:eastAsia="zh-CN"/>
        </w:rPr>
        <w:t>2、专业暂估为</w:t>
      </w:r>
      <w:r>
        <w:rPr>
          <w:rFonts w:hint="eastAsia" w:ascii="宋体" w:hAnsi="宋体" w:cs="宋体"/>
          <w:b w:val="0"/>
          <w:bCs/>
          <w:color w:val="auto"/>
          <w:sz w:val="22"/>
          <w:szCs w:val="22"/>
          <w:lang w:val="en-US" w:eastAsia="zh-CN"/>
        </w:rPr>
        <w:t>310960</w:t>
      </w:r>
      <w:r>
        <w:rPr>
          <w:rFonts w:hint="eastAsia" w:ascii="宋体" w:hAnsi="宋体" w:eastAsia="宋体" w:cs="宋体"/>
          <w:b w:val="0"/>
          <w:bCs/>
          <w:color w:val="auto"/>
          <w:sz w:val="22"/>
          <w:szCs w:val="22"/>
          <w:lang w:val="en-US" w:eastAsia="zh-CN"/>
        </w:rPr>
        <w:t>元。专业工程暂估详见明细表共计</w:t>
      </w:r>
      <w:r>
        <w:rPr>
          <w:rFonts w:hint="eastAsia" w:ascii="宋体" w:hAnsi="宋体" w:cs="宋体"/>
          <w:b w:val="0"/>
          <w:bCs/>
          <w:color w:val="auto"/>
          <w:sz w:val="22"/>
          <w:szCs w:val="22"/>
          <w:lang w:val="en-US" w:eastAsia="zh-CN"/>
        </w:rPr>
        <w:t>16</w:t>
      </w:r>
      <w:r>
        <w:rPr>
          <w:rFonts w:hint="eastAsia" w:ascii="宋体" w:hAnsi="宋体" w:eastAsia="宋体" w:cs="宋体"/>
          <w:b w:val="0"/>
          <w:bCs/>
          <w:color w:val="auto"/>
          <w:sz w:val="22"/>
          <w:szCs w:val="22"/>
          <w:lang w:val="en-US" w:eastAsia="zh-CN"/>
        </w:rPr>
        <w:t>项。</w:t>
      </w:r>
    </w:p>
    <w:tbl>
      <w:tblPr>
        <w:tblStyle w:val="36"/>
        <w:tblW w:w="4787" w:type="pct"/>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43"/>
        <w:gridCol w:w="1739"/>
        <w:gridCol w:w="4108"/>
        <w:gridCol w:w="604"/>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340"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序号</w:t>
            </w:r>
          </w:p>
        </w:tc>
        <w:tc>
          <w:tcPr>
            <w:tcW w:w="108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工程名称</w:t>
            </w:r>
          </w:p>
        </w:tc>
        <w:tc>
          <w:tcPr>
            <w:tcW w:w="257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工程内容</w:t>
            </w:r>
          </w:p>
        </w:tc>
        <w:tc>
          <w:tcPr>
            <w:tcW w:w="37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单位</w:t>
            </w:r>
          </w:p>
        </w:tc>
        <w:tc>
          <w:tcPr>
            <w:tcW w:w="62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除税总价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340"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08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0"/>
              <w:jc w:val="center"/>
              <w:rPr>
                <w:rFonts w:hint="eastAsia" w:ascii="宋体" w:hAnsi="宋体" w:eastAsia="宋体" w:cs="宋体"/>
                <w:i w:val="0"/>
                <w:iCs w:val="0"/>
                <w:color w:val="000000"/>
                <w:kern w:val="0"/>
                <w:sz w:val="22"/>
                <w:szCs w:val="22"/>
                <w:u w:val="none"/>
                <w:lang w:val="en-US" w:eastAsia="zh-CN" w:bidi="ar"/>
              </w:rPr>
            </w:pPr>
            <w:r>
              <w:rPr>
                <w:sz w:val="22"/>
                <w:szCs w:val="21"/>
              </w:rPr>
              <w:t>材料超运距费</w:t>
            </w:r>
          </w:p>
        </w:tc>
        <w:tc>
          <w:tcPr>
            <w:tcW w:w="257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0"/>
              <w:rPr>
                <w:rFonts w:hint="eastAsia" w:ascii="宋体" w:hAnsi="宋体" w:eastAsia="宋体" w:cs="宋体"/>
                <w:i w:val="0"/>
                <w:iCs w:val="0"/>
                <w:color w:val="000000"/>
                <w:kern w:val="0"/>
                <w:sz w:val="22"/>
                <w:szCs w:val="22"/>
                <w:u w:val="none"/>
                <w:lang w:val="en-US" w:eastAsia="zh-CN" w:bidi="ar"/>
              </w:rPr>
            </w:pPr>
            <w:r>
              <w:rPr>
                <w:sz w:val="22"/>
                <w:szCs w:val="21"/>
              </w:rPr>
              <w:t>1、经与建设单位沟通，全部材料平均按照3km运费计入；</w:t>
            </w:r>
          </w:p>
        </w:tc>
        <w:tc>
          <w:tcPr>
            <w:tcW w:w="37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62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1"/>
              </w:rPr>
              <w:t>1</w:t>
            </w:r>
            <w:r>
              <w:rPr>
                <w:rFonts w:hint="eastAsia" w:ascii="宋体" w:hAnsi="宋体" w:cs="宋体"/>
                <w:sz w:val="22"/>
                <w:szCs w:val="21"/>
                <w:lang w:val="en-US" w:eastAsia="zh-CN"/>
              </w:rPr>
              <w:t>5</w:t>
            </w:r>
            <w:r>
              <w:rPr>
                <w:rFonts w:hint="eastAsia" w:ascii="宋体" w:hAnsi="宋体" w:eastAsia="宋体" w:cs="宋体"/>
                <w:sz w:val="22"/>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340"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08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0"/>
              <w:rPr>
                <w:sz w:val="22"/>
                <w:szCs w:val="21"/>
              </w:rPr>
            </w:pPr>
            <w:r>
              <w:rPr>
                <w:sz w:val="22"/>
                <w:szCs w:val="21"/>
              </w:rPr>
              <w:t>全自动高效热风炉</w:t>
            </w:r>
          </w:p>
        </w:tc>
        <w:tc>
          <w:tcPr>
            <w:tcW w:w="257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0"/>
              <w:rPr>
                <w:rFonts w:hint="default" w:eastAsia="宋体"/>
                <w:sz w:val="22"/>
                <w:szCs w:val="21"/>
                <w:lang w:val="en-US" w:eastAsia="zh-CN"/>
              </w:rPr>
            </w:pPr>
            <w:r>
              <w:rPr>
                <w:sz w:val="22"/>
                <w:szCs w:val="21"/>
              </w:rPr>
              <w:t>1、根据现场实际情况及建设单位要求购买并安装；</w:t>
            </w:r>
            <w:r>
              <w:rPr>
                <w:sz w:val="22"/>
                <w:szCs w:val="21"/>
              </w:rPr>
              <w:br w:type="textWrapping"/>
            </w:r>
            <w:r>
              <w:rPr>
                <w:rFonts w:hint="eastAsia"/>
                <w:sz w:val="22"/>
                <w:szCs w:val="21"/>
                <w:lang w:val="en-US" w:eastAsia="zh-CN"/>
              </w:rPr>
              <w:t>2、每个大棚单独暂估，共计14套；</w:t>
            </w:r>
          </w:p>
        </w:tc>
        <w:tc>
          <w:tcPr>
            <w:tcW w:w="37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元</w:t>
            </w:r>
          </w:p>
        </w:tc>
        <w:tc>
          <w:tcPr>
            <w:tcW w:w="62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sz w:val="22"/>
                <w:szCs w:val="21"/>
                <w:lang w:val="en-US" w:eastAsia="zh-CN"/>
              </w:rPr>
            </w:pPr>
            <w:r>
              <w:rPr>
                <w:rFonts w:hint="eastAsia" w:ascii="宋体" w:hAnsi="宋体" w:cs="宋体"/>
                <w:sz w:val="22"/>
                <w:szCs w:val="21"/>
                <w:lang w:val="en-US" w:eastAsia="zh-CN"/>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340"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08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widowControl/>
              <w:suppressLineNumbers w:val="0"/>
              <w:spacing w:before="0" w:beforeAutospacing="0" w:after="0" w:afterAutospacing="0" w:line="360" w:lineRule="auto"/>
              <w:ind w:left="0" w:right="0" w:firstLine="0"/>
              <w:rPr>
                <w:sz w:val="22"/>
                <w:szCs w:val="21"/>
              </w:rPr>
            </w:pPr>
            <w:r>
              <w:rPr>
                <w:sz w:val="22"/>
                <w:szCs w:val="21"/>
              </w:rPr>
              <w:t>室外配套高压设备</w:t>
            </w:r>
          </w:p>
        </w:tc>
        <w:tc>
          <w:tcPr>
            <w:tcW w:w="257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widowControl/>
              <w:suppressLineNumbers w:val="0"/>
              <w:spacing w:before="0" w:beforeAutospacing="0" w:after="0" w:afterAutospacing="0" w:line="360" w:lineRule="auto"/>
              <w:ind w:left="0" w:right="0" w:firstLine="0"/>
              <w:rPr>
                <w:sz w:val="22"/>
                <w:szCs w:val="21"/>
              </w:rPr>
            </w:pPr>
            <w:r>
              <w:rPr>
                <w:sz w:val="22"/>
                <w:szCs w:val="21"/>
              </w:rPr>
              <w:t>1、包含电线杆、电缆及变压器等，具体型号根据建设单位要求及现场实际情况而定；</w:t>
            </w:r>
          </w:p>
        </w:tc>
        <w:tc>
          <w:tcPr>
            <w:tcW w:w="378"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元</w:t>
            </w:r>
          </w:p>
        </w:tc>
        <w:tc>
          <w:tcPr>
            <w:tcW w:w="62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cs="宋体"/>
                <w:sz w:val="22"/>
                <w:szCs w:val="21"/>
                <w:lang w:val="en-US" w:eastAsia="zh-CN"/>
              </w:rPr>
            </w:pPr>
            <w:r>
              <w:rPr>
                <w:rFonts w:hint="eastAsia" w:ascii="宋体" w:hAnsi="宋体" w:cs="宋体"/>
                <w:sz w:val="22"/>
                <w:szCs w:val="21"/>
                <w:lang w:val="en-US" w:eastAsia="zh-CN"/>
              </w:rPr>
              <w:t>155960</w:t>
            </w:r>
          </w:p>
        </w:tc>
      </w:tr>
    </w:tbl>
    <w:p>
      <w:pPr>
        <w:keepNext w:val="0"/>
        <w:keepLines w:val="0"/>
        <w:pageBreakBefore w:val="0"/>
        <w:widowControl w:val="0"/>
        <w:kinsoku/>
        <w:wordWrap/>
        <w:overflowPunct/>
        <w:topLinePunct w:val="0"/>
        <w:autoSpaceDE/>
        <w:autoSpaceDN/>
        <w:bidi w:val="0"/>
        <w:adjustRightInd/>
        <w:snapToGrid/>
        <w:spacing w:line="360" w:lineRule="auto"/>
        <w:ind w:left="479" w:leftChars="228" w:right="0" w:rightChars="0" w:firstLine="0" w:firstLineChars="0"/>
        <w:jc w:val="left"/>
        <w:textAlignment w:val="auto"/>
        <w:outlineLvl w:val="9"/>
        <w:rPr>
          <w:rFonts w:hint="eastAsia" w:ascii="宋体" w:hAnsi="宋体" w:eastAsia="宋体" w:cs="宋体"/>
          <w:b w:val="0"/>
          <w:bCs/>
          <w:sz w:val="22"/>
          <w:szCs w:val="22"/>
          <w:lang w:val="en-US" w:eastAsia="zh-CN"/>
        </w:rPr>
      </w:pPr>
      <w:r>
        <w:rPr>
          <w:rFonts w:hint="eastAsia" w:ascii="宋体" w:hAnsi="宋体" w:eastAsia="宋体" w:cs="宋体"/>
          <w:sz w:val="22"/>
          <w:szCs w:val="22"/>
          <w:lang w:val="en-US" w:eastAsia="zh-CN"/>
        </w:rPr>
        <w:t>3、</w:t>
      </w:r>
      <w:r>
        <w:rPr>
          <w:rFonts w:hint="eastAsia" w:ascii="宋体" w:hAnsi="宋体" w:eastAsia="宋体" w:cs="宋体"/>
          <w:b w:val="0"/>
          <w:bCs/>
          <w:sz w:val="22"/>
          <w:szCs w:val="22"/>
          <w:lang w:val="en-US" w:eastAsia="zh-CN"/>
        </w:rPr>
        <w:t>智慧工地计取，文件依据关于建设工程智慧工地基础配置费用计取事项（试行）的通知，新建标函〔2021〕17号。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 w:val="0"/>
          <w:bCs/>
          <w:sz w:val="22"/>
          <w:szCs w:val="22"/>
          <w:lang w:val="en-US" w:eastAsia="zh-CN"/>
        </w:rPr>
      </w:pPr>
      <w:r>
        <w:rPr>
          <w:rFonts w:hint="eastAsia" w:ascii="宋体" w:hAnsi="宋体" w:cs="宋体"/>
          <w:b w:val="0"/>
          <w:bCs/>
          <w:sz w:val="22"/>
          <w:szCs w:val="22"/>
          <w:lang w:val="en-US" w:eastAsia="zh-CN"/>
        </w:rPr>
        <w:t>4</w:t>
      </w:r>
      <w:r>
        <w:rPr>
          <w:rFonts w:hint="eastAsia" w:ascii="宋体" w:hAnsi="宋体" w:eastAsia="宋体" w:cs="宋体"/>
          <w:b w:val="0"/>
          <w:bCs/>
          <w:sz w:val="22"/>
          <w:szCs w:val="22"/>
          <w:lang w:val="en-US" w:eastAsia="zh-CN"/>
        </w:rPr>
        <w:t>、规费、税金为不可竞争费。</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四、工程结果</w:t>
      </w:r>
    </w:p>
    <w:p>
      <w:pPr>
        <w:pStyle w:val="2"/>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0"/>
          <w:szCs w:val="21"/>
          <w:highlight w:val="yellow"/>
          <w:lang w:val="en-US" w:eastAsia="zh-CN"/>
        </w:rPr>
      </w:pPr>
      <w:r>
        <w:rPr>
          <w:rFonts w:hint="eastAsia" w:ascii="宋体" w:hAnsi="宋体" w:eastAsia="宋体" w:cs="宋体"/>
          <w:b w:val="0"/>
          <w:bCs/>
          <w:kern w:val="2"/>
          <w:sz w:val="22"/>
          <w:szCs w:val="22"/>
          <w:lang w:val="en-US" w:eastAsia="zh-CN" w:bidi="ar-SA"/>
        </w:rPr>
        <w:t>乌苏市夹河子乡红房子村育苗基地建设项目</w:t>
      </w:r>
      <w:r>
        <w:rPr>
          <w:rFonts w:hint="eastAsia" w:ascii="宋体" w:hAnsi="宋体" w:eastAsia="宋体" w:cs="宋体"/>
          <w:kern w:val="2"/>
          <w:sz w:val="22"/>
          <w:szCs w:val="22"/>
          <w:lang w:val="en-US" w:eastAsia="zh-CN" w:bidi="ar-SA"/>
        </w:rPr>
        <w:t>控制</w:t>
      </w:r>
      <w:r>
        <w:rPr>
          <w:rFonts w:hint="eastAsia" w:ascii="宋体" w:hAnsi="宋体" w:eastAsia="宋体" w:cs="宋体"/>
          <w:color w:val="auto"/>
          <w:kern w:val="2"/>
          <w:sz w:val="22"/>
          <w:szCs w:val="22"/>
          <w:lang w:val="en-US" w:eastAsia="zh-CN" w:bidi="ar-SA"/>
        </w:rPr>
        <w:t>价为3639376.52元。</w:t>
      </w:r>
    </w:p>
    <w:p>
      <w:pPr>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br w:type="page"/>
      </w:r>
    </w:p>
    <w:p>
      <w:pPr>
        <w:pStyle w:val="3"/>
        <w:numPr>
          <w:ilvl w:val="0"/>
          <w:numId w:val="0"/>
        </w:numPr>
        <w:spacing w:before="0" w:after="0" w:line="240" w:lineRule="auto"/>
        <w:jc w:val="center"/>
        <w:outlineLvl w:val="0"/>
        <w:rPr>
          <w:rFonts w:hint="eastAsia" w:ascii="仿宋" w:hAnsi="仿宋" w:eastAsia="仿宋" w:cs="仿宋"/>
          <w:b/>
          <w:bCs w:val="0"/>
          <w:sz w:val="24"/>
          <w:szCs w:val="24"/>
          <w:lang w:eastAsia="zh-CN"/>
        </w:rPr>
      </w:pPr>
      <w:r>
        <w:rPr>
          <w:rFonts w:hint="eastAsia" w:ascii="仿宋" w:hAnsi="仿宋" w:eastAsia="仿宋" w:cs="仿宋"/>
          <w:b/>
          <w:bCs w:val="0"/>
          <w:sz w:val="30"/>
          <w:szCs w:val="30"/>
          <w:lang w:val="en-US" w:eastAsia="zh-CN"/>
        </w:rPr>
        <w:t xml:space="preserve">第四章 </w:t>
      </w:r>
      <w:r>
        <w:rPr>
          <w:rFonts w:hint="eastAsia" w:ascii="仿宋" w:hAnsi="仿宋" w:eastAsia="仿宋" w:cs="仿宋"/>
          <w:b/>
          <w:bCs w:val="0"/>
          <w:sz w:val="30"/>
          <w:szCs w:val="30"/>
          <w:lang w:eastAsia="zh-CN"/>
        </w:rPr>
        <w:t>合同格式及合同条款</w:t>
      </w:r>
      <w:bookmarkEnd w:id="127"/>
      <w:bookmarkEnd w:id="128"/>
      <w:bookmarkEnd w:id="129"/>
      <w:bookmarkEnd w:id="130"/>
      <w:bookmarkEnd w:id="149"/>
      <w:r>
        <w:rPr>
          <w:rFonts w:hint="eastAsia" w:ascii="仿宋" w:hAnsi="仿宋" w:eastAsia="仿宋" w:cs="仿宋"/>
          <w:b/>
          <w:bCs w:val="0"/>
          <w:sz w:val="30"/>
          <w:szCs w:val="30"/>
          <w:lang w:eastAsia="zh-CN"/>
        </w:rPr>
        <w:t>草拟</w:t>
      </w:r>
      <w:bookmarkEnd w:id="150"/>
      <w:bookmarkEnd w:id="151"/>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（根据《政府</w:t>
      </w:r>
      <w:r>
        <w:rPr>
          <w:rFonts w:hint="eastAsia" w:ascii="仿宋" w:hAnsi="仿宋" w:eastAsia="仿宋" w:cs="仿宋"/>
          <w:bCs/>
          <w:sz w:val="24"/>
          <w:szCs w:val="24"/>
          <w:lang w:eastAsia="zh-CN"/>
        </w:rPr>
        <w:t>采购</w:t>
      </w:r>
      <w:r>
        <w:rPr>
          <w:rFonts w:hint="eastAsia" w:ascii="仿宋" w:hAnsi="仿宋" w:eastAsia="仿宋" w:cs="仿宋"/>
          <w:bCs/>
          <w:sz w:val="24"/>
          <w:szCs w:val="24"/>
        </w:rPr>
        <w:t>法》</w:t>
      </w:r>
      <w:r>
        <w:rPr>
          <w:rFonts w:hint="eastAsia" w:ascii="仿宋" w:hAnsi="仿宋" w:eastAsia="仿宋" w:cs="仿宋"/>
          <w:bCs/>
          <w:sz w:val="24"/>
          <w:szCs w:val="24"/>
          <w:lang w:eastAsia="zh-CN"/>
        </w:rPr>
        <w:t>、</w:t>
      </w:r>
      <w:r>
        <w:rPr>
          <w:rFonts w:hint="eastAsia" w:ascii="仿宋" w:hAnsi="仿宋" w:eastAsia="仿宋" w:cs="仿宋"/>
          <w:sz w:val="24"/>
          <w:szCs w:val="24"/>
          <w:lang w:eastAsia="zh-CN"/>
        </w:rPr>
        <w:t>《中华人民共和国招标投标法》</w:t>
      </w:r>
      <w:r>
        <w:rPr>
          <w:rFonts w:hint="eastAsia" w:ascii="仿宋" w:hAnsi="仿宋" w:eastAsia="仿宋" w:cs="仿宋"/>
          <w:bCs/>
          <w:sz w:val="24"/>
          <w:szCs w:val="24"/>
        </w:rPr>
        <w:t>和《中华人民共和国</w:t>
      </w:r>
      <w:r>
        <w:rPr>
          <w:rFonts w:hint="eastAsia" w:ascii="仿宋" w:hAnsi="仿宋" w:eastAsia="仿宋" w:cs="仿宋"/>
          <w:bCs/>
          <w:sz w:val="24"/>
          <w:szCs w:val="24"/>
          <w:lang w:eastAsia="zh-CN"/>
        </w:rPr>
        <w:t>民法典</w:t>
      </w:r>
      <w:r>
        <w:rPr>
          <w:rFonts w:hint="eastAsia" w:ascii="仿宋" w:hAnsi="仿宋" w:eastAsia="仿宋" w:cs="仿宋"/>
          <w:bCs/>
          <w:sz w:val="24"/>
          <w:szCs w:val="24"/>
        </w:rPr>
        <w:t>》。</w:t>
      </w:r>
      <w:r>
        <w:rPr>
          <w:rFonts w:hint="eastAsia" w:ascii="仿宋" w:hAnsi="仿宋" w:eastAsia="仿宋" w:cs="仿宋"/>
          <w:bCs/>
          <w:sz w:val="24"/>
          <w:szCs w:val="24"/>
          <w:lang w:eastAsia="zh-CN"/>
        </w:rPr>
        <w:t>招标</w:t>
      </w:r>
      <w:r>
        <w:rPr>
          <w:rFonts w:hint="eastAsia" w:ascii="仿宋" w:hAnsi="仿宋" w:eastAsia="仿宋" w:cs="仿宋"/>
          <w:bCs/>
          <w:sz w:val="24"/>
          <w:szCs w:val="24"/>
        </w:rPr>
        <w:t>人和</w:t>
      </w:r>
      <w:r>
        <w:rPr>
          <w:rFonts w:hint="eastAsia" w:ascii="仿宋" w:hAnsi="仿宋" w:eastAsia="仿宋" w:cs="仿宋"/>
          <w:bCs/>
          <w:sz w:val="24"/>
          <w:szCs w:val="24"/>
          <w:lang w:eastAsia="zh-CN"/>
        </w:rPr>
        <w:t>投标单位</w:t>
      </w:r>
      <w:r>
        <w:rPr>
          <w:rFonts w:hint="eastAsia" w:ascii="仿宋" w:hAnsi="仿宋" w:eastAsia="仿宋" w:cs="仿宋"/>
          <w:bCs/>
          <w:sz w:val="24"/>
          <w:szCs w:val="24"/>
        </w:rPr>
        <w:t>之间的权利和义务，应当按照平等的原则以合同方式约定。此合同书仅作为签订正式合同时的参考，正式合同书应包括本参考格式之内容。）</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1. 合同文件</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本合同所附下列文件是构成本合同不可分割的部分：</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磋商文件</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(2)合同条款</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(3)中标人提交的响应文件</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(4)技术规格（包括图纸，如果有的话）</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(5)中标/成交通知书</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2．合同范围和条件</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本合同的范围和条件与上述文件的规定相一致。</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3．货物及数量</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本合同所提供的货物数量详见磋商文件“第</w:t>
      </w:r>
      <w:r>
        <w:rPr>
          <w:rFonts w:hint="eastAsia" w:ascii="仿宋" w:hAnsi="仿宋" w:eastAsia="仿宋" w:cs="仿宋"/>
          <w:bCs/>
          <w:sz w:val="24"/>
          <w:szCs w:val="24"/>
          <w:lang w:eastAsia="zh-CN"/>
        </w:rPr>
        <w:t>二</w:t>
      </w:r>
      <w:r>
        <w:rPr>
          <w:rFonts w:hint="eastAsia" w:ascii="仿宋" w:hAnsi="仿宋" w:eastAsia="仿宋" w:cs="仿宋"/>
          <w:bCs/>
          <w:sz w:val="24"/>
          <w:szCs w:val="24"/>
        </w:rPr>
        <w:t>章</w:t>
      </w:r>
      <w:r>
        <w:rPr>
          <w:rFonts w:hint="eastAsia" w:ascii="仿宋" w:hAnsi="仿宋" w:eastAsia="仿宋" w:cs="仿宋"/>
          <w:sz w:val="24"/>
          <w:szCs w:val="24"/>
          <w:lang w:eastAsia="zh-CN"/>
        </w:rPr>
        <w:t>招标</w:t>
      </w:r>
      <w:r>
        <w:rPr>
          <w:rFonts w:hint="eastAsia" w:ascii="仿宋" w:hAnsi="仿宋" w:eastAsia="仿宋" w:cs="仿宋"/>
          <w:sz w:val="24"/>
          <w:szCs w:val="24"/>
        </w:rPr>
        <w:t>项目</w:t>
      </w:r>
      <w:r>
        <w:rPr>
          <w:rFonts w:hint="eastAsia" w:ascii="仿宋" w:hAnsi="仿宋" w:eastAsia="仿宋" w:cs="仿宋"/>
          <w:sz w:val="24"/>
          <w:szCs w:val="24"/>
          <w:lang w:eastAsia="zh-CN"/>
        </w:rPr>
        <w:t>工程量清单</w:t>
      </w:r>
      <w:r>
        <w:rPr>
          <w:rFonts w:hint="eastAsia" w:ascii="仿宋" w:hAnsi="仿宋" w:eastAsia="仿宋" w:cs="仿宋"/>
          <w:bCs/>
          <w:sz w:val="24"/>
          <w:szCs w:val="24"/>
        </w:rPr>
        <w:t>”。</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4．合同金额</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合同总金额为元人民币，分项价格见响应文件按报价明细表。</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5．合同生效及支付条件和方式</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6．交货时间和交货地点</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人（盖章）：</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　　方（盖章）：</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单位地址：</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法人代表授权人(签字)：</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联 系 人：</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　　话：</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传　　真：</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邮政编码：</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开户银行：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帐　　号：</w:t>
      </w:r>
    </w:p>
    <w:p>
      <w:pPr>
        <w:spacing w:line="500" w:lineRule="exact"/>
        <w:ind w:firstLine="2405" w:firstLineChars="500"/>
        <w:jc w:val="both"/>
        <w:outlineLvl w:val="9"/>
        <w:rPr>
          <w:rFonts w:hint="eastAsia" w:ascii="仿宋" w:hAnsi="仿宋" w:eastAsia="仿宋" w:cs="仿宋"/>
          <w:b/>
          <w:kern w:val="0"/>
          <w:sz w:val="24"/>
          <w:szCs w:val="24"/>
          <w:lang w:eastAsia="zh-CN"/>
        </w:rPr>
      </w:pPr>
      <w:bookmarkStart w:id="152" w:name="_Hlk450145418"/>
      <w:r>
        <w:rPr>
          <w:rFonts w:hint="eastAsia" w:ascii="仿宋" w:hAnsi="仿宋" w:eastAsia="仿宋" w:cs="仿宋"/>
          <w:b/>
          <w:spacing w:val="120"/>
          <w:kern w:val="0"/>
          <w:sz w:val="24"/>
          <w:szCs w:val="24"/>
        </w:rPr>
        <w:t>合同条</w:t>
      </w:r>
      <w:r>
        <w:rPr>
          <w:rFonts w:hint="eastAsia" w:ascii="仿宋" w:hAnsi="仿宋" w:eastAsia="仿宋" w:cs="仿宋"/>
          <w:b/>
          <w:kern w:val="0"/>
          <w:sz w:val="24"/>
          <w:szCs w:val="24"/>
        </w:rPr>
        <w:t>款</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草</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拟</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1．有关概念</w:t>
      </w:r>
    </w:p>
    <w:p>
      <w:pPr>
        <w:spacing w:line="500" w:lineRule="exact"/>
        <w:jc w:val="left"/>
        <w:outlineLvl w:val="9"/>
        <w:rPr>
          <w:rFonts w:hint="eastAsia" w:ascii="仿宋" w:hAnsi="仿宋" w:eastAsia="仿宋" w:cs="仿宋"/>
          <w:bCs/>
          <w:sz w:val="24"/>
          <w:szCs w:val="24"/>
        </w:rPr>
      </w:pPr>
      <w:r>
        <w:rPr>
          <w:rFonts w:hint="eastAsia" w:ascii="仿宋" w:hAnsi="仿宋" w:eastAsia="仿宋" w:cs="仿宋"/>
          <w:bCs/>
          <w:sz w:val="24"/>
          <w:szCs w:val="24"/>
        </w:rPr>
        <w:t>本合同下列术语应解释为：</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sz w:val="24"/>
          <w:szCs w:val="24"/>
        </w:rPr>
        <w:t>1.1</w:t>
      </w:r>
      <w:r>
        <w:rPr>
          <w:rFonts w:hint="eastAsia" w:ascii="仿宋" w:hAnsi="仿宋" w:eastAsia="仿宋" w:cs="仿宋"/>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1.2“合同价”，系指根据合同规定供方在正确地履行合同义务后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人应支付给供方的价格。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1.3“货物”，系指供方根据合同规定须向</w:t>
      </w:r>
      <w:r>
        <w:rPr>
          <w:rFonts w:hint="eastAsia" w:ascii="仿宋" w:hAnsi="仿宋" w:eastAsia="仿宋" w:cs="仿宋"/>
          <w:sz w:val="24"/>
          <w:szCs w:val="24"/>
          <w:lang w:eastAsia="zh-CN"/>
        </w:rPr>
        <w:t>招标</w:t>
      </w:r>
      <w:r>
        <w:rPr>
          <w:rFonts w:hint="eastAsia" w:ascii="仿宋" w:hAnsi="仿宋" w:eastAsia="仿宋" w:cs="仿宋"/>
          <w:sz w:val="24"/>
          <w:szCs w:val="24"/>
        </w:rPr>
        <w:t>人提供的各种形态和种类的物品，包括产品、设备、配件等。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招标</w:t>
      </w:r>
      <w:r>
        <w:rPr>
          <w:rFonts w:hint="eastAsia" w:ascii="仿宋" w:hAnsi="仿宋" w:eastAsia="仿宋" w:cs="仿宋"/>
          <w:sz w:val="24"/>
          <w:szCs w:val="24"/>
        </w:rPr>
        <w:t>人”，系指磋商文件中所述购买货物和服务的单位。</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1.7“天”，系日历天数。</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2．技术规格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2.2除技术规格另有规定外，计量单位均使用中华人民共和国法定计量单位。</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3．专利权</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3.1供方应保证</w:t>
      </w:r>
      <w:r>
        <w:rPr>
          <w:rFonts w:hint="eastAsia" w:ascii="仿宋" w:hAnsi="仿宋" w:eastAsia="仿宋" w:cs="仿宋"/>
          <w:sz w:val="24"/>
          <w:szCs w:val="24"/>
          <w:lang w:eastAsia="zh-CN"/>
        </w:rPr>
        <w:t>招标</w:t>
      </w:r>
      <w:r>
        <w:rPr>
          <w:rFonts w:hint="eastAsia" w:ascii="仿宋" w:hAnsi="仿宋" w:eastAsia="仿宋" w:cs="仿宋"/>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3.2供方按合同要求为</w:t>
      </w:r>
      <w:r>
        <w:rPr>
          <w:rFonts w:hint="eastAsia" w:ascii="仿宋" w:hAnsi="仿宋" w:eastAsia="仿宋" w:cs="仿宋"/>
          <w:sz w:val="24"/>
          <w:szCs w:val="24"/>
          <w:lang w:eastAsia="zh-CN"/>
        </w:rPr>
        <w:t>招标</w:t>
      </w:r>
      <w:r>
        <w:rPr>
          <w:rFonts w:hint="eastAsia" w:ascii="仿宋" w:hAnsi="仿宋" w:eastAsia="仿宋" w:cs="仿宋"/>
          <w:sz w:val="24"/>
          <w:szCs w:val="24"/>
        </w:rPr>
        <w:t>人提交的设计方案，其所有权、使用权等所有权力均转为</w:t>
      </w:r>
      <w:r>
        <w:rPr>
          <w:rFonts w:hint="eastAsia" w:ascii="仿宋" w:hAnsi="仿宋" w:eastAsia="仿宋" w:cs="仿宋"/>
          <w:sz w:val="24"/>
          <w:szCs w:val="24"/>
          <w:lang w:eastAsia="zh-CN"/>
        </w:rPr>
        <w:t>招标</w:t>
      </w:r>
      <w:r>
        <w:rPr>
          <w:rFonts w:hint="eastAsia" w:ascii="仿宋" w:hAnsi="仿宋" w:eastAsia="仿宋" w:cs="仿宋"/>
          <w:sz w:val="24"/>
          <w:szCs w:val="24"/>
        </w:rPr>
        <w:t>人所拥有，供方放弃拥有关于设计方案的所有权力。</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4.包装要求</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4.1除合同另有规定外，供方提供的所有单独包装的货物都应具有原始的、完好的标准包装。如遇交付前已拆封货物，</w:t>
      </w:r>
      <w:r>
        <w:rPr>
          <w:rFonts w:hint="eastAsia" w:ascii="仿宋" w:hAnsi="仿宋" w:eastAsia="仿宋" w:cs="仿宋"/>
          <w:sz w:val="24"/>
          <w:szCs w:val="24"/>
          <w:lang w:eastAsia="zh-CN"/>
        </w:rPr>
        <w:t>招标</w:t>
      </w:r>
      <w:r>
        <w:rPr>
          <w:rFonts w:hint="eastAsia" w:ascii="仿宋" w:hAnsi="仿宋" w:eastAsia="仿宋" w:cs="仿宋"/>
          <w:sz w:val="24"/>
          <w:szCs w:val="24"/>
        </w:rPr>
        <w:t>人有权拒绝接受或要求更换。</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4.2每个包装箱内的装箱清单、使用说明书、质量证书、保修卡及软件使用说明等所有资料均须齐全。</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5. 装运条件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5.1供方负责安排运输，运输费由供方承担。</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5.2提单日期应视为实际交货日期。</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6. 付款</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6.1本合同以人民币支付。</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6.2供方按照合同规定交货。交货后供方把下列单据提交给</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人按合同规定审核后办理付款手续：</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（1）发票</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（2）质量证书</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（3）详细配置、数量清单</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（4）检验报告</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6.3</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人按合同规定的合同生效及支付条件和方式安排付款。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7．伴随服务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7.2供方应提供下列服务：</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（1）货物的现场安装和启动监督；</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（2）提供货物组装和维修所必须的工具；</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（3）在项目现场就货物的安装、启动、运行和维护，按</w:t>
      </w:r>
      <w:r>
        <w:rPr>
          <w:rFonts w:hint="eastAsia" w:ascii="仿宋" w:hAnsi="仿宋" w:eastAsia="仿宋" w:cs="仿宋"/>
          <w:sz w:val="24"/>
          <w:szCs w:val="24"/>
          <w:lang w:eastAsia="zh-CN"/>
        </w:rPr>
        <w:t>招标</w:t>
      </w:r>
      <w:r>
        <w:rPr>
          <w:rFonts w:hint="eastAsia" w:ascii="仿宋" w:hAnsi="仿宋" w:eastAsia="仿宋" w:cs="仿宋"/>
          <w:sz w:val="24"/>
          <w:szCs w:val="24"/>
        </w:rPr>
        <w:t>人的要求提供技术培训。</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7.3伴随服务的费用含在合同价中，不另行支付。</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Cs/>
          <w:sz w:val="24"/>
          <w:szCs w:val="24"/>
        </w:rPr>
        <w:t>8.</w:t>
      </w:r>
      <w:r>
        <w:rPr>
          <w:rFonts w:hint="eastAsia" w:ascii="仿宋" w:hAnsi="仿宋" w:eastAsia="仿宋" w:cs="仿宋"/>
          <w:b/>
          <w:sz w:val="24"/>
          <w:szCs w:val="24"/>
        </w:rPr>
        <w:t>备品备件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供</w:t>
      </w:r>
      <w:r>
        <w:rPr>
          <w:rFonts w:hint="eastAsia" w:ascii="仿宋" w:hAnsi="仿宋" w:eastAsia="仿宋" w:cs="仿宋"/>
          <w:bCs/>
          <w:sz w:val="24"/>
          <w:szCs w:val="24"/>
        </w:rPr>
        <w:t>方可能被要</w:t>
      </w:r>
      <w:r>
        <w:rPr>
          <w:rFonts w:hint="eastAsia" w:ascii="仿宋" w:hAnsi="仿宋" w:eastAsia="仿宋" w:cs="仿宋"/>
          <w:sz w:val="24"/>
          <w:szCs w:val="24"/>
        </w:rPr>
        <w:t>求提供下列与备件有关的材料、通知和资料：</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招标人</w:t>
      </w:r>
      <w:r>
        <w:rPr>
          <w:rFonts w:hint="eastAsia" w:ascii="仿宋" w:hAnsi="仿宋" w:eastAsia="仿宋" w:cs="仿宋"/>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（2）在备件停止生产的情况下，供方应事先将要停止生产的计划通知买方有足够的时间</w:t>
      </w:r>
      <w:r>
        <w:rPr>
          <w:rFonts w:hint="eastAsia" w:ascii="仿宋" w:hAnsi="仿宋" w:eastAsia="仿宋" w:cs="仿宋"/>
          <w:sz w:val="24"/>
          <w:szCs w:val="24"/>
          <w:lang w:eastAsia="zh-CN"/>
        </w:rPr>
        <w:t>招标</w:t>
      </w:r>
      <w:r>
        <w:rPr>
          <w:rFonts w:hint="eastAsia" w:ascii="仿宋" w:hAnsi="仿宋" w:eastAsia="仿宋" w:cs="仿宋"/>
          <w:sz w:val="24"/>
          <w:szCs w:val="24"/>
        </w:rPr>
        <w:t>所需的备件；</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（3）在备件停止生产后，如果</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要求，供方应免费向</w:t>
      </w:r>
      <w:r>
        <w:rPr>
          <w:rFonts w:hint="eastAsia" w:ascii="仿宋" w:hAnsi="仿宋" w:eastAsia="仿宋" w:cs="仿宋"/>
          <w:sz w:val="24"/>
          <w:szCs w:val="24"/>
          <w:lang w:eastAsia="zh-CN"/>
        </w:rPr>
        <w:t>招标人</w:t>
      </w:r>
      <w:r>
        <w:rPr>
          <w:rFonts w:hint="eastAsia" w:ascii="仿宋" w:hAnsi="仿宋" w:eastAsia="仿宋" w:cs="仿宋"/>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（一）质量保证</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9.2在质保期内或货物无质保期的则在两年内，如果货物的数量、质量或规格与合同不符，或证实货物有缺陷的，</w:t>
      </w:r>
      <w:r>
        <w:rPr>
          <w:rFonts w:hint="eastAsia" w:ascii="仿宋" w:hAnsi="仿宋" w:eastAsia="仿宋" w:cs="仿宋"/>
          <w:sz w:val="24"/>
          <w:szCs w:val="24"/>
          <w:lang w:eastAsia="zh-CN"/>
        </w:rPr>
        <w:t>招标</w:t>
      </w:r>
      <w:r>
        <w:rPr>
          <w:rFonts w:hint="eastAsia" w:ascii="仿宋" w:hAnsi="仿宋" w:eastAsia="仿宋" w:cs="仿宋"/>
          <w:sz w:val="24"/>
          <w:szCs w:val="24"/>
        </w:rPr>
        <w:t>人可尽快以书面形式向供方提出本保证下的索赔。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9.3供方在收到索赔通知后十日内须免费更换有缺陷的货物或部件。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9.4供方在收到索赔通知后十日内没有弥补缺陷，</w:t>
      </w:r>
      <w:r>
        <w:rPr>
          <w:rFonts w:hint="eastAsia" w:ascii="仿宋" w:hAnsi="仿宋" w:eastAsia="仿宋" w:cs="仿宋"/>
          <w:sz w:val="24"/>
          <w:szCs w:val="24"/>
          <w:lang w:eastAsia="zh-CN"/>
        </w:rPr>
        <w:t>招标</w:t>
      </w:r>
      <w:r>
        <w:rPr>
          <w:rFonts w:hint="eastAsia" w:ascii="仿宋" w:hAnsi="仿宋" w:eastAsia="仿宋" w:cs="仿宋"/>
          <w:sz w:val="24"/>
          <w:szCs w:val="24"/>
        </w:rPr>
        <w:t>人可采取必要的补救措施，其风险和费用将由供方承担，</w:t>
      </w:r>
      <w:r>
        <w:rPr>
          <w:rFonts w:hint="eastAsia" w:ascii="仿宋" w:hAnsi="仿宋" w:eastAsia="仿宋" w:cs="仿宋"/>
          <w:sz w:val="24"/>
          <w:szCs w:val="24"/>
          <w:lang w:eastAsia="zh-CN"/>
        </w:rPr>
        <w:t>招标</w:t>
      </w:r>
      <w:r>
        <w:rPr>
          <w:rFonts w:hint="eastAsia" w:ascii="仿宋" w:hAnsi="仿宋" w:eastAsia="仿宋" w:cs="仿宋"/>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(二)质量保证期后服务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9.6 质保期满后，应</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要求，供方应按投标时的价格与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所需零配件，若投标时的价格高于市场价，则按市场价与与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9.7 乙方交货后，若设备发生故障，乙方应在甲方报修后</w:t>
      </w:r>
      <w:r>
        <w:rPr>
          <w:rFonts w:hint="eastAsia" w:ascii="仿宋" w:hAnsi="仿宋" w:eastAsia="仿宋" w:cs="仿宋"/>
          <w:sz w:val="24"/>
          <w:szCs w:val="24"/>
          <w:lang w:val="en-US" w:eastAsia="zh-CN"/>
        </w:rPr>
        <w:t>按承诺时间</w:t>
      </w:r>
      <w:r>
        <w:rPr>
          <w:rFonts w:hint="eastAsia" w:ascii="仿宋" w:hAnsi="仿宋" w:eastAsia="仿宋" w:cs="仿宋"/>
          <w:sz w:val="24"/>
          <w:szCs w:val="24"/>
        </w:rPr>
        <w:t>到达。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10．检验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10.2货物交付后，</w:t>
      </w:r>
      <w:r>
        <w:rPr>
          <w:rFonts w:hint="eastAsia" w:ascii="仿宋" w:hAnsi="仿宋" w:eastAsia="仿宋" w:cs="仿宋"/>
          <w:sz w:val="24"/>
          <w:szCs w:val="24"/>
          <w:lang w:eastAsia="zh-CN"/>
        </w:rPr>
        <w:t>招标</w:t>
      </w:r>
      <w:r>
        <w:rPr>
          <w:rFonts w:hint="eastAsia" w:ascii="仿宋" w:hAnsi="仿宋" w:eastAsia="仿宋" w:cs="仿宋"/>
          <w:sz w:val="24"/>
          <w:szCs w:val="24"/>
        </w:rPr>
        <w:t>人申请有关部门对货物的质量、数量等进行检验并出具检验证书。</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11．索赔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1.1</w:t>
      </w:r>
      <w:r>
        <w:rPr>
          <w:rFonts w:hint="eastAsia" w:ascii="仿宋" w:hAnsi="仿宋" w:eastAsia="仿宋" w:cs="仿宋"/>
          <w:sz w:val="24"/>
          <w:szCs w:val="24"/>
          <w:lang w:eastAsia="zh-CN"/>
        </w:rPr>
        <w:t>招标</w:t>
      </w:r>
      <w:r>
        <w:rPr>
          <w:rFonts w:hint="eastAsia" w:ascii="仿宋" w:hAnsi="仿宋" w:eastAsia="仿宋" w:cs="仿宋"/>
          <w:sz w:val="24"/>
          <w:szCs w:val="24"/>
        </w:rPr>
        <w:t>人有权根据有关部门出具的检验证书向供方提出索赔。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11.2在合同条款第8条规定的质保期内，如果供方对差异负有责任而</w:t>
      </w:r>
      <w:r>
        <w:rPr>
          <w:rFonts w:hint="eastAsia" w:ascii="仿宋" w:hAnsi="仿宋" w:eastAsia="仿宋" w:cs="仿宋"/>
          <w:sz w:val="24"/>
          <w:szCs w:val="24"/>
          <w:lang w:eastAsia="zh-CN"/>
        </w:rPr>
        <w:t>招标</w:t>
      </w:r>
      <w:r>
        <w:rPr>
          <w:rFonts w:hint="eastAsia" w:ascii="仿宋" w:hAnsi="仿宋" w:eastAsia="仿宋" w:cs="仿宋"/>
          <w:sz w:val="24"/>
          <w:szCs w:val="24"/>
        </w:rPr>
        <w:t>人提出索赔，供方应按照</w:t>
      </w:r>
      <w:r>
        <w:rPr>
          <w:rFonts w:hint="eastAsia" w:ascii="仿宋" w:hAnsi="仿宋" w:eastAsia="仿宋" w:cs="仿宋"/>
          <w:sz w:val="24"/>
          <w:szCs w:val="24"/>
          <w:lang w:eastAsia="zh-CN"/>
        </w:rPr>
        <w:t>招标</w:t>
      </w:r>
      <w:r>
        <w:rPr>
          <w:rFonts w:hint="eastAsia" w:ascii="仿宋" w:hAnsi="仿宋" w:eastAsia="仿宋" w:cs="仿宋"/>
          <w:sz w:val="24"/>
          <w:szCs w:val="24"/>
        </w:rPr>
        <w:t>人的损失程度进行赔偿。</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12．</w:t>
      </w:r>
      <w:r>
        <w:rPr>
          <w:rFonts w:hint="eastAsia" w:ascii="仿宋" w:hAnsi="仿宋" w:eastAsia="仿宋" w:cs="仿宋"/>
          <w:b/>
          <w:bCs/>
          <w:sz w:val="24"/>
          <w:szCs w:val="24"/>
        </w:rPr>
        <w:t>供</w:t>
      </w:r>
      <w:r>
        <w:rPr>
          <w:rFonts w:hint="eastAsia" w:ascii="仿宋" w:hAnsi="仿宋" w:eastAsia="仿宋" w:cs="仿宋"/>
          <w:b/>
          <w:sz w:val="24"/>
          <w:szCs w:val="24"/>
        </w:rPr>
        <w:t>方履约延误</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供</w:t>
      </w:r>
      <w:r>
        <w:rPr>
          <w:rFonts w:hint="eastAsia" w:ascii="仿宋" w:hAnsi="仿宋" w:eastAsia="仿宋" w:cs="仿宋"/>
          <w:bCs/>
          <w:sz w:val="24"/>
          <w:szCs w:val="24"/>
        </w:rPr>
        <w:t>方应</w:t>
      </w:r>
      <w:r>
        <w:rPr>
          <w:rFonts w:hint="eastAsia" w:ascii="仿宋" w:hAnsi="仿宋" w:eastAsia="仿宋" w:cs="仿宋"/>
          <w:sz w:val="24"/>
          <w:szCs w:val="24"/>
        </w:rPr>
        <w:t>按规定</w:t>
      </w:r>
      <w:r>
        <w:rPr>
          <w:rFonts w:hint="eastAsia" w:ascii="仿宋" w:hAnsi="仿宋" w:eastAsia="仿宋" w:cs="仿宋"/>
          <w:bCs/>
          <w:sz w:val="24"/>
          <w:szCs w:val="24"/>
        </w:rPr>
        <w:t>的时间交货和提供服务。</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12.2如</w:t>
      </w:r>
      <w:r>
        <w:rPr>
          <w:rFonts w:hint="eastAsia" w:ascii="仿宋" w:hAnsi="仿宋" w:eastAsia="仿宋" w:cs="仿宋"/>
          <w:sz w:val="24"/>
          <w:szCs w:val="24"/>
        </w:rPr>
        <w:t>供方无正当理由而拖延交货，</w:t>
      </w:r>
      <w:r>
        <w:rPr>
          <w:rFonts w:hint="eastAsia" w:ascii="仿宋" w:hAnsi="仿宋" w:eastAsia="仿宋" w:cs="仿宋"/>
          <w:sz w:val="24"/>
          <w:szCs w:val="24"/>
          <w:lang w:eastAsia="zh-CN"/>
        </w:rPr>
        <w:t>招标</w:t>
      </w:r>
      <w:r>
        <w:rPr>
          <w:rFonts w:hint="eastAsia" w:ascii="仿宋" w:hAnsi="仿宋" w:eastAsia="仿宋" w:cs="仿宋"/>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 w:hAnsi="仿宋" w:eastAsia="仿宋" w:cs="仿宋"/>
          <w:sz w:val="24"/>
          <w:szCs w:val="24"/>
          <w:lang w:eastAsia="zh-CN"/>
        </w:rPr>
        <w:t>招标</w:t>
      </w:r>
      <w:r>
        <w:rPr>
          <w:rFonts w:hint="eastAsia" w:ascii="仿宋" w:hAnsi="仿宋" w:eastAsia="仿宋" w:cs="仿宋"/>
          <w:sz w:val="24"/>
          <w:szCs w:val="24"/>
        </w:rPr>
        <w:t>人有权终止合同。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12.3在履行</w:t>
      </w:r>
      <w:r>
        <w:rPr>
          <w:rFonts w:hint="eastAsia" w:ascii="仿宋" w:hAnsi="仿宋" w:eastAsia="仿宋" w:cs="仿宋"/>
          <w:sz w:val="24"/>
          <w:szCs w:val="24"/>
        </w:rPr>
        <w:t>合同过程中，如果供方遇到可能妨碍按时交货和提供服务的情况时，应及时以书面形式将拖延的事实、可能拖延的期限和理由通知</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12.4供方交付的货物不符合磋商文件、响应文件和本合同规定的，</w:t>
      </w:r>
      <w:r>
        <w:rPr>
          <w:rFonts w:hint="eastAsia" w:ascii="仿宋" w:hAnsi="仿宋" w:eastAsia="仿宋" w:cs="仿宋"/>
          <w:sz w:val="24"/>
          <w:szCs w:val="24"/>
          <w:lang w:eastAsia="zh-CN"/>
        </w:rPr>
        <w:t>招标人</w:t>
      </w:r>
      <w:r>
        <w:rPr>
          <w:rFonts w:hint="eastAsia" w:ascii="仿宋" w:hAnsi="仿宋" w:eastAsia="仿宋" w:cs="仿宋"/>
          <w:sz w:val="24"/>
          <w:szCs w:val="24"/>
        </w:rPr>
        <w:t>有权拒收，并且供方需向</w:t>
      </w:r>
      <w:r>
        <w:rPr>
          <w:rFonts w:hint="eastAsia" w:ascii="仿宋" w:hAnsi="仿宋" w:eastAsia="仿宋" w:cs="仿宋"/>
          <w:sz w:val="24"/>
          <w:szCs w:val="24"/>
          <w:lang w:eastAsia="zh-CN"/>
        </w:rPr>
        <w:t>招标人</w:t>
      </w:r>
      <w:r>
        <w:rPr>
          <w:rFonts w:hint="eastAsia" w:ascii="仿宋" w:hAnsi="仿宋" w:eastAsia="仿宋" w:cs="仿宋"/>
          <w:sz w:val="24"/>
          <w:szCs w:val="24"/>
        </w:rPr>
        <w:t>支付本合同总价10%的违约金。</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13．不可抗力</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13.1如果双</w:t>
      </w:r>
      <w:r>
        <w:rPr>
          <w:rFonts w:hint="eastAsia" w:ascii="仿宋" w:hAnsi="仿宋" w:eastAsia="仿宋" w:cs="仿宋"/>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14．税费</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14.1政府根据现行税法对</w:t>
      </w:r>
      <w:r>
        <w:rPr>
          <w:rFonts w:hint="eastAsia" w:ascii="仿宋" w:hAnsi="仿宋" w:eastAsia="仿宋" w:cs="仿宋"/>
          <w:sz w:val="24"/>
          <w:szCs w:val="24"/>
        </w:rPr>
        <w:t>供</w:t>
      </w:r>
      <w:r>
        <w:rPr>
          <w:rFonts w:hint="eastAsia" w:ascii="仿宋" w:hAnsi="仿宋" w:eastAsia="仿宋" w:cs="仿宋"/>
          <w:bCs/>
          <w:sz w:val="24"/>
          <w:szCs w:val="24"/>
        </w:rPr>
        <w:t>方征收的与本合同有关的一切税费均由</w:t>
      </w:r>
      <w:r>
        <w:rPr>
          <w:rFonts w:hint="eastAsia" w:ascii="仿宋" w:hAnsi="仿宋" w:eastAsia="仿宋" w:cs="仿宋"/>
          <w:sz w:val="24"/>
          <w:szCs w:val="24"/>
        </w:rPr>
        <w:t>供</w:t>
      </w:r>
      <w:r>
        <w:rPr>
          <w:rFonts w:hint="eastAsia" w:ascii="仿宋" w:hAnsi="仿宋" w:eastAsia="仿宋" w:cs="仿宋"/>
          <w:bCs/>
          <w:sz w:val="24"/>
          <w:szCs w:val="24"/>
        </w:rPr>
        <w:t>方负担。</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15．违约终止合同</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15.1出现下</w:t>
      </w:r>
      <w:r>
        <w:rPr>
          <w:rFonts w:hint="eastAsia" w:ascii="仿宋" w:hAnsi="仿宋" w:eastAsia="仿宋" w:cs="仿宋"/>
          <w:sz w:val="24"/>
          <w:szCs w:val="24"/>
        </w:rPr>
        <w:t>列情况之一，</w:t>
      </w:r>
      <w:r>
        <w:rPr>
          <w:rFonts w:hint="eastAsia" w:ascii="仿宋" w:hAnsi="仿宋" w:eastAsia="仿宋" w:cs="仿宋"/>
          <w:sz w:val="24"/>
          <w:szCs w:val="24"/>
          <w:lang w:eastAsia="zh-CN"/>
        </w:rPr>
        <w:t>招标</w:t>
      </w:r>
      <w:r>
        <w:rPr>
          <w:rFonts w:hint="eastAsia" w:ascii="仿宋" w:hAnsi="仿宋" w:eastAsia="仿宋" w:cs="仿宋"/>
          <w:sz w:val="24"/>
          <w:szCs w:val="24"/>
        </w:rPr>
        <w:t>人在对供方违约而采取的任何补救措施不受影响的情况下，可向供方发出终止部分或全部合同的书面通知书。</w:t>
      </w:r>
    </w:p>
    <w:p>
      <w:pPr>
        <w:pStyle w:val="5"/>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如果</w:t>
      </w:r>
      <w:r>
        <w:rPr>
          <w:rFonts w:hint="eastAsia" w:ascii="仿宋" w:hAnsi="仿宋" w:eastAsia="仿宋" w:cs="仿宋"/>
          <w:sz w:val="24"/>
          <w:szCs w:val="24"/>
        </w:rPr>
        <w:t>供方未能按合同规定的期限或</w:t>
      </w:r>
      <w:r>
        <w:rPr>
          <w:rFonts w:hint="eastAsia" w:ascii="仿宋" w:hAnsi="仿宋" w:eastAsia="仿宋" w:cs="仿宋"/>
          <w:sz w:val="24"/>
          <w:szCs w:val="24"/>
          <w:lang w:eastAsia="zh-CN"/>
        </w:rPr>
        <w:t>招标</w:t>
      </w:r>
      <w:r>
        <w:rPr>
          <w:rFonts w:hint="eastAsia" w:ascii="仿宋" w:hAnsi="仿宋" w:eastAsia="仿宋" w:cs="仿宋"/>
          <w:sz w:val="24"/>
          <w:szCs w:val="24"/>
        </w:rPr>
        <w:t>人同意延长的限期内提供部分或全部货物（服务）、完成工程施工；</w:t>
      </w:r>
    </w:p>
    <w:p>
      <w:pPr>
        <w:pStyle w:val="5"/>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（2）供方在收到</w:t>
      </w:r>
      <w:r>
        <w:rPr>
          <w:rFonts w:hint="eastAsia" w:ascii="仿宋" w:hAnsi="仿宋" w:eastAsia="仿宋" w:cs="仿宋"/>
          <w:sz w:val="24"/>
          <w:szCs w:val="24"/>
          <w:lang w:eastAsia="zh-CN"/>
        </w:rPr>
        <w:t>招标</w:t>
      </w:r>
      <w:r>
        <w:rPr>
          <w:rFonts w:hint="eastAsia" w:ascii="仿宋" w:hAnsi="仿宋" w:eastAsia="仿宋" w:cs="仿宋"/>
          <w:sz w:val="24"/>
          <w:szCs w:val="24"/>
        </w:rPr>
        <w:t>人发出的违约通知后20天内，或经</w:t>
      </w:r>
      <w:r>
        <w:rPr>
          <w:rFonts w:hint="eastAsia" w:ascii="仿宋" w:hAnsi="仿宋" w:eastAsia="仿宋" w:cs="仿宋"/>
          <w:sz w:val="24"/>
          <w:szCs w:val="24"/>
          <w:lang w:eastAsia="zh-CN"/>
        </w:rPr>
        <w:t>招标</w:t>
      </w:r>
      <w:r>
        <w:rPr>
          <w:rFonts w:hint="eastAsia" w:ascii="仿宋" w:hAnsi="仿宋" w:eastAsia="仿宋" w:cs="仿宋"/>
          <w:sz w:val="24"/>
          <w:szCs w:val="24"/>
        </w:rPr>
        <w:t>人书面认可延长的时间内未能纠正其过失；</w:t>
      </w:r>
    </w:p>
    <w:p>
      <w:pPr>
        <w:pStyle w:val="5"/>
        <w:tabs>
          <w:tab w:val="left" w:pos="3210"/>
        </w:tabs>
        <w:spacing w:line="500" w:lineRule="exact"/>
        <w:ind w:left="708" w:leftChars="337" w:firstLine="1" w:firstLineChars="0"/>
        <w:jc w:val="left"/>
        <w:outlineLvl w:val="9"/>
        <w:rPr>
          <w:rFonts w:hint="eastAsia" w:ascii="仿宋" w:hAnsi="仿宋" w:eastAsia="仿宋" w:cs="仿宋"/>
          <w:bCs/>
          <w:sz w:val="24"/>
          <w:szCs w:val="24"/>
        </w:rPr>
      </w:pPr>
      <w:r>
        <w:rPr>
          <w:rFonts w:hint="eastAsia" w:ascii="仿宋" w:hAnsi="仿宋" w:eastAsia="仿宋" w:cs="仿宋"/>
          <w:sz w:val="24"/>
          <w:szCs w:val="24"/>
        </w:rPr>
        <w:t>（3）如果供方未能履行合同规定</w:t>
      </w:r>
      <w:r>
        <w:rPr>
          <w:rFonts w:hint="eastAsia" w:ascii="仿宋" w:hAnsi="仿宋" w:eastAsia="仿宋" w:cs="仿宋"/>
          <w:bCs/>
          <w:sz w:val="24"/>
          <w:szCs w:val="24"/>
        </w:rPr>
        <w:t>的其它任何义务。</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15.2在</w:t>
      </w:r>
      <w:r>
        <w:rPr>
          <w:rFonts w:hint="eastAsia" w:ascii="仿宋" w:hAnsi="仿宋" w:eastAsia="仿宋" w:cs="仿宋"/>
          <w:bCs/>
          <w:sz w:val="24"/>
          <w:szCs w:val="24"/>
          <w:lang w:eastAsia="zh-CN"/>
        </w:rPr>
        <w:t>招标</w:t>
      </w:r>
      <w:r>
        <w:rPr>
          <w:rFonts w:hint="eastAsia" w:ascii="仿宋" w:hAnsi="仿宋" w:eastAsia="仿宋" w:cs="仿宋"/>
          <w:bCs/>
          <w:sz w:val="24"/>
          <w:szCs w:val="24"/>
        </w:rPr>
        <w:t>人</w:t>
      </w:r>
      <w:r>
        <w:rPr>
          <w:rFonts w:hint="eastAsia" w:ascii="仿宋" w:hAnsi="仿宋" w:eastAsia="仿宋" w:cs="仿宋"/>
          <w:sz w:val="24"/>
          <w:szCs w:val="24"/>
        </w:rPr>
        <w:t>根据上述第15.1条规定，终止了全部或部分合同后，</w:t>
      </w:r>
      <w:r>
        <w:rPr>
          <w:rFonts w:hint="eastAsia" w:ascii="仿宋" w:hAnsi="仿宋" w:eastAsia="仿宋" w:cs="仿宋"/>
          <w:sz w:val="24"/>
          <w:szCs w:val="24"/>
          <w:lang w:eastAsia="zh-CN"/>
        </w:rPr>
        <w:t>招标</w:t>
      </w:r>
      <w:r>
        <w:rPr>
          <w:rFonts w:hint="eastAsia" w:ascii="仿宋" w:hAnsi="仿宋" w:eastAsia="仿宋" w:cs="仿宋"/>
          <w:sz w:val="24"/>
          <w:szCs w:val="24"/>
        </w:rPr>
        <w:t>人可以依其认为适当的条件和方法购买类似未交的货物、服务或进行工程施工，供方应对</w:t>
      </w:r>
      <w:r>
        <w:rPr>
          <w:rFonts w:hint="eastAsia" w:ascii="仿宋" w:hAnsi="仿宋" w:eastAsia="仿宋" w:cs="仿宋"/>
          <w:sz w:val="24"/>
          <w:szCs w:val="24"/>
          <w:lang w:eastAsia="zh-CN"/>
        </w:rPr>
        <w:t>招标</w:t>
      </w:r>
      <w:r>
        <w:rPr>
          <w:rFonts w:hint="eastAsia" w:ascii="仿宋" w:hAnsi="仿宋" w:eastAsia="仿宋" w:cs="仿宋"/>
          <w:sz w:val="24"/>
          <w:szCs w:val="24"/>
        </w:rPr>
        <w:t>人购买类似货物、服务或进行工程施工所超出的费用部分负责，并继续执行合同中未终止部分。</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16．破产终止合同</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16.1如果供</w:t>
      </w:r>
      <w:r>
        <w:rPr>
          <w:rFonts w:hint="eastAsia" w:ascii="仿宋" w:hAnsi="仿宋" w:eastAsia="仿宋" w:cs="仿宋"/>
          <w:sz w:val="24"/>
          <w:szCs w:val="24"/>
        </w:rPr>
        <w:t>方破产或无清偿能力时，</w:t>
      </w:r>
      <w:r>
        <w:rPr>
          <w:rFonts w:hint="eastAsia" w:ascii="仿宋" w:hAnsi="仿宋" w:eastAsia="仿宋" w:cs="仿宋"/>
          <w:sz w:val="24"/>
          <w:szCs w:val="24"/>
          <w:lang w:eastAsia="zh-CN"/>
        </w:rPr>
        <w:t>招标</w:t>
      </w:r>
      <w:r>
        <w:rPr>
          <w:rFonts w:hint="eastAsia" w:ascii="仿宋" w:hAnsi="仿宋" w:eastAsia="仿宋" w:cs="仿宋"/>
          <w:sz w:val="24"/>
          <w:szCs w:val="24"/>
        </w:rPr>
        <w:t>人可在任何时候以书面形式通知供方终止合同而无须给供方补偿。终止该合同将不损害或影响</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bCs/>
          <w:sz w:val="24"/>
          <w:szCs w:val="24"/>
        </w:rPr>
        <w:t>已经采取或将要采取的补救措施的权利。</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17．转让</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17.1除</w:t>
      </w:r>
      <w:r>
        <w:rPr>
          <w:rFonts w:hint="eastAsia" w:ascii="仿宋" w:hAnsi="仿宋" w:eastAsia="仿宋" w:cs="仿宋"/>
          <w:bCs/>
          <w:sz w:val="24"/>
          <w:szCs w:val="24"/>
          <w:lang w:eastAsia="zh-CN"/>
        </w:rPr>
        <w:t>招标</w:t>
      </w:r>
      <w:r>
        <w:rPr>
          <w:rFonts w:hint="eastAsia" w:ascii="仿宋" w:hAnsi="仿宋" w:eastAsia="仿宋" w:cs="仿宋"/>
          <w:sz w:val="24"/>
          <w:szCs w:val="24"/>
        </w:rPr>
        <w:t>人事先书面同意外，供方不得部分转让或全部转让其应履行的合</w:t>
      </w:r>
      <w:r>
        <w:rPr>
          <w:rFonts w:hint="eastAsia" w:ascii="仿宋" w:hAnsi="仿宋" w:eastAsia="仿宋" w:cs="仿宋"/>
          <w:bCs/>
          <w:sz w:val="24"/>
          <w:szCs w:val="24"/>
        </w:rPr>
        <w:t>同义务。</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18．适用法律</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18.1本合同应按中华人民共和国的法律进行解释。</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19．合同生效</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19.1合同在双方授权代表签字并盖章后生效。</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19.2本</w:t>
      </w:r>
      <w:r>
        <w:rPr>
          <w:rFonts w:hint="eastAsia" w:ascii="仿宋" w:hAnsi="仿宋" w:eastAsia="仿宋" w:cs="仿宋"/>
          <w:sz w:val="24"/>
          <w:szCs w:val="24"/>
        </w:rPr>
        <w:t>合同一式四份，以中文书写，</w:t>
      </w:r>
      <w:r>
        <w:rPr>
          <w:rFonts w:hint="eastAsia" w:ascii="仿宋" w:hAnsi="仿宋" w:eastAsia="仿宋" w:cs="仿宋"/>
          <w:sz w:val="24"/>
          <w:szCs w:val="24"/>
          <w:lang w:eastAsia="zh-CN"/>
        </w:rPr>
        <w:t>招标</w:t>
      </w:r>
      <w:r>
        <w:rPr>
          <w:rFonts w:hint="eastAsia" w:ascii="仿宋" w:hAnsi="仿宋" w:eastAsia="仿宋" w:cs="仿宋"/>
          <w:sz w:val="24"/>
          <w:szCs w:val="24"/>
        </w:rPr>
        <w:t>人、供方、</w:t>
      </w:r>
      <w:r>
        <w:rPr>
          <w:rFonts w:hint="eastAsia" w:ascii="仿宋" w:hAnsi="仿宋" w:eastAsia="仿宋" w:cs="仿宋"/>
          <w:sz w:val="24"/>
          <w:szCs w:val="24"/>
          <w:lang w:eastAsia="zh-CN"/>
        </w:rPr>
        <w:t>招标</w:t>
      </w:r>
      <w:r>
        <w:rPr>
          <w:rFonts w:hint="eastAsia" w:ascii="仿宋" w:hAnsi="仿宋" w:eastAsia="仿宋" w:cs="仿宋"/>
          <w:sz w:val="24"/>
          <w:szCs w:val="24"/>
        </w:rPr>
        <w:t>中心、政府</w:t>
      </w:r>
      <w:r>
        <w:rPr>
          <w:rFonts w:hint="eastAsia" w:ascii="仿宋" w:hAnsi="仿宋" w:eastAsia="仿宋" w:cs="仿宋"/>
          <w:sz w:val="24"/>
          <w:szCs w:val="24"/>
          <w:lang w:eastAsia="zh-CN"/>
        </w:rPr>
        <w:t>招标</w:t>
      </w:r>
      <w:r>
        <w:rPr>
          <w:rFonts w:hint="eastAsia" w:ascii="仿宋" w:hAnsi="仿宋" w:eastAsia="仿宋" w:cs="仿宋"/>
          <w:sz w:val="24"/>
          <w:szCs w:val="24"/>
        </w:rPr>
        <w:t>监管部门各执一份。</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20.  争议解决方式</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20.1 合同</w:t>
      </w:r>
      <w:r>
        <w:rPr>
          <w:rFonts w:hint="eastAsia" w:ascii="仿宋" w:hAnsi="仿宋" w:eastAsia="仿宋" w:cs="仿宋"/>
          <w:sz w:val="24"/>
          <w:szCs w:val="24"/>
        </w:rPr>
        <w:t>实施或与合同有关的一切争议应通过双方协商解决。若协商不成，则向</w:t>
      </w:r>
      <w:r>
        <w:rPr>
          <w:rFonts w:hint="eastAsia" w:ascii="仿宋" w:hAnsi="仿宋" w:eastAsia="仿宋" w:cs="仿宋"/>
          <w:sz w:val="24"/>
          <w:szCs w:val="24"/>
          <w:lang w:eastAsia="zh-CN"/>
        </w:rPr>
        <w:t>招标</w:t>
      </w:r>
      <w:r>
        <w:rPr>
          <w:rFonts w:hint="eastAsia" w:ascii="仿宋" w:hAnsi="仿宋" w:eastAsia="仿宋" w:cs="仿宋"/>
          <w:sz w:val="24"/>
          <w:szCs w:val="24"/>
        </w:rPr>
        <w:t>人所在地法院提起诉讼</w:t>
      </w:r>
      <w:r>
        <w:rPr>
          <w:rFonts w:hint="eastAsia" w:ascii="仿宋" w:hAnsi="仿宋" w:eastAsia="仿宋" w:cs="仿宋"/>
          <w:bCs/>
          <w:sz w:val="24"/>
          <w:szCs w:val="24"/>
        </w:rPr>
        <w:t>。</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21．合同修改</w:t>
      </w:r>
    </w:p>
    <w:p>
      <w:pPr>
        <w:jc w:val="left"/>
        <w:outlineLvl w:val="9"/>
        <w:rPr>
          <w:rFonts w:hint="eastAsia" w:ascii="仿宋" w:hAnsi="仿宋" w:eastAsia="仿宋" w:cs="仿宋"/>
          <w:bCs/>
          <w:sz w:val="24"/>
          <w:szCs w:val="24"/>
        </w:rPr>
      </w:pPr>
      <w:r>
        <w:rPr>
          <w:rFonts w:hint="eastAsia" w:ascii="仿宋" w:hAnsi="仿宋" w:eastAsia="仿宋" w:cs="仿宋"/>
          <w:bCs/>
          <w:sz w:val="24"/>
          <w:szCs w:val="24"/>
        </w:rPr>
        <w:t>21.1除双方</w:t>
      </w:r>
      <w:r>
        <w:rPr>
          <w:rFonts w:hint="eastAsia" w:ascii="仿宋" w:hAnsi="仿宋" w:eastAsia="仿宋" w:cs="仿宋"/>
          <w:sz w:val="24"/>
          <w:szCs w:val="24"/>
        </w:rPr>
        <w:t>签署书面修改协议，并成为本合同不可分割的一部分的情况之外，本合同不得有任何变化或修</w:t>
      </w:r>
      <w:r>
        <w:rPr>
          <w:rFonts w:hint="eastAsia" w:ascii="仿宋" w:hAnsi="仿宋" w:eastAsia="仿宋" w:cs="仿宋"/>
          <w:bCs/>
          <w:sz w:val="24"/>
          <w:szCs w:val="24"/>
        </w:rPr>
        <w:t>改。</w:t>
      </w:r>
      <w:bookmarkEnd w:id="152"/>
    </w:p>
    <w:p>
      <w:pPr>
        <w:jc w:val="left"/>
        <w:outlineLvl w:val="9"/>
        <w:rPr>
          <w:rFonts w:hint="eastAsia" w:ascii="仿宋" w:hAnsi="仿宋" w:eastAsia="仿宋" w:cs="仿宋"/>
          <w:bCs/>
          <w:sz w:val="24"/>
          <w:szCs w:val="24"/>
          <w:shd w:val="clear" w:color="auto" w:fill="92D050"/>
        </w:rPr>
      </w:pPr>
    </w:p>
    <w:p>
      <w:pPr>
        <w:widowControl/>
        <w:jc w:val="left"/>
        <w:outlineLvl w:val="9"/>
        <w:rPr>
          <w:rFonts w:hint="eastAsia" w:ascii="仿宋" w:hAnsi="仿宋" w:eastAsia="仿宋" w:cs="仿宋"/>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pPr>
        <w:widowControl/>
        <w:jc w:val="left"/>
        <w:outlineLvl w:val="9"/>
        <w:rPr>
          <w:rFonts w:hint="eastAsia" w:ascii="仿宋" w:hAnsi="仿宋" w:eastAsia="仿宋" w:cs="仿宋"/>
          <w:b/>
          <w:bCs w:val="0"/>
          <w:kern w:val="44"/>
          <w:sz w:val="24"/>
          <w:szCs w:val="24"/>
          <w:lang w:val="en-US" w:eastAsia="zh-CN" w:bidi="ar-SA"/>
        </w:rPr>
      </w:pPr>
      <w:r>
        <w:rPr>
          <w:rFonts w:hint="eastAsia" w:ascii="仿宋" w:hAnsi="仿宋" w:eastAsia="仿宋" w:cs="仿宋"/>
          <w:bCs/>
          <w:color w:val="000000" w:themeColor="text1"/>
          <w:sz w:val="24"/>
          <w:szCs w:val="24"/>
          <w14:textFill>
            <w14:solidFill>
              <w14:schemeClr w14:val="tx1"/>
            </w14:solidFill>
          </w14:textFill>
        </w:rPr>
        <w:br w:type="page"/>
      </w:r>
    </w:p>
    <w:p>
      <w:pPr>
        <w:pStyle w:val="3"/>
        <w:numPr>
          <w:ilvl w:val="0"/>
          <w:numId w:val="0"/>
        </w:numPr>
        <w:spacing w:before="0" w:after="0" w:line="240" w:lineRule="auto"/>
        <w:jc w:val="center"/>
        <w:outlineLvl w:val="0"/>
        <w:rPr>
          <w:rFonts w:hint="eastAsia" w:ascii="仿宋" w:hAnsi="仿宋" w:eastAsia="仿宋" w:cs="仿宋"/>
          <w:b/>
          <w:bCs w:val="0"/>
          <w:color w:val="auto"/>
          <w:sz w:val="32"/>
          <w:szCs w:val="32"/>
          <w:lang w:val="en-US" w:eastAsia="zh-CN"/>
        </w:rPr>
      </w:pPr>
      <w:bookmarkStart w:id="153" w:name="_Toc22213"/>
      <w:bookmarkStart w:id="154" w:name="_Toc18901"/>
      <w:bookmarkStart w:id="155" w:name="_Toc257633148"/>
    </w:p>
    <w:p>
      <w:pPr>
        <w:pStyle w:val="3"/>
        <w:numPr>
          <w:ilvl w:val="0"/>
          <w:numId w:val="0"/>
        </w:numPr>
        <w:spacing w:before="0" w:after="0" w:line="240" w:lineRule="auto"/>
        <w:jc w:val="center"/>
        <w:outlineLvl w:val="0"/>
        <w:rPr>
          <w:rFonts w:hint="eastAsia" w:ascii="仿宋" w:hAnsi="仿宋" w:eastAsia="仿宋" w:cs="仿宋"/>
          <w:b/>
          <w:bCs w:val="0"/>
          <w:color w:val="auto"/>
          <w:kern w:val="44"/>
          <w:sz w:val="32"/>
          <w:szCs w:val="32"/>
          <w:lang w:val="en-US" w:eastAsia="zh-CN" w:bidi="ar-SA"/>
        </w:rPr>
      </w:pPr>
      <w:bookmarkStart w:id="156" w:name="_Toc2362"/>
      <w:r>
        <w:rPr>
          <w:rFonts w:hint="eastAsia" w:ascii="仿宋" w:hAnsi="仿宋" w:eastAsia="仿宋" w:cs="仿宋"/>
          <w:b/>
          <w:bCs w:val="0"/>
          <w:color w:val="auto"/>
          <w:sz w:val="32"/>
          <w:szCs w:val="32"/>
          <w:lang w:val="en-US" w:eastAsia="zh-CN"/>
        </w:rPr>
        <w:t>第五章 竞争性磋商投标文件格式</w:t>
      </w:r>
      <w:bookmarkEnd w:id="153"/>
      <w:bookmarkEnd w:id="154"/>
      <w:bookmarkEnd w:id="156"/>
    </w:p>
    <w:p>
      <w:pPr>
        <w:rPr>
          <w:rFonts w:hint="eastAsia" w:ascii="仿宋" w:hAnsi="仿宋" w:eastAsia="仿宋" w:cs="仿宋"/>
          <w:color w:val="auto"/>
          <w:sz w:val="24"/>
          <w:szCs w:val="24"/>
        </w:rPr>
      </w:pPr>
    </w:p>
    <w:bookmarkEnd w:id="155"/>
    <w:p>
      <w:pPr>
        <w:pStyle w:val="3"/>
        <w:numPr>
          <w:ilvl w:val="0"/>
          <w:numId w:val="0"/>
        </w:numPr>
        <w:spacing w:before="0" w:after="0" w:line="240" w:lineRule="auto"/>
        <w:jc w:val="both"/>
        <w:outlineLvl w:val="0"/>
        <w:rPr>
          <w:rFonts w:hint="eastAsia" w:ascii="仿宋" w:hAnsi="仿宋" w:eastAsia="仿宋" w:cs="仿宋"/>
          <w:b/>
          <w:bCs w:val="0"/>
          <w:color w:val="auto"/>
          <w:sz w:val="24"/>
          <w:szCs w:val="24"/>
          <w:lang w:val="en-US" w:eastAsia="zh-CN"/>
        </w:rPr>
      </w:pPr>
    </w:p>
    <w:p>
      <w:pPr>
        <w:pStyle w:val="3"/>
        <w:numPr>
          <w:ilvl w:val="0"/>
          <w:numId w:val="0"/>
        </w:numPr>
        <w:spacing w:before="0" w:after="0" w:line="240" w:lineRule="auto"/>
        <w:jc w:val="center"/>
        <w:outlineLvl w:val="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乌苏市夹河子乡红房子村育苗基地建设项目</w:t>
      </w: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jc w:val="center"/>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响   应 </w:t>
      </w:r>
      <w:r>
        <w:rPr>
          <w:rFonts w:hint="eastAsia" w:ascii="仿宋" w:hAnsi="仿宋" w:eastAsia="仿宋" w:cs="仿宋"/>
          <w:b/>
          <w:bCs/>
          <w:sz w:val="24"/>
          <w:szCs w:val="24"/>
        </w:rPr>
        <w:t xml:space="preserve"> 文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件</w:t>
      </w: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157" w:name="_Toc12210"/>
      <w:bookmarkStart w:id="158" w:name="_Toc18394"/>
      <w:bookmarkStart w:id="159" w:name="_Toc152042576"/>
      <w:bookmarkStart w:id="160" w:name="_Toc152045787"/>
      <w:bookmarkStart w:id="161" w:name="_Toc31530"/>
      <w:bookmarkStart w:id="162" w:name="_Toc144974856"/>
      <w:bookmarkStart w:id="163" w:name="_Toc246996355"/>
      <w:bookmarkStart w:id="164" w:name="_Toc12986"/>
      <w:bookmarkStart w:id="165" w:name="_Toc179632807"/>
      <w:bookmarkStart w:id="166" w:name="_Toc247085873"/>
      <w:bookmarkStart w:id="167" w:name="_Toc1357"/>
      <w:bookmarkStart w:id="168" w:name="_Toc246997098"/>
      <w:bookmarkStart w:id="169" w:name="_Toc39861328"/>
      <w:r>
        <w:rPr>
          <w:rFonts w:hint="eastAsia" w:ascii="仿宋" w:hAnsi="仿宋" w:eastAsia="仿宋" w:cs="仿宋"/>
          <w:sz w:val="24"/>
          <w:szCs w:val="24"/>
        </w:rPr>
        <w:t>目    录</w:t>
      </w:r>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2"/>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pPr>
        <w:spacing w:line="540" w:lineRule="exact"/>
        <w:outlineLvl w:val="9"/>
        <w:rPr>
          <w:rFonts w:hint="eastAsia" w:ascii="仿宋" w:hAnsi="仿宋" w:eastAsia="仿宋" w:cs="仿宋"/>
          <w:sz w:val="24"/>
          <w:szCs w:val="24"/>
        </w:rPr>
      </w:pPr>
      <w:bookmarkStart w:id="170" w:name="_Toc15346"/>
      <w:bookmarkStart w:id="171" w:name="_Toc25382"/>
      <w:bookmarkStart w:id="172" w:name="_Toc8904"/>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bookmarkEnd w:id="170"/>
      <w:bookmarkEnd w:id="171"/>
      <w:bookmarkEnd w:id="172"/>
    </w:p>
    <w:p>
      <w:pPr>
        <w:spacing w:line="540" w:lineRule="exact"/>
        <w:outlineLvl w:val="9"/>
        <w:rPr>
          <w:rFonts w:hint="eastAsia" w:ascii="仿宋" w:hAnsi="仿宋" w:eastAsia="仿宋" w:cs="仿宋"/>
          <w:sz w:val="24"/>
          <w:szCs w:val="24"/>
        </w:rPr>
      </w:pPr>
      <w:bookmarkStart w:id="173" w:name="_Toc27895"/>
      <w:bookmarkStart w:id="174" w:name="_Toc22578"/>
      <w:bookmarkStart w:id="175" w:name="_Toc15420"/>
      <w:r>
        <w:rPr>
          <w:rFonts w:hint="eastAsia" w:ascii="仿宋" w:hAnsi="仿宋" w:eastAsia="仿宋" w:cs="仿宋"/>
          <w:sz w:val="24"/>
          <w:szCs w:val="24"/>
          <w:lang w:val="en-US" w:eastAsia="zh-CN"/>
        </w:rPr>
        <w:t>三</w:t>
      </w:r>
      <w:r>
        <w:rPr>
          <w:rFonts w:hint="eastAsia" w:ascii="仿宋" w:hAnsi="仿宋" w:eastAsia="仿宋" w:cs="仿宋"/>
          <w:sz w:val="24"/>
          <w:szCs w:val="24"/>
        </w:rPr>
        <w:t>、</w:t>
      </w:r>
      <w:bookmarkEnd w:id="173"/>
      <w:bookmarkEnd w:id="174"/>
      <w:bookmarkEnd w:id="175"/>
      <w:bookmarkStart w:id="176" w:name="_Toc18226"/>
      <w:bookmarkStart w:id="177" w:name="_Toc22135"/>
      <w:bookmarkStart w:id="178" w:name="_Toc1739"/>
      <w:r>
        <w:rPr>
          <w:rFonts w:hint="eastAsia" w:ascii="仿宋" w:hAnsi="仿宋" w:eastAsia="仿宋" w:cs="仿宋"/>
          <w:sz w:val="24"/>
          <w:szCs w:val="24"/>
        </w:rPr>
        <w:t>已标价工程量清单</w:t>
      </w:r>
      <w:bookmarkEnd w:id="176"/>
      <w:bookmarkEnd w:id="177"/>
      <w:bookmarkEnd w:id="178"/>
    </w:p>
    <w:p>
      <w:pPr>
        <w:spacing w:line="540" w:lineRule="exact"/>
        <w:outlineLvl w:val="9"/>
        <w:rPr>
          <w:rFonts w:hint="eastAsia" w:ascii="仿宋" w:hAnsi="仿宋" w:eastAsia="仿宋" w:cs="仿宋"/>
          <w:sz w:val="24"/>
          <w:szCs w:val="24"/>
          <w:lang w:eastAsia="zh-CN"/>
        </w:rPr>
      </w:pPr>
      <w:bookmarkStart w:id="179" w:name="_Toc31368"/>
      <w:bookmarkStart w:id="180" w:name="_Toc30964"/>
      <w:bookmarkStart w:id="181" w:name="_Toc19753"/>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、技术标投标格式</w:t>
      </w:r>
      <w:bookmarkEnd w:id="179"/>
      <w:bookmarkEnd w:id="180"/>
      <w:bookmarkEnd w:id="181"/>
    </w:p>
    <w:p>
      <w:pPr>
        <w:spacing w:line="540" w:lineRule="exact"/>
        <w:outlineLvl w:val="9"/>
        <w:rPr>
          <w:rFonts w:hint="eastAsia" w:ascii="仿宋" w:hAnsi="仿宋" w:eastAsia="仿宋" w:cs="仿宋"/>
          <w:sz w:val="24"/>
          <w:szCs w:val="24"/>
        </w:rPr>
      </w:pPr>
      <w:bookmarkStart w:id="182" w:name="_Toc24847"/>
      <w:bookmarkStart w:id="183" w:name="_Toc12159"/>
      <w:bookmarkStart w:id="184" w:name="_Toc7869"/>
      <w:r>
        <w:rPr>
          <w:rFonts w:hint="eastAsia" w:ascii="仿宋" w:hAnsi="仿宋" w:eastAsia="仿宋" w:cs="仿宋"/>
          <w:sz w:val="24"/>
          <w:szCs w:val="24"/>
          <w:lang w:eastAsia="zh-CN"/>
        </w:rPr>
        <w:t>五</w:t>
      </w:r>
      <w:r>
        <w:rPr>
          <w:rFonts w:hint="eastAsia" w:ascii="仿宋" w:hAnsi="仿宋" w:eastAsia="仿宋" w:cs="仿宋"/>
          <w:sz w:val="24"/>
          <w:szCs w:val="24"/>
        </w:rPr>
        <w:t>、项目管理机构</w:t>
      </w:r>
      <w:bookmarkEnd w:id="182"/>
      <w:bookmarkEnd w:id="183"/>
      <w:bookmarkEnd w:id="184"/>
    </w:p>
    <w:p>
      <w:pPr>
        <w:spacing w:line="540" w:lineRule="exact"/>
        <w:outlineLvl w:val="9"/>
        <w:rPr>
          <w:rFonts w:hint="eastAsia" w:ascii="仿宋" w:hAnsi="仿宋" w:eastAsia="仿宋" w:cs="仿宋"/>
          <w:sz w:val="24"/>
          <w:szCs w:val="24"/>
        </w:rPr>
      </w:pPr>
      <w:bookmarkStart w:id="185" w:name="_Toc21819"/>
      <w:bookmarkStart w:id="186" w:name="_Toc1747"/>
      <w:bookmarkStart w:id="187" w:name="_Toc940"/>
      <w:r>
        <w:rPr>
          <w:rFonts w:hint="eastAsia" w:ascii="仿宋" w:hAnsi="仿宋" w:eastAsia="仿宋" w:cs="仿宋"/>
          <w:sz w:val="24"/>
          <w:szCs w:val="24"/>
          <w:lang w:eastAsia="zh-CN"/>
        </w:rPr>
        <w:t>六</w:t>
      </w:r>
      <w:r>
        <w:rPr>
          <w:rFonts w:hint="eastAsia" w:ascii="仿宋" w:hAnsi="仿宋" w:eastAsia="仿宋" w:cs="仿宋"/>
          <w:sz w:val="24"/>
          <w:szCs w:val="24"/>
        </w:rPr>
        <w:t>、资格审查资料</w:t>
      </w:r>
      <w:bookmarkEnd w:id="185"/>
      <w:bookmarkEnd w:id="186"/>
      <w:bookmarkEnd w:id="187"/>
    </w:p>
    <w:p>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七、近三年（2021年1月以后）项目业绩表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八、商务条款偏离表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九、服务需求偏离表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十、供应商情况表</w:t>
      </w:r>
    </w:p>
    <w:p>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十一、关于资格的声明函</w:t>
      </w:r>
    </w:p>
    <w:p>
      <w:pPr>
        <w:jc w:val="both"/>
        <w:outlineLvl w:val="9"/>
        <w:rPr>
          <w:rFonts w:hint="eastAsia" w:ascii="仿宋" w:hAnsi="仿宋" w:eastAsia="仿宋" w:cs="仿宋"/>
          <w:b w:val="0"/>
          <w:kern w:val="2"/>
          <w:sz w:val="24"/>
          <w:szCs w:val="24"/>
          <w:lang w:val="en-US" w:eastAsia="zh-CN" w:bidi="ar-SA"/>
        </w:rPr>
      </w:pPr>
      <w:bookmarkStart w:id="188" w:name="_Toc1786"/>
      <w:bookmarkStart w:id="189" w:name="_Toc32415"/>
      <w:r>
        <w:rPr>
          <w:rFonts w:hint="eastAsia" w:ascii="仿宋" w:hAnsi="仿宋" w:eastAsia="仿宋" w:cs="仿宋"/>
          <w:b w:val="0"/>
          <w:kern w:val="2"/>
          <w:sz w:val="24"/>
          <w:szCs w:val="24"/>
          <w:lang w:val="en-US" w:eastAsia="zh-CN" w:bidi="ar-SA"/>
        </w:rPr>
        <w:t>十二、投标人认为需要提供的其他资料</w:t>
      </w:r>
      <w:bookmarkEnd w:id="188"/>
      <w:bookmarkEnd w:id="189"/>
    </w:p>
    <w:p>
      <w:pPr>
        <w:outlineLvl w:val="9"/>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承诺函</w:t>
      </w:r>
    </w:p>
    <w:p>
      <w:pPr>
        <w:pStyle w:val="2"/>
        <w:keepNext w:val="0"/>
        <w:keepLines w:val="0"/>
        <w:pageBreakBefore w:val="0"/>
        <w:widowControl w:val="0"/>
        <w:kinsoku/>
        <w:wordWrap/>
        <w:overflowPunct/>
        <w:topLinePunct w:val="0"/>
        <w:autoSpaceDE/>
        <w:autoSpaceDN/>
        <w:bidi w:val="0"/>
        <w:adjustRightInd/>
        <w:snapToGrid/>
        <w:spacing w:before="1" w:line="360" w:lineRule="auto"/>
        <w:ind w:left="120" w:right="111" w:firstLine="480"/>
        <w:jc w:val="both"/>
        <w:textAlignment w:val="auto"/>
        <w:rPr>
          <w:rFonts w:hint="eastAsia" w:ascii="仿宋" w:hAnsi="仿宋" w:eastAsia="仿宋" w:cs="仿宋"/>
          <w:sz w:val="24"/>
          <w:szCs w:val="24"/>
        </w:rPr>
      </w:pPr>
      <w:r>
        <w:rPr>
          <w:rFonts w:hint="eastAsia" w:ascii="仿宋" w:hAnsi="仿宋" w:eastAsia="仿宋" w:cs="仿宋"/>
          <w:sz w:val="24"/>
          <w:szCs w:val="24"/>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份</w:t>
      </w:r>
      <w:r>
        <w:rPr>
          <w:rFonts w:hint="eastAsia" w:ascii="仿宋" w:hAnsi="仿宋" w:eastAsia="仿宋" w:cs="仿宋"/>
          <w:sz w:val="24"/>
          <w:szCs w:val="24"/>
        </w:rPr>
        <w:t>和副本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磋商报价一览表；</w:t>
      </w:r>
    </w:p>
    <w:p>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分项报价表；</w:t>
      </w:r>
    </w:p>
    <w:p>
      <w:pPr>
        <w:pStyle w:val="76"/>
        <w:keepNext w:val="0"/>
        <w:keepLines w:val="0"/>
        <w:pageBreakBefore w:val="0"/>
        <w:widowControl w:val="0"/>
        <w:numPr>
          <w:ilvl w:val="0"/>
          <w:numId w:val="8"/>
        </w:numPr>
        <w:tabs>
          <w:tab w:val="left" w:pos="1366"/>
        </w:tabs>
        <w:kinsoku/>
        <w:wordWrap/>
        <w:overflowPunct/>
        <w:topLinePunct w:val="0"/>
        <w:autoSpaceDE/>
        <w:autoSpaceDN/>
        <w:bidi w:val="0"/>
        <w:adjustRightInd/>
        <w:snapToGrid/>
        <w:spacing w:before="14" w:line="360" w:lineRule="auto"/>
        <w:ind w:left="420" w:leftChars="20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商务条款、服务需求偏离表；</w:t>
      </w:r>
    </w:p>
    <w:p>
      <w:pPr>
        <w:pStyle w:val="76"/>
        <w:keepNext w:val="0"/>
        <w:keepLines w:val="0"/>
        <w:pageBreakBefore w:val="0"/>
        <w:widowControl w:val="0"/>
        <w:tabs>
          <w:tab w:val="left" w:pos="1366"/>
        </w:tabs>
        <w:kinsoku/>
        <w:wordWrap/>
        <w:overflowPunct/>
        <w:topLinePunct w:val="0"/>
        <w:autoSpaceDE/>
        <w:autoSpaceDN/>
        <w:bidi w:val="0"/>
        <w:adjustRightInd/>
        <w:snapToGrid/>
        <w:spacing w:before="14" w:line="360" w:lineRule="auto"/>
        <w:ind w:firstLine="1200" w:firstLineChars="500"/>
        <w:jc w:val="left"/>
        <w:textAlignment w:val="auto"/>
        <w:rPr>
          <w:rFonts w:hint="eastAsia" w:ascii="仿宋" w:hAnsi="仿宋" w:eastAsia="仿宋" w:cs="仿宋"/>
          <w:sz w:val="24"/>
          <w:szCs w:val="24"/>
        </w:rPr>
      </w:pPr>
      <w:r>
        <w:rPr>
          <w:rFonts w:hint="eastAsia" w:ascii="仿宋" w:hAnsi="仿宋" w:eastAsia="仿宋" w:cs="仿宋"/>
          <w:sz w:val="24"/>
          <w:szCs w:val="24"/>
        </w:rPr>
        <w:t>（4）按磋商文件供应商须知、技术需求及其他要求提供有关文件；</w:t>
      </w:r>
    </w:p>
    <w:p>
      <w:pPr>
        <w:pStyle w:val="76"/>
        <w:keepNext w:val="0"/>
        <w:keepLines w:val="0"/>
        <w:pageBreakBefore w:val="0"/>
        <w:widowControl w:val="0"/>
        <w:tabs>
          <w:tab w:val="left" w:pos="1366"/>
        </w:tabs>
        <w:kinsoku/>
        <w:wordWrap/>
        <w:overflowPunct/>
        <w:topLinePunct w:val="0"/>
        <w:autoSpaceDE/>
        <w:autoSpaceDN/>
        <w:bidi w:val="0"/>
        <w:adjustRightInd/>
        <w:snapToGrid/>
        <w:spacing w:before="14"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据此函，签字代表宣布并同意如下：</w:t>
      </w:r>
    </w:p>
    <w:p>
      <w:pPr>
        <w:pStyle w:val="2"/>
        <w:keepNext w:val="0"/>
        <w:keepLines w:val="0"/>
        <w:pageBreakBefore w:val="0"/>
        <w:widowControl w:val="0"/>
        <w:kinsoku/>
        <w:wordWrap/>
        <w:overflowPunct/>
        <w:topLinePunct w:val="0"/>
        <w:autoSpaceDE/>
        <w:autoSpaceDN/>
        <w:bidi w:val="0"/>
        <w:adjustRightInd/>
        <w:snapToGrid/>
        <w:spacing w:before="14"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1、所附报价表中规定的应提交和交付的服务总价</w:t>
      </w:r>
      <w:r>
        <w:rPr>
          <w:rFonts w:hint="eastAsia" w:ascii="仿宋" w:hAnsi="仿宋" w:eastAsia="仿宋" w:cs="仿宋"/>
          <w:sz w:val="24"/>
          <w:szCs w:val="24"/>
          <w:lang w:eastAsia="zh-CN"/>
        </w:rPr>
        <w:t>详见报价一览表</w:t>
      </w:r>
      <w:r>
        <w:rPr>
          <w:rFonts w:hint="eastAsia" w:ascii="仿宋" w:hAnsi="仿宋" w:eastAsia="仿宋" w:cs="仿宋"/>
          <w:sz w:val="24"/>
          <w:szCs w:val="24"/>
        </w:rPr>
        <w:t>。</w:t>
      </w:r>
    </w:p>
    <w:p>
      <w:pPr>
        <w:pStyle w:val="2"/>
        <w:keepNext w:val="0"/>
        <w:keepLines w:val="0"/>
        <w:pageBreakBefore w:val="0"/>
        <w:widowControl w:val="0"/>
        <w:kinsoku/>
        <w:wordWrap/>
        <w:overflowPunct/>
        <w:topLinePunct w:val="0"/>
        <w:autoSpaceDE/>
        <w:autoSpaceDN/>
        <w:bidi w:val="0"/>
        <w:adjustRightInd/>
        <w:snapToGrid/>
        <w:spacing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2、供应商将按磋商文件的规定履行合同责任和义务。</w:t>
      </w:r>
    </w:p>
    <w:p>
      <w:pPr>
        <w:pStyle w:val="2"/>
        <w:keepNext w:val="0"/>
        <w:keepLines w:val="0"/>
        <w:pageBreakBefore w:val="0"/>
        <w:widowControl w:val="0"/>
        <w:kinsoku/>
        <w:wordWrap/>
        <w:overflowPunct/>
        <w:topLinePunct w:val="0"/>
        <w:autoSpaceDE/>
        <w:autoSpaceDN/>
        <w:bidi w:val="0"/>
        <w:adjustRightInd/>
        <w:snapToGrid/>
        <w:spacing w:line="360" w:lineRule="auto"/>
        <w:ind w:left="120" w:right="109" w:firstLine="960" w:firstLineChars="400"/>
        <w:textAlignment w:val="auto"/>
        <w:rPr>
          <w:rFonts w:hint="eastAsia" w:ascii="仿宋" w:hAnsi="仿宋" w:eastAsia="仿宋" w:cs="仿宋"/>
          <w:sz w:val="24"/>
          <w:szCs w:val="24"/>
        </w:rPr>
      </w:pPr>
      <w:r>
        <w:rPr>
          <w:rFonts w:hint="eastAsia" w:ascii="仿宋" w:hAnsi="仿宋" w:eastAsia="仿宋" w:cs="仿宋"/>
          <w:sz w:val="24"/>
          <w:szCs w:val="24"/>
        </w:rPr>
        <w:t>3、供应商已详细阅读并理解了磋商文件的全部，包括修改文件。我们完全理解并同意放弃对这方面有不明及误解的权利。</w:t>
      </w:r>
    </w:p>
    <w:p>
      <w:pPr>
        <w:pStyle w:val="2"/>
        <w:keepNext w:val="0"/>
        <w:keepLines w:val="0"/>
        <w:pageBreakBefore w:val="0"/>
        <w:widowControl w:val="0"/>
        <w:tabs>
          <w:tab w:val="left" w:pos="5354"/>
        </w:tabs>
        <w:kinsoku/>
        <w:wordWrap/>
        <w:overflowPunct/>
        <w:topLinePunct w:val="0"/>
        <w:autoSpaceDE/>
        <w:autoSpaceDN/>
        <w:bidi w:val="0"/>
        <w:adjustRightInd/>
        <w:snapToGrid/>
        <w:spacing w:before="17" w:line="360" w:lineRule="auto"/>
        <w:ind w:left="674" w:firstLine="480"/>
        <w:textAlignment w:val="auto"/>
        <w:rPr>
          <w:rFonts w:hint="eastAsia" w:ascii="仿宋" w:hAnsi="仿宋" w:eastAsia="仿宋" w:cs="仿宋"/>
          <w:sz w:val="24"/>
          <w:szCs w:val="24"/>
        </w:rPr>
      </w:pPr>
      <w:r>
        <w:rPr>
          <w:rFonts w:hint="eastAsia" w:ascii="仿宋" w:hAnsi="仿宋" w:eastAsia="仿宋" w:cs="仿宋"/>
          <w:sz w:val="24"/>
          <w:szCs w:val="24"/>
        </w:rPr>
        <w:t>4、本项目有效期自竞争性磋商之日起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pPr>
        <w:pStyle w:val="2"/>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5、在规定的竞争性磋商时间后，如果在有效期内撤回，同意保证金将被贵方没收。</w:t>
      </w:r>
    </w:p>
    <w:p>
      <w:pPr>
        <w:pStyle w:val="2"/>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6、供应商同意提供按照贵方可能要求的与其磋商有关的一切数据或资料，完全理解贵方不一定接受最低价的磋商报价或收到的任何磋商的约定。</w:t>
      </w:r>
    </w:p>
    <w:p>
      <w:pPr>
        <w:pStyle w:val="2"/>
        <w:spacing w:before="2"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7、与本磋商有关的一切正式往来信函请寄：</w:t>
      </w:r>
    </w:p>
    <w:p>
      <w:pPr>
        <w:pStyle w:val="2"/>
        <w:tabs>
          <w:tab w:val="left" w:pos="2535"/>
          <w:tab w:val="left" w:pos="5895"/>
        </w:tabs>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p>
    <w:p>
      <w:pPr>
        <w:pStyle w:val="2"/>
        <w:tabs>
          <w:tab w:val="left" w:pos="2499"/>
          <w:tab w:val="left" w:pos="5859"/>
        </w:tabs>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p>
    <w:p>
      <w:pPr>
        <w:pStyle w:val="2"/>
        <w:tabs>
          <w:tab w:val="left" w:pos="2379"/>
        </w:tabs>
        <w:spacing w:after="0" w:line="240" w:lineRule="auto"/>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供应商表签字：</w:t>
      </w:r>
    </w:p>
    <w:p>
      <w:pPr>
        <w:pStyle w:val="2"/>
        <w:tabs>
          <w:tab w:val="left" w:pos="2379"/>
        </w:tabs>
        <w:spacing w:after="0" w:line="240" w:lineRule="auto"/>
        <w:ind w:right="0"/>
        <w:jc w:val="both"/>
        <w:rPr>
          <w:rFonts w:hint="eastAsia" w:ascii="仿宋" w:hAnsi="仿宋" w:eastAsia="仿宋" w:cs="仿宋"/>
          <w:sz w:val="24"/>
          <w:szCs w:val="24"/>
        </w:rPr>
      </w:pPr>
    </w:p>
    <w:p>
      <w:pPr>
        <w:pStyle w:val="2"/>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 xml:space="preserve">报 价 方 名 称： </w:t>
      </w:r>
    </w:p>
    <w:p>
      <w:pPr>
        <w:pStyle w:val="2"/>
        <w:tabs>
          <w:tab w:val="left" w:pos="2379"/>
        </w:tabs>
        <w:spacing w:after="0" w:line="240" w:lineRule="auto"/>
        <w:ind w:right="0"/>
        <w:jc w:val="both"/>
        <w:rPr>
          <w:rFonts w:hint="eastAsia" w:ascii="仿宋" w:hAnsi="仿宋" w:eastAsia="仿宋" w:cs="仿宋"/>
          <w:sz w:val="24"/>
          <w:szCs w:val="24"/>
        </w:rPr>
      </w:pPr>
    </w:p>
    <w:p>
      <w:pPr>
        <w:pStyle w:val="2"/>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公    章：</w:t>
      </w:r>
    </w:p>
    <w:p>
      <w:pPr>
        <w:pStyle w:val="2"/>
        <w:tabs>
          <w:tab w:val="left" w:pos="6579"/>
          <w:tab w:val="left" w:pos="7419"/>
          <w:tab w:val="left" w:pos="8259"/>
        </w:tabs>
        <w:ind w:left="5740" w:firstLine="480"/>
        <w:rPr>
          <w:rFonts w:hint="eastAsia" w:ascii="仿宋" w:hAnsi="仿宋" w:eastAsia="仿宋" w:cs="仿宋"/>
          <w:b/>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pPr>
        <w:spacing w:line="360" w:lineRule="auto"/>
        <w:ind w:firstLine="562"/>
        <w:jc w:val="center"/>
        <w:rPr>
          <w:rFonts w:hint="eastAsia" w:ascii="仿宋" w:hAnsi="仿宋" w:eastAsia="仿宋" w:cs="仿宋"/>
          <w:b/>
          <w:sz w:val="24"/>
          <w:szCs w:val="24"/>
        </w:rPr>
      </w:pPr>
    </w:p>
    <w:p>
      <w:pPr>
        <w:pStyle w:val="44"/>
        <w:tabs>
          <w:tab w:val="left" w:pos="1720"/>
        </w:tabs>
        <w:ind w:left="0" w:leftChars="0" w:firstLine="0" w:firstLineChars="0"/>
        <w:jc w:val="both"/>
        <w:rPr>
          <w:rFonts w:hint="eastAsia" w:ascii="仿宋" w:hAnsi="仿宋" w:eastAsia="仿宋" w:cs="仿宋"/>
          <w:b/>
          <w:bCs/>
          <w:sz w:val="24"/>
          <w:szCs w:val="24"/>
        </w:rPr>
      </w:pPr>
      <w:r>
        <w:rPr>
          <w:rFonts w:hint="eastAsia" w:ascii="仿宋" w:hAnsi="仿宋" w:eastAsia="仿宋" w:cs="仿宋"/>
          <w:sz w:val="24"/>
          <w:szCs w:val="24"/>
          <w:lang w:eastAsia="zh-CN"/>
        </w:rPr>
        <w:tab/>
      </w:r>
      <w:bookmarkStart w:id="190" w:name="_Toc14991"/>
      <w:bookmarkStart w:id="191" w:name="_Toc246997099"/>
      <w:bookmarkStart w:id="192" w:name="_Toc247085874"/>
      <w:bookmarkStart w:id="193" w:name="_Toc179632808"/>
      <w:bookmarkStart w:id="194" w:name="_Toc152045788"/>
      <w:bookmarkStart w:id="195" w:name="_Toc39861329"/>
      <w:bookmarkStart w:id="196" w:name="_Toc16768"/>
      <w:bookmarkStart w:id="197" w:name="_Toc246996356"/>
      <w:bookmarkStart w:id="198" w:name="_Toc2000"/>
      <w:bookmarkStart w:id="199" w:name="_Toc152042577"/>
      <w:bookmarkStart w:id="200" w:name="_Toc144974857"/>
      <w:bookmarkStart w:id="201" w:name="_Toc12612"/>
      <w:r>
        <w:rPr>
          <w:rFonts w:hint="eastAsia" w:ascii="仿宋" w:hAnsi="仿宋" w:eastAsia="仿宋" w:cs="仿宋"/>
          <w:sz w:val="24"/>
          <w:szCs w:val="24"/>
          <w:lang w:val="en-US" w:eastAsia="zh-CN"/>
        </w:rPr>
        <w:t xml:space="preserve">      </w:t>
      </w:r>
      <w:r>
        <w:rPr>
          <w:rFonts w:hint="eastAsia" w:ascii="仿宋" w:hAnsi="仿宋" w:eastAsia="仿宋" w:cs="仿宋"/>
          <w:b/>
          <w:bCs/>
          <w:i w:val="0"/>
          <w:kern w:val="2"/>
          <w:sz w:val="24"/>
          <w:szCs w:val="24"/>
          <w:lang w:val="en-US" w:eastAsia="zh-CN" w:bidi="ar-SA"/>
        </w:rPr>
        <w:t>二、投标函及投标函附录</w:t>
      </w:r>
      <w:bookmarkEnd w:id="190"/>
      <w:bookmarkEnd w:id="191"/>
      <w:bookmarkEnd w:id="192"/>
      <w:bookmarkEnd w:id="193"/>
      <w:bookmarkEnd w:id="194"/>
      <w:bookmarkEnd w:id="195"/>
      <w:bookmarkEnd w:id="196"/>
      <w:bookmarkEnd w:id="197"/>
      <w:bookmarkEnd w:id="198"/>
      <w:bookmarkEnd w:id="199"/>
      <w:bookmarkEnd w:id="200"/>
      <w:bookmarkEnd w:id="201"/>
    </w:p>
    <w:p>
      <w:pPr>
        <w:pStyle w:val="5"/>
        <w:numPr>
          <w:ilvl w:val="0"/>
          <w:numId w:val="0"/>
        </w:numPr>
        <w:rPr>
          <w:rFonts w:hint="eastAsia" w:ascii="仿宋" w:hAnsi="仿宋" w:eastAsia="仿宋" w:cs="仿宋"/>
          <w:sz w:val="24"/>
          <w:szCs w:val="24"/>
        </w:rPr>
      </w:pPr>
    </w:p>
    <w:p>
      <w:pPr>
        <w:ind w:firstLine="3120" w:firstLineChars="1300"/>
        <w:jc w:val="both"/>
        <w:outlineLvl w:val="9"/>
        <w:rPr>
          <w:rFonts w:hint="eastAsia" w:ascii="仿宋" w:hAnsi="仿宋" w:eastAsia="仿宋" w:cs="仿宋"/>
          <w:sz w:val="24"/>
          <w:szCs w:val="24"/>
        </w:rPr>
      </w:pPr>
      <w:bookmarkStart w:id="202" w:name="_Toc29128"/>
      <w:bookmarkStart w:id="203" w:name="_Toc247085875"/>
      <w:bookmarkStart w:id="204" w:name="_Toc29832"/>
      <w:bookmarkStart w:id="205" w:name="_Toc13880"/>
      <w:bookmarkStart w:id="206" w:name="_Toc2474"/>
      <w:bookmarkStart w:id="207" w:name="_Toc22731"/>
      <w:bookmarkStart w:id="208" w:name="_Toc16510"/>
      <w:bookmarkStart w:id="209" w:name="_Toc246997100"/>
      <w:bookmarkStart w:id="210" w:name="_Toc179632809"/>
      <w:bookmarkStart w:id="211" w:name="_Toc144974858"/>
      <w:bookmarkStart w:id="212" w:name="_Toc152042578"/>
      <w:bookmarkStart w:id="213" w:name="_Toc22838"/>
      <w:bookmarkStart w:id="214" w:name="_Toc152045789"/>
      <w:bookmarkStart w:id="215" w:name="_Toc246996357"/>
      <w:r>
        <w:rPr>
          <w:rFonts w:hint="eastAsia" w:ascii="仿宋" w:hAnsi="仿宋" w:eastAsia="仿宋" w:cs="仿宋"/>
          <w:sz w:val="24"/>
          <w:szCs w:val="24"/>
        </w:rPr>
        <w:t>（一）投标函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XXXXXXXXXXXX</w:t>
      </w:r>
      <w:r>
        <w:rPr>
          <w:rFonts w:hint="eastAsia" w:ascii="仿宋" w:hAnsi="仿宋" w:eastAsia="仿宋" w:cs="仿宋"/>
          <w:sz w:val="24"/>
          <w:szCs w:val="24"/>
        </w:rPr>
        <w:t>（招标人名称）：</w:t>
      </w:r>
    </w:p>
    <w:p>
      <w:pPr>
        <w:pStyle w:val="32"/>
        <w:shd w:val="clear" w:color="auto" w:fill="FFFFFF"/>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sz w:val="24"/>
          <w:szCs w:val="24"/>
          <w:lang w:val="en-US" w:eastAsia="zh-CN"/>
        </w:rPr>
        <w:t>乌苏市夹河子乡红房子村育苗基地建设项目</w:t>
      </w:r>
      <w:r>
        <w:rPr>
          <w:rFonts w:hint="eastAsia" w:ascii="仿宋" w:hAnsi="仿宋" w:eastAsia="仿宋" w:cs="仿宋"/>
          <w:sz w:val="24"/>
          <w:szCs w:val="24"/>
          <w:lang w:eastAsia="zh-CN"/>
        </w:rPr>
        <w:t>磋商文件</w:t>
      </w:r>
      <w:r>
        <w:rPr>
          <w:rFonts w:hint="eastAsia" w:ascii="仿宋" w:hAnsi="仿宋" w:eastAsia="仿宋" w:cs="仿宋"/>
          <w:sz w:val="24"/>
          <w:szCs w:val="24"/>
        </w:rPr>
        <w:t>的全部内容，愿意以人民币（大写）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2．我方承诺在</w:t>
      </w:r>
      <w:r>
        <w:rPr>
          <w:rFonts w:hint="eastAsia" w:ascii="仿宋" w:hAnsi="仿宋" w:eastAsia="仿宋" w:cs="仿宋"/>
          <w:sz w:val="24"/>
          <w:szCs w:val="24"/>
          <w:lang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eastAsia="zh-CN"/>
        </w:rPr>
        <w:t>磋商</w:t>
      </w:r>
      <w:r>
        <w:rPr>
          <w:rFonts w:hint="eastAsia" w:ascii="仿宋" w:hAnsi="仿宋" w:eastAsia="仿宋" w:cs="仿宋"/>
          <w:sz w:val="24"/>
          <w:szCs w:val="24"/>
        </w:rPr>
        <w:t>有效期内不修改、撤销</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3．随同本投标函提交</w:t>
      </w:r>
      <w:r>
        <w:rPr>
          <w:rFonts w:hint="eastAsia" w:ascii="仿宋" w:hAnsi="仿宋" w:eastAsia="仿宋" w:cs="仿宋"/>
          <w:sz w:val="24"/>
          <w:szCs w:val="24"/>
          <w:lang w:eastAsia="zh-CN"/>
        </w:rPr>
        <w:t>磋商</w:t>
      </w:r>
      <w:r>
        <w:rPr>
          <w:rFonts w:hint="eastAsia" w:ascii="仿宋" w:hAnsi="仿宋" w:eastAsia="仿宋" w:cs="仿宋"/>
          <w:sz w:val="24"/>
          <w:szCs w:val="24"/>
        </w:rPr>
        <w:t>保证金一份，金额为人民币（大写）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4．如我方中标：</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（3）我方承诺按照</w:t>
      </w:r>
      <w:r>
        <w:rPr>
          <w:rFonts w:hint="eastAsia" w:ascii="仿宋" w:hAnsi="仿宋" w:eastAsia="仿宋" w:cs="仿宋"/>
          <w:sz w:val="24"/>
          <w:szCs w:val="24"/>
          <w:lang w:eastAsia="zh-CN"/>
        </w:rPr>
        <w:t>磋商文件</w:t>
      </w:r>
      <w:r>
        <w:rPr>
          <w:rFonts w:hint="eastAsia" w:ascii="仿宋" w:hAnsi="仿宋" w:eastAsia="仿宋" w:cs="仿宋"/>
          <w:sz w:val="24"/>
          <w:szCs w:val="24"/>
        </w:rPr>
        <w:t>规定向你方递交履约担保。</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5．我方在此声明，所递交的</w:t>
      </w:r>
      <w:r>
        <w:rPr>
          <w:rFonts w:hint="eastAsia" w:ascii="仿宋" w:hAnsi="仿宋" w:eastAsia="仿宋" w:cs="仿宋"/>
          <w:sz w:val="24"/>
          <w:szCs w:val="24"/>
          <w:lang w:eastAsia="zh-CN"/>
        </w:rPr>
        <w:t>响应文件</w:t>
      </w:r>
      <w:r>
        <w:rPr>
          <w:rFonts w:hint="eastAsia" w:ascii="仿宋" w:hAnsi="仿宋" w:eastAsia="仿宋" w:cs="仿宋"/>
          <w:sz w:val="24"/>
          <w:szCs w:val="24"/>
        </w:rPr>
        <w:t>及有关资料内容完整、真实和准确。</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pPr>
        <w:spacing w:line="440" w:lineRule="exact"/>
        <w:outlineLvl w:val="9"/>
        <w:rPr>
          <w:rFonts w:hint="eastAsia" w:ascii="仿宋" w:hAnsi="仿宋" w:eastAsia="仿宋" w:cs="仿宋"/>
          <w:sz w:val="24"/>
          <w:szCs w:val="24"/>
        </w:rPr>
      </w:pPr>
    </w:p>
    <w:p>
      <w:pPr>
        <w:pStyle w:val="6"/>
        <w:ind w:left="0" w:leftChars="0" w:firstLine="0" w:firstLineChars="0"/>
        <w:jc w:val="both"/>
        <w:outlineLvl w:val="9"/>
        <w:rPr>
          <w:rFonts w:hint="eastAsia" w:ascii="仿宋" w:hAnsi="仿宋" w:eastAsia="仿宋" w:cs="仿宋"/>
          <w:sz w:val="24"/>
          <w:szCs w:val="24"/>
        </w:rPr>
      </w:pPr>
    </w:p>
    <w:p>
      <w:pPr>
        <w:spacing w:line="440" w:lineRule="exact"/>
        <w:jc w:val="both"/>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网址：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40" w:lineRule="exact"/>
        <w:rPr>
          <w:rFonts w:hint="eastAsia" w:ascii="仿宋" w:hAnsi="仿宋" w:eastAsia="仿宋" w:cs="仿宋"/>
          <w:sz w:val="24"/>
          <w:szCs w:val="24"/>
        </w:rPr>
      </w:pPr>
    </w:p>
    <w:p>
      <w:pPr>
        <w:spacing w:line="440" w:lineRule="exact"/>
        <w:ind w:firstLine="2400" w:firstLineChars="1000"/>
        <w:rPr>
          <w:rFonts w:hint="eastAsia" w:ascii="仿宋" w:hAnsi="仿宋" w:eastAsia="仿宋" w:cs="仿宋"/>
          <w:sz w:val="24"/>
          <w:szCs w:val="24"/>
        </w:rPr>
      </w:pPr>
      <w:bookmarkStart w:id="216" w:name="_Toc152045790"/>
      <w:bookmarkStart w:id="217" w:name="_Toc4756"/>
      <w:bookmarkStart w:id="218" w:name="_Toc32355"/>
      <w:bookmarkStart w:id="219" w:name="_Toc144974859"/>
      <w:bookmarkStart w:id="220" w:name="_Toc7031"/>
      <w:bookmarkStart w:id="221" w:name="_Toc16319"/>
      <w:bookmarkStart w:id="222" w:name="_Toc246997101"/>
      <w:bookmarkStart w:id="223" w:name="_Toc23984"/>
      <w:bookmarkStart w:id="224" w:name="_Toc28905"/>
      <w:bookmarkStart w:id="225" w:name="_Toc179632810"/>
      <w:bookmarkStart w:id="226" w:name="_Toc152042579"/>
      <w:bookmarkStart w:id="227" w:name="_Toc247085876"/>
      <w:bookmarkStart w:id="228" w:name="_Toc246996358"/>
      <w:bookmarkStart w:id="229" w:name="_Toc9540"/>
      <w:r>
        <w:rPr>
          <w:rFonts w:hint="eastAsia" w:ascii="仿宋" w:hAnsi="仿宋" w:eastAsia="仿宋" w:cs="仿宋"/>
          <w:sz w:val="24"/>
          <w:szCs w:val="24"/>
        </w:rPr>
        <w:t>（二）投标函附录</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spacing w:line="440" w:lineRule="exact"/>
        <w:jc w:val="center"/>
        <w:rPr>
          <w:rFonts w:hint="eastAsia" w:ascii="仿宋" w:hAnsi="仿宋" w:eastAsia="仿宋" w:cs="仿宋"/>
          <w:sz w:val="24"/>
          <w:szCs w:val="24"/>
        </w:rPr>
      </w:pPr>
    </w:p>
    <w:tbl>
      <w:tblPr>
        <w:tblStyle w:val="36"/>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257"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765"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c>
          <w:tcPr>
            <w:tcW w:w="1001"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工期</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缺陷责任期</w:t>
            </w:r>
          </w:p>
        </w:tc>
        <w:tc>
          <w:tcPr>
            <w:tcW w:w="3765" w:type="dxa"/>
            <w:vAlign w:val="center"/>
          </w:tcPr>
          <w:p>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按国家规定执行</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bl>
    <w:p>
      <w:pPr>
        <w:spacing w:line="440" w:lineRule="exact"/>
        <w:ind w:left="840" w:leftChars="400" w:firstLine="2640" w:firstLineChars="1100"/>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pStyle w:val="6"/>
        <w:ind w:left="0" w:leftChars="0" w:firstLine="0" w:firstLineChars="0"/>
        <w:jc w:val="both"/>
        <w:outlineLvl w:val="9"/>
        <w:rPr>
          <w:rFonts w:hint="eastAsia" w:ascii="仿宋" w:hAnsi="仿宋" w:eastAsia="仿宋" w:cs="仿宋"/>
          <w:sz w:val="24"/>
          <w:szCs w:val="24"/>
        </w:rPr>
      </w:pPr>
    </w:p>
    <w:p>
      <w:pPr>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jc w:val="center"/>
        <w:rPr>
          <w:rFonts w:hint="eastAsia" w:ascii="仿宋" w:hAnsi="仿宋" w:eastAsia="仿宋" w:cs="仿宋"/>
          <w:b/>
          <w:bCs/>
          <w:sz w:val="24"/>
          <w:szCs w:val="24"/>
        </w:rPr>
      </w:pPr>
      <w:bookmarkStart w:id="230" w:name="_Toc144974863"/>
      <w:bookmarkStart w:id="231" w:name="_Toc5899"/>
      <w:bookmarkStart w:id="232" w:name="_Toc246996363"/>
      <w:bookmarkStart w:id="233" w:name="_Toc22672"/>
      <w:bookmarkStart w:id="234" w:name="_Toc246997106"/>
      <w:bookmarkStart w:id="235" w:name="_Toc247085881"/>
      <w:bookmarkStart w:id="236" w:name="_Toc11944"/>
      <w:bookmarkStart w:id="237" w:name="_Toc152045795"/>
      <w:bookmarkStart w:id="238" w:name="_Toc39861333"/>
      <w:bookmarkStart w:id="239" w:name="_Toc152042584"/>
      <w:bookmarkStart w:id="240" w:name="_Toc179632815"/>
      <w:bookmarkStart w:id="241" w:name="_Toc26020"/>
      <w:r>
        <w:rPr>
          <w:rFonts w:hint="eastAsia" w:ascii="仿宋" w:hAnsi="仿宋" w:eastAsia="仿宋" w:cs="仿宋"/>
          <w:sz w:val="24"/>
          <w:szCs w:val="24"/>
          <w:lang w:eastAsia="zh-CN"/>
        </w:rPr>
        <w:t>三</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已标价工程量清单</w:t>
      </w:r>
      <w:bookmarkEnd w:id="230"/>
      <w:bookmarkEnd w:id="231"/>
      <w:bookmarkEnd w:id="232"/>
      <w:bookmarkEnd w:id="233"/>
      <w:bookmarkEnd w:id="234"/>
      <w:bookmarkEnd w:id="235"/>
      <w:bookmarkEnd w:id="236"/>
      <w:bookmarkEnd w:id="237"/>
      <w:bookmarkEnd w:id="238"/>
      <w:bookmarkEnd w:id="239"/>
      <w:bookmarkEnd w:id="240"/>
      <w:bookmarkEnd w:id="241"/>
    </w:p>
    <w:p>
      <w:pPr>
        <w:numPr>
          <w:ilvl w:val="0"/>
          <w:numId w:val="0"/>
        </w:numPr>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42" w:name="_Toc29131"/>
      <w:bookmarkStart w:id="243" w:name="_Toc4835"/>
      <w:r>
        <w:rPr>
          <w:rFonts w:hint="eastAsia" w:ascii="仿宋" w:hAnsi="仿宋" w:eastAsia="仿宋" w:cs="仿宋"/>
          <w:b/>
          <w:bCs/>
          <w:kern w:val="2"/>
          <w:sz w:val="24"/>
          <w:szCs w:val="24"/>
          <w:lang w:val="en-US" w:eastAsia="zh-CN" w:bidi="ar-SA"/>
        </w:rPr>
        <w:t>四、技术标投标格式</w:t>
      </w:r>
      <w:bookmarkEnd w:id="242"/>
      <w:bookmarkEnd w:id="243"/>
    </w:p>
    <w:p>
      <w:pPr>
        <w:numPr>
          <w:ilvl w:val="0"/>
          <w:numId w:val="0"/>
        </w:numPr>
        <w:ind w:leftChars="0"/>
        <w:jc w:val="both"/>
        <w:outlineLvl w:val="9"/>
        <w:rPr>
          <w:rFonts w:hint="eastAsia" w:ascii="仿宋" w:hAnsi="仿宋" w:eastAsia="仿宋" w:cs="仿宋"/>
          <w:sz w:val="24"/>
          <w:szCs w:val="24"/>
          <w:lang w:val="en-US" w:eastAsia="zh-CN"/>
        </w:rPr>
      </w:pPr>
    </w:p>
    <w:p>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须按技术标格式目录顺序编写</w:t>
      </w:r>
    </w:p>
    <w:p>
      <w:pPr>
        <w:spacing w:line="440" w:lineRule="exact"/>
        <w:ind w:firstLine="241" w:firstLineChars="100"/>
        <w:jc w:val="center"/>
        <w:rPr>
          <w:rFonts w:hint="eastAsia" w:ascii="仿宋" w:hAnsi="仿宋" w:eastAsia="仿宋" w:cs="仿宋"/>
          <w:b/>
          <w:sz w:val="24"/>
          <w:szCs w:val="24"/>
        </w:rPr>
      </w:pPr>
      <w:bookmarkStart w:id="244" w:name="_Toc246997112"/>
      <w:bookmarkStart w:id="245" w:name="_Toc39861335"/>
      <w:bookmarkStart w:id="246" w:name="_Toc144974871"/>
      <w:bookmarkStart w:id="247" w:name="_Toc152045803"/>
      <w:bookmarkStart w:id="248" w:name="_Toc152042592"/>
      <w:bookmarkStart w:id="249" w:name="_Toc247085887"/>
      <w:bookmarkStart w:id="250" w:name="_Toc179632823"/>
      <w:bookmarkStart w:id="251" w:name="_Toc246996369"/>
      <w:bookmarkStart w:id="252" w:name="_Toc26900"/>
      <w:r>
        <w:rPr>
          <w:rFonts w:hint="eastAsia" w:ascii="仿宋" w:hAnsi="仿宋" w:eastAsia="仿宋" w:cs="仿宋"/>
          <w:b/>
          <w:sz w:val="24"/>
          <w:szCs w:val="24"/>
        </w:rPr>
        <w:t>目录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1.全面性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1.1工程概况、施工组织方案；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1.2施工机械设备、劳动力投入计划；</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1.3质量、工期、投资控制方案；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1.4文明施工措施；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1.5施工总进度计划（附图）；</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1.6施工现场平面布置（附图）；</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2．可行性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2.1施工措施及计划；</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2.2施工现场流水段的划分；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2.3施工现场流水作业；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2.4施工现场交叉作业；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2.5施工现场机具配置和布置；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３.针对性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3.1施工的重点和关键部位处理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3.2质保体系；</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３.3安保体系；</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３.4创优措施；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３.5安全措施；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３.6文明施工和防止扰民措施。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４.先进性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４.1采用的新工艺、新技术、新设备；</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４.2在确保工程质量前提下，有降低成本、缩短工期、减轻劳动强度、提高进度的方案；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４.3在执行国家强制性条文前提下体现施工的先进性措施。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５.强制性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５.1防治质量通病的措施；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５.2</w:t>
      </w:r>
      <w:r>
        <w:rPr>
          <w:rFonts w:hint="eastAsia" w:ascii="仿宋" w:hAnsi="仿宋" w:eastAsia="仿宋" w:cs="仿宋"/>
          <w:sz w:val="24"/>
          <w:szCs w:val="24"/>
          <w:lang w:val="en-US" w:eastAsia="zh-CN"/>
        </w:rPr>
        <w:t>执</w:t>
      </w:r>
      <w:r>
        <w:rPr>
          <w:rFonts w:hint="eastAsia" w:ascii="仿宋" w:hAnsi="仿宋" w:eastAsia="仿宋" w:cs="仿宋"/>
          <w:sz w:val="24"/>
          <w:szCs w:val="24"/>
        </w:rPr>
        <w:t>行国家强制性条文的保证措施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６.承诺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６.1保修承诺和违约经济处罚承诺；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６.2工程质量争优承诺及保证质量措施。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注：</w:t>
      </w:r>
      <w:r>
        <w:rPr>
          <w:rFonts w:hint="eastAsia" w:ascii="仿宋" w:hAnsi="仿宋" w:eastAsia="仿宋" w:cs="仿宋"/>
          <w:sz w:val="24"/>
          <w:szCs w:val="24"/>
          <w:lang w:eastAsia="zh-CN"/>
        </w:rPr>
        <w:t>响应文件</w:t>
      </w:r>
      <w:r>
        <w:rPr>
          <w:rFonts w:hint="eastAsia" w:ascii="仿宋" w:hAnsi="仿宋" w:eastAsia="仿宋" w:cs="仿宋"/>
          <w:sz w:val="24"/>
          <w:szCs w:val="24"/>
        </w:rPr>
        <w:t>须按技术标格式目录顺序编写</w:t>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53" w:name="_Toc19180"/>
      <w:bookmarkStart w:id="254" w:name="_Toc18537"/>
      <w:bookmarkStart w:id="255" w:name="_Toc16910"/>
      <w:bookmarkStart w:id="256" w:name="_Toc23758"/>
      <w:r>
        <w:rPr>
          <w:rFonts w:hint="eastAsia" w:ascii="仿宋" w:hAnsi="仿宋" w:eastAsia="仿宋" w:cs="仿宋"/>
          <w:b/>
          <w:bCs/>
          <w:kern w:val="2"/>
          <w:sz w:val="24"/>
          <w:szCs w:val="24"/>
          <w:lang w:val="en-US" w:eastAsia="zh-CN" w:bidi="ar-SA"/>
        </w:rPr>
        <w:t>五、项目管理机构</w:t>
      </w:r>
      <w:bookmarkEnd w:id="244"/>
      <w:bookmarkEnd w:id="245"/>
      <w:bookmarkEnd w:id="246"/>
      <w:bookmarkEnd w:id="247"/>
      <w:bookmarkEnd w:id="248"/>
      <w:bookmarkEnd w:id="249"/>
      <w:bookmarkEnd w:id="250"/>
      <w:bookmarkEnd w:id="251"/>
      <w:bookmarkEnd w:id="252"/>
      <w:bookmarkEnd w:id="253"/>
      <w:bookmarkEnd w:id="254"/>
      <w:bookmarkEnd w:id="255"/>
      <w:bookmarkEnd w:id="256"/>
    </w:p>
    <w:p>
      <w:pPr>
        <w:jc w:val="center"/>
        <w:outlineLvl w:val="9"/>
        <w:rPr>
          <w:rFonts w:hint="eastAsia" w:ascii="仿宋" w:hAnsi="仿宋" w:eastAsia="仿宋" w:cs="仿宋"/>
          <w:sz w:val="24"/>
          <w:szCs w:val="24"/>
        </w:rPr>
      </w:pPr>
      <w:bookmarkStart w:id="257" w:name="_Toc179632824"/>
      <w:bookmarkStart w:id="258" w:name="_Toc152045804"/>
      <w:bookmarkStart w:id="259" w:name="_Toc13266"/>
      <w:bookmarkStart w:id="260" w:name="_Toc471"/>
      <w:bookmarkStart w:id="261" w:name="_Toc31712"/>
      <w:bookmarkStart w:id="262" w:name="_Toc9651"/>
      <w:bookmarkStart w:id="263" w:name="_Toc28283"/>
      <w:bookmarkStart w:id="264" w:name="_Toc246997113"/>
      <w:bookmarkStart w:id="265" w:name="_Toc144974872"/>
      <w:bookmarkStart w:id="266" w:name="_Toc10712"/>
      <w:bookmarkStart w:id="267" w:name="_Toc2909"/>
      <w:bookmarkStart w:id="268" w:name="_Toc246996370"/>
      <w:bookmarkStart w:id="269" w:name="_Toc247085888"/>
      <w:bookmarkStart w:id="270" w:name="_Toc152042593"/>
      <w:r>
        <w:rPr>
          <w:rFonts w:hint="eastAsia" w:ascii="仿宋" w:hAnsi="仿宋" w:eastAsia="仿宋" w:cs="仿宋"/>
          <w:sz w:val="24"/>
          <w:szCs w:val="24"/>
        </w:rPr>
        <w:t>（一）项目管理机构组成表</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440" w:lineRule="exact"/>
        <w:jc w:val="center"/>
        <w:rPr>
          <w:rFonts w:hint="eastAsia" w:ascii="仿宋" w:hAnsi="仿宋" w:eastAsia="仿宋" w:cs="仿宋"/>
          <w:sz w:val="24"/>
          <w:szCs w:val="24"/>
        </w:rPr>
      </w:pP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21"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719"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763" w:type="dxa"/>
            <w:gridSpan w:val="5"/>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672"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 w:hAnsi="仿宋" w:eastAsia="仿宋" w:cs="仿宋"/>
                <w:sz w:val="24"/>
                <w:szCs w:val="24"/>
              </w:rPr>
            </w:pPr>
          </w:p>
        </w:tc>
        <w:tc>
          <w:tcPr>
            <w:tcW w:w="721" w:type="dxa"/>
            <w:vMerge w:val="continue"/>
            <w:vAlign w:val="center"/>
          </w:tcPr>
          <w:p>
            <w:pPr>
              <w:spacing w:line="440" w:lineRule="exact"/>
              <w:jc w:val="center"/>
              <w:rPr>
                <w:rFonts w:hint="eastAsia" w:ascii="仿宋" w:hAnsi="仿宋" w:eastAsia="仿宋" w:cs="仿宋"/>
                <w:sz w:val="24"/>
                <w:szCs w:val="24"/>
              </w:rPr>
            </w:pPr>
          </w:p>
        </w:tc>
        <w:tc>
          <w:tcPr>
            <w:tcW w:w="719" w:type="dxa"/>
            <w:vMerge w:val="continue"/>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72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2523"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社保</w:t>
            </w: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2523" w:type="dxa"/>
            <w:vAlign w:val="center"/>
          </w:tcPr>
          <w:p>
            <w:pPr>
              <w:spacing w:line="440" w:lineRule="exact"/>
              <w:jc w:val="center"/>
              <w:rPr>
                <w:rFonts w:hint="eastAsia" w:ascii="仿宋" w:hAnsi="仿宋" w:eastAsia="仿宋" w:cs="仿宋"/>
                <w:sz w:val="24"/>
                <w:szCs w:val="24"/>
              </w:rPr>
            </w:pP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p>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271" w:name="_Toc11976"/>
      <w:bookmarkStart w:id="272" w:name="_Toc152042594"/>
      <w:bookmarkStart w:id="273" w:name="_Toc25883"/>
      <w:bookmarkStart w:id="274" w:name="_Toc26724"/>
      <w:bookmarkStart w:id="275" w:name="_Toc247085889"/>
      <w:bookmarkStart w:id="276" w:name="_Toc246997114"/>
      <w:bookmarkStart w:id="277" w:name="_Toc179632825"/>
      <w:bookmarkStart w:id="278" w:name="_Toc27260"/>
      <w:bookmarkStart w:id="279" w:name="_Toc246996371"/>
      <w:bookmarkStart w:id="280" w:name="_Toc25807"/>
      <w:bookmarkStart w:id="281" w:name="_Toc12165"/>
      <w:bookmarkStart w:id="282" w:name="_Toc144974873"/>
      <w:bookmarkStart w:id="283" w:name="_Toc10443"/>
      <w:bookmarkStart w:id="284" w:name="_Toc152045805"/>
      <w:r>
        <w:rPr>
          <w:rFonts w:hint="eastAsia" w:ascii="仿宋" w:hAnsi="仿宋" w:eastAsia="仿宋" w:cs="仿宋"/>
          <w:sz w:val="24"/>
          <w:szCs w:val="24"/>
        </w:rPr>
        <w:t>（二）项目经理简历表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应附注册建造师执业资格证书、身份证、职称证、学历证、</w:t>
      </w:r>
      <w:r>
        <w:rPr>
          <w:rFonts w:hint="eastAsia" w:ascii="仿宋" w:hAnsi="仿宋" w:eastAsia="仿宋" w:cs="仿宋"/>
          <w:sz w:val="24"/>
          <w:szCs w:val="24"/>
          <w:lang w:eastAsia="zh-CN"/>
        </w:rPr>
        <w:t>社保</w:t>
      </w:r>
      <w:r>
        <w:rPr>
          <w:rFonts w:hint="eastAsia" w:ascii="仿宋" w:hAnsi="仿宋" w:eastAsia="仿宋" w:cs="仿宋"/>
          <w:sz w:val="24"/>
          <w:szCs w:val="24"/>
        </w:rPr>
        <w:t>复印件，管理过的项目业绩</w:t>
      </w:r>
      <w:r>
        <w:rPr>
          <w:rFonts w:hint="eastAsia" w:ascii="仿宋" w:hAnsi="仿宋" w:eastAsia="仿宋" w:cs="仿宋"/>
          <w:sz w:val="24"/>
          <w:szCs w:val="24"/>
          <w:lang w:val="en-US" w:eastAsia="zh-CN"/>
        </w:rPr>
        <w:t>（若有时）</w:t>
      </w:r>
      <w:r>
        <w:rPr>
          <w:rFonts w:hint="eastAsia" w:ascii="仿宋" w:hAnsi="仿宋" w:eastAsia="仿宋" w:cs="仿宋"/>
          <w:sz w:val="24"/>
          <w:szCs w:val="24"/>
        </w:rPr>
        <w:t>须附合同协议书复印件。</w:t>
      </w:r>
    </w:p>
    <w:p>
      <w:pPr>
        <w:topLinePunct/>
        <w:spacing w:line="440" w:lineRule="exact"/>
        <w:jc w:val="center"/>
        <w:rPr>
          <w:rFonts w:hint="eastAsia" w:ascii="仿宋" w:hAnsi="仿宋" w:eastAsia="仿宋" w:cs="仿宋"/>
          <w:sz w:val="24"/>
          <w:szCs w:val="24"/>
        </w:rPr>
      </w:pP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拟在本合同任职</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毕业学校</w:t>
            </w:r>
          </w:p>
        </w:tc>
        <w:tc>
          <w:tcPr>
            <w:tcW w:w="7336" w:type="dxa"/>
            <w:gridSpan w:val="8"/>
          </w:tcPr>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9"/>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时  间</w:t>
            </w:r>
          </w:p>
        </w:tc>
        <w:tc>
          <w:tcPr>
            <w:tcW w:w="3420" w:type="dxa"/>
            <w:gridSpan w:val="4"/>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261"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担任职务</w:t>
            </w:r>
          </w:p>
        </w:tc>
        <w:tc>
          <w:tcPr>
            <w:tcW w:w="2296"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85" w:name="_Toc246997115"/>
      <w:bookmarkStart w:id="286" w:name="_Toc3069"/>
      <w:bookmarkStart w:id="287" w:name="_Toc3489"/>
      <w:bookmarkStart w:id="288" w:name="_Toc3507"/>
      <w:bookmarkStart w:id="289" w:name="_Toc27490"/>
      <w:bookmarkStart w:id="290" w:name="_Toc179632827"/>
      <w:bookmarkStart w:id="291" w:name="_Toc152042596"/>
      <w:bookmarkStart w:id="292" w:name="_Toc246996372"/>
      <w:bookmarkStart w:id="293" w:name="_Toc247085890"/>
      <w:bookmarkStart w:id="294" w:name="_Toc39861336"/>
      <w:bookmarkStart w:id="295" w:name="_Toc144974875"/>
      <w:bookmarkStart w:id="296" w:name="_Toc152045807"/>
      <w:bookmarkStart w:id="297" w:name="_Toc10334"/>
      <w:r>
        <w:rPr>
          <w:rFonts w:hint="eastAsia" w:ascii="仿宋" w:hAnsi="仿宋" w:eastAsia="仿宋" w:cs="仿宋"/>
          <w:b/>
          <w:bCs/>
          <w:kern w:val="2"/>
          <w:sz w:val="24"/>
          <w:szCs w:val="24"/>
          <w:lang w:val="en-US" w:eastAsia="zh-CN" w:bidi="ar-SA"/>
        </w:rPr>
        <w:t>六、资格审查资料</w:t>
      </w:r>
      <w:bookmarkEnd w:id="285"/>
      <w:bookmarkEnd w:id="286"/>
      <w:bookmarkEnd w:id="287"/>
      <w:bookmarkEnd w:id="288"/>
      <w:bookmarkEnd w:id="289"/>
      <w:bookmarkEnd w:id="290"/>
      <w:bookmarkEnd w:id="291"/>
      <w:bookmarkEnd w:id="292"/>
      <w:bookmarkEnd w:id="293"/>
      <w:bookmarkEnd w:id="294"/>
      <w:bookmarkEnd w:id="295"/>
      <w:bookmarkEnd w:id="296"/>
      <w:bookmarkEnd w:id="297"/>
    </w:p>
    <w:p>
      <w:pPr>
        <w:pStyle w:val="2"/>
        <w:ind w:firstLine="482" w:firstLineChars="20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有效的营业执照及建筑工程施工总承包三级及以上资质,具备施工企业安全生产许可证件(原件或复印件加盖公章）；工程项目负责人具备建筑工程二级及以上执业资格，具备有效的安全生产考核合格证书，(原件或复印件加盖公章）；</w:t>
      </w:r>
    </w:p>
    <w:p>
      <w:pPr>
        <w:pStyle w:val="2"/>
        <w:rPr>
          <w:rFonts w:hint="eastAsia" w:ascii="仿宋" w:hAnsi="仿宋" w:eastAsia="仿宋" w:cs="仿宋"/>
          <w:sz w:val="24"/>
          <w:szCs w:val="24"/>
          <w:lang w:val="en-US" w:eastAsia="zh-CN"/>
        </w:rPr>
      </w:pP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2-1</w:t>
      </w:r>
      <w:r>
        <w:rPr>
          <w:rFonts w:hint="eastAsia" w:ascii="仿宋" w:hAnsi="仿宋" w:eastAsia="仿宋" w:cs="仿宋"/>
          <w:b/>
          <w:sz w:val="24"/>
          <w:szCs w:val="24"/>
        </w:rPr>
        <w:t>法定代表人身份证明书</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企业类型：</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营业期限：</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系 </w:t>
      </w:r>
      <w:r>
        <w:rPr>
          <w:rFonts w:hint="eastAsia" w:ascii="仿宋" w:hAnsi="仿宋" w:eastAsia="仿宋" w:cs="仿宋"/>
          <w:sz w:val="24"/>
          <w:szCs w:val="24"/>
          <w:u w:val="single"/>
        </w:rPr>
        <w:t xml:space="preserve">         （响应单位名称）               </w:t>
      </w:r>
      <w:r>
        <w:rPr>
          <w:rFonts w:hint="eastAsia" w:ascii="仿宋" w:hAnsi="仿宋" w:eastAsia="仿宋" w:cs="仿宋"/>
          <w:sz w:val="24"/>
          <w:szCs w:val="24"/>
        </w:rPr>
        <w:t>的法定代表人。</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firstLine="6600" w:firstLineChars="2750"/>
        <w:rPr>
          <w:rFonts w:hint="eastAsia" w:ascii="仿宋" w:hAnsi="仿宋" w:eastAsia="仿宋" w:cs="仿宋"/>
          <w:sz w:val="24"/>
          <w:szCs w:val="24"/>
        </w:rPr>
      </w:pPr>
      <w:r>
        <w:rPr>
          <w:rFonts w:hint="eastAsia" w:ascii="仿宋" w:hAnsi="仿宋" w:eastAsia="仿宋" w:cs="仿宋"/>
          <w:sz w:val="24"/>
          <w:szCs w:val="24"/>
        </w:rPr>
        <w:t>供应商：（盖章）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备注：附法定代表人身份证复印件</w:t>
      </w: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rPr>
          <w:rFonts w:hint="eastAsia" w:ascii="仿宋" w:hAnsi="仿宋" w:eastAsia="仿宋" w:cs="仿宋"/>
          <w:sz w:val="24"/>
          <w:szCs w:val="24"/>
        </w:rPr>
      </w:pPr>
    </w:p>
    <w:p>
      <w:pPr>
        <w:pStyle w:val="16"/>
        <w:rPr>
          <w:rFonts w:hint="eastAsia" w:ascii="仿宋" w:hAnsi="仿宋" w:eastAsia="仿宋" w:cs="仿宋"/>
          <w:b/>
          <w:sz w:val="24"/>
          <w:szCs w:val="24"/>
        </w:rPr>
      </w:pPr>
    </w:p>
    <w:p>
      <w:pPr>
        <w:pStyle w:val="16"/>
        <w:ind w:firstLine="482"/>
        <w:jc w:val="center"/>
        <w:rPr>
          <w:rFonts w:hint="eastAsia" w:ascii="仿宋" w:hAnsi="仿宋" w:eastAsia="仿宋" w:cs="仿宋"/>
          <w:b/>
          <w:sz w:val="24"/>
          <w:szCs w:val="24"/>
        </w:rPr>
      </w:pPr>
      <w:r>
        <w:rPr>
          <w:rFonts w:hint="eastAsia" w:ascii="仿宋" w:hAnsi="仿宋" w:eastAsia="仿宋" w:cs="仿宋"/>
          <w:b/>
          <w:sz w:val="24"/>
          <w:szCs w:val="24"/>
          <w:lang w:val="en-US" w:eastAsia="zh-CN"/>
        </w:rPr>
        <w:t>2-2</w:t>
      </w:r>
      <w:r>
        <w:rPr>
          <w:rFonts w:hint="eastAsia" w:ascii="仿宋" w:hAnsi="仿宋" w:eastAsia="仿宋" w:cs="仿宋"/>
          <w:b/>
          <w:sz w:val="24"/>
          <w:szCs w:val="24"/>
        </w:rPr>
        <w:t>法定代表人授权书格式</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委托代理人签字：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公        章：</w:t>
      </w:r>
    </w:p>
    <w:tbl>
      <w:tblPr>
        <w:tblStyle w:val="36"/>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8" w:hRule="atLeast"/>
        </w:trPr>
        <w:tc>
          <w:tcPr>
            <w:tcW w:w="434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法定代表人身份证正反面复印件</w:t>
            </w:r>
          </w:p>
        </w:tc>
        <w:tc>
          <w:tcPr>
            <w:tcW w:w="408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委托代理人身份证正反面复印件</w:t>
            </w:r>
          </w:p>
        </w:tc>
      </w:tr>
    </w:tbl>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480"/>
        <w:rPr>
          <w:rFonts w:hint="eastAsia" w:ascii="仿宋" w:hAnsi="仿宋" w:eastAsia="仿宋" w:cs="仿宋"/>
          <w:bCs/>
          <w:sz w:val="24"/>
          <w:szCs w:val="24"/>
        </w:rPr>
      </w:pPr>
    </w:p>
    <w:p>
      <w:pPr>
        <w:spacing w:line="360" w:lineRule="auto"/>
        <w:ind w:firstLine="480"/>
        <w:jc w:val="center"/>
        <w:rPr>
          <w:rFonts w:hint="eastAsia" w:ascii="仿宋" w:hAnsi="仿宋" w:eastAsia="仿宋" w:cs="仿宋"/>
          <w:bCs/>
          <w:sz w:val="24"/>
          <w:szCs w:val="24"/>
        </w:rPr>
      </w:pPr>
      <w:r>
        <w:rPr>
          <w:rFonts w:hint="eastAsia" w:ascii="仿宋" w:hAnsi="仿宋" w:eastAsia="仿宋" w:cs="仿宋"/>
          <w:bCs/>
          <w:sz w:val="24"/>
          <w:szCs w:val="24"/>
        </w:rPr>
        <w:t xml:space="preserve">                             授权日期：</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年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月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日</w:t>
      </w:r>
    </w:p>
    <w:p>
      <w:pPr>
        <w:pStyle w:val="22"/>
        <w:rPr>
          <w:rFonts w:hint="eastAsia" w:ascii="仿宋" w:hAnsi="仿宋" w:eastAsia="仿宋" w:cs="仿宋"/>
          <w:bCs/>
          <w:sz w:val="24"/>
          <w:szCs w:val="24"/>
        </w:rPr>
      </w:pPr>
    </w:p>
    <w:p>
      <w:pPr>
        <w:pStyle w:val="22"/>
        <w:rPr>
          <w:rFonts w:hint="eastAsia" w:ascii="仿宋" w:hAnsi="仿宋" w:eastAsia="仿宋" w:cs="仿宋"/>
          <w:bCs/>
          <w:sz w:val="24"/>
          <w:szCs w:val="24"/>
        </w:rPr>
      </w:pPr>
    </w:p>
    <w:p>
      <w:pPr>
        <w:pStyle w:val="22"/>
        <w:rPr>
          <w:rFonts w:hint="eastAsia" w:ascii="仿宋" w:hAnsi="仿宋" w:eastAsia="仿宋" w:cs="仿宋"/>
          <w:bCs/>
          <w:sz w:val="24"/>
          <w:szCs w:val="24"/>
        </w:rPr>
      </w:pPr>
    </w:p>
    <w:p>
      <w:pPr>
        <w:pStyle w:val="22"/>
        <w:rPr>
          <w:rFonts w:hint="eastAsia" w:ascii="仿宋" w:hAnsi="仿宋" w:eastAsia="仿宋" w:cs="仿宋"/>
          <w:bCs/>
          <w:sz w:val="24"/>
          <w:szCs w:val="24"/>
        </w:rPr>
      </w:pPr>
    </w:p>
    <w:p>
      <w:pPr>
        <w:pStyle w:val="22"/>
        <w:rPr>
          <w:rFonts w:hint="eastAsia" w:ascii="仿宋" w:hAnsi="仿宋" w:eastAsia="仿宋" w:cs="仿宋"/>
          <w:bCs/>
          <w:color w:val="FF0000"/>
          <w:sz w:val="24"/>
          <w:szCs w:val="24"/>
        </w:rPr>
      </w:pPr>
    </w:p>
    <w:p>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注：1、法定代表人本人作为公司代理人前来参加竞争性磋商的供应商，可不提供此项证明文件。</w:t>
      </w:r>
    </w:p>
    <w:p>
      <w:pPr>
        <w:spacing w:line="360" w:lineRule="auto"/>
        <w:ind w:firstLine="482"/>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2、授权书上须附有法定代表人和委托代理人的居民身份证复印件，否则视为无效。</w:t>
      </w:r>
      <w:r>
        <w:rPr>
          <w:rFonts w:hint="eastAsia" w:ascii="仿宋" w:hAnsi="仿宋" w:eastAsia="仿宋" w:cs="仿宋"/>
          <w:b/>
          <w:color w:val="000000" w:themeColor="text1"/>
          <w:sz w:val="24"/>
          <w:szCs w:val="24"/>
          <w14:textFill>
            <w14:solidFill>
              <w14:schemeClr w14:val="tx1"/>
            </w14:solidFill>
          </w14:textFill>
        </w:rPr>
        <w:br w:type="page"/>
      </w:r>
      <w:r>
        <w:rPr>
          <w:rFonts w:hint="eastAsia" w:ascii="仿宋" w:hAnsi="仿宋" w:eastAsia="仿宋" w:cs="仿宋"/>
          <w:b/>
          <w:color w:val="000000" w:themeColor="text1"/>
          <w:sz w:val="24"/>
          <w:szCs w:val="24"/>
          <w14:textFill>
            <w14:solidFill>
              <w14:schemeClr w14:val="tx1"/>
            </w14:solidFill>
          </w14:textFill>
        </w:rPr>
        <w:t>（3）供应商须提供</w:t>
      </w:r>
      <w:r>
        <w:rPr>
          <w:rFonts w:hint="eastAsia" w:ascii="仿宋" w:hAnsi="仿宋" w:eastAsia="仿宋" w:cs="仿宋"/>
          <w:b/>
          <w:color w:val="000000" w:themeColor="text1"/>
          <w:sz w:val="24"/>
          <w:szCs w:val="24"/>
          <w:lang w:val="en-US" w:eastAsia="zh-CN"/>
          <w14:textFill>
            <w14:solidFill>
              <w14:schemeClr w14:val="tx1"/>
            </w14:solidFill>
          </w14:textFill>
        </w:rPr>
        <w:t>2022年或2023</w:t>
      </w:r>
      <w:r>
        <w:rPr>
          <w:rFonts w:hint="eastAsia" w:ascii="仿宋" w:hAnsi="仿宋" w:eastAsia="仿宋" w:cs="仿宋"/>
          <w:b/>
          <w:color w:val="000000" w:themeColor="text1"/>
          <w:sz w:val="24"/>
          <w:szCs w:val="24"/>
          <w14:textFill>
            <w14:solidFill>
              <w14:schemeClr w14:val="tx1"/>
            </w14:solidFill>
          </w14:textFill>
        </w:rPr>
        <w:t>年度完整的财务审计报告复印件，并加盖供应商公章。如供应商无法提供审计报告，则须提供银行出具的资信证明。</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1）供应商须提供银行出具的资信证明原件（成立一年内的公司可提交验资证明复印件并加盖供应商公章）；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2）银行资信证明应能说明该供应商与银行之间业务往来正常，企业信誉良好等；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3）银行出具的存款证明不能替代银行资信证明，存款证明无效。</w:t>
      </w: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rPr>
          <w:rFonts w:hint="eastAsia" w:ascii="仿宋" w:hAnsi="仿宋" w:eastAsia="仿宋" w:cs="仿宋"/>
          <w:b/>
          <w:sz w:val="24"/>
          <w:szCs w:val="24"/>
        </w:rPr>
      </w:pPr>
      <w:r>
        <w:rPr>
          <w:rFonts w:hint="eastAsia" w:ascii="仿宋" w:hAnsi="仿宋" w:eastAsia="仿宋" w:cs="仿宋"/>
          <w:b/>
          <w:sz w:val="24"/>
          <w:szCs w:val="24"/>
        </w:rPr>
        <w:t>（4）具备履行合同所必需的设备和专业技术能力证明材料（格式自拟）</w:t>
      </w: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（5）有依法缴纳税收和社会保障资金的良好记录</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注：依法不需要缴纳社会保障资金的供应商，须提供相应文件证明其依法不需要缴纳社会保障资金。</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依法纳税（法人单位必须为增值税或企业所得税）证明（银行缴费凭证或税务机关开具的证明）复印件（加盖供应商公章）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注：依法免税或零报税的供应商，须提供相应文件证明其依法免税证明文件或纳税申报表复印件。</w:t>
      </w:r>
    </w:p>
    <w:p>
      <w:pPr>
        <w:pStyle w:val="86"/>
        <w:ind w:left="420"/>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（6）供应商声明函</w:t>
      </w:r>
    </w:p>
    <w:p>
      <w:pPr>
        <w:pStyle w:val="86"/>
        <w:ind w:firstLine="482"/>
        <w:rPr>
          <w:rFonts w:hint="eastAsia" w:ascii="仿宋" w:hAnsi="仿宋" w:eastAsia="仿宋" w:cs="仿宋"/>
          <w:b/>
          <w:bCs/>
          <w:sz w:val="24"/>
          <w:szCs w:val="24"/>
        </w:rPr>
      </w:pPr>
      <w:r>
        <w:rPr>
          <w:rFonts w:hint="eastAsia" w:ascii="仿宋" w:hAnsi="仿宋" w:eastAsia="仿宋" w:cs="仿宋"/>
          <w:b/>
          <w:bCs/>
          <w:sz w:val="24"/>
          <w:szCs w:val="24"/>
          <w:u w:val="single"/>
        </w:rPr>
        <w:t xml:space="preserve">（采购人名称） </w:t>
      </w:r>
      <w:r>
        <w:rPr>
          <w:rFonts w:hint="eastAsia" w:ascii="仿宋" w:hAnsi="仿宋" w:eastAsia="仿宋" w:cs="仿宋"/>
          <w:b/>
          <w:bCs/>
          <w:sz w:val="24"/>
          <w:szCs w:val="24"/>
        </w:rPr>
        <w:t xml:space="preserve"> ：</w:t>
      </w:r>
    </w:p>
    <w:p>
      <w:pPr>
        <w:pStyle w:val="86"/>
        <w:ind w:firstLine="480"/>
        <w:rPr>
          <w:rFonts w:hint="eastAsia" w:ascii="仿宋" w:hAnsi="仿宋" w:eastAsia="仿宋" w:cs="仿宋"/>
          <w:bCs/>
          <w:sz w:val="24"/>
          <w:szCs w:val="24"/>
        </w:rPr>
      </w:pPr>
      <w:r>
        <w:rPr>
          <w:rFonts w:hint="eastAsia" w:ascii="仿宋" w:hAnsi="仿宋" w:eastAsia="仿宋" w:cs="仿宋"/>
          <w:bCs/>
          <w:sz w:val="24"/>
          <w:szCs w:val="24"/>
        </w:rPr>
        <w:t>在参加本次项目磋商中，我单位承诺：</w:t>
      </w:r>
    </w:p>
    <w:p>
      <w:pPr>
        <w:numPr>
          <w:ilvl w:val="0"/>
          <w:numId w:val="9"/>
        </w:num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2、与我单位存在“单位负责人为同一人或者存在直接控股、管理关系”的其他法人单位信息如下（如有须填写，如没有须填“/”）：</w:t>
      </w:r>
    </w:p>
    <w:tbl>
      <w:tblPr>
        <w:tblStyle w:val="3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序号</w:t>
            </w:r>
          </w:p>
        </w:tc>
        <w:tc>
          <w:tcPr>
            <w:tcW w:w="5386"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单位名称</w:t>
            </w:r>
          </w:p>
        </w:tc>
        <w:tc>
          <w:tcPr>
            <w:tcW w:w="3402"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bl>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3、我单位不是为采购项目提供整体设计、规范编制或者项目管理、监理、检测等服务的投标人。</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供应商：（加盖公章）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供应商授权代表人(签字)：          </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日    期：   年 月 日  </w:t>
      </w:r>
    </w:p>
    <w:p>
      <w:pPr>
        <w:pStyle w:val="13"/>
        <w:rPr>
          <w:rFonts w:hint="eastAsia" w:ascii="仿宋" w:hAnsi="仿宋" w:eastAsia="仿宋" w:cs="仿宋"/>
          <w:sz w:val="24"/>
          <w:szCs w:val="24"/>
        </w:rPr>
      </w:pPr>
    </w:p>
    <w:p>
      <w:pPr>
        <w:rPr>
          <w:rFonts w:hint="eastAsia" w:ascii="仿宋" w:hAnsi="仿宋" w:eastAsia="仿宋" w:cs="仿宋"/>
          <w:sz w:val="24"/>
          <w:szCs w:val="24"/>
        </w:rPr>
      </w:pPr>
    </w:p>
    <w:p>
      <w:pPr>
        <w:numPr>
          <w:ilvl w:val="0"/>
          <w:numId w:val="10"/>
        </w:numPr>
        <w:spacing w:line="360" w:lineRule="auto"/>
        <w:rPr>
          <w:rFonts w:hint="eastAsia" w:ascii="仿宋" w:hAnsi="仿宋" w:eastAsia="仿宋" w:cs="仿宋"/>
          <w:sz w:val="24"/>
          <w:szCs w:val="24"/>
        </w:rPr>
      </w:pPr>
      <w:r>
        <w:rPr>
          <w:rFonts w:hint="eastAsia" w:ascii="仿宋" w:hAnsi="仿宋" w:eastAsia="仿宋" w:cs="仿宋"/>
          <w:b/>
          <w:bCs/>
          <w:spacing w:val="-2"/>
          <w:sz w:val="24"/>
          <w:szCs w:val="24"/>
        </w:rPr>
        <w:t xml:space="preserve">信用信息查询    </w:t>
      </w:r>
      <w:r>
        <w:rPr>
          <w:rFonts w:hint="eastAsia" w:ascii="仿宋" w:hAnsi="仿宋" w:eastAsia="仿宋" w:cs="仿宋"/>
          <w:spacing w:val="-2"/>
          <w:sz w:val="24"/>
          <w:szCs w:val="24"/>
        </w:rPr>
        <w:t>供应商不得为“信用中国网站（www.creditchina.gov.cn）中列入失信被执行人和</w:t>
      </w:r>
      <w:r>
        <w:rPr>
          <w:rFonts w:hint="eastAsia" w:ascii="仿宋" w:hAnsi="仿宋" w:eastAsia="仿宋" w:cs="仿宋"/>
          <w:spacing w:val="-2"/>
          <w:sz w:val="24"/>
          <w:szCs w:val="24"/>
          <w:lang w:eastAsia="zh-CN"/>
        </w:rPr>
        <w:t>税收违法黑名单</w:t>
      </w:r>
      <w:r>
        <w:rPr>
          <w:rFonts w:hint="eastAsia" w:ascii="仿宋" w:hAnsi="仿宋" w:eastAsia="仿宋" w:cs="仿宋"/>
          <w:spacing w:val="-2"/>
          <w:sz w:val="24"/>
          <w:szCs w:val="24"/>
        </w:rPr>
        <w:t>的供应商，不得为中国政府采购网（www.ccgp.gov.cn）政府采购严重违法失信行为记录名单中被财政部门禁止参加政府采购活动的供应商（以代理机构查询结果为准）</w:t>
      </w:r>
    </w:p>
    <w:p>
      <w:pPr>
        <w:pStyle w:val="2"/>
        <w:rPr>
          <w:rFonts w:hint="eastAsia" w:ascii="仿宋" w:hAnsi="仿宋" w:eastAsia="仿宋" w:cs="仿宋"/>
          <w:spacing w:val="-2"/>
          <w:sz w:val="24"/>
          <w:szCs w:val="24"/>
        </w:rPr>
      </w:pPr>
    </w:p>
    <w:p>
      <w:pPr>
        <w:pStyle w:val="44"/>
        <w:rPr>
          <w:rFonts w:hint="eastAsia" w:ascii="仿宋" w:hAnsi="仿宋" w:eastAsia="仿宋" w:cs="仿宋"/>
          <w:spacing w:val="-2"/>
          <w:sz w:val="24"/>
          <w:szCs w:val="24"/>
        </w:rPr>
      </w:pPr>
    </w:p>
    <w:p>
      <w:pPr>
        <w:numPr>
          <w:ilvl w:val="0"/>
          <w:numId w:val="10"/>
        </w:numPr>
        <w:ind w:left="0" w:leftChars="0" w:firstLine="0" w:firstLineChars="0"/>
        <w:rPr>
          <w:rFonts w:hint="eastAsia" w:ascii="仿宋" w:hAnsi="仿宋" w:eastAsia="仿宋" w:cs="仿宋"/>
          <w:sz w:val="24"/>
          <w:szCs w:val="24"/>
        </w:rPr>
      </w:pPr>
      <w:r>
        <w:rPr>
          <w:rFonts w:hint="eastAsia" w:ascii="仿宋" w:hAnsi="仿宋" w:eastAsia="仿宋" w:cs="仿宋"/>
          <w:spacing w:val="-2"/>
          <w:sz w:val="24"/>
          <w:szCs w:val="24"/>
          <w:lang w:eastAsia="zh-CN"/>
        </w:rPr>
        <w:t>落实政策</w:t>
      </w:r>
      <w:r>
        <w:rPr>
          <w:rFonts w:hint="eastAsia" w:ascii="仿宋" w:hAnsi="仿宋" w:eastAsia="仿宋" w:cs="仿宋"/>
          <w:spacing w:val="-2"/>
          <w:sz w:val="24"/>
          <w:szCs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168" w:firstLineChars="900"/>
        <w:jc w:val="both"/>
        <w:rPr>
          <w:rFonts w:hint="eastAsia" w:ascii="仿宋" w:hAnsi="仿宋" w:eastAsia="仿宋" w:cs="仿宋"/>
          <w:b/>
          <w:sz w:val="24"/>
          <w:szCs w:val="24"/>
        </w:rPr>
      </w:pPr>
    </w:p>
    <w:p>
      <w:pPr>
        <w:numPr>
          <w:ilvl w:val="0"/>
          <w:numId w:val="0"/>
        </w:numPr>
        <w:spacing w:line="360" w:lineRule="auto"/>
        <w:ind w:firstLine="2650" w:firstLineChars="1100"/>
        <w:jc w:val="both"/>
        <w:rPr>
          <w:rFonts w:hint="eastAsia" w:ascii="仿宋" w:hAnsi="仿宋" w:eastAsia="仿宋" w:cs="仿宋"/>
          <w:b/>
          <w:sz w:val="24"/>
          <w:szCs w:val="24"/>
        </w:rPr>
      </w:pPr>
      <w:r>
        <w:rPr>
          <w:rFonts w:hint="eastAsia" w:ascii="仿宋" w:hAnsi="仿宋" w:eastAsia="仿宋" w:cs="仿宋"/>
          <w:b/>
          <w:sz w:val="24"/>
          <w:szCs w:val="24"/>
        </w:rPr>
        <w:t>中小企业声明函（一）</w:t>
      </w: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号）的规定，本公司参加（单位名称）的（项目名称）采购活动，</w:t>
      </w:r>
      <w:r>
        <w:rPr>
          <w:rFonts w:hint="eastAsia" w:ascii="仿宋" w:hAnsi="仿宋" w:eastAsia="仿宋" w:cs="仿宋"/>
          <w:sz w:val="24"/>
          <w:szCs w:val="24"/>
          <w:lang w:val="en-US" w:eastAsia="zh-CN"/>
        </w:rPr>
        <w:t>工程的施工单位全部为符合政策的中小企业</w:t>
      </w:r>
      <w:r>
        <w:rPr>
          <w:rFonts w:hint="eastAsia" w:ascii="仿宋" w:hAnsi="仿宋" w:eastAsia="仿宋" w:cs="仿宋"/>
          <w:sz w:val="24"/>
          <w:szCs w:val="24"/>
        </w:rPr>
        <w:t xml:space="preserve">。相关企业的具体情况如下：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 （标的名称） ，属于（采购文件中明确的所属行业） 行业；</w:t>
      </w:r>
      <w:r>
        <w:rPr>
          <w:rFonts w:hint="eastAsia" w:ascii="仿宋" w:hAnsi="仿宋" w:eastAsia="仿宋" w:cs="仿宋"/>
          <w:sz w:val="24"/>
          <w:szCs w:val="24"/>
          <w:lang w:val="en-US" w:eastAsia="zh-CN"/>
        </w:rPr>
        <w:t>承建商</w:t>
      </w:r>
      <w:r>
        <w:rPr>
          <w:rFonts w:hint="eastAsia" w:ascii="仿宋" w:hAnsi="仿宋" w:eastAsia="仿宋" w:cs="仿宋"/>
          <w:sz w:val="24"/>
          <w:szCs w:val="24"/>
        </w:rPr>
        <w:t>为（企业名称），从业人员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万元，属于（中型企业、小型企业、微型企业）；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 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本企业对上述声明内容的真实性负责。如有虚假，将依法承担相应责任。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企业名称（盖章）：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日 期：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注：不符合小微企业情形的投标人无须提供上述声明函件。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sz w:val="24"/>
          <w:szCs w:val="24"/>
        </w:rPr>
        <w:t>本公司对上述声明内容的真实性负责，如有虚假，将依法承担责任。</w:t>
      </w:r>
      <w:r>
        <w:rPr>
          <w:rFonts w:hint="eastAsia" w:ascii="仿宋" w:hAnsi="仿宋" w:eastAsia="仿宋" w:cs="仿宋"/>
          <w:bCs/>
          <w:sz w:val="24"/>
          <w:szCs w:val="24"/>
        </w:rPr>
        <w:t xml:space="preserve"> </w:t>
      </w:r>
    </w:p>
    <w:p>
      <w:pPr>
        <w:spacing w:line="360" w:lineRule="auto"/>
        <w:ind w:firstLine="2650" w:firstLineChars="1100"/>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监狱企业声明函（二）</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本公司郑重声明，根据《关于政府采购支持监狱企业发展有关问题的通知》（财库[2014]68号）的规定，本公司为监狱企业。</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本公司参加______单位的______项目采购活动，采购活动提供本企业（填写制造的货物，由本企业承担工程、提供服务）。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本条所称货物不包括使用大型企业注册商标的货物和服务。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本公司对上述声明的真实性负责。如有虚假，将依法承担相应责任。</w:t>
      </w:r>
      <w:r>
        <w:rPr>
          <w:rFonts w:hint="eastAsia" w:ascii="仿宋" w:hAnsi="仿宋" w:eastAsia="仿宋" w:cs="仿宋"/>
          <w:bCs/>
          <w:sz w:val="24"/>
          <w:szCs w:val="24"/>
        </w:rPr>
        <w:br w:type="textWrapping"/>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企业名称（盖公章）：</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法定代表人（负责人）或其授权代表(签字)：</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日期：</w:t>
      </w:r>
    </w:p>
    <w:p>
      <w:pPr>
        <w:spacing w:line="360" w:lineRule="auto"/>
        <w:ind w:firstLine="482"/>
        <w:jc w:val="center"/>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pStyle w:val="22"/>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2409" w:firstLineChars="1000"/>
        <w:jc w:val="both"/>
        <w:rPr>
          <w:rFonts w:hint="eastAsia" w:ascii="仿宋" w:hAnsi="仿宋" w:eastAsia="仿宋" w:cs="仿宋"/>
          <w:b/>
          <w:sz w:val="24"/>
          <w:szCs w:val="24"/>
        </w:rPr>
      </w:pPr>
      <w:r>
        <w:rPr>
          <w:rFonts w:hint="eastAsia" w:ascii="仿宋" w:hAnsi="仿宋" w:eastAsia="仿宋" w:cs="仿宋"/>
          <w:b/>
          <w:sz w:val="24"/>
          <w:szCs w:val="24"/>
        </w:rPr>
        <w:t>残疾人福利性单位声明函（三）</w:t>
      </w:r>
    </w:p>
    <w:p>
      <w:pPr>
        <w:pStyle w:val="32"/>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w:t>
      </w:r>
    </w:p>
    <w:p>
      <w:pPr>
        <w:pStyle w:val="32"/>
        <w:shd w:val="clear" w:color="auto" w:fill="FFFFFF"/>
        <w:spacing w:line="360" w:lineRule="auto"/>
        <w:ind w:firstLine="480"/>
        <w:rPr>
          <w:rFonts w:hint="eastAsia" w:ascii="仿宋" w:hAnsi="仿宋" w:eastAsia="仿宋" w:cs="仿宋"/>
          <w:sz w:val="24"/>
          <w:szCs w:val="24"/>
        </w:rPr>
      </w:pPr>
    </w:p>
    <w:p>
      <w:pPr>
        <w:pStyle w:val="32"/>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本单位参加</w:t>
      </w:r>
      <w:r>
        <w:rPr>
          <w:rFonts w:hint="eastAsia" w:ascii="仿宋" w:hAnsi="仿宋" w:eastAsia="仿宋" w:cs="仿宋"/>
          <w:sz w:val="24"/>
          <w:szCs w:val="24"/>
          <w:u w:val="single"/>
        </w:rPr>
        <w:t>（采购代理机构）</w:t>
      </w:r>
      <w:r>
        <w:rPr>
          <w:rFonts w:hint="eastAsia" w:ascii="仿宋" w:hAnsi="仿宋" w:eastAsia="仿宋" w:cs="仿宋"/>
          <w:sz w:val="24"/>
          <w:szCs w:val="24"/>
        </w:rPr>
        <w:t>的</w:t>
      </w:r>
      <w:r>
        <w:rPr>
          <w:rFonts w:hint="eastAsia" w:ascii="仿宋" w:hAnsi="仿宋" w:eastAsia="仿宋" w:cs="仿宋"/>
          <w:sz w:val="24"/>
          <w:szCs w:val="24"/>
          <w:u w:val="single"/>
        </w:rPr>
        <w:t>（项目名称和采购编号）</w:t>
      </w:r>
      <w:r>
        <w:rPr>
          <w:rFonts w:hint="eastAsia" w:ascii="仿宋" w:hAnsi="仿宋" w:eastAsia="仿宋" w:cs="仿宋"/>
          <w:sz w:val="24"/>
          <w:szCs w:val="24"/>
        </w:rPr>
        <w:t>采购活动，提供本单位的服务。</w:t>
      </w:r>
    </w:p>
    <w:p>
      <w:pPr>
        <w:pStyle w:val="32"/>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widowControl/>
        <w:tabs>
          <w:tab w:val="left" w:pos="6831"/>
        </w:tabs>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ab/>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投标人（盖章）：</w:t>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投标人授权代表（签字）：</w:t>
      </w:r>
    </w:p>
    <w:p>
      <w:pPr>
        <w:pStyle w:val="22"/>
        <w:spacing w:line="360" w:lineRule="auto"/>
        <w:ind w:firstLine="4920" w:firstLineChars="2050"/>
        <w:rPr>
          <w:rFonts w:hint="eastAsia" w:ascii="仿宋" w:hAnsi="仿宋" w:eastAsia="仿宋" w:cs="仿宋"/>
          <w:kern w:val="0"/>
          <w:sz w:val="24"/>
          <w:szCs w:val="24"/>
        </w:rPr>
      </w:pPr>
      <w:r>
        <w:rPr>
          <w:rFonts w:hint="eastAsia" w:ascii="仿宋" w:hAnsi="仿宋" w:eastAsia="仿宋" w:cs="仿宋"/>
          <w:kern w:val="0"/>
          <w:sz w:val="24"/>
          <w:szCs w:val="24"/>
        </w:rPr>
        <w:t>日　期：</w:t>
      </w:r>
    </w:p>
    <w:p>
      <w:pPr>
        <w:pStyle w:val="22"/>
        <w:spacing w:line="360" w:lineRule="auto"/>
        <w:ind w:firstLine="4920" w:firstLineChars="2050"/>
        <w:rPr>
          <w:rFonts w:hint="eastAsia" w:ascii="仿宋" w:hAnsi="仿宋" w:eastAsia="仿宋" w:cs="仿宋"/>
          <w:kern w:val="0"/>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注：不符合上述情形的投标人无须提供上述声明函件。</w:t>
      </w:r>
    </w:p>
    <w:p>
      <w:pPr>
        <w:pStyle w:val="2"/>
        <w:rPr>
          <w:rFonts w:hint="eastAsia" w:ascii="仿宋" w:hAnsi="仿宋" w:eastAsia="仿宋" w:cs="仿宋"/>
          <w:sz w:val="24"/>
          <w:szCs w:val="24"/>
        </w:rPr>
      </w:pPr>
    </w:p>
    <w:p>
      <w:pPr>
        <w:pStyle w:val="44"/>
        <w:rPr>
          <w:rFonts w:hint="eastAsia" w:ascii="仿宋" w:hAnsi="仿宋" w:eastAsia="仿宋" w:cs="仿宋"/>
          <w:sz w:val="24"/>
          <w:szCs w:val="24"/>
        </w:rPr>
      </w:pPr>
    </w:p>
    <w:p>
      <w:pPr>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86"/>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七、近三年</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（2021年1月</w:t>
      </w:r>
      <w:r>
        <w:rPr>
          <w:rFonts w:hint="eastAsia" w:ascii="仿宋" w:hAnsi="仿宋" w:eastAsia="仿宋" w:cs="仿宋"/>
          <w:b/>
          <w:bCs/>
          <w:color w:val="auto"/>
          <w:kern w:val="2"/>
          <w:sz w:val="24"/>
          <w:szCs w:val="24"/>
          <w:lang w:val="en-US" w:eastAsia="zh-CN" w:bidi="ar-SA"/>
        </w:rPr>
        <w:t>以后）项目业绩表</w:t>
      </w:r>
    </w:p>
    <w:p>
      <w:pPr>
        <w:pStyle w:val="86"/>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供应商名称（公章）：                    项目编号/标段号：                                      </w:t>
      </w:r>
    </w:p>
    <w:tbl>
      <w:tblPr>
        <w:tblStyle w:val="36"/>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bl>
    <w:p>
      <w:pPr>
        <w:pStyle w:val="44"/>
        <w:rPr>
          <w:rFonts w:hint="eastAsia" w:ascii="仿宋" w:hAnsi="仿宋" w:eastAsia="仿宋" w:cs="仿宋"/>
          <w:sz w:val="24"/>
          <w:szCs w:val="24"/>
        </w:rPr>
      </w:pPr>
      <w:r>
        <w:rPr>
          <w:rFonts w:hint="eastAsia" w:ascii="仿宋" w:hAnsi="仿宋" w:eastAsia="仿宋" w:cs="仿宋"/>
          <w:sz w:val="24"/>
          <w:szCs w:val="24"/>
        </w:rPr>
        <w:t xml:space="preserve">                                                   </w:t>
      </w:r>
    </w:p>
    <w:p>
      <w:pPr>
        <w:pStyle w:val="44"/>
        <w:rPr>
          <w:rFonts w:hint="eastAsia" w:ascii="仿宋" w:hAnsi="仿宋" w:eastAsia="仿宋" w:cs="仿宋"/>
          <w:sz w:val="24"/>
          <w:szCs w:val="24"/>
        </w:rPr>
      </w:pPr>
    </w:p>
    <w:p>
      <w:pPr>
        <w:pStyle w:val="44"/>
        <w:rPr>
          <w:rFonts w:hint="eastAsia" w:ascii="仿宋" w:hAnsi="仿宋" w:eastAsia="仿宋" w:cs="仿宋"/>
          <w:sz w:val="24"/>
          <w:szCs w:val="24"/>
        </w:rPr>
      </w:pPr>
    </w:p>
    <w:p>
      <w:pPr>
        <w:pStyle w:val="44"/>
        <w:rPr>
          <w:rFonts w:hint="eastAsia" w:ascii="仿宋" w:hAnsi="仿宋" w:eastAsia="仿宋" w:cs="仿宋"/>
          <w:sz w:val="24"/>
          <w:szCs w:val="24"/>
        </w:rPr>
      </w:pPr>
    </w:p>
    <w:p>
      <w:pPr>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22"/>
        <w:rPr>
          <w:rFonts w:hint="eastAsia" w:ascii="仿宋" w:hAnsi="仿宋" w:eastAsia="仿宋" w:cs="仿宋"/>
          <w:sz w:val="24"/>
          <w:szCs w:val="24"/>
        </w:rPr>
      </w:pPr>
    </w:p>
    <w:p>
      <w:pPr>
        <w:pStyle w:val="44"/>
        <w:rPr>
          <w:rFonts w:hint="eastAsia" w:ascii="仿宋" w:hAnsi="仿宋" w:eastAsia="仿宋" w:cs="仿宋"/>
          <w:sz w:val="24"/>
          <w:szCs w:val="24"/>
        </w:rPr>
      </w:pPr>
      <w:r>
        <w:rPr>
          <w:rFonts w:hint="eastAsia" w:ascii="仿宋" w:hAnsi="仿宋" w:eastAsia="仿宋" w:cs="仿宋"/>
          <w:sz w:val="24"/>
          <w:szCs w:val="24"/>
        </w:rPr>
        <w:t xml:space="preserve">                  </w:t>
      </w: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八、商务条款偏离表</w:t>
      </w:r>
    </w:p>
    <w:p>
      <w:pPr>
        <w:numPr>
          <w:ilvl w:val="0"/>
          <w:numId w:val="0"/>
        </w:numPr>
        <w:spacing w:line="360" w:lineRule="auto"/>
        <w:jc w:val="both"/>
        <w:rPr>
          <w:rFonts w:hint="eastAsia" w:ascii="仿宋" w:hAnsi="仿宋" w:eastAsia="仿宋" w:cs="仿宋"/>
          <w:sz w:val="24"/>
          <w:szCs w:val="24"/>
          <w:u w:val="single"/>
        </w:rPr>
      </w:pPr>
      <w:r>
        <w:rPr>
          <w:rFonts w:hint="eastAsia" w:ascii="仿宋" w:hAnsi="仿宋" w:eastAsia="仿宋" w:cs="仿宋"/>
          <w:sz w:val="24"/>
          <w:szCs w:val="24"/>
        </w:rPr>
        <w:t>供应商名称（公章）：                         项目编号/标段号：</w:t>
      </w:r>
    </w:p>
    <w:tbl>
      <w:tblPr>
        <w:tblStyle w:val="36"/>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15" w:type="dxa"/>
            <w:shd w:val="clear" w:color="auto" w:fill="FFFFFF"/>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采购文件条目号</w:t>
            </w:r>
          </w:p>
        </w:tc>
        <w:tc>
          <w:tcPr>
            <w:tcW w:w="2453"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采购文件的商务条款</w:t>
            </w:r>
          </w:p>
        </w:tc>
        <w:tc>
          <w:tcPr>
            <w:tcW w:w="1842"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响应文件的商务条款</w:t>
            </w:r>
          </w:p>
        </w:tc>
        <w:tc>
          <w:tcPr>
            <w:tcW w:w="1794"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794" w:type="dxa"/>
            <w:noWrap w:val="0"/>
            <w:vAlign w:val="center"/>
          </w:tcPr>
          <w:p>
            <w:pPr>
              <w:ind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bl>
    <w:p>
      <w:pPr>
        <w:spacing w:line="360" w:lineRule="auto"/>
        <w:ind w:firstLine="3600" w:firstLineChars="1500"/>
        <w:jc w:val="center"/>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3600" w:firstLineChars="15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供应商代表签字：</w:t>
      </w:r>
    </w:p>
    <w:p>
      <w:pPr>
        <w:pStyle w:val="16"/>
        <w:ind w:firstLine="480"/>
        <w:rPr>
          <w:rFonts w:hint="eastAsia" w:ascii="仿宋" w:hAnsi="仿宋" w:eastAsia="仿宋" w:cs="仿宋"/>
          <w:sz w:val="24"/>
          <w:szCs w:val="24"/>
        </w:rPr>
      </w:pPr>
      <w:r>
        <w:rPr>
          <w:rFonts w:hint="eastAsia" w:ascii="仿宋" w:hAnsi="仿宋" w:eastAsia="仿宋" w:cs="仿宋"/>
          <w:sz w:val="24"/>
          <w:szCs w:val="24"/>
        </w:rPr>
        <w:t xml:space="preserve">                                       日期：                  </w:t>
      </w:r>
    </w:p>
    <w:p>
      <w:pPr>
        <w:ind w:firstLine="420"/>
        <w:rPr>
          <w:rFonts w:hint="eastAsia" w:ascii="仿宋" w:hAnsi="仿宋" w:eastAsia="仿宋" w:cs="仿宋"/>
          <w:sz w:val="24"/>
          <w:szCs w:val="24"/>
        </w:rPr>
      </w:pPr>
    </w:p>
    <w:p>
      <w:pPr>
        <w:pStyle w:val="16"/>
        <w:rPr>
          <w:rFonts w:hint="eastAsia" w:ascii="仿宋" w:hAnsi="仿宋" w:eastAsia="仿宋" w:cs="仿宋"/>
          <w:sz w:val="24"/>
          <w:szCs w:val="24"/>
        </w:rPr>
      </w:pPr>
    </w:p>
    <w:p>
      <w:pPr>
        <w:rPr>
          <w:rFonts w:hint="eastAsia" w:ascii="仿宋" w:hAnsi="仿宋" w:eastAsia="仿宋" w:cs="仿宋"/>
          <w:sz w:val="24"/>
          <w:szCs w:val="24"/>
        </w:rPr>
      </w:pPr>
    </w:p>
    <w:p>
      <w:pPr>
        <w:pStyle w:val="1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ascii="仿宋" w:hAnsi="仿宋" w:eastAsia="仿宋" w:cs="仿宋"/>
          <w:sz w:val="24"/>
          <w:szCs w:val="24"/>
        </w:rPr>
      </w:pPr>
    </w:p>
    <w:p>
      <w:pPr>
        <w:rPr>
          <w:rFonts w:hint="eastAsia" w:ascii="仿宋" w:hAnsi="仿宋" w:eastAsia="仿宋" w:cs="仿宋"/>
          <w:sz w:val="24"/>
          <w:szCs w:val="24"/>
        </w:rPr>
      </w:pPr>
    </w:p>
    <w:p>
      <w:pPr>
        <w:pStyle w:val="6"/>
        <w:rPr>
          <w:rFonts w:hint="eastAsia"/>
        </w:rPr>
      </w:pPr>
    </w:p>
    <w:p>
      <w:pPr>
        <w:rPr>
          <w:rFonts w:hint="eastAsia" w:ascii="仿宋" w:hAnsi="仿宋" w:eastAsia="仿宋" w:cs="仿宋"/>
          <w:sz w:val="24"/>
          <w:szCs w:val="24"/>
        </w:rPr>
      </w:pPr>
    </w:p>
    <w:p>
      <w:pPr>
        <w:pStyle w:val="5"/>
        <w:ind w:firstLine="420"/>
        <w:rPr>
          <w:rFonts w:hint="eastAsia" w:ascii="仿宋" w:hAnsi="仿宋" w:eastAsia="仿宋" w:cs="仿宋"/>
          <w:sz w:val="24"/>
          <w:szCs w:val="24"/>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九、服务需求偏离表</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b/>
          <w:sz w:val="24"/>
          <w:szCs w:val="24"/>
          <w:u w:val="single"/>
        </w:rPr>
        <w:t xml:space="preserve">                        </w:t>
      </w:r>
    </w:p>
    <w:tbl>
      <w:tblPr>
        <w:tblStyle w:val="36"/>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 w:hAnsi="仿宋" w:eastAsia="仿宋" w:cs="仿宋"/>
                <w:sz w:val="24"/>
                <w:szCs w:val="24"/>
              </w:rPr>
            </w:pPr>
            <w:r>
              <w:rPr>
                <w:rFonts w:hint="eastAsia" w:ascii="仿宋" w:hAnsi="仿宋" w:eastAsia="仿宋" w:cs="仿宋"/>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竞争性磋商文</w:t>
            </w:r>
          </w:p>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竞争性磋商</w:t>
            </w:r>
          </w:p>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 w:hAnsi="仿宋" w:eastAsia="仿宋" w:cs="仿宋"/>
                <w:sz w:val="24"/>
                <w:szCs w:val="24"/>
              </w:rPr>
            </w:pPr>
            <w:r>
              <w:rPr>
                <w:rFonts w:hint="eastAsia" w:ascii="仿宋" w:hAnsi="仿宋" w:eastAsia="仿宋" w:cs="仿宋"/>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 w:hAnsi="仿宋" w:eastAsia="仿宋" w:cs="仿宋"/>
                <w:sz w:val="24"/>
                <w:szCs w:val="24"/>
              </w:rPr>
            </w:pPr>
            <w:r>
              <w:rPr>
                <w:rFonts w:hint="eastAsia" w:ascii="仿宋" w:hAnsi="仿宋" w:eastAsia="仿宋" w:cs="仿宋"/>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bl>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供应商授权代表签字： _____________</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注：</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1、对竞争性磋商文件有任何偏离应列明“正偏离”或“负偏离”。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2、对竞争性磋商文件无偏离应标明“无偏离。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3、此表格经法人授权代表签字方有效。</w:t>
      </w:r>
    </w:p>
    <w:p>
      <w:pPr>
        <w:pStyle w:val="2"/>
        <w:spacing w:line="360" w:lineRule="auto"/>
        <w:ind w:firstLine="1446" w:firstLineChars="600"/>
        <w:rPr>
          <w:rFonts w:hint="eastAsia" w:ascii="仿宋" w:hAnsi="仿宋" w:eastAsia="仿宋" w:cs="仿宋"/>
          <w:b/>
          <w:sz w:val="24"/>
          <w:szCs w:val="24"/>
        </w:rPr>
      </w:pPr>
    </w:p>
    <w:p>
      <w:pPr>
        <w:pStyle w:val="2"/>
        <w:spacing w:line="360" w:lineRule="auto"/>
        <w:rPr>
          <w:rFonts w:hint="eastAsia" w:ascii="仿宋" w:hAnsi="仿宋" w:eastAsia="仿宋" w:cs="仿宋"/>
          <w:b/>
          <w:sz w:val="24"/>
          <w:szCs w:val="24"/>
        </w:rPr>
      </w:pPr>
    </w:p>
    <w:p>
      <w:pPr>
        <w:spacing w:line="360" w:lineRule="auto"/>
        <w:ind w:firstLine="482"/>
        <w:jc w:val="center"/>
        <w:rPr>
          <w:rFonts w:hint="eastAsia" w:ascii="仿宋" w:hAnsi="仿宋" w:eastAsia="仿宋" w:cs="仿宋"/>
          <w:b/>
          <w:sz w:val="24"/>
          <w:szCs w:val="24"/>
        </w:rPr>
      </w:pPr>
    </w:p>
    <w:p>
      <w:pPr>
        <w:spacing w:line="360" w:lineRule="auto"/>
        <w:rPr>
          <w:rFonts w:hint="eastAsia" w:ascii="仿宋" w:hAnsi="仿宋" w:eastAsia="仿宋" w:cs="仿宋"/>
          <w:b/>
          <w:color w:val="000000"/>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十、供应商情况表</w:t>
      </w:r>
    </w:p>
    <w:tbl>
      <w:tblPr>
        <w:tblStyle w:val="36"/>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项目负责人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 w:hAnsi="仿宋" w:eastAsia="仿宋" w:cs="仿宋"/>
                <w:color w:val="000000"/>
                <w:kern w:val="0"/>
                <w:sz w:val="24"/>
                <w:szCs w:val="24"/>
              </w:rPr>
            </w:pPr>
            <w:r>
              <w:rPr>
                <w:rFonts w:hint="eastAsia" w:ascii="仿宋" w:hAnsi="仿宋" w:eastAsia="仿宋" w:cs="仿宋"/>
                <w:sz w:val="24"/>
                <w:szCs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年度净资产：           营业额：        利润：</w:t>
            </w:r>
          </w:p>
          <w:p>
            <w:pPr>
              <w:autoSpaceDE w:val="0"/>
              <w:autoSpaceDN w:val="0"/>
              <w:adjustRightInd w:val="0"/>
              <w:spacing w:line="400" w:lineRule="exact"/>
              <w:ind w:firstLine="480"/>
              <w:rPr>
                <w:rFonts w:hint="eastAsia" w:ascii="仿宋" w:hAnsi="仿宋" w:eastAsia="仿宋" w:cs="仿宋"/>
                <w:b/>
                <w:bCs/>
                <w:color w:val="000000"/>
                <w:kern w:val="0"/>
                <w:sz w:val="24"/>
                <w:szCs w:val="24"/>
              </w:rPr>
            </w:pPr>
            <w:r>
              <w:rPr>
                <w:rFonts w:hint="eastAsia" w:ascii="仿宋" w:hAnsi="仿宋" w:eastAsia="仿宋" w:cs="仿宋"/>
                <w:sz w:val="24"/>
                <w:szCs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 w:hAnsi="仿宋" w:eastAsia="仿宋" w:cs="仿宋"/>
                <w:color w:val="000000"/>
                <w:kern w:val="0"/>
                <w:sz w:val="24"/>
                <w:szCs w:val="24"/>
              </w:rPr>
            </w:pPr>
          </w:p>
        </w:tc>
      </w:tr>
    </w:tbl>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授权代表（签字）：</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 xml:space="preserve">  </w:t>
      </w:r>
    </w:p>
    <w:p>
      <w:pPr>
        <w:tabs>
          <w:tab w:val="left" w:pos="5580"/>
        </w:tabs>
        <w:spacing w:before="120"/>
        <w:ind w:firstLine="480"/>
        <w:rPr>
          <w:rFonts w:hint="eastAsia" w:ascii="仿宋" w:hAnsi="仿宋" w:eastAsia="仿宋" w:cs="仿宋"/>
          <w:b/>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2"/>
        <w:rPr>
          <w:rFonts w:hint="eastAsia" w:ascii="仿宋" w:hAnsi="仿宋" w:eastAsia="仿宋" w:cs="仿宋"/>
          <w:sz w:val="24"/>
          <w:szCs w:val="24"/>
        </w:rPr>
      </w:pPr>
    </w:p>
    <w:p>
      <w:pPr>
        <w:bidi w:val="0"/>
        <w:rPr>
          <w:rFonts w:hint="eastAsia" w:ascii="仿宋" w:hAnsi="仿宋" w:eastAsia="仿宋" w:cs="仿宋"/>
          <w:kern w:val="2"/>
          <w:sz w:val="24"/>
          <w:szCs w:val="24"/>
          <w:lang w:val="en-US" w:eastAsia="zh-CN" w:bidi="ar-SA"/>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十一、关于资格的声明函</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乌苏市政务服务中心</w:t>
      </w:r>
      <w:r>
        <w:rPr>
          <w:rFonts w:hint="eastAsia" w:ascii="仿宋" w:hAnsi="仿宋" w:eastAsia="仿宋" w:cs="仿宋"/>
          <w:sz w:val="24"/>
          <w:szCs w:val="24"/>
        </w:rPr>
        <w:t>：</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日第（项目编号）竞争性磋商公告关于</w:t>
      </w:r>
      <w:r>
        <w:rPr>
          <w:rFonts w:hint="eastAsia" w:ascii="仿宋" w:hAnsi="仿宋" w:eastAsia="仿宋" w:cs="仿宋"/>
          <w:sz w:val="24"/>
          <w:szCs w:val="24"/>
          <w:u w:val="single"/>
        </w:rPr>
        <w:t>“     ”</w:t>
      </w:r>
      <w:r>
        <w:rPr>
          <w:rFonts w:hint="eastAsia" w:ascii="仿宋" w:hAnsi="仿宋" w:eastAsia="仿宋" w:cs="仿宋"/>
          <w:sz w:val="24"/>
          <w:szCs w:val="24"/>
        </w:rPr>
        <w:t>的项目，本签字人愿意参加磋商响应，并有能力提供</w:t>
      </w:r>
      <w:r>
        <w:rPr>
          <w:rFonts w:hint="eastAsia" w:ascii="仿宋" w:hAnsi="仿宋" w:eastAsia="仿宋" w:cs="仿宋"/>
          <w:sz w:val="24"/>
          <w:szCs w:val="24"/>
          <w:u w:val="single"/>
        </w:rPr>
        <w:t>（项目名称）</w:t>
      </w:r>
      <w:r>
        <w:rPr>
          <w:rFonts w:hint="eastAsia" w:ascii="仿宋" w:hAnsi="仿宋" w:eastAsia="仿宋" w:cs="仿宋"/>
          <w:sz w:val="24"/>
          <w:szCs w:val="24"/>
        </w:rPr>
        <w:t>项目中的</w:t>
      </w:r>
      <w:r>
        <w:rPr>
          <w:rFonts w:hint="eastAsia" w:ascii="仿宋" w:hAnsi="仿宋" w:eastAsia="仿宋" w:cs="仿宋"/>
          <w:sz w:val="24"/>
          <w:szCs w:val="24"/>
          <w:u w:val="single"/>
        </w:rPr>
        <w:t>（分包编号及服务名称）</w:t>
      </w:r>
      <w:r>
        <w:rPr>
          <w:rFonts w:hint="eastAsia" w:ascii="仿宋" w:hAnsi="仿宋" w:eastAsia="仿宋" w:cs="仿宋"/>
          <w:sz w:val="24"/>
          <w:szCs w:val="24"/>
        </w:rPr>
        <w:t>相关服务，并保证所提交的所有文件和说明是真实和准确的。</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 xml:space="preserve">   签字人姓名、职务：</w:t>
      </w:r>
      <w:r>
        <w:rPr>
          <w:rFonts w:hint="eastAsia" w:ascii="仿宋" w:hAnsi="仿宋" w:eastAsia="仿宋" w:cs="仿宋"/>
          <w:sz w:val="24"/>
          <w:szCs w:val="24"/>
          <w:u w:val="single"/>
        </w:rPr>
        <w:t xml:space="preserve">               </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 xml:space="preserve">地址：                </w:t>
      </w:r>
      <w:r>
        <w:rPr>
          <w:rFonts w:hint="eastAsia" w:ascii="仿宋" w:hAnsi="仿宋" w:eastAsia="仿宋" w:cs="仿宋"/>
          <w:sz w:val="24"/>
          <w:szCs w:val="24"/>
          <w:lang w:val="en-US" w:eastAsia="zh-CN"/>
        </w:rPr>
        <w:t>授权</w:t>
      </w:r>
      <w:r>
        <w:rPr>
          <w:rFonts w:hint="eastAsia" w:ascii="仿宋" w:hAnsi="仿宋" w:eastAsia="仿宋" w:cs="仿宋"/>
          <w:sz w:val="24"/>
          <w:szCs w:val="24"/>
        </w:rPr>
        <w:t>签署本资格文件人：</w:t>
      </w:r>
      <w:r>
        <w:rPr>
          <w:rFonts w:hint="eastAsia" w:ascii="仿宋" w:hAnsi="仿宋" w:eastAsia="仿宋" w:cs="仿宋"/>
          <w:sz w:val="24"/>
          <w:szCs w:val="24"/>
          <w:u w:val="single"/>
        </w:rPr>
        <w:t xml:space="preserve">授权人姓名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传真：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邮编：                      电话：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供应商盖章：                                    </w:t>
      </w:r>
    </w:p>
    <w:p>
      <w:pPr>
        <w:spacing w:line="360" w:lineRule="auto"/>
        <w:ind w:firstLine="5520" w:firstLineChars="2300"/>
        <w:rPr>
          <w:rFonts w:hint="eastAsia" w:ascii="仿宋" w:hAnsi="仿宋" w:eastAsia="仿宋" w:cs="仿宋"/>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仿宋" w:hAnsi="仿宋" w:eastAsia="仿宋" w:cs="仿宋"/>
          <w:kern w:val="2"/>
          <w:sz w:val="24"/>
          <w:szCs w:val="24"/>
          <w:lang w:val="en-US" w:eastAsia="zh-CN" w:bidi="ar-SA"/>
        </w:rPr>
      </w:pPr>
    </w:p>
    <w:p>
      <w:pPr>
        <w:pStyle w:val="44"/>
        <w:rPr>
          <w:rFonts w:hint="eastAsia" w:ascii="仿宋" w:hAnsi="仿宋" w:eastAsia="仿宋" w:cs="仿宋"/>
          <w:kern w:val="2"/>
          <w:sz w:val="24"/>
          <w:szCs w:val="24"/>
          <w:lang w:val="en-US" w:eastAsia="zh-CN" w:bidi="ar-SA"/>
        </w:rPr>
      </w:pPr>
    </w:p>
    <w:p>
      <w:pPr>
        <w:rPr>
          <w:rFonts w:hint="eastAsia" w:ascii="仿宋" w:hAnsi="仿宋" w:eastAsia="仿宋" w:cs="仿宋"/>
          <w:kern w:val="2"/>
          <w:sz w:val="24"/>
          <w:szCs w:val="24"/>
          <w:lang w:val="en-US" w:eastAsia="zh-CN" w:bidi="ar-SA"/>
        </w:rPr>
      </w:pPr>
    </w:p>
    <w:p>
      <w:pPr>
        <w:pStyle w:val="2"/>
        <w:rPr>
          <w:rFonts w:hint="eastAsia" w:ascii="仿宋" w:hAnsi="仿宋" w:eastAsia="仿宋" w:cs="仿宋"/>
          <w:kern w:val="2"/>
          <w:sz w:val="24"/>
          <w:szCs w:val="24"/>
          <w:lang w:val="en-US" w:eastAsia="zh-CN" w:bidi="ar-SA"/>
        </w:rPr>
      </w:pPr>
    </w:p>
    <w:p>
      <w:pPr>
        <w:pStyle w:val="44"/>
        <w:rPr>
          <w:rFonts w:hint="eastAsia" w:ascii="仿宋" w:hAnsi="仿宋" w:eastAsia="仿宋" w:cs="仿宋"/>
          <w:sz w:val="24"/>
          <w:szCs w:val="24"/>
          <w:lang w:val="en-US" w:eastAsia="zh-CN"/>
        </w:rPr>
      </w:pPr>
    </w:p>
    <w:p>
      <w:pPr>
        <w:tabs>
          <w:tab w:val="left" w:pos="3109"/>
        </w:tabs>
        <w:bidi w:val="0"/>
        <w:ind w:firstLine="1687" w:firstLineChars="700"/>
        <w:jc w:val="left"/>
        <w:rPr>
          <w:rFonts w:hint="eastAsia" w:ascii="仿宋" w:hAnsi="仿宋" w:eastAsia="仿宋" w:cs="仿宋"/>
          <w:sz w:val="24"/>
          <w:szCs w:val="24"/>
          <w:lang w:val="en-US" w:eastAsia="zh-CN"/>
        </w:rPr>
      </w:pPr>
      <w:bookmarkStart w:id="298" w:name="_Toc17960"/>
      <w:bookmarkStart w:id="299" w:name="_Toc18553"/>
      <w:bookmarkStart w:id="300" w:name="_Toc28685"/>
      <w:bookmarkStart w:id="301" w:name="_Toc26482"/>
      <w:bookmarkStart w:id="302" w:name="_Toc13778"/>
      <w:r>
        <w:rPr>
          <w:rFonts w:hint="eastAsia" w:ascii="仿宋" w:hAnsi="仿宋" w:eastAsia="仿宋" w:cs="仿宋"/>
          <w:b/>
          <w:bCs/>
          <w:sz w:val="24"/>
          <w:szCs w:val="24"/>
          <w:lang w:val="en-US" w:eastAsia="zh-CN"/>
        </w:rPr>
        <w:t>十二</w:t>
      </w:r>
      <w:r>
        <w:rPr>
          <w:rFonts w:hint="eastAsia" w:ascii="仿宋" w:hAnsi="仿宋" w:eastAsia="仿宋" w:cs="仿宋"/>
          <w:b/>
          <w:bCs/>
          <w:sz w:val="24"/>
          <w:szCs w:val="24"/>
        </w:rPr>
        <w:t>、</w:t>
      </w:r>
      <w:r>
        <w:rPr>
          <w:rFonts w:hint="eastAsia" w:ascii="仿宋" w:hAnsi="仿宋" w:eastAsia="仿宋" w:cs="仿宋"/>
          <w:b/>
          <w:bCs/>
          <w:sz w:val="24"/>
          <w:szCs w:val="24"/>
          <w:lang w:eastAsia="zh-CN"/>
        </w:rPr>
        <w:t>响应单位认为需要提供的其他资料</w:t>
      </w:r>
      <w:bookmarkEnd w:id="298"/>
      <w:bookmarkEnd w:id="299"/>
      <w:bookmarkEnd w:id="300"/>
      <w:bookmarkEnd w:id="301"/>
      <w:bookmarkEnd w:id="302"/>
    </w:p>
    <w:p>
      <w:pPr>
        <w:ind w:left="0" w:leftChars="0" w:firstLine="0" w:firstLineChars="0"/>
        <w:jc w:val="both"/>
        <w:outlineLvl w:val="9"/>
        <w:rPr>
          <w:rFonts w:hint="eastAsia" w:ascii="仿宋" w:hAnsi="仿宋" w:eastAsia="仿宋" w:cs="仿宋"/>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A81E73-37DF-4E8C-89D4-6FA3CAE812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F68D937-5C6A-490E-AA40-5985AF54F4E4}"/>
  </w:font>
  <w:font w:name="仿宋_GB2312">
    <w:panose1 w:val="02010609030101010101"/>
    <w:charset w:val="86"/>
    <w:family w:val="modern"/>
    <w:pitch w:val="default"/>
    <w:sig w:usb0="00000001" w:usb1="080E0000" w:usb2="00000000" w:usb3="00000000" w:csb0="00040000" w:csb1="00000000"/>
    <w:embedRegular r:id="rId3" w:fontKey="{F4501B71-C2C5-4F06-A205-4C7ABBAB6CFF}"/>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embedRegular r:id="rId4" w:fontKey="{C396B659-7B59-41C2-894B-D46D60AEFCF6}"/>
  </w:font>
  <w:font w:name="方正小标宋简体">
    <w:panose1 w:val="02000000000000000000"/>
    <w:charset w:val="86"/>
    <w:family w:val="auto"/>
    <w:pitch w:val="default"/>
    <w:sig w:usb0="A00002BF" w:usb1="184F6CFA" w:usb2="00000012" w:usb3="00000000" w:csb0="00040001" w:csb1="00000000"/>
    <w:embedRegular r:id="rId5" w:fontKey="{6B65FF9E-4290-41DF-8781-20490D3D78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right"/>
      <w:rPr>
        <w:rFonts w:hint="default"/>
        <w:u w:val="none"/>
        <w:lang w:val="en-US" w:eastAsia="zh-CN"/>
      </w:rPr>
    </w:pPr>
    <w:r>
      <w:rPr>
        <w:rFonts w:hint="eastAsia"/>
        <w:u w:val="none"/>
        <w:lang w:val="en-US" w:eastAsia="zh-CN"/>
      </w:rPr>
      <w:t>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E08FC"/>
    <w:multiLevelType w:val="singleLevel"/>
    <w:tmpl w:val="812E08FC"/>
    <w:lvl w:ilvl="0" w:tentative="0">
      <w:start w:val="1"/>
      <w:numFmt w:val="chineseCounting"/>
      <w:suff w:val="nothing"/>
      <w:lvlText w:val="%1、"/>
      <w:lvlJc w:val="left"/>
      <w:rPr>
        <w:rFonts w:hint="eastAsia"/>
      </w:rPr>
    </w:lvl>
  </w:abstractNum>
  <w:abstractNum w:abstractNumId="1">
    <w:nsid w:val="8E4F9B4E"/>
    <w:multiLevelType w:val="singleLevel"/>
    <w:tmpl w:val="8E4F9B4E"/>
    <w:lvl w:ilvl="0" w:tentative="0">
      <w:start w:val="1"/>
      <w:numFmt w:val="decimal"/>
      <w:suff w:val="nothing"/>
      <w:lvlText w:val="%1、"/>
      <w:lvlJc w:val="left"/>
    </w:lvl>
  </w:abstractNum>
  <w:abstractNum w:abstractNumId="2">
    <w:nsid w:val="B0D89085"/>
    <w:multiLevelType w:val="singleLevel"/>
    <w:tmpl w:val="B0D89085"/>
    <w:lvl w:ilvl="0" w:tentative="0">
      <w:start w:val="7"/>
      <w:numFmt w:val="decimal"/>
      <w:suff w:val="nothing"/>
      <w:lvlText w:val="（%1）"/>
      <w:lvlJc w:val="left"/>
    </w:lvl>
  </w:abstractNum>
  <w:abstractNum w:abstractNumId="3">
    <w:nsid w:val="D356B68C"/>
    <w:multiLevelType w:val="singleLevel"/>
    <w:tmpl w:val="D356B68C"/>
    <w:lvl w:ilvl="0" w:tentative="0">
      <w:start w:val="1"/>
      <w:numFmt w:val="decimal"/>
      <w:suff w:val="nothing"/>
      <w:lvlText w:val="（%1）"/>
      <w:lvlJc w:val="left"/>
    </w:lvl>
  </w:abstractNum>
  <w:abstractNum w:abstractNumId="4">
    <w:nsid w:val="D479469F"/>
    <w:multiLevelType w:val="singleLevel"/>
    <w:tmpl w:val="D479469F"/>
    <w:lvl w:ilvl="0" w:tentative="0">
      <w:start w:val="1"/>
      <w:numFmt w:val="decimal"/>
      <w:suff w:val="nothing"/>
      <w:lvlText w:val="（%1）"/>
      <w:lvlJc w:val="left"/>
    </w:lvl>
  </w:abstractNum>
  <w:abstractNum w:abstractNumId="5">
    <w:nsid w:val="23425BF4"/>
    <w:multiLevelType w:val="singleLevel"/>
    <w:tmpl w:val="23425BF4"/>
    <w:lvl w:ilvl="0" w:tentative="0">
      <w:start w:val="1"/>
      <w:numFmt w:val="chineseCounting"/>
      <w:suff w:val="nothing"/>
      <w:lvlText w:val="%1、"/>
      <w:lvlJc w:val="left"/>
      <w:rPr>
        <w:rFonts w:hint="eastAsia"/>
      </w:rPr>
    </w:lvl>
  </w:abstractNum>
  <w:abstractNum w:abstractNumId="6">
    <w:nsid w:val="264B843C"/>
    <w:multiLevelType w:val="singleLevel"/>
    <w:tmpl w:val="264B843C"/>
    <w:lvl w:ilvl="0" w:tentative="0">
      <w:start w:val="2"/>
      <w:numFmt w:val="decimal"/>
      <w:suff w:val="nothing"/>
      <w:lvlText w:val="%1、"/>
      <w:lvlJc w:val="left"/>
    </w:lvl>
  </w:abstractNum>
  <w:abstractNum w:abstractNumId="7">
    <w:nsid w:val="3EFD0C6E"/>
    <w:multiLevelType w:val="singleLevel"/>
    <w:tmpl w:val="3EFD0C6E"/>
    <w:lvl w:ilvl="0" w:tentative="0">
      <w:start w:val="1"/>
      <w:numFmt w:val="decimal"/>
      <w:suff w:val="nothing"/>
      <w:lvlText w:val="%1．"/>
      <w:lvlJc w:val="left"/>
    </w:lvl>
  </w:abstractNum>
  <w:abstractNum w:abstractNumId="8">
    <w:nsid w:val="61A26AF3"/>
    <w:multiLevelType w:val="singleLevel"/>
    <w:tmpl w:val="61A26AF3"/>
    <w:lvl w:ilvl="0" w:tentative="0">
      <w:start w:val="4"/>
      <w:numFmt w:val="chineseCounting"/>
      <w:suff w:val="nothing"/>
      <w:lvlText w:val="%1、"/>
      <w:lvlJc w:val="left"/>
      <w:pPr>
        <w:ind w:left="210"/>
      </w:pPr>
      <w:rPr>
        <w:rFonts w:hint="eastAsia"/>
      </w:rPr>
    </w:lvl>
  </w:abstractNum>
  <w:abstractNum w:abstractNumId="9">
    <w:nsid w:val="61D537BA"/>
    <w:multiLevelType w:val="singleLevel"/>
    <w:tmpl w:val="61D537BA"/>
    <w:lvl w:ilvl="0" w:tentative="0">
      <w:start w:val="1"/>
      <w:numFmt w:val="decimal"/>
      <w:suff w:val="nothing"/>
      <w:lvlText w:val="（%1）"/>
      <w:lvlJc w:val="left"/>
    </w:lvl>
  </w:abstractNum>
  <w:num w:numId="1">
    <w:abstractNumId w:val="0"/>
  </w:num>
  <w:num w:numId="2">
    <w:abstractNumId w:val="7"/>
  </w:num>
  <w:num w:numId="3">
    <w:abstractNumId w:val="3"/>
  </w:num>
  <w:num w:numId="4">
    <w:abstractNumId w:val="6"/>
  </w:num>
  <w:num w:numId="5">
    <w:abstractNumId w:val="9"/>
  </w:num>
  <w:num w:numId="6">
    <w:abstractNumId w:val="8"/>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OGE5OTQ1YTNhZWM5NmY2NTUzZDJiNGU1ZTJkYTc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7A"/>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48DC"/>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277"/>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6B66"/>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65D"/>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079F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084D"/>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0E88"/>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4872"/>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5AE1"/>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40F3A"/>
    <w:rsid w:val="01064C9A"/>
    <w:rsid w:val="010827C0"/>
    <w:rsid w:val="0108435E"/>
    <w:rsid w:val="01114B27"/>
    <w:rsid w:val="01152839"/>
    <w:rsid w:val="01170C55"/>
    <w:rsid w:val="011F3D56"/>
    <w:rsid w:val="012D66CB"/>
    <w:rsid w:val="013E4BBF"/>
    <w:rsid w:val="01417D14"/>
    <w:rsid w:val="01476BDB"/>
    <w:rsid w:val="014A1E70"/>
    <w:rsid w:val="014A2DD9"/>
    <w:rsid w:val="01514167"/>
    <w:rsid w:val="01576FB8"/>
    <w:rsid w:val="01657087"/>
    <w:rsid w:val="01680C5E"/>
    <w:rsid w:val="016E4695"/>
    <w:rsid w:val="016F283F"/>
    <w:rsid w:val="017326A9"/>
    <w:rsid w:val="017424F2"/>
    <w:rsid w:val="0176006D"/>
    <w:rsid w:val="01826A17"/>
    <w:rsid w:val="01830099"/>
    <w:rsid w:val="018F39D1"/>
    <w:rsid w:val="019D1BBD"/>
    <w:rsid w:val="019E58AF"/>
    <w:rsid w:val="01A22C15"/>
    <w:rsid w:val="01A544B3"/>
    <w:rsid w:val="01BD0287"/>
    <w:rsid w:val="01BF07A9"/>
    <w:rsid w:val="01C63F12"/>
    <w:rsid w:val="01CD5603"/>
    <w:rsid w:val="01D134FA"/>
    <w:rsid w:val="01E02A7C"/>
    <w:rsid w:val="01E50A69"/>
    <w:rsid w:val="01EA7B88"/>
    <w:rsid w:val="01EE7C08"/>
    <w:rsid w:val="01FD609D"/>
    <w:rsid w:val="02052A74"/>
    <w:rsid w:val="02117D9A"/>
    <w:rsid w:val="021A6C4F"/>
    <w:rsid w:val="021C29C7"/>
    <w:rsid w:val="021F4265"/>
    <w:rsid w:val="02284985"/>
    <w:rsid w:val="02315D47"/>
    <w:rsid w:val="023A4BFB"/>
    <w:rsid w:val="02485D4E"/>
    <w:rsid w:val="024E35D5"/>
    <w:rsid w:val="025C1016"/>
    <w:rsid w:val="026620FB"/>
    <w:rsid w:val="026F6B0F"/>
    <w:rsid w:val="02777BFD"/>
    <w:rsid w:val="027F1BF5"/>
    <w:rsid w:val="0288674E"/>
    <w:rsid w:val="028C741F"/>
    <w:rsid w:val="02920C55"/>
    <w:rsid w:val="0294775E"/>
    <w:rsid w:val="029E5C40"/>
    <w:rsid w:val="02B0310F"/>
    <w:rsid w:val="02B81EB5"/>
    <w:rsid w:val="02C1531D"/>
    <w:rsid w:val="02C848FD"/>
    <w:rsid w:val="02C8752B"/>
    <w:rsid w:val="02CD3CC1"/>
    <w:rsid w:val="02DF39F5"/>
    <w:rsid w:val="02E22446"/>
    <w:rsid w:val="02E53AF7"/>
    <w:rsid w:val="02E75571"/>
    <w:rsid w:val="02FA082F"/>
    <w:rsid w:val="03012F7E"/>
    <w:rsid w:val="03015719"/>
    <w:rsid w:val="03064AB8"/>
    <w:rsid w:val="03082F4B"/>
    <w:rsid w:val="0311542F"/>
    <w:rsid w:val="031E223A"/>
    <w:rsid w:val="032045D2"/>
    <w:rsid w:val="03255104"/>
    <w:rsid w:val="03280EF8"/>
    <w:rsid w:val="033931D6"/>
    <w:rsid w:val="033F5582"/>
    <w:rsid w:val="035A6E90"/>
    <w:rsid w:val="035E49F2"/>
    <w:rsid w:val="03685798"/>
    <w:rsid w:val="036A2E06"/>
    <w:rsid w:val="036B0B8C"/>
    <w:rsid w:val="036F1BDB"/>
    <w:rsid w:val="03827C16"/>
    <w:rsid w:val="038500F8"/>
    <w:rsid w:val="03864561"/>
    <w:rsid w:val="03937E1A"/>
    <w:rsid w:val="0396275C"/>
    <w:rsid w:val="039A309C"/>
    <w:rsid w:val="039C39E2"/>
    <w:rsid w:val="039D57BB"/>
    <w:rsid w:val="03B849D7"/>
    <w:rsid w:val="03C6625A"/>
    <w:rsid w:val="03CF3A69"/>
    <w:rsid w:val="03CF75C5"/>
    <w:rsid w:val="03D170F2"/>
    <w:rsid w:val="03D80B70"/>
    <w:rsid w:val="03DA48E8"/>
    <w:rsid w:val="03DB4E5F"/>
    <w:rsid w:val="03E47515"/>
    <w:rsid w:val="03EA4D45"/>
    <w:rsid w:val="03EF5EB9"/>
    <w:rsid w:val="03F47F88"/>
    <w:rsid w:val="03F60B9E"/>
    <w:rsid w:val="03F70EF8"/>
    <w:rsid w:val="03F93A73"/>
    <w:rsid w:val="03FC1482"/>
    <w:rsid w:val="040F6ABA"/>
    <w:rsid w:val="0410030A"/>
    <w:rsid w:val="04113609"/>
    <w:rsid w:val="041D688F"/>
    <w:rsid w:val="042046F5"/>
    <w:rsid w:val="04205325"/>
    <w:rsid w:val="042C4F6C"/>
    <w:rsid w:val="042C78B6"/>
    <w:rsid w:val="043438CC"/>
    <w:rsid w:val="04477A69"/>
    <w:rsid w:val="044F0626"/>
    <w:rsid w:val="04531FA4"/>
    <w:rsid w:val="04581CB1"/>
    <w:rsid w:val="045E5439"/>
    <w:rsid w:val="04601139"/>
    <w:rsid w:val="04610B65"/>
    <w:rsid w:val="04636A31"/>
    <w:rsid w:val="04706FFA"/>
    <w:rsid w:val="047C599F"/>
    <w:rsid w:val="04842D14"/>
    <w:rsid w:val="048447B6"/>
    <w:rsid w:val="048B3E34"/>
    <w:rsid w:val="048C31EB"/>
    <w:rsid w:val="04904E09"/>
    <w:rsid w:val="049F343C"/>
    <w:rsid w:val="04A77D78"/>
    <w:rsid w:val="04AC4D18"/>
    <w:rsid w:val="04B1004E"/>
    <w:rsid w:val="04B14F1D"/>
    <w:rsid w:val="04B30C95"/>
    <w:rsid w:val="04B85326"/>
    <w:rsid w:val="04C16888"/>
    <w:rsid w:val="04CA6CD2"/>
    <w:rsid w:val="04D96B7B"/>
    <w:rsid w:val="04DA6C63"/>
    <w:rsid w:val="04E12B8F"/>
    <w:rsid w:val="04E225E4"/>
    <w:rsid w:val="04E74BBB"/>
    <w:rsid w:val="04EF43C3"/>
    <w:rsid w:val="04FA2D68"/>
    <w:rsid w:val="04FB3F3C"/>
    <w:rsid w:val="0505406E"/>
    <w:rsid w:val="05094D59"/>
    <w:rsid w:val="051B49C3"/>
    <w:rsid w:val="051C4A8C"/>
    <w:rsid w:val="053A55A1"/>
    <w:rsid w:val="053F22E2"/>
    <w:rsid w:val="053F3A8A"/>
    <w:rsid w:val="0543623A"/>
    <w:rsid w:val="05465FAD"/>
    <w:rsid w:val="05493229"/>
    <w:rsid w:val="054F2EF5"/>
    <w:rsid w:val="05511C23"/>
    <w:rsid w:val="055466C4"/>
    <w:rsid w:val="055C535C"/>
    <w:rsid w:val="056E5958"/>
    <w:rsid w:val="057B5C57"/>
    <w:rsid w:val="057C5B78"/>
    <w:rsid w:val="058014BF"/>
    <w:rsid w:val="05806815"/>
    <w:rsid w:val="05850883"/>
    <w:rsid w:val="058F4CD7"/>
    <w:rsid w:val="05926AFC"/>
    <w:rsid w:val="059C0203"/>
    <w:rsid w:val="05A607FA"/>
    <w:rsid w:val="05A91BD8"/>
    <w:rsid w:val="05C93DFF"/>
    <w:rsid w:val="05D709B3"/>
    <w:rsid w:val="05DE1D42"/>
    <w:rsid w:val="05DE43BE"/>
    <w:rsid w:val="05E4259F"/>
    <w:rsid w:val="05ED6429"/>
    <w:rsid w:val="05EE5B60"/>
    <w:rsid w:val="05EF228B"/>
    <w:rsid w:val="05F45A09"/>
    <w:rsid w:val="05F6352F"/>
    <w:rsid w:val="05FE413F"/>
    <w:rsid w:val="06087B94"/>
    <w:rsid w:val="062724A6"/>
    <w:rsid w:val="063E0A32"/>
    <w:rsid w:val="063E5B61"/>
    <w:rsid w:val="06450013"/>
    <w:rsid w:val="06462DE7"/>
    <w:rsid w:val="06485CEF"/>
    <w:rsid w:val="064C314F"/>
    <w:rsid w:val="0654426F"/>
    <w:rsid w:val="06545C11"/>
    <w:rsid w:val="06606BFB"/>
    <w:rsid w:val="066074E3"/>
    <w:rsid w:val="06624721"/>
    <w:rsid w:val="066D4FD8"/>
    <w:rsid w:val="06722B32"/>
    <w:rsid w:val="06826167"/>
    <w:rsid w:val="06885C56"/>
    <w:rsid w:val="06893F59"/>
    <w:rsid w:val="068F7BED"/>
    <w:rsid w:val="06907A31"/>
    <w:rsid w:val="0697273E"/>
    <w:rsid w:val="0698114A"/>
    <w:rsid w:val="069845E6"/>
    <w:rsid w:val="06990A2A"/>
    <w:rsid w:val="06A21AC2"/>
    <w:rsid w:val="06A31681"/>
    <w:rsid w:val="06AB4C7D"/>
    <w:rsid w:val="06B23548"/>
    <w:rsid w:val="06B6582E"/>
    <w:rsid w:val="06BD2F96"/>
    <w:rsid w:val="06C4362D"/>
    <w:rsid w:val="06C43C23"/>
    <w:rsid w:val="06CE24B9"/>
    <w:rsid w:val="06D27AF8"/>
    <w:rsid w:val="06DF5D71"/>
    <w:rsid w:val="06EB6E0C"/>
    <w:rsid w:val="06F04422"/>
    <w:rsid w:val="06FA245C"/>
    <w:rsid w:val="06FA2BAB"/>
    <w:rsid w:val="070E2E0A"/>
    <w:rsid w:val="07125927"/>
    <w:rsid w:val="07227821"/>
    <w:rsid w:val="07241122"/>
    <w:rsid w:val="0725106E"/>
    <w:rsid w:val="07252D2E"/>
    <w:rsid w:val="072B0FB7"/>
    <w:rsid w:val="072C2A07"/>
    <w:rsid w:val="072D4D2F"/>
    <w:rsid w:val="07313928"/>
    <w:rsid w:val="07313A20"/>
    <w:rsid w:val="073C5C1B"/>
    <w:rsid w:val="073E71A5"/>
    <w:rsid w:val="07462294"/>
    <w:rsid w:val="07487DBA"/>
    <w:rsid w:val="074D3623"/>
    <w:rsid w:val="074D4107"/>
    <w:rsid w:val="074F1307"/>
    <w:rsid w:val="07630750"/>
    <w:rsid w:val="07754928"/>
    <w:rsid w:val="07762B7A"/>
    <w:rsid w:val="077F6D01"/>
    <w:rsid w:val="078644A0"/>
    <w:rsid w:val="078B5EF9"/>
    <w:rsid w:val="079438E0"/>
    <w:rsid w:val="079D7CBE"/>
    <w:rsid w:val="07BC4304"/>
    <w:rsid w:val="07C02047"/>
    <w:rsid w:val="07C207B2"/>
    <w:rsid w:val="07C56A4F"/>
    <w:rsid w:val="07CB0013"/>
    <w:rsid w:val="07D05526"/>
    <w:rsid w:val="07D23168"/>
    <w:rsid w:val="07D23B28"/>
    <w:rsid w:val="07D64BEA"/>
    <w:rsid w:val="07DB25F7"/>
    <w:rsid w:val="07DC7404"/>
    <w:rsid w:val="07E147B8"/>
    <w:rsid w:val="07E74A05"/>
    <w:rsid w:val="07E764CA"/>
    <w:rsid w:val="07EA70C4"/>
    <w:rsid w:val="07F07B95"/>
    <w:rsid w:val="07F5179D"/>
    <w:rsid w:val="07FC2953"/>
    <w:rsid w:val="080014B3"/>
    <w:rsid w:val="08066F25"/>
    <w:rsid w:val="080B23FB"/>
    <w:rsid w:val="081622A9"/>
    <w:rsid w:val="081A2297"/>
    <w:rsid w:val="081B102B"/>
    <w:rsid w:val="08280CF2"/>
    <w:rsid w:val="08296773"/>
    <w:rsid w:val="08311465"/>
    <w:rsid w:val="083565CE"/>
    <w:rsid w:val="083601D7"/>
    <w:rsid w:val="084560A8"/>
    <w:rsid w:val="084A5547"/>
    <w:rsid w:val="084C0330"/>
    <w:rsid w:val="08515BAF"/>
    <w:rsid w:val="08573A0A"/>
    <w:rsid w:val="085B58CB"/>
    <w:rsid w:val="085E7DCE"/>
    <w:rsid w:val="08604E06"/>
    <w:rsid w:val="08607386"/>
    <w:rsid w:val="08663767"/>
    <w:rsid w:val="08670185"/>
    <w:rsid w:val="08674270"/>
    <w:rsid w:val="086A5B0F"/>
    <w:rsid w:val="08712537"/>
    <w:rsid w:val="08760957"/>
    <w:rsid w:val="08786FE3"/>
    <w:rsid w:val="08844E22"/>
    <w:rsid w:val="088B3EBC"/>
    <w:rsid w:val="08913BA7"/>
    <w:rsid w:val="089C1948"/>
    <w:rsid w:val="08A84D00"/>
    <w:rsid w:val="08B50556"/>
    <w:rsid w:val="08BD20E2"/>
    <w:rsid w:val="08C6543B"/>
    <w:rsid w:val="08C9728E"/>
    <w:rsid w:val="08D85E5D"/>
    <w:rsid w:val="08E51639"/>
    <w:rsid w:val="08E6156B"/>
    <w:rsid w:val="08F53098"/>
    <w:rsid w:val="08FB3249"/>
    <w:rsid w:val="09012917"/>
    <w:rsid w:val="09036BB8"/>
    <w:rsid w:val="09075A53"/>
    <w:rsid w:val="0907660D"/>
    <w:rsid w:val="090C0F64"/>
    <w:rsid w:val="09122101"/>
    <w:rsid w:val="091410F5"/>
    <w:rsid w:val="09187C60"/>
    <w:rsid w:val="092D0FC6"/>
    <w:rsid w:val="092D5890"/>
    <w:rsid w:val="09380446"/>
    <w:rsid w:val="093A4032"/>
    <w:rsid w:val="09434CDD"/>
    <w:rsid w:val="094572E1"/>
    <w:rsid w:val="094B1DE4"/>
    <w:rsid w:val="094E1FB7"/>
    <w:rsid w:val="095B4567"/>
    <w:rsid w:val="095E1B17"/>
    <w:rsid w:val="0965463A"/>
    <w:rsid w:val="096E7880"/>
    <w:rsid w:val="09715C30"/>
    <w:rsid w:val="0973135D"/>
    <w:rsid w:val="09762B92"/>
    <w:rsid w:val="098101B2"/>
    <w:rsid w:val="098C09BD"/>
    <w:rsid w:val="098E4DDC"/>
    <w:rsid w:val="09A57A6F"/>
    <w:rsid w:val="09BC4A90"/>
    <w:rsid w:val="09BC683E"/>
    <w:rsid w:val="09BE25B6"/>
    <w:rsid w:val="09BF1E8A"/>
    <w:rsid w:val="09C01136"/>
    <w:rsid w:val="09C01933"/>
    <w:rsid w:val="09D25006"/>
    <w:rsid w:val="09E1423F"/>
    <w:rsid w:val="09F340E8"/>
    <w:rsid w:val="09FB55B8"/>
    <w:rsid w:val="09FE29B2"/>
    <w:rsid w:val="0A091873"/>
    <w:rsid w:val="0A1002DB"/>
    <w:rsid w:val="0A1641A0"/>
    <w:rsid w:val="0A170A90"/>
    <w:rsid w:val="0A171CC6"/>
    <w:rsid w:val="0A1D343C"/>
    <w:rsid w:val="0A261468"/>
    <w:rsid w:val="0A3B281B"/>
    <w:rsid w:val="0A424C0E"/>
    <w:rsid w:val="0A48676E"/>
    <w:rsid w:val="0A5D1DCF"/>
    <w:rsid w:val="0A5D4EC3"/>
    <w:rsid w:val="0A732D15"/>
    <w:rsid w:val="0A757553"/>
    <w:rsid w:val="0A78372D"/>
    <w:rsid w:val="0A8A06EA"/>
    <w:rsid w:val="0A9E7CF1"/>
    <w:rsid w:val="0A9F669C"/>
    <w:rsid w:val="0AB14F96"/>
    <w:rsid w:val="0AB614DF"/>
    <w:rsid w:val="0AB76477"/>
    <w:rsid w:val="0AC06677"/>
    <w:rsid w:val="0AC97464"/>
    <w:rsid w:val="0ADA5A33"/>
    <w:rsid w:val="0ADD081A"/>
    <w:rsid w:val="0ADF0A36"/>
    <w:rsid w:val="0ADF454E"/>
    <w:rsid w:val="0AE53B72"/>
    <w:rsid w:val="0AEA7039"/>
    <w:rsid w:val="0AF21185"/>
    <w:rsid w:val="0B0E625D"/>
    <w:rsid w:val="0B154457"/>
    <w:rsid w:val="0B1701D0"/>
    <w:rsid w:val="0B255C73"/>
    <w:rsid w:val="0B264AD7"/>
    <w:rsid w:val="0B2B362C"/>
    <w:rsid w:val="0B2B3C7B"/>
    <w:rsid w:val="0B2D364C"/>
    <w:rsid w:val="0B316DB7"/>
    <w:rsid w:val="0B570D79"/>
    <w:rsid w:val="0B5C5BE2"/>
    <w:rsid w:val="0B5F2931"/>
    <w:rsid w:val="0B5F56D3"/>
    <w:rsid w:val="0B68550A"/>
    <w:rsid w:val="0B696551"/>
    <w:rsid w:val="0B6E1DBA"/>
    <w:rsid w:val="0B78571A"/>
    <w:rsid w:val="0B811AED"/>
    <w:rsid w:val="0B8E48F8"/>
    <w:rsid w:val="0B930BFC"/>
    <w:rsid w:val="0B942010"/>
    <w:rsid w:val="0B9E6FCA"/>
    <w:rsid w:val="0BA23811"/>
    <w:rsid w:val="0BA578C2"/>
    <w:rsid w:val="0BB05F2E"/>
    <w:rsid w:val="0BBC4F88"/>
    <w:rsid w:val="0BD2506A"/>
    <w:rsid w:val="0BE34556"/>
    <w:rsid w:val="0BEA3C7C"/>
    <w:rsid w:val="0BF00A21"/>
    <w:rsid w:val="0BF95F2E"/>
    <w:rsid w:val="0C0369A6"/>
    <w:rsid w:val="0C083FBC"/>
    <w:rsid w:val="0C0A63CF"/>
    <w:rsid w:val="0C150E84"/>
    <w:rsid w:val="0C1704AC"/>
    <w:rsid w:val="0C171E07"/>
    <w:rsid w:val="0C1741FF"/>
    <w:rsid w:val="0C1C1816"/>
    <w:rsid w:val="0C211D10"/>
    <w:rsid w:val="0C28517B"/>
    <w:rsid w:val="0C2B6903"/>
    <w:rsid w:val="0C362716"/>
    <w:rsid w:val="0C385C19"/>
    <w:rsid w:val="0C403756"/>
    <w:rsid w:val="0C430577"/>
    <w:rsid w:val="0C46348A"/>
    <w:rsid w:val="0C4D19CF"/>
    <w:rsid w:val="0C4E52FA"/>
    <w:rsid w:val="0C560A4C"/>
    <w:rsid w:val="0C611FB3"/>
    <w:rsid w:val="0C6427ED"/>
    <w:rsid w:val="0C7358DA"/>
    <w:rsid w:val="0C7C3D86"/>
    <w:rsid w:val="0C7D22B4"/>
    <w:rsid w:val="0C8E2713"/>
    <w:rsid w:val="0C940B85"/>
    <w:rsid w:val="0C943AA2"/>
    <w:rsid w:val="0C970E9C"/>
    <w:rsid w:val="0C9910B8"/>
    <w:rsid w:val="0C9C64B3"/>
    <w:rsid w:val="0CAB2DC4"/>
    <w:rsid w:val="0CB067C8"/>
    <w:rsid w:val="0CB25E5F"/>
    <w:rsid w:val="0CB27AE1"/>
    <w:rsid w:val="0CB33364"/>
    <w:rsid w:val="0CC2416B"/>
    <w:rsid w:val="0CC73E1B"/>
    <w:rsid w:val="0CD8573D"/>
    <w:rsid w:val="0CDC2945"/>
    <w:rsid w:val="0CDC6727"/>
    <w:rsid w:val="0CE36AAF"/>
    <w:rsid w:val="0CEE6D0E"/>
    <w:rsid w:val="0CF57932"/>
    <w:rsid w:val="0CF83B56"/>
    <w:rsid w:val="0CFF716D"/>
    <w:rsid w:val="0D076FF8"/>
    <w:rsid w:val="0D125955"/>
    <w:rsid w:val="0D132C19"/>
    <w:rsid w:val="0D1C451A"/>
    <w:rsid w:val="0D1F511A"/>
    <w:rsid w:val="0D210709"/>
    <w:rsid w:val="0D2218FF"/>
    <w:rsid w:val="0D2766C4"/>
    <w:rsid w:val="0D2B61B4"/>
    <w:rsid w:val="0D305906"/>
    <w:rsid w:val="0D38442D"/>
    <w:rsid w:val="0D3E52F9"/>
    <w:rsid w:val="0D462D5E"/>
    <w:rsid w:val="0D501777"/>
    <w:rsid w:val="0D503630"/>
    <w:rsid w:val="0D553231"/>
    <w:rsid w:val="0D6B65B1"/>
    <w:rsid w:val="0D780A8E"/>
    <w:rsid w:val="0D7D4A69"/>
    <w:rsid w:val="0D802BA6"/>
    <w:rsid w:val="0D811433"/>
    <w:rsid w:val="0D817CDD"/>
    <w:rsid w:val="0D8D29CB"/>
    <w:rsid w:val="0D95068A"/>
    <w:rsid w:val="0D990089"/>
    <w:rsid w:val="0DA05754"/>
    <w:rsid w:val="0DA66213"/>
    <w:rsid w:val="0DAF257F"/>
    <w:rsid w:val="0DBC7D7B"/>
    <w:rsid w:val="0DBD709A"/>
    <w:rsid w:val="0DBE3797"/>
    <w:rsid w:val="0DC331A1"/>
    <w:rsid w:val="0DC914B7"/>
    <w:rsid w:val="0DCB2EC9"/>
    <w:rsid w:val="0DDA3736"/>
    <w:rsid w:val="0DDB5519"/>
    <w:rsid w:val="0DDE28D1"/>
    <w:rsid w:val="0DE66725"/>
    <w:rsid w:val="0DF21350"/>
    <w:rsid w:val="0DF7762E"/>
    <w:rsid w:val="0E032C8D"/>
    <w:rsid w:val="0E17160C"/>
    <w:rsid w:val="0E2844A2"/>
    <w:rsid w:val="0E2B14C9"/>
    <w:rsid w:val="0E2C2BD1"/>
    <w:rsid w:val="0E2C6A66"/>
    <w:rsid w:val="0E39045D"/>
    <w:rsid w:val="0E417A7A"/>
    <w:rsid w:val="0E4312DC"/>
    <w:rsid w:val="0E5163FE"/>
    <w:rsid w:val="0E595947"/>
    <w:rsid w:val="0E623591"/>
    <w:rsid w:val="0E886B40"/>
    <w:rsid w:val="0E935DF8"/>
    <w:rsid w:val="0E9733D5"/>
    <w:rsid w:val="0EB94056"/>
    <w:rsid w:val="0EC05EB6"/>
    <w:rsid w:val="0EC22922"/>
    <w:rsid w:val="0EC51CF1"/>
    <w:rsid w:val="0EC817E1"/>
    <w:rsid w:val="0ED62E74"/>
    <w:rsid w:val="0ED87CF8"/>
    <w:rsid w:val="0EE20AF5"/>
    <w:rsid w:val="0EF0008C"/>
    <w:rsid w:val="0EF34AB0"/>
    <w:rsid w:val="0EFE5203"/>
    <w:rsid w:val="0F087E2F"/>
    <w:rsid w:val="0F0A0CF9"/>
    <w:rsid w:val="0F0E3FB8"/>
    <w:rsid w:val="0F0F0401"/>
    <w:rsid w:val="0F170B3B"/>
    <w:rsid w:val="0F267565"/>
    <w:rsid w:val="0F2819B8"/>
    <w:rsid w:val="0F3D1F95"/>
    <w:rsid w:val="0F3F5F47"/>
    <w:rsid w:val="0F3F7CF5"/>
    <w:rsid w:val="0F403A6D"/>
    <w:rsid w:val="0F451FFF"/>
    <w:rsid w:val="0F492B43"/>
    <w:rsid w:val="0F4C2412"/>
    <w:rsid w:val="0F6A6954"/>
    <w:rsid w:val="0F797C87"/>
    <w:rsid w:val="0F881AB1"/>
    <w:rsid w:val="0F8C5F99"/>
    <w:rsid w:val="0F9F0794"/>
    <w:rsid w:val="0FA44A5B"/>
    <w:rsid w:val="0FAB34FF"/>
    <w:rsid w:val="0FAE4E7B"/>
    <w:rsid w:val="0FB26719"/>
    <w:rsid w:val="0FB9435B"/>
    <w:rsid w:val="0FCD0EF4"/>
    <w:rsid w:val="0FD03043"/>
    <w:rsid w:val="0FD50BB8"/>
    <w:rsid w:val="0FD513AC"/>
    <w:rsid w:val="0FD7617F"/>
    <w:rsid w:val="0FDD12BC"/>
    <w:rsid w:val="0FDF0DE5"/>
    <w:rsid w:val="0FE530EB"/>
    <w:rsid w:val="0FE92B1E"/>
    <w:rsid w:val="0FF40EB8"/>
    <w:rsid w:val="0FF87EA4"/>
    <w:rsid w:val="0FFE0884"/>
    <w:rsid w:val="0FFF516E"/>
    <w:rsid w:val="100859D0"/>
    <w:rsid w:val="101271B8"/>
    <w:rsid w:val="1025065E"/>
    <w:rsid w:val="102B2753"/>
    <w:rsid w:val="102E1B18"/>
    <w:rsid w:val="103510F8"/>
    <w:rsid w:val="103D3324"/>
    <w:rsid w:val="10404EEE"/>
    <w:rsid w:val="104430E9"/>
    <w:rsid w:val="104906FF"/>
    <w:rsid w:val="10514AD4"/>
    <w:rsid w:val="1053405A"/>
    <w:rsid w:val="1057106E"/>
    <w:rsid w:val="10606175"/>
    <w:rsid w:val="10635C65"/>
    <w:rsid w:val="10675755"/>
    <w:rsid w:val="106819E4"/>
    <w:rsid w:val="1068327B"/>
    <w:rsid w:val="10685076"/>
    <w:rsid w:val="10704177"/>
    <w:rsid w:val="107A4C82"/>
    <w:rsid w:val="107B0D60"/>
    <w:rsid w:val="107F7DE6"/>
    <w:rsid w:val="10960230"/>
    <w:rsid w:val="10993435"/>
    <w:rsid w:val="10AD3C70"/>
    <w:rsid w:val="10B71B0D"/>
    <w:rsid w:val="10BC2458"/>
    <w:rsid w:val="10BE733F"/>
    <w:rsid w:val="10CD3604"/>
    <w:rsid w:val="10D80401"/>
    <w:rsid w:val="10D97CD5"/>
    <w:rsid w:val="10E923EB"/>
    <w:rsid w:val="10EE19D3"/>
    <w:rsid w:val="10EF574B"/>
    <w:rsid w:val="10F03312"/>
    <w:rsid w:val="10FC2F38"/>
    <w:rsid w:val="110342FF"/>
    <w:rsid w:val="110473C6"/>
    <w:rsid w:val="110B64C0"/>
    <w:rsid w:val="111E1B8C"/>
    <w:rsid w:val="112E6273"/>
    <w:rsid w:val="1131366D"/>
    <w:rsid w:val="11375394"/>
    <w:rsid w:val="113A1918"/>
    <w:rsid w:val="113B4799"/>
    <w:rsid w:val="113C20C7"/>
    <w:rsid w:val="113F222E"/>
    <w:rsid w:val="11521235"/>
    <w:rsid w:val="117702D8"/>
    <w:rsid w:val="117B0D8C"/>
    <w:rsid w:val="11811943"/>
    <w:rsid w:val="118877EE"/>
    <w:rsid w:val="118C4D48"/>
    <w:rsid w:val="11911FF2"/>
    <w:rsid w:val="11976469"/>
    <w:rsid w:val="119C0B35"/>
    <w:rsid w:val="11B83D8F"/>
    <w:rsid w:val="11C12C43"/>
    <w:rsid w:val="11C935D8"/>
    <w:rsid w:val="11CB1A5D"/>
    <w:rsid w:val="11D43BAA"/>
    <w:rsid w:val="11E11AF0"/>
    <w:rsid w:val="11E23F66"/>
    <w:rsid w:val="11E61B4C"/>
    <w:rsid w:val="11F21E74"/>
    <w:rsid w:val="1211525E"/>
    <w:rsid w:val="12170A79"/>
    <w:rsid w:val="1217292B"/>
    <w:rsid w:val="12192A7F"/>
    <w:rsid w:val="121A5F6A"/>
    <w:rsid w:val="121D6EB6"/>
    <w:rsid w:val="121D7151"/>
    <w:rsid w:val="12220673"/>
    <w:rsid w:val="1229115B"/>
    <w:rsid w:val="12413CE6"/>
    <w:rsid w:val="124155C1"/>
    <w:rsid w:val="12435D4E"/>
    <w:rsid w:val="12502219"/>
    <w:rsid w:val="12503FC7"/>
    <w:rsid w:val="12577104"/>
    <w:rsid w:val="12592C68"/>
    <w:rsid w:val="125C6E10"/>
    <w:rsid w:val="125C703A"/>
    <w:rsid w:val="125E4936"/>
    <w:rsid w:val="12675F93"/>
    <w:rsid w:val="127001C5"/>
    <w:rsid w:val="12704669"/>
    <w:rsid w:val="127D2F5A"/>
    <w:rsid w:val="12817AE9"/>
    <w:rsid w:val="12843C37"/>
    <w:rsid w:val="1287495B"/>
    <w:rsid w:val="128B101B"/>
    <w:rsid w:val="128B3251"/>
    <w:rsid w:val="12940358"/>
    <w:rsid w:val="129640D0"/>
    <w:rsid w:val="12970375"/>
    <w:rsid w:val="12A04B33"/>
    <w:rsid w:val="12AE1C68"/>
    <w:rsid w:val="12BB3FC7"/>
    <w:rsid w:val="12C66037"/>
    <w:rsid w:val="12D1335A"/>
    <w:rsid w:val="12D93FBD"/>
    <w:rsid w:val="12D96AE3"/>
    <w:rsid w:val="12DA1AE3"/>
    <w:rsid w:val="12DA2A28"/>
    <w:rsid w:val="12DB5F87"/>
    <w:rsid w:val="12DF1B94"/>
    <w:rsid w:val="12E34E3B"/>
    <w:rsid w:val="12E455BA"/>
    <w:rsid w:val="12F178DD"/>
    <w:rsid w:val="12F63344"/>
    <w:rsid w:val="12F9640D"/>
    <w:rsid w:val="12FB4D64"/>
    <w:rsid w:val="12FC7CAB"/>
    <w:rsid w:val="130A2E8F"/>
    <w:rsid w:val="131109C2"/>
    <w:rsid w:val="13133A40"/>
    <w:rsid w:val="131A3751"/>
    <w:rsid w:val="13336E3E"/>
    <w:rsid w:val="133728C5"/>
    <w:rsid w:val="13522EC3"/>
    <w:rsid w:val="13541190"/>
    <w:rsid w:val="13604754"/>
    <w:rsid w:val="13620456"/>
    <w:rsid w:val="1367785D"/>
    <w:rsid w:val="13706537"/>
    <w:rsid w:val="137151A0"/>
    <w:rsid w:val="138E2FF9"/>
    <w:rsid w:val="13914897"/>
    <w:rsid w:val="13A46031"/>
    <w:rsid w:val="13B62550"/>
    <w:rsid w:val="13BA3963"/>
    <w:rsid w:val="13BF1E64"/>
    <w:rsid w:val="13C01D6F"/>
    <w:rsid w:val="13C044E2"/>
    <w:rsid w:val="13C221FE"/>
    <w:rsid w:val="13C85944"/>
    <w:rsid w:val="13DB5B12"/>
    <w:rsid w:val="13DD188A"/>
    <w:rsid w:val="13E75FD4"/>
    <w:rsid w:val="13EB044B"/>
    <w:rsid w:val="13EF07C3"/>
    <w:rsid w:val="13F15336"/>
    <w:rsid w:val="13F5411A"/>
    <w:rsid w:val="13FA7C99"/>
    <w:rsid w:val="140B40C3"/>
    <w:rsid w:val="141736F0"/>
    <w:rsid w:val="141F1494"/>
    <w:rsid w:val="14204270"/>
    <w:rsid w:val="14294AD0"/>
    <w:rsid w:val="142E658A"/>
    <w:rsid w:val="1430702E"/>
    <w:rsid w:val="14310700"/>
    <w:rsid w:val="1432607A"/>
    <w:rsid w:val="144204BF"/>
    <w:rsid w:val="144349CA"/>
    <w:rsid w:val="14457F96"/>
    <w:rsid w:val="14503CE0"/>
    <w:rsid w:val="1453309C"/>
    <w:rsid w:val="145F4995"/>
    <w:rsid w:val="146D0E60"/>
    <w:rsid w:val="147541B9"/>
    <w:rsid w:val="147B0A7E"/>
    <w:rsid w:val="148122B0"/>
    <w:rsid w:val="14840CB7"/>
    <w:rsid w:val="149E54BE"/>
    <w:rsid w:val="14A161A6"/>
    <w:rsid w:val="14AD3953"/>
    <w:rsid w:val="14C02376"/>
    <w:rsid w:val="14C111AC"/>
    <w:rsid w:val="14C43CA3"/>
    <w:rsid w:val="14D07641"/>
    <w:rsid w:val="14D13334"/>
    <w:rsid w:val="14D74019"/>
    <w:rsid w:val="14DA74EA"/>
    <w:rsid w:val="14E77FDE"/>
    <w:rsid w:val="14FB1357"/>
    <w:rsid w:val="150572EB"/>
    <w:rsid w:val="15145C97"/>
    <w:rsid w:val="15196596"/>
    <w:rsid w:val="151A46E2"/>
    <w:rsid w:val="151C212F"/>
    <w:rsid w:val="152534E9"/>
    <w:rsid w:val="152C2AC9"/>
    <w:rsid w:val="152F25BA"/>
    <w:rsid w:val="15316332"/>
    <w:rsid w:val="15324BFD"/>
    <w:rsid w:val="15406575"/>
    <w:rsid w:val="154D2A40"/>
    <w:rsid w:val="156328A3"/>
    <w:rsid w:val="156A53A0"/>
    <w:rsid w:val="157A5DB7"/>
    <w:rsid w:val="157A756D"/>
    <w:rsid w:val="157C57DC"/>
    <w:rsid w:val="157E0E4B"/>
    <w:rsid w:val="15873EFA"/>
    <w:rsid w:val="15897F1C"/>
    <w:rsid w:val="15916D14"/>
    <w:rsid w:val="159E7F76"/>
    <w:rsid w:val="15AB7000"/>
    <w:rsid w:val="15B34F99"/>
    <w:rsid w:val="15B900D5"/>
    <w:rsid w:val="15BB52DF"/>
    <w:rsid w:val="15BD359F"/>
    <w:rsid w:val="15C83AFF"/>
    <w:rsid w:val="15CD1DFC"/>
    <w:rsid w:val="15D10391"/>
    <w:rsid w:val="15D46CBD"/>
    <w:rsid w:val="15D55DE5"/>
    <w:rsid w:val="15DE1373"/>
    <w:rsid w:val="15DF5D8E"/>
    <w:rsid w:val="15E4771A"/>
    <w:rsid w:val="15E74E37"/>
    <w:rsid w:val="15EC75CA"/>
    <w:rsid w:val="16091125"/>
    <w:rsid w:val="160B7B63"/>
    <w:rsid w:val="162503E3"/>
    <w:rsid w:val="16261D23"/>
    <w:rsid w:val="163A2FC4"/>
    <w:rsid w:val="163C4F8E"/>
    <w:rsid w:val="165321AB"/>
    <w:rsid w:val="165C6DCA"/>
    <w:rsid w:val="1662251B"/>
    <w:rsid w:val="1663076D"/>
    <w:rsid w:val="16726A36"/>
    <w:rsid w:val="167504A0"/>
    <w:rsid w:val="167B63FA"/>
    <w:rsid w:val="167D489D"/>
    <w:rsid w:val="167E55A7"/>
    <w:rsid w:val="16874769"/>
    <w:rsid w:val="1697741D"/>
    <w:rsid w:val="169C7961"/>
    <w:rsid w:val="16AE750E"/>
    <w:rsid w:val="16B23F8B"/>
    <w:rsid w:val="16B30A86"/>
    <w:rsid w:val="16C17241"/>
    <w:rsid w:val="16D94F7F"/>
    <w:rsid w:val="16DC4C7A"/>
    <w:rsid w:val="16DF309E"/>
    <w:rsid w:val="16E15B36"/>
    <w:rsid w:val="16F06BB2"/>
    <w:rsid w:val="1710689D"/>
    <w:rsid w:val="17137B51"/>
    <w:rsid w:val="171A4BA4"/>
    <w:rsid w:val="172762F6"/>
    <w:rsid w:val="173369A0"/>
    <w:rsid w:val="1759391E"/>
    <w:rsid w:val="175E1E32"/>
    <w:rsid w:val="17604CAC"/>
    <w:rsid w:val="176432ED"/>
    <w:rsid w:val="17776A8B"/>
    <w:rsid w:val="177806C4"/>
    <w:rsid w:val="177B1AE6"/>
    <w:rsid w:val="177D768B"/>
    <w:rsid w:val="177E44BC"/>
    <w:rsid w:val="177F528B"/>
    <w:rsid w:val="178070FD"/>
    <w:rsid w:val="17820254"/>
    <w:rsid w:val="178230E4"/>
    <w:rsid w:val="17824C23"/>
    <w:rsid w:val="179240FB"/>
    <w:rsid w:val="1796247C"/>
    <w:rsid w:val="17984446"/>
    <w:rsid w:val="17990E6B"/>
    <w:rsid w:val="179A648B"/>
    <w:rsid w:val="179E7583"/>
    <w:rsid w:val="17A60810"/>
    <w:rsid w:val="17A964DA"/>
    <w:rsid w:val="17C50FB3"/>
    <w:rsid w:val="17C52D61"/>
    <w:rsid w:val="17CA07FE"/>
    <w:rsid w:val="17CB4A53"/>
    <w:rsid w:val="17CD7844"/>
    <w:rsid w:val="17D31922"/>
    <w:rsid w:val="17D7460F"/>
    <w:rsid w:val="17DB4333"/>
    <w:rsid w:val="17E817BD"/>
    <w:rsid w:val="17F65611"/>
    <w:rsid w:val="18090EA0"/>
    <w:rsid w:val="18131D1F"/>
    <w:rsid w:val="18142F29"/>
    <w:rsid w:val="181F78CD"/>
    <w:rsid w:val="1833416F"/>
    <w:rsid w:val="184119D7"/>
    <w:rsid w:val="184620F4"/>
    <w:rsid w:val="18477D65"/>
    <w:rsid w:val="184E2D57"/>
    <w:rsid w:val="185C3885"/>
    <w:rsid w:val="18612A9F"/>
    <w:rsid w:val="187D53EA"/>
    <w:rsid w:val="187E183C"/>
    <w:rsid w:val="187F5606"/>
    <w:rsid w:val="18897A76"/>
    <w:rsid w:val="18915F7D"/>
    <w:rsid w:val="189323D2"/>
    <w:rsid w:val="189C1D14"/>
    <w:rsid w:val="189C6B47"/>
    <w:rsid w:val="189F0033"/>
    <w:rsid w:val="189F6306"/>
    <w:rsid w:val="18A9309D"/>
    <w:rsid w:val="18A94431"/>
    <w:rsid w:val="18B530E6"/>
    <w:rsid w:val="18D0220A"/>
    <w:rsid w:val="18D55226"/>
    <w:rsid w:val="18D92AB2"/>
    <w:rsid w:val="18DA0A8E"/>
    <w:rsid w:val="18F60FEE"/>
    <w:rsid w:val="19031011"/>
    <w:rsid w:val="1905081B"/>
    <w:rsid w:val="1906447F"/>
    <w:rsid w:val="190747EA"/>
    <w:rsid w:val="19084C0F"/>
    <w:rsid w:val="190E24E6"/>
    <w:rsid w:val="192153E9"/>
    <w:rsid w:val="19227923"/>
    <w:rsid w:val="1926400E"/>
    <w:rsid w:val="19266C21"/>
    <w:rsid w:val="193442BF"/>
    <w:rsid w:val="193556DA"/>
    <w:rsid w:val="193B777F"/>
    <w:rsid w:val="19551779"/>
    <w:rsid w:val="19641994"/>
    <w:rsid w:val="196D36B1"/>
    <w:rsid w:val="197D4F61"/>
    <w:rsid w:val="19832A18"/>
    <w:rsid w:val="19857A7E"/>
    <w:rsid w:val="198D3D53"/>
    <w:rsid w:val="199C2C76"/>
    <w:rsid w:val="19AE79AF"/>
    <w:rsid w:val="19C06BAC"/>
    <w:rsid w:val="19C332D1"/>
    <w:rsid w:val="19D35C0A"/>
    <w:rsid w:val="19DD0836"/>
    <w:rsid w:val="19E33973"/>
    <w:rsid w:val="19EC6E93"/>
    <w:rsid w:val="1A013E23"/>
    <w:rsid w:val="1A025464"/>
    <w:rsid w:val="1A08254F"/>
    <w:rsid w:val="1A0D51DE"/>
    <w:rsid w:val="1A1D0525"/>
    <w:rsid w:val="1A1F5FC2"/>
    <w:rsid w:val="1A255D39"/>
    <w:rsid w:val="1A35494D"/>
    <w:rsid w:val="1A504FBA"/>
    <w:rsid w:val="1A512FD2"/>
    <w:rsid w:val="1A543EDD"/>
    <w:rsid w:val="1A89276C"/>
    <w:rsid w:val="1A8A011D"/>
    <w:rsid w:val="1A8A098C"/>
    <w:rsid w:val="1A9058A9"/>
    <w:rsid w:val="1A961EAB"/>
    <w:rsid w:val="1A9D1D74"/>
    <w:rsid w:val="1A9D50B9"/>
    <w:rsid w:val="1AA21A2C"/>
    <w:rsid w:val="1AA33992"/>
    <w:rsid w:val="1AB07CF9"/>
    <w:rsid w:val="1ACB4F39"/>
    <w:rsid w:val="1AD11A1D"/>
    <w:rsid w:val="1AF7145A"/>
    <w:rsid w:val="1AF8344E"/>
    <w:rsid w:val="1B024B28"/>
    <w:rsid w:val="1B046FF5"/>
    <w:rsid w:val="1B0B56ED"/>
    <w:rsid w:val="1B1D4C62"/>
    <w:rsid w:val="1B214753"/>
    <w:rsid w:val="1B237BE2"/>
    <w:rsid w:val="1B2B711A"/>
    <w:rsid w:val="1B3202FC"/>
    <w:rsid w:val="1B352404"/>
    <w:rsid w:val="1B3A4F50"/>
    <w:rsid w:val="1B3E11C2"/>
    <w:rsid w:val="1B3F4F65"/>
    <w:rsid w:val="1B46065D"/>
    <w:rsid w:val="1B4C784B"/>
    <w:rsid w:val="1B506DE6"/>
    <w:rsid w:val="1B513751"/>
    <w:rsid w:val="1B583A4F"/>
    <w:rsid w:val="1B5C214D"/>
    <w:rsid w:val="1B5E59A7"/>
    <w:rsid w:val="1B693508"/>
    <w:rsid w:val="1B722B13"/>
    <w:rsid w:val="1B801CBC"/>
    <w:rsid w:val="1B8604FC"/>
    <w:rsid w:val="1B866CAC"/>
    <w:rsid w:val="1B926382"/>
    <w:rsid w:val="1B983AAE"/>
    <w:rsid w:val="1BB80F30"/>
    <w:rsid w:val="1BC05D1A"/>
    <w:rsid w:val="1BC33BCD"/>
    <w:rsid w:val="1BC53330"/>
    <w:rsid w:val="1BD33F93"/>
    <w:rsid w:val="1BDD5D15"/>
    <w:rsid w:val="1BE263EE"/>
    <w:rsid w:val="1BE74802"/>
    <w:rsid w:val="1BE830F3"/>
    <w:rsid w:val="1BEB53FC"/>
    <w:rsid w:val="1BEF4851"/>
    <w:rsid w:val="1BF10251"/>
    <w:rsid w:val="1C133046"/>
    <w:rsid w:val="1C153C9B"/>
    <w:rsid w:val="1C1549BE"/>
    <w:rsid w:val="1C217434"/>
    <w:rsid w:val="1C252617"/>
    <w:rsid w:val="1C2A3ADB"/>
    <w:rsid w:val="1C3031EB"/>
    <w:rsid w:val="1C381D54"/>
    <w:rsid w:val="1C3F3288"/>
    <w:rsid w:val="1C4533E6"/>
    <w:rsid w:val="1C4C57FF"/>
    <w:rsid w:val="1C4E1577"/>
    <w:rsid w:val="1C4E69F6"/>
    <w:rsid w:val="1C5A4EED"/>
    <w:rsid w:val="1C5E26D8"/>
    <w:rsid w:val="1C5F6A85"/>
    <w:rsid w:val="1C623275"/>
    <w:rsid w:val="1C702A36"/>
    <w:rsid w:val="1C744D56"/>
    <w:rsid w:val="1C7B4336"/>
    <w:rsid w:val="1C7D4C2B"/>
    <w:rsid w:val="1C80715D"/>
    <w:rsid w:val="1C8651B5"/>
    <w:rsid w:val="1C9B5BDD"/>
    <w:rsid w:val="1C9C14D6"/>
    <w:rsid w:val="1CA10E81"/>
    <w:rsid w:val="1CBF7BEB"/>
    <w:rsid w:val="1CDE3150"/>
    <w:rsid w:val="1CE65C54"/>
    <w:rsid w:val="1CEE4B08"/>
    <w:rsid w:val="1CF4520D"/>
    <w:rsid w:val="1CF85987"/>
    <w:rsid w:val="1CFD2F9D"/>
    <w:rsid w:val="1D015152"/>
    <w:rsid w:val="1D061E52"/>
    <w:rsid w:val="1D0936F0"/>
    <w:rsid w:val="1D0D3CA0"/>
    <w:rsid w:val="1D115195"/>
    <w:rsid w:val="1D1E20AF"/>
    <w:rsid w:val="1D1E3640"/>
    <w:rsid w:val="1D3C38E1"/>
    <w:rsid w:val="1D3F35B6"/>
    <w:rsid w:val="1D4209B0"/>
    <w:rsid w:val="1D48246B"/>
    <w:rsid w:val="1D4A5240"/>
    <w:rsid w:val="1D4D5CD3"/>
    <w:rsid w:val="1D556F46"/>
    <w:rsid w:val="1D565ED3"/>
    <w:rsid w:val="1D5F5A06"/>
    <w:rsid w:val="1D61352C"/>
    <w:rsid w:val="1D651898"/>
    <w:rsid w:val="1D692489"/>
    <w:rsid w:val="1D6F270B"/>
    <w:rsid w:val="1D7209B4"/>
    <w:rsid w:val="1D725739"/>
    <w:rsid w:val="1D730DF9"/>
    <w:rsid w:val="1D797C9A"/>
    <w:rsid w:val="1D800675"/>
    <w:rsid w:val="1D9B4896"/>
    <w:rsid w:val="1DA03EEE"/>
    <w:rsid w:val="1DB1791A"/>
    <w:rsid w:val="1DB3215E"/>
    <w:rsid w:val="1DD20680"/>
    <w:rsid w:val="1DDB508D"/>
    <w:rsid w:val="1DDC2BB3"/>
    <w:rsid w:val="1DE63A32"/>
    <w:rsid w:val="1DF63C75"/>
    <w:rsid w:val="1DFD3BAA"/>
    <w:rsid w:val="1E004AF3"/>
    <w:rsid w:val="1E122A78"/>
    <w:rsid w:val="1E234C86"/>
    <w:rsid w:val="1E2817B3"/>
    <w:rsid w:val="1E2A6014"/>
    <w:rsid w:val="1E3E1D2D"/>
    <w:rsid w:val="1E4075E6"/>
    <w:rsid w:val="1E4E4B14"/>
    <w:rsid w:val="1E566E09"/>
    <w:rsid w:val="1E6136D3"/>
    <w:rsid w:val="1E665C43"/>
    <w:rsid w:val="1E6A399F"/>
    <w:rsid w:val="1E6C3F37"/>
    <w:rsid w:val="1E7D6144"/>
    <w:rsid w:val="1E83448C"/>
    <w:rsid w:val="1E8A5433"/>
    <w:rsid w:val="1E8D15F0"/>
    <w:rsid w:val="1E8E56B0"/>
    <w:rsid w:val="1E8E65A3"/>
    <w:rsid w:val="1E951A03"/>
    <w:rsid w:val="1E95629E"/>
    <w:rsid w:val="1E9B0CC0"/>
    <w:rsid w:val="1E9B2A6E"/>
    <w:rsid w:val="1EB4768C"/>
    <w:rsid w:val="1EBA7398"/>
    <w:rsid w:val="1EC75611"/>
    <w:rsid w:val="1ECE4BF1"/>
    <w:rsid w:val="1ED50F3E"/>
    <w:rsid w:val="1EDC730E"/>
    <w:rsid w:val="1EE461C3"/>
    <w:rsid w:val="1EE6018D"/>
    <w:rsid w:val="1EE67113"/>
    <w:rsid w:val="1EF90CB3"/>
    <w:rsid w:val="1EFD4B6C"/>
    <w:rsid w:val="1EFF339B"/>
    <w:rsid w:val="1F08738A"/>
    <w:rsid w:val="1F09121B"/>
    <w:rsid w:val="1F0C2E2F"/>
    <w:rsid w:val="1F0D396C"/>
    <w:rsid w:val="1F185E6D"/>
    <w:rsid w:val="1F321584"/>
    <w:rsid w:val="1F330C4D"/>
    <w:rsid w:val="1F470500"/>
    <w:rsid w:val="1F486949"/>
    <w:rsid w:val="1F552C1D"/>
    <w:rsid w:val="1F5C0367"/>
    <w:rsid w:val="1F72557D"/>
    <w:rsid w:val="1F7E03C6"/>
    <w:rsid w:val="1F7F3B83"/>
    <w:rsid w:val="1F81363D"/>
    <w:rsid w:val="1F841754"/>
    <w:rsid w:val="1F8831C3"/>
    <w:rsid w:val="1F8A07CF"/>
    <w:rsid w:val="1F931539"/>
    <w:rsid w:val="1FAC7CB2"/>
    <w:rsid w:val="1FC5765C"/>
    <w:rsid w:val="1FCD2DF6"/>
    <w:rsid w:val="1FD752B1"/>
    <w:rsid w:val="1FDC50EC"/>
    <w:rsid w:val="1FF13AA8"/>
    <w:rsid w:val="1FF44874"/>
    <w:rsid w:val="1FFB6836"/>
    <w:rsid w:val="20112DDA"/>
    <w:rsid w:val="2014732D"/>
    <w:rsid w:val="20166850"/>
    <w:rsid w:val="20197022"/>
    <w:rsid w:val="201B3E66"/>
    <w:rsid w:val="20215745"/>
    <w:rsid w:val="20280331"/>
    <w:rsid w:val="203469E9"/>
    <w:rsid w:val="203931EC"/>
    <w:rsid w:val="20451316"/>
    <w:rsid w:val="204A5285"/>
    <w:rsid w:val="20577E1E"/>
    <w:rsid w:val="20723AC4"/>
    <w:rsid w:val="207B2B57"/>
    <w:rsid w:val="207F2AC4"/>
    <w:rsid w:val="20A8480D"/>
    <w:rsid w:val="20AE2116"/>
    <w:rsid w:val="20B67257"/>
    <w:rsid w:val="20BA7699"/>
    <w:rsid w:val="20CC5A0D"/>
    <w:rsid w:val="20CD46BF"/>
    <w:rsid w:val="20CF1FDD"/>
    <w:rsid w:val="20D858B3"/>
    <w:rsid w:val="20DB1848"/>
    <w:rsid w:val="20DB35F6"/>
    <w:rsid w:val="20E06E5E"/>
    <w:rsid w:val="20E70C92"/>
    <w:rsid w:val="20EF0E4F"/>
    <w:rsid w:val="20FB77F4"/>
    <w:rsid w:val="21012879"/>
    <w:rsid w:val="210449CD"/>
    <w:rsid w:val="210F67FD"/>
    <w:rsid w:val="212744A0"/>
    <w:rsid w:val="2136082C"/>
    <w:rsid w:val="2137435B"/>
    <w:rsid w:val="21380A48"/>
    <w:rsid w:val="21427D49"/>
    <w:rsid w:val="215C4736"/>
    <w:rsid w:val="215E38B2"/>
    <w:rsid w:val="216A79EF"/>
    <w:rsid w:val="216E6218"/>
    <w:rsid w:val="216F5067"/>
    <w:rsid w:val="217A4BBD"/>
    <w:rsid w:val="217E28FF"/>
    <w:rsid w:val="21823A71"/>
    <w:rsid w:val="21845E2F"/>
    <w:rsid w:val="2197751D"/>
    <w:rsid w:val="21997739"/>
    <w:rsid w:val="219A7F6F"/>
    <w:rsid w:val="219D2E11"/>
    <w:rsid w:val="21A47E8B"/>
    <w:rsid w:val="21AD2863"/>
    <w:rsid w:val="21B46321"/>
    <w:rsid w:val="21C4408A"/>
    <w:rsid w:val="21D342CD"/>
    <w:rsid w:val="21DE0DD2"/>
    <w:rsid w:val="21E85FCA"/>
    <w:rsid w:val="21ED538F"/>
    <w:rsid w:val="21FA7BC8"/>
    <w:rsid w:val="21FF77F1"/>
    <w:rsid w:val="2209673D"/>
    <w:rsid w:val="22097CEF"/>
    <w:rsid w:val="221A409F"/>
    <w:rsid w:val="22266F2D"/>
    <w:rsid w:val="223236E9"/>
    <w:rsid w:val="223A0B53"/>
    <w:rsid w:val="223A2D60"/>
    <w:rsid w:val="224018EB"/>
    <w:rsid w:val="22484984"/>
    <w:rsid w:val="224D11D2"/>
    <w:rsid w:val="224D407F"/>
    <w:rsid w:val="224F4AB9"/>
    <w:rsid w:val="22552F34"/>
    <w:rsid w:val="22620EB7"/>
    <w:rsid w:val="226460A0"/>
    <w:rsid w:val="226E2973"/>
    <w:rsid w:val="227930C6"/>
    <w:rsid w:val="22853819"/>
    <w:rsid w:val="22857CBD"/>
    <w:rsid w:val="22902F40"/>
    <w:rsid w:val="22943A5C"/>
    <w:rsid w:val="229E2C22"/>
    <w:rsid w:val="22A00859"/>
    <w:rsid w:val="22A06A5E"/>
    <w:rsid w:val="22A2261D"/>
    <w:rsid w:val="22A9688E"/>
    <w:rsid w:val="22B1460E"/>
    <w:rsid w:val="22C81958"/>
    <w:rsid w:val="22CE6A96"/>
    <w:rsid w:val="22D07470"/>
    <w:rsid w:val="22DF561F"/>
    <w:rsid w:val="22E12559"/>
    <w:rsid w:val="22E738E1"/>
    <w:rsid w:val="22ED5F44"/>
    <w:rsid w:val="22F8223D"/>
    <w:rsid w:val="22F97D63"/>
    <w:rsid w:val="230C030B"/>
    <w:rsid w:val="230D5EF9"/>
    <w:rsid w:val="230E1A60"/>
    <w:rsid w:val="231150AD"/>
    <w:rsid w:val="231F1167"/>
    <w:rsid w:val="231F5A1C"/>
    <w:rsid w:val="23203542"/>
    <w:rsid w:val="23217FE2"/>
    <w:rsid w:val="23250B58"/>
    <w:rsid w:val="232C031C"/>
    <w:rsid w:val="232E5C5F"/>
    <w:rsid w:val="232F19D7"/>
    <w:rsid w:val="233174FD"/>
    <w:rsid w:val="23391B3E"/>
    <w:rsid w:val="233C3B2A"/>
    <w:rsid w:val="23474F6A"/>
    <w:rsid w:val="23490CEA"/>
    <w:rsid w:val="234B5AC7"/>
    <w:rsid w:val="234D4D9E"/>
    <w:rsid w:val="235859DB"/>
    <w:rsid w:val="235C2BD4"/>
    <w:rsid w:val="23723533"/>
    <w:rsid w:val="237351EB"/>
    <w:rsid w:val="23871813"/>
    <w:rsid w:val="238C02C6"/>
    <w:rsid w:val="238F0227"/>
    <w:rsid w:val="23A02A2A"/>
    <w:rsid w:val="23A128D5"/>
    <w:rsid w:val="23A5630C"/>
    <w:rsid w:val="23A83C63"/>
    <w:rsid w:val="23AD31BB"/>
    <w:rsid w:val="23BA11D0"/>
    <w:rsid w:val="23C12F77"/>
    <w:rsid w:val="23C538BB"/>
    <w:rsid w:val="23C6058D"/>
    <w:rsid w:val="23C80946"/>
    <w:rsid w:val="23D15EA5"/>
    <w:rsid w:val="23D42CAA"/>
    <w:rsid w:val="23D83E1C"/>
    <w:rsid w:val="23DA50BA"/>
    <w:rsid w:val="23E62F95"/>
    <w:rsid w:val="23E6478B"/>
    <w:rsid w:val="23FF4341"/>
    <w:rsid w:val="24027869"/>
    <w:rsid w:val="240946C2"/>
    <w:rsid w:val="24165CAC"/>
    <w:rsid w:val="24212E47"/>
    <w:rsid w:val="2428002A"/>
    <w:rsid w:val="24373239"/>
    <w:rsid w:val="243C43AB"/>
    <w:rsid w:val="243E29A8"/>
    <w:rsid w:val="243F2CD0"/>
    <w:rsid w:val="244A4D1A"/>
    <w:rsid w:val="244D0366"/>
    <w:rsid w:val="246738E6"/>
    <w:rsid w:val="24711D6E"/>
    <w:rsid w:val="247840E5"/>
    <w:rsid w:val="247D3B09"/>
    <w:rsid w:val="248024EA"/>
    <w:rsid w:val="248754E8"/>
    <w:rsid w:val="249229AF"/>
    <w:rsid w:val="24A324DF"/>
    <w:rsid w:val="24AA38A8"/>
    <w:rsid w:val="24AC04BE"/>
    <w:rsid w:val="24B970CD"/>
    <w:rsid w:val="24C45F61"/>
    <w:rsid w:val="24C809DF"/>
    <w:rsid w:val="24DE36B4"/>
    <w:rsid w:val="24DE3A8A"/>
    <w:rsid w:val="24DE71DA"/>
    <w:rsid w:val="24ED56A6"/>
    <w:rsid w:val="24FD139F"/>
    <w:rsid w:val="25027166"/>
    <w:rsid w:val="25030EBC"/>
    <w:rsid w:val="25034EC9"/>
    <w:rsid w:val="251315B0"/>
    <w:rsid w:val="251470D6"/>
    <w:rsid w:val="25162E4E"/>
    <w:rsid w:val="25210659"/>
    <w:rsid w:val="252437BD"/>
    <w:rsid w:val="252747CB"/>
    <w:rsid w:val="25276E09"/>
    <w:rsid w:val="252A3007"/>
    <w:rsid w:val="252B0413"/>
    <w:rsid w:val="25342F93"/>
    <w:rsid w:val="25360BAA"/>
    <w:rsid w:val="25396B3D"/>
    <w:rsid w:val="254B70B5"/>
    <w:rsid w:val="25560F8D"/>
    <w:rsid w:val="257539B1"/>
    <w:rsid w:val="257D6A6B"/>
    <w:rsid w:val="2581038F"/>
    <w:rsid w:val="258A6C07"/>
    <w:rsid w:val="25940ADF"/>
    <w:rsid w:val="259A75DB"/>
    <w:rsid w:val="259C72D7"/>
    <w:rsid w:val="25A34EE5"/>
    <w:rsid w:val="25B11518"/>
    <w:rsid w:val="25B86563"/>
    <w:rsid w:val="25C72F35"/>
    <w:rsid w:val="25E82A3D"/>
    <w:rsid w:val="25EF488C"/>
    <w:rsid w:val="25F0369F"/>
    <w:rsid w:val="25F56F08"/>
    <w:rsid w:val="260470EF"/>
    <w:rsid w:val="26063C58"/>
    <w:rsid w:val="26086C3B"/>
    <w:rsid w:val="260929B3"/>
    <w:rsid w:val="260D5FFF"/>
    <w:rsid w:val="261B6D15"/>
    <w:rsid w:val="262275D1"/>
    <w:rsid w:val="263E440B"/>
    <w:rsid w:val="26485E88"/>
    <w:rsid w:val="26491D12"/>
    <w:rsid w:val="26541E80"/>
    <w:rsid w:val="26571970"/>
    <w:rsid w:val="2662331B"/>
    <w:rsid w:val="2665260C"/>
    <w:rsid w:val="2666570F"/>
    <w:rsid w:val="26865DB2"/>
    <w:rsid w:val="268D25C9"/>
    <w:rsid w:val="26976F23"/>
    <w:rsid w:val="269E11F8"/>
    <w:rsid w:val="26A30712"/>
    <w:rsid w:val="26A5092E"/>
    <w:rsid w:val="26A5778B"/>
    <w:rsid w:val="26AA0AB8"/>
    <w:rsid w:val="26AA4DFD"/>
    <w:rsid w:val="26AA7E4F"/>
    <w:rsid w:val="26B10013"/>
    <w:rsid w:val="26BB5A5B"/>
    <w:rsid w:val="26C16DEA"/>
    <w:rsid w:val="26C37006"/>
    <w:rsid w:val="26DA5D12"/>
    <w:rsid w:val="26DD354F"/>
    <w:rsid w:val="26E20CC5"/>
    <w:rsid w:val="26E74AA2"/>
    <w:rsid w:val="26E80B9F"/>
    <w:rsid w:val="26F07063"/>
    <w:rsid w:val="2704340F"/>
    <w:rsid w:val="27107221"/>
    <w:rsid w:val="271C3A87"/>
    <w:rsid w:val="271E423C"/>
    <w:rsid w:val="273E05F3"/>
    <w:rsid w:val="273E668C"/>
    <w:rsid w:val="274719E5"/>
    <w:rsid w:val="274C7086"/>
    <w:rsid w:val="275A34C6"/>
    <w:rsid w:val="275A5859"/>
    <w:rsid w:val="275C3BDB"/>
    <w:rsid w:val="27624129"/>
    <w:rsid w:val="27672D55"/>
    <w:rsid w:val="27693709"/>
    <w:rsid w:val="277327DA"/>
    <w:rsid w:val="27734588"/>
    <w:rsid w:val="27767BD4"/>
    <w:rsid w:val="2788225F"/>
    <w:rsid w:val="278C20C3"/>
    <w:rsid w:val="27A13E04"/>
    <w:rsid w:val="27A44741"/>
    <w:rsid w:val="27B76736"/>
    <w:rsid w:val="27BD3A55"/>
    <w:rsid w:val="27C7269C"/>
    <w:rsid w:val="27C747D2"/>
    <w:rsid w:val="27CB43C4"/>
    <w:rsid w:val="27DA088D"/>
    <w:rsid w:val="27DC35BE"/>
    <w:rsid w:val="27DC618E"/>
    <w:rsid w:val="27EE00B2"/>
    <w:rsid w:val="27F154AD"/>
    <w:rsid w:val="27FA0805"/>
    <w:rsid w:val="27FC27CF"/>
    <w:rsid w:val="27FF7BCA"/>
    <w:rsid w:val="2800179A"/>
    <w:rsid w:val="280176DC"/>
    <w:rsid w:val="28036776"/>
    <w:rsid w:val="28081174"/>
    <w:rsid w:val="28101DD7"/>
    <w:rsid w:val="28291ED0"/>
    <w:rsid w:val="282A3538"/>
    <w:rsid w:val="282B6C11"/>
    <w:rsid w:val="28307859"/>
    <w:rsid w:val="284D3CAA"/>
    <w:rsid w:val="286978B9"/>
    <w:rsid w:val="28717D64"/>
    <w:rsid w:val="28765E4A"/>
    <w:rsid w:val="287D0A7D"/>
    <w:rsid w:val="287F3F80"/>
    <w:rsid w:val="288B550D"/>
    <w:rsid w:val="28904CC6"/>
    <w:rsid w:val="289A25AC"/>
    <w:rsid w:val="28A37110"/>
    <w:rsid w:val="28A67820"/>
    <w:rsid w:val="28A85BEC"/>
    <w:rsid w:val="28AA02DF"/>
    <w:rsid w:val="28BF16B8"/>
    <w:rsid w:val="28D24A18"/>
    <w:rsid w:val="28F03549"/>
    <w:rsid w:val="28FC235B"/>
    <w:rsid w:val="290C47B3"/>
    <w:rsid w:val="290F02E0"/>
    <w:rsid w:val="291C7A03"/>
    <w:rsid w:val="292024ED"/>
    <w:rsid w:val="2923535B"/>
    <w:rsid w:val="2937280B"/>
    <w:rsid w:val="2938027B"/>
    <w:rsid w:val="293B69C3"/>
    <w:rsid w:val="293C5D8D"/>
    <w:rsid w:val="293C768F"/>
    <w:rsid w:val="293E7836"/>
    <w:rsid w:val="29471828"/>
    <w:rsid w:val="297D72D1"/>
    <w:rsid w:val="2989337E"/>
    <w:rsid w:val="298F4F7D"/>
    <w:rsid w:val="29A62ABE"/>
    <w:rsid w:val="29A7676B"/>
    <w:rsid w:val="29B12503"/>
    <w:rsid w:val="29B175E9"/>
    <w:rsid w:val="29BB733F"/>
    <w:rsid w:val="29C1591E"/>
    <w:rsid w:val="29C40D94"/>
    <w:rsid w:val="29C76E0D"/>
    <w:rsid w:val="29CB590F"/>
    <w:rsid w:val="29D753DC"/>
    <w:rsid w:val="29DA4244"/>
    <w:rsid w:val="29DE3B3C"/>
    <w:rsid w:val="29E10AE3"/>
    <w:rsid w:val="29F10FDB"/>
    <w:rsid w:val="29F87018"/>
    <w:rsid w:val="29FA7714"/>
    <w:rsid w:val="2A0C4820"/>
    <w:rsid w:val="2A0C5CA9"/>
    <w:rsid w:val="2A0F732E"/>
    <w:rsid w:val="2A1B0723"/>
    <w:rsid w:val="2A25006E"/>
    <w:rsid w:val="2A29366C"/>
    <w:rsid w:val="2A361FCD"/>
    <w:rsid w:val="2A495030"/>
    <w:rsid w:val="2A5D4A62"/>
    <w:rsid w:val="2A64465C"/>
    <w:rsid w:val="2A657557"/>
    <w:rsid w:val="2A676E5E"/>
    <w:rsid w:val="2A6913FC"/>
    <w:rsid w:val="2A6A0889"/>
    <w:rsid w:val="2A742C87"/>
    <w:rsid w:val="2A744FD7"/>
    <w:rsid w:val="2A7725E1"/>
    <w:rsid w:val="2A7D127A"/>
    <w:rsid w:val="2A846AAC"/>
    <w:rsid w:val="2A847B4D"/>
    <w:rsid w:val="2A863682"/>
    <w:rsid w:val="2A88034A"/>
    <w:rsid w:val="2A9E191C"/>
    <w:rsid w:val="2A9F592C"/>
    <w:rsid w:val="2AA607D0"/>
    <w:rsid w:val="2AA67478"/>
    <w:rsid w:val="2AA91BCB"/>
    <w:rsid w:val="2AB078A1"/>
    <w:rsid w:val="2ACB0237"/>
    <w:rsid w:val="2ACD4246"/>
    <w:rsid w:val="2AE03B41"/>
    <w:rsid w:val="2AE13C55"/>
    <w:rsid w:val="2AEA31A7"/>
    <w:rsid w:val="2AEC7B2C"/>
    <w:rsid w:val="2AEF2222"/>
    <w:rsid w:val="2AF03128"/>
    <w:rsid w:val="2AF23A16"/>
    <w:rsid w:val="2AF61758"/>
    <w:rsid w:val="2B073965"/>
    <w:rsid w:val="2B086B70"/>
    <w:rsid w:val="2B0D02CF"/>
    <w:rsid w:val="2B0D4CF3"/>
    <w:rsid w:val="2B222751"/>
    <w:rsid w:val="2B255B99"/>
    <w:rsid w:val="2B260191"/>
    <w:rsid w:val="2B2F6A18"/>
    <w:rsid w:val="2B312790"/>
    <w:rsid w:val="2B3247EE"/>
    <w:rsid w:val="2B41031C"/>
    <w:rsid w:val="2B445E93"/>
    <w:rsid w:val="2B485D2C"/>
    <w:rsid w:val="2B4C74E5"/>
    <w:rsid w:val="2B505BE2"/>
    <w:rsid w:val="2B530D68"/>
    <w:rsid w:val="2B604E23"/>
    <w:rsid w:val="2B680E5D"/>
    <w:rsid w:val="2B705B4D"/>
    <w:rsid w:val="2B723F53"/>
    <w:rsid w:val="2B8D373E"/>
    <w:rsid w:val="2B997798"/>
    <w:rsid w:val="2B9E594C"/>
    <w:rsid w:val="2BA271EA"/>
    <w:rsid w:val="2BCF1FA9"/>
    <w:rsid w:val="2BDB094E"/>
    <w:rsid w:val="2BDF21EC"/>
    <w:rsid w:val="2BE17E82"/>
    <w:rsid w:val="2BE61D13"/>
    <w:rsid w:val="2BE664C3"/>
    <w:rsid w:val="2BEB75B2"/>
    <w:rsid w:val="2BF10171"/>
    <w:rsid w:val="2C0E2AD1"/>
    <w:rsid w:val="2C120027"/>
    <w:rsid w:val="2C1402C1"/>
    <w:rsid w:val="2C167E8F"/>
    <w:rsid w:val="2C1A3224"/>
    <w:rsid w:val="2C2045B2"/>
    <w:rsid w:val="2C287B13"/>
    <w:rsid w:val="2C3A3ED8"/>
    <w:rsid w:val="2C4B603D"/>
    <w:rsid w:val="2C536736"/>
    <w:rsid w:val="2C6173C0"/>
    <w:rsid w:val="2C74237E"/>
    <w:rsid w:val="2C77016A"/>
    <w:rsid w:val="2C7C350C"/>
    <w:rsid w:val="2C8B56C2"/>
    <w:rsid w:val="2C981ABA"/>
    <w:rsid w:val="2C9A4365"/>
    <w:rsid w:val="2C9E6337"/>
    <w:rsid w:val="2CA31F00"/>
    <w:rsid w:val="2CA73033"/>
    <w:rsid w:val="2CAD22EA"/>
    <w:rsid w:val="2CB25B52"/>
    <w:rsid w:val="2CBC077F"/>
    <w:rsid w:val="2CBC42CC"/>
    <w:rsid w:val="2CC777C8"/>
    <w:rsid w:val="2CCB328B"/>
    <w:rsid w:val="2CCF7E1E"/>
    <w:rsid w:val="2CE55C82"/>
    <w:rsid w:val="2CF23619"/>
    <w:rsid w:val="2CF47464"/>
    <w:rsid w:val="2D010A6A"/>
    <w:rsid w:val="2D132788"/>
    <w:rsid w:val="2D146663"/>
    <w:rsid w:val="2D1B430E"/>
    <w:rsid w:val="2D1C7470"/>
    <w:rsid w:val="2D202ABC"/>
    <w:rsid w:val="2D251D42"/>
    <w:rsid w:val="2D27681D"/>
    <w:rsid w:val="2D295C56"/>
    <w:rsid w:val="2D2B1461"/>
    <w:rsid w:val="2D305D1D"/>
    <w:rsid w:val="2D346658"/>
    <w:rsid w:val="2D416E2A"/>
    <w:rsid w:val="2D480265"/>
    <w:rsid w:val="2D4C7A61"/>
    <w:rsid w:val="2D4F7564"/>
    <w:rsid w:val="2D542766"/>
    <w:rsid w:val="2D5B3AF4"/>
    <w:rsid w:val="2D634703"/>
    <w:rsid w:val="2D801837"/>
    <w:rsid w:val="2D834DF9"/>
    <w:rsid w:val="2D856DC3"/>
    <w:rsid w:val="2D870D8D"/>
    <w:rsid w:val="2D8800B2"/>
    <w:rsid w:val="2D8A262B"/>
    <w:rsid w:val="2DA278B2"/>
    <w:rsid w:val="2DAB0551"/>
    <w:rsid w:val="2DBB27E5"/>
    <w:rsid w:val="2DC53663"/>
    <w:rsid w:val="2DCA2DA2"/>
    <w:rsid w:val="2DCE076A"/>
    <w:rsid w:val="2DE5725A"/>
    <w:rsid w:val="2DEB6752"/>
    <w:rsid w:val="2DEC0BF0"/>
    <w:rsid w:val="2E007EF8"/>
    <w:rsid w:val="2E026666"/>
    <w:rsid w:val="2E183793"/>
    <w:rsid w:val="2E276819"/>
    <w:rsid w:val="2E352597"/>
    <w:rsid w:val="2E367050"/>
    <w:rsid w:val="2E497DF1"/>
    <w:rsid w:val="2E4D5985"/>
    <w:rsid w:val="2E514EF7"/>
    <w:rsid w:val="2E5642BC"/>
    <w:rsid w:val="2E5822BF"/>
    <w:rsid w:val="2E5C5D76"/>
    <w:rsid w:val="2E5F5866"/>
    <w:rsid w:val="2E67471B"/>
    <w:rsid w:val="2E756BD9"/>
    <w:rsid w:val="2E840A65"/>
    <w:rsid w:val="2E9574DA"/>
    <w:rsid w:val="2E960B5C"/>
    <w:rsid w:val="2EA817DE"/>
    <w:rsid w:val="2EBE07DF"/>
    <w:rsid w:val="2ED06AAD"/>
    <w:rsid w:val="2ED72BE7"/>
    <w:rsid w:val="2ED7364E"/>
    <w:rsid w:val="2EE144CD"/>
    <w:rsid w:val="2EE93382"/>
    <w:rsid w:val="2EEA72AB"/>
    <w:rsid w:val="2EFF1303"/>
    <w:rsid w:val="2F1016CE"/>
    <w:rsid w:val="2F1403FE"/>
    <w:rsid w:val="2F162D76"/>
    <w:rsid w:val="2F195A15"/>
    <w:rsid w:val="2F1C3757"/>
    <w:rsid w:val="2F233CAE"/>
    <w:rsid w:val="2F324D29"/>
    <w:rsid w:val="2F4F58DB"/>
    <w:rsid w:val="2F503623"/>
    <w:rsid w:val="2F666663"/>
    <w:rsid w:val="2F940EDD"/>
    <w:rsid w:val="2F985BB8"/>
    <w:rsid w:val="2FA459FF"/>
    <w:rsid w:val="2FA71273"/>
    <w:rsid w:val="2FBB4416"/>
    <w:rsid w:val="2FC33BD3"/>
    <w:rsid w:val="2FD2000A"/>
    <w:rsid w:val="2FD51F89"/>
    <w:rsid w:val="2FDB37C9"/>
    <w:rsid w:val="2FE0701E"/>
    <w:rsid w:val="2FE778C1"/>
    <w:rsid w:val="2FEC4ED7"/>
    <w:rsid w:val="2FEF2C1A"/>
    <w:rsid w:val="2FF51DD7"/>
    <w:rsid w:val="2FFF0BCF"/>
    <w:rsid w:val="30004E27"/>
    <w:rsid w:val="3001084F"/>
    <w:rsid w:val="300E30A0"/>
    <w:rsid w:val="3011436C"/>
    <w:rsid w:val="30136908"/>
    <w:rsid w:val="303D5733"/>
    <w:rsid w:val="304A6E4A"/>
    <w:rsid w:val="304E16EE"/>
    <w:rsid w:val="30585E66"/>
    <w:rsid w:val="306727B0"/>
    <w:rsid w:val="30701766"/>
    <w:rsid w:val="307F231E"/>
    <w:rsid w:val="30811272"/>
    <w:rsid w:val="3081665F"/>
    <w:rsid w:val="309C6B1F"/>
    <w:rsid w:val="30B22DCE"/>
    <w:rsid w:val="30B877E0"/>
    <w:rsid w:val="30BE3DCE"/>
    <w:rsid w:val="30BF5892"/>
    <w:rsid w:val="30C05B1B"/>
    <w:rsid w:val="30C22B15"/>
    <w:rsid w:val="30C44045"/>
    <w:rsid w:val="30C93E10"/>
    <w:rsid w:val="30D140CD"/>
    <w:rsid w:val="30DD0CC4"/>
    <w:rsid w:val="30EB1E2F"/>
    <w:rsid w:val="30EB518F"/>
    <w:rsid w:val="30ED43AF"/>
    <w:rsid w:val="30EE4C7F"/>
    <w:rsid w:val="30F009F7"/>
    <w:rsid w:val="30F26942"/>
    <w:rsid w:val="30F71D86"/>
    <w:rsid w:val="31015D52"/>
    <w:rsid w:val="31075B7E"/>
    <w:rsid w:val="310B6292"/>
    <w:rsid w:val="311346E6"/>
    <w:rsid w:val="3118734F"/>
    <w:rsid w:val="311E658C"/>
    <w:rsid w:val="31217C03"/>
    <w:rsid w:val="312223BA"/>
    <w:rsid w:val="31243C67"/>
    <w:rsid w:val="312B4876"/>
    <w:rsid w:val="31494069"/>
    <w:rsid w:val="314A1AEA"/>
    <w:rsid w:val="314D3EE9"/>
    <w:rsid w:val="314F489A"/>
    <w:rsid w:val="314F5B9A"/>
    <w:rsid w:val="316F641C"/>
    <w:rsid w:val="317D1040"/>
    <w:rsid w:val="31822DF7"/>
    <w:rsid w:val="31917E3F"/>
    <w:rsid w:val="31973569"/>
    <w:rsid w:val="31973AE1"/>
    <w:rsid w:val="31975317"/>
    <w:rsid w:val="31A072B4"/>
    <w:rsid w:val="31A35D1B"/>
    <w:rsid w:val="31B41A25"/>
    <w:rsid w:val="31B7641B"/>
    <w:rsid w:val="31BC044B"/>
    <w:rsid w:val="31C51E84"/>
    <w:rsid w:val="31CA3068"/>
    <w:rsid w:val="31D574D0"/>
    <w:rsid w:val="31E83DC4"/>
    <w:rsid w:val="31EA3699"/>
    <w:rsid w:val="31EF5153"/>
    <w:rsid w:val="31F34CA2"/>
    <w:rsid w:val="31FD3007"/>
    <w:rsid w:val="320A7897"/>
    <w:rsid w:val="32177F97"/>
    <w:rsid w:val="321D3A6E"/>
    <w:rsid w:val="321D550B"/>
    <w:rsid w:val="32231DA8"/>
    <w:rsid w:val="322814D9"/>
    <w:rsid w:val="322866A3"/>
    <w:rsid w:val="32337017"/>
    <w:rsid w:val="32337B76"/>
    <w:rsid w:val="323B1B64"/>
    <w:rsid w:val="323E39E4"/>
    <w:rsid w:val="3240775C"/>
    <w:rsid w:val="324609F9"/>
    <w:rsid w:val="324E3C27"/>
    <w:rsid w:val="3254102D"/>
    <w:rsid w:val="32587F06"/>
    <w:rsid w:val="326A79C4"/>
    <w:rsid w:val="326F322E"/>
    <w:rsid w:val="32774ADB"/>
    <w:rsid w:val="327C2C35"/>
    <w:rsid w:val="32911D66"/>
    <w:rsid w:val="329A50BF"/>
    <w:rsid w:val="329D4BAF"/>
    <w:rsid w:val="32B85545"/>
    <w:rsid w:val="32C1089D"/>
    <w:rsid w:val="32C82816"/>
    <w:rsid w:val="32C959A4"/>
    <w:rsid w:val="32D17C89"/>
    <w:rsid w:val="32D77B34"/>
    <w:rsid w:val="32DA370D"/>
    <w:rsid w:val="32E225C2"/>
    <w:rsid w:val="32E7121D"/>
    <w:rsid w:val="32EB3B6C"/>
    <w:rsid w:val="32F1378E"/>
    <w:rsid w:val="32F4189F"/>
    <w:rsid w:val="32F942EA"/>
    <w:rsid w:val="32FB322A"/>
    <w:rsid w:val="33030EB6"/>
    <w:rsid w:val="3303442D"/>
    <w:rsid w:val="330E181C"/>
    <w:rsid w:val="330E785B"/>
    <w:rsid w:val="331348F4"/>
    <w:rsid w:val="331470A0"/>
    <w:rsid w:val="331B1B0F"/>
    <w:rsid w:val="33214FC8"/>
    <w:rsid w:val="3333106F"/>
    <w:rsid w:val="3334290F"/>
    <w:rsid w:val="33357489"/>
    <w:rsid w:val="333A4819"/>
    <w:rsid w:val="333F6A58"/>
    <w:rsid w:val="334B2535"/>
    <w:rsid w:val="33512240"/>
    <w:rsid w:val="335214F5"/>
    <w:rsid w:val="3354249B"/>
    <w:rsid w:val="33544602"/>
    <w:rsid w:val="336254B1"/>
    <w:rsid w:val="33745EFF"/>
    <w:rsid w:val="337C6731"/>
    <w:rsid w:val="339064C2"/>
    <w:rsid w:val="33951CF7"/>
    <w:rsid w:val="339775A9"/>
    <w:rsid w:val="33AD4398"/>
    <w:rsid w:val="33B1570B"/>
    <w:rsid w:val="33BE302F"/>
    <w:rsid w:val="33CC1042"/>
    <w:rsid w:val="33CE4497"/>
    <w:rsid w:val="33CF6FEA"/>
    <w:rsid w:val="33D00590"/>
    <w:rsid w:val="33D55FEB"/>
    <w:rsid w:val="33D65682"/>
    <w:rsid w:val="34041CE3"/>
    <w:rsid w:val="341449FD"/>
    <w:rsid w:val="34192B39"/>
    <w:rsid w:val="341B3FDD"/>
    <w:rsid w:val="342235BE"/>
    <w:rsid w:val="342509B8"/>
    <w:rsid w:val="34313AAC"/>
    <w:rsid w:val="343624DE"/>
    <w:rsid w:val="343810A7"/>
    <w:rsid w:val="34423586"/>
    <w:rsid w:val="344319D6"/>
    <w:rsid w:val="34474DD2"/>
    <w:rsid w:val="344F5413"/>
    <w:rsid w:val="34572B3B"/>
    <w:rsid w:val="34747D11"/>
    <w:rsid w:val="347E1257"/>
    <w:rsid w:val="3481490C"/>
    <w:rsid w:val="34865BA8"/>
    <w:rsid w:val="34943D90"/>
    <w:rsid w:val="349A75F8"/>
    <w:rsid w:val="34A9783B"/>
    <w:rsid w:val="34B61F58"/>
    <w:rsid w:val="34BD6E42"/>
    <w:rsid w:val="34C54C4A"/>
    <w:rsid w:val="34CC177B"/>
    <w:rsid w:val="34D406E8"/>
    <w:rsid w:val="34D6203C"/>
    <w:rsid w:val="34D67ABD"/>
    <w:rsid w:val="34D96843"/>
    <w:rsid w:val="34DC540E"/>
    <w:rsid w:val="34E23E61"/>
    <w:rsid w:val="34F4706D"/>
    <w:rsid w:val="34F6535B"/>
    <w:rsid w:val="350031D3"/>
    <w:rsid w:val="35044A71"/>
    <w:rsid w:val="35052B8B"/>
    <w:rsid w:val="350A3A72"/>
    <w:rsid w:val="3519182B"/>
    <w:rsid w:val="351D2BBB"/>
    <w:rsid w:val="352558AF"/>
    <w:rsid w:val="35315E89"/>
    <w:rsid w:val="35384579"/>
    <w:rsid w:val="353A77E0"/>
    <w:rsid w:val="353D2C37"/>
    <w:rsid w:val="35523A2F"/>
    <w:rsid w:val="3553070C"/>
    <w:rsid w:val="35584DBD"/>
    <w:rsid w:val="35586B6B"/>
    <w:rsid w:val="35591A7D"/>
    <w:rsid w:val="355C133F"/>
    <w:rsid w:val="355E6A9D"/>
    <w:rsid w:val="3566572C"/>
    <w:rsid w:val="356B77FB"/>
    <w:rsid w:val="35777988"/>
    <w:rsid w:val="357B604D"/>
    <w:rsid w:val="35885F38"/>
    <w:rsid w:val="35925FB3"/>
    <w:rsid w:val="35944047"/>
    <w:rsid w:val="35A94F7B"/>
    <w:rsid w:val="35B446E9"/>
    <w:rsid w:val="35B44A6B"/>
    <w:rsid w:val="35B71A6F"/>
    <w:rsid w:val="35C673C5"/>
    <w:rsid w:val="35CF24DD"/>
    <w:rsid w:val="35D24B6F"/>
    <w:rsid w:val="35E55780"/>
    <w:rsid w:val="35F04FF6"/>
    <w:rsid w:val="35F2731C"/>
    <w:rsid w:val="360016DD"/>
    <w:rsid w:val="36085CF8"/>
    <w:rsid w:val="360C199D"/>
    <w:rsid w:val="361372D3"/>
    <w:rsid w:val="361374C5"/>
    <w:rsid w:val="361645B9"/>
    <w:rsid w:val="361C16E1"/>
    <w:rsid w:val="36224355"/>
    <w:rsid w:val="36345EE6"/>
    <w:rsid w:val="363650FE"/>
    <w:rsid w:val="363B27EF"/>
    <w:rsid w:val="364517E5"/>
    <w:rsid w:val="365300D2"/>
    <w:rsid w:val="366C64B5"/>
    <w:rsid w:val="36714388"/>
    <w:rsid w:val="36716300"/>
    <w:rsid w:val="36785F21"/>
    <w:rsid w:val="36793F05"/>
    <w:rsid w:val="36806379"/>
    <w:rsid w:val="36811C57"/>
    <w:rsid w:val="368573F8"/>
    <w:rsid w:val="368C4D1E"/>
    <w:rsid w:val="368D390B"/>
    <w:rsid w:val="36965B9D"/>
    <w:rsid w:val="369B1D40"/>
    <w:rsid w:val="369B3F26"/>
    <w:rsid w:val="36A0203F"/>
    <w:rsid w:val="36A95006"/>
    <w:rsid w:val="36AA789A"/>
    <w:rsid w:val="36AF3103"/>
    <w:rsid w:val="36AF4EB1"/>
    <w:rsid w:val="36BD343E"/>
    <w:rsid w:val="36BE6EA2"/>
    <w:rsid w:val="36C64D6A"/>
    <w:rsid w:val="36CD7EB7"/>
    <w:rsid w:val="36DE3A69"/>
    <w:rsid w:val="36E876D2"/>
    <w:rsid w:val="36E94CFA"/>
    <w:rsid w:val="3715036C"/>
    <w:rsid w:val="37164F30"/>
    <w:rsid w:val="37215DAE"/>
    <w:rsid w:val="3730072B"/>
    <w:rsid w:val="373D426B"/>
    <w:rsid w:val="37585548"/>
    <w:rsid w:val="375F0685"/>
    <w:rsid w:val="375F2433"/>
    <w:rsid w:val="37623CD1"/>
    <w:rsid w:val="37643220"/>
    <w:rsid w:val="376712E7"/>
    <w:rsid w:val="376B28F0"/>
    <w:rsid w:val="3772660A"/>
    <w:rsid w:val="377A4E9F"/>
    <w:rsid w:val="37886541"/>
    <w:rsid w:val="379579C1"/>
    <w:rsid w:val="37997C8F"/>
    <w:rsid w:val="379B33D8"/>
    <w:rsid w:val="379E73FF"/>
    <w:rsid w:val="37A656DD"/>
    <w:rsid w:val="37A83DDA"/>
    <w:rsid w:val="37B703F6"/>
    <w:rsid w:val="37BA3B0D"/>
    <w:rsid w:val="37BC1633"/>
    <w:rsid w:val="37BC2078"/>
    <w:rsid w:val="37CA01F4"/>
    <w:rsid w:val="37CE5077"/>
    <w:rsid w:val="37CE542D"/>
    <w:rsid w:val="37D050DF"/>
    <w:rsid w:val="37D5526E"/>
    <w:rsid w:val="37D65C56"/>
    <w:rsid w:val="37E312B6"/>
    <w:rsid w:val="37ED301A"/>
    <w:rsid w:val="37F82ABC"/>
    <w:rsid w:val="38044D88"/>
    <w:rsid w:val="380E2707"/>
    <w:rsid w:val="381274A5"/>
    <w:rsid w:val="38190339"/>
    <w:rsid w:val="382611A3"/>
    <w:rsid w:val="382C1EB7"/>
    <w:rsid w:val="384004B6"/>
    <w:rsid w:val="38447C54"/>
    <w:rsid w:val="38451629"/>
    <w:rsid w:val="38585BBA"/>
    <w:rsid w:val="386C58FB"/>
    <w:rsid w:val="386D15ED"/>
    <w:rsid w:val="387412EC"/>
    <w:rsid w:val="38806B05"/>
    <w:rsid w:val="38885904"/>
    <w:rsid w:val="38897633"/>
    <w:rsid w:val="389F7463"/>
    <w:rsid w:val="38AB2CA1"/>
    <w:rsid w:val="38AD5420"/>
    <w:rsid w:val="38AE0E59"/>
    <w:rsid w:val="38C05153"/>
    <w:rsid w:val="38C20ECB"/>
    <w:rsid w:val="38C45261"/>
    <w:rsid w:val="38D65DCF"/>
    <w:rsid w:val="38D812D2"/>
    <w:rsid w:val="38D838CC"/>
    <w:rsid w:val="38DA69D3"/>
    <w:rsid w:val="38E36885"/>
    <w:rsid w:val="38EC5F48"/>
    <w:rsid w:val="38F4757D"/>
    <w:rsid w:val="38F52C0D"/>
    <w:rsid w:val="38FA1BB8"/>
    <w:rsid w:val="38FB262F"/>
    <w:rsid w:val="39053C2C"/>
    <w:rsid w:val="39071F2E"/>
    <w:rsid w:val="3908401F"/>
    <w:rsid w:val="39194863"/>
    <w:rsid w:val="39203942"/>
    <w:rsid w:val="392A1B60"/>
    <w:rsid w:val="393A4F06"/>
    <w:rsid w:val="393D2C48"/>
    <w:rsid w:val="393E47BC"/>
    <w:rsid w:val="395301F3"/>
    <w:rsid w:val="395668FD"/>
    <w:rsid w:val="3961212F"/>
    <w:rsid w:val="397A7457"/>
    <w:rsid w:val="397F500E"/>
    <w:rsid w:val="39805FEF"/>
    <w:rsid w:val="3983340D"/>
    <w:rsid w:val="3998684B"/>
    <w:rsid w:val="39AC7D00"/>
    <w:rsid w:val="39C33310"/>
    <w:rsid w:val="39CB039F"/>
    <w:rsid w:val="39D37108"/>
    <w:rsid w:val="39D52E80"/>
    <w:rsid w:val="39F14956"/>
    <w:rsid w:val="39F529A3"/>
    <w:rsid w:val="39F86737"/>
    <w:rsid w:val="39FC7DAF"/>
    <w:rsid w:val="3A06303A"/>
    <w:rsid w:val="3A065683"/>
    <w:rsid w:val="3A091592"/>
    <w:rsid w:val="3A0C28D7"/>
    <w:rsid w:val="3A213828"/>
    <w:rsid w:val="3A2810D4"/>
    <w:rsid w:val="3A3A0F35"/>
    <w:rsid w:val="3A3C6994"/>
    <w:rsid w:val="3A401E6A"/>
    <w:rsid w:val="3A4728FD"/>
    <w:rsid w:val="3A4808C8"/>
    <w:rsid w:val="3A4D68B5"/>
    <w:rsid w:val="3A6B7341"/>
    <w:rsid w:val="3A6D4E67"/>
    <w:rsid w:val="3A804B9A"/>
    <w:rsid w:val="3A8F5F3B"/>
    <w:rsid w:val="3A916DA7"/>
    <w:rsid w:val="3A946897"/>
    <w:rsid w:val="3A992100"/>
    <w:rsid w:val="3AA9774C"/>
    <w:rsid w:val="3AAC02E7"/>
    <w:rsid w:val="3AAF36D1"/>
    <w:rsid w:val="3AB24F6F"/>
    <w:rsid w:val="3AB27E1F"/>
    <w:rsid w:val="3ABD5DEE"/>
    <w:rsid w:val="3ACD3B57"/>
    <w:rsid w:val="3AE046CB"/>
    <w:rsid w:val="3AE1176B"/>
    <w:rsid w:val="3AED34FB"/>
    <w:rsid w:val="3AEF1D20"/>
    <w:rsid w:val="3AF328C6"/>
    <w:rsid w:val="3AF56855"/>
    <w:rsid w:val="3AF65007"/>
    <w:rsid w:val="3B0357CB"/>
    <w:rsid w:val="3B044D5F"/>
    <w:rsid w:val="3B087EB7"/>
    <w:rsid w:val="3B131F41"/>
    <w:rsid w:val="3B1431A4"/>
    <w:rsid w:val="3B1C1648"/>
    <w:rsid w:val="3B1F1CFD"/>
    <w:rsid w:val="3B2D4032"/>
    <w:rsid w:val="3B2D45F6"/>
    <w:rsid w:val="3B302C64"/>
    <w:rsid w:val="3B3360B0"/>
    <w:rsid w:val="3B3616FD"/>
    <w:rsid w:val="3B4958D4"/>
    <w:rsid w:val="3B4A32D5"/>
    <w:rsid w:val="3B4C0F20"/>
    <w:rsid w:val="3B5A188F"/>
    <w:rsid w:val="3B632B7A"/>
    <w:rsid w:val="3B660234"/>
    <w:rsid w:val="3B6650C4"/>
    <w:rsid w:val="3B7364AD"/>
    <w:rsid w:val="3B8F7DBA"/>
    <w:rsid w:val="3B9129D1"/>
    <w:rsid w:val="3B950B19"/>
    <w:rsid w:val="3BA0301A"/>
    <w:rsid w:val="3BA130DD"/>
    <w:rsid w:val="3BAA5C47"/>
    <w:rsid w:val="3BB32D4D"/>
    <w:rsid w:val="3BBB6A8C"/>
    <w:rsid w:val="3BBF5492"/>
    <w:rsid w:val="3BC91625"/>
    <w:rsid w:val="3BCA75DD"/>
    <w:rsid w:val="3BD66CA2"/>
    <w:rsid w:val="3BD87FAF"/>
    <w:rsid w:val="3BDA477E"/>
    <w:rsid w:val="3BE420F4"/>
    <w:rsid w:val="3BE4284D"/>
    <w:rsid w:val="3BEE1FD7"/>
    <w:rsid w:val="3BFF1AFF"/>
    <w:rsid w:val="3C0435A9"/>
    <w:rsid w:val="3C0F7235"/>
    <w:rsid w:val="3C1A7270"/>
    <w:rsid w:val="3C241E9D"/>
    <w:rsid w:val="3C247E8C"/>
    <w:rsid w:val="3C272CA2"/>
    <w:rsid w:val="3C273326"/>
    <w:rsid w:val="3C2D27A2"/>
    <w:rsid w:val="3C2D50CD"/>
    <w:rsid w:val="3C3A116E"/>
    <w:rsid w:val="3C406CD7"/>
    <w:rsid w:val="3C4C13B1"/>
    <w:rsid w:val="3C4D31A2"/>
    <w:rsid w:val="3C5938F5"/>
    <w:rsid w:val="3C770EB3"/>
    <w:rsid w:val="3C7834E8"/>
    <w:rsid w:val="3C7E15AD"/>
    <w:rsid w:val="3C8534B2"/>
    <w:rsid w:val="3C866C31"/>
    <w:rsid w:val="3C880B2F"/>
    <w:rsid w:val="3C8A1D00"/>
    <w:rsid w:val="3CAF1DBE"/>
    <w:rsid w:val="3CB63022"/>
    <w:rsid w:val="3CB66F99"/>
    <w:rsid w:val="3CBD31B6"/>
    <w:rsid w:val="3CBE7BFC"/>
    <w:rsid w:val="3CC72F54"/>
    <w:rsid w:val="3CCD5370"/>
    <w:rsid w:val="3CCD7FE2"/>
    <w:rsid w:val="3CD42576"/>
    <w:rsid w:val="3CE4404F"/>
    <w:rsid w:val="3CEB3610"/>
    <w:rsid w:val="3D0C1C6D"/>
    <w:rsid w:val="3D114E3F"/>
    <w:rsid w:val="3D1337B6"/>
    <w:rsid w:val="3D16341B"/>
    <w:rsid w:val="3D1A7CCD"/>
    <w:rsid w:val="3D271561"/>
    <w:rsid w:val="3D3178F2"/>
    <w:rsid w:val="3D332398"/>
    <w:rsid w:val="3D346C8B"/>
    <w:rsid w:val="3D3954D4"/>
    <w:rsid w:val="3D4C3459"/>
    <w:rsid w:val="3D564CA7"/>
    <w:rsid w:val="3D69400B"/>
    <w:rsid w:val="3D6A7CE7"/>
    <w:rsid w:val="3D734E8A"/>
    <w:rsid w:val="3D89645B"/>
    <w:rsid w:val="3D8B21D4"/>
    <w:rsid w:val="3D9077EA"/>
    <w:rsid w:val="3D960B78"/>
    <w:rsid w:val="3DA053D1"/>
    <w:rsid w:val="3DA45043"/>
    <w:rsid w:val="3DB3642A"/>
    <w:rsid w:val="3DB552D6"/>
    <w:rsid w:val="3DB5764A"/>
    <w:rsid w:val="3DBF44D4"/>
    <w:rsid w:val="3DCC00F6"/>
    <w:rsid w:val="3DCF768E"/>
    <w:rsid w:val="3DD03F78"/>
    <w:rsid w:val="3DDB3D1C"/>
    <w:rsid w:val="3DDD0555"/>
    <w:rsid w:val="3DDE42DD"/>
    <w:rsid w:val="3DF06B92"/>
    <w:rsid w:val="3DFF227A"/>
    <w:rsid w:val="3E0B5E74"/>
    <w:rsid w:val="3E0E4BB3"/>
    <w:rsid w:val="3E153CED"/>
    <w:rsid w:val="3E243A02"/>
    <w:rsid w:val="3E473894"/>
    <w:rsid w:val="3E481E73"/>
    <w:rsid w:val="3E546A69"/>
    <w:rsid w:val="3E645FE6"/>
    <w:rsid w:val="3E6622F9"/>
    <w:rsid w:val="3E6B3DB3"/>
    <w:rsid w:val="3E815385"/>
    <w:rsid w:val="3E864749"/>
    <w:rsid w:val="3E8E35FE"/>
    <w:rsid w:val="3E9C3F6D"/>
    <w:rsid w:val="3EA129AD"/>
    <w:rsid w:val="3EA177D5"/>
    <w:rsid w:val="3EA6303D"/>
    <w:rsid w:val="3EB12E0C"/>
    <w:rsid w:val="3EBE3EE3"/>
    <w:rsid w:val="3EC86B10"/>
    <w:rsid w:val="3ECE5FF9"/>
    <w:rsid w:val="3ED454B4"/>
    <w:rsid w:val="3EDD16B6"/>
    <w:rsid w:val="3EE002FD"/>
    <w:rsid w:val="3EE071AB"/>
    <w:rsid w:val="3EE21B1C"/>
    <w:rsid w:val="3EEA3EE9"/>
    <w:rsid w:val="3EEC4EF4"/>
    <w:rsid w:val="3EFF2568"/>
    <w:rsid w:val="3F035D9A"/>
    <w:rsid w:val="3F19736B"/>
    <w:rsid w:val="3F280608"/>
    <w:rsid w:val="3F310B59"/>
    <w:rsid w:val="3F381EE7"/>
    <w:rsid w:val="3F3E7338"/>
    <w:rsid w:val="3F4305D7"/>
    <w:rsid w:val="3F446ADE"/>
    <w:rsid w:val="3F4D4769"/>
    <w:rsid w:val="3F4F33B6"/>
    <w:rsid w:val="3F507C4A"/>
    <w:rsid w:val="3F5274F8"/>
    <w:rsid w:val="3F5617F6"/>
    <w:rsid w:val="3F5D6B08"/>
    <w:rsid w:val="3F762A0F"/>
    <w:rsid w:val="3F823E58"/>
    <w:rsid w:val="3F861CCA"/>
    <w:rsid w:val="3F900452"/>
    <w:rsid w:val="3F925B69"/>
    <w:rsid w:val="3FA70E1B"/>
    <w:rsid w:val="3FB52D71"/>
    <w:rsid w:val="3FCC5A47"/>
    <w:rsid w:val="3FCF2669"/>
    <w:rsid w:val="3FD17C46"/>
    <w:rsid w:val="3FD566C3"/>
    <w:rsid w:val="3FDB5621"/>
    <w:rsid w:val="3FE12EA1"/>
    <w:rsid w:val="3FE3543D"/>
    <w:rsid w:val="3FF1653A"/>
    <w:rsid w:val="3FFD2F82"/>
    <w:rsid w:val="40017F0B"/>
    <w:rsid w:val="401A55E8"/>
    <w:rsid w:val="402B37FA"/>
    <w:rsid w:val="403E28DD"/>
    <w:rsid w:val="404422BE"/>
    <w:rsid w:val="40477F08"/>
    <w:rsid w:val="404C1F5A"/>
    <w:rsid w:val="40582115"/>
    <w:rsid w:val="405A7C3B"/>
    <w:rsid w:val="406960D0"/>
    <w:rsid w:val="4076672F"/>
    <w:rsid w:val="40786455"/>
    <w:rsid w:val="407C4E5B"/>
    <w:rsid w:val="408842CC"/>
    <w:rsid w:val="408908EE"/>
    <w:rsid w:val="408B24EB"/>
    <w:rsid w:val="408B62C2"/>
    <w:rsid w:val="408C0447"/>
    <w:rsid w:val="40956EC5"/>
    <w:rsid w:val="409A44DC"/>
    <w:rsid w:val="409C0254"/>
    <w:rsid w:val="40A610D2"/>
    <w:rsid w:val="40AA0BC3"/>
    <w:rsid w:val="40AE5348"/>
    <w:rsid w:val="40B530C4"/>
    <w:rsid w:val="40B67411"/>
    <w:rsid w:val="40B97058"/>
    <w:rsid w:val="40C304AF"/>
    <w:rsid w:val="40C81049"/>
    <w:rsid w:val="40CF687B"/>
    <w:rsid w:val="40D567B8"/>
    <w:rsid w:val="40E42F74"/>
    <w:rsid w:val="40E73D79"/>
    <w:rsid w:val="40F005A0"/>
    <w:rsid w:val="40F26835"/>
    <w:rsid w:val="40F3251B"/>
    <w:rsid w:val="40F47EC2"/>
    <w:rsid w:val="40FF092C"/>
    <w:rsid w:val="410B71F0"/>
    <w:rsid w:val="411150DB"/>
    <w:rsid w:val="4112722E"/>
    <w:rsid w:val="411A0E9C"/>
    <w:rsid w:val="41212DF0"/>
    <w:rsid w:val="41230AAD"/>
    <w:rsid w:val="4123781C"/>
    <w:rsid w:val="41285F8B"/>
    <w:rsid w:val="412874F2"/>
    <w:rsid w:val="413B7A6D"/>
    <w:rsid w:val="414616A0"/>
    <w:rsid w:val="414857DE"/>
    <w:rsid w:val="41571AA0"/>
    <w:rsid w:val="415820EB"/>
    <w:rsid w:val="41614FF9"/>
    <w:rsid w:val="41744D2D"/>
    <w:rsid w:val="417A38FB"/>
    <w:rsid w:val="41801923"/>
    <w:rsid w:val="418D5DEE"/>
    <w:rsid w:val="41941726"/>
    <w:rsid w:val="419453CF"/>
    <w:rsid w:val="41961147"/>
    <w:rsid w:val="41A22F39"/>
    <w:rsid w:val="41AE0767"/>
    <w:rsid w:val="41B13BD3"/>
    <w:rsid w:val="41BD0482"/>
    <w:rsid w:val="41C538FC"/>
    <w:rsid w:val="41C71A3C"/>
    <w:rsid w:val="41CA0DF1"/>
    <w:rsid w:val="41D028CD"/>
    <w:rsid w:val="41D116D9"/>
    <w:rsid w:val="41D41C6F"/>
    <w:rsid w:val="41D659E7"/>
    <w:rsid w:val="41DD28D2"/>
    <w:rsid w:val="41E77BF5"/>
    <w:rsid w:val="41F63994"/>
    <w:rsid w:val="41F754C1"/>
    <w:rsid w:val="41FB55A4"/>
    <w:rsid w:val="423409DC"/>
    <w:rsid w:val="42373815"/>
    <w:rsid w:val="42413E25"/>
    <w:rsid w:val="424424ED"/>
    <w:rsid w:val="4250579A"/>
    <w:rsid w:val="42565EF1"/>
    <w:rsid w:val="425F356F"/>
    <w:rsid w:val="426B2840"/>
    <w:rsid w:val="426E5C20"/>
    <w:rsid w:val="42B40EE3"/>
    <w:rsid w:val="42B71375"/>
    <w:rsid w:val="42BB570A"/>
    <w:rsid w:val="42C24FD0"/>
    <w:rsid w:val="42CE7F3B"/>
    <w:rsid w:val="42D35358"/>
    <w:rsid w:val="42DB7F22"/>
    <w:rsid w:val="42DF0FF4"/>
    <w:rsid w:val="42ED4D97"/>
    <w:rsid w:val="42F26B43"/>
    <w:rsid w:val="42F93A27"/>
    <w:rsid w:val="42FE0D10"/>
    <w:rsid w:val="43011E8A"/>
    <w:rsid w:val="430B27E8"/>
    <w:rsid w:val="431052E8"/>
    <w:rsid w:val="431C1981"/>
    <w:rsid w:val="432A1A6D"/>
    <w:rsid w:val="432D1637"/>
    <w:rsid w:val="43394A3E"/>
    <w:rsid w:val="43480064"/>
    <w:rsid w:val="435929D5"/>
    <w:rsid w:val="435B576A"/>
    <w:rsid w:val="435C108A"/>
    <w:rsid w:val="43670FED"/>
    <w:rsid w:val="436B215F"/>
    <w:rsid w:val="436C2348"/>
    <w:rsid w:val="43721740"/>
    <w:rsid w:val="43722728"/>
    <w:rsid w:val="43783DB2"/>
    <w:rsid w:val="437F791C"/>
    <w:rsid w:val="43823E0B"/>
    <w:rsid w:val="438C0A54"/>
    <w:rsid w:val="43905402"/>
    <w:rsid w:val="4390743E"/>
    <w:rsid w:val="43A65B14"/>
    <w:rsid w:val="43BA6DBF"/>
    <w:rsid w:val="43D9356D"/>
    <w:rsid w:val="43E560C1"/>
    <w:rsid w:val="43EA0F9D"/>
    <w:rsid w:val="440E7DEC"/>
    <w:rsid w:val="440F27B9"/>
    <w:rsid w:val="441427F7"/>
    <w:rsid w:val="44242A3A"/>
    <w:rsid w:val="44260EB1"/>
    <w:rsid w:val="442E34B3"/>
    <w:rsid w:val="442E5667"/>
    <w:rsid w:val="442E595A"/>
    <w:rsid w:val="44342F6C"/>
    <w:rsid w:val="44455B1A"/>
    <w:rsid w:val="444F64A7"/>
    <w:rsid w:val="445C443B"/>
    <w:rsid w:val="445F383D"/>
    <w:rsid w:val="446E0159"/>
    <w:rsid w:val="447479BB"/>
    <w:rsid w:val="44757F63"/>
    <w:rsid w:val="44782D86"/>
    <w:rsid w:val="447A776D"/>
    <w:rsid w:val="44844B10"/>
    <w:rsid w:val="44865108"/>
    <w:rsid w:val="4488337C"/>
    <w:rsid w:val="448F2780"/>
    <w:rsid w:val="44901E7E"/>
    <w:rsid w:val="44937E2F"/>
    <w:rsid w:val="449473A4"/>
    <w:rsid w:val="44962692"/>
    <w:rsid w:val="44AA2327"/>
    <w:rsid w:val="44AC2A30"/>
    <w:rsid w:val="44B00E64"/>
    <w:rsid w:val="44B8142D"/>
    <w:rsid w:val="44B82C0B"/>
    <w:rsid w:val="44C4421D"/>
    <w:rsid w:val="44C45FCB"/>
    <w:rsid w:val="44C71617"/>
    <w:rsid w:val="44D77FA3"/>
    <w:rsid w:val="44D97CC8"/>
    <w:rsid w:val="44DF4BB3"/>
    <w:rsid w:val="44E64AD7"/>
    <w:rsid w:val="44EA2B4E"/>
    <w:rsid w:val="44F11AA7"/>
    <w:rsid w:val="4528655A"/>
    <w:rsid w:val="452D591E"/>
    <w:rsid w:val="452F4E0F"/>
    <w:rsid w:val="453E2BF0"/>
    <w:rsid w:val="454049F0"/>
    <w:rsid w:val="454B12A7"/>
    <w:rsid w:val="455A6691"/>
    <w:rsid w:val="456258EF"/>
    <w:rsid w:val="456513F4"/>
    <w:rsid w:val="457C4AF8"/>
    <w:rsid w:val="45835E86"/>
    <w:rsid w:val="459C2AA4"/>
    <w:rsid w:val="459E5181"/>
    <w:rsid w:val="459F1AEF"/>
    <w:rsid w:val="45A04342"/>
    <w:rsid w:val="45A33E32"/>
    <w:rsid w:val="45A34DF4"/>
    <w:rsid w:val="45B91721"/>
    <w:rsid w:val="45C36283"/>
    <w:rsid w:val="45C37881"/>
    <w:rsid w:val="45C41F63"/>
    <w:rsid w:val="45D83A17"/>
    <w:rsid w:val="45EA0DC5"/>
    <w:rsid w:val="45EA2D92"/>
    <w:rsid w:val="45ED15CB"/>
    <w:rsid w:val="45F416D5"/>
    <w:rsid w:val="45FC3543"/>
    <w:rsid w:val="460F771A"/>
    <w:rsid w:val="46187109"/>
    <w:rsid w:val="46192347"/>
    <w:rsid w:val="461C7016"/>
    <w:rsid w:val="4623687A"/>
    <w:rsid w:val="462F56C6"/>
    <w:rsid w:val="4646138E"/>
    <w:rsid w:val="464E3D9E"/>
    <w:rsid w:val="464E508C"/>
    <w:rsid w:val="464F7B16"/>
    <w:rsid w:val="4654512D"/>
    <w:rsid w:val="46547298"/>
    <w:rsid w:val="46613350"/>
    <w:rsid w:val="46647A66"/>
    <w:rsid w:val="466967AA"/>
    <w:rsid w:val="466C295D"/>
    <w:rsid w:val="466F1843"/>
    <w:rsid w:val="467032D9"/>
    <w:rsid w:val="46750899"/>
    <w:rsid w:val="467A681C"/>
    <w:rsid w:val="467F70E2"/>
    <w:rsid w:val="46805F22"/>
    <w:rsid w:val="468D2996"/>
    <w:rsid w:val="468F65C1"/>
    <w:rsid w:val="4698326B"/>
    <w:rsid w:val="46A50CD8"/>
    <w:rsid w:val="46AA6E1C"/>
    <w:rsid w:val="46B03E42"/>
    <w:rsid w:val="46B5206F"/>
    <w:rsid w:val="46C13781"/>
    <w:rsid w:val="46CE1383"/>
    <w:rsid w:val="46DA1AD6"/>
    <w:rsid w:val="46F34946"/>
    <w:rsid w:val="46FC7C9E"/>
    <w:rsid w:val="46FF62F0"/>
    <w:rsid w:val="4703236F"/>
    <w:rsid w:val="47061C64"/>
    <w:rsid w:val="47091BE0"/>
    <w:rsid w:val="470B6133"/>
    <w:rsid w:val="47112DA6"/>
    <w:rsid w:val="471751DC"/>
    <w:rsid w:val="47181607"/>
    <w:rsid w:val="471C20EE"/>
    <w:rsid w:val="473358EA"/>
    <w:rsid w:val="4737700D"/>
    <w:rsid w:val="473906E7"/>
    <w:rsid w:val="4749234C"/>
    <w:rsid w:val="474D22A8"/>
    <w:rsid w:val="475A2C17"/>
    <w:rsid w:val="475C79A2"/>
    <w:rsid w:val="475E148B"/>
    <w:rsid w:val="475E38FA"/>
    <w:rsid w:val="47746789"/>
    <w:rsid w:val="47765AEB"/>
    <w:rsid w:val="477E2CD4"/>
    <w:rsid w:val="47881532"/>
    <w:rsid w:val="478C01F2"/>
    <w:rsid w:val="47981D85"/>
    <w:rsid w:val="479A7EA6"/>
    <w:rsid w:val="479D620D"/>
    <w:rsid w:val="47A0602F"/>
    <w:rsid w:val="47A9612B"/>
    <w:rsid w:val="47B57E4D"/>
    <w:rsid w:val="47B73BC5"/>
    <w:rsid w:val="47BB5A79"/>
    <w:rsid w:val="47BC3A52"/>
    <w:rsid w:val="47C307BC"/>
    <w:rsid w:val="47D538D0"/>
    <w:rsid w:val="47D826A4"/>
    <w:rsid w:val="47DC6A31"/>
    <w:rsid w:val="47DE1152"/>
    <w:rsid w:val="47E81FD1"/>
    <w:rsid w:val="47F155E6"/>
    <w:rsid w:val="47F44E19"/>
    <w:rsid w:val="480212E4"/>
    <w:rsid w:val="48065F50"/>
    <w:rsid w:val="48082673"/>
    <w:rsid w:val="481438CD"/>
    <w:rsid w:val="481E3C44"/>
    <w:rsid w:val="482155B2"/>
    <w:rsid w:val="4822619B"/>
    <w:rsid w:val="4828425C"/>
    <w:rsid w:val="48284861"/>
    <w:rsid w:val="483B47F6"/>
    <w:rsid w:val="483C412F"/>
    <w:rsid w:val="48451FC5"/>
    <w:rsid w:val="485038C1"/>
    <w:rsid w:val="486642E5"/>
    <w:rsid w:val="48677399"/>
    <w:rsid w:val="486C2D65"/>
    <w:rsid w:val="48733CAB"/>
    <w:rsid w:val="48733F90"/>
    <w:rsid w:val="487F2F7D"/>
    <w:rsid w:val="487F6800"/>
    <w:rsid w:val="48843EF1"/>
    <w:rsid w:val="48863CFC"/>
    <w:rsid w:val="488B2616"/>
    <w:rsid w:val="48974140"/>
    <w:rsid w:val="48B3615A"/>
    <w:rsid w:val="48D32C81"/>
    <w:rsid w:val="48EE7AB3"/>
    <w:rsid w:val="48FB36C9"/>
    <w:rsid w:val="490F1FF2"/>
    <w:rsid w:val="49120F38"/>
    <w:rsid w:val="491B249F"/>
    <w:rsid w:val="492359B6"/>
    <w:rsid w:val="492719A6"/>
    <w:rsid w:val="493C2436"/>
    <w:rsid w:val="493C5935"/>
    <w:rsid w:val="493F7B37"/>
    <w:rsid w:val="494333CF"/>
    <w:rsid w:val="49501A46"/>
    <w:rsid w:val="4953791E"/>
    <w:rsid w:val="495A0CAC"/>
    <w:rsid w:val="495F41C3"/>
    <w:rsid w:val="495F5E9A"/>
    <w:rsid w:val="49630BAA"/>
    <w:rsid w:val="496E4757"/>
    <w:rsid w:val="49706D54"/>
    <w:rsid w:val="49836050"/>
    <w:rsid w:val="498D445B"/>
    <w:rsid w:val="49940662"/>
    <w:rsid w:val="499C7517"/>
    <w:rsid w:val="499D0BC9"/>
    <w:rsid w:val="49A47B48"/>
    <w:rsid w:val="49A81A17"/>
    <w:rsid w:val="49AE38B1"/>
    <w:rsid w:val="49B06B1E"/>
    <w:rsid w:val="49B1219A"/>
    <w:rsid w:val="49B91A00"/>
    <w:rsid w:val="49B96301"/>
    <w:rsid w:val="49C64593"/>
    <w:rsid w:val="49D04DFF"/>
    <w:rsid w:val="49F27137"/>
    <w:rsid w:val="49F84FFA"/>
    <w:rsid w:val="49FC7454"/>
    <w:rsid w:val="4A012E2B"/>
    <w:rsid w:val="4A097120"/>
    <w:rsid w:val="4A0B73DF"/>
    <w:rsid w:val="4A123F6F"/>
    <w:rsid w:val="4A141734"/>
    <w:rsid w:val="4A1C23C8"/>
    <w:rsid w:val="4A2319E6"/>
    <w:rsid w:val="4A276729"/>
    <w:rsid w:val="4A2D016F"/>
    <w:rsid w:val="4A3318B4"/>
    <w:rsid w:val="4A340100"/>
    <w:rsid w:val="4A365275"/>
    <w:rsid w:val="4A4D5AF6"/>
    <w:rsid w:val="4A5971B6"/>
    <w:rsid w:val="4A5A011A"/>
    <w:rsid w:val="4A630034"/>
    <w:rsid w:val="4A67089F"/>
    <w:rsid w:val="4A6D1FCD"/>
    <w:rsid w:val="4A6E1464"/>
    <w:rsid w:val="4A743FEF"/>
    <w:rsid w:val="4A74595B"/>
    <w:rsid w:val="4A7E09CA"/>
    <w:rsid w:val="4A817939"/>
    <w:rsid w:val="4A8F2BD7"/>
    <w:rsid w:val="4A8F6276"/>
    <w:rsid w:val="4A915202"/>
    <w:rsid w:val="4A9224F6"/>
    <w:rsid w:val="4A93275A"/>
    <w:rsid w:val="4A946440"/>
    <w:rsid w:val="4A965D14"/>
    <w:rsid w:val="4A9670F8"/>
    <w:rsid w:val="4AA472F9"/>
    <w:rsid w:val="4AA541A9"/>
    <w:rsid w:val="4AB63AC0"/>
    <w:rsid w:val="4AB663B6"/>
    <w:rsid w:val="4ABA1D88"/>
    <w:rsid w:val="4AC523CB"/>
    <w:rsid w:val="4ADD7DE7"/>
    <w:rsid w:val="4AE067DE"/>
    <w:rsid w:val="4AE44CD1"/>
    <w:rsid w:val="4AE61A16"/>
    <w:rsid w:val="4AE922E8"/>
    <w:rsid w:val="4B054C48"/>
    <w:rsid w:val="4B0A30F7"/>
    <w:rsid w:val="4B0B1AEF"/>
    <w:rsid w:val="4B117A90"/>
    <w:rsid w:val="4B166E55"/>
    <w:rsid w:val="4B1A19C7"/>
    <w:rsid w:val="4B227EB7"/>
    <w:rsid w:val="4B323F49"/>
    <w:rsid w:val="4B333578"/>
    <w:rsid w:val="4B34391F"/>
    <w:rsid w:val="4B396147"/>
    <w:rsid w:val="4B4B3235"/>
    <w:rsid w:val="4B7A73E4"/>
    <w:rsid w:val="4B8274DB"/>
    <w:rsid w:val="4B893ACB"/>
    <w:rsid w:val="4B946499"/>
    <w:rsid w:val="4B977F95"/>
    <w:rsid w:val="4BA82530"/>
    <w:rsid w:val="4BB3139E"/>
    <w:rsid w:val="4BB943B0"/>
    <w:rsid w:val="4BCA036B"/>
    <w:rsid w:val="4BCD1C09"/>
    <w:rsid w:val="4BE60E75"/>
    <w:rsid w:val="4BFE1DC3"/>
    <w:rsid w:val="4C067CE9"/>
    <w:rsid w:val="4C074AC8"/>
    <w:rsid w:val="4C082549"/>
    <w:rsid w:val="4C084FC2"/>
    <w:rsid w:val="4C115F9A"/>
    <w:rsid w:val="4C13248E"/>
    <w:rsid w:val="4C13529D"/>
    <w:rsid w:val="4C1519A0"/>
    <w:rsid w:val="4C2130F3"/>
    <w:rsid w:val="4C3978F9"/>
    <w:rsid w:val="4C432CD1"/>
    <w:rsid w:val="4C5E7947"/>
    <w:rsid w:val="4C6C1422"/>
    <w:rsid w:val="4C732A5F"/>
    <w:rsid w:val="4C7858DD"/>
    <w:rsid w:val="4C93458C"/>
    <w:rsid w:val="4C9F5F71"/>
    <w:rsid w:val="4CAD390B"/>
    <w:rsid w:val="4CAF5F3C"/>
    <w:rsid w:val="4CB44DFE"/>
    <w:rsid w:val="4CB57D38"/>
    <w:rsid w:val="4CB6269D"/>
    <w:rsid w:val="4CBB2EF3"/>
    <w:rsid w:val="4CBC39CE"/>
    <w:rsid w:val="4CBD1C7E"/>
    <w:rsid w:val="4CBF6674"/>
    <w:rsid w:val="4CCE3D52"/>
    <w:rsid w:val="4CD843C2"/>
    <w:rsid w:val="4CEB05BD"/>
    <w:rsid w:val="4CEE0350"/>
    <w:rsid w:val="4CF60CEC"/>
    <w:rsid w:val="4CF62B2D"/>
    <w:rsid w:val="4D077A73"/>
    <w:rsid w:val="4D1A70D0"/>
    <w:rsid w:val="4D1C511D"/>
    <w:rsid w:val="4D1D44CA"/>
    <w:rsid w:val="4D20220D"/>
    <w:rsid w:val="4D22187A"/>
    <w:rsid w:val="4D293E8A"/>
    <w:rsid w:val="4D2C26AC"/>
    <w:rsid w:val="4D2E2B7B"/>
    <w:rsid w:val="4D3637DE"/>
    <w:rsid w:val="4D36558C"/>
    <w:rsid w:val="4D4228E5"/>
    <w:rsid w:val="4D4E1B1D"/>
    <w:rsid w:val="4D540E5B"/>
    <w:rsid w:val="4D544788"/>
    <w:rsid w:val="4D5A13F7"/>
    <w:rsid w:val="4D64597E"/>
    <w:rsid w:val="4D7B7443"/>
    <w:rsid w:val="4D7C7BFF"/>
    <w:rsid w:val="4D9628DA"/>
    <w:rsid w:val="4D963478"/>
    <w:rsid w:val="4D97427D"/>
    <w:rsid w:val="4D9D560B"/>
    <w:rsid w:val="4DAD14D8"/>
    <w:rsid w:val="4DBA1AEA"/>
    <w:rsid w:val="4DC03836"/>
    <w:rsid w:val="4DC4703C"/>
    <w:rsid w:val="4DCE3A17"/>
    <w:rsid w:val="4DD80AEC"/>
    <w:rsid w:val="4DDC4386"/>
    <w:rsid w:val="4DE054EC"/>
    <w:rsid w:val="4DE4323A"/>
    <w:rsid w:val="4DE440AC"/>
    <w:rsid w:val="4DE628EA"/>
    <w:rsid w:val="4DEC6CD7"/>
    <w:rsid w:val="4DF06083"/>
    <w:rsid w:val="4DFC0584"/>
    <w:rsid w:val="4DFD4223"/>
    <w:rsid w:val="4E105DDD"/>
    <w:rsid w:val="4E1061A1"/>
    <w:rsid w:val="4E173610"/>
    <w:rsid w:val="4E17716C"/>
    <w:rsid w:val="4E1A03B6"/>
    <w:rsid w:val="4E1C1FB4"/>
    <w:rsid w:val="4E233D83"/>
    <w:rsid w:val="4E2528C4"/>
    <w:rsid w:val="4E264AC2"/>
    <w:rsid w:val="4E2762C3"/>
    <w:rsid w:val="4E2A3343"/>
    <w:rsid w:val="4E3B5550"/>
    <w:rsid w:val="4E4B7280"/>
    <w:rsid w:val="4E4C150B"/>
    <w:rsid w:val="4E515990"/>
    <w:rsid w:val="4E69321C"/>
    <w:rsid w:val="4E6A2964"/>
    <w:rsid w:val="4E736946"/>
    <w:rsid w:val="4E76041D"/>
    <w:rsid w:val="4E77628C"/>
    <w:rsid w:val="4E796CE2"/>
    <w:rsid w:val="4E7B77EC"/>
    <w:rsid w:val="4E7C78E6"/>
    <w:rsid w:val="4E7E368F"/>
    <w:rsid w:val="4E8A5B90"/>
    <w:rsid w:val="4E8D5680"/>
    <w:rsid w:val="4E910DAD"/>
    <w:rsid w:val="4E984750"/>
    <w:rsid w:val="4E9E5E26"/>
    <w:rsid w:val="4EB4787F"/>
    <w:rsid w:val="4EB56BD4"/>
    <w:rsid w:val="4EB62E28"/>
    <w:rsid w:val="4EB95335"/>
    <w:rsid w:val="4ECF4659"/>
    <w:rsid w:val="4ED17C80"/>
    <w:rsid w:val="4ED513E2"/>
    <w:rsid w:val="4EDF1772"/>
    <w:rsid w:val="4EE07A0F"/>
    <w:rsid w:val="4EE3184E"/>
    <w:rsid w:val="4F0449F9"/>
    <w:rsid w:val="4F057230"/>
    <w:rsid w:val="4F067B60"/>
    <w:rsid w:val="4F1271A2"/>
    <w:rsid w:val="4F135B85"/>
    <w:rsid w:val="4F204338"/>
    <w:rsid w:val="4F440434"/>
    <w:rsid w:val="4F486660"/>
    <w:rsid w:val="4F506DD9"/>
    <w:rsid w:val="4F5166AD"/>
    <w:rsid w:val="4F5635EF"/>
    <w:rsid w:val="4F5764B9"/>
    <w:rsid w:val="4F5E5B23"/>
    <w:rsid w:val="4F5F0DCA"/>
    <w:rsid w:val="4F632C5C"/>
    <w:rsid w:val="4F63535B"/>
    <w:rsid w:val="4F6360AE"/>
    <w:rsid w:val="4F653250"/>
    <w:rsid w:val="4F721E8F"/>
    <w:rsid w:val="4F8847C5"/>
    <w:rsid w:val="4FA01DB0"/>
    <w:rsid w:val="4FA2364E"/>
    <w:rsid w:val="4FA47E64"/>
    <w:rsid w:val="4FAE2436"/>
    <w:rsid w:val="4FBC20C8"/>
    <w:rsid w:val="4FC1772D"/>
    <w:rsid w:val="4FC96B8B"/>
    <w:rsid w:val="4FD03711"/>
    <w:rsid w:val="4FD16CB4"/>
    <w:rsid w:val="4FD33A65"/>
    <w:rsid w:val="4FDB306A"/>
    <w:rsid w:val="4FDC6702"/>
    <w:rsid w:val="4FDD44A2"/>
    <w:rsid w:val="4FE45773"/>
    <w:rsid w:val="4FF442F2"/>
    <w:rsid w:val="50041972"/>
    <w:rsid w:val="5006393C"/>
    <w:rsid w:val="5013686C"/>
    <w:rsid w:val="50220694"/>
    <w:rsid w:val="5023629C"/>
    <w:rsid w:val="502A1D14"/>
    <w:rsid w:val="502F5160"/>
    <w:rsid w:val="50306C0B"/>
    <w:rsid w:val="50334005"/>
    <w:rsid w:val="506A6769"/>
    <w:rsid w:val="50722108"/>
    <w:rsid w:val="50812A87"/>
    <w:rsid w:val="50913377"/>
    <w:rsid w:val="50A032F1"/>
    <w:rsid w:val="50A13E56"/>
    <w:rsid w:val="50AC5718"/>
    <w:rsid w:val="50B415EA"/>
    <w:rsid w:val="50BA1BFE"/>
    <w:rsid w:val="50C636F7"/>
    <w:rsid w:val="50C730CB"/>
    <w:rsid w:val="50D521AD"/>
    <w:rsid w:val="50D81ECE"/>
    <w:rsid w:val="50DC644B"/>
    <w:rsid w:val="50DD28EE"/>
    <w:rsid w:val="50E425E7"/>
    <w:rsid w:val="50F43794"/>
    <w:rsid w:val="51082263"/>
    <w:rsid w:val="510C1AF9"/>
    <w:rsid w:val="511775AB"/>
    <w:rsid w:val="511F2F07"/>
    <w:rsid w:val="51532FAC"/>
    <w:rsid w:val="51690075"/>
    <w:rsid w:val="517B5119"/>
    <w:rsid w:val="517B525E"/>
    <w:rsid w:val="517F4C4A"/>
    <w:rsid w:val="518357C9"/>
    <w:rsid w:val="51864667"/>
    <w:rsid w:val="518C1C1F"/>
    <w:rsid w:val="51907961"/>
    <w:rsid w:val="51932241"/>
    <w:rsid w:val="5198572E"/>
    <w:rsid w:val="51A87F74"/>
    <w:rsid w:val="51AA02F7"/>
    <w:rsid w:val="51B353FD"/>
    <w:rsid w:val="51B47E96"/>
    <w:rsid w:val="51C34B1B"/>
    <w:rsid w:val="51CE5664"/>
    <w:rsid w:val="51E7240C"/>
    <w:rsid w:val="51F465F0"/>
    <w:rsid w:val="51F577C4"/>
    <w:rsid w:val="51F9675D"/>
    <w:rsid w:val="51FF6894"/>
    <w:rsid w:val="5208399B"/>
    <w:rsid w:val="5209326F"/>
    <w:rsid w:val="52383B54"/>
    <w:rsid w:val="523F4EE3"/>
    <w:rsid w:val="524A3FB4"/>
    <w:rsid w:val="524C3F65"/>
    <w:rsid w:val="524E0C89"/>
    <w:rsid w:val="525A3ACB"/>
    <w:rsid w:val="525A7F6F"/>
    <w:rsid w:val="5285323E"/>
    <w:rsid w:val="528B1C6F"/>
    <w:rsid w:val="528B1ED6"/>
    <w:rsid w:val="52B753C1"/>
    <w:rsid w:val="52E367B6"/>
    <w:rsid w:val="52E44931"/>
    <w:rsid w:val="52E77B28"/>
    <w:rsid w:val="52F350B7"/>
    <w:rsid w:val="52F92766"/>
    <w:rsid w:val="52F932E4"/>
    <w:rsid w:val="5302488E"/>
    <w:rsid w:val="530F0D59"/>
    <w:rsid w:val="531E2D4A"/>
    <w:rsid w:val="532760A3"/>
    <w:rsid w:val="53347FB2"/>
    <w:rsid w:val="53511372"/>
    <w:rsid w:val="53574187"/>
    <w:rsid w:val="536101F6"/>
    <w:rsid w:val="53645CDE"/>
    <w:rsid w:val="53686D64"/>
    <w:rsid w:val="537D0B66"/>
    <w:rsid w:val="537E2381"/>
    <w:rsid w:val="538A6632"/>
    <w:rsid w:val="53985AAA"/>
    <w:rsid w:val="53990623"/>
    <w:rsid w:val="53AA7BF7"/>
    <w:rsid w:val="53B06098"/>
    <w:rsid w:val="53B46E1C"/>
    <w:rsid w:val="53CD6A4F"/>
    <w:rsid w:val="53D0673A"/>
    <w:rsid w:val="53D53D51"/>
    <w:rsid w:val="53E421E6"/>
    <w:rsid w:val="53E43F94"/>
    <w:rsid w:val="53E817BB"/>
    <w:rsid w:val="53F47B4C"/>
    <w:rsid w:val="53F80A84"/>
    <w:rsid w:val="53F81F7D"/>
    <w:rsid w:val="54075EA4"/>
    <w:rsid w:val="54177EC5"/>
    <w:rsid w:val="541C2691"/>
    <w:rsid w:val="541C5A49"/>
    <w:rsid w:val="542E65C4"/>
    <w:rsid w:val="544F115F"/>
    <w:rsid w:val="545804DE"/>
    <w:rsid w:val="54592A2A"/>
    <w:rsid w:val="545B4A99"/>
    <w:rsid w:val="54612908"/>
    <w:rsid w:val="54651927"/>
    <w:rsid w:val="546A778A"/>
    <w:rsid w:val="546F6D84"/>
    <w:rsid w:val="54754B82"/>
    <w:rsid w:val="5476101E"/>
    <w:rsid w:val="54784522"/>
    <w:rsid w:val="54A218D1"/>
    <w:rsid w:val="54AA14D4"/>
    <w:rsid w:val="54AD6A7C"/>
    <w:rsid w:val="54AF3253"/>
    <w:rsid w:val="54B07EFF"/>
    <w:rsid w:val="54BC281B"/>
    <w:rsid w:val="54C65448"/>
    <w:rsid w:val="54D83F05"/>
    <w:rsid w:val="54EC06F5"/>
    <w:rsid w:val="54F14D91"/>
    <w:rsid w:val="54F226E1"/>
    <w:rsid w:val="54F75F49"/>
    <w:rsid w:val="55044467"/>
    <w:rsid w:val="551268DF"/>
    <w:rsid w:val="551271A0"/>
    <w:rsid w:val="55180990"/>
    <w:rsid w:val="55272E48"/>
    <w:rsid w:val="55307659"/>
    <w:rsid w:val="55383F64"/>
    <w:rsid w:val="55425416"/>
    <w:rsid w:val="554636FD"/>
    <w:rsid w:val="554803FF"/>
    <w:rsid w:val="554A7E27"/>
    <w:rsid w:val="554D5B69"/>
    <w:rsid w:val="556531FF"/>
    <w:rsid w:val="557214D8"/>
    <w:rsid w:val="5572256C"/>
    <w:rsid w:val="557256C6"/>
    <w:rsid w:val="5575255E"/>
    <w:rsid w:val="5579070C"/>
    <w:rsid w:val="557B26D6"/>
    <w:rsid w:val="557C4502"/>
    <w:rsid w:val="558909BA"/>
    <w:rsid w:val="558E065B"/>
    <w:rsid w:val="55983288"/>
    <w:rsid w:val="55990248"/>
    <w:rsid w:val="559F0398"/>
    <w:rsid w:val="55A015B9"/>
    <w:rsid w:val="55A25EB5"/>
    <w:rsid w:val="55B160F8"/>
    <w:rsid w:val="55BC6160"/>
    <w:rsid w:val="55CE6CAA"/>
    <w:rsid w:val="55D171C2"/>
    <w:rsid w:val="55D728AE"/>
    <w:rsid w:val="55E0339D"/>
    <w:rsid w:val="55F14746"/>
    <w:rsid w:val="55F61036"/>
    <w:rsid w:val="560A0239"/>
    <w:rsid w:val="56150435"/>
    <w:rsid w:val="563158B6"/>
    <w:rsid w:val="56386869"/>
    <w:rsid w:val="563D3E2F"/>
    <w:rsid w:val="563F1955"/>
    <w:rsid w:val="564167D6"/>
    <w:rsid w:val="56487BCA"/>
    <w:rsid w:val="565F3DA6"/>
    <w:rsid w:val="566351DA"/>
    <w:rsid w:val="567A0BDF"/>
    <w:rsid w:val="567A73E5"/>
    <w:rsid w:val="56811F6E"/>
    <w:rsid w:val="56910414"/>
    <w:rsid w:val="56995821"/>
    <w:rsid w:val="569F1F43"/>
    <w:rsid w:val="56A577CB"/>
    <w:rsid w:val="56A76372"/>
    <w:rsid w:val="56A9092D"/>
    <w:rsid w:val="56AD2D63"/>
    <w:rsid w:val="56AF6ADB"/>
    <w:rsid w:val="56BB34EF"/>
    <w:rsid w:val="56BC2FA6"/>
    <w:rsid w:val="56C37517"/>
    <w:rsid w:val="56CB4879"/>
    <w:rsid w:val="56CC6E55"/>
    <w:rsid w:val="56D20AB4"/>
    <w:rsid w:val="56E46059"/>
    <w:rsid w:val="56ED752E"/>
    <w:rsid w:val="57012BCC"/>
    <w:rsid w:val="57175350"/>
    <w:rsid w:val="571C53E0"/>
    <w:rsid w:val="57214480"/>
    <w:rsid w:val="5726041F"/>
    <w:rsid w:val="5736260B"/>
    <w:rsid w:val="57395588"/>
    <w:rsid w:val="574C257C"/>
    <w:rsid w:val="574D2CB9"/>
    <w:rsid w:val="576379FA"/>
    <w:rsid w:val="576A4530"/>
    <w:rsid w:val="577046D8"/>
    <w:rsid w:val="57716C0C"/>
    <w:rsid w:val="57731EF2"/>
    <w:rsid w:val="577613A7"/>
    <w:rsid w:val="578F06BB"/>
    <w:rsid w:val="57985C27"/>
    <w:rsid w:val="57A44166"/>
    <w:rsid w:val="57A63743"/>
    <w:rsid w:val="57AF48B9"/>
    <w:rsid w:val="57B2317D"/>
    <w:rsid w:val="57C24232"/>
    <w:rsid w:val="57C80B8B"/>
    <w:rsid w:val="57CC3307"/>
    <w:rsid w:val="57E825BE"/>
    <w:rsid w:val="57E82F19"/>
    <w:rsid w:val="57F94F74"/>
    <w:rsid w:val="57FC0C53"/>
    <w:rsid w:val="58005114"/>
    <w:rsid w:val="580D48D7"/>
    <w:rsid w:val="58217BB6"/>
    <w:rsid w:val="582708F3"/>
    <w:rsid w:val="58296419"/>
    <w:rsid w:val="58331046"/>
    <w:rsid w:val="58381BAA"/>
    <w:rsid w:val="583A23D4"/>
    <w:rsid w:val="583A6878"/>
    <w:rsid w:val="58424AB5"/>
    <w:rsid w:val="58474AF1"/>
    <w:rsid w:val="584D21CC"/>
    <w:rsid w:val="585711A2"/>
    <w:rsid w:val="58587D80"/>
    <w:rsid w:val="585C5BA2"/>
    <w:rsid w:val="585D4315"/>
    <w:rsid w:val="58717625"/>
    <w:rsid w:val="58737694"/>
    <w:rsid w:val="587D3F3F"/>
    <w:rsid w:val="588416E9"/>
    <w:rsid w:val="588B0E82"/>
    <w:rsid w:val="588E716F"/>
    <w:rsid w:val="58931AE5"/>
    <w:rsid w:val="589F0497"/>
    <w:rsid w:val="58B74FF2"/>
    <w:rsid w:val="58B8779D"/>
    <w:rsid w:val="58C1571E"/>
    <w:rsid w:val="58C41043"/>
    <w:rsid w:val="58C62BC1"/>
    <w:rsid w:val="58D05A14"/>
    <w:rsid w:val="58D81644"/>
    <w:rsid w:val="58DC0F21"/>
    <w:rsid w:val="58EF6847"/>
    <w:rsid w:val="58F05975"/>
    <w:rsid w:val="58F93306"/>
    <w:rsid w:val="58FD40F2"/>
    <w:rsid w:val="590824D3"/>
    <w:rsid w:val="590F1AAD"/>
    <w:rsid w:val="591945BB"/>
    <w:rsid w:val="591B58C0"/>
    <w:rsid w:val="591C1ADA"/>
    <w:rsid w:val="59234ECA"/>
    <w:rsid w:val="59320269"/>
    <w:rsid w:val="593A7BD8"/>
    <w:rsid w:val="593D0978"/>
    <w:rsid w:val="594017E4"/>
    <w:rsid w:val="594A4899"/>
    <w:rsid w:val="594F1EAF"/>
    <w:rsid w:val="5953349B"/>
    <w:rsid w:val="595455B5"/>
    <w:rsid w:val="59710B3F"/>
    <w:rsid w:val="5971642D"/>
    <w:rsid w:val="59747B68"/>
    <w:rsid w:val="59771E25"/>
    <w:rsid w:val="5980650D"/>
    <w:rsid w:val="59877A1C"/>
    <w:rsid w:val="59887CBB"/>
    <w:rsid w:val="59893975"/>
    <w:rsid w:val="598B7205"/>
    <w:rsid w:val="59AE30F4"/>
    <w:rsid w:val="59B03041"/>
    <w:rsid w:val="59B15F74"/>
    <w:rsid w:val="59D447C7"/>
    <w:rsid w:val="59DD53DB"/>
    <w:rsid w:val="59E0602F"/>
    <w:rsid w:val="59E36A9C"/>
    <w:rsid w:val="59EC0167"/>
    <w:rsid w:val="59F22154"/>
    <w:rsid w:val="5A074490"/>
    <w:rsid w:val="5A1629CD"/>
    <w:rsid w:val="5A166E71"/>
    <w:rsid w:val="5A2C3F9F"/>
    <w:rsid w:val="5A2E7D17"/>
    <w:rsid w:val="5A33532D"/>
    <w:rsid w:val="5A394AB7"/>
    <w:rsid w:val="5A3D09A9"/>
    <w:rsid w:val="5A4D7877"/>
    <w:rsid w:val="5A4E03B9"/>
    <w:rsid w:val="5A5A6D5E"/>
    <w:rsid w:val="5A5E3F05"/>
    <w:rsid w:val="5A6A13F8"/>
    <w:rsid w:val="5A786355"/>
    <w:rsid w:val="5A845B89"/>
    <w:rsid w:val="5A846C10"/>
    <w:rsid w:val="5A872E3D"/>
    <w:rsid w:val="5A92474A"/>
    <w:rsid w:val="5A9940A0"/>
    <w:rsid w:val="5AA004E9"/>
    <w:rsid w:val="5AA51E90"/>
    <w:rsid w:val="5AA60A7D"/>
    <w:rsid w:val="5AA721BA"/>
    <w:rsid w:val="5AAB63A0"/>
    <w:rsid w:val="5AB16C5B"/>
    <w:rsid w:val="5AC81847"/>
    <w:rsid w:val="5AD12669"/>
    <w:rsid w:val="5ADC3952"/>
    <w:rsid w:val="5ADC7773"/>
    <w:rsid w:val="5AE2471D"/>
    <w:rsid w:val="5AE43BAE"/>
    <w:rsid w:val="5AEC372E"/>
    <w:rsid w:val="5AED4574"/>
    <w:rsid w:val="5AF26F96"/>
    <w:rsid w:val="5AF56A87"/>
    <w:rsid w:val="5B0E4FB1"/>
    <w:rsid w:val="5B101B12"/>
    <w:rsid w:val="5B123195"/>
    <w:rsid w:val="5B212B7F"/>
    <w:rsid w:val="5B2230DF"/>
    <w:rsid w:val="5B3555DD"/>
    <w:rsid w:val="5B394820"/>
    <w:rsid w:val="5B444436"/>
    <w:rsid w:val="5B48305A"/>
    <w:rsid w:val="5B4A6DD2"/>
    <w:rsid w:val="5B56304F"/>
    <w:rsid w:val="5B587D24"/>
    <w:rsid w:val="5B5C08B4"/>
    <w:rsid w:val="5B5E7E0F"/>
    <w:rsid w:val="5B7B5154"/>
    <w:rsid w:val="5B9E2C7A"/>
    <w:rsid w:val="5B9F7BC4"/>
    <w:rsid w:val="5BA00569"/>
    <w:rsid w:val="5BA02E96"/>
    <w:rsid w:val="5BA57F0D"/>
    <w:rsid w:val="5BB64CE9"/>
    <w:rsid w:val="5BBB382C"/>
    <w:rsid w:val="5BC02519"/>
    <w:rsid w:val="5BCE3938"/>
    <w:rsid w:val="5BD33C1F"/>
    <w:rsid w:val="5BD90E41"/>
    <w:rsid w:val="5BE508B2"/>
    <w:rsid w:val="5BE67071"/>
    <w:rsid w:val="5BE70AC5"/>
    <w:rsid w:val="5BE94B18"/>
    <w:rsid w:val="5BED1E04"/>
    <w:rsid w:val="5BF748DF"/>
    <w:rsid w:val="5C0207BC"/>
    <w:rsid w:val="5C0341EF"/>
    <w:rsid w:val="5C0A0310"/>
    <w:rsid w:val="5C0F5E9A"/>
    <w:rsid w:val="5C154B67"/>
    <w:rsid w:val="5C1855CD"/>
    <w:rsid w:val="5C1C7B80"/>
    <w:rsid w:val="5C312891"/>
    <w:rsid w:val="5C3D458D"/>
    <w:rsid w:val="5C407D90"/>
    <w:rsid w:val="5C4C05FB"/>
    <w:rsid w:val="5C5354B0"/>
    <w:rsid w:val="5C576CE3"/>
    <w:rsid w:val="5C607528"/>
    <w:rsid w:val="5C6A5252"/>
    <w:rsid w:val="5C6E6559"/>
    <w:rsid w:val="5C7165E1"/>
    <w:rsid w:val="5C741C2D"/>
    <w:rsid w:val="5C871960"/>
    <w:rsid w:val="5C8F4C53"/>
    <w:rsid w:val="5C9A52FD"/>
    <w:rsid w:val="5CA82A5F"/>
    <w:rsid w:val="5CBA2C0B"/>
    <w:rsid w:val="5CBF734C"/>
    <w:rsid w:val="5CC0147B"/>
    <w:rsid w:val="5CCA2861"/>
    <w:rsid w:val="5CCB7A9F"/>
    <w:rsid w:val="5CDA268F"/>
    <w:rsid w:val="5CDC7EFE"/>
    <w:rsid w:val="5CEE6C52"/>
    <w:rsid w:val="5D333896"/>
    <w:rsid w:val="5D373386"/>
    <w:rsid w:val="5D493D80"/>
    <w:rsid w:val="5D4B0BE0"/>
    <w:rsid w:val="5D66577E"/>
    <w:rsid w:val="5D6C0156"/>
    <w:rsid w:val="5D7C6FEB"/>
    <w:rsid w:val="5D7D119F"/>
    <w:rsid w:val="5D883BE2"/>
    <w:rsid w:val="5D8F454B"/>
    <w:rsid w:val="5D910F4B"/>
    <w:rsid w:val="5D9407D9"/>
    <w:rsid w:val="5D9E3405"/>
    <w:rsid w:val="5DA622BA"/>
    <w:rsid w:val="5DB01055"/>
    <w:rsid w:val="5DB1138B"/>
    <w:rsid w:val="5DB167FA"/>
    <w:rsid w:val="5DB669A1"/>
    <w:rsid w:val="5DC15346"/>
    <w:rsid w:val="5DC7435D"/>
    <w:rsid w:val="5DD21301"/>
    <w:rsid w:val="5DD37D2D"/>
    <w:rsid w:val="5DD72473"/>
    <w:rsid w:val="5DDB7F90"/>
    <w:rsid w:val="5DDE3802"/>
    <w:rsid w:val="5DE15411"/>
    <w:rsid w:val="5DE35818"/>
    <w:rsid w:val="5DEA05A2"/>
    <w:rsid w:val="5DEC14F9"/>
    <w:rsid w:val="5DED613B"/>
    <w:rsid w:val="5DEF3C61"/>
    <w:rsid w:val="5DF14806"/>
    <w:rsid w:val="5DF85EF0"/>
    <w:rsid w:val="5DFB4772"/>
    <w:rsid w:val="5DFC1372"/>
    <w:rsid w:val="5E084D23"/>
    <w:rsid w:val="5E0D26B4"/>
    <w:rsid w:val="5E0E5C68"/>
    <w:rsid w:val="5E102BD6"/>
    <w:rsid w:val="5E113BD7"/>
    <w:rsid w:val="5E1B0657"/>
    <w:rsid w:val="5E2514DB"/>
    <w:rsid w:val="5E3B6EA6"/>
    <w:rsid w:val="5E493227"/>
    <w:rsid w:val="5E5E50AC"/>
    <w:rsid w:val="5E5F3325"/>
    <w:rsid w:val="5E622B42"/>
    <w:rsid w:val="5E781EA8"/>
    <w:rsid w:val="5E7D46AF"/>
    <w:rsid w:val="5E7E51EA"/>
    <w:rsid w:val="5E7F1E13"/>
    <w:rsid w:val="5E834211"/>
    <w:rsid w:val="5E8B1BDC"/>
    <w:rsid w:val="5E8F7A3A"/>
    <w:rsid w:val="5E9C62E4"/>
    <w:rsid w:val="5EA031AD"/>
    <w:rsid w:val="5EA52572"/>
    <w:rsid w:val="5EAC3900"/>
    <w:rsid w:val="5EBB7FE7"/>
    <w:rsid w:val="5EC85CE5"/>
    <w:rsid w:val="5ECC5D50"/>
    <w:rsid w:val="5ED2189E"/>
    <w:rsid w:val="5ED34118"/>
    <w:rsid w:val="5EED7607"/>
    <w:rsid w:val="5EF20E7F"/>
    <w:rsid w:val="5EF332DD"/>
    <w:rsid w:val="5EF55105"/>
    <w:rsid w:val="5EFD2BB4"/>
    <w:rsid w:val="5F001950"/>
    <w:rsid w:val="5F0B4ACB"/>
    <w:rsid w:val="5F0E0117"/>
    <w:rsid w:val="5F0F6DE3"/>
    <w:rsid w:val="5F2A7A3E"/>
    <w:rsid w:val="5F337B7D"/>
    <w:rsid w:val="5F3538F6"/>
    <w:rsid w:val="5F3E0E69"/>
    <w:rsid w:val="5F455206"/>
    <w:rsid w:val="5F4E2C09"/>
    <w:rsid w:val="5F4F0E5B"/>
    <w:rsid w:val="5F5075AA"/>
    <w:rsid w:val="5F553F98"/>
    <w:rsid w:val="5F5741F8"/>
    <w:rsid w:val="5F696506"/>
    <w:rsid w:val="5F6D731B"/>
    <w:rsid w:val="5F7570AC"/>
    <w:rsid w:val="5F773F0E"/>
    <w:rsid w:val="5F7B20B7"/>
    <w:rsid w:val="5F8108E9"/>
    <w:rsid w:val="5F82418D"/>
    <w:rsid w:val="5F8959EF"/>
    <w:rsid w:val="5F8F74AA"/>
    <w:rsid w:val="5F906D7E"/>
    <w:rsid w:val="5F980E60"/>
    <w:rsid w:val="5F9B30F9"/>
    <w:rsid w:val="5F9C5723"/>
    <w:rsid w:val="5F9F32CB"/>
    <w:rsid w:val="5FA25B22"/>
    <w:rsid w:val="5FAD7930"/>
    <w:rsid w:val="5FB07420"/>
    <w:rsid w:val="5FC55B17"/>
    <w:rsid w:val="5FCD3B2E"/>
    <w:rsid w:val="5FEE1D8B"/>
    <w:rsid w:val="60062125"/>
    <w:rsid w:val="600716FE"/>
    <w:rsid w:val="600A6B30"/>
    <w:rsid w:val="601660E8"/>
    <w:rsid w:val="60182FDC"/>
    <w:rsid w:val="60186DB9"/>
    <w:rsid w:val="6037369D"/>
    <w:rsid w:val="60396686"/>
    <w:rsid w:val="603B48E8"/>
    <w:rsid w:val="603E6279"/>
    <w:rsid w:val="60435451"/>
    <w:rsid w:val="60454C2D"/>
    <w:rsid w:val="604638E0"/>
    <w:rsid w:val="60487659"/>
    <w:rsid w:val="60561A1A"/>
    <w:rsid w:val="60654232"/>
    <w:rsid w:val="60837066"/>
    <w:rsid w:val="608508AD"/>
    <w:rsid w:val="60860C54"/>
    <w:rsid w:val="60883EF9"/>
    <w:rsid w:val="608F06A9"/>
    <w:rsid w:val="60A67742"/>
    <w:rsid w:val="60AD7EAA"/>
    <w:rsid w:val="60B028AD"/>
    <w:rsid w:val="60B84832"/>
    <w:rsid w:val="60B85E1E"/>
    <w:rsid w:val="60CB525C"/>
    <w:rsid w:val="60D55FD5"/>
    <w:rsid w:val="60E83231"/>
    <w:rsid w:val="60F33A68"/>
    <w:rsid w:val="60FB291D"/>
    <w:rsid w:val="61042335"/>
    <w:rsid w:val="61043C42"/>
    <w:rsid w:val="610A0A45"/>
    <w:rsid w:val="6110461A"/>
    <w:rsid w:val="6114555A"/>
    <w:rsid w:val="611B31D0"/>
    <w:rsid w:val="612765DC"/>
    <w:rsid w:val="612872B3"/>
    <w:rsid w:val="612B1454"/>
    <w:rsid w:val="612D20E8"/>
    <w:rsid w:val="612E5B5B"/>
    <w:rsid w:val="61322CA9"/>
    <w:rsid w:val="61377DF9"/>
    <w:rsid w:val="613876CD"/>
    <w:rsid w:val="613C6411"/>
    <w:rsid w:val="613F0E4E"/>
    <w:rsid w:val="6144075C"/>
    <w:rsid w:val="614B1722"/>
    <w:rsid w:val="614C3178"/>
    <w:rsid w:val="614C7C11"/>
    <w:rsid w:val="615420B3"/>
    <w:rsid w:val="61575C16"/>
    <w:rsid w:val="61610A54"/>
    <w:rsid w:val="6163578B"/>
    <w:rsid w:val="61650207"/>
    <w:rsid w:val="616A33AF"/>
    <w:rsid w:val="616F796D"/>
    <w:rsid w:val="6171237D"/>
    <w:rsid w:val="61720E31"/>
    <w:rsid w:val="61730705"/>
    <w:rsid w:val="61785D1C"/>
    <w:rsid w:val="617B75FE"/>
    <w:rsid w:val="61857F0D"/>
    <w:rsid w:val="6186668A"/>
    <w:rsid w:val="61952D71"/>
    <w:rsid w:val="619764D6"/>
    <w:rsid w:val="619E2FEF"/>
    <w:rsid w:val="619E66E0"/>
    <w:rsid w:val="61A22D98"/>
    <w:rsid w:val="61A56F03"/>
    <w:rsid w:val="61A65EC3"/>
    <w:rsid w:val="61B24A4F"/>
    <w:rsid w:val="61B74A96"/>
    <w:rsid w:val="61CA2A1B"/>
    <w:rsid w:val="61E55970"/>
    <w:rsid w:val="61EE49A3"/>
    <w:rsid w:val="61F35FC3"/>
    <w:rsid w:val="62117212"/>
    <w:rsid w:val="62140822"/>
    <w:rsid w:val="62141EE8"/>
    <w:rsid w:val="621F66B2"/>
    <w:rsid w:val="623D250E"/>
    <w:rsid w:val="62435776"/>
    <w:rsid w:val="624B0BD0"/>
    <w:rsid w:val="624B51DE"/>
    <w:rsid w:val="62571DD5"/>
    <w:rsid w:val="62724E61"/>
    <w:rsid w:val="6276150D"/>
    <w:rsid w:val="627B2F7D"/>
    <w:rsid w:val="628F156F"/>
    <w:rsid w:val="62904BFC"/>
    <w:rsid w:val="62A0552A"/>
    <w:rsid w:val="62AC2121"/>
    <w:rsid w:val="62AF7E63"/>
    <w:rsid w:val="62BD2F93"/>
    <w:rsid w:val="62CA25A7"/>
    <w:rsid w:val="62D022B3"/>
    <w:rsid w:val="62DB2A06"/>
    <w:rsid w:val="62E0001C"/>
    <w:rsid w:val="62E41B3B"/>
    <w:rsid w:val="62FA1097"/>
    <w:rsid w:val="63124102"/>
    <w:rsid w:val="631B1054"/>
    <w:rsid w:val="63255DE1"/>
    <w:rsid w:val="63367C3C"/>
    <w:rsid w:val="6353259C"/>
    <w:rsid w:val="635D166D"/>
    <w:rsid w:val="63775F3E"/>
    <w:rsid w:val="637C5F97"/>
    <w:rsid w:val="63863B93"/>
    <w:rsid w:val="63864CA6"/>
    <w:rsid w:val="63A43996"/>
    <w:rsid w:val="63AA4CA9"/>
    <w:rsid w:val="63AA69EF"/>
    <w:rsid w:val="63C60FC0"/>
    <w:rsid w:val="63D11CA5"/>
    <w:rsid w:val="63DC5DC4"/>
    <w:rsid w:val="63DE25DA"/>
    <w:rsid w:val="63E46F94"/>
    <w:rsid w:val="64065861"/>
    <w:rsid w:val="640C6C16"/>
    <w:rsid w:val="640E54FA"/>
    <w:rsid w:val="64161140"/>
    <w:rsid w:val="641720FF"/>
    <w:rsid w:val="641C32D6"/>
    <w:rsid w:val="642D28F6"/>
    <w:rsid w:val="64306D81"/>
    <w:rsid w:val="64405857"/>
    <w:rsid w:val="64466571"/>
    <w:rsid w:val="644665A5"/>
    <w:rsid w:val="64520AA6"/>
    <w:rsid w:val="64575BF2"/>
    <w:rsid w:val="64596731"/>
    <w:rsid w:val="64692A7A"/>
    <w:rsid w:val="646B31C9"/>
    <w:rsid w:val="646C600B"/>
    <w:rsid w:val="64760C38"/>
    <w:rsid w:val="64790F33"/>
    <w:rsid w:val="647D05D7"/>
    <w:rsid w:val="64805613"/>
    <w:rsid w:val="64A357A5"/>
    <w:rsid w:val="64AB17E7"/>
    <w:rsid w:val="64AF414A"/>
    <w:rsid w:val="64B064FA"/>
    <w:rsid w:val="64B27796"/>
    <w:rsid w:val="64B90B25"/>
    <w:rsid w:val="64C228DE"/>
    <w:rsid w:val="64C41725"/>
    <w:rsid w:val="64CE04C8"/>
    <w:rsid w:val="64D63485"/>
    <w:rsid w:val="64D7446B"/>
    <w:rsid w:val="64DF3E2A"/>
    <w:rsid w:val="64FA6769"/>
    <w:rsid w:val="65014E0D"/>
    <w:rsid w:val="6502427A"/>
    <w:rsid w:val="65051FBC"/>
    <w:rsid w:val="65075270"/>
    <w:rsid w:val="650B3FD7"/>
    <w:rsid w:val="65295BF2"/>
    <w:rsid w:val="653E0CAA"/>
    <w:rsid w:val="654153AA"/>
    <w:rsid w:val="654D1A3E"/>
    <w:rsid w:val="65510D5D"/>
    <w:rsid w:val="655F347A"/>
    <w:rsid w:val="6569254B"/>
    <w:rsid w:val="656942F9"/>
    <w:rsid w:val="65736B92"/>
    <w:rsid w:val="658738AB"/>
    <w:rsid w:val="659562E9"/>
    <w:rsid w:val="65A05841"/>
    <w:rsid w:val="65A638EA"/>
    <w:rsid w:val="65BC6B1F"/>
    <w:rsid w:val="65BF1287"/>
    <w:rsid w:val="65C47781"/>
    <w:rsid w:val="65D84624"/>
    <w:rsid w:val="65E14D38"/>
    <w:rsid w:val="65E25712"/>
    <w:rsid w:val="65E904CC"/>
    <w:rsid w:val="65EC34D9"/>
    <w:rsid w:val="6607361A"/>
    <w:rsid w:val="660B02F6"/>
    <w:rsid w:val="660C63EF"/>
    <w:rsid w:val="66123DD5"/>
    <w:rsid w:val="66183D16"/>
    <w:rsid w:val="661F1A10"/>
    <w:rsid w:val="661F4D98"/>
    <w:rsid w:val="662B4589"/>
    <w:rsid w:val="662E109F"/>
    <w:rsid w:val="663236CB"/>
    <w:rsid w:val="663A71E2"/>
    <w:rsid w:val="66412025"/>
    <w:rsid w:val="664773E2"/>
    <w:rsid w:val="664A512E"/>
    <w:rsid w:val="664B175C"/>
    <w:rsid w:val="66562CF4"/>
    <w:rsid w:val="665925BF"/>
    <w:rsid w:val="66642D82"/>
    <w:rsid w:val="66664CDC"/>
    <w:rsid w:val="66681F85"/>
    <w:rsid w:val="666A79DC"/>
    <w:rsid w:val="66767EEE"/>
    <w:rsid w:val="667B76B0"/>
    <w:rsid w:val="668F7766"/>
    <w:rsid w:val="66945988"/>
    <w:rsid w:val="669C24AC"/>
    <w:rsid w:val="669D5738"/>
    <w:rsid w:val="669E6224"/>
    <w:rsid w:val="66AA160B"/>
    <w:rsid w:val="66AB64F3"/>
    <w:rsid w:val="66AC6B93"/>
    <w:rsid w:val="66AE57C5"/>
    <w:rsid w:val="66B33390"/>
    <w:rsid w:val="66CE2777"/>
    <w:rsid w:val="66DC0AFB"/>
    <w:rsid w:val="66DD4F9F"/>
    <w:rsid w:val="66E02225"/>
    <w:rsid w:val="66E24AD6"/>
    <w:rsid w:val="66E3632D"/>
    <w:rsid w:val="66F4120E"/>
    <w:rsid w:val="66F83B86"/>
    <w:rsid w:val="67077E34"/>
    <w:rsid w:val="670E7738"/>
    <w:rsid w:val="671B7875"/>
    <w:rsid w:val="6733523D"/>
    <w:rsid w:val="67371FE2"/>
    <w:rsid w:val="674006F3"/>
    <w:rsid w:val="67416CA9"/>
    <w:rsid w:val="6747066A"/>
    <w:rsid w:val="6755062E"/>
    <w:rsid w:val="67582877"/>
    <w:rsid w:val="67591D5F"/>
    <w:rsid w:val="676E5BF7"/>
    <w:rsid w:val="677C7E20"/>
    <w:rsid w:val="67851192"/>
    <w:rsid w:val="67874F0A"/>
    <w:rsid w:val="678E12C7"/>
    <w:rsid w:val="6790611A"/>
    <w:rsid w:val="67945DC5"/>
    <w:rsid w:val="679D64DC"/>
    <w:rsid w:val="67A42616"/>
    <w:rsid w:val="67A851E1"/>
    <w:rsid w:val="67AA29A7"/>
    <w:rsid w:val="67B35CFF"/>
    <w:rsid w:val="67B57CC9"/>
    <w:rsid w:val="67BF50EF"/>
    <w:rsid w:val="67C717AB"/>
    <w:rsid w:val="67E265E5"/>
    <w:rsid w:val="67E45EB9"/>
    <w:rsid w:val="67ED7A99"/>
    <w:rsid w:val="67EE4F89"/>
    <w:rsid w:val="68064B15"/>
    <w:rsid w:val="68071203"/>
    <w:rsid w:val="68133F4F"/>
    <w:rsid w:val="68171A2C"/>
    <w:rsid w:val="681F490E"/>
    <w:rsid w:val="68437083"/>
    <w:rsid w:val="684756A2"/>
    <w:rsid w:val="68500530"/>
    <w:rsid w:val="68727968"/>
    <w:rsid w:val="68815443"/>
    <w:rsid w:val="68886E4B"/>
    <w:rsid w:val="688D02FE"/>
    <w:rsid w:val="68923B67"/>
    <w:rsid w:val="68A815DC"/>
    <w:rsid w:val="68DC0114"/>
    <w:rsid w:val="68DE7029"/>
    <w:rsid w:val="68E31D87"/>
    <w:rsid w:val="68EC6095"/>
    <w:rsid w:val="69004F74"/>
    <w:rsid w:val="69025DD5"/>
    <w:rsid w:val="690A594E"/>
    <w:rsid w:val="69166546"/>
    <w:rsid w:val="691B1DAE"/>
    <w:rsid w:val="691E364C"/>
    <w:rsid w:val="692944BE"/>
    <w:rsid w:val="692B29D8"/>
    <w:rsid w:val="694F1A58"/>
    <w:rsid w:val="69754B58"/>
    <w:rsid w:val="697F058F"/>
    <w:rsid w:val="69881DBC"/>
    <w:rsid w:val="698856E3"/>
    <w:rsid w:val="698A2A90"/>
    <w:rsid w:val="698A4AEF"/>
    <w:rsid w:val="698B7463"/>
    <w:rsid w:val="69902B14"/>
    <w:rsid w:val="69915C50"/>
    <w:rsid w:val="699A681B"/>
    <w:rsid w:val="69A51678"/>
    <w:rsid w:val="69AF0748"/>
    <w:rsid w:val="69B55D5F"/>
    <w:rsid w:val="69B8584F"/>
    <w:rsid w:val="69BE7C51"/>
    <w:rsid w:val="69D837FB"/>
    <w:rsid w:val="69D925B6"/>
    <w:rsid w:val="69DB2DF8"/>
    <w:rsid w:val="69DC6DBD"/>
    <w:rsid w:val="69DE7A12"/>
    <w:rsid w:val="69DF102E"/>
    <w:rsid w:val="69E42CCA"/>
    <w:rsid w:val="69EC5066"/>
    <w:rsid w:val="69F108B1"/>
    <w:rsid w:val="69F34AD9"/>
    <w:rsid w:val="69F36887"/>
    <w:rsid w:val="6A0C16F7"/>
    <w:rsid w:val="6A15667C"/>
    <w:rsid w:val="6A260A0B"/>
    <w:rsid w:val="6A286A80"/>
    <w:rsid w:val="6A3E2CF9"/>
    <w:rsid w:val="6A4149B6"/>
    <w:rsid w:val="6A4C6AFD"/>
    <w:rsid w:val="6A57027D"/>
    <w:rsid w:val="6A5A7101"/>
    <w:rsid w:val="6A5C18FD"/>
    <w:rsid w:val="6A6257BB"/>
    <w:rsid w:val="6A6B167A"/>
    <w:rsid w:val="6A6B79A1"/>
    <w:rsid w:val="6A776CCA"/>
    <w:rsid w:val="6A7E0B45"/>
    <w:rsid w:val="6A800F11"/>
    <w:rsid w:val="6A8B0A92"/>
    <w:rsid w:val="6AA162E3"/>
    <w:rsid w:val="6AAA02F4"/>
    <w:rsid w:val="6AAC3883"/>
    <w:rsid w:val="6ACA7A19"/>
    <w:rsid w:val="6ACE4215"/>
    <w:rsid w:val="6ADB565B"/>
    <w:rsid w:val="6ADB5F91"/>
    <w:rsid w:val="6AE23394"/>
    <w:rsid w:val="6AE508C6"/>
    <w:rsid w:val="6AF17E47"/>
    <w:rsid w:val="6AF21BFD"/>
    <w:rsid w:val="6AF9611F"/>
    <w:rsid w:val="6AFF300A"/>
    <w:rsid w:val="6B1116BB"/>
    <w:rsid w:val="6B15282D"/>
    <w:rsid w:val="6B1B42E7"/>
    <w:rsid w:val="6B1E2C4D"/>
    <w:rsid w:val="6B2057D3"/>
    <w:rsid w:val="6B2F1B41"/>
    <w:rsid w:val="6B317667"/>
    <w:rsid w:val="6B3453A9"/>
    <w:rsid w:val="6B3C7DBA"/>
    <w:rsid w:val="6B3D425E"/>
    <w:rsid w:val="6B3D4F98"/>
    <w:rsid w:val="6B572E46"/>
    <w:rsid w:val="6B581098"/>
    <w:rsid w:val="6B5939B6"/>
    <w:rsid w:val="6B6B19DF"/>
    <w:rsid w:val="6B7439F8"/>
    <w:rsid w:val="6B776868"/>
    <w:rsid w:val="6B7C1752"/>
    <w:rsid w:val="6B851878"/>
    <w:rsid w:val="6B8754D9"/>
    <w:rsid w:val="6B8B11DA"/>
    <w:rsid w:val="6B8D6867"/>
    <w:rsid w:val="6B903E85"/>
    <w:rsid w:val="6B9A4795"/>
    <w:rsid w:val="6BA827D9"/>
    <w:rsid w:val="6BAE1C75"/>
    <w:rsid w:val="6BB107A8"/>
    <w:rsid w:val="6BB33140"/>
    <w:rsid w:val="6BB67B6C"/>
    <w:rsid w:val="6BD02CCA"/>
    <w:rsid w:val="6BD476D0"/>
    <w:rsid w:val="6BED1D2F"/>
    <w:rsid w:val="6BF80185"/>
    <w:rsid w:val="6BFB5AB1"/>
    <w:rsid w:val="6BFF59B7"/>
    <w:rsid w:val="6C0A3CFD"/>
    <w:rsid w:val="6C0C3B8C"/>
    <w:rsid w:val="6C0C3C30"/>
    <w:rsid w:val="6C0E5BFA"/>
    <w:rsid w:val="6C152AE5"/>
    <w:rsid w:val="6C1560DD"/>
    <w:rsid w:val="6C1E27F0"/>
    <w:rsid w:val="6C1F77AC"/>
    <w:rsid w:val="6C2266EB"/>
    <w:rsid w:val="6C2F085B"/>
    <w:rsid w:val="6C3E1F20"/>
    <w:rsid w:val="6C3F1104"/>
    <w:rsid w:val="6C4A4736"/>
    <w:rsid w:val="6C64734B"/>
    <w:rsid w:val="6C663340"/>
    <w:rsid w:val="6C727F37"/>
    <w:rsid w:val="6C824B2D"/>
    <w:rsid w:val="6C830396"/>
    <w:rsid w:val="6C9134F4"/>
    <w:rsid w:val="6C957EAB"/>
    <w:rsid w:val="6CA81BAB"/>
    <w:rsid w:val="6CAD5413"/>
    <w:rsid w:val="6CBD4A96"/>
    <w:rsid w:val="6CC12C6C"/>
    <w:rsid w:val="6CCB7647"/>
    <w:rsid w:val="6CCE155D"/>
    <w:rsid w:val="6CD10E1D"/>
    <w:rsid w:val="6CDB1A5B"/>
    <w:rsid w:val="6CDE381E"/>
    <w:rsid w:val="6CDE3DB2"/>
    <w:rsid w:val="6CE97F5E"/>
    <w:rsid w:val="6CF75CE9"/>
    <w:rsid w:val="6CFA7F2C"/>
    <w:rsid w:val="6D0E435A"/>
    <w:rsid w:val="6D1234C8"/>
    <w:rsid w:val="6D14652F"/>
    <w:rsid w:val="6D176D30"/>
    <w:rsid w:val="6D185B95"/>
    <w:rsid w:val="6D1A237D"/>
    <w:rsid w:val="6D205E55"/>
    <w:rsid w:val="6D233195"/>
    <w:rsid w:val="6D282CEC"/>
    <w:rsid w:val="6D303F6F"/>
    <w:rsid w:val="6D401DE3"/>
    <w:rsid w:val="6D4762D1"/>
    <w:rsid w:val="6D5238C5"/>
    <w:rsid w:val="6D565E8F"/>
    <w:rsid w:val="6D6B6137"/>
    <w:rsid w:val="6D75462F"/>
    <w:rsid w:val="6D7C6B93"/>
    <w:rsid w:val="6D8D1345"/>
    <w:rsid w:val="6D8E7684"/>
    <w:rsid w:val="6D934B67"/>
    <w:rsid w:val="6DAA7824"/>
    <w:rsid w:val="6DB26049"/>
    <w:rsid w:val="6DD20BD0"/>
    <w:rsid w:val="6DF00B4E"/>
    <w:rsid w:val="6DF16C94"/>
    <w:rsid w:val="6DF35365"/>
    <w:rsid w:val="6DFC5F24"/>
    <w:rsid w:val="6E082156"/>
    <w:rsid w:val="6E117620"/>
    <w:rsid w:val="6E1D3ED3"/>
    <w:rsid w:val="6E272FA3"/>
    <w:rsid w:val="6E2B2468"/>
    <w:rsid w:val="6E3149F1"/>
    <w:rsid w:val="6E337B9A"/>
    <w:rsid w:val="6E3A0F28"/>
    <w:rsid w:val="6E3A7DB9"/>
    <w:rsid w:val="6E3B3296"/>
    <w:rsid w:val="6E5E7D1F"/>
    <w:rsid w:val="6E672362"/>
    <w:rsid w:val="6E677844"/>
    <w:rsid w:val="6E7B3BBC"/>
    <w:rsid w:val="6E8757F0"/>
    <w:rsid w:val="6E95615F"/>
    <w:rsid w:val="6E9C573F"/>
    <w:rsid w:val="6EAE7626"/>
    <w:rsid w:val="6EBC36EB"/>
    <w:rsid w:val="6EC304C5"/>
    <w:rsid w:val="6EC51E52"/>
    <w:rsid w:val="6ED23CF7"/>
    <w:rsid w:val="6ED54861"/>
    <w:rsid w:val="6EDA20CB"/>
    <w:rsid w:val="6EF313AD"/>
    <w:rsid w:val="6EFD44B3"/>
    <w:rsid w:val="6F046D30"/>
    <w:rsid w:val="6F082DD5"/>
    <w:rsid w:val="6F174DC6"/>
    <w:rsid w:val="6F1D78C7"/>
    <w:rsid w:val="6F2030BB"/>
    <w:rsid w:val="6F2B147E"/>
    <w:rsid w:val="6F35208D"/>
    <w:rsid w:val="6F3753FD"/>
    <w:rsid w:val="6F3829E8"/>
    <w:rsid w:val="6F3B720D"/>
    <w:rsid w:val="6F3C65DA"/>
    <w:rsid w:val="6F424616"/>
    <w:rsid w:val="6F44427E"/>
    <w:rsid w:val="6F4A03E2"/>
    <w:rsid w:val="6F4A519B"/>
    <w:rsid w:val="6F581C28"/>
    <w:rsid w:val="6F606838"/>
    <w:rsid w:val="6F6F075E"/>
    <w:rsid w:val="6F7C63CD"/>
    <w:rsid w:val="6F881DFB"/>
    <w:rsid w:val="6F946B4A"/>
    <w:rsid w:val="6F96218E"/>
    <w:rsid w:val="6FAB2A73"/>
    <w:rsid w:val="6FB40867"/>
    <w:rsid w:val="6FBB7E47"/>
    <w:rsid w:val="6FC11EA8"/>
    <w:rsid w:val="6FC85C67"/>
    <w:rsid w:val="6FCA0C27"/>
    <w:rsid w:val="6FD20682"/>
    <w:rsid w:val="6FE54EC4"/>
    <w:rsid w:val="6FEC1DAE"/>
    <w:rsid w:val="6FF0498F"/>
    <w:rsid w:val="6FF54CB1"/>
    <w:rsid w:val="6FFB3A44"/>
    <w:rsid w:val="6FFC14C6"/>
    <w:rsid w:val="7003790E"/>
    <w:rsid w:val="700639BA"/>
    <w:rsid w:val="700963A6"/>
    <w:rsid w:val="70131A31"/>
    <w:rsid w:val="702A1F6D"/>
    <w:rsid w:val="704C4397"/>
    <w:rsid w:val="704F058F"/>
    <w:rsid w:val="70682B21"/>
    <w:rsid w:val="706A7177"/>
    <w:rsid w:val="706B2C34"/>
    <w:rsid w:val="70722402"/>
    <w:rsid w:val="70893D25"/>
    <w:rsid w:val="708F3534"/>
    <w:rsid w:val="7094582D"/>
    <w:rsid w:val="70974F48"/>
    <w:rsid w:val="709C5C5F"/>
    <w:rsid w:val="70A0777D"/>
    <w:rsid w:val="70A132D9"/>
    <w:rsid w:val="70AE0734"/>
    <w:rsid w:val="70B0102E"/>
    <w:rsid w:val="70B0298D"/>
    <w:rsid w:val="70B92EA4"/>
    <w:rsid w:val="70BB3C90"/>
    <w:rsid w:val="70BD199D"/>
    <w:rsid w:val="70C035E2"/>
    <w:rsid w:val="70C20D61"/>
    <w:rsid w:val="70D030E3"/>
    <w:rsid w:val="70D56FC1"/>
    <w:rsid w:val="70DF533C"/>
    <w:rsid w:val="71151F93"/>
    <w:rsid w:val="711A1C9E"/>
    <w:rsid w:val="711C29AB"/>
    <w:rsid w:val="711E59C9"/>
    <w:rsid w:val="713B0EFF"/>
    <w:rsid w:val="713E2ADE"/>
    <w:rsid w:val="71544E74"/>
    <w:rsid w:val="715C71CC"/>
    <w:rsid w:val="71702AAB"/>
    <w:rsid w:val="71706A0F"/>
    <w:rsid w:val="717A7503"/>
    <w:rsid w:val="717E112C"/>
    <w:rsid w:val="71834994"/>
    <w:rsid w:val="71836B6F"/>
    <w:rsid w:val="71850BAE"/>
    <w:rsid w:val="71A60683"/>
    <w:rsid w:val="71B0505E"/>
    <w:rsid w:val="71B30B0D"/>
    <w:rsid w:val="71B41E13"/>
    <w:rsid w:val="71B50A94"/>
    <w:rsid w:val="71CD1C13"/>
    <w:rsid w:val="71DB032D"/>
    <w:rsid w:val="71DB20DB"/>
    <w:rsid w:val="71E60A7F"/>
    <w:rsid w:val="71F238C8"/>
    <w:rsid w:val="720307F3"/>
    <w:rsid w:val="720D425E"/>
    <w:rsid w:val="720F447A"/>
    <w:rsid w:val="721101F2"/>
    <w:rsid w:val="72124063"/>
    <w:rsid w:val="721671A2"/>
    <w:rsid w:val="721D696D"/>
    <w:rsid w:val="72312642"/>
    <w:rsid w:val="725325B9"/>
    <w:rsid w:val="72563C24"/>
    <w:rsid w:val="725974A3"/>
    <w:rsid w:val="725D7291"/>
    <w:rsid w:val="72677E12"/>
    <w:rsid w:val="727442DD"/>
    <w:rsid w:val="727644F9"/>
    <w:rsid w:val="727B40A7"/>
    <w:rsid w:val="72800E44"/>
    <w:rsid w:val="728029B1"/>
    <w:rsid w:val="728127DF"/>
    <w:rsid w:val="729055BB"/>
    <w:rsid w:val="72955BA6"/>
    <w:rsid w:val="7296044F"/>
    <w:rsid w:val="729B0E1D"/>
    <w:rsid w:val="72A9418F"/>
    <w:rsid w:val="72B633A9"/>
    <w:rsid w:val="72BB015E"/>
    <w:rsid w:val="72BF37AA"/>
    <w:rsid w:val="72C12203"/>
    <w:rsid w:val="72CB7102"/>
    <w:rsid w:val="72CE3B29"/>
    <w:rsid w:val="72CE7E91"/>
    <w:rsid w:val="72D16C0C"/>
    <w:rsid w:val="72D75763"/>
    <w:rsid w:val="72E30ACB"/>
    <w:rsid w:val="72EE7780"/>
    <w:rsid w:val="72F10E1E"/>
    <w:rsid w:val="72FD3138"/>
    <w:rsid w:val="730E68A8"/>
    <w:rsid w:val="731735E6"/>
    <w:rsid w:val="7318735E"/>
    <w:rsid w:val="731F693F"/>
    <w:rsid w:val="73267CCD"/>
    <w:rsid w:val="732B705A"/>
    <w:rsid w:val="73410C94"/>
    <w:rsid w:val="73415675"/>
    <w:rsid w:val="735008A6"/>
    <w:rsid w:val="7352657A"/>
    <w:rsid w:val="73532145"/>
    <w:rsid w:val="735C324C"/>
    <w:rsid w:val="73600BBE"/>
    <w:rsid w:val="736778EA"/>
    <w:rsid w:val="73726A6F"/>
    <w:rsid w:val="7376008C"/>
    <w:rsid w:val="73760EDD"/>
    <w:rsid w:val="73774085"/>
    <w:rsid w:val="737E3665"/>
    <w:rsid w:val="73892D1C"/>
    <w:rsid w:val="738B299C"/>
    <w:rsid w:val="73944605"/>
    <w:rsid w:val="739B6B24"/>
    <w:rsid w:val="739F12CA"/>
    <w:rsid w:val="73AC67FA"/>
    <w:rsid w:val="73AE37EF"/>
    <w:rsid w:val="73C0556B"/>
    <w:rsid w:val="73D0568F"/>
    <w:rsid w:val="73D15043"/>
    <w:rsid w:val="73FB2F08"/>
    <w:rsid w:val="740C0C71"/>
    <w:rsid w:val="742B1FE0"/>
    <w:rsid w:val="742D5A28"/>
    <w:rsid w:val="742E1BC6"/>
    <w:rsid w:val="7437213F"/>
    <w:rsid w:val="743E5276"/>
    <w:rsid w:val="744436E8"/>
    <w:rsid w:val="7445564D"/>
    <w:rsid w:val="74561EEC"/>
    <w:rsid w:val="74562910"/>
    <w:rsid w:val="745A5E80"/>
    <w:rsid w:val="745E6FF3"/>
    <w:rsid w:val="74602D6B"/>
    <w:rsid w:val="746B7C73"/>
    <w:rsid w:val="7476258E"/>
    <w:rsid w:val="7476433D"/>
    <w:rsid w:val="747774F0"/>
    <w:rsid w:val="748051BB"/>
    <w:rsid w:val="748527D2"/>
    <w:rsid w:val="749E5E83"/>
    <w:rsid w:val="74A27A9A"/>
    <w:rsid w:val="74AB5B4B"/>
    <w:rsid w:val="74C64922"/>
    <w:rsid w:val="74E219D2"/>
    <w:rsid w:val="74E4399C"/>
    <w:rsid w:val="74F636CF"/>
    <w:rsid w:val="75022074"/>
    <w:rsid w:val="75061B64"/>
    <w:rsid w:val="750744E5"/>
    <w:rsid w:val="7507768A"/>
    <w:rsid w:val="750E5207"/>
    <w:rsid w:val="751678CE"/>
    <w:rsid w:val="75214578"/>
    <w:rsid w:val="752673E2"/>
    <w:rsid w:val="752E2E69"/>
    <w:rsid w:val="752F4D48"/>
    <w:rsid w:val="753161AE"/>
    <w:rsid w:val="75387719"/>
    <w:rsid w:val="753A4792"/>
    <w:rsid w:val="753F11B5"/>
    <w:rsid w:val="754860FB"/>
    <w:rsid w:val="75512443"/>
    <w:rsid w:val="75615113"/>
    <w:rsid w:val="756A1714"/>
    <w:rsid w:val="75703946"/>
    <w:rsid w:val="75722D56"/>
    <w:rsid w:val="7580511B"/>
    <w:rsid w:val="758111EB"/>
    <w:rsid w:val="75842A89"/>
    <w:rsid w:val="75887E9A"/>
    <w:rsid w:val="7589009F"/>
    <w:rsid w:val="75A1363B"/>
    <w:rsid w:val="75AA6994"/>
    <w:rsid w:val="75B93791"/>
    <w:rsid w:val="75BA64AB"/>
    <w:rsid w:val="75BD082E"/>
    <w:rsid w:val="75BD1E5D"/>
    <w:rsid w:val="75BD7AFE"/>
    <w:rsid w:val="75DF1260"/>
    <w:rsid w:val="75EA5ECF"/>
    <w:rsid w:val="76045978"/>
    <w:rsid w:val="761866B4"/>
    <w:rsid w:val="76217F91"/>
    <w:rsid w:val="76283D5C"/>
    <w:rsid w:val="763C5D0A"/>
    <w:rsid w:val="76477D75"/>
    <w:rsid w:val="76486327"/>
    <w:rsid w:val="76510CF3"/>
    <w:rsid w:val="76553827"/>
    <w:rsid w:val="765A4D38"/>
    <w:rsid w:val="76606C42"/>
    <w:rsid w:val="7662101C"/>
    <w:rsid w:val="76817DFE"/>
    <w:rsid w:val="7684390C"/>
    <w:rsid w:val="76864C36"/>
    <w:rsid w:val="76A209B0"/>
    <w:rsid w:val="76A67BED"/>
    <w:rsid w:val="76A719C7"/>
    <w:rsid w:val="76AD3154"/>
    <w:rsid w:val="76B63A51"/>
    <w:rsid w:val="76B71905"/>
    <w:rsid w:val="76B72ED4"/>
    <w:rsid w:val="76CF78C9"/>
    <w:rsid w:val="76D80CE3"/>
    <w:rsid w:val="76E836A3"/>
    <w:rsid w:val="76EC2FDC"/>
    <w:rsid w:val="76F02412"/>
    <w:rsid w:val="77001B80"/>
    <w:rsid w:val="77003C8A"/>
    <w:rsid w:val="7705172F"/>
    <w:rsid w:val="77106CCA"/>
    <w:rsid w:val="771F2A69"/>
    <w:rsid w:val="77205D48"/>
    <w:rsid w:val="77226D00"/>
    <w:rsid w:val="7726029C"/>
    <w:rsid w:val="773850E9"/>
    <w:rsid w:val="773C7ABF"/>
    <w:rsid w:val="773D0465"/>
    <w:rsid w:val="77444BC6"/>
    <w:rsid w:val="774626EC"/>
    <w:rsid w:val="775274E2"/>
    <w:rsid w:val="77535928"/>
    <w:rsid w:val="77561EA8"/>
    <w:rsid w:val="7769462C"/>
    <w:rsid w:val="776B0973"/>
    <w:rsid w:val="77731007"/>
    <w:rsid w:val="77756361"/>
    <w:rsid w:val="777A7965"/>
    <w:rsid w:val="779A6594"/>
    <w:rsid w:val="77B42FF3"/>
    <w:rsid w:val="77B5517C"/>
    <w:rsid w:val="77B92EBE"/>
    <w:rsid w:val="77BA4E88"/>
    <w:rsid w:val="77F3781A"/>
    <w:rsid w:val="77F43EF6"/>
    <w:rsid w:val="77F834E0"/>
    <w:rsid w:val="77FB4464"/>
    <w:rsid w:val="77FC7D56"/>
    <w:rsid w:val="780E0AC0"/>
    <w:rsid w:val="781C169F"/>
    <w:rsid w:val="78204FD8"/>
    <w:rsid w:val="7822306E"/>
    <w:rsid w:val="783C589D"/>
    <w:rsid w:val="783F63F9"/>
    <w:rsid w:val="78424BD9"/>
    <w:rsid w:val="78640085"/>
    <w:rsid w:val="786B2585"/>
    <w:rsid w:val="786C12A0"/>
    <w:rsid w:val="78700BF1"/>
    <w:rsid w:val="78746DE5"/>
    <w:rsid w:val="78792B34"/>
    <w:rsid w:val="78A71B48"/>
    <w:rsid w:val="78A84CE1"/>
    <w:rsid w:val="78AB1393"/>
    <w:rsid w:val="78B10710"/>
    <w:rsid w:val="78BE1A60"/>
    <w:rsid w:val="78C054A7"/>
    <w:rsid w:val="78C22D01"/>
    <w:rsid w:val="78C7222C"/>
    <w:rsid w:val="78C957C6"/>
    <w:rsid w:val="78CA4C57"/>
    <w:rsid w:val="78D43D28"/>
    <w:rsid w:val="78DD2BDC"/>
    <w:rsid w:val="78EC72C3"/>
    <w:rsid w:val="78ED4BF6"/>
    <w:rsid w:val="78F2573D"/>
    <w:rsid w:val="78F649C2"/>
    <w:rsid w:val="78F846CC"/>
    <w:rsid w:val="790636ED"/>
    <w:rsid w:val="79117958"/>
    <w:rsid w:val="79124B36"/>
    <w:rsid w:val="791B3704"/>
    <w:rsid w:val="792702FB"/>
    <w:rsid w:val="79275C26"/>
    <w:rsid w:val="79312F28"/>
    <w:rsid w:val="79352EE7"/>
    <w:rsid w:val="793A736F"/>
    <w:rsid w:val="79457EFE"/>
    <w:rsid w:val="7947274B"/>
    <w:rsid w:val="79551449"/>
    <w:rsid w:val="795B7FA5"/>
    <w:rsid w:val="795F53B0"/>
    <w:rsid w:val="796108B4"/>
    <w:rsid w:val="79671759"/>
    <w:rsid w:val="796A6BED"/>
    <w:rsid w:val="796B11C3"/>
    <w:rsid w:val="797075DA"/>
    <w:rsid w:val="79733AC2"/>
    <w:rsid w:val="797B41A3"/>
    <w:rsid w:val="797C0647"/>
    <w:rsid w:val="79811A8C"/>
    <w:rsid w:val="79870D9A"/>
    <w:rsid w:val="79A53729"/>
    <w:rsid w:val="79B06543"/>
    <w:rsid w:val="79B25E17"/>
    <w:rsid w:val="79C23DD0"/>
    <w:rsid w:val="79DA536E"/>
    <w:rsid w:val="79F20909"/>
    <w:rsid w:val="79F44681"/>
    <w:rsid w:val="79F71A7C"/>
    <w:rsid w:val="79FC52E4"/>
    <w:rsid w:val="7A1545F8"/>
    <w:rsid w:val="7A155BE9"/>
    <w:rsid w:val="7A1B3C8B"/>
    <w:rsid w:val="7A2328FB"/>
    <w:rsid w:val="7A24437E"/>
    <w:rsid w:val="7A2902FC"/>
    <w:rsid w:val="7A2C59DE"/>
    <w:rsid w:val="7A2D6016"/>
    <w:rsid w:val="7A2F6982"/>
    <w:rsid w:val="7A3A405E"/>
    <w:rsid w:val="7A3F39F0"/>
    <w:rsid w:val="7A4A24F3"/>
    <w:rsid w:val="7A5549F4"/>
    <w:rsid w:val="7A600B8F"/>
    <w:rsid w:val="7A6648DE"/>
    <w:rsid w:val="7A774475"/>
    <w:rsid w:val="7A796935"/>
    <w:rsid w:val="7A857216"/>
    <w:rsid w:val="7A8D2E7D"/>
    <w:rsid w:val="7A900C61"/>
    <w:rsid w:val="7A9E3255"/>
    <w:rsid w:val="7AA15E8B"/>
    <w:rsid w:val="7AA77DAD"/>
    <w:rsid w:val="7AB52FC8"/>
    <w:rsid w:val="7ABD4D97"/>
    <w:rsid w:val="7AC202DC"/>
    <w:rsid w:val="7AD02C89"/>
    <w:rsid w:val="7AD462D1"/>
    <w:rsid w:val="7AD93877"/>
    <w:rsid w:val="7ADB75EF"/>
    <w:rsid w:val="7ADC47C3"/>
    <w:rsid w:val="7AE76131"/>
    <w:rsid w:val="7AE81D36"/>
    <w:rsid w:val="7AEB038D"/>
    <w:rsid w:val="7AED2E7F"/>
    <w:rsid w:val="7AFE1428"/>
    <w:rsid w:val="7B095F0A"/>
    <w:rsid w:val="7B157AC2"/>
    <w:rsid w:val="7B22521E"/>
    <w:rsid w:val="7B2F25E9"/>
    <w:rsid w:val="7B424A3D"/>
    <w:rsid w:val="7B43208A"/>
    <w:rsid w:val="7B482744"/>
    <w:rsid w:val="7B4A207F"/>
    <w:rsid w:val="7B4E6DDA"/>
    <w:rsid w:val="7B5A76E1"/>
    <w:rsid w:val="7B6167B8"/>
    <w:rsid w:val="7B643141"/>
    <w:rsid w:val="7B660001"/>
    <w:rsid w:val="7B6E77BB"/>
    <w:rsid w:val="7B754A9B"/>
    <w:rsid w:val="7B786BEC"/>
    <w:rsid w:val="7B8E01BE"/>
    <w:rsid w:val="7B98103C"/>
    <w:rsid w:val="7B996743"/>
    <w:rsid w:val="7BA43E85"/>
    <w:rsid w:val="7BAE0860"/>
    <w:rsid w:val="7BB41C3D"/>
    <w:rsid w:val="7BB51BEE"/>
    <w:rsid w:val="7BC14808"/>
    <w:rsid w:val="7BCB31C0"/>
    <w:rsid w:val="7BCD6FCC"/>
    <w:rsid w:val="7BD071E8"/>
    <w:rsid w:val="7BD75A39"/>
    <w:rsid w:val="7BDC50A2"/>
    <w:rsid w:val="7BE71974"/>
    <w:rsid w:val="7BE77FE4"/>
    <w:rsid w:val="7BFD0F50"/>
    <w:rsid w:val="7C000DFC"/>
    <w:rsid w:val="7C003FD3"/>
    <w:rsid w:val="7C11491A"/>
    <w:rsid w:val="7C1424C5"/>
    <w:rsid w:val="7C1728A9"/>
    <w:rsid w:val="7C1C7EBF"/>
    <w:rsid w:val="7C1F175E"/>
    <w:rsid w:val="7C3073CD"/>
    <w:rsid w:val="7C3B439E"/>
    <w:rsid w:val="7C54726E"/>
    <w:rsid w:val="7C5C4760"/>
    <w:rsid w:val="7C5E5C82"/>
    <w:rsid w:val="7C5F7DAC"/>
    <w:rsid w:val="7C640B20"/>
    <w:rsid w:val="7C656F85"/>
    <w:rsid w:val="7C683105"/>
    <w:rsid w:val="7C724DB6"/>
    <w:rsid w:val="7C7575D0"/>
    <w:rsid w:val="7C773348"/>
    <w:rsid w:val="7C7A0E6F"/>
    <w:rsid w:val="7C835849"/>
    <w:rsid w:val="7C89527E"/>
    <w:rsid w:val="7C907F65"/>
    <w:rsid w:val="7C96250B"/>
    <w:rsid w:val="7C97356C"/>
    <w:rsid w:val="7C9F2BE6"/>
    <w:rsid w:val="7CA13F21"/>
    <w:rsid w:val="7CA57EB5"/>
    <w:rsid w:val="7CA962ED"/>
    <w:rsid w:val="7CB507D1"/>
    <w:rsid w:val="7CC145C3"/>
    <w:rsid w:val="7CC82D68"/>
    <w:rsid w:val="7CC93668"/>
    <w:rsid w:val="7CCD11BA"/>
    <w:rsid w:val="7CD059BB"/>
    <w:rsid w:val="7CD24ED3"/>
    <w:rsid w:val="7CD94AD1"/>
    <w:rsid w:val="7CE60890"/>
    <w:rsid w:val="7CEC7892"/>
    <w:rsid w:val="7CF25509"/>
    <w:rsid w:val="7D0B0461"/>
    <w:rsid w:val="7D1943FF"/>
    <w:rsid w:val="7D1B4F81"/>
    <w:rsid w:val="7D1F7C67"/>
    <w:rsid w:val="7D282903"/>
    <w:rsid w:val="7D2C4132"/>
    <w:rsid w:val="7D37205E"/>
    <w:rsid w:val="7D3F0F77"/>
    <w:rsid w:val="7D401A7F"/>
    <w:rsid w:val="7D425704"/>
    <w:rsid w:val="7D480840"/>
    <w:rsid w:val="7D496A92"/>
    <w:rsid w:val="7D545945"/>
    <w:rsid w:val="7D680B54"/>
    <w:rsid w:val="7D690E00"/>
    <w:rsid w:val="7D6E2658"/>
    <w:rsid w:val="7D772F67"/>
    <w:rsid w:val="7D7B29C4"/>
    <w:rsid w:val="7D833945"/>
    <w:rsid w:val="7D85337F"/>
    <w:rsid w:val="7D902913"/>
    <w:rsid w:val="7D917194"/>
    <w:rsid w:val="7D941579"/>
    <w:rsid w:val="7D965A4F"/>
    <w:rsid w:val="7DA0067C"/>
    <w:rsid w:val="7DA45C4D"/>
    <w:rsid w:val="7DBD4ED1"/>
    <w:rsid w:val="7DBF7824"/>
    <w:rsid w:val="7DC901A0"/>
    <w:rsid w:val="7DD34FA3"/>
    <w:rsid w:val="7DD547CA"/>
    <w:rsid w:val="7DE30074"/>
    <w:rsid w:val="7DE91105"/>
    <w:rsid w:val="7DE93DD1"/>
    <w:rsid w:val="7DED7FF8"/>
    <w:rsid w:val="7DF23EEE"/>
    <w:rsid w:val="7DF32EA2"/>
    <w:rsid w:val="7DFA4230"/>
    <w:rsid w:val="7DFC4955"/>
    <w:rsid w:val="7E015867"/>
    <w:rsid w:val="7E0A5150"/>
    <w:rsid w:val="7E0C67AF"/>
    <w:rsid w:val="7E194440"/>
    <w:rsid w:val="7E1A21DD"/>
    <w:rsid w:val="7E202F54"/>
    <w:rsid w:val="7E3037AE"/>
    <w:rsid w:val="7E3D21A4"/>
    <w:rsid w:val="7E4435B5"/>
    <w:rsid w:val="7E50452E"/>
    <w:rsid w:val="7E6278FC"/>
    <w:rsid w:val="7E645DC9"/>
    <w:rsid w:val="7E664BC2"/>
    <w:rsid w:val="7E6A63EF"/>
    <w:rsid w:val="7E753116"/>
    <w:rsid w:val="7E8A55B4"/>
    <w:rsid w:val="7E8F01B1"/>
    <w:rsid w:val="7E8F2BCB"/>
    <w:rsid w:val="7EA209B1"/>
    <w:rsid w:val="7EA52354"/>
    <w:rsid w:val="7EAE51E2"/>
    <w:rsid w:val="7EB80BC2"/>
    <w:rsid w:val="7EBD79FB"/>
    <w:rsid w:val="7EBE6086"/>
    <w:rsid w:val="7EC17895"/>
    <w:rsid w:val="7EC65BC2"/>
    <w:rsid w:val="7ECE778F"/>
    <w:rsid w:val="7ED00AED"/>
    <w:rsid w:val="7EE32087"/>
    <w:rsid w:val="7EEB3B79"/>
    <w:rsid w:val="7EEC1DCB"/>
    <w:rsid w:val="7EF47ED5"/>
    <w:rsid w:val="7EF667A6"/>
    <w:rsid w:val="7F01514B"/>
    <w:rsid w:val="7F054F46"/>
    <w:rsid w:val="7F076C05"/>
    <w:rsid w:val="7F1C2AA1"/>
    <w:rsid w:val="7F1D1F8F"/>
    <w:rsid w:val="7F2257ED"/>
    <w:rsid w:val="7F251B0B"/>
    <w:rsid w:val="7F284EAC"/>
    <w:rsid w:val="7F356B46"/>
    <w:rsid w:val="7F3E1EFB"/>
    <w:rsid w:val="7F480FCB"/>
    <w:rsid w:val="7F5B485B"/>
    <w:rsid w:val="7F604567"/>
    <w:rsid w:val="7F6C4DCC"/>
    <w:rsid w:val="7F6E0A32"/>
    <w:rsid w:val="7F78365F"/>
    <w:rsid w:val="7F7F7071"/>
    <w:rsid w:val="7F82256D"/>
    <w:rsid w:val="7F8E48CA"/>
    <w:rsid w:val="7F927DE0"/>
    <w:rsid w:val="7F933AC6"/>
    <w:rsid w:val="7F9E2999"/>
    <w:rsid w:val="7FA02BB5"/>
    <w:rsid w:val="7FA23DAF"/>
    <w:rsid w:val="7FAB18EF"/>
    <w:rsid w:val="7FAF4BA7"/>
    <w:rsid w:val="7FB34697"/>
    <w:rsid w:val="7FBC591C"/>
    <w:rsid w:val="7FC527AC"/>
    <w:rsid w:val="7FC65CAF"/>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5"/>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spacing w:before="280" w:after="290" w:line="376" w:lineRule="auto"/>
      <w:outlineLvl w:val="4"/>
    </w:pPr>
    <w:rPr>
      <w:b/>
      <w:bCs/>
      <w:sz w:val="28"/>
      <w:szCs w:val="28"/>
    </w:rPr>
  </w:style>
  <w:style w:type="paragraph" w:styleId="9">
    <w:name w:val="heading 6"/>
    <w:basedOn w:val="8"/>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7"/>
    <w:qFormat/>
    <w:uiPriority w:val="0"/>
    <w:pPr>
      <w:tabs>
        <w:tab w:val="left" w:pos="1800"/>
        <w:tab w:val="clear" w:pos="1440"/>
      </w:tabs>
      <w:ind w:left="1276" w:hanging="1276"/>
      <w:outlineLvl w:val="6"/>
    </w:pPr>
  </w:style>
  <w:style w:type="paragraph" w:styleId="11">
    <w:name w:val="heading 8"/>
    <w:basedOn w:val="10"/>
    <w:next w:val="1"/>
    <w:link w:val="58"/>
    <w:qFormat/>
    <w:uiPriority w:val="0"/>
    <w:pPr>
      <w:ind w:left="1418" w:hanging="1418"/>
      <w:outlineLvl w:val="7"/>
    </w:pPr>
  </w:style>
  <w:style w:type="paragraph" w:styleId="12">
    <w:name w:val="heading 9"/>
    <w:basedOn w:val="11"/>
    <w:next w:val="1"/>
    <w:link w:val="59"/>
    <w:qFormat/>
    <w:uiPriority w:val="0"/>
    <w:pPr>
      <w:tabs>
        <w:tab w:val="left" w:pos="2160"/>
        <w:tab w:val="clear" w:pos="1800"/>
      </w:tabs>
      <w:ind w:left="1559" w:hanging="1559"/>
      <w:outlineLvl w:val="8"/>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120"/>
    </w:pPr>
  </w:style>
  <w:style w:type="paragraph" w:styleId="5">
    <w:name w:val="Normal Indent"/>
    <w:basedOn w:val="1"/>
    <w:link w:val="66"/>
    <w:unhideWhenUsed/>
    <w:qFormat/>
    <w:uiPriority w:val="0"/>
    <w:pPr>
      <w:ind w:firstLine="420" w:firstLineChars="200"/>
    </w:p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Cambria" w:hAnsi="Cambria" w:eastAsia="黑体"/>
      <w:kern w:val="0"/>
      <w:sz w:val="20"/>
      <w:szCs w:val="20"/>
    </w:rPr>
  </w:style>
  <w:style w:type="paragraph" w:styleId="15">
    <w:name w:val="Document Map"/>
    <w:basedOn w:val="1"/>
    <w:link w:val="71"/>
    <w:qFormat/>
    <w:uiPriority w:val="0"/>
    <w:rPr>
      <w:rFonts w:ascii="宋体"/>
      <w:sz w:val="18"/>
      <w:szCs w:val="18"/>
    </w:rPr>
  </w:style>
  <w:style w:type="paragraph" w:styleId="16">
    <w:name w:val="toa heading"/>
    <w:basedOn w:val="1"/>
    <w:next w:val="1"/>
    <w:qFormat/>
    <w:uiPriority w:val="0"/>
    <w:pPr>
      <w:spacing w:before="120" w:beforeLines="0" w:beforeAutospacing="0"/>
    </w:pPr>
    <w:rPr>
      <w:rFonts w:ascii="Arial" w:hAnsi="Arial"/>
      <w:sz w:val="24"/>
    </w:rPr>
  </w:style>
  <w:style w:type="paragraph" w:styleId="17">
    <w:name w:val="annotation text"/>
    <w:basedOn w:val="1"/>
    <w:link w:val="69"/>
    <w:qFormat/>
    <w:uiPriority w:val="0"/>
    <w:pPr>
      <w:jc w:val="left"/>
    </w:pPr>
  </w:style>
  <w:style w:type="paragraph" w:styleId="18">
    <w:name w:val="Body Text Indent"/>
    <w:basedOn w:val="1"/>
    <w:next w:val="19"/>
    <w:qFormat/>
    <w:uiPriority w:val="0"/>
    <w:pPr>
      <w:ind w:firstLine="830" w:firstLineChars="352"/>
    </w:pPr>
    <w:rPr>
      <w:rFonts w:ascii="仿宋_GB2312" w:eastAsia="仿宋_GB2312"/>
      <w:sz w:val="32"/>
      <w:szCs w:val="20"/>
    </w:rPr>
  </w:style>
  <w:style w:type="paragraph" w:styleId="19">
    <w:name w:val="Body Text Indent 2"/>
    <w:basedOn w:val="1"/>
    <w:qFormat/>
    <w:uiPriority w:val="0"/>
    <w:pPr>
      <w:spacing w:after="120" w:afterLines="0" w:line="480" w:lineRule="auto"/>
      <w:ind w:left="200" w:leftChars="200"/>
    </w:p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unhideWhenUsed/>
    <w:qFormat/>
    <w:uiPriority w:val="39"/>
    <w:pPr>
      <w:ind w:left="840" w:leftChars="400"/>
    </w:pPr>
  </w:style>
  <w:style w:type="paragraph" w:styleId="22">
    <w:name w:val="Plain Text"/>
    <w:basedOn w:val="1"/>
    <w:link w:val="63"/>
    <w:qFormat/>
    <w:uiPriority w:val="0"/>
    <w:rPr>
      <w:rFonts w:ascii="宋体" w:hAnsi="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index heading"/>
    <w:basedOn w:val="1"/>
    <w:next w:val="29"/>
    <w:qFormat/>
    <w:uiPriority w:val="0"/>
    <w:rPr>
      <w:rFonts w:ascii="Arial" w:hAnsi="Arial" w:eastAsia="宋体" w:cs="Angsana New"/>
      <w:b/>
      <w:bCs/>
      <w:lang w:bidi="th-TH"/>
    </w:rPr>
  </w:style>
  <w:style w:type="paragraph" w:styleId="29">
    <w:name w:val="index 1"/>
    <w:basedOn w:val="1"/>
    <w:next w:val="1"/>
    <w:qFormat/>
    <w:uiPriority w:val="0"/>
    <w:rPr>
      <w:rFonts w:ascii="Calibri" w:hAnsi="Calibri" w:eastAsia="宋体" w:cs="Angsana New"/>
      <w:lang w:bidi="th-TH"/>
    </w:rPr>
  </w:style>
  <w:style w:type="paragraph" w:styleId="30">
    <w:name w:val="Body Text Indent 3"/>
    <w:basedOn w:val="1"/>
    <w:link w:val="78"/>
    <w:semiHidden/>
    <w:unhideWhenUsed/>
    <w:qFormat/>
    <w:uiPriority w:val="0"/>
    <w:pPr>
      <w:spacing w:after="120"/>
      <w:ind w:left="420" w:leftChars="200"/>
    </w:pPr>
    <w:rPr>
      <w:sz w:val="16"/>
      <w:szCs w:val="16"/>
    </w:rPr>
  </w:style>
  <w:style w:type="paragraph" w:styleId="31">
    <w:name w:val="toc 2"/>
    <w:basedOn w:val="1"/>
    <w:next w:val="1"/>
    <w:qFormat/>
    <w:uiPriority w:val="39"/>
    <w:pPr>
      <w:tabs>
        <w:tab w:val="right" w:leader="dot" w:pos="8222"/>
      </w:tabs>
      <w:ind w:left="420" w:leftChars="200"/>
      <w:jc w:val="left"/>
    </w:pPr>
    <w:rPr>
      <w:sz w:val="28"/>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Title"/>
    <w:basedOn w:val="4"/>
    <w:next w:val="1"/>
    <w:link w:val="50"/>
    <w:qFormat/>
    <w:uiPriority w:val="0"/>
    <w:pPr>
      <w:jc w:val="both"/>
    </w:pPr>
    <w:rPr>
      <w:rFonts w:ascii="宋体"/>
      <w:sz w:val="44"/>
    </w:rPr>
  </w:style>
  <w:style w:type="paragraph" w:styleId="34">
    <w:name w:val="annotation subject"/>
    <w:basedOn w:val="17"/>
    <w:next w:val="17"/>
    <w:link w:val="68"/>
    <w:qFormat/>
    <w:uiPriority w:val="99"/>
    <w:rPr>
      <w:rFonts w:ascii="Times New Roman" w:hAnsi="Times New Roman"/>
      <w:b/>
      <w:sz w:val="28"/>
      <w:szCs w:val="20"/>
    </w:rPr>
  </w:style>
  <w:style w:type="paragraph" w:styleId="35">
    <w:name w:val="Body Text First Indent 2"/>
    <w:basedOn w:val="18"/>
    <w:next w:val="1"/>
    <w:qFormat/>
    <w:uiPriority w:val="0"/>
    <w:pPr>
      <w:spacing w:after="120"/>
      <w:ind w:left="420" w:leftChars="200" w:firstLine="420" w:firstLineChars="200"/>
    </w:pPr>
    <w:rPr>
      <w:sz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0"/>
  </w:style>
  <w:style w:type="character" w:styleId="41">
    <w:name w:val="Emphasis"/>
    <w:basedOn w:val="38"/>
    <w:qFormat/>
    <w:uiPriority w:val="0"/>
    <w:rPr>
      <w:i/>
    </w:rPr>
  </w:style>
  <w:style w:type="character" w:styleId="42">
    <w:name w:val="Hyperlink"/>
    <w:basedOn w:val="38"/>
    <w:qFormat/>
    <w:uiPriority w:val="99"/>
    <w:rPr>
      <w:color w:val="0000FF"/>
      <w:u w:val="single"/>
    </w:rPr>
  </w:style>
  <w:style w:type="character" w:styleId="43">
    <w:name w:val="annotation reference"/>
    <w:basedOn w:val="38"/>
    <w:unhideWhenUsed/>
    <w:qFormat/>
    <w:uiPriority w:val="0"/>
    <w:rPr>
      <w:sz w:val="21"/>
      <w:szCs w:val="21"/>
    </w:rPr>
  </w:style>
  <w:style w:type="paragraph" w:styleId="44">
    <w:name w:val="Quote"/>
    <w:basedOn w:val="1"/>
    <w:next w:val="1"/>
    <w:qFormat/>
    <w:uiPriority w:val="0"/>
    <w:pPr>
      <w:wordWrap w:val="0"/>
      <w:spacing w:before="200" w:after="160"/>
      <w:ind w:left="864" w:right="864"/>
      <w:jc w:val="center"/>
    </w:pPr>
    <w:rPr>
      <w:rFonts w:ascii="Calibri" w:hAnsi="Calibri"/>
      <w:i/>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3"/>
    <w:qFormat/>
    <w:uiPriority w:val="0"/>
    <w:rPr>
      <w:rFonts w:ascii="宋体" w:hAnsiTheme="majorEastAsia" w:eastAsiaTheme="majorEastAsia"/>
      <w:b/>
      <w:kern w:val="2"/>
      <w:sz w:val="44"/>
      <w:szCs w:val="28"/>
    </w:rPr>
  </w:style>
  <w:style w:type="character" w:customStyle="1" w:styleId="51">
    <w:name w:val="标题 1 Char"/>
    <w:link w:val="3"/>
    <w:qFormat/>
    <w:uiPriority w:val="9"/>
    <w:rPr>
      <w:rFonts w:ascii="Calibri" w:hAnsi="Calibri"/>
      <w:b/>
      <w:bCs/>
      <w:kern w:val="44"/>
      <w:sz w:val="44"/>
      <w:szCs w:val="44"/>
    </w:rPr>
  </w:style>
  <w:style w:type="character" w:customStyle="1" w:styleId="52">
    <w:name w:val="标题 3 Char"/>
    <w:link w:val="6"/>
    <w:qFormat/>
    <w:uiPriority w:val="0"/>
    <w:rPr>
      <w:rFonts w:ascii="仿宋_GB2312" w:hAnsi="宋体" w:eastAsiaTheme="minorEastAsia"/>
      <w:b/>
      <w:kern w:val="2"/>
      <w:sz w:val="32"/>
      <w:szCs w:val="32"/>
    </w:rPr>
  </w:style>
  <w:style w:type="character" w:customStyle="1" w:styleId="53">
    <w:name w:val="标题 5 Char"/>
    <w:link w:val="8"/>
    <w:qFormat/>
    <w:uiPriority w:val="0"/>
    <w:rPr>
      <w:rFonts w:ascii="Calibri" w:hAnsi="Calibri"/>
      <w:b/>
      <w:bCs/>
      <w:kern w:val="2"/>
      <w:sz w:val="28"/>
      <w:szCs w:val="28"/>
    </w:rPr>
  </w:style>
  <w:style w:type="character" w:customStyle="1" w:styleId="54">
    <w:name w:val="标题 2 Char"/>
    <w:link w:val="4"/>
    <w:qFormat/>
    <w:uiPriority w:val="0"/>
    <w:rPr>
      <w:rFonts w:asciiTheme="majorEastAsia" w:hAnsiTheme="majorEastAsia" w:eastAsiaTheme="majorEastAsia"/>
      <w:b/>
      <w:kern w:val="2"/>
      <w:sz w:val="32"/>
      <w:szCs w:val="28"/>
    </w:rPr>
  </w:style>
  <w:style w:type="character" w:customStyle="1" w:styleId="55">
    <w:name w:val="标题 4 Char"/>
    <w:link w:val="7"/>
    <w:qFormat/>
    <w:uiPriority w:val="0"/>
    <w:rPr>
      <w:rFonts w:ascii="Arial" w:hAnsi="Arial" w:eastAsia="黑体"/>
      <w:b/>
      <w:bCs/>
      <w:kern w:val="2"/>
      <w:sz w:val="28"/>
      <w:szCs w:val="28"/>
    </w:rPr>
  </w:style>
  <w:style w:type="character" w:customStyle="1" w:styleId="56">
    <w:name w:val="标题 6 Char"/>
    <w:link w:val="9"/>
    <w:qFormat/>
    <w:uiPriority w:val="0"/>
    <w:rPr>
      <w:b/>
      <w:bCs/>
      <w:kern w:val="2"/>
      <w:sz w:val="30"/>
      <w:szCs w:val="18"/>
    </w:rPr>
  </w:style>
  <w:style w:type="character" w:customStyle="1" w:styleId="57">
    <w:name w:val="标题 7 Char"/>
    <w:link w:val="10"/>
    <w:qFormat/>
    <w:uiPriority w:val="0"/>
    <w:rPr>
      <w:b/>
      <w:bCs/>
      <w:kern w:val="2"/>
      <w:sz w:val="30"/>
      <w:szCs w:val="18"/>
    </w:rPr>
  </w:style>
  <w:style w:type="character" w:customStyle="1" w:styleId="58">
    <w:name w:val="标题 8 Char"/>
    <w:link w:val="11"/>
    <w:qFormat/>
    <w:uiPriority w:val="0"/>
    <w:rPr>
      <w:b/>
      <w:bCs/>
      <w:kern w:val="2"/>
      <w:sz w:val="30"/>
      <w:szCs w:val="18"/>
    </w:rPr>
  </w:style>
  <w:style w:type="character" w:customStyle="1" w:styleId="59">
    <w:name w:val="标题 9 Char"/>
    <w:link w:val="12"/>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6"/>
    <w:qFormat/>
    <w:uiPriority w:val="99"/>
    <w:rPr>
      <w:rFonts w:ascii="Calibri" w:hAnsi="Calibri" w:eastAsia="宋体" w:cs="Times New Roman"/>
      <w:kern w:val="2"/>
      <w:sz w:val="18"/>
      <w:szCs w:val="18"/>
    </w:rPr>
  </w:style>
  <w:style w:type="character" w:customStyle="1" w:styleId="63">
    <w:name w:val="纯文本 Char"/>
    <w:link w:val="22"/>
    <w:qFormat/>
    <w:locked/>
    <w:uiPriority w:val="0"/>
    <w:rPr>
      <w:rFonts w:ascii="宋体" w:hAnsi="Courier New" w:eastAsia="宋体" w:cs="Courier New"/>
      <w:kern w:val="2"/>
      <w:sz w:val="21"/>
      <w:szCs w:val="21"/>
    </w:rPr>
  </w:style>
  <w:style w:type="paragraph" w:customStyle="1" w:styleId="64">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4"/>
    <w:qFormat/>
    <w:uiPriority w:val="99"/>
    <w:rPr>
      <w:b/>
      <w:kern w:val="2"/>
      <w:sz w:val="28"/>
    </w:rPr>
  </w:style>
  <w:style w:type="character" w:customStyle="1" w:styleId="69">
    <w:name w:val="批注文字 Char"/>
    <w:basedOn w:val="38"/>
    <w:link w:val="17"/>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8"/>
    <w:link w:val="15"/>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8"/>
    <w:link w:val="30"/>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4"/>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25713</Words>
  <Characters>27192</Characters>
  <Lines>189</Lines>
  <Paragraphs>53</Paragraphs>
  <TotalTime>4</TotalTime>
  <ScaleCrop>false</ScaleCrop>
  <LinksUpToDate>false</LinksUpToDate>
  <CharactersWithSpaces>29560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小蓓</cp:lastModifiedBy>
  <cp:lastPrinted>2024-03-26T12:32:00Z</cp:lastPrinted>
  <dcterms:modified xsi:type="dcterms:W3CDTF">2024-03-27T08:34:42Z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02AB2D484D164B9DA30B0902D3096E5D_13</vt:lpwstr>
  </property>
</Properties>
</file>