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eastAsia="方正仿宋_GB2312" w:cs="Times New Roman"/>
          <w:bCs/>
          <w:kern w:val="0"/>
          <w:sz w:val="32"/>
          <w:szCs w:val="32"/>
        </w:rPr>
      </w:pPr>
    </w:p>
    <w:p>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裕民县农畜产品5G+区块链+高精全追踪溯源项目</w:t>
      </w:r>
    </w:p>
    <w:p>
      <w:pPr>
        <w:adjustRightInd w:val="0"/>
        <w:snapToGrid w:val="0"/>
        <w:spacing w:line="560" w:lineRule="exact"/>
        <w:rPr>
          <w:rFonts w:ascii="方正仿宋_GBK" w:hAnsi="方正仿宋_GBK" w:eastAsia="方正仿宋_GBK" w:cs="方正仿宋_GBK"/>
          <w:bCs/>
          <w:kern w:val="0"/>
          <w:sz w:val="44"/>
          <w:szCs w:val="44"/>
        </w:rPr>
      </w:pPr>
    </w:p>
    <w:p>
      <w:pPr>
        <w:adjustRightInd w:val="0"/>
        <w:snapToGrid w:val="0"/>
        <w:spacing w:line="560" w:lineRule="exact"/>
        <w:jc w:val="center"/>
        <w:rPr>
          <w:rFonts w:ascii="方正仿宋_GBK" w:hAnsi="方正仿宋_GBK" w:eastAsia="方正仿宋_GBK" w:cs="方正仿宋_GBK"/>
          <w:bCs/>
          <w:sz w:val="44"/>
          <w:szCs w:val="44"/>
        </w:rPr>
      </w:pPr>
    </w:p>
    <w:p>
      <w:pPr>
        <w:adjustRightInd w:val="0"/>
        <w:snapToGrid w:val="0"/>
        <w:spacing w:line="560" w:lineRule="exact"/>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公开招标文件</w:t>
      </w:r>
    </w:p>
    <w:p>
      <w:pPr>
        <w:adjustRightInd w:val="0"/>
        <w:snapToGrid w:val="0"/>
        <w:spacing w:line="560" w:lineRule="exact"/>
        <w:rPr>
          <w:rFonts w:ascii="Times New Roman" w:hAnsi="Times New Roman" w:eastAsia="方正仿宋_GB2312" w:cs="Times New Roman"/>
          <w:bCs/>
          <w:kern w:val="0"/>
          <w:sz w:val="32"/>
          <w:szCs w:val="32"/>
        </w:rPr>
      </w:pPr>
    </w:p>
    <w:p>
      <w:pPr>
        <w:adjustRightInd w:val="0"/>
        <w:snapToGrid w:val="0"/>
        <w:spacing w:line="560" w:lineRule="exact"/>
        <w:rPr>
          <w:rFonts w:ascii="Times New Roman" w:hAnsi="Times New Roman" w:eastAsia="方正仿宋_GB2312" w:cs="Times New Roman"/>
          <w:bCs/>
          <w:sz w:val="32"/>
          <w:szCs w:val="32"/>
        </w:rPr>
      </w:pPr>
    </w:p>
    <w:p>
      <w:pPr>
        <w:adjustRightInd w:val="0"/>
        <w:snapToGrid w:val="0"/>
        <w:spacing w:line="560" w:lineRule="exact"/>
        <w:ind w:firstLine="640" w:firstLineChars="200"/>
        <w:rPr>
          <w:rFonts w:ascii="Times New Roman" w:hAnsi="Times New Roman" w:eastAsia="方正仿宋_GB2312" w:cs="Times New Roman"/>
          <w:bCs/>
          <w:kern w:val="0"/>
          <w:sz w:val="32"/>
          <w:szCs w:val="32"/>
        </w:rPr>
      </w:pPr>
      <w:r>
        <w:rPr>
          <w:rFonts w:ascii="Times New Roman" w:hAnsi="Times New Roman" w:eastAsia="方正仿宋_GB2312" w:cs="Times New Roman"/>
          <w:bCs/>
          <w:kern w:val="0"/>
          <w:sz w:val="32"/>
          <w:szCs w:val="32"/>
        </w:rPr>
        <w:t>采购人</w:t>
      </w:r>
      <w:r>
        <w:rPr>
          <w:rFonts w:hint="eastAsia" w:ascii="Times New Roman" w:hAnsi="Times New Roman" w:eastAsia="方正仿宋_GB2312" w:cs="Times New Roman"/>
          <w:bCs/>
          <w:kern w:val="0"/>
          <w:sz w:val="32"/>
          <w:szCs w:val="32"/>
        </w:rPr>
        <w:t>（</w:t>
      </w:r>
      <w:r>
        <w:rPr>
          <w:rFonts w:ascii="Times New Roman" w:hAnsi="Times New Roman" w:eastAsia="方正仿宋_GB2312" w:cs="Times New Roman"/>
          <w:bCs/>
          <w:kern w:val="0"/>
          <w:sz w:val="32"/>
          <w:szCs w:val="32"/>
        </w:rPr>
        <w:t>盖章</w:t>
      </w:r>
      <w:r>
        <w:rPr>
          <w:rFonts w:hint="eastAsia" w:ascii="Times New Roman" w:hAnsi="Times New Roman" w:eastAsia="方正仿宋_GB2312" w:cs="Times New Roman"/>
          <w:bCs/>
          <w:kern w:val="0"/>
          <w:sz w:val="32"/>
          <w:szCs w:val="32"/>
        </w:rPr>
        <w:t>）</w:t>
      </w:r>
      <w:r>
        <w:rPr>
          <w:rFonts w:ascii="Times New Roman" w:hAnsi="Times New Roman" w:eastAsia="方正仿宋_GB2312" w:cs="Times New Roman"/>
          <w:bCs/>
          <w:kern w:val="0"/>
          <w:sz w:val="32"/>
          <w:szCs w:val="32"/>
        </w:rPr>
        <w:t>：</w:t>
      </w:r>
      <w:r>
        <w:rPr>
          <w:rFonts w:hint="eastAsia" w:ascii="Times New Roman" w:hAnsi="Times New Roman" w:eastAsia="方正仿宋_GB2312" w:cs="Times New Roman"/>
          <w:bCs/>
          <w:kern w:val="0"/>
          <w:sz w:val="32"/>
          <w:szCs w:val="32"/>
        </w:rPr>
        <w:t>裕民县商务和工业信息化局</w:t>
      </w:r>
    </w:p>
    <w:p>
      <w:pPr>
        <w:adjustRightInd w:val="0"/>
        <w:snapToGrid w:val="0"/>
        <w:spacing w:line="560" w:lineRule="exact"/>
        <w:ind w:firstLine="640" w:firstLineChars="200"/>
        <w:jc w:val="center"/>
        <w:rPr>
          <w:rFonts w:ascii="Times New Roman" w:hAnsi="Times New Roman" w:eastAsia="方正仿宋_GB2312" w:cs="Times New Roman"/>
          <w:bCs/>
          <w:sz w:val="32"/>
          <w:szCs w:val="32"/>
        </w:rPr>
      </w:pPr>
    </w:p>
    <w:p>
      <w:pPr>
        <w:adjustRightInd w:val="0"/>
        <w:snapToGrid w:val="0"/>
        <w:spacing w:line="560" w:lineRule="exact"/>
        <w:ind w:firstLine="640" w:firstLineChars="2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联系人：</w:t>
      </w:r>
      <w:r>
        <w:rPr>
          <w:rFonts w:hint="eastAsia" w:ascii="Times New Roman" w:hAnsi="Times New Roman" w:eastAsia="方正仿宋_GB2312" w:cs="Times New Roman"/>
          <w:bCs/>
          <w:sz w:val="32"/>
          <w:szCs w:val="32"/>
        </w:rPr>
        <w:t>关亚东</w:t>
      </w:r>
      <w:r>
        <w:rPr>
          <w:rFonts w:hint="eastAsia" w:ascii="Times New Roman" w:hAnsi="Times New Roman" w:eastAsia="方正仿宋_GB2312" w:cs="Times New Roman"/>
          <w:bCs/>
          <w:sz w:val="32"/>
          <w:szCs w:val="32"/>
        </w:rPr>
        <w:tab/>
      </w:r>
      <w:r>
        <w:rPr>
          <w:rFonts w:hint="eastAsia" w:ascii="Times New Roman" w:hAnsi="Times New Roman" w:eastAsia="方正仿宋_GB2312" w:cs="Times New Roman"/>
          <w:bCs/>
          <w:sz w:val="32"/>
          <w:szCs w:val="32"/>
        </w:rPr>
        <w:tab/>
      </w:r>
    </w:p>
    <w:p>
      <w:pPr>
        <w:adjustRightInd w:val="0"/>
        <w:snapToGrid w:val="0"/>
        <w:spacing w:line="560" w:lineRule="exact"/>
        <w:ind w:firstLine="640" w:firstLineChars="200"/>
        <w:rPr>
          <w:rFonts w:ascii="Times New Roman" w:hAnsi="Times New Roman" w:eastAsia="方正仿宋_GB2312" w:cs="Times New Roman"/>
          <w:bCs/>
          <w:sz w:val="32"/>
          <w:szCs w:val="32"/>
        </w:rPr>
      </w:pPr>
    </w:p>
    <w:p>
      <w:pPr>
        <w:adjustRightInd w:val="0"/>
        <w:snapToGrid w:val="0"/>
        <w:spacing w:line="560" w:lineRule="exact"/>
        <w:ind w:firstLine="640" w:firstLineChars="2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电话：</w:t>
      </w:r>
      <w:r>
        <w:rPr>
          <w:rFonts w:hint="eastAsia" w:ascii="Times New Roman" w:hAnsi="Times New Roman" w:eastAsia="方正仿宋_GB2312" w:cs="Times New Roman"/>
          <w:bCs/>
          <w:sz w:val="32"/>
          <w:szCs w:val="32"/>
        </w:rPr>
        <w:t>15199490904</w:t>
      </w:r>
    </w:p>
    <w:p>
      <w:pPr>
        <w:pStyle w:val="40"/>
        <w:spacing w:after="0" w:line="560" w:lineRule="exact"/>
        <w:ind w:left="0" w:leftChars="0" w:firstLine="600" w:firstLineChars="300"/>
        <w:jc w:val="left"/>
        <w:rPr>
          <w:sz w:val="20"/>
          <w:szCs w:val="21"/>
        </w:rPr>
      </w:pPr>
      <w:r>
        <w:rPr>
          <w:rFonts w:hint="eastAsia"/>
          <w:sz w:val="20"/>
          <w:szCs w:val="21"/>
        </w:rPr>
        <w:t>——————————————————————————————————————</w:t>
      </w:r>
    </w:p>
    <w:p>
      <w:pPr>
        <w:ind w:firstLine="420" w:firstLineChars="200"/>
      </w:pPr>
    </w:p>
    <w:p>
      <w:pPr>
        <w:adjustRightInd w:val="0"/>
        <w:snapToGrid w:val="0"/>
        <w:spacing w:line="560" w:lineRule="exact"/>
        <w:ind w:firstLine="640" w:firstLineChars="2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采购代理机构</w:t>
      </w:r>
      <w:r>
        <w:rPr>
          <w:rFonts w:hint="eastAsia" w:ascii="Times New Roman" w:hAnsi="Times New Roman" w:eastAsia="方正仿宋_GB2312" w:cs="Times New Roman"/>
          <w:bCs/>
          <w:sz w:val="32"/>
          <w:szCs w:val="32"/>
        </w:rPr>
        <w:t>(</w:t>
      </w:r>
      <w:r>
        <w:rPr>
          <w:rFonts w:ascii="Times New Roman" w:hAnsi="Times New Roman" w:eastAsia="方正仿宋_GB2312" w:cs="Times New Roman"/>
          <w:bCs/>
          <w:sz w:val="32"/>
          <w:szCs w:val="32"/>
        </w:rPr>
        <w:t>盖章)：</w:t>
      </w:r>
      <w:r>
        <w:rPr>
          <w:rFonts w:hint="eastAsia" w:ascii="Times New Roman" w:hAnsi="Times New Roman" w:eastAsia="方正仿宋_GB2312" w:cs="Times New Roman"/>
          <w:bCs/>
          <w:sz w:val="32"/>
          <w:szCs w:val="32"/>
        </w:rPr>
        <w:t>新疆守正项目管理咨询有限公司</w:t>
      </w:r>
    </w:p>
    <w:p>
      <w:pPr>
        <w:adjustRightInd w:val="0"/>
        <w:snapToGrid w:val="0"/>
        <w:spacing w:line="560" w:lineRule="exact"/>
        <w:ind w:firstLine="640" w:firstLineChars="200"/>
        <w:jc w:val="center"/>
        <w:rPr>
          <w:rFonts w:ascii="Times New Roman" w:hAnsi="Times New Roman" w:eastAsia="方正仿宋_GB2312" w:cs="Times New Roman"/>
          <w:bCs/>
          <w:sz w:val="32"/>
          <w:szCs w:val="32"/>
        </w:rPr>
      </w:pPr>
    </w:p>
    <w:p>
      <w:pPr>
        <w:adjustRightInd w:val="0"/>
        <w:snapToGrid w:val="0"/>
        <w:spacing w:line="560" w:lineRule="exact"/>
        <w:ind w:firstLine="640" w:firstLineChars="2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法定代表人(盖章)：</w:t>
      </w:r>
    </w:p>
    <w:p>
      <w:pPr>
        <w:adjustRightInd w:val="0"/>
        <w:snapToGrid w:val="0"/>
        <w:spacing w:line="560" w:lineRule="exact"/>
        <w:ind w:firstLine="640" w:firstLineChars="200"/>
        <w:jc w:val="center"/>
        <w:rPr>
          <w:rFonts w:ascii="Times New Roman" w:hAnsi="Times New Roman" w:eastAsia="方正仿宋_GB2312" w:cs="Times New Roman"/>
          <w:bCs/>
          <w:sz w:val="32"/>
          <w:szCs w:val="32"/>
        </w:rPr>
      </w:pPr>
    </w:p>
    <w:p>
      <w:pPr>
        <w:adjustRightInd w:val="0"/>
        <w:snapToGrid w:val="0"/>
        <w:spacing w:line="560" w:lineRule="exact"/>
        <w:ind w:firstLine="640" w:firstLineChars="2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联系人：</w:t>
      </w:r>
      <w:r>
        <w:rPr>
          <w:rFonts w:hint="eastAsia" w:ascii="Times New Roman" w:hAnsi="Times New Roman" w:eastAsia="方正仿宋_GB2312" w:cs="Times New Roman"/>
          <w:bCs/>
          <w:sz w:val="32"/>
          <w:szCs w:val="32"/>
        </w:rPr>
        <w:t>郑步岳</w:t>
      </w:r>
    </w:p>
    <w:p>
      <w:pPr>
        <w:adjustRightInd w:val="0"/>
        <w:snapToGrid w:val="0"/>
        <w:spacing w:line="560" w:lineRule="exact"/>
        <w:ind w:firstLine="640" w:firstLineChars="200"/>
        <w:rPr>
          <w:rFonts w:ascii="Times New Roman" w:hAnsi="Times New Roman" w:eastAsia="方正仿宋_GB2312" w:cs="Times New Roman"/>
          <w:bCs/>
          <w:sz w:val="32"/>
          <w:szCs w:val="32"/>
        </w:rPr>
      </w:pPr>
    </w:p>
    <w:p>
      <w:pPr>
        <w:adjustRightInd w:val="0"/>
        <w:snapToGrid w:val="0"/>
        <w:spacing w:line="560" w:lineRule="exact"/>
        <w:ind w:firstLine="640" w:firstLineChars="2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电话：</w:t>
      </w:r>
      <w:r>
        <w:rPr>
          <w:rFonts w:hint="eastAsia" w:ascii="Times New Roman" w:hAnsi="Times New Roman" w:eastAsia="方正仿宋_GB2312" w:cs="Times New Roman"/>
          <w:bCs/>
          <w:sz w:val="32"/>
          <w:szCs w:val="32"/>
        </w:rPr>
        <w:t>18599104040</w:t>
      </w:r>
    </w:p>
    <w:p>
      <w:pPr>
        <w:adjustRightInd w:val="0"/>
        <w:snapToGrid w:val="0"/>
        <w:spacing w:line="560" w:lineRule="exact"/>
        <w:ind w:firstLine="640" w:firstLineChars="200"/>
        <w:jc w:val="center"/>
        <w:rPr>
          <w:rFonts w:ascii="Times New Roman" w:hAnsi="Times New Roman" w:eastAsia="方正仿宋_GB2312" w:cs="Times New Roman"/>
          <w:bCs/>
          <w:sz w:val="32"/>
          <w:szCs w:val="32"/>
        </w:rPr>
      </w:pPr>
    </w:p>
    <w:p>
      <w:pPr>
        <w:adjustRightInd w:val="0"/>
        <w:snapToGrid w:val="0"/>
        <w:spacing w:line="560" w:lineRule="exact"/>
        <w:ind w:left="636" w:leftChars="303"/>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详细地址：</w:t>
      </w:r>
      <w:r>
        <w:rPr>
          <w:rFonts w:hint="eastAsia" w:ascii="Times New Roman" w:hAnsi="Times New Roman" w:eastAsia="方正仿宋_GB2312" w:cs="Times New Roman"/>
          <w:bCs/>
          <w:sz w:val="32"/>
          <w:szCs w:val="32"/>
        </w:rPr>
        <w:t>新疆乌鲁木齐经济技术开发区新疆旅游大厦11楼1107室</w:t>
      </w:r>
    </w:p>
    <w:p>
      <w:pPr>
        <w:widowControl/>
        <w:spacing w:line="560" w:lineRule="exact"/>
        <w:jc w:val="lef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br w:type="page"/>
      </w:r>
    </w:p>
    <w:sdt>
      <w:sdtPr>
        <w:rPr>
          <w:rFonts w:ascii="宋体" w:hAnsi="宋体"/>
        </w:rPr>
        <w:id w:val="147457192"/>
        <w15:color w:val="DBDBDB"/>
        <w:docPartObj>
          <w:docPartGallery w:val="Table of Contents"/>
          <w:docPartUnique/>
        </w:docPartObj>
      </w:sdtPr>
      <w:sdtEndPr>
        <w:rPr>
          <w:rFonts w:ascii="Times New Roman" w:hAnsi="Times New Roman" w:eastAsia="方正仿宋_GB2312" w:cs="Times New Roman"/>
          <w:bCs/>
          <w:szCs w:val="32"/>
        </w:rPr>
      </w:sdtEndPr>
      <w:sdtContent>
        <w:p>
          <w:pPr>
            <w:jc w:val="center"/>
          </w:pPr>
          <w:r>
            <w:rPr>
              <w:rFonts w:ascii="宋体" w:hAnsi="宋体"/>
            </w:rPr>
            <w:t>目录</w:t>
          </w:r>
        </w:p>
        <w:p>
          <w:pPr>
            <w:pStyle w:val="25"/>
            <w:tabs>
              <w:tab w:val="right" w:leader="dot" w:pos="9354"/>
            </w:tabs>
            <w:rPr>
              <w:rFonts w:ascii="方正仿宋_GB2312" w:hAnsi="方正仿宋_GB2312" w:eastAsia="方正仿宋_GB2312" w:cs="方正仿宋_GB2312"/>
              <w:sz w:val="28"/>
              <w:szCs w:val="28"/>
            </w:rPr>
          </w:pPr>
          <w:r>
            <w:fldChar w:fldCharType="begin"/>
          </w:r>
          <w:r>
            <w:instrText xml:space="preserve">TOC \o "1-1" \h \u </w:instrText>
          </w:r>
          <w:r>
            <w:fldChar w:fldCharType="separate"/>
          </w:r>
          <w:r>
            <w:fldChar w:fldCharType="begin"/>
          </w:r>
          <w:r>
            <w:instrText xml:space="preserve"> HYPERLINK \l "_Toc29512" </w:instrText>
          </w:r>
          <w:r>
            <w:fldChar w:fldCharType="separate"/>
          </w:r>
          <w:r>
            <w:rPr>
              <w:rFonts w:hint="eastAsia" w:ascii="方正仿宋_GB2312" w:hAnsi="方正仿宋_GB2312" w:eastAsia="方正仿宋_GB2312" w:cs="方正仿宋_GB2312"/>
              <w:sz w:val="28"/>
              <w:szCs w:val="28"/>
            </w:rPr>
            <w:t>一、公开招标公告</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_Toc29512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pPr>
            <w:pStyle w:val="25"/>
            <w:tabs>
              <w:tab w:val="right" w:leader="dot" w:pos="9354"/>
            </w:tabs>
            <w:rPr>
              <w:rFonts w:ascii="方正仿宋_GB2312" w:hAnsi="方正仿宋_GB2312" w:eastAsia="方正仿宋_GB2312" w:cs="方正仿宋_GB2312"/>
              <w:sz w:val="28"/>
              <w:szCs w:val="28"/>
            </w:rPr>
          </w:pPr>
          <w:r>
            <w:fldChar w:fldCharType="begin"/>
          </w:r>
          <w:r>
            <w:instrText xml:space="preserve"> HYPERLINK \l "_Toc25273" </w:instrText>
          </w:r>
          <w:r>
            <w:fldChar w:fldCharType="separate"/>
          </w:r>
          <w:r>
            <w:rPr>
              <w:rFonts w:hint="eastAsia" w:ascii="方正仿宋_GB2312" w:hAnsi="方正仿宋_GB2312" w:eastAsia="方正仿宋_GB2312" w:cs="方正仿宋_GB2312"/>
              <w:bCs/>
              <w:kern w:val="36"/>
              <w:sz w:val="28"/>
              <w:szCs w:val="28"/>
            </w:rPr>
            <w:t>二、</w:t>
          </w:r>
          <w:r>
            <w:rPr>
              <w:rFonts w:hint="eastAsia" w:ascii="方正仿宋_GB2312" w:hAnsi="方正仿宋_GB2312" w:eastAsia="方正仿宋_GB2312" w:cs="方正仿宋_GB2312"/>
              <w:sz w:val="28"/>
              <w:szCs w:val="28"/>
            </w:rPr>
            <w:t>投标人须知</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_Toc25273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pPr>
            <w:pStyle w:val="25"/>
            <w:tabs>
              <w:tab w:val="right" w:leader="dot" w:pos="9354"/>
            </w:tabs>
            <w:rPr>
              <w:rFonts w:ascii="方正仿宋_GB2312" w:hAnsi="方正仿宋_GB2312" w:eastAsia="方正仿宋_GB2312" w:cs="方正仿宋_GB2312"/>
              <w:sz w:val="28"/>
              <w:szCs w:val="28"/>
            </w:rPr>
          </w:pPr>
          <w:r>
            <w:fldChar w:fldCharType="begin"/>
          </w:r>
          <w:r>
            <w:instrText xml:space="preserve"> HYPERLINK \l "_Toc3034" </w:instrText>
          </w:r>
          <w:r>
            <w:fldChar w:fldCharType="separate"/>
          </w:r>
          <w:r>
            <w:rPr>
              <w:rFonts w:hint="eastAsia" w:ascii="方正仿宋_GB2312" w:hAnsi="方正仿宋_GB2312" w:eastAsia="方正仿宋_GB2312" w:cs="方正仿宋_GB2312"/>
              <w:sz w:val="28"/>
              <w:szCs w:val="28"/>
            </w:rPr>
            <w:t>三、评标办法</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_Toc3034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30</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pPr>
            <w:pStyle w:val="25"/>
            <w:tabs>
              <w:tab w:val="right" w:leader="dot" w:pos="9354"/>
            </w:tabs>
            <w:rPr>
              <w:rFonts w:ascii="方正仿宋_GB2312" w:hAnsi="方正仿宋_GB2312" w:eastAsia="方正仿宋_GB2312" w:cs="方正仿宋_GB2312"/>
              <w:sz w:val="28"/>
              <w:szCs w:val="28"/>
            </w:rPr>
          </w:pPr>
          <w:r>
            <w:fldChar w:fldCharType="begin"/>
          </w:r>
          <w:r>
            <w:instrText xml:space="preserve"> HYPERLINK \l "_Toc24614" </w:instrText>
          </w:r>
          <w:r>
            <w:fldChar w:fldCharType="separate"/>
          </w:r>
          <w:r>
            <w:rPr>
              <w:rFonts w:hint="eastAsia" w:ascii="方正仿宋_GB2312" w:hAnsi="方正仿宋_GB2312" w:eastAsia="方正仿宋_GB2312" w:cs="方正仿宋_GB2312"/>
              <w:sz w:val="28"/>
              <w:szCs w:val="28"/>
            </w:rPr>
            <w:t>四、合同条款及格式</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_Toc24614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47</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pPr>
            <w:pStyle w:val="25"/>
            <w:tabs>
              <w:tab w:val="right" w:leader="dot" w:pos="9354"/>
            </w:tabs>
            <w:rPr>
              <w:rFonts w:ascii="方正仿宋_GB2312" w:hAnsi="方正仿宋_GB2312" w:eastAsia="方正仿宋_GB2312" w:cs="方正仿宋_GB2312"/>
              <w:sz w:val="28"/>
              <w:szCs w:val="28"/>
            </w:rPr>
          </w:pPr>
          <w:r>
            <w:fldChar w:fldCharType="begin"/>
          </w:r>
          <w:r>
            <w:instrText xml:space="preserve"> HYPERLINK \l "_Toc12088" </w:instrText>
          </w:r>
          <w:r>
            <w:fldChar w:fldCharType="separate"/>
          </w:r>
          <w:r>
            <w:rPr>
              <w:rFonts w:hint="eastAsia" w:ascii="方正仿宋_GB2312" w:hAnsi="方正仿宋_GB2312" w:eastAsia="方正仿宋_GB2312" w:cs="方正仿宋_GB2312"/>
              <w:sz w:val="28"/>
              <w:szCs w:val="28"/>
            </w:rPr>
            <w:t>五、采购需求</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2</w:t>
          </w:r>
        </w:p>
        <w:p>
          <w:pPr>
            <w:pStyle w:val="25"/>
            <w:tabs>
              <w:tab w:val="right" w:leader="dot" w:pos="9354"/>
            </w:tabs>
            <w:rPr>
              <w:rFonts w:ascii="方正仿宋_GB2312" w:hAnsi="方正仿宋_GB2312" w:eastAsia="方正仿宋_GB2312" w:cs="方正仿宋_GB2312"/>
              <w:sz w:val="28"/>
              <w:szCs w:val="28"/>
            </w:rPr>
          </w:pPr>
          <w:r>
            <w:fldChar w:fldCharType="begin"/>
          </w:r>
          <w:r>
            <w:instrText xml:space="preserve"> HYPERLINK \l "_Toc3226" </w:instrText>
          </w:r>
          <w:r>
            <w:fldChar w:fldCharType="separate"/>
          </w:r>
          <w:r>
            <w:rPr>
              <w:rFonts w:hint="eastAsia" w:ascii="方正仿宋_GB2312" w:hAnsi="方正仿宋_GB2312" w:eastAsia="方正仿宋_GB2312" w:cs="方正仿宋_GB2312"/>
              <w:sz w:val="28"/>
              <w:szCs w:val="28"/>
            </w:rPr>
            <w:t>六、投标文件格式</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_Toc3226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74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pPr>
            <w:spacing w:line="560" w:lineRule="exact"/>
            <w:jc w:val="center"/>
            <w:rPr>
              <w:rFonts w:ascii="Times New Roman" w:hAnsi="Times New Roman" w:eastAsia="方正仿宋_GB2312" w:cs="Times New Roman"/>
              <w:bCs/>
              <w:sz w:val="32"/>
              <w:szCs w:val="32"/>
            </w:rPr>
          </w:pPr>
          <w:r>
            <w:fldChar w:fldCharType="end"/>
          </w:r>
        </w:p>
      </w:sdtContent>
    </w:sdt>
    <w:p>
      <w:pPr>
        <w:spacing w:line="560" w:lineRule="exact"/>
        <w:rPr>
          <w:rFonts w:ascii="Times New Roman" w:hAnsi="Times New Roman" w:eastAsia="方正仿宋_GB2312" w:cs="Times New Roman"/>
          <w:b/>
          <w:bCs/>
          <w:sz w:val="32"/>
          <w:szCs w:val="32"/>
        </w:rPr>
      </w:pPr>
    </w:p>
    <w:p>
      <w:pPr>
        <w:spacing w:line="560" w:lineRule="exact"/>
        <w:rPr>
          <w:rFonts w:ascii="Times New Roman" w:hAnsi="Times New Roman" w:eastAsia="方正仿宋_GB2312" w:cs="Times New Roman"/>
          <w:b/>
          <w:bCs/>
          <w:sz w:val="32"/>
          <w:szCs w:val="32"/>
        </w:rPr>
        <w:sectPr>
          <w:headerReference r:id="rId3" w:type="default"/>
          <w:footerReference r:id="rId4" w:type="default"/>
          <w:footerReference r:id="rId5" w:type="even"/>
          <w:pgSz w:w="11906" w:h="16838"/>
          <w:pgMar w:top="1361" w:right="1134" w:bottom="1276" w:left="1418" w:header="851" w:footer="992" w:gutter="0"/>
          <w:pgNumType w:start="1"/>
          <w:cols w:space="720" w:num="1"/>
          <w:docGrid w:type="lines" w:linePitch="312" w:charSpace="0"/>
        </w:sectPr>
      </w:pPr>
    </w:p>
    <w:p>
      <w:pPr>
        <w:pStyle w:val="2"/>
        <w:numPr>
          <w:ilvl w:val="0"/>
          <w:numId w:val="3"/>
        </w:numPr>
      </w:pPr>
      <w:bookmarkStart w:id="0" w:name="_Toc1907"/>
      <w:bookmarkStart w:id="1" w:name="_Toc12004"/>
      <w:bookmarkStart w:id="2" w:name="_Toc29512"/>
      <w:r>
        <w:rPr>
          <w:rFonts w:hint="eastAsia"/>
        </w:rPr>
        <w:t>公开招标公告</w:t>
      </w:r>
      <w:bookmarkEnd w:id="0"/>
      <w:bookmarkEnd w:id="1"/>
      <w:bookmarkEnd w:id="2"/>
    </w:p>
    <w:p>
      <w:pPr>
        <w:spacing w:line="560" w:lineRule="exact"/>
        <w:ind w:firstLine="640" w:firstLineChars="200"/>
        <w:jc w:val="left"/>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u w:val="single"/>
          <w:lang w:bidi="ar"/>
        </w:rPr>
        <w:t>裕民县农畜产品5G+区块链+高精全追踪溯源项目</w:t>
      </w:r>
      <w:r>
        <w:rPr>
          <w:rFonts w:ascii="Times New Roman" w:hAnsi="Times New Roman" w:eastAsia="方正仿宋_GB2312" w:cs="Times New Roman"/>
          <w:sz w:val="32"/>
          <w:szCs w:val="32"/>
          <w:lang w:bidi="ar"/>
        </w:rPr>
        <w:t>，项目的潜在供应商应在政采云平台线上获取采购文件，并于2024年</w:t>
      </w:r>
      <w:r>
        <w:rPr>
          <w:rFonts w:hint="eastAsia" w:ascii="Times New Roman" w:hAnsi="Times New Roman" w:eastAsia="方正仿宋_GB2312" w:cs="Times New Roman"/>
          <w:sz w:val="32"/>
          <w:szCs w:val="32"/>
          <w:u w:val="single"/>
          <w:lang w:bidi="ar"/>
        </w:rPr>
        <w:t>04</w:t>
      </w:r>
      <w:r>
        <w:rPr>
          <w:rFonts w:ascii="Times New Roman" w:hAnsi="Times New Roman" w:eastAsia="方正仿宋_GB2312" w:cs="Times New Roman"/>
          <w:sz w:val="32"/>
          <w:szCs w:val="32"/>
          <w:lang w:bidi="ar"/>
        </w:rPr>
        <w:t>月</w:t>
      </w:r>
      <w:r>
        <w:rPr>
          <w:rFonts w:hint="eastAsia" w:ascii="Times New Roman" w:hAnsi="Times New Roman" w:eastAsia="方正仿宋_GB2312" w:cs="Times New Roman"/>
          <w:sz w:val="32"/>
          <w:szCs w:val="32"/>
          <w:u w:val="single"/>
          <w:lang w:val="en-US" w:eastAsia="zh-CN" w:bidi="ar"/>
        </w:rPr>
        <w:t>23</w:t>
      </w:r>
      <w:r>
        <w:rPr>
          <w:rFonts w:ascii="Times New Roman" w:hAnsi="Times New Roman" w:eastAsia="方正仿宋_GB2312" w:cs="Times New Roman"/>
          <w:sz w:val="32"/>
          <w:szCs w:val="32"/>
          <w:lang w:bidi="ar"/>
        </w:rPr>
        <w:t>日11:00（北京时间）前提交投标文件。</w:t>
      </w:r>
    </w:p>
    <w:p>
      <w:pPr>
        <w:pStyle w:val="3"/>
      </w:pPr>
      <w:bookmarkStart w:id="3" w:name="_Toc14676"/>
      <w:bookmarkStart w:id="4" w:name="_Toc24341"/>
      <w:bookmarkStart w:id="5" w:name="_Toc17602"/>
      <w:bookmarkStart w:id="6" w:name="_Toc18151"/>
      <w:bookmarkStart w:id="7" w:name="_Toc19575"/>
      <w:r>
        <w:t>（一）项目基本情况</w:t>
      </w:r>
      <w:bookmarkEnd w:id="3"/>
      <w:bookmarkEnd w:id="4"/>
      <w:bookmarkEnd w:id="5"/>
      <w:bookmarkEnd w:id="6"/>
      <w:bookmarkEnd w:id="7"/>
    </w:p>
    <w:p>
      <w:pPr>
        <w:spacing w:line="560" w:lineRule="exact"/>
        <w:ind w:firstLine="640" w:firstLineChars="200"/>
        <w:rPr>
          <w:rFonts w:ascii="Times New Roman" w:hAnsi="Times New Roman" w:eastAsia="方正仿宋_GB2312" w:cs="Times New Roman"/>
          <w:sz w:val="32"/>
          <w:szCs w:val="32"/>
          <w:u w:val="single"/>
        </w:rPr>
      </w:pPr>
      <w:r>
        <w:rPr>
          <w:rFonts w:ascii="Times New Roman" w:hAnsi="Times New Roman" w:eastAsia="方正仿宋_GB2312" w:cs="Times New Roman"/>
          <w:sz w:val="32"/>
          <w:szCs w:val="32"/>
        </w:rPr>
        <w:t>项目编号：</w:t>
      </w:r>
      <w:r>
        <w:rPr>
          <w:rFonts w:hint="eastAsia" w:ascii="Times New Roman" w:hAnsi="Times New Roman" w:eastAsia="方正仿宋_GB2312" w:cs="Times New Roman"/>
          <w:sz w:val="32"/>
          <w:szCs w:val="32"/>
        </w:rPr>
        <w:t>XJSZG2024-011</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项目名称：</w:t>
      </w:r>
      <w:r>
        <w:rPr>
          <w:rFonts w:hint="eastAsia" w:ascii="Times New Roman" w:hAnsi="Times New Roman" w:eastAsia="方正仿宋_GB2312" w:cs="Times New Roman"/>
          <w:sz w:val="32"/>
          <w:szCs w:val="32"/>
        </w:rPr>
        <w:t>裕民县农畜产品5G+区块链+高精全追踪溯源项目</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采购方式：公开招标</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预算金额（元）：</w:t>
      </w:r>
      <w:r>
        <w:rPr>
          <w:rFonts w:hint="eastAsia" w:ascii="Times New Roman" w:hAnsi="Times New Roman" w:eastAsia="方正仿宋_GB2312" w:cs="Times New Roman"/>
          <w:sz w:val="32"/>
          <w:szCs w:val="32"/>
        </w:rPr>
        <w:t>10000000</w:t>
      </w:r>
      <w:r>
        <w:rPr>
          <w:rFonts w:ascii="Times New Roman" w:hAnsi="Times New Roman" w:eastAsia="方正仿宋_GB2312" w:cs="Times New Roman"/>
          <w:sz w:val="32"/>
          <w:szCs w:val="32"/>
        </w:rPr>
        <w:t>元</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最高限价（元）：</w:t>
      </w:r>
      <w:r>
        <w:rPr>
          <w:rFonts w:hint="eastAsia" w:ascii="Times New Roman" w:hAnsi="Times New Roman" w:eastAsia="方正仿宋_GB2312" w:cs="Times New Roman"/>
          <w:sz w:val="32"/>
          <w:szCs w:val="32"/>
        </w:rPr>
        <w:t>10000000</w:t>
      </w:r>
      <w:r>
        <w:rPr>
          <w:rFonts w:ascii="Times New Roman" w:hAnsi="Times New Roman" w:eastAsia="方正仿宋_GB2312" w:cs="Times New Roman"/>
          <w:sz w:val="32"/>
          <w:szCs w:val="32"/>
        </w:rPr>
        <w:t>元</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采购需求：</w:t>
      </w:r>
    </w:p>
    <w:p>
      <w:pPr>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sz w:val="32"/>
          <w:szCs w:val="32"/>
        </w:rPr>
        <w:t>简要规格描述或项目基本概况介绍、用途：</w:t>
      </w:r>
      <w:r>
        <w:rPr>
          <w:rFonts w:hint="eastAsia" w:ascii="Times New Roman" w:hAnsi="Times New Roman" w:eastAsia="方正仿宋_GB2312" w:cs="Times New Roman"/>
          <w:kern w:val="0"/>
          <w:sz w:val="32"/>
          <w:szCs w:val="32"/>
        </w:rPr>
        <w:t>农畜产品5G+区块链+高精全追踪溯源项目，包括基础数据库搭建，流通节点追溯子系统建设，种养殖基地信息平台建设，企业生产过程基础信息平台建设，高精度定位设备购置等。</w:t>
      </w:r>
      <w:r>
        <w:rPr>
          <w:rFonts w:ascii="Times New Roman" w:hAnsi="Times New Roman" w:eastAsia="方正仿宋_GB2312" w:cs="Times New Roman"/>
          <w:kern w:val="0"/>
          <w:sz w:val="32"/>
          <w:szCs w:val="32"/>
        </w:rPr>
        <w:t>（含招标文件及采购需求全部内容。）</w:t>
      </w:r>
    </w:p>
    <w:p>
      <w:pPr>
        <w:spacing w:line="560" w:lineRule="exact"/>
        <w:ind w:firstLine="640" w:firstLineChars="200"/>
        <w:rPr>
          <w:rFonts w:ascii="Times New Roman" w:hAnsi="Times New Roman" w:eastAsia="方正仿宋_GB2312" w:cs="Times New Roman"/>
          <w:sz w:val="32"/>
          <w:szCs w:val="32"/>
          <w:lang w:bidi="ar"/>
        </w:rPr>
      </w:pPr>
      <w:r>
        <w:rPr>
          <w:rFonts w:ascii="Times New Roman" w:hAnsi="Times New Roman" w:eastAsia="方正仿宋_GB2312" w:cs="Times New Roman"/>
          <w:sz w:val="32"/>
          <w:szCs w:val="32"/>
          <w:lang w:bidi="ar"/>
        </w:rPr>
        <w:t>合同履约期限：</w:t>
      </w:r>
      <w:r>
        <w:rPr>
          <w:rFonts w:hint="eastAsia" w:ascii="Times New Roman" w:hAnsi="Times New Roman" w:eastAsia="方正仿宋_GB2312" w:cs="Times New Roman"/>
          <w:sz w:val="32"/>
          <w:szCs w:val="32"/>
          <w:lang w:bidi="ar"/>
        </w:rPr>
        <w:t>合同签订后 5 个月内完成全部工作，其中巴什拜羊溯源平台应用需在合同签订后 30 日内完成并运行；</w:t>
      </w:r>
      <w:r>
        <w:rPr>
          <w:rFonts w:hint="eastAsia" w:ascii="Times New Roman" w:hAnsi="Times New Roman" w:eastAsia="方正仿宋_GB2312" w:cs="Times New Roman"/>
          <w:sz w:val="32"/>
          <w:szCs w:val="32"/>
          <w:lang w:eastAsia="zh-CN"/>
        </w:rPr>
        <w:t>系统正式验收后的平台运行维护工作不少于5年</w:t>
      </w:r>
      <w:r>
        <w:rPr>
          <w:rFonts w:hint="eastAsia" w:ascii="Times New Roman" w:hAnsi="Times New Roman" w:eastAsia="方正仿宋_GB2312" w:cs="Times New Roman"/>
          <w:sz w:val="32"/>
          <w:szCs w:val="32"/>
        </w:rPr>
        <w:t>。</w:t>
      </w:r>
    </w:p>
    <w:p>
      <w:pPr>
        <w:pStyle w:val="3"/>
      </w:pPr>
      <w:bookmarkStart w:id="8" w:name="_Toc16500"/>
      <w:bookmarkStart w:id="9" w:name="_Toc6565"/>
      <w:bookmarkStart w:id="10" w:name="_Toc24019"/>
      <w:bookmarkStart w:id="11" w:name="_Toc10688"/>
      <w:bookmarkStart w:id="12" w:name="_Toc9938"/>
      <w:r>
        <w:t>（二）申请人的资格要求</w:t>
      </w:r>
      <w:bookmarkEnd w:id="8"/>
      <w:bookmarkEnd w:id="9"/>
      <w:bookmarkEnd w:id="10"/>
      <w:bookmarkEnd w:id="11"/>
      <w:bookmarkEnd w:id="12"/>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满足《中华人民共和国政府采购法》第二十二条规定；</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落实政府采购政策需满足的资格要求：本项目预算金额中预留30%面向中小企业（其中60%面向小微企业）采购项目，该部分预留份额采取分包意向协议形式向中小企业进行分包，且分包意向协议合同金额需达到规定的比例。</w:t>
      </w:r>
    </w:p>
    <w:p>
      <w:pPr>
        <w:pStyle w:val="12"/>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3</w:t>
      </w:r>
      <w:r>
        <w:rPr>
          <w:rFonts w:hint="eastAsia" w:ascii="Times New Roman" w:hAnsi="Times New Roman" w:eastAsia="方正仿宋_GB2312"/>
          <w:sz w:val="32"/>
          <w:szCs w:val="32"/>
        </w:rPr>
        <w:t>、</w:t>
      </w:r>
      <w:r>
        <w:rPr>
          <w:rFonts w:ascii="Times New Roman" w:hAnsi="Times New Roman" w:eastAsia="方正仿宋_GB2312"/>
          <w:sz w:val="32"/>
          <w:szCs w:val="32"/>
        </w:rPr>
        <w:t>投标人须是在“信用中国”（www.creditchina.gov.cn）和中国政府采购网（www.ccgp.gov.cn）网站上未被列入失信被执行人、重大税收违法案件当事人名单以及政府采购严重违法失信行为记录名单。</w:t>
      </w:r>
    </w:p>
    <w:p>
      <w:pPr>
        <w:spacing w:line="56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4、</w:t>
      </w:r>
      <w:r>
        <w:rPr>
          <w:rFonts w:ascii="Times New Roman" w:hAnsi="Times New Roman" w:eastAsia="方正仿宋_GB2312" w:cs="Times New Roman"/>
          <w:sz w:val="32"/>
          <w:szCs w:val="32"/>
        </w:rPr>
        <w:t>本项目的特定资格要求：</w:t>
      </w:r>
    </w:p>
    <w:p>
      <w:pPr>
        <w:spacing w:line="560" w:lineRule="exact"/>
        <w:ind w:firstLine="640" w:firstLineChars="200"/>
        <w:rPr>
          <w:rFonts w:ascii="Times New Roman" w:hAnsi="Times New Roman" w:eastAsia="方正仿宋_GB2312" w:cs="Times New Roman"/>
          <w:sz w:val="32"/>
          <w:szCs w:val="32"/>
          <w:lang w:val="zh-CN"/>
        </w:rPr>
      </w:pPr>
      <w:r>
        <w:rPr>
          <w:rFonts w:ascii="Times New Roman" w:hAnsi="Times New Roman" w:eastAsia="方正仿宋_GB2312" w:cs="Times New Roman"/>
          <w:sz w:val="32"/>
          <w:szCs w:val="32"/>
        </w:rPr>
        <w:t>无。</w:t>
      </w:r>
    </w:p>
    <w:p>
      <w:pPr>
        <w:spacing w:line="56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5、</w:t>
      </w:r>
      <w:r>
        <w:rPr>
          <w:rFonts w:ascii="Times New Roman" w:hAnsi="Times New Roman" w:eastAsia="方正仿宋_GB2312" w:cs="Times New Roman"/>
          <w:sz w:val="32"/>
          <w:szCs w:val="32"/>
        </w:rPr>
        <w:t>本项目不接受联合体投标.</w:t>
      </w:r>
    </w:p>
    <w:p>
      <w:pPr>
        <w:pStyle w:val="3"/>
      </w:pPr>
      <w:bookmarkStart w:id="13" w:name="_Toc22391"/>
      <w:bookmarkStart w:id="14" w:name="_Toc16434"/>
      <w:bookmarkStart w:id="15" w:name="_Toc18834"/>
      <w:bookmarkStart w:id="16" w:name="_Toc32575"/>
      <w:bookmarkStart w:id="17" w:name="_Toc1594"/>
      <w:r>
        <w:t>（三）获取招标文件</w:t>
      </w:r>
      <w:bookmarkEnd w:id="13"/>
      <w:bookmarkEnd w:id="14"/>
      <w:bookmarkEnd w:id="15"/>
      <w:bookmarkEnd w:id="16"/>
      <w:bookmarkEnd w:id="17"/>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时间：</w:t>
      </w:r>
      <w:r>
        <w:rPr>
          <w:rFonts w:ascii="Times New Roman" w:hAnsi="Times New Roman" w:eastAsia="方正仿宋_GB2312" w:cs="Times New Roman"/>
          <w:sz w:val="32"/>
          <w:szCs w:val="32"/>
          <w:u w:val="single"/>
        </w:rPr>
        <w:t>2024</w:t>
      </w:r>
      <w:r>
        <w:rPr>
          <w:rFonts w:ascii="Times New Roman" w:hAnsi="Times New Roman" w:eastAsia="方正仿宋_GB2312" w:cs="Times New Roman"/>
          <w:sz w:val="32"/>
          <w:szCs w:val="32"/>
        </w:rPr>
        <w:t>年</w:t>
      </w:r>
      <w:r>
        <w:rPr>
          <w:rFonts w:hint="eastAsia" w:ascii="Times New Roman" w:hAnsi="Times New Roman" w:eastAsia="方正仿宋_GB2312" w:cs="Times New Roman"/>
          <w:sz w:val="32"/>
          <w:szCs w:val="32"/>
          <w:u w:val="single"/>
        </w:rPr>
        <w:t>03</w:t>
      </w:r>
      <w:r>
        <w:rPr>
          <w:rFonts w:ascii="Times New Roman" w:hAnsi="Times New Roman" w:eastAsia="方正仿宋_GB2312" w:cs="Times New Roman"/>
          <w:sz w:val="32"/>
          <w:szCs w:val="32"/>
        </w:rPr>
        <w:t>月</w:t>
      </w:r>
      <w:r>
        <w:rPr>
          <w:rFonts w:ascii="Times New Roman" w:hAnsi="Times New Roman" w:eastAsia="方正仿宋_GB2312" w:cs="Times New Roman"/>
          <w:sz w:val="32"/>
          <w:szCs w:val="32"/>
          <w:u w:val="single"/>
        </w:rPr>
        <w:t>27</w:t>
      </w:r>
      <w:r>
        <w:rPr>
          <w:rFonts w:ascii="Times New Roman" w:hAnsi="Times New Roman" w:eastAsia="方正仿宋_GB2312" w:cs="Times New Roman"/>
          <w:sz w:val="32"/>
          <w:szCs w:val="32"/>
        </w:rPr>
        <w:t>日至</w:t>
      </w:r>
      <w:r>
        <w:rPr>
          <w:rFonts w:ascii="Times New Roman" w:hAnsi="Times New Roman" w:eastAsia="方正仿宋_GB2312" w:cs="Times New Roman"/>
          <w:sz w:val="32"/>
          <w:szCs w:val="32"/>
          <w:u w:val="single"/>
        </w:rPr>
        <w:t>2024</w:t>
      </w:r>
      <w:r>
        <w:rPr>
          <w:rFonts w:ascii="Times New Roman" w:hAnsi="Times New Roman" w:eastAsia="方正仿宋_GB2312" w:cs="Times New Roman"/>
          <w:sz w:val="32"/>
          <w:szCs w:val="32"/>
        </w:rPr>
        <w:t>年</w:t>
      </w:r>
      <w:r>
        <w:rPr>
          <w:rFonts w:hint="eastAsia" w:ascii="Times New Roman" w:hAnsi="Times New Roman" w:eastAsia="方正仿宋_GB2312" w:cs="Times New Roman"/>
          <w:sz w:val="32"/>
          <w:szCs w:val="32"/>
          <w:u w:val="single"/>
        </w:rPr>
        <w:t>0</w:t>
      </w:r>
      <w:r>
        <w:rPr>
          <w:rFonts w:ascii="Times New Roman" w:hAnsi="Times New Roman" w:eastAsia="方正仿宋_GB2312" w:cs="Times New Roman"/>
          <w:sz w:val="32"/>
          <w:szCs w:val="32"/>
          <w:u w:val="single"/>
        </w:rPr>
        <w:t>4</w:t>
      </w:r>
      <w:r>
        <w:rPr>
          <w:rFonts w:ascii="Times New Roman" w:hAnsi="Times New Roman" w:eastAsia="方正仿宋_GB2312" w:cs="Times New Roman"/>
          <w:sz w:val="32"/>
          <w:szCs w:val="32"/>
        </w:rPr>
        <w:t>月</w:t>
      </w:r>
      <w:r>
        <w:rPr>
          <w:rFonts w:ascii="Times New Roman" w:hAnsi="Times New Roman" w:eastAsia="方正仿宋_GB2312" w:cs="Times New Roman"/>
          <w:sz w:val="32"/>
          <w:szCs w:val="32"/>
          <w:u w:val="single"/>
        </w:rPr>
        <w:t>03</w:t>
      </w:r>
      <w:r>
        <w:rPr>
          <w:rFonts w:ascii="Times New Roman" w:hAnsi="Times New Roman" w:eastAsia="方正仿宋_GB2312" w:cs="Times New Roman"/>
          <w:sz w:val="32"/>
          <w:szCs w:val="32"/>
        </w:rPr>
        <w:t>日，（每日</w:t>
      </w:r>
      <w:r>
        <w:rPr>
          <w:rFonts w:ascii="Times New Roman" w:hAnsi="Times New Roman" w:eastAsia="方正仿宋_GB2312"/>
          <w:sz w:val="32"/>
          <w:szCs w:val="32"/>
          <w:lang w:bidi="ar"/>
        </w:rPr>
        <w:t>00</w:t>
      </w:r>
      <w:r>
        <w:rPr>
          <w:rFonts w:hint="eastAsia" w:ascii="Times New Roman" w:hAnsi="Times New Roman" w:eastAsia="方正仿宋_GB2312"/>
          <w:sz w:val="32"/>
          <w:szCs w:val="32"/>
          <w:lang w:bidi="ar"/>
        </w:rPr>
        <w:t>：</w:t>
      </w:r>
      <w:r>
        <w:rPr>
          <w:rFonts w:ascii="Times New Roman" w:hAnsi="Times New Roman" w:eastAsia="方正仿宋_GB2312"/>
          <w:sz w:val="32"/>
          <w:szCs w:val="32"/>
          <w:lang w:bidi="ar"/>
        </w:rPr>
        <w:t>00</w:t>
      </w:r>
      <w:r>
        <w:rPr>
          <w:rFonts w:ascii="Times New Roman" w:hAnsi="Times New Roman" w:eastAsia="方正仿宋_GB2312" w:cs="Times New Roman"/>
          <w:sz w:val="32"/>
          <w:szCs w:val="32"/>
        </w:rPr>
        <w:t>-12</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00，12</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00-23</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59（北京时间，法定节假日除外）</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地点：登陆政采云https://www.zcygov.cn/平台后进入“项目采购“应用，在获取文件菜单中选择项目，申请获取采购文件。</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方式：投标人须办理CA数字证书，通过CA数字证书登陆政采云平台https://www.zcygov.cn/，进行下载采购文件。</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售价（元）：</w:t>
      </w:r>
      <w:r>
        <w:rPr>
          <w:rFonts w:ascii="Times New Roman" w:hAnsi="Times New Roman" w:eastAsia="方正仿宋_GB2312" w:cs="Times New Roman"/>
          <w:sz w:val="32"/>
          <w:szCs w:val="32"/>
          <w:u w:val="single"/>
        </w:rPr>
        <w:t>0</w:t>
      </w:r>
    </w:p>
    <w:p>
      <w:pPr>
        <w:pStyle w:val="3"/>
      </w:pPr>
      <w:bookmarkStart w:id="18" w:name="_Toc12956"/>
      <w:bookmarkStart w:id="19" w:name="_Toc26234"/>
      <w:bookmarkStart w:id="20" w:name="_Toc28337"/>
      <w:r>
        <w:t>（四）提交投标文件截止时间和地点</w:t>
      </w:r>
      <w:bookmarkEnd w:id="18"/>
      <w:bookmarkEnd w:id="19"/>
      <w:bookmarkEnd w:id="20"/>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提交投标文件截止时间：</w:t>
      </w:r>
      <w:r>
        <w:rPr>
          <w:rFonts w:ascii="Times New Roman" w:hAnsi="Times New Roman" w:eastAsia="方正仿宋_GB2312" w:cs="Times New Roman"/>
          <w:color w:val="FF0000"/>
          <w:sz w:val="32"/>
          <w:szCs w:val="32"/>
          <w:u w:val="single"/>
        </w:rPr>
        <w:t>2024年</w:t>
      </w:r>
      <w:r>
        <w:rPr>
          <w:rFonts w:hint="eastAsia" w:ascii="Times New Roman" w:hAnsi="Times New Roman" w:eastAsia="方正仿宋_GB2312" w:cs="Times New Roman"/>
          <w:color w:val="FF0000"/>
          <w:sz w:val="32"/>
          <w:szCs w:val="32"/>
          <w:u w:val="single"/>
        </w:rPr>
        <w:t>04月</w:t>
      </w:r>
      <w:r>
        <w:rPr>
          <w:rFonts w:hint="eastAsia" w:ascii="Times New Roman" w:hAnsi="Times New Roman" w:eastAsia="方正仿宋_GB2312" w:cs="Times New Roman"/>
          <w:color w:val="FF0000"/>
          <w:sz w:val="32"/>
          <w:szCs w:val="32"/>
          <w:u w:val="single"/>
          <w:lang w:val="en-US" w:eastAsia="zh-CN"/>
        </w:rPr>
        <w:t>23</w:t>
      </w:r>
      <w:r>
        <w:rPr>
          <w:rFonts w:ascii="Times New Roman" w:hAnsi="Times New Roman" w:eastAsia="方正仿宋_GB2312" w:cs="Times New Roman"/>
          <w:color w:val="FF0000"/>
          <w:sz w:val="32"/>
          <w:szCs w:val="32"/>
          <w:u w:val="single"/>
        </w:rPr>
        <w:t xml:space="preserve"> </w:t>
      </w:r>
      <w:r>
        <w:rPr>
          <w:rFonts w:hint="eastAsia" w:ascii="Times New Roman" w:hAnsi="Times New Roman" w:eastAsia="方正仿宋_GB2312" w:cs="Times New Roman"/>
          <w:color w:val="FF0000"/>
          <w:sz w:val="32"/>
          <w:szCs w:val="32"/>
          <w:u w:val="single"/>
          <w:lang w:val="en-US" w:eastAsia="zh-CN"/>
        </w:rPr>
        <w:t>日</w:t>
      </w:r>
      <w:r>
        <w:rPr>
          <w:rFonts w:ascii="Times New Roman" w:hAnsi="Times New Roman" w:eastAsia="方正仿宋_GB2312" w:cs="Times New Roman"/>
          <w:color w:val="FF0000"/>
          <w:sz w:val="32"/>
          <w:szCs w:val="32"/>
        </w:rPr>
        <w:t>11:00</w:t>
      </w:r>
      <w:r>
        <w:rPr>
          <w:rFonts w:ascii="Times New Roman" w:hAnsi="Times New Roman" w:eastAsia="方正仿宋_GB2312" w:cs="Times New Roman"/>
          <w:sz w:val="32"/>
          <w:szCs w:val="32"/>
        </w:rPr>
        <w:t>（北京时间）</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提交地点：将投标文件上传至政采云平台https://www.zcygov.cn/对应位置（逾期未上传的或不符合规定的投标文件将被拒绝接收）。</w:t>
      </w:r>
    </w:p>
    <w:p>
      <w:pPr>
        <w:pStyle w:val="3"/>
      </w:pPr>
      <w:bookmarkStart w:id="21" w:name="_Toc16964"/>
      <w:bookmarkStart w:id="22" w:name="_Toc22416"/>
      <w:bookmarkStart w:id="23" w:name="_Toc5153"/>
      <w:r>
        <w:t>（五）投标文件开启</w:t>
      </w:r>
      <w:bookmarkEnd w:id="21"/>
      <w:bookmarkEnd w:id="22"/>
      <w:bookmarkEnd w:id="23"/>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开标时间：</w:t>
      </w:r>
      <w:r>
        <w:rPr>
          <w:rFonts w:ascii="Times New Roman" w:hAnsi="Times New Roman" w:eastAsia="方正仿宋_GB2312" w:cs="Times New Roman"/>
          <w:color w:val="FF0000"/>
          <w:sz w:val="32"/>
          <w:szCs w:val="32"/>
          <w:u w:val="single"/>
        </w:rPr>
        <w:t>2024年</w:t>
      </w:r>
      <w:r>
        <w:rPr>
          <w:rFonts w:hint="eastAsia" w:ascii="Times New Roman" w:hAnsi="Times New Roman" w:eastAsia="方正仿宋_GB2312" w:cs="Times New Roman"/>
          <w:color w:val="FF0000"/>
          <w:sz w:val="32"/>
          <w:szCs w:val="32"/>
          <w:u w:val="single"/>
        </w:rPr>
        <w:t>04月</w:t>
      </w:r>
      <w:r>
        <w:rPr>
          <w:rFonts w:hint="eastAsia" w:ascii="Times New Roman" w:hAnsi="Times New Roman" w:eastAsia="方正仿宋_GB2312" w:cs="Times New Roman"/>
          <w:color w:val="FF0000"/>
          <w:sz w:val="32"/>
          <w:szCs w:val="32"/>
          <w:u w:val="single"/>
          <w:lang w:val="en-US" w:eastAsia="zh-CN"/>
        </w:rPr>
        <w:t>23日</w:t>
      </w:r>
      <w:r>
        <w:rPr>
          <w:rFonts w:ascii="Times New Roman" w:hAnsi="Times New Roman" w:eastAsia="方正仿宋_GB2312" w:cs="Times New Roman"/>
          <w:color w:val="FF0000"/>
          <w:sz w:val="32"/>
          <w:szCs w:val="32"/>
        </w:rPr>
        <w:t>11:00</w:t>
      </w:r>
      <w:r>
        <w:rPr>
          <w:rFonts w:ascii="Times New Roman" w:hAnsi="Times New Roman" w:eastAsia="方正仿宋_GB2312" w:cs="Times New Roman"/>
          <w:sz w:val="32"/>
          <w:szCs w:val="32"/>
        </w:rPr>
        <w:t>（北京时间）</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开标地点：政采云网上不见面开标系统。</w:t>
      </w:r>
    </w:p>
    <w:p>
      <w:pPr>
        <w:pStyle w:val="3"/>
      </w:pPr>
      <w:bookmarkStart w:id="24" w:name="_Toc13975"/>
      <w:bookmarkStart w:id="25" w:name="_Toc21334"/>
      <w:bookmarkStart w:id="26" w:name="_Toc8267"/>
      <w:r>
        <w:t>（六）公告期限</w:t>
      </w:r>
      <w:bookmarkEnd w:id="24"/>
      <w:bookmarkEnd w:id="25"/>
      <w:bookmarkEnd w:id="26"/>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自本公告发布之日起5个工作日。</w:t>
      </w:r>
    </w:p>
    <w:p>
      <w:pPr>
        <w:pStyle w:val="3"/>
      </w:pPr>
      <w:bookmarkStart w:id="27" w:name="_Toc3235"/>
      <w:bookmarkStart w:id="28" w:name="_Toc9395"/>
      <w:bookmarkStart w:id="29" w:name="_Toc23236"/>
      <w:r>
        <w:t>（七）其他补充事宜</w:t>
      </w:r>
      <w:bookmarkEnd w:id="27"/>
      <w:bookmarkEnd w:id="28"/>
      <w:bookmarkEnd w:id="29"/>
    </w:p>
    <w:p>
      <w:pPr>
        <w:pStyle w:val="14"/>
        <w:wordWrap w:val="0"/>
        <w:spacing w:before="0" w:beforeAutospacing="0" w:after="0" w:afterAutospacing="0" w:line="560" w:lineRule="exact"/>
        <w:ind w:firstLine="640" w:firstLineChars="200"/>
        <w:rPr>
          <w:rFonts w:ascii="Times New Roman" w:hAnsi="Times New Roman" w:eastAsia="方正仿宋_GB2312" w:cs="Times New Roman"/>
          <w:kern w:val="2"/>
          <w:sz w:val="32"/>
          <w:szCs w:val="32"/>
        </w:rPr>
      </w:pPr>
      <w:r>
        <w:rPr>
          <w:rFonts w:ascii="Times New Roman" w:hAnsi="Times New Roman" w:eastAsia="方正仿宋_GB2312" w:cs="Times New Roman"/>
          <w:kern w:val="2"/>
          <w:sz w:val="32"/>
          <w:szCs w:val="32"/>
        </w:rPr>
        <w:t>1、本项目采用全流程不见面电子开评标，</w:t>
      </w:r>
      <w:r>
        <w:rPr>
          <w:rFonts w:ascii="Times New Roman" w:hAnsi="Times New Roman" w:eastAsia="方正仿宋_GB2312" w:cs="Times New Roman"/>
          <w:sz w:val="32"/>
          <w:szCs w:val="32"/>
        </w:rPr>
        <w:t>供应商</w:t>
      </w:r>
      <w:r>
        <w:rPr>
          <w:rFonts w:ascii="Times New Roman" w:hAnsi="Times New Roman" w:eastAsia="方正仿宋_GB2312" w:cs="Times New Roman"/>
          <w:kern w:val="2"/>
          <w:sz w:val="32"/>
          <w:szCs w:val="32"/>
        </w:rPr>
        <w:t>需要使用CA加密设备，</w:t>
      </w:r>
      <w:r>
        <w:rPr>
          <w:rFonts w:ascii="Times New Roman" w:hAnsi="Times New Roman" w:eastAsia="方正仿宋_GB2312" w:cs="Times New Roman"/>
          <w:sz w:val="32"/>
          <w:szCs w:val="32"/>
        </w:rPr>
        <w:t>供应商</w:t>
      </w:r>
      <w:r>
        <w:rPr>
          <w:rFonts w:ascii="Times New Roman" w:hAnsi="Times New Roman" w:eastAsia="方正仿宋_GB2312" w:cs="Times New Roman"/>
          <w:kern w:val="2"/>
          <w:sz w:val="32"/>
          <w:szCs w:val="32"/>
        </w:rPr>
        <w:t>可通过新疆数字证书认证中心官网（https://www.xjca.com.cn/）或下载“新疆政务通”APP自行进行申领。</w:t>
      </w:r>
    </w:p>
    <w:p>
      <w:pPr>
        <w:pStyle w:val="14"/>
        <w:spacing w:before="20" w:beforeAutospacing="0" w:after="20" w:afterAutospacing="0" w:line="560" w:lineRule="exact"/>
        <w:ind w:firstLine="640" w:firstLineChars="200"/>
        <w:rPr>
          <w:rFonts w:ascii="Times New Roman" w:hAnsi="Times New Roman" w:eastAsia="方正仿宋_GB2312" w:cs="Times New Roman"/>
          <w:kern w:val="2"/>
          <w:sz w:val="32"/>
          <w:szCs w:val="32"/>
        </w:rPr>
      </w:pPr>
      <w:r>
        <w:rPr>
          <w:rFonts w:ascii="Times New Roman" w:hAnsi="Times New Roman" w:eastAsia="方正仿宋_GB2312" w:cs="Times New Roman"/>
          <w:kern w:val="2"/>
          <w:sz w:val="32"/>
          <w:szCs w:val="32"/>
        </w:rPr>
        <w:t>2、本项目实行网上响应，采用加密电子投标文件</w:t>
      </w:r>
      <w:r>
        <w:rPr>
          <w:rFonts w:hint="eastAsia" w:ascii="Times New Roman" w:hAnsi="Times New Roman" w:eastAsia="方正仿宋_GB2312" w:cs="Times New Roman"/>
          <w:kern w:val="2"/>
          <w:sz w:val="32"/>
          <w:szCs w:val="32"/>
        </w:rPr>
        <w:t>（</w:t>
      </w:r>
      <w:r>
        <w:rPr>
          <w:rFonts w:ascii="Times New Roman" w:hAnsi="Times New Roman" w:eastAsia="方正仿宋_GB2312" w:cs="Times New Roman"/>
          <w:sz w:val="32"/>
          <w:szCs w:val="32"/>
        </w:rPr>
        <w:t>供应商</w:t>
      </w:r>
      <w:r>
        <w:rPr>
          <w:rFonts w:ascii="Times New Roman" w:hAnsi="Times New Roman" w:eastAsia="方正仿宋_GB2312" w:cs="Times New Roman"/>
          <w:kern w:val="2"/>
          <w:sz w:val="32"/>
          <w:szCs w:val="32"/>
        </w:rPr>
        <w:t>须使用CA加密设备通过政采云电子投标客户端制作投标文件</w:t>
      </w:r>
      <w:r>
        <w:rPr>
          <w:rFonts w:hint="eastAsia" w:ascii="Times New Roman" w:hAnsi="Times New Roman" w:eastAsia="方正仿宋_GB2312" w:cs="Times New Roman"/>
          <w:kern w:val="2"/>
          <w:sz w:val="32"/>
          <w:szCs w:val="32"/>
        </w:rPr>
        <w:t>）</w:t>
      </w:r>
      <w:r>
        <w:rPr>
          <w:rFonts w:ascii="Times New Roman" w:hAnsi="Times New Roman" w:eastAsia="方正仿宋_GB2312" w:cs="Times New Roman"/>
          <w:kern w:val="2"/>
          <w:sz w:val="32"/>
          <w:szCs w:val="32"/>
        </w:rPr>
        <w:t>。若</w:t>
      </w:r>
      <w:r>
        <w:rPr>
          <w:rFonts w:ascii="Times New Roman" w:hAnsi="Times New Roman" w:eastAsia="方正仿宋_GB2312" w:cs="Times New Roman"/>
          <w:sz w:val="32"/>
          <w:szCs w:val="32"/>
        </w:rPr>
        <w:t>供应商</w:t>
      </w:r>
      <w:r>
        <w:rPr>
          <w:rFonts w:ascii="Times New Roman" w:hAnsi="Times New Roman" w:eastAsia="方正仿宋_GB2312" w:cs="Times New Roman"/>
          <w:kern w:val="2"/>
          <w:sz w:val="32"/>
          <w:szCs w:val="32"/>
        </w:rPr>
        <w:t>参与响应，自行承担响应一切费用。</w:t>
      </w:r>
    </w:p>
    <w:p>
      <w:pPr>
        <w:pStyle w:val="14"/>
        <w:spacing w:before="20" w:beforeAutospacing="0" w:after="20" w:afterAutospacing="0" w:line="560" w:lineRule="exact"/>
        <w:ind w:firstLine="640" w:firstLineChars="200"/>
        <w:rPr>
          <w:rFonts w:ascii="Times New Roman" w:hAnsi="Times New Roman" w:eastAsia="方正仿宋_GB2312" w:cs="Times New Roman"/>
          <w:kern w:val="2"/>
          <w:sz w:val="32"/>
          <w:szCs w:val="32"/>
        </w:rPr>
      </w:pPr>
      <w:r>
        <w:rPr>
          <w:rFonts w:ascii="Times New Roman" w:hAnsi="Times New Roman" w:eastAsia="方正仿宋_GB2312" w:cs="Times New Roman"/>
          <w:kern w:val="2"/>
          <w:sz w:val="32"/>
          <w:szCs w:val="32"/>
        </w:rPr>
        <w:t>3、各供应商在开标前应确保成为新疆政府采购网正式注册入库供应商，并完成CA数字证书申领。因未注册入库、未办理CA数字证书等原因造成无法响应或响应失败等后果由</w:t>
      </w:r>
      <w:r>
        <w:rPr>
          <w:rFonts w:ascii="Times New Roman" w:hAnsi="Times New Roman" w:eastAsia="方正仿宋_GB2312" w:cs="Times New Roman"/>
          <w:sz w:val="32"/>
          <w:szCs w:val="32"/>
        </w:rPr>
        <w:t>供应商</w:t>
      </w:r>
      <w:r>
        <w:rPr>
          <w:rFonts w:ascii="Times New Roman" w:hAnsi="Times New Roman" w:eastAsia="方正仿宋_GB2312" w:cs="Times New Roman"/>
          <w:kern w:val="2"/>
          <w:sz w:val="32"/>
          <w:szCs w:val="32"/>
        </w:rPr>
        <w:t>自行承担。</w:t>
      </w:r>
    </w:p>
    <w:p>
      <w:pPr>
        <w:pStyle w:val="14"/>
        <w:wordWrap w:val="0"/>
        <w:spacing w:before="20" w:beforeAutospacing="0" w:after="20" w:afterAutospacing="0" w:line="560" w:lineRule="exact"/>
        <w:ind w:firstLine="640" w:firstLineChars="200"/>
        <w:rPr>
          <w:rFonts w:ascii="Times New Roman" w:hAnsi="Times New Roman" w:eastAsia="方正仿宋_GB2312" w:cs="Times New Roman"/>
          <w:kern w:val="2"/>
          <w:sz w:val="32"/>
          <w:szCs w:val="32"/>
        </w:rPr>
      </w:pPr>
      <w:r>
        <w:rPr>
          <w:rFonts w:ascii="Times New Roman" w:hAnsi="Times New Roman" w:eastAsia="方正仿宋_GB2312" w:cs="Times New Roman"/>
          <w:kern w:val="2"/>
          <w:sz w:val="32"/>
          <w:szCs w:val="32"/>
        </w:rPr>
        <w:t>4、供应商将政采云电子交易客户端下载、安装完成后，可通过账号密码或CA登录客户端进行投标文件制作。在使用政采云投标客户端时，建议使用WIN7及以上操作系统。客户端请至政采云平台（https://login.zcygov.cn/user-login/#/login）下载专区查看，如有问题可拨打政采云客户服务热线95763进行咨询。</w:t>
      </w:r>
    </w:p>
    <w:p>
      <w:pPr>
        <w:pStyle w:val="14"/>
        <w:spacing w:before="20" w:beforeAutospacing="0" w:after="20" w:afterAutospacing="0" w:line="560" w:lineRule="exact"/>
        <w:ind w:firstLine="640" w:firstLineChars="200"/>
        <w:rPr>
          <w:rFonts w:ascii="Times New Roman" w:hAnsi="Times New Roman" w:eastAsia="方正仿宋_GB2312" w:cs="Times New Roman"/>
          <w:kern w:val="2"/>
          <w:sz w:val="32"/>
          <w:szCs w:val="32"/>
        </w:rPr>
      </w:pPr>
      <w:r>
        <w:rPr>
          <w:rFonts w:ascii="Times New Roman" w:hAnsi="Times New Roman" w:eastAsia="方正仿宋_GB2312" w:cs="Times New Roman"/>
          <w:kern w:val="2"/>
          <w:sz w:val="32"/>
          <w:szCs w:val="32"/>
        </w:rPr>
        <w:t>5、供应商在开标时须使用制作加密电子投标文件所使用的CA锁及电脑，电脑须提前配置好浏览器，以便开标时解锁。如因</w:t>
      </w:r>
      <w:r>
        <w:rPr>
          <w:rFonts w:ascii="Times New Roman" w:hAnsi="Times New Roman" w:eastAsia="方正仿宋_GB2312" w:cs="Times New Roman"/>
          <w:sz w:val="32"/>
          <w:szCs w:val="32"/>
        </w:rPr>
        <w:t>供应商</w:t>
      </w:r>
      <w:r>
        <w:rPr>
          <w:rFonts w:ascii="Times New Roman" w:hAnsi="Times New Roman" w:eastAsia="方正仿宋_GB2312" w:cs="Times New Roman"/>
          <w:kern w:val="2"/>
          <w:sz w:val="32"/>
          <w:szCs w:val="32"/>
        </w:rPr>
        <w:t>自身原因导致在规定时间内无法正常解密的（如：浏览器故障、未安装相关驱动、网络故障、加密CA与解密CA不一致等），采购代理机构不予异常处理，视为</w:t>
      </w:r>
      <w:r>
        <w:rPr>
          <w:rFonts w:ascii="Times New Roman" w:hAnsi="Times New Roman" w:eastAsia="方正仿宋_GB2312" w:cs="Times New Roman"/>
          <w:sz w:val="32"/>
          <w:szCs w:val="32"/>
        </w:rPr>
        <w:t>供应商</w:t>
      </w:r>
      <w:r>
        <w:rPr>
          <w:rFonts w:ascii="Times New Roman" w:hAnsi="Times New Roman" w:eastAsia="方正仿宋_GB2312" w:cs="Times New Roman"/>
          <w:kern w:val="2"/>
          <w:sz w:val="32"/>
          <w:szCs w:val="32"/>
        </w:rPr>
        <w:t>自动弃标。</w:t>
      </w:r>
    </w:p>
    <w:p>
      <w:pPr>
        <w:wordWrap w:val="0"/>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6、供应商对不见面开评标系统的技术操作咨询，可通过https://edu.zcygov.cn/luban/xinjiang-e-biding自助查询，也可在政采云帮助中心常见问题解答</w:t>
      </w:r>
      <w:r>
        <w:rPr>
          <w:rFonts w:ascii="Times New Roman" w:hAnsi="Times New Roman" w:eastAsia="方正仿宋_GB2312" w:cs="Times New Roman"/>
          <w:sz w:val="32"/>
          <w:szCs w:val="32"/>
          <w:lang w:bidi="ar"/>
        </w:rPr>
        <w:t>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widowControl/>
        <w:spacing w:line="560" w:lineRule="exact"/>
        <w:ind w:firstLine="640" w:firstLineChars="200"/>
        <w:jc w:val="left"/>
        <w:rPr>
          <w:rFonts w:ascii="仿宋" w:hAnsi="仿宋" w:eastAsia="仿宋" w:cs="仿宋"/>
          <w:sz w:val="32"/>
          <w:szCs w:val="32"/>
        </w:rPr>
      </w:pPr>
      <w:r>
        <w:rPr>
          <w:rFonts w:ascii="Times New Roman" w:hAnsi="Times New Roman" w:eastAsia="方正仿宋_GB2312" w:cs="Times New Roman"/>
          <w:bCs/>
          <w:kern w:val="0"/>
          <w:sz w:val="32"/>
          <w:szCs w:val="32"/>
          <w:lang w:bidi="ar"/>
        </w:rPr>
        <w:t>特别提示：</w:t>
      </w:r>
      <w:bookmarkStart w:id="30" w:name="_Toc21291"/>
      <w:bookmarkStart w:id="31" w:name="_Toc5329"/>
      <w:bookmarkStart w:id="32" w:name="_Toc20815"/>
      <w:r>
        <w:rPr>
          <w:rFonts w:hint="eastAsia" w:ascii="仿宋" w:hAnsi="仿宋" w:eastAsia="仿宋" w:cs="仿宋"/>
          <w:sz w:val="32"/>
          <w:szCs w:val="32"/>
        </w:rPr>
        <w:t>1、采购限额标准以上，200万元以下的货物和服务采购项目、400万元以下的工程采购项目，适宜由中小企业提供的，采购人应当专门面向中小企业采购。</w:t>
      </w:r>
    </w:p>
    <w:p>
      <w:pPr>
        <w:pStyle w:val="3"/>
        <w:rPr>
          <w:rFonts w:ascii="仿宋" w:hAnsi="仿宋" w:eastAsia="仿宋" w:cs="仿宋"/>
        </w:rPr>
      </w:pPr>
      <w:r>
        <w:rPr>
          <w:rFonts w:hint="eastAsia" w:ascii="仿宋" w:hAnsi="仿宋" w:eastAsia="仿宋" w:cs="仿宋"/>
        </w:rPr>
        <w:t>2、超过200万元的货物和服务采购项目，预留该部分采购项目预算总额的30%以上专门面向中小企业采购，其中预留给小微企业的比例不低于60%。</w:t>
      </w:r>
    </w:p>
    <w:p>
      <w:pPr>
        <w:pStyle w:val="3"/>
        <w:rPr>
          <w:rFonts w:ascii="仿宋" w:hAnsi="仿宋" w:eastAsia="仿宋" w:cs="仿宋"/>
        </w:rPr>
      </w:pPr>
      <w:r>
        <w:rPr>
          <w:rFonts w:hint="eastAsia" w:ascii="仿宋" w:hAnsi="仿宋" w:eastAsia="仿宋" w:cs="仿宋"/>
        </w:rPr>
        <w:t>3、超过400万元的工程采购项目中适宜由中小企业提供的，预留该部分采购项目预算总额的40%以上专门面向中小企业采购，其中预留给小微企业的比例不低于60%。</w:t>
      </w:r>
    </w:p>
    <w:p>
      <w:pPr>
        <w:pStyle w:val="3"/>
        <w:rPr>
          <w:rFonts w:ascii="仿宋" w:hAnsi="仿宋" w:eastAsia="仿宋" w:cs="仿宋"/>
        </w:rPr>
      </w:pPr>
      <w:r>
        <w:rPr>
          <w:rFonts w:hint="eastAsia" w:ascii="仿宋" w:hAnsi="仿宋" w:eastAsia="仿宋" w:cs="仿宋"/>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
      </w:pPr>
      <w:r>
        <w:rPr>
          <w:rFonts w:hint="eastAsia" w:ascii="仿宋" w:hAnsi="仿宋" w:eastAsia="仿宋" w:cs="仿宋"/>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
      </w:pPr>
      <w:r>
        <w:t>（八）对本次采购提出询问，请按以下方式联系</w:t>
      </w:r>
      <w:bookmarkEnd w:id="30"/>
      <w:bookmarkEnd w:id="31"/>
      <w:bookmarkEnd w:id="32"/>
    </w:p>
    <w:p>
      <w:pPr>
        <w:pStyle w:val="4"/>
      </w:pPr>
      <w:bookmarkStart w:id="33" w:name="_Toc4089"/>
      <w:r>
        <w:t>1、采购人信息</w:t>
      </w:r>
      <w:bookmarkEnd w:id="33"/>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名称：</w:t>
      </w:r>
      <w:r>
        <w:rPr>
          <w:rFonts w:hint="eastAsia" w:ascii="Times New Roman" w:hAnsi="Times New Roman" w:eastAsia="方正仿宋_GB2312" w:cs="Times New Roman"/>
          <w:sz w:val="32"/>
          <w:szCs w:val="32"/>
        </w:rPr>
        <w:t>裕民县商务和工业信息化局</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地址：</w:t>
      </w:r>
      <w:r>
        <w:rPr>
          <w:rFonts w:hint="eastAsia" w:ascii="Times New Roman" w:hAnsi="Times New Roman" w:eastAsia="方正仿宋_GB2312" w:cs="Times New Roman"/>
          <w:sz w:val="32"/>
          <w:szCs w:val="32"/>
        </w:rPr>
        <w:t>裕民县哈拉布拉镇巴尔鲁克路</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联系人：</w:t>
      </w:r>
      <w:r>
        <w:rPr>
          <w:rFonts w:hint="eastAsia" w:ascii="Times New Roman" w:hAnsi="Times New Roman" w:eastAsia="方正仿宋_GB2312" w:cs="Times New Roman"/>
          <w:bCs/>
          <w:sz w:val="32"/>
          <w:szCs w:val="32"/>
        </w:rPr>
        <w:t>关亚东</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联系方式：</w:t>
      </w:r>
      <w:r>
        <w:rPr>
          <w:rFonts w:hint="eastAsia" w:ascii="Times New Roman" w:hAnsi="Times New Roman" w:eastAsia="方正仿宋_GB2312" w:cs="Times New Roman"/>
          <w:sz w:val="32"/>
          <w:szCs w:val="32"/>
        </w:rPr>
        <w:t>15199490904</w:t>
      </w:r>
    </w:p>
    <w:p>
      <w:pPr>
        <w:pStyle w:val="4"/>
      </w:pPr>
      <w:bookmarkStart w:id="34" w:name="_Toc28811"/>
      <w:r>
        <w:t>2、采购代理机构信息</w:t>
      </w:r>
      <w:bookmarkEnd w:id="34"/>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名称：</w:t>
      </w:r>
      <w:r>
        <w:rPr>
          <w:rFonts w:hint="eastAsia" w:ascii="Times New Roman" w:hAnsi="Times New Roman" w:eastAsia="方正仿宋_GB2312" w:cs="Times New Roman"/>
          <w:sz w:val="32"/>
          <w:szCs w:val="32"/>
        </w:rPr>
        <w:t>新疆守正项目管理咨询有限公司</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地址：</w:t>
      </w:r>
      <w:r>
        <w:rPr>
          <w:rFonts w:hint="eastAsia" w:ascii="Times New Roman" w:hAnsi="Times New Roman" w:eastAsia="方正仿宋_GB2312" w:cs="Times New Roman"/>
          <w:sz w:val="32"/>
          <w:szCs w:val="32"/>
        </w:rPr>
        <w:t>新疆乌鲁木齐经济技术开发区新疆旅游大厦11楼1107室</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项目联系人：</w:t>
      </w:r>
      <w:r>
        <w:rPr>
          <w:rFonts w:hint="eastAsia" w:ascii="Times New Roman" w:hAnsi="Times New Roman" w:eastAsia="方正仿宋_GB2312" w:cs="Times New Roman"/>
          <w:sz w:val="32"/>
          <w:szCs w:val="32"/>
        </w:rPr>
        <w:t>郑步岳</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联系方式：</w:t>
      </w:r>
      <w:r>
        <w:rPr>
          <w:rFonts w:hint="eastAsia" w:ascii="Times New Roman" w:hAnsi="Times New Roman" w:eastAsia="方正仿宋_GB2312" w:cs="Times New Roman"/>
          <w:sz w:val="32"/>
          <w:szCs w:val="32"/>
        </w:rPr>
        <w:t>18599104040</w:t>
      </w:r>
    </w:p>
    <w:p>
      <w:pPr>
        <w:widowControl/>
        <w:spacing w:line="560" w:lineRule="exact"/>
        <w:jc w:val="left"/>
        <w:rPr>
          <w:rFonts w:ascii="Times New Roman" w:hAnsi="Times New Roman" w:eastAsia="方正仿宋_GB2312" w:cs="Times New Roman"/>
          <w:b/>
          <w:sz w:val="32"/>
          <w:szCs w:val="32"/>
        </w:rPr>
      </w:pPr>
      <w:r>
        <w:rPr>
          <w:rFonts w:ascii="Times New Roman" w:hAnsi="Times New Roman" w:eastAsia="方正仿宋_GB2312" w:cs="Times New Roman"/>
          <w:b/>
          <w:sz w:val="32"/>
          <w:szCs w:val="32"/>
        </w:rPr>
        <w:br w:type="page"/>
      </w:r>
    </w:p>
    <w:p>
      <w:pPr>
        <w:pStyle w:val="2"/>
        <w:numPr>
          <w:ilvl w:val="0"/>
          <w:numId w:val="0"/>
        </w:numPr>
        <w:ind w:firstLine="420"/>
      </w:pPr>
      <w:bookmarkStart w:id="35" w:name="_Toc11986"/>
      <w:bookmarkStart w:id="36" w:name="_Toc25273"/>
      <w:bookmarkStart w:id="37" w:name="_Toc521"/>
      <w:r>
        <w:rPr>
          <w:rFonts w:hint="eastAsia"/>
        </w:rPr>
        <w:t>二、</w:t>
      </w:r>
      <w:r>
        <w:t>投标人须知</w:t>
      </w:r>
      <w:bookmarkEnd w:id="35"/>
      <w:bookmarkEnd w:id="36"/>
      <w:bookmarkEnd w:id="37"/>
    </w:p>
    <w:p>
      <w:pPr>
        <w:pStyle w:val="3"/>
      </w:pPr>
      <w:bookmarkStart w:id="38" w:name="_Toc4874"/>
      <w:bookmarkStart w:id="39" w:name="_Toc29436"/>
      <w:bookmarkStart w:id="40" w:name="_Toc794"/>
      <w:r>
        <w:t>（一）投标人须知前附表</w:t>
      </w:r>
      <w:bookmarkEnd w:id="38"/>
      <w:bookmarkEnd w:id="39"/>
      <w:bookmarkEnd w:id="40"/>
    </w:p>
    <w:tbl>
      <w:tblPr>
        <w:tblStyle w:val="42"/>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65"/>
        <w:gridCol w:w="1577"/>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bCs/>
                <w:kern w:val="0"/>
                <w:sz w:val="32"/>
                <w:szCs w:val="32"/>
              </w:rPr>
            </w:pPr>
            <w:r>
              <w:rPr>
                <w:rFonts w:ascii="Times New Roman" w:hAnsi="Times New Roman" w:eastAsia="方正仿宋_GB2312" w:cs="Times New Roman"/>
                <w:bCs/>
                <w:kern w:val="0"/>
                <w:sz w:val="32"/>
                <w:szCs w:val="32"/>
              </w:rPr>
              <w:t>项号</w:t>
            </w:r>
          </w:p>
        </w:tc>
        <w:tc>
          <w:tcPr>
            <w:tcW w:w="10014" w:type="dxa"/>
            <w:gridSpan w:val="2"/>
            <w:shd w:val="clear" w:color="auto" w:fill="auto"/>
            <w:vAlign w:val="center"/>
          </w:tcPr>
          <w:p>
            <w:pPr>
              <w:tabs>
                <w:tab w:val="center" w:pos="5009"/>
                <w:tab w:val="left" w:pos="8743"/>
              </w:tabs>
              <w:spacing w:line="560" w:lineRule="exact"/>
              <w:jc w:val="left"/>
              <w:rPr>
                <w:rFonts w:ascii="Times New Roman" w:hAnsi="Times New Roman" w:eastAsia="方正仿宋_GB2312" w:cs="Times New Roman"/>
                <w:bCs/>
                <w:kern w:val="0"/>
                <w:sz w:val="32"/>
                <w:szCs w:val="32"/>
              </w:rPr>
            </w:pPr>
            <w:r>
              <w:rPr>
                <w:rFonts w:ascii="Times New Roman" w:hAnsi="Times New Roman" w:eastAsia="方正仿宋_GB2312" w:cs="Times New Roman"/>
                <w:bCs/>
                <w:kern w:val="0"/>
                <w:sz w:val="32"/>
                <w:szCs w:val="32"/>
              </w:rPr>
              <w:tab/>
            </w:r>
            <w:r>
              <w:rPr>
                <w:rFonts w:ascii="Times New Roman" w:hAnsi="Times New Roman" w:eastAsia="方正仿宋_GB2312" w:cs="Times New Roman"/>
                <w:bCs/>
                <w:kern w:val="0"/>
                <w:sz w:val="32"/>
                <w:szCs w:val="32"/>
              </w:rPr>
              <w:t>编列内容</w:t>
            </w:r>
            <w:r>
              <w:rPr>
                <w:rFonts w:ascii="Times New Roman" w:hAnsi="Times New Roman" w:eastAsia="方正仿宋_GB2312" w:cs="Times New Roman"/>
                <w:bCs/>
                <w:kern w:val="0"/>
                <w:sz w:val="32"/>
                <w:szCs w:val="3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restart"/>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项目名称</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裕民县农畜产品5G+区块链+高精全追踪溯源项目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项目编号</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hint="eastAsia" w:ascii="Times New Roman" w:hAnsi="Times New Roman" w:eastAsia="方正仿宋_GB2312" w:cs="Times New Roman"/>
                <w:sz w:val="32"/>
                <w:szCs w:val="32"/>
              </w:rPr>
              <w:t>XJSZG2024-011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采购人</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裕民县商务和工业信息化局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采购代理机构</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新疆守正项目管理咨询有限公司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项目地点</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裕民县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资金来源</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预算金额</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10000000</w:t>
            </w:r>
            <w:r>
              <w:rPr>
                <w:rFonts w:ascii="Times New Roman" w:hAnsi="Times New Roman" w:eastAsia="方正仿宋_GB2312" w:cs="Times New Roman"/>
                <w:kern w:val="0"/>
                <w:sz w:val="32"/>
                <w:szCs w:val="32"/>
              </w:rPr>
              <w:t>元，投标人投标报价不得超相应预算金额，否则，按废标处理。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7"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合同履约期限</w:t>
            </w:r>
          </w:p>
        </w:tc>
        <w:tc>
          <w:tcPr>
            <w:tcW w:w="8437" w:type="dxa"/>
            <w:shd w:val="clear" w:color="auto" w:fill="auto"/>
            <w:vAlign w:val="center"/>
          </w:tcPr>
          <w:p>
            <w:pPr>
              <w:spacing w:line="560" w:lineRule="exact"/>
              <w:rPr>
                <w:rFonts w:ascii="Times New Roman" w:hAnsi="Times New Roman" w:eastAsia="方正仿宋_GB2312" w:cs="Times New Roman"/>
                <w:kern w:val="0"/>
                <w:sz w:val="32"/>
                <w:szCs w:val="32"/>
              </w:rPr>
            </w:pPr>
            <w:r>
              <w:rPr>
                <w:rFonts w:hint="eastAsia" w:ascii="Times New Roman" w:hAnsi="Times New Roman" w:eastAsia="方正仿宋_GB2312" w:cs="Times New Roman"/>
                <w:sz w:val="32"/>
                <w:szCs w:val="32"/>
                <w:lang w:bidi="ar"/>
              </w:rPr>
              <w:t>合同签订后 5 个月内完成全部工作，其中巴什拜羊溯源平台应用需在合同签订后 30 日内完成并运行；</w:t>
            </w:r>
            <w:r>
              <w:rPr>
                <w:rFonts w:hint="eastAsia" w:ascii="Times New Roman" w:hAnsi="Times New Roman" w:eastAsia="方正仿宋_GB2312" w:cs="Times New Roman"/>
                <w:sz w:val="32"/>
                <w:szCs w:val="32"/>
                <w:lang w:eastAsia="zh-CN"/>
              </w:rPr>
              <w:t>系统正式验收后的平台运行维护工作不少于5年</w:t>
            </w:r>
            <w:r>
              <w:rPr>
                <w:rFonts w:hint="eastAsia" w:ascii="Times New Roman" w:hAnsi="Times New Roman" w:eastAsia="方正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9"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招标范围</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农畜产品5G+区块链+高精全追踪溯源项目，包括基础数据库搭建，流通节点追溯子系统建设，种养殖基地信息平台建设，企业生产过程基础信息平台建设，高精度定位设备购置等。</w:t>
            </w:r>
            <w:r>
              <w:rPr>
                <w:rFonts w:ascii="Times New Roman" w:hAnsi="Times New Roman" w:eastAsia="方正仿宋_GB2312" w:cs="Times New Roman"/>
                <w:kern w:val="0"/>
                <w:sz w:val="32"/>
                <w:szCs w:val="32"/>
              </w:rPr>
              <w:t>（含招标文件及采购需求全部内容。）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restart"/>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招标方式</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联合体</w:t>
            </w:r>
          </w:p>
        </w:tc>
        <w:tc>
          <w:tcPr>
            <w:tcW w:w="8437" w:type="dxa"/>
            <w:shd w:val="clear" w:color="auto" w:fill="auto"/>
            <w:vAlign w:val="center"/>
          </w:tcPr>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7"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资格审</w:t>
            </w:r>
          </w:p>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查方式</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restart"/>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评标办法</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vMerge w:val="continue"/>
            <w:shd w:val="clear" w:color="auto" w:fill="auto"/>
            <w:vAlign w:val="center"/>
          </w:tcPr>
          <w:p>
            <w:pPr>
              <w:spacing w:line="560" w:lineRule="exact"/>
              <w:jc w:val="center"/>
              <w:rPr>
                <w:rFonts w:ascii="Times New Roman" w:hAnsi="Times New Roman" w:eastAsia="方正仿宋_GB2312" w:cs="Times New Roman"/>
                <w:kern w:val="0"/>
                <w:sz w:val="32"/>
                <w:szCs w:val="32"/>
              </w:rPr>
            </w:pP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定标方法</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88"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投标人资格条件和能力</w:t>
            </w:r>
          </w:p>
        </w:tc>
        <w:tc>
          <w:tcPr>
            <w:tcW w:w="8437" w:type="dxa"/>
            <w:shd w:val="clear" w:color="auto" w:fill="auto"/>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满足《中华人民共和国政府采购法》第二十二条规定；</w:t>
            </w: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落实政府采购政策需满足的资格要求：本项目预算金额中预留30%面向中小企业（其中60%面向小微企业）采购项目，该部分预留份额采取分包意向协议形式向中小企业进行分包，且分包意向协议合同金额需达到规定的比例。</w:t>
            </w:r>
          </w:p>
          <w:p>
            <w:pPr>
              <w:pStyle w:val="12"/>
              <w:spacing w:line="560" w:lineRule="exact"/>
              <w:rPr>
                <w:rFonts w:ascii="Times New Roman" w:hAnsi="Times New Roman" w:eastAsia="方正仿宋_GB2312"/>
                <w:sz w:val="32"/>
                <w:szCs w:val="32"/>
              </w:rPr>
            </w:pPr>
            <w:r>
              <w:rPr>
                <w:rFonts w:ascii="Times New Roman" w:hAnsi="Times New Roman" w:eastAsia="方正仿宋_GB2312"/>
                <w:sz w:val="32"/>
                <w:szCs w:val="32"/>
              </w:rPr>
              <w:t>3</w:t>
            </w:r>
            <w:r>
              <w:rPr>
                <w:rFonts w:hint="eastAsia" w:ascii="Times New Roman" w:hAnsi="Times New Roman" w:eastAsia="方正仿宋_GB2312"/>
                <w:sz w:val="32"/>
                <w:szCs w:val="32"/>
              </w:rPr>
              <w:t>、</w:t>
            </w:r>
            <w:r>
              <w:rPr>
                <w:rFonts w:ascii="Times New Roman" w:hAnsi="Times New Roman" w:eastAsia="方正仿宋_GB2312"/>
                <w:sz w:val="32"/>
                <w:szCs w:val="32"/>
              </w:rPr>
              <w:t>投标人须是在“信用中国”（www.creditchina.gov.cn）和中国政府采购网（www.ccgp.gov.cn）网站上未被列入失信被执行人、重大税收违法案件当事人名单以及政府采购严重违法失信行为记录名单。</w:t>
            </w:r>
          </w:p>
          <w:p>
            <w:pPr>
              <w:spacing w:line="560" w:lineRule="exact"/>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4、</w:t>
            </w:r>
            <w:r>
              <w:rPr>
                <w:rFonts w:ascii="Times New Roman" w:hAnsi="Times New Roman" w:eastAsia="方正仿宋_GB2312" w:cs="Times New Roman"/>
                <w:sz w:val="32"/>
                <w:szCs w:val="32"/>
              </w:rPr>
              <w:t>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招标文件费</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87"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投标保证金</w:t>
            </w:r>
          </w:p>
        </w:tc>
        <w:tc>
          <w:tcPr>
            <w:tcW w:w="8437" w:type="dxa"/>
            <w:shd w:val="clear" w:color="auto" w:fill="auto"/>
            <w:vAlign w:val="center"/>
          </w:tcPr>
          <w:p>
            <w:pPr>
              <w:pStyle w:val="16"/>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本项目的投标保证金金额：</w:t>
            </w:r>
            <w:r>
              <w:rPr>
                <w:rFonts w:hint="eastAsia" w:ascii="Times New Roman" w:hAnsi="Times New Roman" w:eastAsia="方正仿宋_GB2312" w:cs="Times New Roman"/>
                <w:sz w:val="32"/>
                <w:szCs w:val="32"/>
              </w:rPr>
              <w:t>100</w:t>
            </w:r>
            <w:r>
              <w:rPr>
                <w:rFonts w:ascii="Times New Roman" w:hAnsi="Times New Roman" w:eastAsia="方正仿宋_GB2312" w:cs="Times New Roman"/>
                <w:sz w:val="32"/>
                <w:szCs w:val="32"/>
              </w:rPr>
              <w:t>000.00元</w:t>
            </w:r>
          </w:p>
          <w:p>
            <w:pPr>
              <w:pStyle w:val="16"/>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收款单位全称：新疆守正项目管理咨询有限公司</w:t>
            </w:r>
          </w:p>
          <w:p>
            <w:pPr>
              <w:pStyle w:val="16"/>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开户银行：中国建设银行股份有限公司乌鲁木齐南湖路支行</w:t>
            </w:r>
          </w:p>
          <w:p>
            <w:pPr>
              <w:pStyle w:val="16"/>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行    号：105881000575</w:t>
            </w:r>
          </w:p>
          <w:p>
            <w:pPr>
              <w:pStyle w:val="16"/>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银行账号：65050161604100001075 </w:t>
            </w:r>
          </w:p>
          <w:p>
            <w:pPr>
              <w:pStyle w:val="16"/>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投标保证金缴纳形式：转账或电汇或保函。</w:t>
            </w:r>
          </w:p>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sz w:val="32"/>
                <w:szCs w:val="32"/>
              </w:rPr>
              <w:t>各投标单位缴纳投标保证金时需在附加信息及用途栏内注明投标保证金、项目名称（简称）；投标保证金于投标截止时间前确认到账，若投标人未按照上述规定缴纳投标保证金, 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8</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现场踏勘</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12"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9</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答疑澄清</w:t>
            </w:r>
          </w:p>
        </w:tc>
        <w:tc>
          <w:tcPr>
            <w:tcW w:w="8437" w:type="dxa"/>
            <w:shd w:val="clear" w:color="auto" w:fill="auto"/>
            <w:vAlign w:val="center"/>
          </w:tcPr>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对招标文件有需要答疑澄清的须在投标截止之间十五日之前以书面形式提交至招标代理机构，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10</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投标文件份数</w:t>
            </w:r>
          </w:p>
        </w:tc>
        <w:tc>
          <w:tcPr>
            <w:tcW w:w="8437" w:type="dxa"/>
            <w:shd w:val="clear" w:color="auto" w:fill="auto"/>
            <w:vAlign w:val="center"/>
          </w:tcPr>
          <w:p>
            <w:pPr>
              <w:keepNext/>
              <w:widowControl/>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7"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投标文件</w:t>
            </w:r>
          </w:p>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递交</w:t>
            </w:r>
          </w:p>
        </w:tc>
        <w:tc>
          <w:tcPr>
            <w:tcW w:w="8437" w:type="dxa"/>
            <w:shd w:val="clear" w:color="auto" w:fill="auto"/>
            <w:vAlign w:val="center"/>
          </w:tcPr>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截止时间：2024年</w:t>
            </w:r>
            <w:r>
              <w:rPr>
                <w:rFonts w:hint="eastAsia" w:ascii="Times New Roman" w:hAnsi="Times New Roman" w:eastAsia="方正仿宋_GB2312" w:cs="Times New Roman"/>
                <w:kern w:val="0"/>
                <w:sz w:val="32"/>
                <w:szCs w:val="32"/>
              </w:rPr>
              <w:t>04</w:t>
            </w:r>
            <w:r>
              <w:rPr>
                <w:rFonts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23</w:t>
            </w:r>
            <w:r>
              <w:rPr>
                <w:rFonts w:ascii="Times New Roman" w:hAnsi="Times New Roman" w:eastAsia="方正仿宋_GB2312" w:cs="Times New Roman"/>
                <w:kern w:val="0"/>
                <w:sz w:val="32"/>
                <w:szCs w:val="32"/>
              </w:rPr>
              <w:t>日11时00分（北京时间）</w:t>
            </w:r>
          </w:p>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递交地点：政采云平台http://www.zcygov.cn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12</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开标</w:t>
            </w:r>
          </w:p>
        </w:tc>
        <w:tc>
          <w:tcPr>
            <w:tcW w:w="8437" w:type="dxa"/>
            <w:shd w:val="clear" w:color="auto" w:fill="auto"/>
            <w:vAlign w:val="center"/>
          </w:tcPr>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时间：2024年</w:t>
            </w:r>
            <w:r>
              <w:rPr>
                <w:rFonts w:hint="eastAsia" w:ascii="Times New Roman" w:hAnsi="Times New Roman" w:eastAsia="方正仿宋_GB2312" w:cs="Times New Roman"/>
                <w:kern w:val="0"/>
                <w:sz w:val="32"/>
                <w:szCs w:val="32"/>
              </w:rPr>
              <w:t>04</w:t>
            </w:r>
            <w:r>
              <w:rPr>
                <w:rFonts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23</w:t>
            </w:r>
            <w:r>
              <w:rPr>
                <w:rFonts w:ascii="Times New Roman" w:hAnsi="Times New Roman" w:eastAsia="方正仿宋_GB2312" w:cs="Times New Roman"/>
                <w:kern w:val="0"/>
                <w:sz w:val="32"/>
                <w:szCs w:val="32"/>
              </w:rPr>
              <w:t>日11时00分（北京时间）</w:t>
            </w:r>
          </w:p>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地点：政采云网上不见面开标系统</w:t>
            </w:r>
          </w:p>
          <w:p>
            <w:pPr>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说明：1、本次采购采用电子交易方式，电子交易平台为“政府采购云平台（www.zcygov.cn）”。投标人参与本项目电子交易活动前，应注册成为政府采购云平台供应商。编制电子投标文件前还需申领CA证书并绑定帐号。投标人应充分考虑完成平台注册、申领CA证书等所需的时间。因未注册入库、未办理CA数字证书等原因造成无法响应或响应失败等后果由投标人自行承担。</w:t>
            </w:r>
          </w:p>
          <w:p>
            <w:pPr>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投标人须在递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pPr>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3、本项目采用远程不见面交易的模式。磋商当日，供应商无需到达开标现场，仅需在任意地点通过政采云平台（https://www.zcygov.cn/）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政采云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p>
          <w:p>
            <w:pPr>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4、各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13</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投标有效期</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自投标截止之日90日历日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color w:val="000000"/>
                <w:kern w:val="0"/>
                <w:sz w:val="32"/>
                <w:szCs w:val="32"/>
              </w:rPr>
              <w:t>14</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color w:val="000000"/>
                <w:kern w:val="0"/>
                <w:sz w:val="32"/>
                <w:szCs w:val="32"/>
              </w:rPr>
              <w:t>招标公告发布媒体</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color w:val="000000"/>
                <w:kern w:val="0"/>
                <w:sz w:val="32"/>
                <w:szCs w:val="32"/>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15</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履约保证金</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color w:val="000000"/>
                <w:kern w:val="0"/>
                <w:sz w:val="32"/>
                <w:szCs w:val="32"/>
              </w:rPr>
            </w:pPr>
            <w:r>
              <w:rPr>
                <w:rFonts w:hint="eastAsia" w:ascii="Times New Roman" w:hAnsi="Times New Roman" w:eastAsia="方正仿宋_GB2312" w:cs="Times New Roman"/>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16</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所属行业</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color w:val="000000"/>
                <w:kern w:val="0"/>
                <w:sz w:val="32"/>
                <w:szCs w:val="32"/>
                <w:shd w:val="clear" w:color="auto" w:fill="FFFFFF"/>
              </w:rPr>
            </w:pPr>
            <w:r>
              <w:rPr>
                <w:rFonts w:ascii="Times New Roman" w:hAnsi="Times New Roman" w:eastAsia="方正仿宋_GB2312" w:cs="Times New Roman"/>
                <w:color w:val="000000"/>
                <w:kern w:val="0"/>
                <w:sz w:val="32"/>
                <w:szCs w:val="32"/>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17</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付款方式</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项目实际金额以中标价格为准，支付方式按合同约定执行。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18</w:t>
            </w:r>
          </w:p>
        </w:tc>
        <w:tc>
          <w:tcPr>
            <w:tcW w:w="1577" w:type="dxa"/>
            <w:shd w:val="clear" w:color="auto" w:fill="auto"/>
            <w:vAlign w:val="center"/>
          </w:tcPr>
          <w:p>
            <w:pPr>
              <w:spacing w:line="560" w:lineRule="exact"/>
              <w:jc w:val="center"/>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rPr>
              <w:t>政府采购</w:t>
            </w:r>
          </w:p>
          <w:p>
            <w:pPr>
              <w:keepNext/>
              <w:widowControl/>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sz w:val="32"/>
                <w:szCs w:val="32"/>
              </w:rPr>
              <w:t>政策支持</w:t>
            </w:r>
          </w:p>
        </w:tc>
        <w:tc>
          <w:tcPr>
            <w:tcW w:w="8437" w:type="dxa"/>
            <w:shd w:val="clear" w:color="auto" w:fill="auto"/>
            <w:vAlign w:val="center"/>
          </w:tcPr>
          <w:p>
            <w:pPr>
              <w:pStyle w:val="213"/>
              <w:rPr>
                <w:rFonts w:ascii="仿宋" w:hAnsi="仿宋" w:eastAsia="仿宋" w:cs="仿宋"/>
                <w:kern w:val="2"/>
                <w:sz w:val="30"/>
                <w:szCs w:val="30"/>
              </w:rPr>
            </w:pPr>
            <w:r>
              <w:rPr>
                <w:rFonts w:hint="eastAsia" w:ascii="仿宋" w:hAnsi="仿宋" w:eastAsia="仿宋" w:cs="仿宋"/>
                <w:kern w:val="2"/>
                <w:sz w:val="30"/>
                <w:szCs w:val="30"/>
              </w:rPr>
              <w:t>1、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pPr>
              <w:pStyle w:val="213"/>
              <w:rPr>
                <w:rFonts w:ascii="仿宋" w:hAnsi="仿宋" w:eastAsia="仿宋" w:cs="仿宋"/>
                <w:kern w:val="2"/>
                <w:sz w:val="30"/>
                <w:szCs w:val="30"/>
              </w:rPr>
            </w:pPr>
            <w:r>
              <w:rPr>
                <w:rFonts w:hint="eastAsia" w:ascii="仿宋" w:hAnsi="仿宋" w:eastAsia="仿宋" w:cs="仿宋"/>
                <w:kern w:val="2"/>
                <w:sz w:val="30"/>
                <w:szCs w:val="30"/>
              </w:rPr>
              <w:t>2、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pPr>
              <w:pStyle w:val="213"/>
              <w:rPr>
                <w:rFonts w:ascii="仿宋" w:hAnsi="仿宋" w:eastAsia="仿宋" w:cs="仿宋"/>
                <w:kern w:val="2"/>
                <w:sz w:val="30"/>
                <w:szCs w:val="30"/>
              </w:rPr>
            </w:pPr>
            <w:r>
              <w:rPr>
                <w:rFonts w:hint="eastAsia" w:ascii="仿宋" w:hAnsi="仿宋" w:eastAsia="仿宋" w:cs="仿宋"/>
                <w:kern w:val="2"/>
                <w:sz w:val="30"/>
                <w:szCs w:val="30"/>
              </w:rPr>
              <w:t>3、在货物采购项目中，供应商提供的货物既有中小企业制造货物，也有大型企业制造货物的，不享受本办法规定的中小企业扶持政策；</w:t>
            </w:r>
          </w:p>
          <w:p>
            <w:pPr>
              <w:pStyle w:val="213"/>
              <w:rPr>
                <w:rFonts w:ascii="仿宋" w:hAnsi="仿宋" w:eastAsia="仿宋" w:cs="仿宋"/>
                <w:kern w:val="2"/>
                <w:sz w:val="30"/>
                <w:szCs w:val="30"/>
              </w:rPr>
            </w:pPr>
            <w:r>
              <w:rPr>
                <w:rFonts w:hint="eastAsia" w:ascii="仿宋" w:hAnsi="仿宋" w:eastAsia="仿宋" w:cs="仿宋"/>
                <w:kern w:val="2"/>
                <w:sz w:val="30"/>
                <w:szCs w:val="30"/>
              </w:rPr>
              <w:t>4、以联合体形式参加政府采购活动，联合体各方均为中小企业的，联合体视同中小企业。其中，联合体各方均为小微企业的，联合体视同小微企业；</w:t>
            </w:r>
          </w:p>
          <w:p>
            <w:pPr>
              <w:pStyle w:val="213"/>
              <w:rPr>
                <w:rFonts w:ascii="仿宋" w:hAnsi="仿宋" w:eastAsia="仿宋" w:cs="仿宋"/>
                <w:kern w:val="2"/>
                <w:sz w:val="30"/>
                <w:szCs w:val="30"/>
              </w:rPr>
            </w:pPr>
            <w:r>
              <w:rPr>
                <w:rFonts w:hint="eastAsia" w:ascii="仿宋" w:hAnsi="仿宋" w:eastAsia="仿宋" w:cs="仿宋"/>
                <w:kern w:val="2"/>
                <w:sz w:val="30"/>
                <w:szCs w:val="30"/>
              </w:rPr>
              <w:t>5、供应商经享受扶持政策获得政府采购合同的，小微企业不得将合同分包给大中型企业，中型企业不得将合同分包给大型企业；</w:t>
            </w:r>
          </w:p>
          <w:p>
            <w:pPr>
              <w:pStyle w:val="213"/>
              <w:rPr>
                <w:rFonts w:ascii="仿宋" w:hAnsi="仿宋" w:eastAsia="仿宋" w:cs="仿宋"/>
                <w:kern w:val="2"/>
                <w:sz w:val="30"/>
                <w:szCs w:val="30"/>
              </w:rPr>
            </w:pPr>
            <w:r>
              <w:rPr>
                <w:rFonts w:hint="eastAsia" w:ascii="仿宋" w:hAnsi="仿宋" w:eastAsia="仿宋" w:cs="仿宋"/>
                <w:kern w:val="2"/>
                <w:sz w:val="30"/>
                <w:szCs w:val="30"/>
              </w:rPr>
              <w:t>6、本项目中小企业扶持政策：</w:t>
            </w:r>
            <w:r>
              <w:rPr>
                <w:rFonts w:eastAsia="方正仿宋_GB2312"/>
                <w:sz w:val="32"/>
                <w:szCs w:val="32"/>
              </w:rPr>
              <w:t>本项目预算金额中预留30%面向中小企业（其中60%面向小微企业）采购项目，该部分预留份额采取分包意向协议形式向中小企业进行分包，且分包意向协议合同金额需达到规定的比例。</w:t>
            </w:r>
          </w:p>
          <w:p>
            <w:pPr>
              <w:pStyle w:val="213"/>
              <w:rPr>
                <w:rFonts w:ascii="仿宋" w:hAnsi="仿宋" w:eastAsia="仿宋" w:cs="仿宋"/>
                <w:kern w:val="2"/>
                <w:sz w:val="30"/>
                <w:szCs w:val="30"/>
              </w:rPr>
            </w:pPr>
            <w:r>
              <w:rPr>
                <w:rFonts w:hint="eastAsia" w:ascii="仿宋" w:hAnsi="仿宋" w:eastAsia="仿宋" w:cs="仿宋"/>
                <w:kern w:val="2"/>
                <w:sz w:val="30"/>
                <w:szCs w:val="30"/>
              </w:rPr>
              <w:t>7、根据“关于印发中小企业划型标准规定的通知（工信部联企业〔2011〕300号）”等有关规定，本项目标的所属行业为</w:t>
            </w:r>
            <w:r>
              <w:rPr>
                <w:rFonts w:eastAsia="方正仿宋_GB2312"/>
                <w:b/>
                <w:bCs/>
                <w:color w:val="000000"/>
                <w:sz w:val="32"/>
                <w:szCs w:val="32"/>
              </w:rPr>
              <w:t>软件和信息技术服务业</w:t>
            </w:r>
            <w:r>
              <w:rPr>
                <w:rFonts w:hint="eastAsia" w:ascii="仿宋" w:hAnsi="仿宋" w:eastAsia="仿宋" w:cs="仿宋"/>
                <w:kern w:val="2"/>
                <w:sz w:val="30"/>
                <w:szCs w:val="30"/>
              </w:rPr>
              <w:t>。</w:t>
            </w:r>
          </w:p>
          <w:p>
            <w:pPr>
              <w:pStyle w:val="213"/>
              <w:rPr>
                <w:rFonts w:ascii="仿宋" w:hAnsi="仿宋" w:eastAsia="仿宋" w:cs="仿宋"/>
                <w:kern w:val="2"/>
                <w:sz w:val="30"/>
                <w:szCs w:val="30"/>
              </w:rPr>
            </w:pPr>
            <w:r>
              <w:rPr>
                <w:rFonts w:hint="eastAsia" w:ascii="仿宋" w:hAnsi="仿宋" w:eastAsia="仿宋" w:cs="仿宋"/>
                <w:kern w:val="2"/>
                <w:sz w:val="30"/>
                <w:szCs w:val="30"/>
              </w:rPr>
              <w:t>8、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p>
            <w:pPr>
              <w:pStyle w:val="213"/>
              <w:rPr>
                <w:rFonts w:ascii="仿宋" w:hAnsi="仿宋" w:eastAsia="仿宋" w:cs="仿宋"/>
                <w:kern w:val="2"/>
                <w:sz w:val="30"/>
                <w:szCs w:val="30"/>
              </w:rPr>
            </w:pPr>
            <w:r>
              <w:rPr>
                <w:rFonts w:hint="eastAsia" w:ascii="仿宋" w:hAnsi="仿宋" w:eastAsia="仿宋" w:cs="仿宋"/>
                <w:kern w:val="2"/>
                <w:sz w:val="30"/>
                <w:szCs w:val="30"/>
              </w:rPr>
              <w:t>9、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widowControl/>
              <w:spacing w:line="560" w:lineRule="exact"/>
              <w:jc w:val="left"/>
              <w:rPr>
                <w:rFonts w:ascii="Times New Roman" w:hAnsi="Times New Roman" w:eastAsia="方正仿宋_GB2312" w:cs="Times New Roman"/>
                <w:color w:val="000000"/>
                <w:kern w:val="0"/>
                <w:sz w:val="32"/>
                <w:szCs w:val="32"/>
              </w:rPr>
            </w:pPr>
            <w:r>
              <w:rPr>
                <w:rFonts w:hint="eastAsia" w:ascii="仿宋" w:hAnsi="仿宋" w:eastAsia="仿宋" w:cs="仿宋"/>
                <w:sz w:val="30"/>
                <w:szCs w:val="30"/>
              </w:rPr>
              <w:t>10、根据财政部、民政部、中国残疾人联合会《关于促进残疾人就业政府采购政策的通知》（财库[2017]141号），在政府采购活动中，残疾人福利性单位视同小型、微型企业。投标人属于残疾人福利性单位的，按照文件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19</w:t>
            </w:r>
          </w:p>
        </w:tc>
        <w:tc>
          <w:tcPr>
            <w:tcW w:w="1577" w:type="dxa"/>
            <w:shd w:val="clear" w:color="auto" w:fill="auto"/>
            <w:vAlign w:val="center"/>
          </w:tcPr>
          <w:p>
            <w:pPr>
              <w:keepNext/>
              <w:widowControl/>
              <w:spacing w:line="560" w:lineRule="exact"/>
              <w:jc w:val="center"/>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rPr>
              <w:t>注意事项</w:t>
            </w:r>
          </w:p>
        </w:tc>
        <w:tc>
          <w:tcPr>
            <w:tcW w:w="8437" w:type="dxa"/>
            <w:shd w:val="clear" w:color="auto" w:fill="auto"/>
            <w:vAlign w:val="center"/>
          </w:tcPr>
          <w:p>
            <w:pPr>
              <w:keepNext/>
              <w:widowControl/>
              <w:spacing w:line="560" w:lineRule="exact"/>
              <w:jc w:val="left"/>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rPr>
              <w:t>注：第六部分投标文件格式文件要求盖单位章和（或）签字的地方，供应商均应使用CA数字证书加盖供应商的单位电子印章和（或）法定代表人的个人电子印章或电子签名章。</w:t>
            </w:r>
          </w:p>
          <w:p>
            <w:pPr>
              <w:keepNext/>
              <w:widowControl/>
              <w:spacing w:line="560" w:lineRule="exact"/>
              <w:jc w:val="left"/>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lang w:eastAsia="zh-CN"/>
              </w:rPr>
              <w:t>如为分公司投标，则法定代表人即为分公司负责人。</w:t>
            </w:r>
          </w:p>
          <w:p>
            <w:pPr>
              <w:keepNext/>
              <w:widowControl/>
              <w:spacing w:line="560" w:lineRule="exact"/>
              <w:jc w:val="left"/>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rPr>
              <w:t>本项目预算金额中预留30%面向中小企业（其中60%面向小微企业）采购项目，该部分预留份额采取分包意向协议形式向中小企业进行分包，且分包意向协议合同金额需达到规定的比例，</w:t>
            </w:r>
            <w:r>
              <w:rPr>
                <w:rFonts w:hint="eastAsia" w:ascii="Times New Roman" w:hAnsi="Times New Roman" w:eastAsia="方正仿宋_GB2312" w:cs="Times New Roman"/>
                <w:color w:val="000000"/>
                <w:sz w:val="32"/>
                <w:szCs w:val="32"/>
                <w:lang w:val="en-US" w:eastAsia="zh-CN"/>
              </w:rPr>
              <w:t>如未达到视为不符合资格审查要求，</w:t>
            </w:r>
            <w:r>
              <w:rPr>
                <w:rFonts w:ascii="Times New Roman" w:hAnsi="Times New Roman" w:eastAsia="方正仿宋_GB2312" w:cs="Times New Roman"/>
                <w:color w:val="000000"/>
                <w:sz w:val="32"/>
                <w:szCs w:val="32"/>
              </w:rPr>
              <w:t>具体合同分包相关规则如下：</w:t>
            </w:r>
          </w:p>
          <w:p>
            <w:pPr>
              <w:keepNext/>
              <w:widowControl/>
              <w:spacing w:line="560" w:lineRule="exact"/>
              <w:jc w:val="left"/>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rPr>
              <w:t>（1）供应商不属于中小微企业的，必须将本项目适宜分包内容（分包部分不低于合同金额的30%）分包给一家或者多家具备实施能力的中小企业（其中，分包给小微企业的部分不低于合同金额的60%），须按招标文件要求提供《分包意向协议》以及《中小企业声明函》。</w:t>
            </w:r>
          </w:p>
          <w:p>
            <w:pPr>
              <w:keepNext/>
              <w:widowControl/>
              <w:spacing w:line="560" w:lineRule="exact"/>
              <w:jc w:val="left"/>
              <w:rPr>
                <w:rFonts w:ascii="Times New Roman" w:hAnsi="Times New Roman" w:eastAsia="方正仿宋_GB2312" w:cs="Times New Roman"/>
                <w:color w:val="000000"/>
                <w:sz w:val="32"/>
                <w:szCs w:val="32"/>
              </w:rPr>
            </w:pPr>
            <w:r>
              <w:rPr>
                <w:rFonts w:ascii="Times New Roman" w:hAnsi="Times New Roman" w:eastAsia="方正仿宋_GB2312" w:cs="Times New Roman"/>
                <w:color w:val="000000"/>
                <w:sz w:val="32"/>
                <w:szCs w:val="32"/>
              </w:rPr>
              <w:t>（2）供应商属于中型企业的，必须将本项目适宜分包的内容分包给小微企业</w:t>
            </w:r>
            <w:bookmarkStart w:id="323" w:name="_GoBack"/>
            <w:bookmarkEnd w:id="323"/>
            <w:r>
              <w:rPr>
                <w:rFonts w:ascii="Times New Roman" w:hAnsi="Times New Roman" w:eastAsia="方正仿宋_GB2312" w:cs="Times New Roman"/>
                <w:color w:val="000000"/>
                <w:sz w:val="32"/>
                <w:szCs w:val="32"/>
              </w:rPr>
              <w:t>，分包给小微企业的部分不低于合同金额的60%</w:t>
            </w:r>
            <w:r>
              <w:rPr>
                <w:rFonts w:hint="eastAsia" w:ascii="Times New Roman" w:hAnsi="Times New Roman" w:eastAsia="方正仿宋_GB2312" w:cs="Times New Roman"/>
                <w:color w:val="000000"/>
                <w:sz w:val="32"/>
                <w:szCs w:val="32"/>
                <w:lang w:eastAsia="zh-CN"/>
              </w:rPr>
              <w:t>（</w:t>
            </w:r>
            <w:r>
              <w:rPr>
                <w:rFonts w:ascii="Times New Roman" w:hAnsi="Times New Roman" w:eastAsia="方正仿宋_GB2312" w:cs="Times New Roman"/>
                <w:color w:val="000000"/>
                <w:sz w:val="32"/>
                <w:szCs w:val="32"/>
              </w:rPr>
              <w:t>预算金额中预留30%面向中小企业（其中60%面向小微企业）</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既本合同金额为总合同金额的18%</w:t>
            </w:r>
            <w:r>
              <w:rPr>
                <w:rFonts w:hint="eastAsia" w:ascii="Times New Roman" w:hAnsi="Times New Roman" w:eastAsia="方正仿宋_GB2312" w:cs="Times New Roman"/>
                <w:color w:val="000000"/>
                <w:sz w:val="32"/>
                <w:szCs w:val="32"/>
                <w:lang w:eastAsia="zh-CN"/>
              </w:rPr>
              <w:t>）</w:t>
            </w:r>
            <w:r>
              <w:rPr>
                <w:rFonts w:ascii="Times New Roman" w:hAnsi="Times New Roman" w:eastAsia="方正仿宋_GB2312" w:cs="Times New Roman"/>
                <w:color w:val="000000"/>
                <w:sz w:val="32"/>
                <w:szCs w:val="32"/>
              </w:rPr>
              <w:t>。须按招标文件要求提供《分包意向协议》以及《中小企业声明函》。</w:t>
            </w:r>
          </w:p>
          <w:p>
            <w:pPr>
              <w:keepNext/>
              <w:widowControl/>
              <w:spacing w:line="560" w:lineRule="exact"/>
              <w:jc w:val="left"/>
              <w:rPr>
                <w:rFonts w:hint="eastAsia" w:ascii="Times New Roman" w:hAnsi="Times New Roman" w:eastAsia="方正仿宋_GB2312" w:cs="Times New Roman"/>
                <w:color w:val="000000"/>
                <w:sz w:val="32"/>
                <w:szCs w:val="32"/>
                <w:lang w:eastAsia="zh-CN"/>
              </w:rPr>
            </w:pPr>
            <w:r>
              <w:rPr>
                <w:rFonts w:ascii="Times New Roman" w:hAnsi="Times New Roman" w:eastAsia="方正仿宋_GB2312" w:cs="Times New Roman"/>
                <w:color w:val="000000"/>
                <w:sz w:val="32"/>
                <w:szCs w:val="32"/>
              </w:rPr>
              <w:t xml:space="preserve">（3）供应商属于小微企业的，是否采取分包不作强制要求。须按招标文件要求提供《中小企业声明函》。如采取合同分包，则只能分包给小微企业，须按招标文件要求提供《分包意向协议》以及《中小企业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65" w:type="dxa"/>
            <w:shd w:val="clear" w:color="auto" w:fill="auto"/>
            <w:vAlign w:val="center"/>
          </w:tcPr>
          <w:p>
            <w:pPr>
              <w:spacing w:line="560" w:lineRule="exact"/>
              <w:jc w:val="center"/>
              <w:rPr>
                <w:rFonts w:ascii="Times New Roman" w:hAnsi="Times New Roman" w:eastAsia="方正仿宋_GB2312" w:cs="Times New Roman"/>
                <w:color w:val="000000"/>
                <w:kern w:val="0"/>
                <w:sz w:val="32"/>
                <w:szCs w:val="32"/>
              </w:rPr>
            </w:pPr>
            <w:r>
              <w:rPr>
                <w:rFonts w:hint="eastAsia" w:ascii="Times New Roman" w:hAnsi="Times New Roman" w:eastAsia="方正仿宋_GB2312" w:cs="Times New Roman"/>
                <w:color w:val="000000"/>
                <w:kern w:val="0"/>
                <w:sz w:val="32"/>
                <w:szCs w:val="32"/>
              </w:rPr>
              <w:t>20</w:t>
            </w:r>
          </w:p>
        </w:tc>
        <w:tc>
          <w:tcPr>
            <w:tcW w:w="1577" w:type="dxa"/>
            <w:shd w:val="clear" w:color="auto" w:fill="auto"/>
            <w:vAlign w:val="center"/>
          </w:tcPr>
          <w:p>
            <w:pPr>
              <w:pStyle w:val="219"/>
              <w:spacing w:line="276" w:lineRule="auto"/>
              <w:jc w:val="center"/>
              <w:rPr>
                <w:rFonts w:ascii="Times New Roman" w:hAnsi="Times New Roman" w:eastAsia="方正仿宋_GB2312" w:cs="Times New Roman"/>
                <w:color w:val="000000"/>
                <w:kern w:val="2"/>
                <w:sz w:val="32"/>
                <w:szCs w:val="32"/>
              </w:rPr>
            </w:pPr>
            <w:r>
              <w:rPr>
                <w:rFonts w:hint="eastAsia" w:ascii="Times New Roman" w:hAnsi="Times New Roman" w:eastAsia="方正仿宋_GB2312" w:cs="Times New Roman"/>
                <w:color w:val="000000"/>
                <w:kern w:val="2"/>
                <w:sz w:val="32"/>
                <w:szCs w:val="32"/>
              </w:rPr>
              <w:t>质疑须知</w:t>
            </w:r>
          </w:p>
        </w:tc>
        <w:tc>
          <w:tcPr>
            <w:tcW w:w="8437" w:type="dxa"/>
            <w:shd w:val="clear" w:color="auto" w:fill="auto"/>
            <w:vAlign w:val="center"/>
          </w:tcPr>
          <w:p>
            <w:pPr>
              <w:rPr>
                <w:rFonts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接收质疑函的方式：现场递交纸质版及Word格式电子版质疑文件至接受单位</w:t>
            </w:r>
          </w:p>
          <w:p>
            <w:pPr>
              <w:pStyle w:val="219"/>
              <w:spacing w:line="276" w:lineRule="auto"/>
              <w:jc w:val="both"/>
              <w:rPr>
                <w:rFonts w:ascii="Times New Roman" w:hAnsi="Times New Roman" w:eastAsia="方正仿宋_GB2312" w:cs="Times New Roman"/>
                <w:color w:val="000000"/>
                <w:kern w:val="2"/>
                <w:sz w:val="32"/>
                <w:szCs w:val="32"/>
              </w:rPr>
            </w:pPr>
            <w:r>
              <w:rPr>
                <w:rFonts w:hint="eastAsia" w:ascii="Times New Roman" w:hAnsi="Times New Roman" w:eastAsia="方正仿宋_GB2312" w:cs="Times New Roman"/>
                <w:color w:val="000000"/>
                <w:kern w:val="2"/>
                <w:sz w:val="32"/>
                <w:szCs w:val="32"/>
              </w:rPr>
              <w:t>接受质疑的单位：新疆守正项目管理咨询有限公司</w:t>
            </w:r>
          </w:p>
          <w:p>
            <w:pPr>
              <w:pStyle w:val="219"/>
              <w:spacing w:line="276" w:lineRule="auto"/>
              <w:jc w:val="both"/>
              <w:rPr>
                <w:rFonts w:ascii="Times New Roman" w:hAnsi="Times New Roman" w:eastAsia="方正仿宋_GB2312" w:cs="Times New Roman"/>
                <w:color w:val="000000"/>
                <w:kern w:val="2"/>
                <w:sz w:val="32"/>
                <w:szCs w:val="32"/>
              </w:rPr>
            </w:pPr>
            <w:r>
              <w:rPr>
                <w:rFonts w:hint="eastAsia" w:ascii="Times New Roman" w:hAnsi="Times New Roman" w:eastAsia="方正仿宋_GB2312" w:cs="Times New Roman"/>
                <w:color w:val="000000"/>
                <w:kern w:val="2"/>
                <w:sz w:val="32"/>
                <w:szCs w:val="32"/>
              </w:rPr>
              <w:t>联系电话：18599104040</w:t>
            </w:r>
          </w:p>
          <w:p>
            <w:pPr>
              <w:pStyle w:val="219"/>
              <w:spacing w:line="276" w:lineRule="auto"/>
              <w:jc w:val="both"/>
              <w:rPr>
                <w:rFonts w:ascii="Times New Roman" w:hAnsi="Times New Roman" w:eastAsia="方正仿宋_GB2312" w:cs="Times New Roman"/>
                <w:color w:val="000000"/>
                <w:kern w:val="2"/>
                <w:sz w:val="32"/>
                <w:szCs w:val="32"/>
              </w:rPr>
            </w:pPr>
            <w:r>
              <w:rPr>
                <w:rFonts w:hint="eastAsia" w:ascii="Times New Roman" w:hAnsi="Times New Roman" w:eastAsia="方正仿宋_GB2312" w:cs="Times New Roman"/>
                <w:color w:val="000000"/>
                <w:kern w:val="2"/>
                <w:sz w:val="32"/>
                <w:szCs w:val="32"/>
              </w:rPr>
              <w:t>地址：新疆乌鲁木齐经济技术开发区新疆旅游大厦11楼1107室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0679" w:type="dxa"/>
            <w:gridSpan w:val="3"/>
            <w:shd w:val="clear" w:color="auto" w:fill="auto"/>
            <w:vAlign w:val="center"/>
          </w:tcPr>
          <w:p>
            <w:pPr>
              <w:keepNext/>
              <w:widowControl/>
              <w:spacing w:line="560" w:lineRule="exact"/>
              <w:jc w:val="left"/>
              <w:rPr>
                <w:rFonts w:ascii="Times New Roman" w:hAnsi="Times New Roman" w:eastAsia="方正仿宋_GB2312" w:cs="Times New Roman"/>
                <w:color w:val="000000"/>
                <w:kern w:val="0"/>
                <w:sz w:val="32"/>
                <w:szCs w:val="32"/>
              </w:rPr>
            </w:pPr>
            <w:r>
              <w:rPr>
                <w:rFonts w:ascii="Times New Roman" w:hAnsi="Times New Roman" w:eastAsia="方正仿宋_GB2312" w:cs="Times New Roman"/>
                <w:color w:val="000000"/>
                <w:kern w:val="0"/>
                <w:sz w:val="32"/>
                <w:szCs w:val="32"/>
              </w:rPr>
              <w:t>备注：招标代理服务费的计算参照“《国家发展改革委关于进一步放开建设项目专业服务价格的通知》</w:t>
            </w:r>
            <w:r>
              <w:rPr>
                <w:rFonts w:ascii="Times New Roman" w:hAnsi="Times New Roman" w:eastAsia="方正仿宋_GB2312" w:cs="Times New Roman"/>
                <w:color w:val="000000"/>
                <w:kern w:val="0"/>
                <w:sz w:val="32"/>
                <w:szCs w:val="32"/>
                <w:shd w:val="clear" w:color="auto" w:fill="FFFFFF"/>
              </w:rPr>
              <w:t>〔201</w:t>
            </w:r>
            <w:r>
              <w:rPr>
                <w:rFonts w:hint="eastAsia" w:ascii="Times New Roman" w:hAnsi="Times New Roman" w:eastAsia="方正仿宋_GB2312" w:cs="Times New Roman"/>
                <w:color w:val="000000"/>
                <w:kern w:val="0"/>
                <w:sz w:val="32"/>
                <w:szCs w:val="32"/>
                <w:shd w:val="clear" w:color="auto" w:fill="FFFFFF"/>
              </w:rPr>
              <w:t>5</w:t>
            </w:r>
            <w:r>
              <w:rPr>
                <w:rFonts w:ascii="Times New Roman" w:hAnsi="Times New Roman" w:eastAsia="方正仿宋_GB2312" w:cs="Times New Roman"/>
                <w:color w:val="000000"/>
                <w:kern w:val="0"/>
                <w:sz w:val="32"/>
                <w:szCs w:val="32"/>
                <w:shd w:val="clear" w:color="auto" w:fill="FFFFFF"/>
              </w:rPr>
              <w:t>〕</w:t>
            </w:r>
            <w:r>
              <w:rPr>
                <w:rFonts w:ascii="Times New Roman" w:hAnsi="Times New Roman" w:eastAsia="方正仿宋_GB2312" w:cs="Times New Roman"/>
                <w:color w:val="000000"/>
                <w:kern w:val="0"/>
                <w:sz w:val="32"/>
                <w:szCs w:val="32"/>
              </w:rPr>
              <w:t>299号文件”、“国家发展改革委办公厅关于招标代理服务收费有关问题的通知（发改价格</w:t>
            </w:r>
            <w:r>
              <w:rPr>
                <w:rFonts w:ascii="Times New Roman" w:hAnsi="Times New Roman" w:eastAsia="方正仿宋_GB2312" w:cs="Times New Roman"/>
                <w:color w:val="000000"/>
                <w:kern w:val="0"/>
                <w:sz w:val="32"/>
                <w:szCs w:val="32"/>
                <w:shd w:val="clear" w:color="auto" w:fill="FFFFFF"/>
              </w:rPr>
              <w:t>〔2011〕</w:t>
            </w:r>
            <w:r>
              <w:rPr>
                <w:rFonts w:ascii="Times New Roman" w:hAnsi="Times New Roman" w:eastAsia="方正仿宋_GB2312" w:cs="Times New Roman"/>
                <w:color w:val="000000"/>
                <w:kern w:val="0"/>
                <w:sz w:val="32"/>
                <w:szCs w:val="32"/>
              </w:rPr>
              <w:t>534号）文件”及计价</w:t>
            </w:r>
            <w:r>
              <w:rPr>
                <w:rFonts w:ascii="Times New Roman" w:hAnsi="Times New Roman" w:eastAsia="方正仿宋_GB2312" w:cs="Times New Roman"/>
                <w:color w:val="000000"/>
                <w:sz w:val="32"/>
                <w:szCs w:val="32"/>
              </w:rPr>
              <w:t>格</w:t>
            </w:r>
            <w:r>
              <w:rPr>
                <w:rFonts w:ascii="Times New Roman" w:hAnsi="Times New Roman" w:eastAsia="方正仿宋_GB2312" w:cs="Times New Roman"/>
                <w:color w:val="000000"/>
                <w:kern w:val="0"/>
                <w:sz w:val="32"/>
                <w:szCs w:val="32"/>
                <w:shd w:val="clear" w:color="auto" w:fill="FFFFFF"/>
              </w:rPr>
              <w:t>〔20</w:t>
            </w:r>
            <w:r>
              <w:rPr>
                <w:rFonts w:hint="eastAsia" w:ascii="Times New Roman" w:hAnsi="Times New Roman" w:eastAsia="方正仿宋_GB2312" w:cs="Times New Roman"/>
                <w:color w:val="000000"/>
                <w:kern w:val="0"/>
                <w:sz w:val="32"/>
                <w:szCs w:val="32"/>
                <w:shd w:val="clear" w:color="auto" w:fill="FFFFFF"/>
              </w:rPr>
              <w:t>02</w:t>
            </w:r>
            <w:r>
              <w:rPr>
                <w:rFonts w:ascii="Times New Roman" w:hAnsi="Times New Roman" w:eastAsia="方正仿宋_GB2312" w:cs="Times New Roman"/>
                <w:color w:val="000000"/>
                <w:kern w:val="0"/>
                <w:sz w:val="32"/>
                <w:szCs w:val="32"/>
                <w:shd w:val="clear" w:color="auto" w:fill="FFFFFF"/>
              </w:rPr>
              <w:t>〕</w:t>
            </w:r>
            <w:r>
              <w:rPr>
                <w:rFonts w:ascii="Times New Roman" w:hAnsi="Times New Roman" w:eastAsia="方正仿宋_GB2312" w:cs="Times New Roman"/>
                <w:color w:val="000000"/>
                <w:sz w:val="32"/>
                <w:szCs w:val="32"/>
              </w:rPr>
              <w:t>1980号的规定：根据上述文件的规定，本次招标代理服务费由中标单位支付。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0679" w:type="dxa"/>
            <w:gridSpan w:val="3"/>
            <w:shd w:val="clear" w:color="auto" w:fill="auto"/>
            <w:vAlign w:val="center"/>
          </w:tcPr>
          <w:p>
            <w:pPr>
              <w:keepNext/>
              <w:widowControl/>
              <w:spacing w:line="560" w:lineRule="exact"/>
              <w:jc w:val="left"/>
              <w:rPr>
                <w:rFonts w:ascii="Times New Roman" w:hAnsi="Times New Roman" w:eastAsia="方正仿宋_GB2312" w:cs="Times New Roman"/>
                <w:sz w:val="32"/>
                <w:szCs w:val="32"/>
                <w:lang w:bidi="ar"/>
              </w:rPr>
            </w:pPr>
            <w:bookmarkStart w:id="41" w:name="_Toc8886"/>
            <w:bookmarkStart w:id="42" w:name="_Toc3247"/>
            <w:r>
              <w:rPr>
                <w:rFonts w:hint="eastAsia" w:ascii="Times New Roman" w:hAnsi="Times New Roman" w:eastAsia="方正仿宋_GB2312" w:cs="Times New Roman"/>
                <w:b/>
                <w:bCs/>
                <w:color w:val="000000"/>
                <w:kern w:val="0"/>
                <w:sz w:val="32"/>
                <w:szCs w:val="32"/>
              </w:rPr>
              <w:t>注：</w:t>
            </w:r>
            <w:r>
              <w:rPr>
                <w:rFonts w:hint="eastAsia" w:ascii="Times New Roman" w:hAnsi="Times New Roman" w:eastAsia="方正仿宋_GB2312" w:cs="Times New Roman"/>
                <w:b/>
                <w:bCs/>
                <w:sz w:val="32"/>
                <w:szCs w:val="32"/>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pPr>
        <w:pStyle w:val="3"/>
      </w:pPr>
      <w:bookmarkStart w:id="43" w:name="_BookMark_3"/>
      <w:bookmarkEnd w:id="43"/>
      <w:r>
        <w:t>1</w:t>
      </w:r>
      <w:r>
        <w:rPr>
          <w:rFonts w:hint="eastAsia"/>
        </w:rPr>
        <w:t>、</w:t>
      </w:r>
      <w:r>
        <w:t>总则</w:t>
      </w:r>
      <w:bookmarkEnd w:id="41"/>
      <w:bookmarkEnd w:id="42"/>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1.1招标项目概况</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1.1.1项目名称：见投标人须知前附表。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1.1.2项目编号：见投标人须知前附表。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1.1.3采购人：见投标人须知前附表。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1.1.4采购代理机构：见投标人须知前附表。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1.1.5项目地点：见投标人须知前附表。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1.1.6资金来源：见投标人须知前附表。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1.1.7预算金额：见投标人须知前附表。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1.1.8服务周期：见投标人须知前附表。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1.2招标范围：见投标人须知前附表。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1.3招标方式和资格审查方式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1.3.1招标方式：见投标人须知前附表。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1.3.2资格审查方式：见投标人须知前附表。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1.4评标办法及定标方法</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1.4.1评标办法：见投标人须知前附表。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1.4.2定标方法：见投标人须知前附表。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1.5投标人资格条件和能力要求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1.5.1投标人应具备承担本招标项目的资格条件和能力，具体要求见投标人须知前附表。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1.5.2投标人不得存在下列情形之一，否则相关投标均应被否决：</w:t>
      </w:r>
    </w:p>
    <w:p>
      <w:pPr>
        <w:autoSpaceDE w:val="0"/>
        <w:autoSpaceDN w:val="0"/>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仿宋_GB2312" w:cs="Times New Roman"/>
          <w:kern w:val="0"/>
          <w:sz w:val="32"/>
          <w:szCs w:val="32"/>
        </w:rPr>
        <w:t>（1）</w:t>
      </w:r>
      <w:r>
        <w:rPr>
          <w:rFonts w:ascii="Times New Roman" w:hAnsi="Times New Roman" w:eastAsia="方正仿宋_GB2312" w:cs="Times New Roman"/>
          <w:sz w:val="32"/>
          <w:szCs w:val="32"/>
        </w:rPr>
        <w:t>与采购人存在利害关系可能影响招标公正性的法人、其他组织或者个人，不得参加投标。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（2）单位负责人为同一人或者存在控股、管理关系的不同投标人，不得参加同一合同项下的政府采购活动。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1.6费用承担</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1.6.1招标文件费：见投标人须知前附表。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1.6.2投标人应承担其编制投标文件与递交投标文件所涉及的一切费用，无论投标结果如何，采购人及采购代理机构对上述费用不作任何补偿。</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1.7投标保证金：见投标人须知前附表。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1.8踏勘现场</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1.8.1投标人须知前附表规定组织踏勘现场的，采购人或采购代理机构按投标人须知前附表规定的时间、地点组织投标人踏勘项目现场。</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1.8.2投标人踏勘现场发生的费用自理。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1.8.3除采购人或采购代理机构的原因外，投标人自行负责在踏勘现场中所发生的人员伤亡和财产损失。</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1.8.4采购人或采购代理机构在踏勘现场中介绍的项目有关情况，供投标人在编制投标文件时参考，采购人或采购代理机构不对投标人据此作出的判断和决策负责。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1.9招标答疑会和招标澄清答疑要求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1.9.1投标人须知前附表规定召开招标答疑会的，采购人或采购代理机构按照投标人须知前附表规定的时间和地点召开招标答疑会，澄清投标人提出的问题。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1.9.2投标人若有疑问，应按投标人须知前附表规定的时间、方式向采购人或采购代理机构提出，要求采购人对招标文件予以澄清。</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1.9.3采购人或采购代理机构将按照投标人须知前附表规定的时间方式对投标人的疑问作出统一的解答。</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1.10投标文件份数：见投标人须知前附表。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1.11投标文件递交：见投标人须知前附表。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1.12开标：见投标人须知前附表。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1.13投标有效期：见投标人须知前附表。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1.14招标公告发布媒体：见投标人须知前附表。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1.15履约保证金：见投标人须知前附表。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1.16保密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参与招标投标活动的各方应当对招标文件和投标文件中的商业和技术等秘密保密，否则应当承担相应的法律责任。</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1.17语言文字</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除专用术语外，与招标投标有关的语言均应当使用中文。必要时专用术语应附有中文注释。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1.18计量单位</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所有计量均采用中华人民共和国法定计量单位。</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1.19偏离</w:t>
      </w:r>
    </w:p>
    <w:p>
      <w:pPr>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1.19.1本条所称偏离为投标文件对招标文件的偏离，即不满足、或不响应招标文件的要求。偏离分为对招标文件的实质性要求条款偏离和对招标文件的一般商务和技术条款偏离。</w:t>
      </w:r>
    </w:p>
    <w:p>
      <w:pPr>
        <w:widowControl/>
        <w:shd w:val="clear" w:color="auto" w:fill="FFFFFF"/>
        <w:snapToGrid w:val="0"/>
        <w:spacing w:line="560" w:lineRule="exact"/>
        <w:ind w:firstLine="640" w:firstLineChars="200"/>
        <w:rPr>
          <w:rFonts w:ascii="Times New Roman" w:hAnsi="Times New Roman" w:eastAsia="方正仿宋_GB2312" w:cs="Times New Roman"/>
          <w:bCs/>
          <w:kern w:val="0"/>
          <w:sz w:val="32"/>
          <w:szCs w:val="32"/>
        </w:rPr>
      </w:pPr>
      <w:r>
        <w:rPr>
          <w:rFonts w:ascii="Times New Roman" w:hAnsi="Times New Roman" w:eastAsia="方正仿宋_GB2312" w:cs="Times New Roman"/>
          <w:bCs/>
          <w:kern w:val="0"/>
          <w:sz w:val="32"/>
          <w:szCs w:val="32"/>
        </w:rPr>
        <w:t>1.19.2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pPr>
        <w:pStyle w:val="3"/>
      </w:pPr>
      <w:bookmarkStart w:id="44" w:name="_Toc2533"/>
      <w:bookmarkStart w:id="45" w:name="_Toc9071"/>
      <w:r>
        <w:t>2</w:t>
      </w:r>
      <w:r>
        <w:rPr>
          <w:rFonts w:hint="eastAsia"/>
        </w:rPr>
        <w:t>、</w:t>
      </w:r>
      <w:r>
        <w:t>招标文件</w:t>
      </w:r>
      <w:bookmarkEnd w:id="44"/>
      <w:bookmarkEnd w:id="45"/>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2.1招标文件的组成</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（1）招标公告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（2）投标人须知；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（3）评标办法；</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（4）合同条款及格式；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（5）采购需求；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（6）投标文件格式；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根据本章第2.4款和第2.5款对招标文件所作的澄清、修改，构成招标文件的组成部分。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2.2招标文件的获取</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凡有意参加并符合投标人须知前附表“投标人资格条件和能力”的投标人，均可登陆政采云https://www.zcygov.cn/平台后进入“项目采购“应用，在获取文件菜单中选择项目，申请获取招标文件。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2.3招标文件的澄清</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2.3.1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2.3.2招标文件的澄清将按照投标人须知前附表规定的时间、方式发布，但不指明澄清问题的来源。</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2.4招标文件的修改</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2.4.1招标文件的修改将按照投标人须知前附表规定的时间、方式发布，但不指明澄清问题的来源。</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2.4.2在投标人须知前附表规定的截止时间前，无论出于何种原因，采购代理机构和采购人可主动地或在解答潜在投标人提出的澄清问题时对招标文件进行修改。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2.4.3招标文件的修改部分是招标文件的组成部分对投标人具有约束力。</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2.4.4为使投标人准备投标时有充分时间对招标文件的修改部分进行研究，采购人可适当推迟投标截止期。</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2.4.5当采购人发放的招标文件及招标文件的答疑文件、修改文件、补充文件前后不一致，发生矛盾情况时，以最后发出的为准。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2.4.6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单位将必须接受由采购人依据合同有关条款而做出的书面澄清。</w:t>
      </w:r>
    </w:p>
    <w:p>
      <w:pPr>
        <w:pStyle w:val="3"/>
      </w:pPr>
      <w:bookmarkStart w:id="46" w:name="_BookMark_6"/>
      <w:bookmarkEnd w:id="46"/>
      <w:bookmarkStart w:id="47" w:name="_Toc12376"/>
      <w:bookmarkStart w:id="48" w:name="_Toc19181"/>
      <w:r>
        <w:t>3</w:t>
      </w:r>
      <w:r>
        <w:rPr>
          <w:rFonts w:hint="eastAsia"/>
        </w:rPr>
        <w:t>、</w:t>
      </w:r>
      <w:r>
        <w:t>投标文件</w:t>
      </w:r>
      <w:bookmarkEnd w:id="47"/>
      <w:bookmarkEnd w:id="48"/>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3.1投标文件的组成</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3.1.1投标文件应包括下列内容：</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w:t>
      </w:r>
      <w:r>
        <w:rPr>
          <w:rFonts w:ascii="Times New Roman" w:hAnsi="Times New Roman" w:eastAsia="方正仿宋_GB2312" w:cs="Times New Roman"/>
          <w:bCs/>
          <w:sz w:val="32"/>
          <w:szCs w:val="32"/>
        </w:rPr>
        <w:t>投标函</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（2）</w:t>
      </w:r>
      <w:r>
        <w:rPr>
          <w:rFonts w:ascii="Times New Roman" w:hAnsi="Times New Roman" w:eastAsia="方正仿宋_GB2312" w:cs="Times New Roman"/>
          <w:bCs/>
          <w:sz w:val="32"/>
          <w:szCs w:val="32"/>
        </w:rPr>
        <w:t>法定代表人身份证明书</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（3）</w:t>
      </w:r>
      <w:r>
        <w:rPr>
          <w:rFonts w:ascii="Times New Roman" w:hAnsi="Times New Roman" w:eastAsia="方正仿宋_GB2312" w:cs="Times New Roman"/>
          <w:bCs/>
          <w:sz w:val="32"/>
          <w:szCs w:val="32"/>
        </w:rPr>
        <w:t>授权委托书</w:t>
      </w:r>
    </w:p>
    <w:p>
      <w:pPr>
        <w:spacing w:line="560" w:lineRule="exact"/>
        <w:ind w:firstLine="960" w:firstLineChars="300"/>
        <w:rPr>
          <w:rFonts w:ascii="Times New Roman" w:hAnsi="Times New Roman" w:eastAsia="方正仿宋_GB2312" w:cs="Times New Roman"/>
          <w:sz w:val="32"/>
          <w:szCs w:val="32"/>
        </w:rPr>
      </w:pPr>
      <w:r>
        <w:rPr>
          <w:rFonts w:hint="eastAsia" w:ascii="Times New Roman" w:hAnsi="Times New Roman" w:eastAsia="方正仿宋_GB2312" w:cs="Times New Roman"/>
          <w:bCs/>
          <w:sz w:val="32"/>
          <w:szCs w:val="32"/>
        </w:rPr>
        <w:t>（4）</w:t>
      </w:r>
      <w:r>
        <w:rPr>
          <w:rFonts w:ascii="Times New Roman" w:hAnsi="Times New Roman" w:eastAsia="方正仿宋_GB2312" w:cs="Times New Roman"/>
          <w:bCs/>
          <w:sz w:val="32"/>
          <w:szCs w:val="32"/>
        </w:rPr>
        <w:t>供应商概况（后附特定资格证明文件）</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（5）</w:t>
      </w:r>
      <w:r>
        <w:rPr>
          <w:rFonts w:ascii="Times New Roman" w:hAnsi="Times New Roman" w:eastAsia="方正仿宋_GB2312" w:cs="Times New Roman"/>
          <w:bCs/>
          <w:sz w:val="32"/>
          <w:szCs w:val="32"/>
        </w:rPr>
        <w:t>具有独立承担民事责任的能力证明材料</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（6）</w:t>
      </w:r>
      <w:r>
        <w:rPr>
          <w:rFonts w:ascii="Times New Roman" w:hAnsi="Times New Roman" w:eastAsia="方正仿宋_GB2312" w:cs="Times New Roman"/>
          <w:bCs/>
          <w:sz w:val="32"/>
          <w:szCs w:val="32"/>
        </w:rPr>
        <w:t>具有良好的商业信誉和健全的财务会计制度证明材料</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（7）</w:t>
      </w:r>
      <w:r>
        <w:rPr>
          <w:rFonts w:ascii="Times New Roman" w:hAnsi="Times New Roman" w:eastAsia="方正仿宋_GB2312" w:cs="Times New Roman"/>
          <w:bCs/>
          <w:sz w:val="32"/>
          <w:szCs w:val="32"/>
        </w:rPr>
        <w:t>具有履行合同所必需的设备和专业技术能力证明材料或声明</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（8）</w:t>
      </w:r>
      <w:r>
        <w:rPr>
          <w:rFonts w:ascii="Times New Roman" w:hAnsi="Times New Roman" w:eastAsia="方正仿宋_GB2312" w:cs="Times New Roman"/>
          <w:bCs/>
          <w:sz w:val="32"/>
          <w:szCs w:val="32"/>
        </w:rPr>
        <w:t>有依法缴纳税收和社会保障资金的良好记录的证明材料</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（9）</w:t>
      </w:r>
      <w:r>
        <w:rPr>
          <w:rFonts w:ascii="Times New Roman" w:hAnsi="Times New Roman" w:eastAsia="方正仿宋_GB2312" w:cs="Times New Roman"/>
          <w:bCs/>
          <w:sz w:val="32"/>
          <w:szCs w:val="32"/>
        </w:rPr>
        <w:t>参加政府采购活动前三年内，在经营活动中没有重大违法记录的声明</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（10）</w:t>
      </w:r>
      <w:r>
        <w:rPr>
          <w:rFonts w:ascii="Times New Roman" w:hAnsi="Times New Roman" w:eastAsia="方正仿宋_GB2312" w:cs="Times New Roman"/>
          <w:bCs/>
          <w:sz w:val="32"/>
          <w:szCs w:val="32"/>
        </w:rPr>
        <w:t>开标一览表</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10.1</w:t>
      </w:r>
      <w:r>
        <w:rPr>
          <w:rFonts w:ascii="Times New Roman" w:hAnsi="Times New Roman" w:eastAsia="方正仿宋_GB2312" w:cs="Times New Roman"/>
          <w:bCs/>
          <w:sz w:val="32"/>
          <w:szCs w:val="32"/>
        </w:rPr>
        <w:t>投标</w:t>
      </w:r>
      <w:r>
        <w:rPr>
          <w:rFonts w:ascii="Times New Roman" w:hAnsi="Times New Roman" w:eastAsia="方正仿宋_GB2312" w:cs="Times New Roman"/>
          <w:kern w:val="0"/>
          <w:sz w:val="32"/>
          <w:szCs w:val="32"/>
        </w:rPr>
        <w:t>价格</w:t>
      </w:r>
      <w:r>
        <w:rPr>
          <w:rFonts w:ascii="Times New Roman" w:hAnsi="Times New Roman" w:eastAsia="方正仿宋_GB2312" w:cs="Times New Roman"/>
          <w:bCs/>
          <w:sz w:val="32"/>
          <w:szCs w:val="32"/>
        </w:rPr>
        <w:t>分类明细表</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（11）</w:t>
      </w:r>
      <w:r>
        <w:rPr>
          <w:rFonts w:ascii="Times New Roman" w:hAnsi="Times New Roman" w:eastAsia="方正仿宋_GB2312" w:cs="Times New Roman"/>
          <w:bCs/>
          <w:sz w:val="32"/>
          <w:szCs w:val="32"/>
        </w:rPr>
        <w:t>技术条款偏离表</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（12）</w:t>
      </w:r>
      <w:r>
        <w:rPr>
          <w:rFonts w:ascii="Times New Roman" w:hAnsi="Times New Roman" w:eastAsia="方正仿宋_GB2312" w:cs="Times New Roman"/>
          <w:bCs/>
          <w:sz w:val="32"/>
          <w:szCs w:val="32"/>
        </w:rPr>
        <w:t>商务条款偏离表</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（13）</w:t>
      </w:r>
      <w:r>
        <w:rPr>
          <w:rFonts w:ascii="Times New Roman" w:hAnsi="Times New Roman" w:eastAsia="方正仿宋_GB2312" w:cs="Times New Roman"/>
          <w:bCs/>
          <w:sz w:val="32"/>
          <w:szCs w:val="32"/>
        </w:rPr>
        <w:t>企业类似项目业绩表</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（14）</w:t>
      </w:r>
      <w:r>
        <w:rPr>
          <w:rFonts w:ascii="Times New Roman" w:hAnsi="Times New Roman" w:eastAsia="方正仿宋_GB2312" w:cs="Times New Roman"/>
          <w:bCs/>
          <w:sz w:val="32"/>
          <w:szCs w:val="32"/>
        </w:rPr>
        <w:t>拟派项目负责人（项目经理）简历表</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（15）</w:t>
      </w:r>
      <w:r>
        <w:rPr>
          <w:rFonts w:ascii="Times New Roman" w:hAnsi="Times New Roman" w:eastAsia="方正仿宋_GB2312" w:cs="Times New Roman"/>
          <w:bCs/>
          <w:sz w:val="32"/>
          <w:szCs w:val="32"/>
        </w:rPr>
        <w:t>拟派项目组成员情况</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（16）实施方案</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（17）应用系统设计方案</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（18）系统安全性设计方案</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（19）售后服务方案</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（20）</w:t>
      </w:r>
      <w:r>
        <w:rPr>
          <w:rFonts w:ascii="Times New Roman" w:hAnsi="Times New Roman" w:eastAsia="方正仿宋_GB2312" w:cs="Times New Roman"/>
          <w:bCs/>
          <w:sz w:val="32"/>
          <w:szCs w:val="32"/>
        </w:rPr>
        <w:t>服务承诺</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（21）</w:t>
      </w:r>
      <w:r>
        <w:rPr>
          <w:rFonts w:ascii="Times New Roman" w:hAnsi="Times New Roman" w:eastAsia="方正仿宋_GB2312" w:cs="Times New Roman"/>
          <w:bCs/>
          <w:sz w:val="32"/>
          <w:szCs w:val="32"/>
        </w:rPr>
        <w:t>投标保证金缴纳凭证</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（22）</w:t>
      </w:r>
      <w:r>
        <w:rPr>
          <w:rFonts w:ascii="Times New Roman" w:hAnsi="Times New Roman" w:eastAsia="方正仿宋_GB2312" w:cs="Times New Roman"/>
          <w:bCs/>
          <w:sz w:val="32"/>
          <w:szCs w:val="32"/>
        </w:rPr>
        <w:t>中小企业声明函</w:t>
      </w:r>
      <w:r>
        <w:rPr>
          <w:rFonts w:hint="eastAsia" w:ascii="Times New Roman" w:hAnsi="Times New Roman" w:eastAsia="方正仿宋_GB2312" w:cs="Times New Roman"/>
          <w:bCs/>
          <w:sz w:val="32"/>
          <w:szCs w:val="32"/>
        </w:rPr>
        <w:t>、分包意向协议</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（23）</w:t>
      </w:r>
      <w:r>
        <w:rPr>
          <w:rFonts w:ascii="Times New Roman" w:hAnsi="Times New Roman" w:eastAsia="方正仿宋_GB2312" w:cs="Times New Roman"/>
          <w:bCs/>
          <w:sz w:val="32"/>
          <w:szCs w:val="32"/>
        </w:rPr>
        <w:t>其他需要提交的资料</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3.2投标价格</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3.2.1投标人应当按第四章“采购需求”的规定进行报价。</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3.2.2投标人的投标价格不能超出本项目预算金额。</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3.2.3投标人的服务只允许有一个报价，采购人不接受有任何选择的报价。</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3.2.4投标人在投标截止时间前修改投标函中的投标总价的，应同时修改第五章“投标文件格式”中投标价格明细表中的相应报价。此修改须符合本章第4.3款的有关要求。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3.2.5投标人提供的服务一律用人民币报价。</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3.3投标有效期</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3.3.1在投标人须知前附表规定的投标有效期内，投标人不得要求撤销或修改其投标文件。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3.3.2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3.3.3投标保证金的有效期与投标有效期一致。</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3.4投标保证金</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3.4.1投标人应于投标截止时间前按投标人须知前附表规定提交投标保证金。未按规定提交投标保证金的，将被视为非响应性投标而予以拒绝。</w:t>
      </w:r>
    </w:p>
    <w:p>
      <w:pPr>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3.4.2投标保证金是为了保护采购人免遭因投标人的行为而蒙受损失。采购人在因投标人的行为受到损害时可根据相关法律规定没收投标人的投标保证金。</w:t>
      </w:r>
    </w:p>
    <w:p>
      <w:pPr>
        <w:autoSpaceDE w:val="0"/>
        <w:autoSpaceDN w:val="0"/>
        <w:adjustRightInd w:val="0"/>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3.4.3投标人在投标截止时间前撤回已提交的投标文件的，采购人或者采购代理机构应当自收到投标人书面撤回通知之日起5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3.4.4投标保证金有效期与投标有效期一致。</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3.4.5有下列情形之一的，投标保证金不予退还：</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（1）投标人在规定的投标有效期内撤销或修改其投标文件的；</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（2）中标单位在收到中标通知书后，无正当理由拒签合同协议书或在签订合同时提出附加条件或者更改合同实质性内容的；</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（3）未按招标文件规定提交履约保证金的。</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3.5电子投标文件的编制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bookmarkStart w:id="49" w:name="_BookMark_7"/>
      <w:bookmarkEnd w:id="49"/>
      <w:r>
        <w:rPr>
          <w:rFonts w:ascii="Times New Roman" w:hAnsi="Times New Roman" w:eastAsia="方正仿宋_GB2312" w:cs="Times New Roman"/>
          <w:kern w:val="0"/>
          <w:sz w:val="32"/>
          <w:szCs w:val="32"/>
        </w:rPr>
        <w:t>3.5.1电子投标文件使用政采云平台</w:t>
      </w:r>
      <w:r>
        <w:rPr>
          <w:rFonts w:ascii="Times New Roman" w:hAnsi="Times New Roman" w:eastAsia="方正仿宋_GB2312" w:cs="Times New Roman"/>
          <w:sz w:val="32"/>
          <w:szCs w:val="32"/>
        </w:rPr>
        <w:t>投标</w:t>
      </w:r>
      <w:r>
        <w:rPr>
          <w:rFonts w:ascii="Times New Roman" w:hAnsi="Times New Roman" w:eastAsia="方正仿宋_GB2312" w:cs="Times New Roman"/>
          <w:kern w:val="0"/>
          <w:sz w:val="32"/>
          <w:szCs w:val="32"/>
        </w:rPr>
        <w:t>文件制作工具以及招标文件要求进行制作编制。投标文件制作时，按照招标文件中明确的投标文件目录和格式进行编制，保证目录清晰、内容完整。</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3.5.2电子投标文件须使用投标人电子公章及法定代表人的电子签名。若无电子签章和签名，则视为无效响应。</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3.5.3电子招投标文件具有法律效力，与其他形式的招投标文件在内容和格式上等同，若投标文件与招标文件要求不一致，其内容影响</w:t>
      </w:r>
      <w:r>
        <w:rPr>
          <w:rFonts w:hint="eastAsia" w:ascii="Times New Roman" w:hAnsi="Times New Roman" w:eastAsia="方正仿宋_GB2312" w:cs="Times New Roman"/>
          <w:kern w:val="0"/>
          <w:sz w:val="32"/>
          <w:szCs w:val="32"/>
        </w:rPr>
        <w:t>中标</w:t>
      </w:r>
      <w:r>
        <w:rPr>
          <w:rFonts w:ascii="Times New Roman" w:hAnsi="Times New Roman" w:eastAsia="方正仿宋_GB2312" w:cs="Times New Roman"/>
          <w:kern w:val="0"/>
          <w:sz w:val="32"/>
          <w:szCs w:val="32"/>
        </w:rPr>
        <w:t>结果时，责任由投标人自行承担。投标人递交的电子投标文件因投标人自身原因而导致无法导入电子辅助评标系统，该投标文件视为无效投标文件，将导致其投标被拒绝。</w:t>
      </w:r>
    </w:p>
    <w:p>
      <w:pPr>
        <w:pStyle w:val="3"/>
      </w:pPr>
      <w:bookmarkStart w:id="50" w:name="_Toc24593"/>
      <w:bookmarkStart w:id="51" w:name="_Toc20363"/>
      <w:r>
        <w:t>4</w:t>
      </w:r>
      <w:r>
        <w:rPr>
          <w:rFonts w:hint="eastAsia"/>
        </w:rPr>
        <w:t>、</w:t>
      </w:r>
      <w:r>
        <w:t>投标</w:t>
      </w:r>
      <w:bookmarkEnd w:id="50"/>
      <w:bookmarkEnd w:id="51"/>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4.1投标文件的密封</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4.1.1投标文件的密封：加密的电子投标文件（.jmbs格式）加密的电子投标文件（.jmbs格式）应在投标文件递交截止时间前通过政采云平台上传完成。</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4.2投标文件的递交</w:t>
      </w:r>
    </w:p>
    <w:p>
      <w:pPr>
        <w:autoSpaceDE w:val="0"/>
        <w:autoSpaceDN w:val="0"/>
        <w:spacing w:line="560" w:lineRule="exact"/>
        <w:ind w:firstLine="640" w:firstLineChars="200"/>
        <w:jc w:val="left"/>
        <w:rPr>
          <w:rFonts w:ascii="Times New Roman" w:hAnsi="Times New Roman" w:eastAsia="方正仿宋_GB2312" w:cs="Times New Roman"/>
          <w:bCs/>
          <w:kern w:val="0"/>
          <w:sz w:val="32"/>
          <w:szCs w:val="32"/>
        </w:rPr>
      </w:pPr>
      <w:bookmarkStart w:id="52" w:name="_Hlk23651230"/>
      <w:bookmarkStart w:id="53" w:name="_Hlk57105549"/>
      <w:bookmarkStart w:id="54" w:name="_Hlk57105548"/>
      <w:bookmarkStart w:id="55" w:name="_Hlk18820305"/>
      <w:bookmarkStart w:id="56" w:name="_Hlk23746209"/>
      <w:bookmarkStart w:id="57" w:name="_Hlk23651228"/>
      <w:bookmarkStart w:id="58" w:name="_Hlk23746208"/>
      <w:bookmarkStart w:id="59" w:name="_Hlk22461104"/>
      <w:bookmarkStart w:id="60" w:name="_Hlk57105547"/>
      <w:bookmarkStart w:id="61" w:name="_Hlk23746210"/>
      <w:bookmarkStart w:id="62" w:name="_Hlk23651229"/>
      <w:bookmarkStart w:id="63" w:name="_Hlk18820304"/>
      <w:bookmarkStart w:id="64" w:name="_Hlk22461103"/>
      <w:bookmarkStart w:id="65" w:name="_Hlk22461105"/>
      <w:bookmarkStart w:id="66" w:name="_Hlk18820306"/>
      <w:r>
        <w:rPr>
          <w:rFonts w:ascii="Times New Roman" w:hAnsi="Times New Roman" w:eastAsia="方正仿宋_GB2312" w:cs="Times New Roman"/>
          <w:kern w:val="0"/>
          <w:sz w:val="32"/>
          <w:szCs w:val="32"/>
        </w:rPr>
        <w:t>4.2.1</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Times New Roman" w:hAnsi="Times New Roman" w:eastAsia="方正仿宋_GB2312" w:cs="Times New Roman"/>
          <w:bCs/>
          <w:kern w:val="0"/>
          <w:sz w:val="32"/>
          <w:szCs w:val="32"/>
        </w:rPr>
        <w:t>“电子加密投标文件”的递交截止时间及地点为招标公告所规定的时间、地点，投标人将“电子加密投标文件”成功上传递交后，投标人可自行打印投标文件接收回执。任何单位和个人不得在开标前开启投标文件。逾期递交的投标文件，采购人、采购代理机构将予以拒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bCs/>
          <w:kern w:val="0"/>
          <w:sz w:val="32"/>
          <w:szCs w:val="32"/>
        </w:rPr>
        <w:t>4.2.2出现因招标文件的修改推迟投标截止时间时，则按采购人或者采购代理机构规定的顺延时间递交。</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4.3投标文件的修改与撤回</w:t>
      </w:r>
    </w:p>
    <w:p>
      <w:pPr>
        <w:autoSpaceDE w:val="0"/>
        <w:autoSpaceDN w:val="0"/>
        <w:spacing w:line="560" w:lineRule="exact"/>
        <w:ind w:firstLine="640" w:firstLineChars="200"/>
        <w:jc w:val="left"/>
        <w:rPr>
          <w:rFonts w:ascii="Times New Roman" w:hAnsi="Times New Roman" w:eastAsia="方正仿宋_GB2312" w:cs="Times New Roman"/>
          <w:bCs/>
          <w:kern w:val="0"/>
          <w:sz w:val="32"/>
          <w:szCs w:val="32"/>
        </w:rPr>
      </w:pPr>
      <w:r>
        <w:rPr>
          <w:rFonts w:ascii="Times New Roman" w:hAnsi="Times New Roman" w:eastAsia="方正仿宋_GB2312" w:cs="Times New Roman"/>
          <w:kern w:val="0"/>
          <w:sz w:val="32"/>
          <w:szCs w:val="32"/>
        </w:rPr>
        <w:t>4.3.1</w:t>
      </w:r>
      <w:r>
        <w:rPr>
          <w:rFonts w:ascii="Times New Roman" w:hAnsi="Times New Roman" w:eastAsia="方正仿宋_GB2312" w:cs="Times New Roman"/>
          <w:bCs/>
          <w:kern w:val="0"/>
          <w:sz w:val="32"/>
          <w:szCs w:val="32"/>
        </w:rPr>
        <w:t>投标人在投标人须知前附表规定的提交投标文件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utoSpaceDE w:val="0"/>
        <w:autoSpaceDN w:val="0"/>
        <w:spacing w:line="560" w:lineRule="exact"/>
        <w:ind w:firstLine="640" w:firstLineChars="200"/>
        <w:jc w:val="left"/>
        <w:rPr>
          <w:rFonts w:ascii="Times New Roman" w:hAnsi="Times New Roman" w:eastAsia="方正仿宋_GB2312" w:cs="Times New Roman"/>
          <w:bCs/>
          <w:kern w:val="0"/>
          <w:sz w:val="32"/>
          <w:szCs w:val="32"/>
        </w:rPr>
      </w:pPr>
      <w:r>
        <w:rPr>
          <w:rFonts w:ascii="Times New Roman" w:hAnsi="Times New Roman" w:eastAsia="方正仿宋_GB2312" w:cs="Times New Roman"/>
          <w:bCs/>
          <w:kern w:val="0"/>
          <w:sz w:val="32"/>
          <w:szCs w:val="32"/>
        </w:rPr>
        <w:t>4.3.2投标人不得在开标时间起至投标有效期期满前撤回投标文件。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4.4投标文件格式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4.4.1投标文件格式见第五章。</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4.4.2投标人应使用本招标文件后面提供的投标文件格式填写，如不够用时，投标人可按同样格式自行编制和填补，如果本招标文件未提供格式的，投标人可自行编制。</w:t>
      </w:r>
    </w:p>
    <w:p>
      <w:pPr>
        <w:pStyle w:val="3"/>
      </w:pPr>
      <w:bookmarkStart w:id="67" w:name="_BookMark_8"/>
      <w:bookmarkEnd w:id="67"/>
      <w:bookmarkStart w:id="68" w:name="_Toc12221"/>
      <w:bookmarkStart w:id="69" w:name="_Toc10309"/>
      <w:r>
        <w:t>5</w:t>
      </w:r>
      <w:r>
        <w:rPr>
          <w:rFonts w:hint="eastAsia"/>
        </w:rPr>
        <w:t>、</w:t>
      </w:r>
      <w:r>
        <w:t>开标</w:t>
      </w:r>
      <w:bookmarkEnd w:id="68"/>
      <w:bookmarkEnd w:id="69"/>
    </w:p>
    <w:p>
      <w:pPr>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5.1投标人须在在提交投标文件截止时间前通过CA在政采云平台上传加密的电子投标文件。投标人在开标时须使用制作加密电子投标文件所使用的CA锁解密，投标人须提前配置好浏览器，并确保开标期间电脑网络环境畅通，以便开标时解密。本项目解密时间定为30分钟，如因投标人自身原因导致无法正常解密，后果由投标人自行承担。</w:t>
      </w:r>
    </w:p>
    <w:p>
      <w:pPr>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5.2参与电子投标投标人，“不见面开标”大厅操作提示：①开标前一小时在系统进行在线签到②30分钟内完成在线解密③开标结束后30分钟内完成“开标一览表”在线签章。注意：如未在规定时间进行以上操作，将导致投标（响应）无效。</w:t>
      </w:r>
    </w:p>
    <w:p>
      <w:pPr>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5.3开标结束后由采购人或采购代理机构对投标人已解密的电子投标文件进行资格审查（详见资格审查标准）。</w:t>
      </w:r>
    </w:p>
    <w:p>
      <w:pPr>
        <w:pStyle w:val="3"/>
      </w:pPr>
      <w:bookmarkStart w:id="70" w:name="_BookMark_9"/>
      <w:bookmarkEnd w:id="70"/>
      <w:bookmarkStart w:id="71" w:name="_Toc15778"/>
      <w:bookmarkStart w:id="72" w:name="_Toc29000"/>
      <w:r>
        <w:t>6</w:t>
      </w:r>
      <w:r>
        <w:rPr>
          <w:rFonts w:hint="eastAsia"/>
        </w:rPr>
        <w:t>、</w:t>
      </w:r>
      <w:r>
        <w:t>评标</w:t>
      </w:r>
      <w:bookmarkEnd w:id="71"/>
      <w:bookmarkEnd w:id="72"/>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bookmarkStart w:id="73" w:name="_BookMark_10"/>
      <w:bookmarkEnd w:id="73"/>
      <w:r>
        <w:rPr>
          <w:rFonts w:ascii="Times New Roman" w:hAnsi="Times New Roman" w:eastAsia="方正仿宋_GB2312" w:cs="Times New Roman"/>
          <w:kern w:val="0"/>
          <w:sz w:val="32"/>
          <w:szCs w:val="32"/>
        </w:rPr>
        <w:t>6.1评标委员会</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6.1.1评标由采购人依法组建的评标委员会负责。评标委员会由采购人熟悉相关业务的代表，以及有关技术、经济等方面的专家组成。</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采购人评标代表须具备中级专业技术职称或同等专业水平且从事相关领域工作满8年,或者具有高级专业技术职称或同等专业水平。</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评标委员会负责评标工作，并向采购人提交书面评标报告。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6.1.2评标委员会成员有下列情形之一的，应当回避：</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（1）采购人或投标人的主要负责人的近亲属；</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（2）项目主管部门或者行政监督部门的人员；</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（3）与投标人有经济利益关系，可能影响投标公正评审的；</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（4）曾因在招标、评标以及其他与招标投标有关活动中从事违法行为而受过行政处罚或刑事处罚的。</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6.2评标原则</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评标活动遵循公平、公正、科学和择优的原则。</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6.3评标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评标委员会按照招标文件中规定的方法、评审因素、标准和程序对投标文件进行评审。</w:t>
      </w:r>
    </w:p>
    <w:p>
      <w:pPr>
        <w:pStyle w:val="3"/>
      </w:pPr>
      <w:bookmarkStart w:id="74" w:name="_Toc4327"/>
      <w:bookmarkStart w:id="75" w:name="_Toc18397"/>
      <w:r>
        <w:t>7</w:t>
      </w:r>
      <w:r>
        <w:rPr>
          <w:rFonts w:hint="eastAsia"/>
        </w:rPr>
        <w:t>、</w:t>
      </w:r>
      <w:r>
        <w:t>定标及合同授予</w:t>
      </w:r>
      <w:bookmarkEnd w:id="74"/>
      <w:bookmarkEnd w:id="75"/>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7.1定标方法</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7.1.1评标活动遵循公平、公正、科学和择优的原则。评标委员会按照招标文件中规定的方法、评审因素、标准和程序对投标文件进行评审，并按投标人须知前附表的规定向采购人推荐三名中标候选人。采购人依据评标委员会推荐的中标候选人确定中标单位。</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7.1.2采购人从中标候选人中确定出中标单位的原则：采购人应当确定排名第一的中标候选人为中标单位。</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7.2中标候选人</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在中标通知书发出前，中标候选人的情况将在招标公告发布的媒体上公示，公示期不得少于1个工作日。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7.3中标通知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中标公示发布同时，采购人向中标单位发出中标通知书，并及时通知其它投标人中标结果。</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7.4履约保证金</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7.4.1在签订合同前，中标单位应按投标人须知前附表规定的金额、形式向采购人提交履约保证金。联合体中标的，其履约保证金由牵头人提交，并应符合投标人须知前附表的规定。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7.4.2中标单位不能按本章第7.4.1款要求提交履约保证金的，视为放弃中标，其投标保证金不予退还；给采购人造成的损失超过投标保证金数额的，中标单位还应当对超过部分予以赔偿。</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7.5签订合同</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7.5.1采购人应当自中标通知书发出之日起30日内，按照招标文件和中标单位投标文件的规定，与中标单位签订书面合同。所签订的合同不得对招标文件确定的事项和中标单位投标文件作实质性修改。采购人不得向中标单位提出任何不合理的要求作为签订合同的条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7.5.2发出中标通知书后，采购人无正当理由拒签合同的，给中标单位造成损失的，还应当赔偿中标单位损失。</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7.5.3发出中标通知书后，中标单位无正当理由拒签合同的，采购人取消其中标资格，其投标保证金不予退还；给采购人造成的损失超过投标保证金数额的，中标单位还应当对超过部分予以赔偿。</w:t>
      </w:r>
    </w:p>
    <w:p>
      <w:pPr>
        <w:pStyle w:val="28"/>
        <w:ind w:firstLine="640" w:firstLineChars="200"/>
        <w:rPr>
          <w:rFonts w:eastAsia="方正仿宋_GB2312"/>
        </w:rPr>
      </w:pPr>
      <w:r>
        <w:rPr>
          <w:rFonts w:hint="eastAsia" w:eastAsia="方正仿宋_GB2312"/>
          <w:kern w:val="0"/>
          <w:sz w:val="32"/>
          <w:szCs w:val="32"/>
        </w:rPr>
        <w:t>7.5.4中标或者成交供应商拒绝与采购人签订合同的，采购人可以按照评审报告推荐的中标或者成交候选人名单排序，确定下一候选人为中标或者成交供应商，也可以重新开展政府采购活动。</w:t>
      </w:r>
    </w:p>
    <w:p>
      <w:pPr>
        <w:pStyle w:val="3"/>
      </w:pPr>
      <w:bookmarkStart w:id="76" w:name="_BookMark_11"/>
      <w:bookmarkEnd w:id="76"/>
      <w:bookmarkStart w:id="77" w:name="_Toc28087"/>
      <w:bookmarkStart w:id="78" w:name="_Toc1324"/>
      <w:r>
        <w:t>8</w:t>
      </w:r>
      <w:r>
        <w:rPr>
          <w:rFonts w:hint="eastAsia"/>
        </w:rPr>
        <w:t>、</w:t>
      </w:r>
      <w:r>
        <w:t>纪律和监督</w:t>
      </w:r>
      <w:bookmarkEnd w:id="77"/>
      <w:bookmarkEnd w:id="78"/>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8.1对采购人的纪律要求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采购人不得泄漏招标投标活动中应当保密的情况和资料，不得与投标人串通损害国家利益、社会公共利益或者他人合法权益。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8.2对投标人的纪律要求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投标人不得相互串通投标或者与采购人串通投标，不得向采购人或者评标委员会成员行贿谋取中标，不得以他人名义投标或者以其他方式弄虚作假骗取中标；投标人不得以任何方式干扰、影响评标工作。</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8.3对评标委员会成员的纪律要求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8.4对与评标活动有关的工作人员的纪律要求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8.5监督</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本项目的招标投标活动及其相关当事人应当接受有管辖权的监督部门依法实施的监督。</w:t>
      </w:r>
      <w:bookmarkStart w:id="79" w:name="_BookMark_12"/>
      <w:bookmarkEnd w:id="79"/>
    </w:p>
    <w:p>
      <w:pPr>
        <w:spacing w:line="560" w:lineRule="exact"/>
        <w:jc w:val="center"/>
        <w:outlineLvl w:val="0"/>
        <w:rPr>
          <w:rFonts w:ascii="Times New Roman" w:hAnsi="Times New Roman" w:eastAsia="方正仿宋_GB2312" w:cs="Times New Roman"/>
          <w:b/>
          <w:sz w:val="32"/>
          <w:szCs w:val="32"/>
        </w:rPr>
      </w:pPr>
      <w:r>
        <w:rPr>
          <w:rFonts w:ascii="Times New Roman" w:hAnsi="Times New Roman" w:eastAsia="方正仿宋_GB2312" w:cs="Times New Roman"/>
          <w:bCs/>
          <w:kern w:val="0"/>
          <w:sz w:val="32"/>
          <w:szCs w:val="32"/>
        </w:rPr>
        <w:br w:type="page"/>
      </w:r>
      <w:bookmarkStart w:id="80" w:name="_Toc28500"/>
      <w:bookmarkStart w:id="81" w:name="_Toc24934"/>
      <w:bookmarkStart w:id="82" w:name="_Toc3034"/>
      <w:r>
        <w:rPr>
          <w:rStyle w:val="62"/>
          <w:rFonts w:hint="eastAsia"/>
        </w:rPr>
        <w:t>三、</w:t>
      </w:r>
      <w:r>
        <w:rPr>
          <w:rStyle w:val="62"/>
        </w:rPr>
        <w:t>评标办法</w:t>
      </w:r>
      <w:bookmarkEnd w:id="80"/>
      <w:bookmarkEnd w:id="81"/>
      <w:bookmarkEnd w:id="82"/>
    </w:p>
    <w:p>
      <w:pPr>
        <w:pStyle w:val="3"/>
      </w:pPr>
      <w:bookmarkStart w:id="83" w:name="_BookMark_1"/>
      <w:bookmarkEnd w:id="83"/>
      <w:bookmarkStart w:id="84" w:name="_Toc20499"/>
      <w:bookmarkStart w:id="85" w:name="_Toc23381"/>
      <w:bookmarkStart w:id="86" w:name="_Toc26722"/>
      <w:bookmarkStart w:id="87" w:name="_Toc12024"/>
      <w:r>
        <w:rPr>
          <w:rFonts w:hint="eastAsia"/>
        </w:rPr>
        <w:t>（一）</w:t>
      </w:r>
      <w:r>
        <w:t>评标办法前附表</w:t>
      </w:r>
      <w:bookmarkEnd w:id="84"/>
      <w:bookmarkEnd w:id="85"/>
      <w:bookmarkEnd w:id="86"/>
      <w:bookmarkEnd w:id="87"/>
    </w:p>
    <w:tbl>
      <w:tblPr>
        <w:tblStyle w:val="41"/>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3123"/>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85" w:type="dxa"/>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序号</w:t>
            </w:r>
          </w:p>
        </w:tc>
        <w:tc>
          <w:tcPr>
            <w:tcW w:w="3123" w:type="dxa"/>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条款内容</w:t>
            </w:r>
          </w:p>
        </w:tc>
        <w:tc>
          <w:tcPr>
            <w:tcW w:w="6470" w:type="dxa"/>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685" w:type="dxa"/>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w:t>
            </w:r>
          </w:p>
        </w:tc>
        <w:tc>
          <w:tcPr>
            <w:tcW w:w="3123" w:type="dxa"/>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分值构成及权重</w:t>
            </w:r>
          </w:p>
          <w:p>
            <w:pPr>
              <w:spacing w:line="560" w:lineRule="exact"/>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总分100分</w:t>
            </w:r>
            <w:r>
              <w:rPr>
                <w:rFonts w:hint="eastAsia" w:ascii="Times New Roman" w:hAnsi="Times New Roman" w:eastAsia="方正仿宋_GB2312" w:cs="Times New Roman"/>
                <w:sz w:val="32"/>
                <w:szCs w:val="32"/>
              </w:rPr>
              <w:t>）</w:t>
            </w:r>
          </w:p>
        </w:tc>
        <w:tc>
          <w:tcPr>
            <w:tcW w:w="6470" w:type="dxa"/>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详细评审部分</w:t>
            </w:r>
            <w:r>
              <w:rPr>
                <w:rFonts w:hint="eastAsia" w:ascii="Times New Roman" w:hAnsi="Times New Roman" w:eastAsia="方正仿宋_GB2312" w:cs="Times New Roman"/>
                <w:sz w:val="32"/>
                <w:szCs w:val="32"/>
              </w:rPr>
              <w:t>8</w:t>
            </w:r>
            <w:r>
              <w:rPr>
                <w:rFonts w:ascii="Times New Roman" w:hAnsi="Times New Roman" w:eastAsia="方正仿宋_GB2312" w:cs="Times New Roman"/>
                <w:sz w:val="32"/>
                <w:szCs w:val="32"/>
              </w:rPr>
              <w:t>0分</w:t>
            </w: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投标报价</w:t>
            </w:r>
            <w:r>
              <w:rPr>
                <w:rFonts w:hint="eastAsia" w:ascii="Times New Roman" w:hAnsi="Times New Roman" w:eastAsia="方正仿宋_GB2312" w:cs="Times New Roman"/>
                <w:sz w:val="32"/>
                <w:szCs w:val="32"/>
              </w:rPr>
              <w:t>2</w:t>
            </w:r>
            <w:r>
              <w:rPr>
                <w:rFonts w:ascii="Times New Roman" w:hAnsi="Times New Roman" w:eastAsia="方正仿宋_GB2312" w:cs="Times New Roman"/>
                <w:sz w:val="32"/>
                <w:szCs w:val="3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685" w:type="dxa"/>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w:t>
            </w:r>
          </w:p>
        </w:tc>
        <w:tc>
          <w:tcPr>
            <w:tcW w:w="3123" w:type="dxa"/>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资格审查</w:t>
            </w:r>
          </w:p>
        </w:tc>
        <w:tc>
          <w:tcPr>
            <w:tcW w:w="6470" w:type="dxa"/>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详见《资格审查标准》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85" w:type="dxa"/>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3</w:t>
            </w:r>
          </w:p>
        </w:tc>
        <w:tc>
          <w:tcPr>
            <w:tcW w:w="3123" w:type="dxa"/>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完备性及符合性审查</w:t>
            </w:r>
          </w:p>
        </w:tc>
        <w:tc>
          <w:tcPr>
            <w:tcW w:w="6470" w:type="dxa"/>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详见《完备性及符合性审查标准》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685" w:type="dxa"/>
            <w:vMerge w:val="restart"/>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4</w:t>
            </w:r>
          </w:p>
        </w:tc>
        <w:tc>
          <w:tcPr>
            <w:tcW w:w="3123" w:type="dxa"/>
            <w:vMerge w:val="restart"/>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详细评审</w:t>
            </w:r>
          </w:p>
        </w:tc>
        <w:tc>
          <w:tcPr>
            <w:tcW w:w="6470" w:type="dxa"/>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详见《详细评审标准》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7" w:hRule="atLeast"/>
          <w:jc w:val="center"/>
        </w:trPr>
        <w:tc>
          <w:tcPr>
            <w:tcW w:w="685" w:type="dxa"/>
            <w:vMerge w:val="continue"/>
            <w:tcMar>
              <w:top w:w="0" w:type="dxa"/>
              <w:left w:w="28" w:type="dxa"/>
              <w:bottom w:w="0" w:type="dxa"/>
              <w:right w:w="28" w:type="dxa"/>
            </w:tcMar>
            <w:vAlign w:val="center"/>
          </w:tcPr>
          <w:p>
            <w:pPr>
              <w:spacing w:line="560" w:lineRule="exact"/>
              <w:jc w:val="center"/>
              <w:rPr>
                <w:rFonts w:ascii="Times New Roman" w:hAnsi="Times New Roman" w:eastAsia="方正仿宋_GB2312" w:cs="Times New Roman"/>
                <w:sz w:val="32"/>
                <w:szCs w:val="32"/>
              </w:rPr>
            </w:pPr>
          </w:p>
        </w:tc>
        <w:tc>
          <w:tcPr>
            <w:tcW w:w="3123" w:type="dxa"/>
            <w:vMerge w:val="continue"/>
            <w:tcMar>
              <w:top w:w="0" w:type="dxa"/>
              <w:left w:w="28" w:type="dxa"/>
              <w:bottom w:w="0" w:type="dxa"/>
              <w:right w:w="28" w:type="dxa"/>
            </w:tcMar>
            <w:vAlign w:val="center"/>
          </w:tcPr>
          <w:p>
            <w:pPr>
              <w:spacing w:line="560" w:lineRule="exact"/>
              <w:rPr>
                <w:rFonts w:ascii="Times New Roman" w:hAnsi="Times New Roman" w:eastAsia="方正仿宋_GB2312" w:cs="Times New Roman"/>
                <w:sz w:val="32"/>
                <w:szCs w:val="32"/>
              </w:rPr>
            </w:pPr>
          </w:p>
        </w:tc>
        <w:tc>
          <w:tcPr>
            <w:tcW w:w="6470" w:type="dxa"/>
            <w:tcMar>
              <w:top w:w="0" w:type="dxa"/>
              <w:left w:w="28" w:type="dxa"/>
              <w:bottom w:w="0" w:type="dxa"/>
              <w:right w:w="28" w:type="dxa"/>
            </w:tcMa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投标报价得分计算方法：</w:t>
            </w: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sz w:val="32"/>
                <w:szCs w:val="32"/>
              </w:rPr>
              <w:t>1</w:t>
            </w:r>
            <w:r>
              <w:rPr>
                <w:rFonts w:ascii="Times New Roman" w:hAnsi="Times New Roman" w:eastAsia="方正仿宋_GB2312" w:cs="Times New Roman"/>
                <w:bCs/>
                <w:sz w:val="32"/>
                <w:szCs w:val="32"/>
              </w:rPr>
              <w:t>、投标报价的确定</w:t>
            </w: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投标报价是指经评审的且不超过采购预算金额的投标价格</w:t>
            </w: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2、评标基准价的确定</w:t>
            </w: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满足招标文件要求且投标报价最低的为评标基准价</w:t>
            </w:r>
          </w:p>
          <w:p>
            <w:pPr>
              <w:numPr>
                <w:ilvl w:val="0"/>
                <w:numId w:val="4"/>
              </w:num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投标报价得分=</w:t>
            </w:r>
            <w:r>
              <w:rPr>
                <w:rFonts w:hint="eastAsia" w:ascii="Times New Roman" w:hAnsi="Times New Roman" w:eastAsia="方正仿宋_GB2312" w:cs="Times New Roman"/>
                <w:bCs/>
                <w:sz w:val="32"/>
                <w:szCs w:val="32"/>
              </w:rPr>
              <w:t>（</w:t>
            </w:r>
            <w:r>
              <w:rPr>
                <w:rFonts w:ascii="Times New Roman" w:hAnsi="Times New Roman" w:eastAsia="方正仿宋_GB2312" w:cs="Times New Roman"/>
                <w:bCs/>
                <w:sz w:val="32"/>
                <w:szCs w:val="32"/>
              </w:rPr>
              <w:t>评标基准价／投标报价</w:t>
            </w:r>
            <w:r>
              <w:rPr>
                <w:rFonts w:hint="eastAsia" w:ascii="Times New Roman" w:hAnsi="Times New Roman" w:eastAsia="方正仿宋_GB2312" w:cs="Times New Roman"/>
                <w:bCs/>
                <w:sz w:val="32"/>
                <w:szCs w:val="32"/>
              </w:rPr>
              <w:t>）</w:t>
            </w:r>
            <w:r>
              <w:rPr>
                <w:rFonts w:ascii="Times New Roman" w:hAnsi="Times New Roman" w:eastAsia="方正仿宋_GB2312" w:cs="Times New Roman"/>
                <w:bCs/>
                <w:sz w:val="32"/>
                <w:szCs w:val="32"/>
              </w:rPr>
              <w:t>×</w:t>
            </w:r>
            <w:r>
              <w:rPr>
                <w:rFonts w:hint="eastAsia" w:ascii="Times New Roman" w:hAnsi="Times New Roman" w:eastAsia="方正仿宋_GB2312" w:cs="Times New Roman"/>
                <w:bCs/>
                <w:sz w:val="32"/>
                <w:szCs w:val="32"/>
              </w:rPr>
              <w:t>2</w:t>
            </w:r>
            <w:r>
              <w:rPr>
                <w:rFonts w:ascii="Times New Roman" w:hAnsi="Times New Roman" w:eastAsia="方正仿宋_GB2312" w:cs="Times New Roman"/>
                <w:bCs/>
                <w:sz w:val="32"/>
                <w:szCs w:val="32"/>
              </w:rPr>
              <w:t>0</w:t>
            </w:r>
          </w:p>
          <w:p>
            <w:pPr>
              <w:pStyle w:val="14"/>
              <w:shd w:val="clear" w:color="auto" w:fill="FFFFFF"/>
              <w:spacing w:before="0" w:beforeAutospacing="0" w:after="0" w:afterAutospacing="0" w:line="21" w:lineRule="atLeast"/>
              <w:rPr>
                <w:rFonts w:ascii="Times New Roman" w:hAnsi="Times New Roman" w:eastAsia="方正仿宋_GB2312" w:cs="Times New Roman"/>
                <w:kern w:val="2"/>
                <w:sz w:val="32"/>
                <w:szCs w:val="32"/>
              </w:rPr>
            </w:pPr>
            <w:r>
              <w:rPr>
                <w:rFonts w:hint="eastAsia" w:ascii="Times New Roman" w:hAnsi="Times New Roman" w:eastAsia="方正仿宋_GB2312" w:cs="Times New Roman"/>
                <w:kern w:val="2"/>
                <w:sz w:val="32"/>
                <w:szCs w:val="32"/>
              </w:rPr>
              <w:t>评标过程中，不得去掉报价中的最高报价和最低报价。</w:t>
            </w:r>
          </w:p>
          <w:p>
            <w:pPr>
              <w:pStyle w:val="14"/>
              <w:shd w:val="clear" w:color="auto" w:fill="FFFFFF"/>
              <w:spacing w:before="0" w:beforeAutospacing="0" w:after="0" w:afterAutospacing="0" w:line="21" w:lineRule="atLeast"/>
              <w:rPr>
                <w:rFonts w:ascii="Times New Roman" w:hAnsi="Times New Roman" w:eastAsia="方正仿宋_GB2312" w:cs="Times New Roman"/>
                <w:kern w:val="2"/>
                <w:sz w:val="32"/>
                <w:szCs w:val="32"/>
              </w:rPr>
            </w:pPr>
            <w:r>
              <w:rPr>
                <w:rFonts w:hint="eastAsia" w:ascii="Times New Roman" w:hAnsi="Times New Roman" w:eastAsia="方正仿宋_GB2312" w:cs="Times New Roman"/>
                <w:kern w:val="2"/>
                <w:sz w:val="32"/>
                <w:szCs w:val="32"/>
              </w:rPr>
              <w:t>因落实政府采购政策进行价格调整的，以调整后的价格计算评标基准价和投标报价。</w:t>
            </w: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bCs/>
                <w:sz w:val="32"/>
                <w:szCs w:val="32"/>
              </w:rPr>
              <w:t>4、</w:t>
            </w:r>
            <w:r>
              <w:rPr>
                <w:rFonts w:ascii="Times New Roman" w:hAnsi="Times New Roman" w:eastAsia="方正仿宋_GB2312" w:cs="Times New Roman"/>
                <w:sz w:val="32"/>
                <w:szCs w:val="32"/>
              </w:rPr>
              <w:t>评分分值计算保留小数点后两位，小数点后三位“四舍五入”。</w:t>
            </w: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5、本项目中小企业扶持政策：本项目预算金额中预留30%面向中小企业（其中60%面向小微企业）采购项目，该部分预留份额采取分包意向协议形式向中小企业进行分包，且分包意向协议合同金额需达到规定的比例。</w:t>
            </w:r>
          </w:p>
        </w:tc>
      </w:tr>
    </w:tbl>
    <w:p>
      <w:pPr>
        <w:spacing w:line="560" w:lineRule="exact"/>
        <w:rPr>
          <w:rFonts w:ascii="Times New Roman" w:hAnsi="Times New Roman" w:eastAsia="方正仿宋_GB2312" w:cs="Times New Roman"/>
          <w:b/>
          <w:kern w:val="0"/>
          <w:sz w:val="32"/>
          <w:szCs w:val="32"/>
        </w:rPr>
      </w:pPr>
      <w:bookmarkStart w:id="88" w:name="_Toc501719166"/>
      <w:r>
        <w:rPr>
          <w:rFonts w:ascii="Times New Roman" w:hAnsi="Times New Roman" w:eastAsia="方正仿宋_GB2312" w:cs="Times New Roman"/>
          <w:b/>
          <w:kern w:val="0"/>
          <w:sz w:val="32"/>
          <w:szCs w:val="32"/>
        </w:rPr>
        <w:br w:type="page"/>
      </w:r>
    </w:p>
    <w:p>
      <w:pPr>
        <w:pStyle w:val="3"/>
      </w:pPr>
      <w:bookmarkStart w:id="89" w:name="_Toc29013"/>
      <w:bookmarkStart w:id="90" w:name="_Toc9749"/>
      <w:bookmarkStart w:id="91" w:name="_Toc21404"/>
      <w:r>
        <w:rPr>
          <w:rFonts w:hint="eastAsia"/>
        </w:rPr>
        <w:t>（二）</w:t>
      </w:r>
      <w:r>
        <w:t>《资格审查标准》</w:t>
      </w:r>
      <w:bookmarkEnd w:id="88"/>
      <w:bookmarkEnd w:id="89"/>
      <w:bookmarkEnd w:id="90"/>
      <w:bookmarkEnd w:id="91"/>
    </w:p>
    <w:tbl>
      <w:tblPr>
        <w:tblStyle w:val="41"/>
        <w:tblW w:w="10239" w:type="dxa"/>
        <w:jc w:val="center"/>
        <w:tblLayout w:type="fixed"/>
        <w:tblCellMar>
          <w:top w:w="0" w:type="dxa"/>
          <w:left w:w="108" w:type="dxa"/>
          <w:bottom w:w="0" w:type="dxa"/>
          <w:right w:w="108" w:type="dxa"/>
        </w:tblCellMar>
      </w:tblPr>
      <w:tblGrid>
        <w:gridCol w:w="547"/>
        <w:gridCol w:w="2359"/>
        <w:gridCol w:w="7333"/>
      </w:tblGrid>
      <w:tr>
        <w:tblPrEx>
          <w:tblCellMar>
            <w:top w:w="0" w:type="dxa"/>
            <w:left w:w="108" w:type="dxa"/>
            <w:bottom w:w="0" w:type="dxa"/>
            <w:right w:w="108" w:type="dxa"/>
          </w:tblCellMar>
        </w:tblPrEx>
        <w:trPr>
          <w:trHeight w:val="638"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bookmarkStart w:id="92" w:name="_Toc501719167"/>
            <w:r>
              <w:rPr>
                <w:rFonts w:ascii="Times New Roman" w:hAnsi="Times New Roman" w:eastAsia="方正仿宋_GB2312" w:cs="Times New Roman"/>
                <w:sz w:val="30"/>
                <w:szCs w:val="30"/>
              </w:rPr>
              <w:t>序号</w:t>
            </w:r>
          </w:p>
        </w:tc>
        <w:tc>
          <w:tcPr>
            <w:tcW w:w="2359"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评审因素</w:t>
            </w:r>
          </w:p>
        </w:tc>
        <w:tc>
          <w:tcPr>
            <w:tcW w:w="7333"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评审标准</w:t>
            </w:r>
          </w:p>
        </w:tc>
      </w:tr>
      <w:tr>
        <w:tblPrEx>
          <w:tblCellMar>
            <w:top w:w="0" w:type="dxa"/>
            <w:left w:w="108" w:type="dxa"/>
            <w:bottom w:w="0" w:type="dxa"/>
            <w:right w:w="108" w:type="dxa"/>
          </w:tblCellMar>
        </w:tblPrEx>
        <w:trPr>
          <w:trHeight w:val="638"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1</w:t>
            </w:r>
          </w:p>
        </w:tc>
        <w:tc>
          <w:tcPr>
            <w:tcW w:w="23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具有独立承担民事责任的能力</w:t>
            </w:r>
          </w:p>
        </w:tc>
        <w:tc>
          <w:tcPr>
            <w:tcW w:w="7333" w:type="dxa"/>
            <w:tcBorders>
              <w:top w:val="single" w:color="auto" w:sz="4" w:space="0"/>
              <w:left w:val="nil"/>
              <w:bottom w:val="single" w:color="auto" w:sz="4" w:space="0"/>
              <w:right w:val="single" w:color="auto" w:sz="4" w:space="0"/>
            </w:tcBorders>
            <w:vAlign w:val="center"/>
          </w:tcPr>
          <w:p>
            <w:pPr>
              <w:widowControl/>
              <w:spacing w:line="560" w:lineRule="exact"/>
              <w:rPr>
                <w:rFonts w:ascii="Times New Roman" w:hAnsi="Times New Roman" w:eastAsia="方正仿宋_GB2312" w:cs="Times New Roman"/>
                <w:sz w:val="30"/>
                <w:szCs w:val="30"/>
              </w:rPr>
            </w:pPr>
            <w:r>
              <w:rPr>
                <w:rFonts w:ascii="Times New Roman" w:hAnsi="Times New Roman" w:eastAsia="方正仿宋_GB2312" w:cs="Times New Roman"/>
                <w:sz w:val="30"/>
                <w:szCs w:val="30"/>
              </w:rPr>
              <w:t>法人或者其他组织的营业执照等证明文件，自然人的身份证明。</w:t>
            </w:r>
          </w:p>
        </w:tc>
      </w:tr>
      <w:tr>
        <w:tblPrEx>
          <w:tblCellMar>
            <w:top w:w="0" w:type="dxa"/>
            <w:left w:w="108" w:type="dxa"/>
            <w:bottom w:w="0" w:type="dxa"/>
            <w:right w:w="108" w:type="dxa"/>
          </w:tblCellMar>
        </w:tblPrEx>
        <w:trPr>
          <w:trHeight w:val="284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2</w:t>
            </w:r>
          </w:p>
        </w:tc>
        <w:tc>
          <w:tcPr>
            <w:tcW w:w="23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具有良好的商业信誉和健全的财务会计制度</w:t>
            </w:r>
          </w:p>
        </w:tc>
        <w:tc>
          <w:tcPr>
            <w:tcW w:w="733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方正仿宋_GB2312" w:cs="Times New Roman"/>
                <w:sz w:val="30"/>
                <w:szCs w:val="30"/>
              </w:rPr>
            </w:pPr>
            <w:r>
              <w:rPr>
                <w:rFonts w:ascii="Times New Roman" w:hAnsi="Times New Roman" w:eastAsia="方正仿宋_GB2312" w:cs="Times New Roman"/>
                <w:sz w:val="30"/>
                <w:szCs w:val="30"/>
              </w:rPr>
              <w:t>提供上年度（2022年度或 2023年度）经审计财务会计报告（至少提供资产负债表、利润表、现金流量表，新成立的公司提供情况说明）</w:t>
            </w:r>
            <w:r>
              <w:rPr>
                <w:rFonts w:hint="eastAsia" w:ascii="Times New Roman" w:hAnsi="Times New Roman" w:eastAsia="方正仿宋_GB2312" w:cs="Times New Roman"/>
                <w:sz w:val="30"/>
                <w:szCs w:val="30"/>
              </w:rPr>
              <w:t>或</w:t>
            </w:r>
            <w:r>
              <w:rPr>
                <w:rFonts w:ascii="Times New Roman" w:hAnsi="Times New Roman" w:eastAsia="方正仿宋_GB2312" w:cs="Times New Roman"/>
                <w:sz w:val="30"/>
                <w:szCs w:val="30"/>
              </w:rPr>
              <w:t>企业财务报表</w:t>
            </w:r>
            <w:r>
              <w:rPr>
                <w:rFonts w:hint="eastAsia" w:ascii="Times New Roman" w:hAnsi="Times New Roman" w:eastAsia="方正仿宋_GB2312" w:cs="Times New Roman"/>
                <w:sz w:val="30"/>
                <w:szCs w:val="30"/>
              </w:rPr>
              <w:t>或</w:t>
            </w:r>
            <w:r>
              <w:rPr>
                <w:rFonts w:ascii="Times New Roman" w:hAnsi="Times New Roman" w:eastAsia="方正仿宋_GB2312" w:cs="Times New Roman"/>
                <w:sz w:val="30"/>
                <w:szCs w:val="30"/>
              </w:rPr>
              <w:t>基本开户银行出具的资信证明或近半年内任意一个月财务报表（财务报表应至少包括资产负债表、现金流量表或财务状况变动表，当月新成立公司不需提供）；</w:t>
            </w:r>
          </w:p>
          <w:p>
            <w:pPr>
              <w:spacing w:line="560" w:lineRule="exact"/>
              <w:rPr>
                <w:rFonts w:ascii="Times New Roman" w:hAnsi="Times New Roman" w:eastAsia="方正仿宋_GB2312" w:cs="Times New Roman"/>
                <w:sz w:val="30"/>
                <w:szCs w:val="30"/>
              </w:rPr>
            </w:pPr>
            <w:r>
              <w:rPr>
                <w:rFonts w:ascii="Times New Roman" w:hAnsi="Times New Roman" w:eastAsia="方正仿宋_GB2312" w:cs="Times New Roman"/>
                <w:sz w:val="30"/>
                <w:szCs w:val="30"/>
              </w:rPr>
              <w:t>个体工商户审查财务状况报告或财务报表，则将以个体工商户为户名的银行账户状况视为个体工商户的财务状况；如果个体工商户仅有经营者或者家庭经营成员的银行账户，则将经营者或者家庭经营成员的银行账户状况视为个体工商户的财务状况。</w:t>
            </w:r>
          </w:p>
        </w:tc>
      </w:tr>
      <w:tr>
        <w:tblPrEx>
          <w:tblCellMar>
            <w:top w:w="0" w:type="dxa"/>
            <w:left w:w="108" w:type="dxa"/>
            <w:bottom w:w="0" w:type="dxa"/>
            <w:right w:w="108" w:type="dxa"/>
          </w:tblCellMar>
        </w:tblPrEx>
        <w:trPr>
          <w:trHeight w:val="953"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3</w:t>
            </w:r>
          </w:p>
        </w:tc>
        <w:tc>
          <w:tcPr>
            <w:tcW w:w="2359"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具有履行合同所必需的设备和专业技术能力</w:t>
            </w:r>
          </w:p>
        </w:tc>
        <w:tc>
          <w:tcPr>
            <w:tcW w:w="733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方正仿宋_GB2312" w:cs="Times New Roman"/>
                <w:sz w:val="30"/>
                <w:szCs w:val="30"/>
              </w:rPr>
            </w:pPr>
            <w:r>
              <w:rPr>
                <w:rFonts w:ascii="Times New Roman" w:hAnsi="Times New Roman" w:eastAsia="方正仿宋_GB2312" w:cs="Times New Roman"/>
                <w:sz w:val="30"/>
                <w:szCs w:val="30"/>
              </w:rPr>
              <w:t>提供具有履行合同所必需的设备和专业技术能力等相关证明材料或声明。</w:t>
            </w:r>
          </w:p>
        </w:tc>
      </w:tr>
      <w:tr>
        <w:tblPrEx>
          <w:tblCellMar>
            <w:top w:w="0" w:type="dxa"/>
            <w:left w:w="108" w:type="dxa"/>
            <w:bottom w:w="0" w:type="dxa"/>
            <w:right w:w="108" w:type="dxa"/>
          </w:tblCellMar>
        </w:tblPrEx>
        <w:trPr>
          <w:trHeight w:val="1268"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4</w:t>
            </w:r>
          </w:p>
        </w:tc>
        <w:tc>
          <w:tcPr>
            <w:tcW w:w="2359"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有依法缴纳税收和社会保障资金的良好记录</w:t>
            </w:r>
          </w:p>
        </w:tc>
        <w:tc>
          <w:tcPr>
            <w:tcW w:w="733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方正仿宋_GB2312" w:cs="Times New Roman"/>
                <w:sz w:val="30"/>
                <w:szCs w:val="30"/>
              </w:rPr>
            </w:pPr>
            <w:r>
              <w:rPr>
                <w:rFonts w:ascii="Times New Roman" w:hAnsi="Times New Roman" w:eastAsia="方正仿宋_GB2312" w:cs="Times New Roman"/>
                <w:sz w:val="30"/>
                <w:szCs w:val="30"/>
              </w:rPr>
              <w:t>提供投标文件递交截止时间近半年任意一月的依法缴纳税收和社会保障资金的良好记录的证明材料（附复印件）；个体工商户参与政府采购活动需要提供缴纳税收的凭据和社会保险的凭据；依法免税或不需要缴纳社保的，应提供相应文件以证明其依法免税或不需要缴纳社保的优惠。</w:t>
            </w:r>
          </w:p>
        </w:tc>
      </w:tr>
      <w:tr>
        <w:tblPrEx>
          <w:tblCellMar>
            <w:top w:w="0" w:type="dxa"/>
            <w:left w:w="108" w:type="dxa"/>
            <w:bottom w:w="0" w:type="dxa"/>
            <w:right w:w="108" w:type="dxa"/>
          </w:tblCellMar>
        </w:tblPrEx>
        <w:trPr>
          <w:trHeight w:val="1582"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5</w:t>
            </w:r>
          </w:p>
        </w:tc>
        <w:tc>
          <w:tcPr>
            <w:tcW w:w="2359"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参加政府采购活动前三年内，在经营活动中没有重大违法记录</w:t>
            </w:r>
          </w:p>
        </w:tc>
        <w:tc>
          <w:tcPr>
            <w:tcW w:w="733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参加政府采购活动近3年内，在经营活动中没有重大违法记录，提供声明书。</w:t>
            </w:r>
          </w:p>
        </w:tc>
      </w:tr>
      <w:tr>
        <w:tblPrEx>
          <w:tblCellMar>
            <w:top w:w="0" w:type="dxa"/>
            <w:left w:w="108" w:type="dxa"/>
            <w:bottom w:w="0" w:type="dxa"/>
            <w:right w:w="108" w:type="dxa"/>
          </w:tblCellMar>
        </w:tblPrEx>
        <w:trPr>
          <w:trHeight w:val="284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6</w:t>
            </w:r>
          </w:p>
        </w:tc>
        <w:tc>
          <w:tcPr>
            <w:tcW w:w="2359"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信用查询</w:t>
            </w:r>
          </w:p>
        </w:tc>
        <w:tc>
          <w:tcPr>
            <w:tcW w:w="733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根据《财政部关于在政府采购活动中查询及使用信用记录有关问题的通知》（财库〔2016〕125号）规定，投标文件递交截止时间后，采购人或采购代理机构将通过“信用中国”网站</w:t>
            </w:r>
            <w:r>
              <w:rPr>
                <w:rFonts w:hint="eastAsia" w:ascii="Times New Roman" w:hAnsi="Times New Roman" w:eastAsia="方正仿宋_GB2312" w:cs="Times New Roman"/>
                <w:kern w:val="0"/>
                <w:sz w:val="30"/>
                <w:szCs w:val="30"/>
              </w:rPr>
              <w:t>（</w:t>
            </w:r>
            <w:r>
              <w:rPr>
                <w:rFonts w:ascii="Times New Roman" w:hAnsi="Times New Roman" w:eastAsia="方正仿宋_GB2312" w:cs="Times New Roman"/>
                <w:kern w:val="0"/>
                <w:sz w:val="30"/>
                <w:szCs w:val="30"/>
              </w:rPr>
              <w:t>www.creditchina.gov.cn</w:t>
            </w:r>
            <w:r>
              <w:rPr>
                <w:rFonts w:hint="eastAsia" w:ascii="Times New Roman" w:hAnsi="Times New Roman" w:eastAsia="方正仿宋_GB2312" w:cs="Times New Roman"/>
                <w:kern w:val="0"/>
                <w:sz w:val="30"/>
                <w:szCs w:val="30"/>
              </w:rPr>
              <w:t>）</w:t>
            </w:r>
            <w:r>
              <w:rPr>
                <w:rFonts w:ascii="Times New Roman" w:hAnsi="Times New Roman" w:eastAsia="方正仿宋_GB2312" w:cs="Times New Roman"/>
                <w:kern w:val="0"/>
                <w:sz w:val="30"/>
                <w:szCs w:val="30"/>
              </w:rPr>
              <w:t>、中国政府采购网</w:t>
            </w:r>
            <w:r>
              <w:rPr>
                <w:rFonts w:hint="eastAsia" w:ascii="Times New Roman" w:hAnsi="Times New Roman" w:eastAsia="方正仿宋_GB2312" w:cs="Times New Roman"/>
                <w:kern w:val="0"/>
                <w:sz w:val="30"/>
                <w:szCs w:val="30"/>
              </w:rPr>
              <w:t>（</w:t>
            </w:r>
            <w:r>
              <w:rPr>
                <w:rFonts w:ascii="Times New Roman" w:hAnsi="Times New Roman" w:eastAsia="方正仿宋_GB2312" w:cs="Times New Roman"/>
                <w:kern w:val="0"/>
                <w:sz w:val="30"/>
                <w:szCs w:val="30"/>
              </w:rPr>
              <w:t>www.ccgp.gov.cn</w:t>
            </w:r>
            <w:r>
              <w:rPr>
                <w:rFonts w:hint="eastAsia" w:ascii="Times New Roman" w:hAnsi="Times New Roman" w:eastAsia="方正仿宋_GB2312" w:cs="Times New Roman"/>
                <w:kern w:val="0"/>
                <w:sz w:val="30"/>
                <w:szCs w:val="30"/>
              </w:rPr>
              <w:t>）</w:t>
            </w:r>
            <w:r>
              <w:rPr>
                <w:rFonts w:ascii="Times New Roman" w:hAnsi="Times New Roman" w:eastAsia="方正仿宋_GB2312" w:cs="Times New Roman"/>
                <w:kern w:val="0"/>
                <w:sz w:val="30"/>
                <w:szCs w:val="30"/>
              </w:rPr>
              <w:t>，对供应商截止到投标文件递交截止时间的信用记录进行审查，对列入失信被执行人、重大税收违法案件当事人名单、政府采购严重违法失信行为记录名单其投标资格将被拒绝。</w:t>
            </w:r>
          </w:p>
        </w:tc>
      </w:tr>
      <w:tr>
        <w:tblPrEx>
          <w:tblCellMar>
            <w:top w:w="0" w:type="dxa"/>
            <w:left w:w="108" w:type="dxa"/>
            <w:bottom w:w="0" w:type="dxa"/>
            <w:right w:w="108" w:type="dxa"/>
          </w:tblCellMar>
        </w:tblPrEx>
        <w:trPr>
          <w:trHeight w:val="638"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7</w:t>
            </w:r>
          </w:p>
        </w:tc>
        <w:tc>
          <w:tcPr>
            <w:tcW w:w="2359"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是否缴纳投标保证金</w:t>
            </w:r>
          </w:p>
        </w:tc>
        <w:tc>
          <w:tcPr>
            <w:tcW w:w="733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提供缴纳保证金凭证。</w:t>
            </w:r>
          </w:p>
        </w:tc>
      </w:tr>
      <w:tr>
        <w:tblPrEx>
          <w:tblCellMar>
            <w:top w:w="0" w:type="dxa"/>
            <w:left w:w="108" w:type="dxa"/>
            <w:bottom w:w="0" w:type="dxa"/>
            <w:right w:w="108" w:type="dxa"/>
          </w:tblCellMar>
        </w:tblPrEx>
        <w:trPr>
          <w:trHeight w:val="638"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8</w:t>
            </w:r>
          </w:p>
        </w:tc>
        <w:tc>
          <w:tcPr>
            <w:tcW w:w="2359" w:type="dxa"/>
            <w:tcBorders>
              <w:top w:val="single" w:color="auto" w:sz="4" w:space="0"/>
              <w:left w:val="nil"/>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本项目预算金额中预留30%面向中小企业（其中60%面向小微企业）采购项目，该部分预留份额采取分包意向协议形式向中小企业进行分包，且分包意向协议合同金额需达到规定的比例。</w:t>
            </w:r>
          </w:p>
        </w:tc>
        <w:tc>
          <w:tcPr>
            <w:tcW w:w="7333" w:type="dxa"/>
            <w:tcBorders>
              <w:top w:val="single" w:color="auto" w:sz="4" w:space="0"/>
              <w:left w:val="nil"/>
              <w:bottom w:val="single" w:color="auto" w:sz="4" w:space="0"/>
              <w:right w:val="single" w:color="auto" w:sz="4" w:space="0"/>
            </w:tcBorders>
            <w:vAlign w:val="center"/>
          </w:tcPr>
          <w:p>
            <w:pPr>
              <w:pStyle w:val="213"/>
              <w:rPr>
                <w:rFonts w:eastAsia="方正仿宋_GB2312"/>
                <w:sz w:val="32"/>
                <w:szCs w:val="32"/>
              </w:rPr>
            </w:pPr>
            <w:r>
              <w:rPr>
                <w:rFonts w:eastAsia="方正仿宋_GB2312"/>
                <w:sz w:val="32"/>
                <w:szCs w:val="32"/>
              </w:rPr>
              <w:t>本项目预算金额中预留30%面向中小企业（其中60%面向小微企业）采购项目，该部分预留份额采取分包意向协议形式向中小企业进行分包，且分包意向协议合同金额需达到规定的比例，具体合同分包相关规则如下：</w:t>
            </w:r>
          </w:p>
          <w:p>
            <w:pPr>
              <w:pStyle w:val="213"/>
              <w:rPr>
                <w:rFonts w:eastAsia="方正仿宋_GB2312"/>
                <w:sz w:val="32"/>
                <w:szCs w:val="32"/>
              </w:rPr>
            </w:pPr>
            <w:r>
              <w:rPr>
                <w:rFonts w:eastAsia="方正仿宋_GB2312"/>
                <w:sz w:val="32"/>
                <w:szCs w:val="32"/>
              </w:rPr>
              <w:t>（1）供应商不属于中小微企业的，必须将本项目适宜分包内容（分包部分不低于合同金额的30%）分包给一家或者多家具备实施能力的中小企业（其中，分包给小微企业的部分不低于合同金额的60%），须按招标文件要求提供《分包意向协议》以及《中小企业声明函》。</w:t>
            </w:r>
          </w:p>
          <w:p>
            <w:pPr>
              <w:pStyle w:val="213"/>
              <w:rPr>
                <w:rFonts w:eastAsia="方正仿宋_GB2312"/>
                <w:sz w:val="32"/>
                <w:szCs w:val="32"/>
              </w:rPr>
            </w:pPr>
            <w:r>
              <w:rPr>
                <w:rFonts w:eastAsia="方正仿宋_GB2312"/>
                <w:sz w:val="32"/>
                <w:szCs w:val="32"/>
              </w:rPr>
              <w:t>（2）供应商属于中型企业的，必须将本项目适宜分包的内容分包给小微企业，分包给小微企业的部分不低于合同金额的60%。须按招标文件要求提供《分包意向协议》以及《中小企业声明函》。</w:t>
            </w:r>
          </w:p>
          <w:p>
            <w:pPr>
              <w:pStyle w:val="213"/>
              <w:rPr>
                <w:rFonts w:eastAsia="方正仿宋_GB2312"/>
                <w:sz w:val="32"/>
                <w:szCs w:val="32"/>
              </w:rPr>
            </w:pPr>
            <w:r>
              <w:rPr>
                <w:rFonts w:eastAsia="方正仿宋_GB2312"/>
                <w:sz w:val="32"/>
                <w:szCs w:val="32"/>
              </w:rPr>
              <w:t xml:space="preserve">（3）供应商属于小微企业的，是否采取分包不作强制要求。须按招标文件要求提供《中小企业声明函》。如采取合同分包，则只能分包给小微企业，须按招标文件要求提供《分包意向协议》以及《中小企业声明函》。 </w:t>
            </w:r>
          </w:p>
        </w:tc>
      </w:tr>
      <w:tr>
        <w:tblPrEx>
          <w:tblCellMar>
            <w:top w:w="0" w:type="dxa"/>
            <w:left w:w="108" w:type="dxa"/>
            <w:bottom w:w="0" w:type="dxa"/>
            <w:right w:w="108" w:type="dxa"/>
          </w:tblCellMar>
        </w:tblPrEx>
        <w:trPr>
          <w:trHeight w:val="648"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0"/>
                <w:szCs w:val="30"/>
              </w:rPr>
            </w:pPr>
            <w:r>
              <w:rPr>
                <w:rFonts w:ascii="Times New Roman" w:hAnsi="Times New Roman" w:eastAsia="方正仿宋_GB2312" w:cs="Times New Roman"/>
                <w:sz w:val="30"/>
                <w:szCs w:val="30"/>
              </w:rPr>
              <w:t>备注</w:t>
            </w:r>
          </w:p>
        </w:tc>
        <w:tc>
          <w:tcPr>
            <w:tcW w:w="9692" w:type="dxa"/>
            <w:gridSpan w:val="2"/>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方正仿宋_GB2312" w:cs="Times New Roman"/>
                <w:sz w:val="30"/>
                <w:szCs w:val="30"/>
                <w:lang w:val="en-US" w:eastAsia="zh-CN"/>
              </w:rPr>
            </w:pPr>
            <w:r>
              <w:rPr>
                <w:rFonts w:ascii="Times New Roman" w:hAnsi="Times New Roman" w:eastAsia="方正仿宋_GB2312" w:cs="Times New Roman"/>
                <w:sz w:val="30"/>
                <w:szCs w:val="30"/>
              </w:rPr>
              <w:t>再次重申：供应商请认真阅读和理解上述内容，避免资格审查中有违背上述审查标准之一的情况发生而造成废标。</w:t>
            </w:r>
            <w:r>
              <w:rPr>
                <w:rFonts w:ascii="Times New Roman" w:hAnsi="Times New Roman" w:eastAsia="方正仿宋_GB2312" w:cs="Times New Roman"/>
                <w:kern w:val="2"/>
                <w:sz w:val="30"/>
                <w:szCs w:val="30"/>
                <w:lang w:val="en-US" w:eastAsia="zh-CN" w:bidi="ar-SA"/>
              </w:rPr>
              <w:t xml:space="preserve"> </w:t>
            </w:r>
          </w:p>
        </w:tc>
      </w:tr>
    </w:tbl>
    <w:p>
      <w:pPr>
        <w:spacing w:line="560" w:lineRule="exact"/>
        <w:rPr>
          <w:rFonts w:ascii="Times New Roman" w:hAnsi="Times New Roman" w:eastAsia="方正仿宋_GB2312" w:cs="Times New Roman"/>
          <w:b/>
          <w:kern w:val="0"/>
          <w:sz w:val="32"/>
          <w:szCs w:val="32"/>
        </w:rPr>
      </w:pPr>
    </w:p>
    <w:p>
      <w:pPr>
        <w:spacing w:line="560" w:lineRule="exact"/>
        <w:rPr>
          <w:rFonts w:ascii="Times New Roman" w:hAnsi="Times New Roman" w:eastAsia="方正仿宋_GB2312" w:cs="Times New Roman"/>
          <w:b/>
          <w:kern w:val="0"/>
          <w:sz w:val="32"/>
          <w:szCs w:val="32"/>
        </w:rPr>
      </w:pPr>
    </w:p>
    <w:p>
      <w:pPr>
        <w:spacing w:line="560" w:lineRule="exact"/>
        <w:rPr>
          <w:rFonts w:ascii="Times New Roman" w:hAnsi="Times New Roman" w:eastAsia="方正仿宋_GB2312" w:cs="Times New Roman"/>
          <w:b/>
          <w:kern w:val="0"/>
          <w:sz w:val="32"/>
          <w:szCs w:val="32"/>
        </w:rPr>
      </w:pPr>
      <w:r>
        <w:rPr>
          <w:rFonts w:ascii="Times New Roman" w:hAnsi="Times New Roman" w:eastAsia="方正仿宋_GB2312" w:cs="Times New Roman"/>
          <w:b/>
          <w:kern w:val="0"/>
          <w:sz w:val="32"/>
          <w:szCs w:val="32"/>
        </w:rPr>
        <w:br w:type="page"/>
      </w:r>
    </w:p>
    <w:p>
      <w:pPr>
        <w:pStyle w:val="3"/>
      </w:pPr>
      <w:bookmarkStart w:id="93" w:name="_Toc27162"/>
      <w:bookmarkStart w:id="94" w:name="_Toc5558"/>
      <w:bookmarkStart w:id="95" w:name="_Toc980"/>
      <w:r>
        <w:rPr>
          <w:rFonts w:hint="eastAsia"/>
        </w:rPr>
        <w:t>（三）</w:t>
      </w:r>
      <w:r>
        <w:t>《完备性及符合性审查标准》</w:t>
      </w:r>
      <w:bookmarkEnd w:id="92"/>
      <w:bookmarkEnd w:id="93"/>
      <w:bookmarkEnd w:id="94"/>
      <w:bookmarkEnd w:id="95"/>
    </w:p>
    <w:tbl>
      <w:tblPr>
        <w:tblStyle w:val="4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34" w:type="dxa"/>
            <w:vMerge w:val="restart"/>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序号</w:t>
            </w:r>
          </w:p>
        </w:tc>
        <w:tc>
          <w:tcPr>
            <w:tcW w:w="9225" w:type="dxa"/>
            <w:vMerge w:val="restart"/>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sz w:val="30"/>
                <w:szCs w:val="30"/>
              </w:rPr>
              <w:t>投标</w:t>
            </w:r>
            <w:r>
              <w:rPr>
                <w:rFonts w:ascii="Times New Roman" w:hAnsi="Times New Roman" w:eastAsia="方正仿宋_GB2312" w:cs="Times New Roman"/>
                <w:kern w:val="0"/>
                <w:sz w:val="30"/>
                <w:szCs w:val="30"/>
              </w:rPr>
              <w:t>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34" w:type="dxa"/>
            <w:vMerge w:val="continue"/>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p>
        </w:tc>
        <w:tc>
          <w:tcPr>
            <w:tcW w:w="9225" w:type="dxa"/>
            <w:vMerge w:val="continue"/>
          </w:tcPr>
          <w:p>
            <w:pPr>
              <w:autoSpaceDE w:val="0"/>
              <w:autoSpaceDN w:val="0"/>
              <w:adjustRightInd w:val="0"/>
              <w:spacing w:line="560" w:lineRule="exact"/>
              <w:jc w:val="center"/>
              <w:rPr>
                <w:rFonts w:ascii="Times New Roman" w:hAnsi="Times New Roman" w:eastAsia="方正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1</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凡招标文件中要求盖章或签字处，是否按要求加盖单位公章、法定代表人或被授权委托人签字或盖章的。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2</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投标文件组成是否齐全完整，内容是否均按规定填写；投标文件的关键内容是否无字迹模糊、无法辨认的。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3</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投标文件是否实质上响应了招标文件的要求，既没有重大偏离或保留的投标。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4</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一份投标文件应只有一个投标报价，在招标文件没有规定的情况下，是否未提交选择性的报价。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5</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投标人的投标报价是否未超出</w:t>
            </w:r>
            <w:r>
              <w:rPr>
                <w:rFonts w:hint="eastAsia" w:ascii="Times New Roman" w:hAnsi="Times New Roman" w:eastAsia="方正仿宋_GB2312" w:cs="Times New Roman"/>
                <w:kern w:val="0"/>
                <w:sz w:val="30"/>
                <w:szCs w:val="30"/>
              </w:rPr>
              <w:t>最高限价</w:t>
            </w:r>
            <w:r>
              <w:rPr>
                <w:rFonts w:ascii="Times New Roman" w:hAnsi="Times New Roman" w:eastAsia="方正仿宋_GB2312" w:cs="Times New Roman"/>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6</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投标文件载明的</w:t>
            </w:r>
            <w:r>
              <w:rPr>
                <w:rFonts w:hint="eastAsia" w:ascii="Times New Roman" w:hAnsi="Times New Roman" w:eastAsia="方正仿宋_GB2312" w:cs="Times New Roman"/>
                <w:kern w:val="0"/>
                <w:sz w:val="32"/>
                <w:szCs w:val="32"/>
              </w:rPr>
              <w:t>合同履约期限</w:t>
            </w:r>
            <w:r>
              <w:rPr>
                <w:rFonts w:ascii="Times New Roman" w:hAnsi="Times New Roman" w:eastAsia="方正仿宋_GB2312" w:cs="Times New Roman"/>
                <w:kern w:val="0"/>
                <w:sz w:val="30"/>
                <w:szCs w:val="30"/>
              </w:rPr>
              <w:t>限是否满足招标文件规定的期限。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7</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投标人是否未提出不同的验收、计量、支付办法。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8</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投标文件是否未附有采购人不能接受的附加条件的。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pPr>
              <w:autoSpaceDE w:val="0"/>
              <w:autoSpaceDN w:val="0"/>
              <w:adjustRightInd w:val="0"/>
              <w:spacing w:line="560" w:lineRule="exact"/>
              <w:jc w:val="center"/>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9</w:t>
            </w:r>
          </w:p>
        </w:tc>
        <w:tc>
          <w:tcPr>
            <w:tcW w:w="9225" w:type="dxa"/>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是否未存在法律、法规和招标文件规定的其他无效情形。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0159" w:type="dxa"/>
            <w:gridSpan w:val="2"/>
            <w:vAlign w:val="center"/>
          </w:tcPr>
          <w:p>
            <w:pPr>
              <w:autoSpaceDE w:val="0"/>
              <w:autoSpaceDN w:val="0"/>
              <w:adjustRightInd w:val="0"/>
              <w:spacing w:line="560" w:lineRule="exact"/>
              <w:jc w:val="left"/>
              <w:rPr>
                <w:rFonts w:ascii="Times New Roman" w:hAnsi="Times New Roman" w:eastAsia="方正仿宋_GB2312" w:cs="Times New Roman"/>
                <w:kern w:val="0"/>
                <w:sz w:val="30"/>
                <w:szCs w:val="30"/>
              </w:rPr>
            </w:pPr>
            <w:r>
              <w:rPr>
                <w:rFonts w:ascii="Times New Roman" w:hAnsi="Times New Roman" w:eastAsia="方正仿宋_GB2312" w:cs="Times New Roman"/>
                <w:kern w:val="0"/>
                <w:sz w:val="30"/>
                <w:szCs w:val="30"/>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autoSpaceDE w:val="0"/>
        <w:autoSpaceDN w:val="0"/>
        <w:adjustRightInd w:val="0"/>
        <w:spacing w:line="560" w:lineRule="exact"/>
        <w:jc w:val="left"/>
        <w:rPr>
          <w:rFonts w:ascii="Times New Roman" w:hAnsi="Times New Roman" w:eastAsia="方正仿宋_GB2312" w:cs="Times New Roman"/>
          <w:b/>
          <w:kern w:val="0"/>
          <w:sz w:val="32"/>
          <w:szCs w:val="32"/>
        </w:rPr>
      </w:pPr>
      <w:r>
        <w:rPr>
          <w:rFonts w:ascii="Times New Roman" w:hAnsi="Times New Roman" w:eastAsia="方正仿宋_GB2312" w:cs="Times New Roman"/>
          <w:kern w:val="0"/>
          <w:sz w:val="32"/>
          <w:szCs w:val="32"/>
        </w:rPr>
        <w:t>说明：</w:t>
      </w:r>
      <w:r>
        <w:rPr>
          <w:rFonts w:ascii="Times New Roman" w:hAnsi="Times New Roman" w:eastAsia="方正仿宋_GB2312" w:cs="Times New Roman"/>
          <w:sz w:val="32"/>
          <w:szCs w:val="32"/>
        </w:rPr>
        <w:t>投标</w:t>
      </w:r>
      <w:r>
        <w:rPr>
          <w:rFonts w:ascii="Times New Roman" w:hAnsi="Times New Roman" w:eastAsia="方正仿宋_GB2312" w:cs="Times New Roman"/>
          <w:kern w:val="0"/>
          <w:sz w:val="32"/>
          <w:szCs w:val="32"/>
        </w:rPr>
        <w:t>文件最终合格与否，以所有评委的评审意见中少数服从多数为原则定论。投标人请认真阅读和理解上述内容，避免</w:t>
      </w:r>
      <w:r>
        <w:rPr>
          <w:rFonts w:ascii="Times New Roman" w:hAnsi="Times New Roman" w:eastAsia="方正仿宋_GB2312" w:cs="Times New Roman"/>
          <w:sz w:val="32"/>
          <w:szCs w:val="32"/>
        </w:rPr>
        <w:t>投标</w:t>
      </w:r>
      <w:r>
        <w:rPr>
          <w:rFonts w:ascii="Times New Roman" w:hAnsi="Times New Roman" w:eastAsia="方正仿宋_GB2312" w:cs="Times New Roman"/>
          <w:kern w:val="0"/>
          <w:sz w:val="32"/>
          <w:szCs w:val="32"/>
        </w:rPr>
        <w:t>文件中有违背上述审查标准之一的情况发生而造成投标被否决。</w:t>
      </w:r>
    </w:p>
    <w:p>
      <w:pPr>
        <w:spacing w:line="560" w:lineRule="exact"/>
      </w:pPr>
      <w:r>
        <w:rPr>
          <w:rFonts w:ascii="Times New Roman" w:hAnsi="Times New Roman" w:eastAsia="方正仿宋_GB2312" w:cs="Times New Roman"/>
          <w:b/>
          <w:kern w:val="0"/>
          <w:sz w:val="32"/>
          <w:szCs w:val="32"/>
        </w:rPr>
        <w:br w:type="page"/>
      </w:r>
      <w:bookmarkStart w:id="96" w:name="_Toc13598"/>
      <w:bookmarkStart w:id="97" w:name="_Toc10903"/>
      <w:bookmarkStart w:id="98" w:name="_Toc98"/>
      <w:r>
        <w:rPr>
          <w:rFonts w:hint="eastAsia"/>
        </w:rPr>
        <w:t>（四）</w:t>
      </w:r>
      <w:r>
        <w:t>《详细评审标准》</w:t>
      </w:r>
      <w:bookmarkEnd w:id="96"/>
      <w:bookmarkEnd w:id="97"/>
      <w:bookmarkEnd w:id="98"/>
    </w:p>
    <w:tbl>
      <w:tblPr>
        <w:tblStyle w:val="41"/>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5"/>
        <w:gridCol w:w="850"/>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9" w:type="dxa"/>
            <w:vAlign w:val="center"/>
          </w:tcPr>
          <w:p>
            <w:pPr>
              <w:jc w:val="center"/>
              <w:rPr>
                <w:rFonts w:ascii="仿宋" w:hAnsi="仿宋" w:eastAsia="仿宋" w:cs="仿宋"/>
                <w:sz w:val="28"/>
                <w:szCs w:val="28"/>
              </w:rPr>
            </w:pPr>
            <w:bookmarkStart w:id="99" w:name="_Toc12503"/>
            <w:r>
              <w:rPr>
                <w:rFonts w:hint="eastAsia" w:ascii="仿宋" w:hAnsi="仿宋" w:eastAsia="仿宋" w:cs="仿宋"/>
                <w:sz w:val="28"/>
                <w:szCs w:val="28"/>
              </w:rPr>
              <w:t>序号</w:t>
            </w:r>
          </w:p>
        </w:tc>
        <w:tc>
          <w:tcPr>
            <w:tcW w:w="1135" w:type="dxa"/>
            <w:vAlign w:val="center"/>
          </w:tcPr>
          <w:p>
            <w:pPr>
              <w:jc w:val="center"/>
              <w:rPr>
                <w:rFonts w:ascii="仿宋" w:hAnsi="仿宋" w:eastAsia="仿宋" w:cs="仿宋"/>
                <w:sz w:val="28"/>
                <w:szCs w:val="28"/>
              </w:rPr>
            </w:pPr>
            <w:r>
              <w:rPr>
                <w:rFonts w:hint="eastAsia" w:ascii="仿宋" w:hAnsi="仿宋" w:eastAsia="仿宋" w:cs="仿宋"/>
                <w:sz w:val="28"/>
                <w:szCs w:val="28"/>
              </w:rPr>
              <w:t>评分因素</w:t>
            </w:r>
          </w:p>
        </w:tc>
        <w:tc>
          <w:tcPr>
            <w:tcW w:w="850" w:type="dxa"/>
            <w:vAlign w:val="center"/>
          </w:tcPr>
          <w:p>
            <w:pPr>
              <w:jc w:val="center"/>
              <w:rPr>
                <w:rFonts w:ascii="仿宋" w:hAnsi="仿宋" w:eastAsia="仿宋" w:cs="仿宋"/>
                <w:sz w:val="28"/>
                <w:szCs w:val="28"/>
              </w:rPr>
            </w:pPr>
            <w:r>
              <w:rPr>
                <w:rFonts w:hint="eastAsia" w:ascii="仿宋" w:hAnsi="仿宋" w:eastAsia="仿宋" w:cs="仿宋"/>
                <w:sz w:val="28"/>
                <w:szCs w:val="28"/>
              </w:rPr>
              <w:t>标准分</w:t>
            </w:r>
          </w:p>
        </w:tc>
        <w:tc>
          <w:tcPr>
            <w:tcW w:w="7229" w:type="dxa"/>
            <w:vAlign w:val="center"/>
          </w:tcPr>
          <w:p>
            <w:pPr>
              <w:jc w:val="center"/>
              <w:rPr>
                <w:rFonts w:ascii="仿宋" w:hAnsi="仿宋" w:eastAsia="仿宋" w:cs="仿宋"/>
                <w:sz w:val="28"/>
                <w:szCs w:val="28"/>
              </w:rPr>
            </w:pPr>
            <w:r>
              <w:rPr>
                <w:rFonts w:hint="eastAsia" w:ascii="仿宋" w:hAnsi="仿宋" w:eastAsia="仿宋" w:cs="仿宋"/>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923" w:type="dxa"/>
            <w:gridSpan w:val="4"/>
            <w:vAlign w:val="center"/>
          </w:tcPr>
          <w:p>
            <w:pPr>
              <w:jc w:val="center"/>
              <w:rPr>
                <w:rFonts w:ascii="仿宋" w:hAnsi="仿宋" w:eastAsia="仿宋" w:cs="仿宋"/>
                <w:sz w:val="28"/>
                <w:szCs w:val="28"/>
              </w:rPr>
            </w:pPr>
            <w:r>
              <w:rPr>
                <w:rFonts w:hint="eastAsia" w:ascii="仿宋" w:hAnsi="仿宋" w:eastAsia="仿宋" w:cs="仿宋"/>
                <w:b/>
                <w:sz w:val="28"/>
                <w:szCs w:val="28"/>
              </w:rPr>
              <w:t>一、价格部分（20分）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35" w:type="dxa"/>
            <w:vAlign w:val="center"/>
          </w:tcPr>
          <w:p>
            <w:pPr>
              <w:spacing w:line="276"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850" w:type="dxa"/>
            <w:vAlign w:val="center"/>
          </w:tcPr>
          <w:p>
            <w:pPr>
              <w:spacing w:line="276" w:lineRule="auto"/>
              <w:jc w:val="center"/>
              <w:rPr>
                <w:rFonts w:ascii="仿宋" w:hAnsi="仿宋" w:eastAsia="仿宋" w:cs="仿宋"/>
                <w:sz w:val="28"/>
                <w:szCs w:val="28"/>
              </w:rPr>
            </w:pPr>
            <w:r>
              <w:rPr>
                <w:rFonts w:hint="eastAsia" w:ascii="仿宋" w:hAnsi="仿宋" w:eastAsia="仿宋" w:cs="仿宋"/>
                <w:sz w:val="28"/>
                <w:szCs w:val="28"/>
              </w:rPr>
              <w:t>20分</w:t>
            </w:r>
          </w:p>
        </w:tc>
        <w:tc>
          <w:tcPr>
            <w:tcW w:w="7229" w:type="dxa"/>
            <w:vAlign w:val="center"/>
          </w:tcPr>
          <w:p>
            <w:pPr>
              <w:spacing w:line="276" w:lineRule="auto"/>
              <w:jc w:val="left"/>
              <w:rPr>
                <w:rFonts w:ascii="仿宋" w:hAnsi="仿宋" w:eastAsia="仿宋" w:cs="仿宋"/>
                <w:sz w:val="28"/>
                <w:szCs w:val="28"/>
              </w:rPr>
            </w:pPr>
            <w:r>
              <w:rPr>
                <w:rFonts w:hint="eastAsia" w:ascii="仿宋" w:hAnsi="仿宋" w:eastAsia="仿宋" w:cs="仿宋"/>
                <w:sz w:val="28"/>
                <w:szCs w:val="28"/>
              </w:rPr>
              <w:t>采用低价优先法计算，即满足采购文件要求且投标价格最低的报价为评标基准价，其价格分为满分。其他供应商的价格分统一按照下列公式计算：</w:t>
            </w:r>
          </w:p>
          <w:p>
            <w:pPr>
              <w:spacing w:line="276" w:lineRule="auto"/>
              <w:jc w:val="left"/>
              <w:rPr>
                <w:rFonts w:ascii="仿宋" w:hAnsi="仿宋" w:eastAsia="仿宋" w:cs="仿宋"/>
                <w:sz w:val="28"/>
                <w:szCs w:val="28"/>
              </w:rPr>
            </w:pPr>
            <w:r>
              <w:rPr>
                <w:rFonts w:hint="eastAsia" w:ascii="仿宋" w:hAnsi="仿宋" w:eastAsia="仿宋" w:cs="仿宋"/>
                <w:sz w:val="28"/>
                <w:szCs w:val="28"/>
              </w:rPr>
              <w:t>投标报价得分=（评标基准价／投标报价）×20（小数点保留两位，后余位数四舍五入计。）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923" w:type="dxa"/>
            <w:gridSpan w:val="4"/>
            <w:vAlign w:val="center"/>
          </w:tcPr>
          <w:p>
            <w:pPr>
              <w:adjustRightInd w:val="0"/>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135" w:type="dxa"/>
            <w:vAlign w:val="center"/>
          </w:tcPr>
          <w:p>
            <w:pPr>
              <w:spacing w:line="276" w:lineRule="auto"/>
              <w:jc w:val="center"/>
              <w:rPr>
                <w:rFonts w:ascii="仿宋" w:hAnsi="仿宋" w:eastAsia="仿宋" w:cs="仿宋"/>
                <w:sz w:val="28"/>
                <w:szCs w:val="28"/>
              </w:rPr>
            </w:pPr>
            <w:r>
              <w:rPr>
                <w:rFonts w:hint="eastAsia" w:ascii="仿宋" w:hAnsi="仿宋" w:eastAsia="仿宋" w:cs="仿宋"/>
                <w:sz w:val="28"/>
                <w:szCs w:val="28"/>
              </w:rPr>
              <w:t>投标人类似业绩</w:t>
            </w:r>
          </w:p>
        </w:tc>
        <w:tc>
          <w:tcPr>
            <w:tcW w:w="850" w:type="dxa"/>
            <w:vAlign w:val="center"/>
          </w:tcPr>
          <w:p>
            <w:pPr>
              <w:adjustRightInd w:val="0"/>
              <w:snapToGrid w:val="0"/>
              <w:spacing w:line="276" w:lineRule="auto"/>
              <w:jc w:val="center"/>
              <w:rPr>
                <w:rFonts w:ascii="仿宋" w:hAnsi="仿宋" w:eastAsia="仿宋" w:cs="仿宋"/>
                <w:sz w:val="28"/>
                <w:szCs w:val="28"/>
              </w:rPr>
            </w:pPr>
            <w:r>
              <w:rPr>
                <w:rFonts w:hint="eastAsia" w:ascii="仿宋" w:hAnsi="仿宋" w:eastAsia="仿宋" w:cs="仿宋"/>
                <w:sz w:val="28"/>
                <w:szCs w:val="28"/>
              </w:rPr>
              <w:t>4分</w:t>
            </w:r>
          </w:p>
        </w:tc>
        <w:tc>
          <w:tcPr>
            <w:tcW w:w="7229" w:type="dxa"/>
            <w:vAlign w:val="center"/>
          </w:tcPr>
          <w:p>
            <w:pPr>
              <w:adjustRightInd w:val="0"/>
              <w:snapToGrid w:val="0"/>
              <w:spacing w:line="276" w:lineRule="auto"/>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color w:val="000000"/>
                <w:sz w:val="28"/>
                <w:szCs w:val="28"/>
              </w:rPr>
              <w:t>近3年（2021年至今）具有类似项目业绩，每提供一个得1分，最多得4分（提供合同复印件或中标通知书）。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135" w:type="dxa"/>
            <w:vAlign w:val="center"/>
          </w:tcPr>
          <w:p>
            <w:pPr>
              <w:jc w:val="center"/>
              <w:rPr>
                <w:rFonts w:ascii="仿宋" w:hAnsi="仿宋" w:eastAsia="仿宋" w:cs="仿宋"/>
                <w:sz w:val="28"/>
                <w:szCs w:val="28"/>
                <w:highlight w:val="yellow"/>
              </w:rPr>
            </w:pPr>
            <w:r>
              <w:rPr>
                <w:rFonts w:hint="eastAsia" w:ascii="仿宋" w:hAnsi="仿宋" w:eastAsia="仿宋" w:cs="仿宋"/>
                <w:sz w:val="28"/>
                <w:szCs w:val="28"/>
              </w:rPr>
              <w:t>项目负责人</w:t>
            </w:r>
          </w:p>
        </w:tc>
        <w:tc>
          <w:tcPr>
            <w:tcW w:w="850" w:type="dxa"/>
            <w:vAlign w:val="center"/>
          </w:tcPr>
          <w:p>
            <w:pPr>
              <w:jc w:val="center"/>
              <w:rPr>
                <w:rFonts w:ascii="仿宋" w:hAnsi="仿宋" w:eastAsia="仿宋" w:cs="仿宋"/>
                <w:sz w:val="28"/>
                <w:szCs w:val="28"/>
              </w:rPr>
            </w:pPr>
            <w:r>
              <w:rPr>
                <w:rFonts w:hint="eastAsia" w:ascii="仿宋" w:hAnsi="仿宋" w:eastAsia="仿宋" w:cs="仿宋"/>
                <w:sz w:val="28"/>
                <w:szCs w:val="28"/>
              </w:rPr>
              <w:t>2分</w:t>
            </w:r>
          </w:p>
        </w:tc>
        <w:tc>
          <w:tcPr>
            <w:tcW w:w="7229" w:type="dxa"/>
            <w:vAlign w:val="center"/>
          </w:tcPr>
          <w:p>
            <w:pPr>
              <w:adjustRightInd w:val="0"/>
              <w:snapToGrid w:val="0"/>
              <w:spacing w:line="276" w:lineRule="auto"/>
              <w:rPr>
                <w:rFonts w:ascii="仿宋" w:hAnsi="仿宋" w:eastAsia="仿宋" w:cs="仿宋"/>
                <w:b/>
                <w:sz w:val="28"/>
                <w:szCs w:val="28"/>
              </w:rPr>
            </w:pPr>
            <w:r>
              <w:rPr>
                <w:rFonts w:hint="eastAsia" w:ascii="仿宋" w:hAnsi="仿宋" w:eastAsia="仿宋" w:cs="仿宋"/>
                <w:sz w:val="28"/>
                <w:szCs w:val="28"/>
              </w:rPr>
              <w:t>供应商拟派项目经理应具有注册信息安全工程师（CISP）证书的得2分，不满足的不得分。证明材料:有效证书和本单位缴纳的近三个月的社保缴纳证明。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135" w:type="dxa"/>
            <w:vAlign w:val="center"/>
          </w:tcPr>
          <w:p>
            <w:pPr>
              <w:jc w:val="center"/>
              <w:rPr>
                <w:rFonts w:ascii="仿宋" w:hAnsi="仿宋" w:eastAsia="仿宋" w:cs="仿宋"/>
                <w:sz w:val="28"/>
                <w:szCs w:val="28"/>
                <w:highlight w:val="yellow"/>
              </w:rPr>
            </w:pPr>
            <w:r>
              <w:rPr>
                <w:rFonts w:hint="eastAsia" w:ascii="仿宋" w:hAnsi="仿宋" w:eastAsia="仿宋" w:cs="仿宋"/>
                <w:sz w:val="28"/>
                <w:szCs w:val="28"/>
              </w:rPr>
              <w:t>项目运维团队人员</w:t>
            </w:r>
          </w:p>
        </w:tc>
        <w:tc>
          <w:tcPr>
            <w:tcW w:w="850" w:type="dxa"/>
            <w:vAlign w:val="center"/>
          </w:tcPr>
          <w:p>
            <w:pPr>
              <w:jc w:val="center"/>
              <w:rPr>
                <w:rFonts w:ascii="仿宋" w:hAnsi="仿宋" w:eastAsia="仿宋" w:cs="仿宋"/>
                <w:sz w:val="28"/>
                <w:szCs w:val="28"/>
              </w:rPr>
            </w:pPr>
            <w:r>
              <w:rPr>
                <w:rFonts w:hint="eastAsia" w:ascii="仿宋" w:hAnsi="仿宋" w:eastAsia="仿宋" w:cs="仿宋"/>
                <w:sz w:val="28"/>
                <w:szCs w:val="28"/>
              </w:rPr>
              <w:t>8分</w:t>
            </w:r>
          </w:p>
        </w:tc>
        <w:tc>
          <w:tcPr>
            <w:tcW w:w="7229" w:type="dxa"/>
            <w:vAlign w:val="center"/>
          </w:tcPr>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供应商拟派项目其他团队人员（项目经理除外）专业能力评价：</w:t>
            </w:r>
          </w:p>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（1）本项目团队人员大于10人，得2分；团队人员5-9人得1分，低于5人不得分。</w:t>
            </w:r>
          </w:p>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（2）投标人需委派相关人员提供驻场服务，需提供人员信息及现场服务承诺函，每提供一人得2分，满分得6分。</w:t>
            </w:r>
          </w:p>
          <w:p>
            <w:pPr>
              <w:widowControl/>
              <w:adjustRightInd w:val="0"/>
              <w:snapToGrid w:val="0"/>
              <w:spacing w:line="276" w:lineRule="auto"/>
              <w:jc w:val="left"/>
              <w:textAlignment w:val="baseline"/>
              <w:rPr>
                <w:rFonts w:ascii="仿宋" w:hAnsi="仿宋" w:eastAsia="仿宋" w:cs="仿宋"/>
                <w:b/>
                <w:kern w:val="0"/>
                <w:sz w:val="28"/>
                <w:szCs w:val="28"/>
                <w:lang w:bidi="zh-CN"/>
              </w:rPr>
            </w:pPr>
            <w:r>
              <w:rPr>
                <w:rFonts w:hint="eastAsia" w:ascii="仿宋" w:hAnsi="仿宋" w:eastAsia="仿宋" w:cs="仿宋"/>
                <w:b/>
                <w:sz w:val="28"/>
                <w:szCs w:val="28"/>
              </w:rPr>
              <w:t>证明材料：本单位缴纳的近三个月的社保缴纳证明。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5</w:t>
            </w:r>
          </w:p>
        </w:tc>
        <w:tc>
          <w:tcPr>
            <w:tcW w:w="1135" w:type="dxa"/>
            <w:vAlign w:val="center"/>
          </w:tcPr>
          <w:p>
            <w:pPr>
              <w:jc w:val="center"/>
              <w:rPr>
                <w:rFonts w:ascii="仿宋" w:hAnsi="仿宋" w:eastAsia="仿宋" w:cs="仿宋"/>
                <w:sz w:val="28"/>
                <w:szCs w:val="28"/>
              </w:rPr>
            </w:pPr>
            <w:r>
              <w:rPr>
                <w:rFonts w:hint="eastAsia" w:ascii="仿宋" w:hAnsi="仿宋" w:eastAsia="仿宋" w:cs="仿宋"/>
                <w:sz w:val="28"/>
                <w:szCs w:val="28"/>
              </w:rPr>
              <w:t>实施方案</w:t>
            </w:r>
          </w:p>
        </w:tc>
        <w:tc>
          <w:tcPr>
            <w:tcW w:w="850" w:type="dxa"/>
            <w:vAlign w:val="center"/>
          </w:tcPr>
          <w:p>
            <w:pPr>
              <w:jc w:val="center"/>
              <w:rPr>
                <w:rFonts w:ascii="仿宋" w:hAnsi="仿宋" w:eastAsia="仿宋" w:cs="仿宋"/>
                <w:sz w:val="28"/>
                <w:szCs w:val="28"/>
              </w:rPr>
            </w:pPr>
            <w:r>
              <w:rPr>
                <w:rFonts w:hint="eastAsia" w:ascii="仿宋" w:hAnsi="仿宋" w:eastAsia="仿宋" w:cs="仿宋"/>
                <w:sz w:val="28"/>
                <w:szCs w:val="28"/>
              </w:rPr>
              <w:t>15分</w:t>
            </w:r>
          </w:p>
        </w:tc>
        <w:tc>
          <w:tcPr>
            <w:tcW w:w="7229" w:type="dxa"/>
            <w:vAlign w:val="center"/>
          </w:tcPr>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包括但不限于采购需求分析、质量管理控制方案、实施计划、供货以及安装方案、 测试和验收方案等进行综合打分：</w:t>
            </w:r>
          </w:p>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①对项目采购需求分析总结到位得3分；</w:t>
            </w:r>
          </w:p>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②项目质量管理控制方案全面完善，管理措施先进得3分；</w:t>
            </w:r>
          </w:p>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③项目实施计划、进度安排全面合理、科学可行得3分；</w:t>
            </w:r>
          </w:p>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④供货以及安装方案全面合理、科学可行3分；</w:t>
            </w:r>
          </w:p>
          <w:p>
            <w:pPr>
              <w:widowControl/>
              <w:adjustRightInd w:val="0"/>
              <w:snapToGrid w:val="0"/>
              <w:spacing w:line="276" w:lineRule="auto"/>
              <w:jc w:val="left"/>
              <w:textAlignment w:val="baseline"/>
              <w:rPr>
                <w:rFonts w:ascii="仿宋" w:hAnsi="仿宋" w:eastAsia="仿宋" w:cs="仿宋"/>
                <w:sz w:val="28"/>
                <w:szCs w:val="28"/>
              </w:rPr>
            </w:pPr>
            <w:r>
              <w:rPr>
                <w:rFonts w:hint="eastAsia" w:ascii="仿宋" w:hAnsi="仿宋" w:eastAsia="仿宋" w:cs="仿宋"/>
                <w:sz w:val="28"/>
                <w:szCs w:val="28"/>
              </w:rPr>
              <w:t>⑤项目系统测试和验收方案全面完善得3分；</w:t>
            </w:r>
          </w:p>
          <w:p>
            <w:pPr>
              <w:widowControl/>
              <w:adjustRightInd w:val="0"/>
              <w:snapToGrid w:val="0"/>
              <w:spacing w:line="276" w:lineRule="auto"/>
              <w:jc w:val="left"/>
              <w:textAlignment w:val="baseline"/>
              <w:rPr>
                <w:rFonts w:ascii="仿宋" w:hAnsi="仿宋" w:eastAsia="仿宋" w:cs="仿宋"/>
                <w:b/>
                <w:sz w:val="28"/>
                <w:szCs w:val="28"/>
              </w:rPr>
            </w:pPr>
            <w:r>
              <w:rPr>
                <w:rFonts w:hint="eastAsia" w:ascii="仿宋" w:hAnsi="仿宋" w:eastAsia="仿宋" w:cs="仿宋"/>
                <w:sz w:val="28"/>
                <w:szCs w:val="28"/>
              </w:rPr>
              <w:t>若方案与项目实际不匹配或存在偏差、内容缺乏逻辑性、不具备可行性的，每有一处扣1.5分，提供内容与项目无关或未提供不得分。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6</w:t>
            </w:r>
          </w:p>
        </w:tc>
        <w:tc>
          <w:tcPr>
            <w:tcW w:w="1135" w:type="dxa"/>
            <w:vAlign w:val="center"/>
          </w:tcPr>
          <w:p>
            <w:pPr>
              <w:adjustRightInd w:val="0"/>
              <w:snapToGrid w:val="0"/>
              <w:jc w:val="center"/>
              <w:rPr>
                <w:rFonts w:ascii="仿宋" w:hAnsi="仿宋" w:eastAsia="仿宋" w:cs="仿宋"/>
                <w:sz w:val="28"/>
                <w:szCs w:val="28"/>
              </w:rPr>
            </w:pPr>
            <w:r>
              <w:rPr>
                <w:rFonts w:hint="eastAsia" w:ascii="仿宋" w:hAnsi="仿宋" w:eastAsia="仿宋" w:cs="仿宋"/>
                <w:sz w:val="28"/>
                <w:szCs w:val="28"/>
              </w:rPr>
              <w:t>技术参数响应程度</w:t>
            </w:r>
          </w:p>
        </w:tc>
        <w:tc>
          <w:tcPr>
            <w:tcW w:w="850" w:type="dxa"/>
            <w:vAlign w:val="center"/>
          </w:tcPr>
          <w:p>
            <w:pPr>
              <w:adjustRightInd w:val="0"/>
              <w:snapToGrid w:val="0"/>
              <w:jc w:val="center"/>
              <w:rPr>
                <w:rFonts w:ascii="仿宋" w:hAnsi="仿宋" w:eastAsia="仿宋" w:cs="仿宋"/>
                <w:sz w:val="28"/>
                <w:szCs w:val="28"/>
              </w:rPr>
            </w:pPr>
            <w:r>
              <w:rPr>
                <w:rFonts w:hint="eastAsia" w:ascii="仿宋" w:hAnsi="仿宋" w:eastAsia="仿宋" w:cs="仿宋"/>
                <w:sz w:val="28"/>
                <w:szCs w:val="28"/>
              </w:rPr>
              <w:t>15分</w:t>
            </w:r>
          </w:p>
        </w:tc>
        <w:tc>
          <w:tcPr>
            <w:tcW w:w="7229" w:type="dxa"/>
            <w:vAlign w:val="center"/>
          </w:tcPr>
          <w:p>
            <w:pPr>
              <w:adjustRightInd w:val="0"/>
              <w:snapToGrid w:val="0"/>
              <w:jc w:val="left"/>
              <w:rPr>
                <w:rFonts w:ascii="仿宋" w:hAnsi="仿宋" w:eastAsia="仿宋" w:cs="仿宋"/>
                <w:sz w:val="28"/>
                <w:szCs w:val="28"/>
              </w:rPr>
            </w:pPr>
            <w:r>
              <w:rPr>
                <w:rFonts w:hint="eastAsia" w:ascii="仿宋" w:hAnsi="仿宋" w:eastAsia="仿宋" w:cs="仿宋"/>
                <w:sz w:val="28"/>
                <w:szCs w:val="28"/>
              </w:rPr>
              <w:t>供应商服务参数完全响应采购文件要求可得15分。对采购需求中服务参数提供的详细技术指标逐条响应情况进行评分，每出现一处负偏离或未响应扣0.5分，扣完为止。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7</w:t>
            </w:r>
          </w:p>
        </w:tc>
        <w:tc>
          <w:tcPr>
            <w:tcW w:w="1135" w:type="dxa"/>
            <w:vAlign w:val="center"/>
          </w:tcPr>
          <w:p>
            <w:pPr>
              <w:adjustRightInd w:val="0"/>
              <w:snapToGrid w:val="0"/>
              <w:jc w:val="center"/>
              <w:rPr>
                <w:rFonts w:ascii="仿宋" w:hAnsi="仿宋" w:eastAsia="仿宋" w:cs="仿宋"/>
                <w:sz w:val="28"/>
                <w:szCs w:val="28"/>
              </w:rPr>
            </w:pPr>
            <w:r>
              <w:rPr>
                <w:rFonts w:hint="eastAsia" w:ascii="仿宋" w:hAnsi="仿宋" w:eastAsia="仿宋" w:cs="仿宋"/>
                <w:sz w:val="28"/>
                <w:szCs w:val="28"/>
              </w:rPr>
              <w:t>应用系统设计方案</w:t>
            </w:r>
          </w:p>
        </w:tc>
        <w:tc>
          <w:tcPr>
            <w:tcW w:w="850" w:type="dxa"/>
            <w:vAlign w:val="center"/>
          </w:tcPr>
          <w:p>
            <w:pPr>
              <w:adjustRightInd w:val="0"/>
              <w:snapToGrid w:val="0"/>
              <w:jc w:val="center"/>
              <w:rPr>
                <w:rFonts w:ascii="仿宋" w:hAnsi="仿宋" w:eastAsia="仿宋" w:cs="仿宋"/>
                <w:sz w:val="28"/>
                <w:szCs w:val="28"/>
              </w:rPr>
            </w:pPr>
            <w:r>
              <w:rPr>
                <w:rFonts w:hint="eastAsia" w:ascii="仿宋" w:hAnsi="仿宋" w:eastAsia="仿宋" w:cs="仿宋"/>
                <w:sz w:val="28"/>
                <w:szCs w:val="28"/>
              </w:rPr>
              <w:t>12分</w:t>
            </w:r>
          </w:p>
        </w:tc>
        <w:tc>
          <w:tcPr>
            <w:tcW w:w="7229" w:type="dxa"/>
            <w:vAlign w:val="center"/>
          </w:tcPr>
          <w:p>
            <w:pPr>
              <w:adjustRightInd w:val="0"/>
              <w:snapToGrid w:val="0"/>
              <w:jc w:val="left"/>
              <w:rPr>
                <w:rFonts w:ascii="仿宋" w:hAnsi="仿宋" w:eastAsia="仿宋" w:cs="仿宋"/>
                <w:sz w:val="28"/>
                <w:szCs w:val="28"/>
              </w:rPr>
            </w:pPr>
            <w:r>
              <w:rPr>
                <w:rFonts w:hint="eastAsia" w:ascii="仿宋" w:hAnsi="仿宋" w:eastAsia="仿宋" w:cs="仿宋"/>
                <w:sz w:val="28"/>
                <w:szCs w:val="28"/>
              </w:rPr>
              <w:t>供应商提供的应用系统设计方案。</w:t>
            </w:r>
          </w:p>
          <w:p>
            <w:pPr>
              <w:adjustRightInd w:val="0"/>
              <w:snapToGrid w:val="0"/>
              <w:jc w:val="left"/>
              <w:rPr>
                <w:rFonts w:ascii="仿宋" w:hAnsi="仿宋" w:eastAsia="仿宋" w:cs="仿宋"/>
                <w:sz w:val="28"/>
                <w:szCs w:val="28"/>
              </w:rPr>
            </w:pPr>
            <w:r>
              <w:rPr>
                <w:rFonts w:hint="eastAsia" w:ascii="仿宋" w:hAnsi="仿宋" w:eastAsia="仿宋" w:cs="仿宋"/>
                <w:sz w:val="28"/>
                <w:szCs w:val="28"/>
              </w:rPr>
              <w:t>方案完整、合理、可行性强得12分；</w:t>
            </w:r>
          </w:p>
          <w:p>
            <w:pPr>
              <w:pStyle w:val="139"/>
              <w:rPr>
                <w:rFonts w:ascii="仿宋" w:hAnsi="仿宋" w:eastAsia="仿宋" w:cs="仿宋"/>
                <w:kern w:val="2"/>
                <w:sz w:val="28"/>
                <w:szCs w:val="28"/>
              </w:rPr>
            </w:pPr>
            <w:r>
              <w:rPr>
                <w:rFonts w:hint="eastAsia" w:ascii="仿宋" w:hAnsi="仿宋" w:eastAsia="仿宋" w:cs="仿宋"/>
                <w:kern w:val="2"/>
                <w:sz w:val="28"/>
                <w:szCs w:val="28"/>
              </w:rPr>
              <w:t>方案存在缺陷但修正后不影响项目实施的得8分；</w:t>
            </w:r>
          </w:p>
          <w:p>
            <w:pPr>
              <w:pStyle w:val="139"/>
              <w:rPr>
                <w:rFonts w:ascii="仿宋" w:hAnsi="仿宋" w:eastAsia="仿宋" w:cs="仿宋"/>
                <w:kern w:val="2"/>
                <w:sz w:val="28"/>
                <w:szCs w:val="28"/>
              </w:rPr>
            </w:pPr>
            <w:r>
              <w:rPr>
                <w:rFonts w:hint="eastAsia" w:ascii="仿宋" w:hAnsi="仿宋" w:eastAsia="仿宋" w:cs="仿宋"/>
                <w:kern w:val="2"/>
                <w:sz w:val="28"/>
                <w:szCs w:val="28"/>
              </w:rPr>
              <w:t>方案存在缺陷不利于项目实施的得4分；</w:t>
            </w:r>
          </w:p>
          <w:p>
            <w:pPr>
              <w:adjustRightInd w:val="0"/>
              <w:snapToGrid w:val="0"/>
              <w:jc w:val="left"/>
              <w:rPr>
                <w:rFonts w:ascii="仿宋" w:hAnsi="仿宋" w:eastAsia="仿宋" w:cs="仿宋"/>
                <w:sz w:val="28"/>
                <w:szCs w:val="28"/>
              </w:rPr>
            </w:pPr>
            <w:r>
              <w:rPr>
                <w:rFonts w:hint="eastAsia" w:ascii="仿宋" w:hAnsi="仿宋" w:eastAsia="仿宋" w:cs="仿宋"/>
                <w:sz w:val="28"/>
                <w:szCs w:val="28"/>
              </w:rPr>
              <w:t>方案存在缺陷可能导致项目无法实施的不得分。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8</w:t>
            </w:r>
          </w:p>
        </w:tc>
        <w:tc>
          <w:tcPr>
            <w:tcW w:w="1135" w:type="dxa"/>
            <w:vAlign w:val="center"/>
          </w:tcPr>
          <w:p>
            <w:pPr>
              <w:adjustRightInd w:val="0"/>
              <w:snapToGrid w:val="0"/>
              <w:spacing w:line="276" w:lineRule="auto"/>
              <w:jc w:val="center"/>
              <w:rPr>
                <w:rFonts w:ascii="仿宋" w:hAnsi="仿宋" w:eastAsia="仿宋" w:cs="仿宋"/>
                <w:sz w:val="28"/>
                <w:szCs w:val="28"/>
              </w:rPr>
            </w:pPr>
            <w:r>
              <w:rPr>
                <w:rFonts w:hint="eastAsia" w:ascii="仿宋" w:hAnsi="仿宋" w:eastAsia="仿宋" w:cs="仿宋"/>
                <w:sz w:val="28"/>
                <w:szCs w:val="28"/>
              </w:rPr>
              <w:t>系统安全性设计方案</w:t>
            </w:r>
          </w:p>
        </w:tc>
        <w:tc>
          <w:tcPr>
            <w:tcW w:w="850" w:type="dxa"/>
            <w:vAlign w:val="center"/>
          </w:tcPr>
          <w:p>
            <w:pPr>
              <w:adjustRightInd w:val="0"/>
              <w:snapToGrid w:val="0"/>
              <w:spacing w:line="276" w:lineRule="auto"/>
              <w:jc w:val="center"/>
              <w:rPr>
                <w:rFonts w:ascii="仿宋" w:hAnsi="仿宋" w:eastAsia="仿宋" w:cs="仿宋"/>
                <w:sz w:val="28"/>
                <w:szCs w:val="28"/>
              </w:rPr>
            </w:pPr>
            <w:r>
              <w:rPr>
                <w:rFonts w:hint="eastAsia" w:ascii="仿宋" w:hAnsi="仿宋" w:eastAsia="仿宋" w:cs="仿宋"/>
                <w:sz w:val="28"/>
                <w:szCs w:val="28"/>
              </w:rPr>
              <w:t>10分</w:t>
            </w:r>
          </w:p>
        </w:tc>
        <w:tc>
          <w:tcPr>
            <w:tcW w:w="7229" w:type="dxa"/>
            <w:vAlign w:val="center"/>
          </w:tcPr>
          <w:p>
            <w:pPr>
              <w:widowControl/>
              <w:jc w:val="left"/>
              <w:rPr>
                <w:rFonts w:ascii="仿宋" w:hAnsi="仿宋" w:eastAsia="仿宋" w:cs="仿宋"/>
                <w:sz w:val="28"/>
                <w:szCs w:val="28"/>
              </w:rPr>
            </w:pPr>
            <w:r>
              <w:rPr>
                <w:rFonts w:hint="eastAsia" w:ascii="仿宋" w:hAnsi="仿宋" w:eastAsia="仿宋" w:cs="仿宋"/>
                <w:sz w:val="28"/>
                <w:szCs w:val="28"/>
              </w:rPr>
              <w:t>供应商提供系统安全性设计方案中系统安全性合理、论述清晰，有详细的安全策略，能提供网络级安全、应用级安全、系统级安全等内容，并标准规范建设、信息资源规划和数据库设计等。</w:t>
            </w:r>
          </w:p>
          <w:p>
            <w:pPr>
              <w:widowControl/>
              <w:jc w:val="left"/>
              <w:rPr>
                <w:rFonts w:ascii="仿宋" w:hAnsi="仿宋" w:eastAsia="仿宋" w:cs="仿宋"/>
                <w:sz w:val="28"/>
                <w:szCs w:val="28"/>
              </w:rPr>
            </w:pPr>
            <w:r>
              <w:rPr>
                <w:rFonts w:hint="eastAsia" w:ascii="仿宋" w:hAnsi="仿宋" w:eastAsia="仿宋" w:cs="仿宋"/>
                <w:sz w:val="28"/>
                <w:szCs w:val="28"/>
              </w:rPr>
              <w:t>方案内容全面详细，重点突出，针对性强，具体可行，能够保证服务质量得10分；</w:t>
            </w:r>
          </w:p>
          <w:p>
            <w:pPr>
              <w:widowControl/>
              <w:jc w:val="left"/>
              <w:rPr>
                <w:rFonts w:ascii="仿宋" w:hAnsi="仿宋" w:eastAsia="仿宋" w:cs="仿宋"/>
                <w:sz w:val="28"/>
                <w:szCs w:val="28"/>
              </w:rPr>
            </w:pPr>
            <w:r>
              <w:rPr>
                <w:rFonts w:hint="eastAsia" w:ascii="仿宋" w:hAnsi="仿宋" w:eastAsia="仿宋" w:cs="仿宋"/>
                <w:sz w:val="28"/>
                <w:szCs w:val="28"/>
              </w:rPr>
              <w:t>方案内容基本全面，但重点不突出，能够保证基本服务质量得6分；</w:t>
            </w:r>
          </w:p>
          <w:p>
            <w:pPr>
              <w:pStyle w:val="139"/>
              <w:rPr>
                <w:rFonts w:ascii="仿宋" w:hAnsi="仿宋" w:eastAsia="仿宋" w:cs="仿宋"/>
                <w:kern w:val="2"/>
                <w:sz w:val="28"/>
                <w:szCs w:val="28"/>
              </w:rPr>
            </w:pPr>
            <w:r>
              <w:rPr>
                <w:rFonts w:hint="eastAsia" w:ascii="仿宋" w:hAnsi="仿宋" w:eastAsia="仿宋" w:cs="仿宋"/>
                <w:sz w:val="28"/>
                <w:szCs w:val="28"/>
              </w:rPr>
              <w:t>方案内容不全面，内容缺失</w:t>
            </w:r>
            <w:r>
              <w:rPr>
                <w:rFonts w:hint="eastAsia" w:ascii="仿宋" w:hAnsi="仿宋" w:eastAsia="仿宋" w:cs="仿宋"/>
                <w:kern w:val="2"/>
                <w:sz w:val="28"/>
                <w:szCs w:val="28"/>
              </w:rPr>
              <w:t>但修正后不影响项目实施的得2分；</w:t>
            </w:r>
          </w:p>
          <w:p>
            <w:pPr>
              <w:widowControl/>
              <w:jc w:val="left"/>
              <w:rPr>
                <w:rFonts w:ascii="仿宋" w:hAnsi="仿宋" w:eastAsia="仿宋" w:cs="仿宋"/>
                <w:sz w:val="28"/>
                <w:szCs w:val="28"/>
              </w:rPr>
            </w:pPr>
            <w:r>
              <w:rPr>
                <w:rFonts w:hint="eastAsia" w:ascii="仿宋" w:hAnsi="仿宋" w:eastAsia="仿宋" w:cs="仿宋"/>
                <w:sz w:val="28"/>
                <w:szCs w:val="28"/>
              </w:rPr>
              <w:t>方案存在缺失可能导致项目无法实施或不提供的不得分。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09"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9</w:t>
            </w:r>
          </w:p>
        </w:tc>
        <w:tc>
          <w:tcPr>
            <w:tcW w:w="1135" w:type="dxa"/>
            <w:vAlign w:val="center"/>
          </w:tcPr>
          <w:p>
            <w:pPr>
              <w:adjustRightInd w:val="0"/>
              <w:snapToGrid w:val="0"/>
              <w:jc w:val="left"/>
              <w:rPr>
                <w:rFonts w:ascii="仿宋" w:hAnsi="仿宋" w:eastAsia="仿宋" w:cs="仿宋"/>
                <w:sz w:val="28"/>
                <w:szCs w:val="28"/>
              </w:rPr>
            </w:pPr>
            <w:r>
              <w:rPr>
                <w:rFonts w:hint="eastAsia" w:ascii="仿宋" w:hAnsi="仿宋" w:eastAsia="仿宋" w:cs="仿宋"/>
                <w:sz w:val="28"/>
                <w:szCs w:val="28"/>
              </w:rPr>
              <w:t>售后服务方案</w:t>
            </w:r>
          </w:p>
        </w:tc>
        <w:tc>
          <w:tcPr>
            <w:tcW w:w="850" w:type="dxa"/>
            <w:vAlign w:val="center"/>
          </w:tcPr>
          <w:p>
            <w:pPr>
              <w:adjustRightInd w:val="0"/>
              <w:snapToGrid w:val="0"/>
              <w:jc w:val="center"/>
              <w:rPr>
                <w:rFonts w:ascii="仿宋" w:hAnsi="仿宋" w:eastAsia="仿宋" w:cs="仿宋"/>
                <w:sz w:val="28"/>
                <w:szCs w:val="28"/>
              </w:rPr>
            </w:pPr>
            <w:r>
              <w:rPr>
                <w:rFonts w:hint="eastAsia" w:ascii="仿宋" w:hAnsi="仿宋" w:eastAsia="仿宋" w:cs="仿宋"/>
                <w:sz w:val="28"/>
                <w:szCs w:val="28"/>
              </w:rPr>
              <w:t>14分</w:t>
            </w:r>
          </w:p>
        </w:tc>
        <w:tc>
          <w:tcPr>
            <w:tcW w:w="7229" w:type="dxa"/>
            <w:vAlign w:val="center"/>
          </w:tcPr>
          <w:p>
            <w:pPr>
              <w:adjustRightInd w:val="0"/>
              <w:snapToGrid w:val="0"/>
              <w:jc w:val="left"/>
              <w:rPr>
                <w:rFonts w:ascii="仿宋" w:hAnsi="仿宋" w:eastAsia="仿宋" w:cs="仿宋"/>
                <w:sz w:val="28"/>
                <w:szCs w:val="28"/>
              </w:rPr>
            </w:pPr>
            <w:r>
              <w:rPr>
                <w:rFonts w:hint="eastAsia" w:ascii="仿宋" w:hAnsi="仿宋" w:eastAsia="仿宋" w:cs="仿宋"/>
                <w:sz w:val="28"/>
                <w:szCs w:val="28"/>
              </w:rPr>
              <w:t>1.供应商有明确的①售后服务人员名单、②售后服务机构组成、③售后服务方式、④售后服务流程、⑤售后服务保障措施，且提供的售后服务方案完全响应本项目售后服务的相关要求的得10分。</w:t>
            </w:r>
          </w:p>
          <w:p>
            <w:pPr>
              <w:adjustRightInd w:val="0"/>
              <w:snapToGrid w:val="0"/>
              <w:jc w:val="left"/>
              <w:rPr>
                <w:rFonts w:ascii="仿宋" w:hAnsi="仿宋" w:eastAsia="仿宋" w:cs="仿宋"/>
                <w:sz w:val="28"/>
                <w:szCs w:val="28"/>
              </w:rPr>
            </w:pPr>
            <w:r>
              <w:rPr>
                <w:rFonts w:hint="eastAsia" w:ascii="仿宋" w:hAnsi="仿宋" w:eastAsia="仿宋" w:cs="仿宋"/>
                <w:sz w:val="28"/>
                <w:szCs w:val="28"/>
              </w:rPr>
              <w:t>每缺少1方面内容扣 2分，每有1处内容存在不足(指内容不全面或不完善、与项目实际不匹配或存在偏差、内容缺乏逻辑性、不具备可行性等)扣1分。</w:t>
            </w:r>
          </w:p>
          <w:p>
            <w:pPr>
              <w:adjustRightInd w:val="0"/>
              <w:snapToGrid w:val="0"/>
              <w:jc w:val="left"/>
              <w:rPr>
                <w:rFonts w:ascii="仿宋" w:hAnsi="仿宋" w:eastAsia="仿宋" w:cs="仿宋"/>
                <w:sz w:val="28"/>
                <w:szCs w:val="28"/>
              </w:rPr>
            </w:pPr>
            <w:r>
              <w:rPr>
                <w:rFonts w:hint="eastAsia" w:ascii="仿宋" w:hAnsi="仿宋" w:eastAsia="仿宋" w:cs="仿宋"/>
                <w:sz w:val="28"/>
                <w:szCs w:val="28"/>
              </w:rPr>
              <w:t xml:space="preserve">2.供应商有明确的①培训内容、培训计划、②培训方式、③培训讲师、④培训保障; </w:t>
            </w:r>
          </w:p>
          <w:p>
            <w:pPr>
              <w:adjustRightInd w:val="0"/>
              <w:snapToGrid w:val="0"/>
              <w:jc w:val="left"/>
              <w:rPr>
                <w:rFonts w:ascii="仿宋" w:hAnsi="仿宋" w:eastAsia="仿宋" w:cs="仿宋"/>
                <w:sz w:val="28"/>
                <w:szCs w:val="28"/>
              </w:rPr>
            </w:pPr>
            <w:r>
              <w:rPr>
                <w:rFonts w:hint="eastAsia" w:ascii="仿宋" w:hAnsi="仿宋" w:eastAsia="仿宋" w:cs="仿宋"/>
                <w:sz w:val="28"/>
                <w:szCs w:val="28"/>
              </w:rPr>
              <w:t>全部提供得4分。每缺少1方面内容扣 1分，每有1处内容存在不足(指内容不全面或不完善、与项目实际不匹配或存在偏差、内容缺乏逻辑性、不具备可行性等)扣 0.5分。提供内容与项目无关或未提供不得分。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4" w:type="dxa"/>
            <w:gridSpan w:val="2"/>
            <w:vAlign w:val="center"/>
          </w:tcPr>
          <w:p>
            <w:pPr>
              <w:ind w:left="360"/>
              <w:jc w:val="center"/>
              <w:rPr>
                <w:rFonts w:ascii="仿宋" w:hAnsi="仿宋" w:eastAsia="仿宋" w:cs="仿宋"/>
                <w:sz w:val="28"/>
                <w:szCs w:val="28"/>
              </w:rPr>
            </w:pPr>
            <w:r>
              <w:rPr>
                <w:rFonts w:hint="eastAsia" w:ascii="仿宋" w:hAnsi="仿宋" w:eastAsia="仿宋" w:cs="仿宋"/>
                <w:sz w:val="28"/>
                <w:szCs w:val="28"/>
              </w:rPr>
              <w:t>合计</w:t>
            </w:r>
          </w:p>
        </w:tc>
        <w:tc>
          <w:tcPr>
            <w:tcW w:w="850" w:type="dxa"/>
            <w:vAlign w:val="center"/>
          </w:tcPr>
          <w:p>
            <w:pPr>
              <w:ind w:left="-124" w:leftChars="-59" w:right="-90" w:rightChars="-43"/>
              <w:jc w:val="center"/>
              <w:rPr>
                <w:rFonts w:ascii="仿宋" w:hAnsi="仿宋" w:eastAsia="仿宋" w:cs="仿宋"/>
                <w:sz w:val="28"/>
                <w:szCs w:val="28"/>
              </w:rPr>
            </w:pPr>
            <w:r>
              <w:rPr>
                <w:rFonts w:hint="eastAsia" w:ascii="仿宋" w:hAnsi="仿宋" w:eastAsia="仿宋" w:cs="仿宋"/>
                <w:sz w:val="28"/>
                <w:szCs w:val="28"/>
              </w:rPr>
              <w:t>100分</w:t>
            </w:r>
          </w:p>
        </w:tc>
        <w:tc>
          <w:tcPr>
            <w:tcW w:w="7229" w:type="dxa"/>
            <w:vAlign w:val="center"/>
          </w:tcPr>
          <w:p>
            <w:pPr>
              <w:ind w:left="360"/>
              <w:jc w:val="center"/>
              <w:rPr>
                <w:rFonts w:ascii="仿宋" w:hAnsi="仿宋" w:eastAsia="仿宋" w:cs="仿宋"/>
                <w:sz w:val="28"/>
                <w:szCs w:val="28"/>
              </w:rPr>
            </w:pPr>
          </w:p>
        </w:tc>
      </w:tr>
    </w:tbl>
    <w:p>
      <w:pPr>
        <w:jc w:val="center"/>
      </w:pPr>
    </w:p>
    <w:p>
      <w:pPr>
        <w:pStyle w:val="4"/>
      </w:pPr>
      <w:bookmarkStart w:id="100" w:name="_Toc9091"/>
      <w:r>
        <w:t>1</w:t>
      </w:r>
      <w:r>
        <w:rPr>
          <w:rFonts w:hint="eastAsia"/>
        </w:rPr>
        <w:t>、</w:t>
      </w:r>
      <w:r>
        <w:t>评标方法</w:t>
      </w:r>
      <w:bookmarkEnd w:id="99"/>
      <w:bookmarkEnd w:id="100"/>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本次评标采用综合评分法。评标委员会对满足招标文件实质性要求的投标文件，按照本节规定的评审标准进行评审。评标中各评委若发生意见分歧，以少数服从多数原则确定。</w:t>
      </w:r>
    </w:p>
    <w:p>
      <w:pPr>
        <w:pStyle w:val="4"/>
      </w:pPr>
      <w:bookmarkStart w:id="101" w:name="_Toc23475"/>
      <w:bookmarkStart w:id="102" w:name="_Toc24478"/>
      <w:r>
        <w:t>2</w:t>
      </w:r>
      <w:r>
        <w:rPr>
          <w:rFonts w:hint="eastAsia"/>
        </w:rPr>
        <w:t>、</w:t>
      </w:r>
      <w:r>
        <w:t>评审标准</w:t>
      </w:r>
      <w:bookmarkEnd w:id="101"/>
      <w:bookmarkEnd w:id="102"/>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2.1资格审查：评审因素和评审标准见《资格审查标准》。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2.2</w:t>
      </w:r>
      <w:r>
        <w:rPr>
          <w:rFonts w:ascii="Times New Roman" w:hAnsi="Times New Roman" w:eastAsia="方正仿宋_GB2312" w:cs="Times New Roman"/>
          <w:sz w:val="32"/>
          <w:szCs w:val="32"/>
        </w:rPr>
        <w:t>完备性及符合性审查</w:t>
      </w:r>
      <w:r>
        <w:rPr>
          <w:rFonts w:ascii="Times New Roman" w:hAnsi="Times New Roman" w:eastAsia="方正仿宋_GB2312" w:cs="Times New Roman"/>
          <w:kern w:val="0"/>
          <w:sz w:val="32"/>
          <w:szCs w:val="32"/>
        </w:rPr>
        <w:t>：评审因素和评审标准见《</w:t>
      </w:r>
      <w:r>
        <w:rPr>
          <w:rFonts w:ascii="Times New Roman" w:hAnsi="Times New Roman" w:eastAsia="方正仿宋_GB2312" w:cs="Times New Roman"/>
          <w:sz w:val="32"/>
          <w:szCs w:val="32"/>
        </w:rPr>
        <w:t>完备性及符合性审查</w:t>
      </w:r>
      <w:r>
        <w:rPr>
          <w:rFonts w:ascii="Times New Roman" w:hAnsi="Times New Roman" w:eastAsia="方正仿宋_GB2312" w:cs="Times New Roman"/>
          <w:kern w:val="0"/>
          <w:sz w:val="32"/>
          <w:szCs w:val="32"/>
        </w:rPr>
        <w:t>标准》。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2.3详细评审：</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2.3.1详细评审：评审因素和评审标准见《详细评审标准》。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2.3.2投标报价评分标准：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（1）分值构成及权重：见评标办法前附表。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（2）评标基准价计算：见评标办法前附表。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（3）投标报价得分的计算：见评标办法前附表。</w:t>
      </w:r>
    </w:p>
    <w:p>
      <w:pPr>
        <w:pStyle w:val="4"/>
      </w:pPr>
      <w:bookmarkStart w:id="103" w:name="_Toc16662"/>
      <w:bookmarkStart w:id="104" w:name="_Toc5115"/>
      <w:r>
        <w:t>3</w:t>
      </w:r>
      <w:r>
        <w:rPr>
          <w:rFonts w:hint="eastAsia"/>
        </w:rPr>
        <w:t>、</w:t>
      </w:r>
      <w:r>
        <w:t>评标程序</w:t>
      </w:r>
      <w:bookmarkEnd w:id="103"/>
      <w:bookmarkEnd w:id="104"/>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3.1基本程序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评标活动将按以下步骤进行：</w:t>
      </w:r>
    </w:p>
    <w:p>
      <w:pPr>
        <w:widowControl/>
        <w:shd w:val="clear" w:color="auto" w:fill="FFFFFF"/>
        <w:snapToGrid w:val="0"/>
        <w:spacing w:line="560" w:lineRule="exact"/>
        <w:ind w:left="60" w:firstLine="58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（1）评标准备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（2）资格审查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（3）完备性及符合性审查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（4）详细评审</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（5）澄清、说明或补正</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（6）推荐中标候选人及提交评标报告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3.2评标准备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3.2.1评标委员会成员签到</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评标委员会成员到达评标现场时应当在签到表上签到以证明其出席。</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3.2.2评标委员会的分工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3.2.2.1评标委员会首先推选一名评标委员会主任（除招标人代表）。评标委员会主任负责评标活动的组织领导工作。评标委员会主任与评标委员会其他成员具有同等的评标权力。</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3.2.2.2评标委员会主任除履行自己作为评标委员会成员独立评标的职责外，主要负责以下工作：</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（1）组织评标委员会成员学习招标文件；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（2）汇总各评标委员会成员认为需要投标人澄清、说明或者补正的问题；</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（3）组织评标委员会对投标人质询并对投标人的答复进行评审；</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（4）对出现较大争议的事项进行书面记录；</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（5）组织收回评标过程中使用的文件、表格和评标记录以及其他资料，并查验评标记录的完整性及有效性；</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（6）组织对评标结论进行复核确认；</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（7）组织编写评标报告。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3.2.3熟悉文件资料</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3.2.3.1评标委员会主任应当组织评标委员会成员认真研究招标文件，了解和熟悉招标目的、招标范围、主要合同条件、采购需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3.2.3.2采购人或采购代理机构应当向评标委员会提供评标所需的信息和数据，包括：</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（1）招标文件及其澄清修改等招标文件补充；</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（2）未在开标会上当场拒绝的各投标文件；</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（3）开标会记录；</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（4）评标表格；</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（5）其他信息和数据。</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3.3资格审查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采购人依据本章规定的评审因素和评审标准，对投标人的资格审查资料进行资格评审。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3.4完备性及符合性审查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3.4.1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3.4.2完备性及符合性审查条款是指对本招标项目产生了重大影响的重大偏差，而且纠正此类偏差将会对响应本次招标的其他投标人的竞争地位产生不公正的影响。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3.5详细评审</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3.5.1只有通过了资格审查、完备性及符合性审查且投标人不少于3个方可进入详细评审。</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3.5.2澄清、说明和补正</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3.5.2.2澄清、说明和补正内容不得改变投标文件的实质性内容（算术性错误修正的除外）。投标人的书面澄清、说明和补正属于投标文件的组成部分。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3.5.2.4评标委员会对投标人提交的澄清、说明或补正有疑问的，可以要求投标人进一步澄清、说明或补正，直至满足评标委员会的要求。</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3.5.3评委评分：评委按照《详细评审标准》评分，投标人详细评审得分等于全部评委评分的算术平均值。</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3.5.4算术错误修正：投标价格有算术错误的，评标委员会按以下原则对投标价格进行修正，修正的价格经投标人书面确认后具有约束力。投标人不接受修正价格的，其投标将被否决。</w:t>
      </w:r>
    </w:p>
    <w:p>
      <w:pPr>
        <w:autoSpaceDE w:val="0"/>
        <w:autoSpaceDN w:val="0"/>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a.投标文件中开标一览表（报价表）内容与投标文件中相应内容不一致的，以开标一览表（报价表）为准；</w:t>
      </w:r>
    </w:p>
    <w:p>
      <w:pPr>
        <w:autoSpaceDE w:val="0"/>
        <w:autoSpaceDN w:val="0"/>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b.大写金额和小写金额不一致的，以大写金额为准；</w:t>
      </w:r>
    </w:p>
    <w:p>
      <w:pPr>
        <w:autoSpaceDE w:val="0"/>
        <w:autoSpaceDN w:val="0"/>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c.单价金额小数点或者百分比有明显错位的，以开标一览表的总价为准，并修改单价；</w:t>
      </w:r>
    </w:p>
    <w:p>
      <w:pPr>
        <w:autoSpaceDE w:val="0"/>
        <w:autoSpaceDN w:val="0"/>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d.总价金额与按单价汇总金额不一致的，以单价金额计算结果为准。</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e.同时出现两种以上不一致的，按照前款规定的顺序修正。修正后的最终投标报价若超过最高投标限价（如有），评审小组应当否决其投标。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3.5.5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3.5.6投标报价评分：对投标报价进行投标报价得分计算，计算方法详见评标办法前附表。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3.5.7汇总评分结果，评分分值计算保留小数点后两位，小数点后第三位“四舍五入”。</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3.5.8详细评审工作全部结束后，投标人总得分排序按照以下原则进行。</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3.5.8.1按照总得分由高到低顺序对投标人进行排序；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3.5.8.2总得分相同时报价低的投标人排序靠前；</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3.5.8.3总得分相同且报价相同的投标人，采取随机抽取方式确定排序顺序。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3.6推荐中标候选人及提交评标报告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3.6.1评标委员会推荐中标候选人，总得分排序第一的投标人将被确定为第一中标候选人，以此类推确定出规定数量的的中标候选人。</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3.6.2当通过了资格审查、完备性及符合性审查后，投标人少于3个时，采购人应当依法重新招标。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3.6.3评标委员会完成评标后，应当向采购人提交书面评标报告。</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3.7、特殊情况的处置程序</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3.7.1关于评标活动暂停</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3.7.2关于评标中途更换评委</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3.7.2.1除非发生下列情况之一，评标委员会成员不得在评标中途更换：</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（1）因不可抗拒的客观原因，不能到场或需在评标中途退出评标活动。</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（2）根据法律法规规定，某个或某几个评标委员会成员需要回避。</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3.7.2.2退出评标的评标委员会成员，其已完成的评标行为无效，由更换的评委进行评标。</w:t>
      </w:r>
    </w:p>
    <w:p>
      <w:pPr>
        <w:widowControl/>
        <w:shd w:val="clear" w:color="auto" w:fill="FFFFFF"/>
        <w:snapToGrid w:val="0"/>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3.7.3在评标环节中，需评标委员会就某项定性的评审结论做出表决的，由评标委员会全体成员按照少数服从多数的原则确定。</w:t>
      </w:r>
    </w:p>
    <w:p>
      <w:pPr>
        <w:pStyle w:val="3"/>
        <w:rPr>
          <w:rFonts w:ascii="Times New Roman" w:hAnsi="Times New Roman" w:eastAsia="方正仿宋_GB2312" w:cs="Times New Roman"/>
          <w:b/>
        </w:rPr>
      </w:pPr>
      <w:r>
        <w:rPr>
          <w:rFonts w:ascii="Times New Roman" w:hAnsi="Times New Roman" w:eastAsia="方正仿宋_GB2312" w:cs="Times New Roman"/>
        </w:rPr>
        <w:br w:type="page"/>
      </w:r>
      <w:bookmarkStart w:id="105" w:name="_Toc22676"/>
      <w:bookmarkStart w:id="106" w:name="_Toc18384"/>
      <w:bookmarkStart w:id="107" w:name="_Toc27143"/>
      <w:bookmarkStart w:id="108" w:name="_Toc485312286"/>
      <w:r>
        <w:rPr>
          <w:rFonts w:hint="eastAsia" w:ascii="Times New Roman" w:hAnsi="Times New Roman" w:eastAsia="方正仿宋_GB2312" w:cs="Times New Roman"/>
        </w:rPr>
        <w:t>（五）</w:t>
      </w:r>
      <w:r>
        <w:rPr>
          <w:rFonts w:ascii="Times New Roman" w:hAnsi="Times New Roman" w:eastAsia="方正仿宋_GB2312" w:cs="Times New Roman"/>
        </w:rPr>
        <w:t>问题澄清通知</w:t>
      </w:r>
      <w:bookmarkEnd w:id="105"/>
      <w:bookmarkEnd w:id="106"/>
      <w:bookmarkEnd w:id="107"/>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（投标人名称）：</w:t>
      </w:r>
    </w:p>
    <w:p>
      <w:pPr>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（招标项目名称）招标的评标委员会，对你方的投标文件进行了仔细的审查，现需你方对本通知所附质疑问卷中的问题以书面形式予以澄清、说明或者补正。</w:t>
      </w:r>
    </w:p>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质疑问题：</w:t>
      </w: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评标委员会员（签字）：</w:t>
      </w: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日期：年月日</w:t>
      </w:r>
    </w:p>
    <w:p>
      <w:pPr>
        <w:pStyle w:val="3"/>
        <w:rPr>
          <w:rFonts w:ascii="Times New Roman" w:hAnsi="Times New Roman" w:eastAsia="方正仿宋_GB2312" w:cs="Times New Roman"/>
          <w:b/>
        </w:rPr>
      </w:pPr>
      <w:r>
        <w:rPr>
          <w:rFonts w:ascii="Times New Roman" w:hAnsi="Times New Roman" w:eastAsia="方正仿宋_GB2312" w:cs="Times New Roman"/>
        </w:rPr>
        <w:br w:type="page"/>
      </w:r>
      <w:bookmarkStart w:id="109" w:name="_Toc14933"/>
      <w:bookmarkStart w:id="110" w:name="_Toc237"/>
      <w:bookmarkStart w:id="111" w:name="_Toc22711"/>
      <w:r>
        <w:rPr>
          <w:rFonts w:hint="eastAsia" w:ascii="Times New Roman" w:hAnsi="Times New Roman" w:eastAsia="方正仿宋_GB2312" w:cs="Times New Roman"/>
        </w:rPr>
        <w:t>（六）</w:t>
      </w:r>
      <w:r>
        <w:rPr>
          <w:rFonts w:ascii="Times New Roman" w:hAnsi="Times New Roman" w:eastAsia="方正仿宋_GB2312" w:cs="Times New Roman"/>
        </w:rPr>
        <w:t>问题的澄清、说明或补正</w:t>
      </w:r>
      <w:bookmarkEnd w:id="109"/>
      <w:bookmarkEnd w:id="110"/>
      <w:bookmarkEnd w:id="111"/>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评标委员会：</w:t>
      </w:r>
    </w:p>
    <w:p>
      <w:pPr>
        <w:spacing w:line="560" w:lineRule="exact"/>
        <w:ind w:firstLine="640" w:firstLineChars="200"/>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（招标项目名称）的问题澄清通知已收悉，现澄清、说明或者补正如下：</w:t>
      </w: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pStyle w:val="39"/>
        <w:spacing w:line="560" w:lineRule="exact"/>
        <w:ind w:firstLine="320"/>
        <w:rPr>
          <w:rFonts w:hint="default" w:ascii="Times New Roman" w:hAnsi="Times New Roman" w:eastAsia="方正仿宋_GB2312" w:cs="Times New Roman"/>
          <w:sz w:val="32"/>
          <w:szCs w:val="32"/>
        </w:rPr>
      </w:pPr>
    </w:p>
    <w:p>
      <w:pPr>
        <w:pStyle w:val="29"/>
        <w:spacing w:line="560" w:lineRule="exact"/>
        <w:rPr>
          <w:rFonts w:eastAsia="方正仿宋_GB2312"/>
          <w:kern w:val="0"/>
          <w:sz w:val="32"/>
          <w:szCs w:val="32"/>
        </w:rPr>
      </w:pP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p>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法定代表人或其授权委托人（签字）：</w:t>
      </w:r>
    </w:p>
    <w:p>
      <w:pPr>
        <w:spacing w:line="560" w:lineRule="exact"/>
        <w:rPr>
          <w:rFonts w:ascii="Times New Roman" w:hAnsi="Times New Roman" w:eastAsia="方正仿宋_GB2312" w:cs="Times New Roman"/>
          <w:kern w:val="0"/>
          <w:sz w:val="32"/>
          <w:szCs w:val="32"/>
        </w:rPr>
      </w:pPr>
    </w:p>
    <w:p>
      <w:pPr>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日期：年月日</w:t>
      </w:r>
    </w:p>
    <w:p>
      <w:pPr>
        <w:spacing w:line="560" w:lineRule="exact"/>
        <w:jc w:val="center"/>
        <w:outlineLvl w:val="0"/>
        <w:rPr>
          <w:rFonts w:ascii="Times New Roman" w:hAnsi="Times New Roman" w:eastAsia="方正仿宋_GB2312" w:cs="Times New Roman"/>
          <w:b/>
          <w:sz w:val="32"/>
          <w:szCs w:val="32"/>
        </w:rPr>
      </w:pPr>
      <w:r>
        <w:rPr>
          <w:rFonts w:ascii="Times New Roman" w:hAnsi="Times New Roman" w:eastAsia="方正仿宋_GB2312" w:cs="Times New Roman"/>
          <w:kern w:val="0"/>
          <w:sz w:val="32"/>
          <w:szCs w:val="32"/>
        </w:rPr>
        <w:br w:type="page"/>
      </w:r>
      <w:bookmarkEnd w:id="108"/>
      <w:bookmarkStart w:id="112" w:name="_Toc507586162"/>
      <w:bookmarkStart w:id="113" w:name="_Toc24614"/>
      <w:bookmarkStart w:id="114" w:name="_Toc6527"/>
      <w:bookmarkStart w:id="115" w:name="_Toc18533"/>
      <w:r>
        <w:rPr>
          <w:rStyle w:val="62"/>
          <w:rFonts w:hint="eastAsia"/>
          <w:bCs w:val="0"/>
        </w:rPr>
        <w:t>四、</w:t>
      </w:r>
      <w:r>
        <w:rPr>
          <w:rStyle w:val="62"/>
          <w:bCs w:val="0"/>
        </w:rPr>
        <w:t>合同条款及格式</w:t>
      </w:r>
      <w:bookmarkEnd w:id="112"/>
      <w:bookmarkEnd w:id="113"/>
      <w:bookmarkEnd w:id="114"/>
      <w:bookmarkEnd w:id="115"/>
    </w:p>
    <w:p>
      <w:pPr>
        <w:pStyle w:val="14"/>
        <w:widowControl w:val="0"/>
        <w:spacing w:before="0" w:beforeAutospacing="0" w:after="0" w:afterAutospacing="0" w:line="560" w:lineRule="exact"/>
        <w:ind w:firstLine="640" w:firstLineChars="200"/>
        <w:jc w:val="center"/>
        <w:rPr>
          <w:rFonts w:ascii="Times New Roman" w:hAnsi="Times New Roman" w:eastAsia="方正仿宋_GB2312" w:cs="Times New Roman"/>
          <w:sz w:val="32"/>
          <w:szCs w:val="32"/>
        </w:rPr>
      </w:pPr>
      <w:bookmarkStart w:id="116" w:name="_Toc3582"/>
      <w:bookmarkStart w:id="117" w:name="_Toc507586163"/>
      <w:r>
        <w:rPr>
          <w:rFonts w:ascii="Times New Roman" w:hAnsi="Times New Roman" w:eastAsia="方正仿宋_GB2312" w:cs="Times New Roman"/>
          <w:kern w:val="2"/>
          <w:sz w:val="32"/>
          <w:szCs w:val="32"/>
          <w:lang w:bidi="ar"/>
        </w:rPr>
        <w:t>（以采购人实际签订为准）</w:t>
      </w:r>
      <w:bookmarkEnd w:id="116"/>
    </w:p>
    <w:bookmarkEnd w:id="117"/>
    <w:p>
      <w:pPr>
        <w:spacing w:line="360" w:lineRule="auto"/>
        <w:jc w:val="center"/>
        <w:outlineLvl w:val="0"/>
        <w:rPr>
          <w:rFonts w:eastAsia="仿宋"/>
          <w:b/>
          <w:bCs/>
          <w:sz w:val="28"/>
          <w:szCs w:val="28"/>
        </w:rPr>
      </w:pPr>
      <w:bookmarkStart w:id="118" w:name="_Toc138638910"/>
      <w:bookmarkEnd w:id="118"/>
      <w:bookmarkStart w:id="119" w:name="_Toc138638509"/>
      <w:bookmarkEnd w:id="119"/>
      <w:bookmarkStart w:id="120" w:name="_Toc138638884"/>
      <w:bookmarkEnd w:id="120"/>
      <w:bookmarkStart w:id="121" w:name="_Toc138639074"/>
      <w:bookmarkEnd w:id="121"/>
      <w:bookmarkStart w:id="122" w:name="_Toc138638534"/>
      <w:bookmarkEnd w:id="122"/>
      <w:bookmarkStart w:id="123" w:name="_合同文件的组成及解释顺序"/>
      <w:bookmarkEnd w:id="123"/>
      <w:bookmarkStart w:id="124" w:name="_Toc138639091"/>
      <w:bookmarkEnd w:id="124"/>
      <w:bookmarkStart w:id="125" w:name="_Toc138638702"/>
      <w:bookmarkEnd w:id="125"/>
      <w:bookmarkStart w:id="126" w:name="_Toc138638535"/>
      <w:bookmarkEnd w:id="126"/>
      <w:bookmarkStart w:id="127" w:name="_Toc138638538"/>
      <w:bookmarkEnd w:id="127"/>
      <w:bookmarkStart w:id="128" w:name="_Toc138639090"/>
      <w:bookmarkEnd w:id="128"/>
      <w:bookmarkStart w:id="129" w:name="_Toc138638719"/>
      <w:bookmarkEnd w:id="129"/>
      <w:bookmarkStart w:id="130" w:name="_Toc138639145"/>
      <w:bookmarkEnd w:id="130"/>
      <w:bookmarkStart w:id="131" w:name="_Toc138638883"/>
      <w:bookmarkEnd w:id="131"/>
      <w:bookmarkStart w:id="132" w:name="_Toc138638718"/>
      <w:bookmarkEnd w:id="132"/>
      <w:bookmarkStart w:id="133" w:name="_Toc138638906"/>
      <w:bookmarkEnd w:id="133"/>
      <w:bookmarkStart w:id="134" w:name="_Toc138638510"/>
      <w:bookmarkEnd w:id="134"/>
      <w:bookmarkStart w:id="135" w:name="_Toc138638907"/>
      <w:bookmarkEnd w:id="135"/>
      <w:bookmarkStart w:id="136" w:name="_Toc138638773"/>
      <w:bookmarkEnd w:id="136"/>
      <w:bookmarkStart w:id="137" w:name="_Toc2691"/>
      <w:bookmarkStart w:id="138" w:name="_Toc12783"/>
      <w:bookmarkStart w:id="139" w:name="_Toc28076"/>
      <w:bookmarkStart w:id="140" w:name="_Toc23874"/>
      <w:bookmarkStart w:id="141" w:name="_Toc32192"/>
      <w:bookmarkStart w:id="142" w:name="_Toc12088"/>
      <w:bookmarkStart w:id="143" w:name="_Toc21152"/>
      <w:r>
        <w:rPr>
          <w:rFonts w:eastAsia="仿宋"/>
          <w:b/>
          <w:bCs/>
          <w:sz w:val="28"/>
          <w:szCs w:val="28"/>
        </w:rPr>
        <w:t>政府采购合同</w:t>
      </w:r>
      <w:bookmarkEnd w:id="137"/>
      <w:bookmarkEnd w:id="138"/>
      <w:bookmarkEnd w:id="139"/>
      <w:bookmarkEnd w:id="140"/>
    </w:p>
    <w:p>
      <w:pPr>
        <w:pStyle w:val="207"/>
        <w:ind w:firstLine="560"/>
        <w:rPr>
          <w:rFonts w:eastAsia="仿宋"/>
          <w:sz w:val="28"/>
          <w:szCs w:val="28"/>
        </w:rPr>
      </w:pPr>
    </w:p>
    <w:p>
      <w:pPr>
        <w:pStyle w:val="207"/>
        <w:ind w:firstLine="560"/>
        <w:rPr>
          <w:rFonts w:eastAsia="仿宋"/>
          <w:sz w:val="28"/>
          <w:szCs w:val="28"/>
        </w:rPr>
      </w:pPr>
    </w:p>
    <w:p>
      <w:pPr>
        <w:pStyle w:val="207"/>
        <w:ind w:firstLine="562"/>
        <w:jc w:val="center"/>
        <w:outlineLvl w:val="0"/>
        <w:rPr>
          <w:rFonts w:eastAsia="仿宋"/>
          <w:b/>
          <w:bCs/>
          <w:sz w:val="28"/>
          <w:szCs w:val="28"/>
        </w:rPr>
      </w:pPr>
      <w:bookmarkStart w:id="144" w:name="_Toc1212"/>
      <w:bookmarkStart w:id="145" w:name="_Toc5404"/>
      <w:bookmarkStart w:id="146" w:name="_Toc21311"/>
      <w:bookmarkStart w:id="147" w:name="_Toc7173"/>
      <w:r>
        <w:rPr>
          <w:rFonts w:eastAsia="仿宋"/>
          <w:b/>
          <w:bCs/>
          <w:sz w:val="28"/>
          <w:szCs w:val="28"/>
        </w:rPr>
        <w:t>第一部分合同书</w:t>
      </w:r>
      <w:bookmarkEnd w:id="144"/>
      <w:bookmarkEnd w:id="145"/>
      <w:bookmarkEnd w:id="146"/>
      <w:bookmarkEnd w:id="147"/>
    </w:p>
    <w:p>
      <w:pPr>
        <w:pStyle w:val="207"/>
        <w:ind w:firstLine="560"/>
        <w:rPr>
          <w:rFonts w:eastAsia="仿宋"/>
          <w:sz w:val="28"/>
          <w:szCs w:val="28"/>
        </w:rPr>
      </w:pPr>
    </w:p>
    <w:p>
      <w:pPr>
        <w:pStyle w:val="207"/>
        <w:ind w:firstLine="560"/>
        <w:rPr>
          <w:rFonts w:eastAsia="仿宋"/>
          <w:sz w:val="28"/>
          <w:szCs w:val="28"/>
        </w:rPr>
      </w:pPr>
    </w:p>
    <w:p>
      <w:pPr>
        <w:spacing w:before="120" w:line="360" w:lineRule="auto"/>
        <w:rPr>
          <w:rFonts w:eastAsia="仿宋"/>
          <w:sz w:val="28"/>
          <w:szCs w:val="28"/>
        </w:rPr>
      </w:pPr>
    </w:p>
    <w:p>
      <w:pPr>
        <w:spacing w:line="360" w:lineRule="auto"/>
        <w:ind w:left="2520" w:hanging="2520" w:hangingChars="900"/>
        <w:jc w:val="left"/>
        <w:rPr>
          <w:rFonts w:eastAsia="仿宋"/>
          <w:sz w:val="28"/>
          <w:szCs w:val="28"/>
        </w:rPr>
      </w:pPr>
      <w:r>
        <w:rPr>
          <w:rFonts w:eastAsia="仿宋"/>
          <w:sz w:val="28"/>
          <w:szCs w:val="28"/>
        </w:rPr>
        <w:t>项目名称：</w:t>
      </w:r>
      <w:r>
        <w:rPr>
          <w:rFonts w:hint="eastAsia" w:eastAsia="仿宋"/>
          <w:sz w:val="28"/>
          <w:szCs w:val="28"/>
        </w:rPr>
        <w:t>裕民县农畜产品5G+区块链+高精全追踪溯源项目</w:t>
      </w:r>
    </w:p>
    <w:p>
      <w:pPr>
        <w:spacing w:line="360" w:lineRule="auto"/>
        <w:ind w:left="2520" w:hanging="2520" w:hangingChars="900"/>
        <w:jc w:val="left"/>
        <w:rPr>
          <w:rFonts w:eastAsia="仿宋"/>
          <w:sz w:val="28"/>
          <w:szCs w:val="28"/>
          <w:u w:val="single"/>
        </w:rPr>
      </w:pPr>
    </w:p>
    <w:p>
      <w:pPr>
        <w:spacing w:before="120" w:line="360" w:lineRule="auto"/>
        <w:ind w:left="960"/>
        <w:rPr>
          <w:rFonts w:eastAsia="仿宋"/>
          <w:sz w:val="28"/>
          <w:szCs w:val="28"/>
        </w:rPr>
      </w:pPr>
    </w:p>
    <w:p>
      <w:pPr>
        <w:pStyle w:val="218"/>
        <w:spacing w:before="120"/>
        <w:rPr>
          <w:rFonts w:ascii="Times New Roman" w:eastAsia="仿宋"/>
          <w:sz w:val="28"/>
          <w:szCs w:val="28"/>
        </w:rPr>
      </w:pPr>
    </w:p>
    <w:p>
      <w:pPr>
        <w:spacing w:line="360" w:lineRule="auto"/>
        <w:rPr>
          <w:rFonts w:eastAsia="仿宋"/>
          <w:sz w:val="28"/>
          <w:szCs w:val="28"/>
        </w:rPr>
      </w:pPr>
    </w:p>
    <w:p>
      <w:pPr>
        <w:spacing w:before="120" w:line="360" w:lineRule="auto"/>
        <w:ind w:firstLine="560" w:firstLineChars="200"/>
        <w:rPr>
          <w:rFonts w:eastAsia="仿宋"/>
          <w:sz w:val="28"/>
          <w:szCs w:val="28"/>
        </w:rPr>
      </w:pPr>
      <w:r>
        <w:rPr>
          <w:rFonts w:eastAsia="仿宋"/>
          <w:sz w:val="28"/>
          <w:szCs w:val="28"/>
        </w:rPr>
        <w:t>甲方：</w:t>
      </w:r>
    </w:p>
    <w:p>
      <w:pPr>
        <w:spacing w:before="120" w:line="360" w:lineRule="auto"/>
        <w:ind w:firstLine="560" w:firstLineChars="200"/>
        <w:rPr>
          <w:rFonts w:eastAsia="仿宋"/>
          <w:sz w:val="28"/>
          <w:szCs w:val="28"/>
        </w:rPr>
      </w:pPr>
      <w:r>
        <w:rPr>
          <w:rFonts w:eastAsia="仿宋"/>
          <w:sz w:val="28"/>
          <w:szCs w:val="28"/>
        </w:rPr>
        <w:t>乙方：</w:t>
      </w:r>
    </w:p>
    <w:p>
      <w:pPr>
        <w:spacing w:before="120" w:line="360" w:lineRule="auto"/>
        <w:ind w:firstLine="560" w:firstLineChars="200"/>
        <w:rPr>
          <w:rFonts w:eastAsia="仿宋"/>
          <w:sz w:val="28"/>
          <w:szCs w:val="28"/>
        </w:rPr>
      </w:pPr>
      <w:r>
        <w:rPr>
          <w:rFonts w:eastAsia="仿宋"/>
          <w:sz w:val="28"/>
          <w:szCs w:val="28"/>
        </w:rPr>
        <w:t>签订地：</w:t>
      </w:r>
    </w:p>
    <w:p>
      <w:pPr>
        <w:spacing w:before="120" w:line="360" w:lineRule="auto"/>
        <w:ind w:firstLine="560" w:firstLineChars="200"/>
        <w:rPr>
          <w:rFonts w:eastAsia="仿宋"/>
          <w:sz w:val="28"/>
          <w:szCs w:val="28"/>
          <w:u w:val="single"/>
        </w:rPr>
      </w:pPr>
      <w:r>
        <w:rPr>
          <w:rFonts w:eastAsia="仿宋"/>
          <w:sz w:val="28"/>
          <w:szCs w:val="28"/>
        </w:rPr>
        <w:t>签订日期：年月日</w:t>
      </w:r>
    </w:p>
    <w:p>
      <w:pPr>
        <w:autoSpaceDE w:val="0"/>
        <w:autoSpaceDN w:val="0"/>
        <w:adjustRightInd w:val="0"/>
        <w:spacing w:line="360" w:lineRule="auto"/>
        <w:ind w:firstLine="640"/>
        <w:jc w:val="center"/>
        <w:rPr>
          <w:rFonts w:eastAsia="仿宋"/>
          <w:sz w:val="28"/>
          <w:szCs w:val="28"/>
        </w:rPr>
        <w:sectPr>
          <w:headerReference r:id="rId6" w:type="default"/>
          <w:footerReference r:id="rId7" w:type="default"/>
          <w:pgSz w:w="11907" w:h="16840"/>
          <w:pgMar w:top="1474" w:right="1814" w:bottom="1474" w:left="1814" w:header="851" w:footer="851" w:gutter="0"/>
          <w:cols w:space="720" w:num="1"/>
          <w:docGrid w:linePitch="462" w:charSpace="0"/>
        </w:sectPr>
      </w:pPr>
    </w:p>
    <w:p>
      <w:pPr>
        <w:spacing w:line="360" w:lineRule="auto"/>
        <w:ind w:firstLine="840" w:firstLineChars="300"/>
        <w:jc w:val="left"/>
        <w:rPr>
          <w:rFonts w:eastAsia="仿宋"/>
          <w:sz w:val="28"/>
          <w:szCs w:val="28"/>
        </w:rPr>
      </w:pPr>
      <w:r>
        <w:rPr>
          <w:rFonts w:eastAsia="仿宋"/>
          <w:sz w:val="28"/>
          <w:szCs w:val="28"/>
          <w:lang w:val="zh-CN"/>
        </w:rPr>
        <w:t>年月日</w:t>
      </w:r>
      <w:r>
        <w:rPr>
          <w:rFonts w:eastAsia="仿宋"/>
          <w:sz w:val="28"/>
          <w:szCs w:val="28"/>
        </w:rPr>
        <w:t>，</w:t>
      </w:r>
      <w:r>
        <w:rPr>
          <w:rFonts w:eastAsia="仿宋"/>
          <w:sz w:val="28"/>
          <w:szCs w:val="28"/>
          <w:u w:val="single"/>
        </w:rPr>
        <w:t>裕民县商务和工业信息化局</w:t>
      </w:r>
      <w:r>
        <w:rPr>
          <w:rFonts w:eastAsia="仿宋"/>
          <w:sz w:val="28"/>
          <w:szCs w:val="28"/>
        </w:rPr>
        <w:t>以</w:t>
      </w:r>
      <w:r>
        <w:rPr>
          <w:rFonts w:eastAsia="仿宋"/>
          <w:sz w:val="28"/>
          <w:szCs w:val="28"/>
          <w:u w:val="single"/>
        </w:rPr>
        <w:t>公开招标方式</w:t>
      </w:r>
      <w:r>
        <w:rPr>
          <w:rFonts w:eastAsia="仿宋"/>
          <w:sz w:val="28"/>
          <w:szCs w:val="28"/>
        </w:rPr>
        <w:t>对</w:t>
      </w:r>
      <w:r>
        <w:rPr>
          <w:rFonts w:hint="eastAsia" w:eastAsia="仿宋"/>
          <w:sz w:val="28"/>
          <w:szCs w:val="28"/>
          <w:u w:val="single"/>
        </w:rPr>
        <w:t>裕民县农畜产品5G+区块链+高精全追踪溯源项目</w:t>
      </w:r>
      <w:r>
        <w:rPr>
          <w:rFonts w:eastAsia="仿宋"/>
          <w:sz w:val="28"/>
          <w:szCs w:val="28"/>
        </w:rPr>
        <w:t>进行了采购。经</w:t>
      </w:r>
      <w:r>
        <w:rPr>
          <w:rFonts w:eastAsia="仿宋"/>
          <w:sz w:val="28"/>
          <w:szCs w:val="28"/>
          <w:u w:val="single"/>
        </w:rPr>
        <w:t>（相关评定主体名称）</w:t>
      </w:r>
      <w:r>
        <w:rPr>
          <w:rFonts w:eastAsia="仿宋"/>
          <w:sz w:val="28"/>
          <w:szCs w:val="28"/>
        </w:rPr>
        <w:t>评定，</w:t>
      </w:r>
      <w:r>
        <w:rPr>
          <w:rFonts w:eastAsia="仿宋"/>
          <w:sz w:val="28"/>
          <w:szCs w:val="28"/>
          <w:u w:val="single"/>
        </w:rPr>
        <w:t>（中标供应商名称）</w:t>
      </w:r>
      <w:r>
        <w:rPr>
          <w:rFonts w:eastAsia="仿宋"/>
          <w:sz w:val="28"/>
          <w:szCs w:val="28"/>
        </w:rPr>
        <w:t>为该项目中标供应商。现于中标通知书发出之日起三十日内，按照采购文件确定的事项签订本合同。</w:t>
      </w:r>
    </w:p>
    <w:p>
      <w:pPr>
        <w:spacing w:line="360" w:lineRule="auto"/>
        <w:ind w:firstLine="560" w:firstLineChars="200"/>
        <w:rPr>
          <w:rFonts w:eastAsia="仿宋"/>
          <w:sz w:val="28"/>
          <w:szCs w:val="28"/>
        </w:rPr>
      </w:pPr>
      <w:r>
        <w:rPr>
          <w:rFonts w:eastAsia="仿宋"/>
          <w:sz w:val="28"/>
          <w:szCs w:val="28"/>
          <w:lang w:val="zh-CN"/>
        </w:rPr>
        <w:t>根据《中华人民共和国</w:t>
      </w:r>
      <w:r>
        <w:rPr>
          <w:rFonts w:hint="eastAsia" w:eastAsia="仿宋"/>
          <w:sz w:val="28"/>
          <w:szCs w:val="28"/>
          <w:lang w:val="zh-CN"/>
        </w:rPr>
        <w:t>民法典</w:t>
      </w:r>
      <w:r>
        <w:rPr>
          <w:rFonts w:eastAsia="仿宋"/>
          <w:sz w:val="28"/>
          <w:szCs w:val="28"/>
          <w:lang w:val="zh-CN"/>
        </w:rPr>
        <w:t>》、《中华人民共和国政府采购法》等相关法律法规之规定，按照平等、自愿、公平和诚实信用的原则，经</w:t>
      </w:r>
      <w:r>
        <w:rPr>
          <w:rFonts w:eastAsia="仿宋"/>
          <w:sz w:val="28"/>
          <w:szCs w:val="28"/>
          <w:u w:val="single"/>
        </w:rPr>
        <w:t>（采购人名称）</w:t>
      </w:r>
      <w:r>
        <w:rPr>
          <w:rFonts w:eastAsia="仿宋"/>
          <w:sz w:val="28"/>
          <w:szCs w:val="28"/>
          <w:lang w:val="zh-CN"/>
        </w:rPr>
        <w:t>(以下简称：甲方)和</w:t>
      </w:r>
      <w:r>
        <w:rPr>
          <w:rFonts w:eastAsia="仿宋"/>
          <w:sz w:val="28"/>
          <w:szCs w:val="28"/>
          <w:u w:val="single"/>
        </w:rPr>
        <w:t>（中标供应商名称）</w:t>
      </w:r>
      <w:r>
        <w:rPr>
          <w:rFonts w:eastAsia="仿宋"/>
          <w:sz w:val="28"/>
          <w:szCs w:val="28"/>
          <w:lang w:val="zh-CN"/>
        </w:rPr>
        <w:t>(以下简称：乙方)协商一致，约定以下合同</w:t>
      </w:r>
      <w:r>
        <w:rPr>
          <w:rFonts w:eastAsia="仿宋"/>
          <w:sz w:val="28"/>
          <w:szCs w:val="28"/>
        </w:rPr>
        <w:t>条款，以兹共同遵守、全面履行。</w:t>
      </w:r>
    </w:p>
    <w:p>
      <w:pPr>
        <w:spacing w:line="360" w:lineRule="auto"/>
        <w:ind w:firstLine="562" w:firstLineChars="200"/>
        <w:outlineLvl w:val="1"/>
        <w:rPr>
          <w:rFonts w:eastAsia="仿宋"/>
          <w:sz w:val="28"/>
          <w:szCs w:val="28"/>
        </w:rPr>
      </w:pPr>
      <w:bookmarkStart w:id="148" w:name="_Toc28855"/>
      <w:bookmarkStart w:id="149" w:name="_Toc13913"/>
      <w:bookmarkStart w:id="150" w:name="_Toc17104"/>
      <w:bookmarkStart w:id="151" w:name="_Toc22967"/>
      <w:bookmarkStart w:id="152" w:name="_Toc20421"/>
      <w:bookmarkStart w:id="153" w:name="_Toc19273"/>
      <w:bookmarkStart w:id="154" w:name="_Toc24382"/>
      <w:bookmarkStart w:id="155" w:name="_Toc15512"/>
      <w:bookmarkStart w:id="156" w:name="_Toc16315"/>
      <w:bookmarkStart w:id="157" w:name="_Toc10692"/>
      <w:bookmarkStart w:id="158" w:name="_Toc15367"/>
      <w:r>
        <w:rPr>
          <w:rFonts w:eastAsia="仿宋"/>
          <w:b/>
          <w:bCs/>
          <w:sz w:val="28"/>
          <w:szCs w:val="28"/>
        </w:rPr>
        <w:t>1.1 合同组成部分</w:t>
      </w:r>
      <w:bookmarkEnd w:id="148"/>
      <w:bookmarkEnd w:id="149"/>
      <w:bookmarkEnd w:id="150"/>
      <w:bookmarkEnd w:id="151"/>
      <w:bookmarkEnd w:id="152"/>
      <w:bookmarkEnd w:id="153"/>
      <w:bookmarkEnd w:id="154"/>
      <w:bookmarkEnd w:id="155"/>
      <w:bookmarkEnd w:id="156"/>
      <w:bookmarkEnd w:id="157"/>
      <w:bookmarkEnd w:id="158"/>
    </w:p>
    <w:p>
      <w:pPr>
        <w:spacing w:line="360" w:lineRule="auto"/>
        <w:ind w:firstLine="560" w:firstLineChars="200"/>
        <w:rPr>
          <w:rFonts w:eastAsia="仿宋"/>
          <w:sz w:val="28"/>
          <w:szCs w:val="28"/>
        </w:rPr>
      </w:pPr>
      <w:r>
        <w:rPr>
          <w:rFonts w:eastAsia="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eastAsia="仿宋"/>
          <w:sz w:val="28"/>
          <w:szCs w:val="28"/>
        </w:rPr>
      </w:pPr>
      <w:r>
        <w:rPr>
          <w:rFonts w:eastAsia="仿宋"/>
          <w:sz w:val="28"/>
          <w:szCs w:val="28"/>
        </w:rPr>
        <w:t>1.1.1 本合同及其补充合同、变更协议；</w:t>
      </w:r>
    </w:p>
    <w:p>
      <w:pPr>
        <w:spacing w:line="360" w:lineRule="auto"/>
        <w:ind w:firstLine="560" w:firstLineChars="200"/>
        <w:rPr>
          <w:rFonts w:eastAsia="仿宋"/>
          <w:sz w:val="28"/>
          <w:szCs w:val="28"/>
        </w:rPr>
      </w:pPr>
      <w:r>
        <w:rPr>
          <w:rFonts w:eastAsia="仿宋"/>
          <w:sz w:val="28"/>
          <w:szCs w:val="28"/>
        </w:rPr>
        <w:t>1.1.2 中标通知书；</w:t>
      </w:r>
    </w:p>
    <w:p>
      <w:pPr>
        <w:spacing w:line="360" w:lineRule="auto"/>
        <w:ind w:firstLine="560" w:firstLineChars="200"/>
        <w:rPr>
          <w:rFonts w:eastAsia="仿宋"/>
          <w:sz w:val="28"/>
          <w:szCs w:val="28"/>
        </w:rPr>
      </w:pPr>
      <w:r>
        <w:rPr>
          <w:rFonts w:eastAsia="仿宋"/>
          <w:sz w:val="28"/>
          <w:szCs w:val="28"/>
        </w:rPr>
        <w:t>1.1.3 投标文件（含澄清或者说明文件）；</w:t>
      </w:r>
    </w:p>
    <w:p>
      <w:pPr>
        <w:spacing w:line="360" w:lineRule="auto"/>
        <w:ind w:firstLine="560" w:firstLineChars="200"/>
        <w:rPr>
          <w:rFonts w:eastAsia="仿宋"/>
          <w:sz w:val="28"/>
          <w:szCs w:val="28"/>
        </w:rPr>
      </w:pPr>
      <w:r>
        <w:rPr>
          <w:rFonts w:eastAsia="仿宋"/>
          <w:sz w:val="28"/>
          <w:szCs w:val="28"/>
        </w:rPr>
        <w:t>1.1.4 招标文件（含澄清或者修改文件）；</w:t>
      </w:r>
    </w:p>
    <w:p>
      <w:pPr>
        <w:spacing w:line="360" w:lineRule="auto"/>
        <w:ind w:firstLine="560" w:firstLineChars="200"/>
        <w:rPr>
          <w:rFonts w:eastAsia="仿宋"/>
          <w:sz w:val="28"/>
          <w:szCs w:val="28"/>
        </w:rPr>
      </w:pPr>
      <w:r>
        <w:rPr>
          <w:rFonts w:eastAsia="仿宋"/>
          <w:sz w:val="28"/>
          <w:szCs w:val="28"/>
        </w:rPr>
        <w:t>1.1.5 其他相关采购文件。</w:t>
      </w:r>
    </w:p>
    <w:p>
      <w:pPr>
        <w:spacing w:line="360" w:lineRule="auto"/>
        <w:ind w:firstLine="562" w:firstLineChars="200"/>
        <w:outlineLvl w:val="1"/>
        <w:rPr>
          <w:rFonts w:eastAsia="仿宋"/>
          <w:b/>
          <w:bCs/>
          <w:sz w:val="28"/>
          <w:szCs w:val="28"/>
        </w:rPr>
      </w:pPr>
      <w:bookmarkStart w:id="159" w:name="_Toc6311"/>
      <w:bookmarkStart w:id="160" w:name="_Toc2918"/>
      <w:bookmarkStart w:id="161" w:name="_Toc6773"/>
      <w:bookmarkStart w:id="162" w:name="_Toc22185"/>
      <w:bookmarkStart w:id="163" w:name="_Toc18585"/>
      <w:bookmarkStart w:id="164" w:name="_Toc24140"/>
      <w:bookmarkStart w:id="165" w:name="_Toc27040"/>
      <w:bookmarkStart w:id="166" w:name="_Toc10091"/>
      <w:bookmarkStart w:id="167" w:name="_Toc7536"/>
      <w:bookmarkStart w:id="168" w:name="_Toc10622"/>
      <w:bookmarkStart w:id="169" w:name="_Toc3854"/>
      <w:r>
        <w:rPr>
          <w:rFonts w:eastAsia="仿宋"/>
          <w:b/>
          <w:bCs/>
          <w:sz w:val="28"/>
          <w:szCs w:val="28"/>
        </w:rPr>
        <w:t>1.2 标的</w:t>
      </w:r>
      <w:bookmarkEnd w:id="159"/>
      <w:bookmarkEnd w:id="160"/>
      <w:bookmarkEnd w:id="161"/>
      <w:bookmarkEnd w:id="162"/>
      <w:bookmarkEnd w:id="163"/>
      <w:bookmarkEnd w:id="164"/>
      <w:bookmarkEnd w:id="165"/>
      <w:bookmarkEnd w:id="166"/>
      <w:bookmarkEnd w:id="167"/>
      <w:bookmarkEnd w:id="168"/>
      <w:bookmarkEnd w:id="169"/>
    </w:p>
    <w:p>
      <w:pPr>
        <w:spacing w:line="360" w:lineRule="auto"/>
        <w:ind w:firstLine="560" w:firstLineChars="200"/>
        <w:jc w:val="left"/>
        <w:rPr>
          <w:rFonts w:eastAsia="仿宋"/>
          <w:sz w:val="28"/>
          <w:szCs w:val="28"/>
          <w:u w:val="single"/>
        </w:rPr>
      </w:pPr>
      <w:r>
        <w:rPr>
          <w:rFonts w:eastAsia="仿宋"/>
          <w:sz w:val="28"/>
          <w:szCs w:val="28"/>
        </w:rPr>
        <w:t>1.2.1 标的名称：</w:t>
      </w:r>
      <w:r>
        <w:rPr>
          <w:rFonts w:hint="eastAsia" w:eastAsia="仿宋"/>
          <w:sz w:val="28"/>
          <w:szCs w:val="28"/>
          <w:u w:val="single"/>
        </w:rPr>
        <w:t>裕民县农畜产品5G+区块链+高精全追踪溯源项目</w:t>
      </w:r>
      <w:r>
        <w:rPr>
          <w:rFonts w:eastAsia="仿宋"/>
          <w:sz w:val="28"/>
          <w:szCs w:val="28"/>
          <w:u w:val="single"/>
        </w:rPr>
        <w:t>（详见清单）</w:t>
      </w:r>
    </w:p>
    <w:p>
      <w:pPr>
        <w:spacing w:line="360" w:lineRule="auto"/>
        <w:ind w:firstLine="560" w:firstLineChars="200"/>
        <w:rPr>
          <w:rFonts w:eastAsia="仿宋"/>
          <w:sz w:val="28"/>
          <w:szCs w:val="28"/>
          <w:u w:val="single"/>
        </w:rPr>
      </w:pPr>
      <w:r>
        <w:rPr>
          <w:rFonts w:eastAsia="仿宋"/>
          <w:sz w:val="28"/>
          <w:szCs w:val="28"/>
        </w:rPr>
        <w:t>1.2.2 标的数量：</w:t>
      </w:r>
      <w:r>
        <w:rPr>
          <w:rFonts w:eastAsia="仿宋"/>
          <w:sz w:val="28"/>
          <w:szCs w:val="28"/>
          <w:u w:val="single"/>
        </w:rPr>
        <w:t>按招标文件要求（详见清单）</w:t>
      </w:r>
    </w:p>
    <w:p>
      <w:pPr>
        <w:spacing w:line="360" w:lineRule="auto"/>
        <w:ind w:firstLine="560" w:firstLineChars="200"/>
        <w:rPr>
          <w:rFonts w:eastAsia="仿宋"/>
          <w:sz w:val="28"/>
          <w:szCs w:val="28"/>
        </w:rPr>
      </w:pPr>
      <w:r>
        <w:rPr>
          <w:rFonts w:eastAsia="仿宋"/>
          <w:sz w:val="28"/>
          <w:szCs w:val="28"/>
        </w:rPr>
        <w:t>1.2.3 标的质量：</w:t>
      </w:r>
      <w:r>
        <w:rPr>
          <w:rFonts w:eastAsia="仿宋"/>
          <w:sz w:val="28"/>
          <w:szCs w:val="28"/>
          <w:u w:val="single"/>
        </w:rPr>
        <w:t>按招标文件要求和投标文件的实际填写。</w:t>
      </w:r>
    </w:p>
    <w:p>
      <w:pPr>
        <w:spacing w:line="360" w:lineRule="auto"/>
        <w:ind w:firstLine="562" w:firstLineChars="200"/>
        <w:outlineLvl w:val="1"/>
        <w:rPr>
          <w:rFonts w:eastAsia="仿宋"/>
          <w:b/>
          <w:bCs/>
          <w:sz w:val="28"/>
          <w:szCs w:val="28"/>
        </w:rPr>
      </w:pPr>
      <w:bookmarkStart w:id="170" w:name="_Toc21124"/>
      <w:bookmarkStart w:id="171" w:name="_Toc10350"/>
      <w:bookmarkStart w:id="172" w:name="_Toc1386"/>
      <w:bookmarkStart w:id="173" w:name="_Toc23872"/>
      <w:bookmarkStart w:id="174" w:name="_Toc5635"/>
      <w:bookmarkStart w:id="175" w:name="_Toc22890"/>
      <w:bookmarkStart w:id="176" w:name="_Toc20450"/>
      <w:bookmarkStart w:id="177" w:name="_Toc30162"/>
      <w:bookmarkStart w:id="178" w:name="_Toc11112"/>
      <w:bookmarkStart w:id="179" w:name="_Toc4929"/>
      <w:bookmarkStart w:id="180" w:name="_Toc13918"/>
      <w:r>
        <w:rPr>
          <w:rFonts w:eastAsia="仿宋"/>
          <w:b/>
          <w:bCs/>
          <w:sz w:val="28"/>
          <w:szCs w:val="28"/>
        </w:rPr>
        <w:t>1.3 价款</w:t>
      </w:r>
      <w:bookmarkEnd w:id="170"/>
      <w:bookmarkEnd w:id="171"/>
      <w:bookmarkEnd w:id="172"/>
      <w:bookmarkEnd w:id="173"/>
      <w:bookmarkEnd w:id="174"/>
      <w:bookmarkEnd w:id="175"/>
      <w:bookmarkEnd w:id="176"/>
      <w:bookmarkEnd w:id="177"/>
      <w:bookmarkEnd w:id="178"/>
      <w:bookmarkEnd w:id="179"/>
      <w:bookmarkEnd w:id="180"/>
    </w:p>
    <w:p>
      <w:pPr>
        <w:spacing w:line="360" w:lineRule="auto"/>
        <w:ind w:firstLine="560" w:firstLineChars="200"/>
        <w:rPr>
          <w:rFonts w:eastAsia="仿宋"/>
          <w:sz w:val="28"/>
          <w:szCs w:val="28"/>
        </w:rPr>
      </w:pPr>
      <w:r>
        <w:rPr>
          <w:rFonts w:eastAsia="仿宋"/>
          <w:sz w:val="28"/>
          <w:szCs w:val="28"/>
        </w:rPr>
        <w:t>本合同总价为：￥元（大写：元人民币）。</w:t>
      </w:r>
    </w:p>
    <w:p>
      <w:pPr>
        <w:spacing w:line="360" w:lineRule="auto"/>
        <w:ind w:firstLine="560" w:firstLineChars="200"/>
        <w:rPr>
          <w:rFonts w:eastAsia="仿宋"/>
          <w:sz w:val="28"/>
          <w:szCs w:val="28"/>
          <w:u w:val="single"/>
        </w:rPr>
      </w:pPr>
      <w:r>
        <w:rPr>
          <w:rFonts w:eastAsia="仿宋"/>
          <w:sz w:val="28"/>
          <w:szCs w:val="28"/>
        </w:rPr>
        <w:t>分项价格：</w:t>
      </w:r>
    </w:p>
    <w:tbl>
      <w:tblPr>
        <w:tblStyle w:val="41"/>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3402"/>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pPr>
              <w:pStyle w:val="210"/>
              <w:spacing w:line="360" w:lineRule="auto"/>
              <w:jc w:val="center"/>
              <w:rPr>
                <w:rFonts w:ascii="Times New Roman" w:hAnsi="Times New Roman" w:eastAsia="仿宋"/>
                <w:color w:val="000000"/>
                <w:sz w:val="28"/>
                <w:szCs w:val="28"/>
              </w:rPr>
            </w:pPr>
            <w:r>
              <w:rPr>
                <w:rFonts w:ascii="Times New Roman" w:hAnsi="Times New Roman" w:eastAsia="仿宋"/>
                <w:color w:val="000000"/>
                <w:sz w:val="28"/>
                <w:szCs w:val="28"/>
              </w:rPr>
              <w:t>序号</w:t>
            </w:r>
          </w:p>
        </w:tc>
        <w:tc>
          <w:tcPr>
            <w:tcW w:w="3402" w:type="dxa"/>
            <w:vAlign w:val="center"/>
          </w:tcPr>
          <w:p>
            <w:pPr>
              <w:pStyle w:val="210"/>
              <w:spacing w:line="360" w:lineRule="auto"/>
              <w:ind w:firstLine="200"/>
              <w:jc w:val="center"/>
              <w:rPr>
                <w:rFonts w:ascii="Times New Roman" w:hAnsi="Times New Roman" w:eastAsia="仿宋"/>
                <w:color w:val="000000"/>
                <w:sz w:val="28"/>
                <w:szCs w:val="28"/>
              </w:rPr>
            </w:pPr>
            <w:r>
              <w:rPr>
                <w:rFonts w:ascii="Times New Roman" w:hAnsi="Times New Roman" w:eastAsia="仿宋"/>
                <w:color w:val="000000"/>
                <w:sz w:val="28"/>
                <w:szCs w:val="28"/>
              </w:rPr>
              <w:t>分项名称</w:t>
            </w:r>
          </w:p>
        </w:tc>
        <w:tc>
          <w:tcPr>
            <w:tcW w:w="3247" w:type="dxa"/>
            <w:vAlign w:val="center"/>
          </w:tcPr>
          <w:p>
            <w:pPr>
              <w:pStyle w:val="210"/>
              <w:spacing w:line="360" w:lineRule="auto"/>
              <w:jc w:val="center"/>
              <w:rPr>
                <w:rFonts w:ascii="Times New Roman" w:hAnsi="Times New Roman" w:eastAsia="仿宋"/>
                <w:color w:val="000000"/>
                <w:sz w:val="28"/>
                <w:szCs w:val="28"/>
              </w:rPr>
            </w:pPr>
            <w:r>
              <w:rPr>
                <w:rFonts w:ascii="Times New Roman" w:hAnsi="Times New Roman" w:eastAsia="仿宋"/>
                <w:color w:val="000000"/>
                <w:sz w:val="28"/>
                <w:szCs w:val="28"/>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pPr>
              <w:pStyle w:val="210"/>
              <w:spacing w:line="360" w:lineRule="auto"/>
              <w:ind w:firstLine="200"/>
              <w:jc w:val="center"/>
              <w:rPr>
                <w:rFonts w:ascii="Times New Roman" w:hAnsi="Times New Roman" w:eastAsia="仿宋"/>
                <w:color w:val="000000"/>
                <w:sz w:val="28"/>
                <w:szCs w:val="28"/>
              </w:rPr>
            </w:pPr>
          </w:p>
        </w:tc>
        <w:tc>
          <w:tcPr>
            <w:tcW w:w="3402" w:type="dxa"/>
            <w:vAlign w:val="center"/>
          </w:tcPr>
          <w:p>
            <w:pPr>
              <w:pStyle w:val="210"/>
              <w:spacing w:line="360" w:lineRule="auto"/>
              <w:ind w:firstLine="200"/>
              <w:jc w:val="center"/>
              <w:rPr>
                <w:rFonts w:ascii="Times New Roman" w:hAnsi="Times New Roman" w:eastAsia="仿宋"/>
                <w:color w:val="000000"/>
                <w:sz w:val="28"/>
                <w:szCs w:val="28"/>
              </w:rPr>
            </w:pPr>
          </w:p>
        </w:tc>
        <w:tc>
          <w:tcPr>
            <w:tcW w:w="3247" w:type="dxa"/>
            <w:vAlign w:val="center"/>
          </w:tcPr>
          <w:p>
            <w:pPr>
              <w:pStyle w:val="210"/>
              <w:spacing w:line="360" w:lineRule="auto"/>
              <w:ind w:firstLine="200"/>
              <w:jc w:val="center"/>
              <w:rPr>
                <w:rFonts w:ascii="Times New Roman" w:hAnsi="Times New Roman"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pPr>
              <w:pStyle w:val="210"/>
              <w:spacing w:line="360" w:lineRule="auto"/>
              <w:ind w:firstLine="200"/>
              <w:jc w:val="center"/>
              <w:rPr>
                <w:rFonts w:ascii="Times New Roman" w:hAnsi="Times New Roman" w:eastAsia="仿宋"/>
                <w:color w:val="000000"/>
                <w:sz w:val="28"/>
                <w:szCs w:val="28"/>
              </w:rPr>
            </w:pPr>
          </w:p>
        </w:tc>
        <w:tc>
          <w:tcPr>
            <w:tcW w:w="3402" w:type="dxa"/>
            <w:vAlign w:val="center"/>
          </w:tcPr>
          <w:p>
            <w:pPr>
              <w:pStyle w:val="210"/>
              <w:spacing w:line="360" w:lineRule="auto"/>
              <w:ind w:firstLine="200"/>
              <w:jc w:val="center"/>
              <w:rPr>
                <w:rFonts w:ascii="Times New Roman" w:hAnsi="Times New Roman" w:eastAsia="仿宋"/>
                <w:color w:val="000000"/>
                <w:sz w:val="28"/>
                <w:szCs w:val="28"/>
              </w:rPr>
            </w:pPr>
          </w:p>
        </w:tc>
        <w:tc>
          <w:tcPr>
            <w:tcW w:w="3247" w:type="dxa"/>
            <w:vAlign w:val="center"/>
          </w:tcPr>
          <w:p>
            <w:pPr>
              <w:pStyle w:val="210"/>
              <w:spacing w:line="360" w:lineRule="auto"/>
              <w:ind w:firstLine="200"/>
              <w:jc w:val="center"/>
              <w:rPr>
                <w:rFonts w:ascii="Times New Roman" w:hAnsi="Times New Roman"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pPr>
              <w:pStyle w:val="210"/>
              <w:spacing w:line="360" w:lineRule="auto"/>
              <w:ind w:firstLine="200"/>
              <w:jc w:val="center"/>
              <w:rPr>
                <w:rFonts w:ascii="Times New Roman" w:hAnsi="Times New Roman" w:eastAsia="仿宋"/>
                <w:color w:val="000000"/>
                <w:sz w:val="28"/>
                <w:szCs w:val="28"/>
              </w:rPr>
            </w:pPr>
          </w:p>
        </w:tc>
        <w:tc>
          <w:tcPr>
            <w:tcW w:w="3402" w:type="dxa"/>
            <w:vAlign w:val="center"/>
          </w:tcPr>
          <w:p>
            <w:pPr>
              <w:pStyle w:val="210"/>
              <w:spacing w:line="360" w:lineRule="auto"/>
              <w:ind w:firstLine="200"/>
              <w:jc w:val="center"/>
              <w:rPr>
                <w:rFonts w:ascii="Times New Roman" w:hAnsi="Times New Roman" w:eastAsia="仿宋"/>
                <w:color w:val="000000"/>
                <w:sz w:val="28"/>
                <w:szCs w:val="28"/>
              </w:rPr>
            </w:pPr>
          </w:p>
        </w:tc>
        <w:tc>
          <w:tcPr>
            <w:tcW w:w="3247" w:type="dxa"/>
            <w:vAlign w:val="center"/>
          </w:tcPr>
          <w:p>
            <w:pPr>
              <w:pStyle w:val="210"/>
              <w:spacing w:line="360" w:lineRule="auto"/>
              <w:ind w:firstLine="200"/>
              <w:jc w:val="center"/>
              <w:rPr>
                <w:rFonts w:ascii="Times New Roman" w:hAnsi="Times New Roman"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pPr>
              <w:pStyle w:val="210"/>
              <w:spacing w:line="360" w:lineRule="auto"/>
              <w:ind w:firstLine="200"/>
              <w:jc w:val="center"/>
              <w:rPr>
                <w:rFonts w:ascii="Times New Roman" w:hAnsi="Times New Roman" w:eastAsia="仿宋"/>
                <w:color w:val="000000"/>
                <w:sz w:val="28"/>
                <w:szCs w:val="28"/>
              </w:rPr>
            </w:pPr>
          </w:p>
        </w:tc>
        <w:tc>
          <w:tcPr>
            <w:tcW w:w="3402" w:type="dxa"/>
            <w:vAlign w:val="center"/>
          </w:tcPr>
          <w:p>
            <w:pPr>
              <w:pStyle w:val="210"/>
              <w:spacing w:line="360" w:lineRule="auto"/>
              <w:ind w:firstLine="200"/>
              <w:jc w:val="center"/>
              <w:rPr>
                <w:rFonts w:ascii="Times New Roman" w:hAnsi="Times New Roman" w:eastAsia="仿宋"/>
                <w:color w:val="000000"/>
                <w:sz w:val="28"/>
                <w:szCs w:val="28"/>
              </w:rPr>
            </w:pPr>
          </w:p>
        </w:tc>
        <w:tc>
          <w:tcPr>
            <w:tcW w:w="3247" w:type="dxa"/>
            <w:vAlign w:val="center"/>
          </w:tcPr>
          <w:p>
            <w:pPr>
              <w:pStyle w:val="210"/>
              <w:spacing w:line="360" w:lineRule="auto"/>
              <w:ind w:firstLine="200"/>
              <w:jc w:val="center"/>
              <w:rPr>
                <w:rFonts w:ascii="Times New Roman" w:hAnsi="Times New Roman"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88" w:type="dxa"/>
            <w:gridSpan w:val="2"/>
            <w:vAlign w:val="center"/>
          </w:tcPr>
          <w:p>
            <w:pPr>
              <w:pStyle w:val="210"/>
              <w:spacing w:line="360" w:lineRule="auto"/>
              <w:ind w:firstLine="200"/>
              <w:jc w:val="center"/>
              <w:rPr>
                <w:rFonts w:ascii="Times New Roman" w:hAnsi="Times New Roman" w:eastAsia="仿宋"/>
                <w:color w:val="000000"/>
                <w:sz w:val="28"/>
                <w:szCs w:val="28"/>
              </w:rPr>
            </w:pPr>
            <w:r>
              <w:rPr>
                <w:rFonts w:ascii="Times New Roman" w:hAnsi="Times New Roman" w:eastAsia="仿宋"/>
                <w:color w:val="000000"/>
                <w:sz w:val="28"/>
                <w:szCs w:val="28"/>
              </w:rPr>
              <w:t>总价</w:t>
            </w:r>
          </w:p>
        </w:tc>
        <w:tc>
          <w:tcPr>
            <w:tcW w:w="3247" w:type="dxa"/>
            <w:vAlign w:val="center"/>
          </w:tcPr>
          <w:p>
            <w:pPr>
              <w:pStyle w:val="210"/>
              <w:spacing w:line="360" w:lineRule="auto"/>
              <w:ind w:firstLine="200"/>
              <w:jc w:val="center"/>
              <w:rPr>
                <w:rFonts w:ascii="Times New Roman" w:hAnsi="Times New Roman" w:eastAsia="仿宋"/>
                <w:color w:val="000000"/>
                <w:sz w:val="28"/>
                <w:szCs w:val="28"/>
              </w:rPr>
            </w:pPr>
          </w:p>
        </w:tc>
      </w:tr>
    </w:tbl>
    <w:p>
      <w:pPr>
        <w:spacing w:line="360" w:lineRule="auto"/>
        <w:ind w:firstLine="562" w:firstLineChars="200"/>
        <w:outlineLvl w:val="1"/>
        <w:rPr>
          <w:rFonts w:eastAsia="仿宋"/>
          <w:b/>
          <w:bCs/>
          <w:sz w:val="28"/>
          <w:szCs w:val="28"/>
        </w:rPr>
      </w:pPr>
      <w:bookmarkStart w:id="181" w:name="_Toc3654"/>
      <w:bookmarkStart w:id="182" w:name="_Toc20410"/>
      <w:bookmarkStart w:id="183" w:name="_Toc32618"/>
      <w:bookmarkStart w:id="184" w:name="_Toc30158"/>
      <w:bookmarkStart w:id="185" w:name="_Toc14993"/>
      <w:bookmarkStart w:id="186" w:name="_Toc8095"/>
      <w:bookmarkStart w:id="187" w:name="_Toc12997"/>
      <w:bookmarkStart w:id="188" w:name="_Toc26916"/>
      <w:bookmarkStart w:id="189" w:name="_Toc30506"/>
      <w:bookmarkStart w:id="190" w:name="_Toc31751"/>
      <w:bookmarkStart w:id="191" w:name="_Toc20344"/>
      <w:r>
        <w:rPr>
          <w:rFonts w:eastAsia="仿宋"/>
          <w:b/>
          <w:bCs/>
          <w:sz w:val="28"/>
          <w:szCs w:val="28"/>
        </w:rPr>
        <w:t>1.4 付款方式和发票开具方式</w:t>
      </w:r>
      <w:bookmarkEnd w:id="181"/>
      <w:bookmarkEnd w:id="182"/>
      <w:bookmarkEnd w:id="183"/>
      <w:bookmarkEnd w:id="184"/>
      <w:bookmarkEnd w:id="185"/>
      <w:bookmarkEnd w:id="186"/>
      <w:bookmarkEnd w:id="187"/>
      <w:bookmarkEnd w:id="188"/>
      <w:bookmarkEnd w:id="189"/>
      <w:bookmarkEnd w:id="190"/>
      <w:bookmarkEnd w:id="191"/>
    </w:p>
    <w:p>
      <w:pPr>
        <w:pStyle w:val="16"/>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1.4.1付款方式：详见招标文件要求。</w:t>
      </w:r>
    </w:p>
    <w:p>
      <w:pPr>
        <w:spacing w:line="360" w:lineRule="auto"/>
        <w:ind w:firstLine="560" w:firstLineChars="200"/>
        <w:rPr>
          <w:rFonts w:eastAsia="仿宋"/>
          <w:sz w:val="28"/>
          <w:szCs w:val="28"/>
        </w:rPr>
      </w:pPr>
      <w:r>
        <w:rPr>
          <w:rFonts w:eastAsia="仿宋"/>
          <w:sz w:val="28"/>
          <w:szCs w:val="28"/>
        </w:rPr>
        <w:t>1.4.2 发票开具方式：乙方提供发票</w:t>
      </w:r>
    </w:p>
    <w:p>
      <w:pPr>
        <w:spacing w:line="360" w:lineRule="auto"/>
        <w:ind w:firstLine="562" w:firstLineChars="200"/>
        <w:outlineLvl w:val="1"/>
        <w:rPr>
          <w:rFonts w:eastAsia="仿宋"/>
          <w:b/>
          <w:bCs/>
          <w:sz w:val="28"/>
          <w:szCs w:val="28"/>
        </w:rPr>
      </w:pPr>
      <w:bookmarkStart w:id="192" w:name="_Toc31421"/>
      <w:bookmarkStart w:id="193" w:name="_Toc1299"/>
      <w:bookmarkStart w:id="194" w:name="_Toc8772"/>
      <w:bookmarkStart w:id="195" w:name="_Toc3540"/>
      <w:bookmarkStart w:id="196" w:name="_Toc4760"/>
      <w:bookmarkStart w:id="197" w:name="_Toc9004"/>
      <w:bookmarkStart w:id="198" w:name="_Toc2641"/>
      <w:bookmarkStart w:id="199" w:name="_Toc25500"/>
      <w:bookmarkStart w:id="200" w:name="_Toc10054"/>
      <w:bookmarkStart w:id="201" w:name="_Toc11108"/>
      <w:bookmarkStart w:id="202" w:name="_Toc3625"/>
      <w:r>
        <w:rPr>
          <w:rFonts w:eastAsia="仿宋"/>
          <w:b/>
          <w:bCs/>
          <w:sz w:val="28"/>
          <w:szCs w:val="28"/>
        </w:rPr>
        <w:t>1.5 履行期限、地点和方式</w:t>
      </w:r>
      <w:bookmarkEnd w:id="192"/>
      <w:bookmarkEnd w:id="193"/>
      <w:bookmarkEnd w:id="194"/>
      <w:bookmarkEnd w:id="195"/>
      <w:bookmarkEnd w:id="196"/>
      <w:bookmarkEnd w:id="197"/>
      <w:bookmarkEnd w:id="198"/>
      <w:bookmarkEnd w:id="199"/>
      <w:bookmarkEnd w:id="200"/>
      <w:bookmarkEnd w:id="201"/>
      <w:bookmarkEnd w:id="202"/>
    </w:p>
    <w:p>
      <w:pPr>
        <w:spacing w:line="360" w:lineRule="auto"/>
        <w:ind w:firstLine="560" w:firstLineChars="200"/>
        <w:rPr>
          <w:rFonts w:eastAsia="仿宋"/>
          <w:sz w:val="28"/>
          <w:szCs w:val="28"/>
          <w:u w:val="single"/>
        </w:rPr>
      </w:pPr>
      <w:r>
        <w:rPr>
          <w:rFonts w:eastAsia="仿宋"/>
          <w:sz w:val="28"/>
          <w:szCs w:val="28"/>
        </w:rPr>
        <w:t>1.5.1 履行期限：</w:t>
      </w:r>
      <w:r>
        <w:rPr>
          <w:rFonts w:eastAsia="仿宋"/>
          <w:sz w:val="28"/>
          <w:szCs w:val="28"/>
          <w:u w:val="single"/>
        </w:rPr>
        <w:t>按</w:t>
      </w:r>
      <w:r>
        <w:rPr>
          <w:rFonts w:hint="eastAsia" w:eastAsia="仿宋"/>
          <w:sz w:val="28"/>
          <w:szCs w:val="28"/>
          <w:u w:val="single"/>
        </w:rPr>
        <w:t>招标</w:t>
      </w:r>
      <w:r>
        <w:rPr>
          <w:rFonts w:eastAsia="仿宋"/>
          <w:sz w:val="28"/>
          <w:szCs w:val="28"/>
          <w:u w:val="single"/>
        </w:rPr>
        <w:t>文件要求</w:t>
      </w:r>
    </w:p>
    <w:p>
      <w:pPr>
        <w:spacing w:line="360" w:lineRule="auto"/>
        <w:ind w:firstLine="560" w:firstLineChars="200"/>
        <w:rPr>
          <w:rFonts w:eastAsia="仿宋"/>
          <w:b/>
          <w:bCs/>
          <w:sz w:val="28"/>
          <w:szCs w:val="28"/>
        </w:rPr>
      </w:pPr>
      <w:r>
        <w:rPr>
          <w:rFonts w:eastAsia="仿宋"/>
          <w:sz w:val="28"/>
          <w:szCs w:val="28"/>
        </w:rPr>
        <w:t xml:space="preserve">1.5.2 </w:t>
      </w:r>
      <w:r>
        <w:rPr>
          <w:rFonts w:eastAsia="仿宋"/>
          <w:b/>
          <w:bCs/>
          <w:sz w:val="28"/>
          <w:szCs w:val="28"/>
        </w:rPr>
        <w:t>履行地点：采购人指定地点</w:t>
      </w:r>
    </w:p>
    <w:p>
      <w:pPr>
        <w:spacing w:line="360" w:lineRule="auto"/>
        <w:ind w:firstLine="560" w:firstLineChars="200"/>
        <w:rPr>
          <w:rFonts w:eastAsia="仿宋"/>
          <w:sz w:val="28"/>
          <w:szCs w:val="28"/>
        </w:rPr>
      </w:pPr>
      <w:r>
        <w:rPr>
          <w:rFonts w:eastAsia="仿宋"/>
          <w:sz w:val="28"/>
          <w:szCs w:val="28"/>
        </w:rPr>
        <w:t>1.5.3 履行方式：现场验收。</w:t>
      </w:r>
    </w:p>
    <w:p>
      <w:pPr>
        <w:spacing w:line="360" w:lineRule="auto"/>
        <w:ind w:firstLine="562" w:firstLineChars="200"/>
        <w:outlineLvl w:val="1"/>
        <w:rPr>
          <w:rFonts w:eastAsia="仿宋"/>
          <w:sz w:val="28"/>
          <w:szCs w:val="28"/>
          <w:u w:val="single"/>
        </w:rPr>
      </w:pPr>
      <w:bookmarkStart w:id="203" w:name="_Toc2375"/>
      <w:bookmarkStart w:id="204" w:name="_Toc24662"/>
      <w:bookmarkStart w:id="205" w:name="_Toc16673"/>
      <w:bookmarkStart w:id="206" w:name="_Toc18565"/>
      <w:bookmarkStart w:id="207" w:name="_Toc5698"/>
      <w:bookmarkStart w:id="208" w:name="_Toc31461"/>
      <w:bookmarkStart w:id="209" w:name="_Toc8586"/>
      <w:bookmarkStart w:id="210" w:name="_Toc29867"/>
      <w:bookmarkStart w:id="211" w:name="_Toc21576"/>
      <w:bookmarkStart w:id="212" w:name="_Toc32137"/>
      <w:bookmarkStart w:id="213" w:name="_Toc3079"/>
      <w:r>
        <w:rPr>
          <w:rFonts w:eastAsia="仿宋"/>
          <w:b/>
          <w:bCs/>
          <w:sz w:val="28"/>
          <w:szCs w:val="28"/>
        </w:rPr>
        <w:t>1.6 违约责任</w:t>
      </w:r>
      <w:bookmarkEnd w:id="203"/>
      <w:bookmarkEnd w:id="204"/>
      <w:bookmarkEnd w:id="205"/>
      <w:bookmarkEnd w:id="206"/>
      <w:bookmarkEnd w:id="207"/>
      <w:bookmarkEnd w:id="208"/>
      <w:bookmarkEnd w:id="209"/>
      <w:bookmarkEnd w:id="210"/>
      <w:bookmarkEnd w:id="211"/>
      <w:bookmarkEnd w:id="212"/>
      <w:bookmarkEnd w:id="213"/>
    </w:p>
    <w:p>
      <w:pPr>
        <w:spacing w:line="360" w:lineRule="auto"/>
        <w:ind w:firstLine="560" w:firstLineChars="200"/>
        <w:rPr>
          <w:rFonts w:eastAsia="仿宋"/>
          <w:sz w:val="28"/>
          <w:szCs w:val="28"/>
        </w:rPr>
      </w:pPr>
      <w:r>
        <w:rPr>
          <w:rFonts w:eastAsia="仿宋"/>
          <w:sz w:val="28"/>
          <w:szCs w:val="28"/>
        </w:rPr>
        <w:t>1.6.1 除不可抗力外，如果乙方没有按照本合同约定的期限、地点和方式履行，那么甲方可要求乙方支付违约金，违约金按每迟延履行一日的应提供而未提供服务价格的</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%计算，最高限额为本合同总价的</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%；迟延履行的违约金计算数额达到前述最高限额之日起，甲方有权在要求乙方支付违约金的同时，书面通知乙方解除本合同；</w:t>
      </w:r>
    </w:p>
    <w:p>
      <w:pPr>
        <w:spacing w:line="360" w:lineRule="auto"/>
        <w:ind w:firstLine="560" w:firstLineChars="200"/>
        <w:rPr>
          <w:rFonts w:eastAsia="仿宋"/>
          <w:sz w:val="28"/>
          <w:szCs w:val="28"/>
        </w:rPr>
      </w:pPr>
      <w:r>
        <w:rPr>
          <w:rFonts w:eastAsia="仿宋"/>
          <w:sz w:val="28"/>
          <w:szCs w:val="28"/>
        </w:rPr>
        <w:t>1.6.2 除不可抗力外，如果甲方没有按照本合同约定的付款方式付款，那么乙方可要求甲方支付违约金，违约金按每迟延付款一日的应付而未付款的</w:t>
      </w:r>
      <w:r>
        <w:rPr>
          <w:rFonts w:hint="eastAsia" w:eastAsia="仿宋"/>
          <w:sz w:val="28"/>
          <w:szCs w:val="28"/>
        </w:rPr>
        <w:t xml:space="preserve"> </w:t>
      </w:r>
      <w:r>
        <w:rPr>
          <w:rFonts w:eastAsia="仿宋"/>
          <w:sz w:val="28"/>
          <w:szCs w:val="28"/>
        </w:rPr>
        <w:t>%计算，最高限额为本合同总价的</w:t>
      </w:r>
      <w:r>
        <w:rPr>
          <w:rFonts w:hint="eastAsia" w:eastAsia="仿宋"/>
          <w:sz w:val="28"/>
          <w:szCs w:val="28"/>
          <w:u w:val="single"/>
        </w:rPr>
        <w:t xml:space="preserve">  </w:t>
      </w:r>
      <w:r>
        <w:rPr>
          <w:rFonts w:eastAsia="仿宋"/>
          <w:sz w:val="28"/>
          <w:szCs w:val="28"/>
        </w:rPr>
        <w:t>%；迟延付款的违约金计算数额达到前述最高限额之日起，乙方有权在要求甲方支付违约金的同时，书面通知甲方解除本合同；</w:t>
      </w:r>
    </w:p>
    <w:p>
      <w:pPr>
        <w:spacing w:line="360" w:lineRule="auto"/>
        <w:ind w:firstLine="560" w:firstLineChars="200"/>
        <w:rPr>
          <w:rFonts w:eastAsia="仿宋"/>
          <w:sz w:val="28"/>
          <w:szCs w:val="28"/>
        </w:rPr>
      </w:pPr>
      <w:r>
        <w:rPr>
          <w:rFonts w:eastAsia="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eastAsia="仿宋"/>
          <w:sz w:val="28"/>
          <w:szCs w:val="28"/>
        </w:rPr>
      </w:pPr>
      <w:r>
        <w:rPr>
          <w:rFonts w:eastAsia="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1"/>
        <w:rPr>
          <w:rFonts w:eastAsia="仿宋"/>
          <w:b/>
          <w:bCs/>
          <w:sz w:val="28"/>
          <w:szCs w:val="28"/>
        </w:rPr>
      </w:pPr>
      <w:bookmarkStart w:id="214" w:name="_Toc11642"/>
      <w:bookmarkStart w:id="215" w:name="_Toc7752"/>
      <w:bookmarkStart w:id="216" w:name="_Toc21005"/>
      <w:bookmarkStart w:id="217" w:name="_Toc32454"/>
      <w:bookmarkStart w:id="218" w:name="_Toc26807"/>
      <w:bookmarkStart w:id="219" w:name="_Toc9497"/>
      <w:bookmarkStart w:id="220" w:name="_Toc18683"/>
      <w:bookmarkStart w:id="221" w:name="_Toc7162"/>
      <w:bookmarkStart w:id="222" w:name="_Toc30329"/>
      <w:bookmarkStart w:id="223" w:name="_Toc12452"/>
      <w:bookmarkStart w:id="224" w:name="_Toc26616"/>
      <w:r>
        <w:rPr>
          <w:rFonts w:eastAsia="仿宋"/>
          <w:b/>
          <w:bCs/>
          <w:sz w:val="28"/>
          <w:szCs w:val="28"/>
        </w:rPr>
        <w:t>1.7 合同争议的解决</w:t>
      </w:r>
      <w:bookmarkEnd w:id="214"/>
      <w:bookmarkEnd w:id="215"/>
      <w:bookmarkEnd w:id="216"/>
      <w:bookmarkEnd w:id="217"/>
      <w:bookmarkEnd w:id="218"/>
      <w:bookmarkEnd w:id="219"/>
      <w:bookmarkEnd w:id="220"/>
      <w:bookmarkEnd w:id="221"/>
      <w:bookmarkEnd w:id="222"/>
      <w:bookmarkEnd w:id="223"/>
      <w:bookmarkEnd w:id="224"/>
    </w:p>
    <w:p>
      <w:pPr>
        <w:spacing w:line="360" w:lineRule="auto"/>
        <w:ind w:firstLine="560" w:firstLineChars="200"/>
        <w:rPr>
          <w:rFonts w:eastAsia="仿宋"/>
          <w:sz w:val="28"/>
          <w:szCs w:val="28"/>
        </w:rPr>
      </w:pPr>
      <w:r>
        <w:rPr>
          <w:rFonts w:eastAsia="仿宋"/>
          <w:sz w:val="28"/>
          <w:szCs w:val="28"/>
        </w:rPr>
        <w:t>本合同履行过程中发生的任何争议，双方当事人均可通过和解或者调解解决；不愿和解、调解或者和解、调解不成的，可以选择下列第</w:t>
      </w:r>
      <w:r>
        <w:rPr>
          <w:rFonts w:eastAsia="仿宋"/>
          <w:sz w:val="28"/>
          <w:szCs w:val="28"/>
          <w:u w:val="single"/>
        </w:rPr>
        <w:t xml:space="preserve"> 2 </w:t>
      </w:r>
      <w:r>
        <w:rPr>
          <w:rFonts w:eastAsia="仿宋"/>
          <w:sz w:val="28"/>
          <w:szCs w:val="28"/>
        </w:rPr>
        <w:t>种方式解决：</w:t>
      </w:r>
    </w:p>
    <w:p>
      <w:pPr>
        <w:spacing w:line="360" w:lineRule="auto"/>
        <w:ind w:firstLine="560" w:firstLineChars="200"/>
        <w:rPr>
          <w:rFonts w:eastAsia="仿宋"/>
          <w:sz w:val="28"/>
          <w:szCs w:val="28"/>
        </w:rPr>
      </w:pPr>
      <w:r>
        <w:rPr>
          <w:rFonts w:eastAsia="仿宋"/>
          <w:sz w:val="28"/>
          <w:szCs w:val="28"/>
        </w:rPr>
        <w:t>1.7.1 将争议提交仲裁委员会依申请仲裁时其现行有效的仲裁规则裁决；</w:t>
      </w:r>
    </w:p>
    <w:p>
      <w:pPr>
        <w:spacing w:line="360" w:lineRule="auto"/>
        <w:ind w:firstLine="560" w:firstLineChars="200"/>
        <w:rPr>
          <w:rFonts w:eastAsia="仿宋"/>
          <w:sz w:val="28"/>
          <w:szCs w:val="28"/>
        </w:rPr>
      </w:pPr>
      <w:r>
        <w:rPr>
          <w:rFonts w:eastAsia="仿宋"/>
          <w:sz w:val="28"/>
          <w:szCs w:val="28"/>
        </w:rPr>
        <w:t>1.7.2 向</w:t>
      </w:r>
      <w:r>
        <w:rPr>
          <w:rFonts w:hint="eastAsia" w:eastAsia="仿宋"/>
          <w:sz w:val="28"/>
          <w:szCs w:val="28"/>
          <w:u w:val="single"/>
        </w:rPr>
        <w:t>项目所在地</w:t>
      </w:r>
      <w:r>
        <w:rPr>
          <w:rFonts w:eastAsia="仿宋"/>
          <w:sz w:val="28"/>
          <w:szCs w:val="28"/>
        </w:rPr>
        <w:t>人民法院起诉。</w:t>
      </w:r>
    </w:p>
    <w:p>
      <w:pPr>
        <w:spacing w:line="360" w:lineRule="auto"/>
        <w:ind w:firstLine="562" w:firstLineChars="200"/>
        <w:outlineLvl w:val="1"/>
        <w:rPr>
          <w:rFonts w:eastAsia="仿宋"/>
          <w:b/>
          <w:bCs/>
          <w:sz w:val="28"/>
          <w:szCs w:val="28"/>
        </w:rPr>
      </w:pPr>
      <w:bookmarkStart w:id="225" w:name="_Toc30200"/>
      <w:bookmarkStart w:id="226" w:name="_Toc10387"/>
      <w:bookmarkStart w:id="227" w:name="_Toc16417"/>
      <w:bookmarkStart w:id="228" w:name="_Toc7610"/>
      <w:bookmarkStart w:id="229" w:name="_Toc26227"/>
      <w:bookmarkStart w:id="230" w:name="_Toc25268"/>
      <w:bookmarkStart w:id="231" w:name="_Toc12288"/>
      <w:bookmarkStart w:id="232" w:name="_Toc15827"/>
      <w:bookmarkStart w:id="233" w:name="_Toc23784"/>
      <w:bookmarkStart w:id="234" w:name="_Toc12273"/>
      <w:bookmarkStart w:id="235" w:name="_Toc22280"/>
      <w:r>
        <w:rPr>
          <w:rFonts w:eastAsia="仿宋"/>
          <w:b/>
          <w:bCs/>
          <w:sz w:val="28"/>
          <w:szCs w:val="28"/>
        </w:rPr>
        <w:t>1.8 合同生效</w:t>
      </w:r>
      <w:bookmarkEnd w:id="225"/>
      <w:bookmarkEnd w:id="226"/>
      <w:bookmarkEnd w:id="227"/>
      <w:bookmarkEnd w:id="228"/>
      <w:bookmarkEnd w:id="229"/>
      <w:bookmarkEnd w:id="230"/>
      <w:bookmarkEnd w:id="231"/>
      <w:bookmarkEnd w:id="232"/>
      <w:bookmarkEnd w:id="233"/>
      <w:bookmarkEnd w:id="234"/>
      <w:bookmarkEnd w:id="235"/>
    </w:p>
    <w:p>
      <w:pPr>
        <w:spacing w:line="360" w:lineRule="auto"/>
        <w:ind w:firstLine="560" w:firstLineChars="200"/>
        <w:rPr>
          <w:rFonts w:eastAsia="仿宋"/>
          <w:b/>
          <w:bCs/>
          <w:sz w:val="28"/>
          <w:szCs w:val="28"/>
        </w:rPr>
      </w:pPr>
      <w:r>
        <w:rPr>
          <w:rFonts w:eastAsia="仿宋"/>
          <w:sz w:val="28"/>
          <w:szCs w:val="28"/>
        </w:rPr>
        <w:t>本合同自双方当事人盖章或者签字时生效。</w:t>
      </w:r>
    </w:p>
    <w:p>
      <w:pPr>
        <w:autoSpaceDE w:val="0"/>
        <w:autoSpaceDN w:val="0"/>
        <w:adjustRightInd w:val="0"/>
        <w:spacing w:line="360" w:lineRule="auto"/>
        <w:rPr>
          <w:rFonts w:eastAsia="仿宋"/>
          <w:sz w:val="28"/>
          <w:szCs w:val="28"/>
          <w:lang w:val="zh-CN"/>
        </w:rPr>
      </w:pPr>
    </w:p>
    <w:p>
      <w:pPr>
        <w:autoSpaceDE w:val="0"/>
        <w:autoSpaceDN w:val="0"/>
        <w:adjustRightInd w:val="0"/>
        <w:spacing w:line="360" w:lineRule="auto"/>
        <w:outlineLvl w:val="1"/>
        <w:rPr>
          <w:rFonts w:eastAsia="仿宋"/>
          <w:sz w:val="28"/>
          <w:szCs w:val="28"/>
          <w:lang w:val="zh-CN"/>
        </w:rPr>
      </w:pPr>
      <w:bookmarkStart w:id="236" w:name="_Toc16103"/>
      <w:bookmarkStart w:id="237" w:name="_Toc14799"/>
      <w:bookmarkStart w:id="238" w:name="_Toc26283"/>
      <w:bookmarkStart w:id="239" w:name="_Toc13355"/>
      <w:bookmarkStart w:id="240" w:name="_Toc7991"/>
      <w:r>
        <w:rPr>
          <w:rFonts w:eastAsia="仿宋"/>
          <w:b/>
          <w:bCs/>
          <w:sz w:val="28"/>
          <w:szCs w:val="28"/>
          <w:lang w:val="zh-CN"/>
        </w:rPr>
        <w:t>甲方</w:t>
      </w:r>
      <w:r>
        <w:rPr>
          <w:rFonts w:eastAsia="仿宋"/>
          <w:sz w:val="28"/>
          <w:szCs w:val="28"/>
          <w:lang w:val="zh-CN"/>
        </w:rPr>
        <w:t>：</w:t>
      </w:r>
      <w:r>
        <w:rPr>
          <w:rFonts w:hint="eastAsia" w:eastAsia="仿宋"/>
          <w:sz w:val="28"/>
          <w:szCs w:val="28"/>
        </w:rPr>
        <w:t xml:space="preserve">                    </w:t>
      </w:r>
      <w:r>
        <w:rPr>
          <w:rFonts w:eastAsia="仿宋"/>
          <w:b/>
          <w:bCs/>
          <w:sz w:val="28"/>
          <w:szCs w:val="28"/>
          <w:lang w:val="zh-CN"/>
        </w:rPr>
        <w:t>乙方</w:t>
      </w:r>
      <w:r>
        <w:rPr>
          <w:rFonts w:eastAsia="仿宋"/>
          <w:sz w:val="28"/>
          <w:szCs w:val="28"/>
          <w:lang w:val="zh-CN"/>
        </w:rPr>
        <w:t>：</w:t>
      </w:r>
      <w:bookmarkEnd w:id="236"/>
      <w:bookmarkEnd w:id="237"/>
      <w:bookmarkEnd w:id="238"/>
      <w:bookmarkEnd w:id="239"/>
      <w:bookmarkEnd w:id="240"/>
    </w:p>
    <w:p>
      <w:pPr>
        <w:autoSpaceDE w:val="0"/>
        <w:autoSpaceDN w:val="0"/>
        <w:adjustRightInd w:val="0"/>
        <w:spacing w:line="360" w:lineRule="auto"/>
        <w:ind w:left="5880" w:hanging="5880" w:hangingChars="2100"/>
        <w:rPr>
          <w:rFonts w:eastAsia="仿宋"/>
          <w:sz w:val="28"/>
          <w:szCs w:val="28"/>
          <w:lang w:val="zh-CN"/>
        </w:rPr>
      </w:pPr>
      <w:r>
        <w:rPr>
          <w:rFonts w:eastAsia="仿宋"/>
          <w:sz w:val="28"/>
          <w:szCs w:val="28"/>
          <w:lang w:val="zh-CN"/>
        </w:rPr>
        <w:t>统一社会信用代码：</w:t>
      </w:r>
      <w:r>
        <w:rPr>
          <w:rFonts w:hint="eastAsia" w:eastAsia="仿宋"/>
          <w:sz w:val="28"/>
          <w:szCs w:val="28"/>
        </w:rPr>
        <w:t xml:space="preserve">        </w:t>
      </w:r>
      <w:r>
        <w:rPr>
          <w:rFonts w:eastAsia="仿宋"/>
          <w:sz w:val="28"/>
          <w:szCs w:val="28"/>
          <w:lang w:val="zh-CN"/>
        </w:rPr>
        <w:t>统一社会信用代码或身份证号码：</w:t>
      </w:r>
    </w:p>
    <w:p>
      <w:pPr>
        <w:autoSpaceDE w:val="0"/>
        <w:autoSpaceDN w:val="0"/>
        <w:adjustRightInd w:val="0"/>
        <w:spacing w:line="360" w:lineRule="auto"/>
        <w:rPr>
          <w:rFonts w:eastAsia="仿宋"/>
          <w:sz w:val="28"/>
          <w:szCs w:val="28"/>
          <w:lang w:val="zh-CN"/>
        </w:rPr>
      </w:pPr>
      <w:r>
        <w:rPr>
          <w:rFonts w:eastAsia="仿宋"/>
          <w:sz w:val="28"/>
          <w:szCs w:val="28"/>
          <w:lang w:val="zh-CN"/>
        </w:rPr>
        <w:t>住所：</w:t>
      </w:r>
      <w:r>
        <w:rPr>
          <w:rFonts w:hint="eastAsia" w:eastAsia="仿宋"/>
          <w:sz w:val="28"/>
          <w:szCs w:val="28"/>
        </w:rPr>
        <w:t xml:space="preserve">                    </w:t>
      </w:r>
      <w:r>
        <w:rPr>
          <w:rFonts w:eastAsia="仿宋"/>
          <w:sz w:val="28"/>
          <w:szCs w:val="28"/>
          <w:lang w:val="zh-CN"/>
        </w:rPr>
        <w:t>住所：</w:t>
      </w:r>
    </w:p>
    <w:p>
      <w:pPr>
        <w:autoSpaceDE w:val="0"/>
        <w:autoSpaceDN w:val="0"/>
        <w:adjustRightInd w:val="0"/>
        <w:spacing w:line="360" w:lineRule="auto"/>
        <w:rPr>
          <w:rFonts w:hint="eastAsia" w:eastAsia="仿宋"/>
          <w:sz w:val="28"/>
          <w:szCs w:val="28"/>
        </w:rPr>
      </w:pPr>
      <w:r>
        <w:rPr>
          <w:rFonts w:eastAsia="仿宋"/>
          <w:sz w:val="28"/>
          <w:szCs w:val="28"/>
          <w:lang w:val="zh-CN"/>
        </w:rPr>
        <w:t>法定代表人或</w:t>
      </w:r>
      <w:r>
        <w:rPr>
          <w:rFonts w:hint="eastAsia" w:eastAsia="仿宋"/>
          <w:sz w:val="28"/>
          <w:szCs w:val="28"/>
          <w:lang w:val="en-US" w:eastAsia="zh-CN"/>
        </w:rPr>
        <w:t xml:space="preserve">              </w:t>
      </w:r>
      <w:r>
        <w:rPr>
          <w:rFonts w:eastAsia="仿宋"/>
          <w:sz w:val="28"/>
          <w:szCs w:val="28"/>
          <w:lang w:val="zh-CN"/>
        </w:rPr>
        <w:t>法定代表人或</w:t>
      </w:r>
      <w:r>
        <w:rPr>
          <w:rFonts w:hint="eastAsia" w:eastAsia="仿宋"/>
          <w:sz w:val="28"/>
          <w:szCs w:val="28"/>
        </w:rPr>
        <w:t xml:space="preserve">   </w:t>
      </w:r>
    </w:p>
    <w:p>
      <w:pPr>
        <w:autoSpaceDE w:val="0"/>
        <w:autoSpaceDN w:val="0"/>
        <w:adjustRightInd w:val="0"/>
        <w:spacing w:line="360" w:lineRule="auto"/>
        <w:rPr>
          <w:rFonts w:eastAsia="仿宋"/>
          <w:sz w:val="28"/>
          <w:szCs w:val="28"/>
          <w:lang w:val="zh-CN"/>
        </w:rPr>
      </w:pPr>
      <w:r>
        <w:rPr>
          <w:rFonts w:eastAsia="仿宋"/>
          <w:sz w:val="28"/>
          <w:szCs w:val="28"/>
          <w:lang w:val="zh-CN"/>
        </w:rPr>
        <w:t>授权代表（签字）：</w:t>
      </w:r>
      <w:r>
        <w:rPr>
          <w:rFonts w:hint="eastAsia" w:eastAsia="仿宋"/>
          <w:sz w:val="28"/>
          <w:szCs w:val="28"/>
          <w:lang w:val="en-US" w:eastAsia="zh-CN"/>
        </w:rPr>
        <w:t xml:space="preserve">        </w:t>
      </w:r>
      <w:r>
        <w:rPr>
          <w:rFonts w:eastAsia="仿宋"/>
          <w:sz w:val="28"/>
          <w:szCs w:val="28"/>
          <w:lang w:val="zh-CN"/>
        </w:rPr>
        <w:t xml:space="preserve">授权代表（签字）: </w:t>
      </w:r>
    </w:p>
    <w:p>
      <w:pPr>
        <w:autoSpaceDE w:val="0"/>
        <w:autoSpaceDN w:val="0"/>
        <w:adjustRightInd w:val="0"/>
        <w:spacing w:line="360" w:lineRule="auto"/>
        <w:rPr>
          <w:rFonts w:eastAsia="仿宋"/>
          <w:sz w:val="28"/>
          <w:szCs w:val="28"/>
          <w:lang w:val="zh-CN"/>
        </w:rPr>
      </w:pPr>
      <w:r>
        <w:rPr>
          <w:rFonts w:eastAsia="仿宋"/>
          <w:sz w:val="28"/>
          <w:szCs w:val="28"/>
          <w:lang w:val="zh-CN"/>
        </w:rPr>
        <w:t>联系人：</w:t>
      </w:r>
      <w:r>
        <w:rPr>
          <w:rFonts w:hint="eastAsia" w:eastAsia="仿宋"/>
          <w:sz w:val="28"/>
          <w:szCs w:val="28"/>
        </w:rPr>
        <w:t xml:space="preserve">                  </w:t>
      </w:r>
      <w:r>
        <w:rPr>
          <w:rFonts w:eastAsia="仿宋"/>
          <w:sz w:val="28"/>
          <w:szCs w:val="28"/>
          <w:lang w:val="zh-CN"/>
        </w:rPr>
        <w:t>联系人：</w:t>
      </w:r>
    </w:p>
    <w:p>
      <w:pPr>
        <w:autoSpaceDE w:val="0"/>
        <w:autoSpaceDN w:val="0"/>
        <w:adjustRightInd w:val="0"/>
        <w:spacing w:line="360" w:lineRule="auto"/>
        <w:rPr>
          <w:rFonts w:eastAsia="仿宋"/>
          <w:sz w:val="28"/>
          <w:szCs w:val="28"/>
          <w:lang w:val="zh-CN"/>
        </w:rPr>
      </w:pPr>
      <w:r>
        <w:rPr>
          <w:rFonts w:eastAsia="仿宋"/>
          <w:sz w:val="28"/>
          <w:szCs w:val="28"/>
          <w:lang w:val="zh-CN"/>
        </w:rPr>
        <w:t>约定送达地址：</w:t>
      </w:r>
      <w:r>
        <w:rPr>
          <w:rFonts w:hint="eastAsia" w:eastAsia="仿宋"/>
          <w:sz w:val="28"/>
          <w:szCs w:val="28"/>
        </w:rPr>
        <w:t xml:space="preserve">            </w:t>
      </w:r>
      <w:r>
        <w:rPr>
          <w:rFonts w:eastAsia="仿宋"/>
          <w:sz w:val="28"/>
          <w:szCs w:val="28"/>
          <w:lang w:val="zh-CN"/>
        </w:rPr>
        <w:t>约定送达地址：</w:t>
      </w:r>
    </w:p>
    <w:p>
      <w:pPr>
        <w:autoSpaceDE w:val="0"/>
        <w:autoSpaceDN w:val="0"/>
        <w:adjustRightInd w:val="0"/>
        <w:spacing w:line="360" w:lineRule="auto"/>
        <w:rPr>
          <w:rFonts w:eastAsia="仿宋"/>
          <w:sz w:val="28"/>
          <w:szCs w:val="28"/>
          <w:lang w:val="zh-CN"/>
        </w:rPr>
      </w:pPr>
      <w:r>
        <w:rPr>
          <w:rFonts w:eastAsia="仿宋"/>
          <w:sz w:val="28"/>
          <w:szCs w:val="28"/>
          <w:lang w:val="zh-CN"/>
        </w:rPr>
        <w:t>邮政编码：</w:t>
      </w:r>
      <w:r>
        <w:rPr>
          <w:rFonts w:hint="eastAsia" w:eastAsia="仿宋"/>
          <w:sz w:val="28"/>
          <w:szCs w:val="28"/>
        </w:rPr>
        <w:t xml:space="preserve">                </w:t>
      </w:r>
      <w:r>
        <w:rPr>
          <w:rFonts w:eastAsia="仿宋"/>
          <w:sz w:val="28"/>
          <w:szCs w:val="28"/>
          <w:lang w:val="zh-CN"/>
        </w:rPr>
        <w:t>邮政编码：</w:t>
      </w:r>
    </w:p>
    <w:p>
      <w:pPr>
        <w:autoSpaceDE w:val="0"/>
        <w:autoSpaceDN w:val="0"/>
        <w:adjustRightInd w:val="0"/>
        <w:spacing w:line="360" w:lineRule="auto"/>
        <w:rPr>
          <w:rFonts w:eastAsia="仿宋"/>
          <w:sz w:val="28"/>
          <w:szCs w:val="28"/>
          <w:lang w:val="zh-CN"/>
        </w:rPr>
      </w:pPr>
      <w:r>
        <w:rPr>
          <w:rFonts w:eastAsia="仿宋"/>
          <w:sz w:val="28"/>
          <w:szCs w:val="28"/>
          <w:lang w:val="zh-CN"/>
        </w:rPr>
        <w:t xml:space="preserve">电话:                      电话: </w:t>
      </w:r>
    </w:p>
    <w:p>
      <w:pPr>
        <w:autoSpaceDE w:val="0"/>
        <w:autoSpaceDN w:val="0"/>
        <w:adjustRightInd w:val="0"/>
        <w:spacing w:line="360" w:lineRule="auto"/>
        <w:rPr>
          <w:rFonts w:eastAsia="仿宋"/>
          <w:sz w:val="28"/>
          <w:szCs w:val="28"/>
          <w:lang w:val="zh-CN"/>
        </w:rPr>
      </w:pPr>
      <w:r>
        <w:rPr>
          <w:rFonts w:eastAsia="仿宋"/>
          <w:sz w:val="28"/>
          <w:szCs w:val="28"/>
          <w:lang w:val="zh-CN"/>
        </w:rPr>
        <w:t>传真:                      传真:</w:t>
      </w:r>
    </w:p>
    <w:p>
      <w:pPr>
        <w:autoSpaceDE w:val="0"/>
        <w:autoSpaceDN w:val="0"/>
        <w:adjustRightInd w:val="0"/>
        <w:spacing w:line="360" w:lineRule="auto"/>
        <w:rPr>
          <w:rFonts w:eastAsia="仿宋"/>
          <w:sz w:val="28"/>
          <w:szCs w:val="28"/>
        </w:rPr>
      </w:pPr>
      <w:r>
        <w:rPr>
          <w:rFonts w:eastAsia="仿宋"/>
          <w:sz w:val="28"/>
          <w:szCs w:val="28"/>
          <w:lang w:val="zh-CN"/>
        </w:rPr>
        <w:t>电子邮箱：</w:t>
      </w:r>
      <w:r>
        <w:rPr>
          <w:rFonts w:hint="eastAsia" w:eastAsia="仿宋"/>
          <w:sz w:val="28"/>
          <w:szCs w:val="28"/>
        </w:rPr>
        <w:t xml:space="preserve">                 </w:t>
      </w:r>
      <w:r>
        <w:rPr>
          <w:rFonts w:eastAsia="仿宋"/>
          <w:sz w:val="28"/>
          <w:szCs w:val="28"/>
          <w:lang w:val="zh-CN"/>
        </w:rPr>
        <w:t>电子邮箱：</w:t>
      </w:r>
    </w:p>
    <w:p>
      <w:pPr>
        <w:autoSpaceDE w:val="0"/>
        <w:autoSpaceDN w:val="0"/>
        <w:adjustRightInd w:val="0"/>
        <w:spacing w:line="360" w:lineRule="auto"/>
        <w:rPr>
          <w:rFonts w:eastAsia="仿宋"/>
          <w:sz w:val="28"/>
          <w:szCs w:val="28"/>
        </w:rPr>
      </w:pPr>
      <w:r>
        <w:rPr>
          <w:rFonts w:eastAsia="仿宋"/>
          <w:sz w:val="28"/>
          <w:szCs w:val="28"/>
        </w:rPr>
        <w:t>开户银行：</w:t>
      </w:r>
      <w:r>
        <w:rPr>
          <w:rFonts w:hint="eastAsia" w:eastAsia="仿宋"/>
          <w:sz w:val="28"/>
          <w:szCs w:val="28"/>
        </w:rPr>
        <w:t xml:space="preserve">                </w:t>
      </w:r>
      <w:r>
        <w:rPr>
          <w:rFonts w:eastAsia="仿宋"/>
          <w:sz w:val="28"/>
          <w:szCs w:val="28"/>
        </w:rPr>
        <w:t>开户银行：</w:t>
      </w:r>
    </w:p>
    <w:p>
      <w:pPr>
        <w:autoSpaceDE w:val="0"/>
        <w:autoSpaceDN w:val="0"/>
        <w:adjustRightInd w:val="0"/>
        <w:spacing w:line="360" w:lineRule="auto"/>
        <w:rPr>
          <w:rFonts w:eastAsia="仿宋"/>
          <w:sz w:val="28"/>
          <w:szCs w:val="28"/>
        </w:rPr>
      </w:pPr>
      <w:r>
        <w:rPr>
          <w:rFonts w:eastAsia="仿宋"/>
          <w:sz w:val="28"/>
          <w:szCs w:val="28"/>
        </w:rPr>
        <w:t>开户名称：</w:t>
      </w:r>
      <w:r>
        <w:rPr>
          <w:rFonts w:hint="eastAsia" w:eastAsia="仿宋"/>
          <w:sz w:val="28"/>
          <w:szCs w:val="28"/>
        </w:rPr>
        <w:t xml:space="preserve">                </w:t>
      </w:r>
      <w:r>
        <w:rPr>
          <w:rFonts w:eastAsia="仿宋"/>
          <w:sz w:val="28"/>
          <w:szCs w:val="28"/>
        </w:rPr>
        <w:t>开户名称：</w:t>
      </w:r>
    </w:p>
    <w:p>
      <w:pPr>
        <w:autoSpaceDE w:val="0"/>
        <w:autoSpaceDN w:val="0"/>
        <w:adjustRightInd w:val="0"/>
        <w:spacing w:line="360" w:lineRule="auto"/>
        <w:rPr>
          <w:rFonts w:eastAsia="仿宋"/>
          <w:sz w:val="28"/>
          <w:szCs w:val="28"/>
        </w:rPr>
      </w:pPr>
      <w:r>
        <w:rPr>
          <w:rFonts w:eastAsia="仿宋"/>
          <w:sz w:val="28"/>
          <w:szCs w:val="28"/>
        </w:rPr>
        <w:t>开户账号：</w:t>
      </w:r>
      <w:r>
        <w:rPr>
          <w:rFonts w:hint="eastAsia" w:eastAsia="仿宋"/>
          <w:sz w:val="28"/>
          <w:szCs w:val="28"/>
        </w:rPr>
        <w:t xml:space="preserve">                </w:t>
      </w:r>
      <w:r>
        <w:rPr>
          <w:rFonts w:eastAsia="仿宋"/>
          <w:sz w:val="28"/>
          <w:szCs w:val="28"/>
        </w:rPr>
        <w:t>开户账号：</w:t>
      </w:r>
    </w:p>
    <w:p>
      <w:pPr>
        <w:rPr>
          <w:rStyle w:val="62"/>
        </w:rPr>
      </w:pPr>
      <w:r>
        <w:rPr>
          <w:rStyle w:val="62"/>
          <w:rFonts w:hint="eastAsia"/>
        </w:rPr>
        <w:br w:type="page"/>
      </w:r>
    </w:p>
    <w:p>
      <w:pPr>
        <w:spacing w:line="560" w:lineRule="exact"/>
        <w:jc w:val="center"/>
        <w:outlineLvl w:val="0"/>
        <w:rPr>
          <w:rStyle w:val="62"/>
        </w:rPr>
      </w:pPr>
      <w:r>
        <w:rPr>
          <w:rStyle w:val="62"/>
          <w:rFonts w:hint="eastAsia"/>
        </w:rPr>
        <w:t>五、</w:t>
      </w:r>
      <w:r>
        <w:rPr>
          <w:rStyle w:val="62"/>
        </w:rPr>
        <w:t>采购需求</w:t>
      </w:r>
      <w:bookmarkEnd w:id="141"/>
      <w:bookmarkEnd w:id="142"/>
      <w:bookmarkEnd w:id="143"/>
    </w:p>
    <w:p>
      <w:pPr>
        <w:rPr>
          <w:rStyle w:val="62"/>
          <w:rFonts w:ascii="仿宋" w:hAnsi="仿宋" w:eastAsia="仿宋" w:cs="仿宋"/>
        </w:rPr>
      </w:pPr>
      <w:r>
        <w:rPr>
          <w:rStyle w:val="62"/>
          <w:rFonts w:hint="eastAsia" w:ascii="仿宋" w:hAnsi="仿宋" w:eastAsia="仿宋" w:cs="仿宋"/>
        </w:rPr>
        <w:t>1、项目需求</w:t>
      </w:r>
    </w:p>
    <w:p>
      <w:pPr>
        <w:ind w:firstLine="640" w:firstLineChars="200"/>
        <w:rPr>
          <w:rStyle w:val="62"/>
          <w:rFonts w:ascii="仿宋" w:hAnsi="仿宋" w:eastAsia="仿宋" w:cs="仿宋"/>
        </w:rPr>
      </w:pPr>
      <w:r>
        <w:rPr>
          <w:rStyle w:val="62"/>
          <w:rFonts w:hint="eastAsia" w:ascii="仿宋" w:hAnsi="仿宋" w:eastAsia="仿宋" w:cs="仿宋"/>
        </w:rPr>
        <w:t>《塔城地区国民经济和社会发展第十四个五年规划和 2035 年远 景目标纲要》提出：积极发展战略性新兴产业,实施战略性新兴产业 发展推进工程，壮大新一代信息技术、节能环保、新材料、氢能源、先进装备制造、生物医药等产业，提升战略新兴产业比重。</w:t>
      </w:r>
    </w:p>
    <w:p>
      <w:pPr>
        <w:ind w:firstLine="640" w:firstLineChars="200"/>
        <w:rPr>
          <w:rStyle w:val="62"/>
          <w:rFonts w:ascii="仿宋" w:hAnsi="仿宋" w:eastAsia="仿宋" w:cs="仿宋"/>
        </w:rPr>
      </w:pPr>
      <w:r>
        <w:rPr>
          <w:rStyle w:val="62"/>
          <w:rFonts w:hint="eastAsia" w:ascii="仿宋" w:hAnsi="仿宋" w:eastAsia="仿宋" w:cs="仿宋"/>
        </w:rPr>
        <w:t>加快发展信息技术产业。着力发展数字经济。以加快“5G+工业 互联网 ”试点示范区建设为引领，促进数字经济与实体经济深度融合， 推进 5G、物联网、云计算、大数据、工业互联网等新一代信息技术 融合创新和发展应用项目建设。加快重要基础设施智能化步伐。加快 云计算、大数据、5G 产业发展，促进新一代信息技术在公安警务、 工业制造、文旅、农业、交通运输、能源、医疗、教育、热力、电子商务、物流等领域的应用，打造地区数据中心。</w:t>
      </w:r>
    </w:p>
    <w:p>
      <w:pPr>
        <w:ind w:firstLine="640" w:firstLineChars="200"/>
        <w:rPr>
          <w:rStyle w:val="62"/>
          <w:rFonts w:ascii="仿宋" w:hAnsi="仿宋" w:eastAsia="仿宋" w:cs="仿宋"/>
        </w:rPr>
      </w:pPr>
      <w:r>
        <w:rPr>
          <w:rStyle w:val="62"/>
          <w:rFonts w:hint="eastAsia" w:ascii="仿宋" w:hAnsi="仿宋" w:eastAsia="仿宋" w:cs="仿宋"/>
        </w:rPr>
        <w:t>推动工业化和信息化深度融合，进行数字化工厂转型，推动农业数字化转型，完善农业大数据平台和重要农产品全产业链大数据建设，推动数字技术在种养殖等领域广泛应用，形成从生产到收获全过程机械化生产技术数字模拟体系，支持裕民县积极发展智慧农业，打造农业大数据平台应用示范基地建设试点，创建农业物联网应用示范县市。通过政府支持和招商引资等渠道，力争“十四五 ”末县（市）初步建立农业公共服务平台和商业化农业大数据平台。</w:t>
      </w:r>
    </w:p>
    <w:p>
      <w:pPr>
        <w:rPr>
          <w:rStyle w:val="62"/>
          <w:rFonts w:ascii="仿宋" w:hAnsi="仿宋" w:eastAsia="仿宋" w:cs="仿宋"/>
        </w:rPr>
      </w:pPr>
    </w:p>
    <w:p>
      <w:pPr>
        <w:rPr>
          <w:rStyle w:val="62"/>
          <w:rFonts w:ascii="仿宋" w:hAnsi="仿宋" w:eastAsia="仿宋" w:cs="仿宋"/>
        </w:rPr>
      </w:pPr>
      <w:r>
        <w:rPr>
          <w:rStyle w:val="62"/>
          <w:rFonts w:hint="eastAsia" w:ascii="仿宋" w:hAnsi="仿宋" w:eastAsia="仿宋" w:cs="仿宋"/>
        </w:rPr>
        <w:t>2、建设内容和规模</w:t>
      </w:r>
    </w:p>
    <w:p>
      <w:pPr>
        <w:ind w:firstLine="640" w:firstLineChars="200"/>
        <w:rPr>
          <w:rStyle w:val="62"/>
          <w:rFonts w:ascii="仿宋" w:hAnsi="仿宋" w:eastAsia="仿宋" w:cs="仿宋"/>
        </w:rPr>
      </w:pPr>
      <w:r>
        <w:rPr>
          <w:rStyle w:val="62"/>
          <w:rFonts w:hint="eastAsia" w:ascii="仿宋" w:hAnsi="仿宋" w:eastAsia="仿宋" w:cs="仿宋"/>
        </w:rPr>
        <w:t>结合塔城地区“十四五 ”发展目标及裕民县乡村振兴目标，本项 目拟一座基础数据库搭建，一套流通节点追溯子系统建设，一个种养 殖基地信息平台建设，一个企业生产过程基础信息平台建设，高精度</w:t>
      </w:r>
    </w:p>
    <w:p>
      <w:pPr>
        <w:rPr>
          <w:rStyle w:val="62"/>
          <w:rFonts w:ascii="仿宋" w:hAnsi="仿宋" w:eastAsia="仿宋" w:cs="仿宋"/>
        </w:rPr>
      </w:pPr>
      <w:r>
        <w:rPr>
          <w:rStyle w:val="62"/>
          <w:rFonts w:hint="eastAsia" w:ascii="仿宋" w:hAnsi="仿宋" w:eastAsia="仿宋" w:cs="仿宋"/>
        </w:rPr>
        <w:t>定位设备购置，办公场所等配套设施建设(300 平方米-400 平方米)。</w:t>
      </w:r>
    </w:p>
    <w:p>
      <w:pPr>
        <w:ind w:firstLine="640" w:firstLineChars="200"/>
        <w:rPr>
          <w:rStyle w:val="62"/>
          <w:rFonts w:ascii="仿宋" w:hAnsi="仿宋" w:eastAsia="仿宋" w:cs="仿宋"/>
        </w:rPr>
      </w:pPr>
      <w:r>
        <w:rPr>
          <w:rStyle w:val="62"/>
          <w:rFonts w:hint="eastAsia" w:ascii="仿宋" w:hAnsi="仿宋" w:eastAsia="仿宋" w:cs="仿宋"/>
        </w:rPr>
        <w:t>考虑裕民县高精全追踪溯源项目的可持续发展能力，既满足当前发展的需求，又考虑未来发展的需要，建设裕民县高精全追踪溯源管理中心，管理中心装修设计注重现代化和科技感包括基础智能化装修，独立电力变压器，多套 LED 大屏及工业显示器矩阵，智能控制器，中控主机，电源时序器，全热交换器，可编程逻辑控制软模组，智能化空调系统，智慧模块化数据机房（管理中心建设包含服务器、交换机、</w:t>
      </w:r>
    </w:p>
    <w:p>
      <w:pPr>
        <w:rPr>
          <w:rStyle w:val="62"/>
          <w:rFonts w:ascii="仿宋" w:hAnsi="仿宋" w:eastAsia="仿宋" w:cs="仿宋"/>
        </w:rPr>
      </w:pPr>
      <w:r>
        <w:rPr>
          <w:rStyle w:val="62"/>
          <w:rFonts w:hint="eastAsia" w:ascii="仿宋" w:hAnsi="仿宋" w:eastAsia="仿宋" w:cs="仿宋"/>
        </w:rPr>
        <w:t>防火墙、UPS 电源、网络环境部署等）和数控显示平台。</w:t>
      </w:r>
    </w:p>
    <w:p>
      <w:pPr>
        <w:rPr>
          <w:rStyle w:val="62"/>
          <w:rFonts w:ascii="仿宋" w:hAnsi="仿宋" w:eastAsia="仿宋" w:cs="仿宋"/>
        </w:rPr>
      </w:pPr>
      <w:r>
        <w:rPr>
          <w:rStyle w:val="62"/>
          <w:rFonts w:hint="eastAsia" w:ascii="仿宋" w:hAnsi="仿宋" w:eastAsia="仿宋" w:cs="仿宋"/>
        </w:rPr>
        <w:t>一、裕民县高精全追踪溯源管理中心在食品安全溯源中的应用:</w:t>
      </w:r>
    </w:p>
    <w:p>
      <w:pPr>
        <w:rPr>
          <w:rStyle w:val="62"/>
          <w:rFonts w:ascii="仿宋" w:hAnsi="仿宋" w:eastAsia="仿宋" w:cs="仿宋"/>
        </w:rPr>
      </w:pPr>
      <w:r>
        <w:rPr>
          <w:rStyle w:val="62"/>
          <w:rFonts w:hint="eastAsia" w:ascii="仿宋" w:hAnsi="仿宋" w:eastAsia="仿宋" w:cs="仿宋"/>
        </w:rPr>
        <w:t>1. 数据收集与存储</w:t>
      </w:r>
    </w:p>
    <w:p>
      <w:pPr>
        <w:ind w:firstLine="640" w:firstLineChars="200"/>
        <w:rPr>
          <w:rStyle w:val="62"/>
          <w:rFonts w:ascii="仿宋" w:hAnsi="仿宋" w:eastAsia="仿宋" w:cs="仿宋"/>
        </w:rPr>
      </w:pPr>
      <w:r>
        <w:rPr>
          <w:rStyle w:val="62"/>
          <w:rFonts w:hint="eastAsia" w:ascii="仿宋" w:hAnsi="仿宋" w:eastAsia="仿宋" w:cs="仿宋"/>
        </w:rPr>
        <w:t>大数据技术通过各种传感器和设备，收集海量的生产、加工、运输等全过程数据。这些数据包括了原材料采集的地域信息、生产工艺的参数、质检过程的结果等重要信息。通过云计算和分布式存储技术，这些数据可以被高效地保存和管理。</w:t>
      </w:r>
    </w:p>
    <w:p>
      <w:pPr>
        <w:rPr>
          <w:rStyle w:val="62"/>
          <w:rFonts w:ascii="仿宋" w:hAnsi="仿宋" w:eastAsia="仿宋" w:cs="仿宋"/>
        </w:rPr>
      </w:pPr>
      <w:r>
        <w:rPr>
          <w:rStyle w:val="62"/>
          <w:rFonts w:hint="eastAsia" w:ascii="仿宋" w:hAnsi="仿宋" w:eastAsia="仿宋" w:cs="仿宋"/>
        </w:rPr>
        <w:t>2. 数据清洗与分析</w:t>
      </w:r>
    </w:p>
    <w:p>
      <w:pPr>
        <w:ind w:firstLine="640" w:firstLineChars="200"/>
        <w:rPr>
          <w:rStyle w:val="62"/>
          <w:rFonts w:ascii="仿宋" w:hAnsi="仿宋" w:eastAsia="仿宋" w:cs="仿宋"/>
        </w:rPr>
      </w:pPr>
      <w:r>
        <w:rPr>
          <w:rStyle w:val="62"/>
          <w:rFonts w:hint="eastAsia" w:ascii="仿宋" w:hAnsi="仿宋" w:eastAsia="仿宋" w:cs="仿宋"/>
        </w:rPr>
        <w:t>收集到的安全数据需要进行清洗和分析，以便发现异常情况和潜在风险。大数据技术可以帮助自动化地清洗数据、发现数据之间的关联性，并通过数据挖掘和机器学习算法，对数据进行深入分析，提取出有价值的信息。</w:t>
      </w:r>
    </w:p>
    <w:p>
      <w:pPr>
        <w:rPr>
          <w:rStyle w:val="62"/>
          <w:rFonts w:ascii="仿宋" w:hAnsi="仿宋" w:eastAsia="仿宋" w:cs="仿宋"/>
        </w:rPr>
      </w:pPr>
      <w:r>
        <w:rPr>
          <w:rStyle w:val="62"/>
          <w:rFonts w:hint="eastAsia" w:ascii="仿宋" w:hAnsi="仿宋" w:eastAsia="仿宋" w:cs="仿宋"/>
        </w:rPr>
        <w:t>3. 溯源追踪与追责</w:t>
      </w:r>
    </w:p>
    <w:p>
      <w:pPr>
        <w:ind w:firstLine="640" w:firstLineChars="200"/>
        <w:rPr>
          <w:rStyle w:val="62"/>
          <w:rFonts w:ascii="仿宋" w:hAnsi="仿宋" w:eastAsia="仿宋" w:cs="仿宋"/>
        </w:rPr>
      </w:pPr>
      <w:r>
        <w:rPr>
          <w:rStyle w:val="62"/>
          <w:rFonts w:hint="eastAsia" w:ascii="仿宋" w:hAnsi="仿宋" w:eastAsia="仿宋" w:cs="仿宋"/>
        </w:rPr>
        <w:t>大数据技术可以实现对食品全流程的溯源追踪和追责，从原材料的采集到最终产品的销售，每一个环节都可以被准确记录并追溯。当出现食品安全问题时，可以通过大数据分析，及时定位问题，并快速采取措施，追责到责任人。</w:t>
      </w:r>
    </w:p>
    <w:p>
      <w:pPr>
        <w:rPr>
          <w:rStyle w:val="62"/>
          <w:rFonts w:ascii="仿宋" w:hAnsi="仿宋" w:eastAsia="仿宋" w:cs="仿宋"/>
        </w:rPr>
      </w:pPr>
      <w:r>
        <w:rPr>
          <w:rStyle w:val="62"/>
          <w:rFonts w:hint="eastAsia" w:ascii="仿宋" w:hAnsi="仿宋" w:eastAsia="仿宋" w:cs="仿宋"/>
        </w:rPr>
        <w:t>二、裕民县高精全追踪溯源管理中心对溯源安全保障的重要意义</w:t>
      </w:r>
    </w:p>
    <w:p>
      <w:pPr>
        <w:rPr>
          <w:rStyle w:val="62"/>
          <w:rFonts w:ascii="仿宋" w:hAnsi="仿宋" w:eastAsia="仿宋" w:cs="仿宋"/>
        </w:rPr>
      </w:pPr>
      <w:r>
        <w:rPr>
          <w:rStyle w:val="62"/>
          <w:rFonts w:hint="eastAsia" w:ascii="仿宋" w:hAnsi="仿宋" w:eastAsia="仿宋" w:cs="仿宋"/>
        </w:rPr>
        <w:t>1. 提高追溯效率</w:t>
      </w:r>
    </w:p>
    <w:p>
      <w:pPr>
        <w:ind w:firstLine="640" w:firstLineChars="200"/>
        <w:rPr>
          <w:rStyle w:val="62"/>
          <w:rFonts w:ascii="仿宋" w:hAnsi="仿宋" w:eastAsia="仿宋" w:cs="仿宋"/>
        </w:rPr>
      </w:pPr>
      <w:r>
        <w:rPr>
          <w:rStyle w:val="62"/>
          <w:rFonts w:hint="eastAsia" w:ascii="仿宋" w:hAnsi="仿宋" w:eastAsia="仿宋" w:cs="仿宋"/>
        </w:rPr>
        <w:t>传统的食品溯源往往需要耗费大量时间和人力成本，而大数据技术的应用可以大大提高追溯效率。通过自动化数据收集和分析，能够在最短的时间内找到问题源头，并追溯到具体环节，从而及时采取相应措施，减少食品安全事故发生的可能性。</w:t>
      </w:r>
    </w:p>
    <w:p>
      <w:pPr>
        <w:rPr>
          <w:rStyle w:val="62"/>
          <w:rFonts w:ascii="仿宋" w:hAnsi="仿宋" w:eastAsia="仿宋" w:cs="仿宋"/>
        </w:rPr>
      </w:pPr>
      <w:r>
        <w:rPr>
          <w:rStyle w:val="62"/>
          <w:rFonts w:hint="eastAsia" w:ascii="仿宋" w:hAnsi="仿宋" w:eastAsia="仿宋" w:cs="仿宋"/>
        </w:rPr>
        <w:t>2. 实现动态监测</w:t>
      </w:r>
    </w:p>
    <w:p>
      <w:pPr>
        <w:ind w:firstLine="640" w:firstLineChars="200"/>
        <w:rPr>
          <w:rStyle w:val="62"/>
          <w:rFonts w:ascii="仿宋" w:hAnsi="仿宋" w:eastAsia="仿宋" w:cs="仿宋"/>
        </w:rPr>
      </w:pPr>
      <w:r>
        <w:rPr>
          <w:rStyle w:val="62"/>
          <w:rFonts w:hint="eastAsia" w:ascii="仿宋" w:hAnsi="仿宋" w:eastAsia="仿宋" w:cs="仿宋"/>
        </w:rPr>
        <w:t>大数据技术可以实现对食品安全过程的实时监测。通过数据传感器可以监测食品的参数，在食品储存和运输过程中及时发现问题，避免损失或风险的扩大。同时，可以利用大数据技术对历史数据进行分析和预测，提前预防食品安全问题的发生。</w:t>
      </w:r>
    </w:p>
    <w:p>
      <w:pPr>
        <w:rPr>
          <w:rStyle w:val="62"/>
          <w:rFonts w:ascii="仿宋" w:hAnsi="仿宋" w:eastAsia="仿宋" w:cs="仿宋"/>
        </w:rPr>
      </w:pPr>
      <w:r>
        <w:rPr>
          <w:rStyle w:val="62"/>
          <w:rFonts w:hint="eastAsia" w:ascii="仿宋" w:hAnsi="仿宋" w:eastAsia="仿宋" w:cs="仿宋"/>
        </w:rPr>
        <w:t>3. 优化供应链管理</w:t>
      </w:r>
    </w:p>
    <w:p>
      <w:pPr>
        <w:ind w:firstLine="640" w:firstLineChars="200"/>
        <w:rPr>
          <w:rStyle w:val="62"/>
          <w:rFonts w:ascii="仿宋" w:hAnsi="仿宋" w:eastAsia="仿宋" w:cs="仿宋"/>
        </w:rPr>
      </w:pPr>
      <w:r>
        <w:rPr>
          <w:rStyle w:val="62"/>
          <w:rFonts w:hint="eastAsia" w:ascii="仿宋" w:hAnsi="仿宋" w:eastAsia="仿宋" w:cs="仿宋"/>
        </w:rPr>
        <w:t>大数据技术可以实现全链条的供应链管理，从源头到最终产品销售，每一个环节都能够通过大数据的分析和监控得到改善和优化。通过改进供应链管理，可以提高食品安全的整体质量和可追溯性，加强对食品安全的监管和控制。</w:t>
      </w:r>
    </w:p>
    <w:p>
      <w:pPr>
        <w:rPr>
          <w:rStyle w:val="62"/>
          <w:rFonts w:ascii="仿宋" w:hAnsi="仿宋" w:eastAsia="仿宋" w:cs="仿宋"/>
        </w:rPr>
      </w:pPr>
      <w:r>
        <w:rPr>
          <w:rStyle w:val="62"/>
          <w:rFonts w:hint="eastAsia" w:ascii="仿宋" w:hAnsi="仿宋" w:eastAsia="仿宋" w:cs="仿宋"/>
        </w:rPr>
        <w:t>4. 增强公众信任</w:t>
      </w:r>
    </w:p>
    <w:p>
      <w:pPr>
        <w:ind w:firstLine="640" w:firstLineChars="200"/>
        <w:rPr>
          <w:rStyle w:val="62"/>
          <w:rFonts w:ascii="仿宋" w:hAnsi="仿宋" w:eastAsia="仿宋" w:cs="仿宋"/>
        </w:rPr>
      </w:pPr>
      <w:r>
        <w:rPr>
          <w:rStyle w:val="62"/>
          <w:rFonts w:hint="eastAsia" w:ascii="仿宋" w:hAnsi="仿宋" w:eastAsia="仿宋" w:cs="仿宋"/>
        </w:rPr>
        <w:t>食品安全问题直接关系到公众的健康和生命安全。大数据技术的应用可以提高食品安全溯源的透明度和可信度，让公众更加放心购买食品。通过公开透明的食品安全信息，增加公众对食品生产和流通环节的信任，改善社会对食品安全的整体认知。</w:t>
      </w:r>
    </w:p>
    <w:p>
      <w:pPr>
        <w:rPr>
          <w:rStyle w:val="62"/>
          <w:rFonts w:ascii="仿宋" w:hAnsi="仿宋" w:eastAsia="仿宋" w:cs="仿宋"/>
        </w:rPr>
      </w:pPr>
      <w:r>
        <w:rPr>
          <w:rStyle w:val="62"/>
          <w:rFonts w:hint="eastAsia" w:ascii="仿宋" w:hAnsi="仿宋" w:eastAsia="仿宋" w:cs="仿宋"/>
        </w:rPr>
        <w:t>三、结论</w:t>
      </w:r>
    </w:p>
    <w:p>
      <w:pPr>
        <w:ind w:firstLine="640" w:firstLineChars="200"/>
        <w:rPr>
          <w:rStyle w:val="62"/>
          <w:rFonts w:ascii="仿宋" w:hAnsi="仿宋" w:eastAsia="仿宋" w:cs="仿宋"/>
        </w:rPr>
      </w:pPr>
      <w:r>
        <w:rPr>
          <w:rStyle w:val="62"/>
          <w:rFonts w:hint="eastAsia" w:ascii="仿宋" w:hAnsi="仿宋" w:eastAsia="仿宋" w:cs="仿宋"/>
        </w:rPr>
        <w:t>裕民县高精全追踪溯源管理中心在溯源中起着至关重要的作用。通过数据的收集、存储、清洗和分析，可以实现对食品全流程的追溯，提高食品安全事故的处理效率。同时，大数据技术的应用还能够优化供应链管理，增强公众对食品安全的信任感。随着大数据技术的进一步发展，相信食品安全溯源将得到更好的保障，实现数据的统一采集、分类、分析、流转。利用 AI 算力、数字孪生等信息技术手段获得更全面和准确的数据来源。为人民群众提供更加可靠和放心的食品。</w:t>
      </w:r>
    </w:p>
    <w:p>
      <w:pPr>
        <w:rPr>
          <w:rStyle w:val="62"/>
          <w:rFonts w:ascii="仿宋" w:hAnsi="仿宋" w:eastAsia="仿宋" w:cs="仿宋"/>
        </w:rPr>
      </w:pPr>
      <w:r>
        <w:rPr>
          <w:rStyle w:val="62"/>
          <w:rFonts w:hint="eastAsia" w:ascii="仿宋" w:hAnsi="仿宋" w:eastAsia="仿宋" w:cs="仿宋"/>
        </w:rPr>
        <w:t>3、项目目标</w:t>
      </w:r>
    </w:p>
    <w:p>
      <w:pPr>
        <w:ind w:firstLine="640" w:firstLineChars="200"/>
        <w:rPr>
          <w:rStyle w:val="62"/>
          <w:rFonts w:ascii="仿宋" w:hAnsi="仿宋" w:eastAsia="仿宋" w:cs="仿宋"/>
        </w:rPr>
      </w:pPr>
      <w:r>
        <w:rPr>
          <w:rStyle w:val="62"/>
          <w:rFonts w:hint="eastAsia" w:ascii="仿宋" w:hAnsi="仿宋" w:eastAsia="仿宋" w:cs="仿宋"/>
        </w:rPr>
        <w:t>本项目实施后，助力政府监管，打造农业品牌，提升地方经济发</w:t>
      </w:r>
    </w:p>
    <w:p>
      <w:pPr>
        <w:rPr>
          <w:rStyle w:val="62"/>
          <w:rFonts w:ascii="仿宋" w:hAnsi="仿宋" w:eastAsia="仿宋" w:cs="仿宋"/>
        </w:rPr>
      </w:pPr>
      <w:r>
        <w:rPr>
          <w:rStyle w:val="62"/>
          <w:rFonts w:hint="eastAsia" w:ascii="仿宋" w:hAnsi="仿宋" w:eastAsia="仿宋" w:cs="仿宋"/>
        </w:rPr>
        <w:t>展。</w:t>
      </w:r>
    </w:p>
    <w:p>
      <w:pPr>
        <w:rPr>
          <w:rStyle w:val="62"/>
          <w:rFonts w:ascii="仿宋" w:hAnsi="仿宋" w:eastAsia="仿宋" w:cs="仿宋"/>
        </w:rPr>
      </w:pPr>
      <w:r>
        <w:rPr>
          <w:rStyle w:val="62"/>
          <w:rFonts w:hint="eastAsia" w:ascii="仿宋" w:hAnsi="仿宋" w:eastAsia="仿宋" w:cs="仿宋"/>
        </w:rPr>
        <w:br w:type="page"/>
      </w:r>
    </w:p>
    <w:p>
      <w:pPr>
        <w:sectPr>
          <w:headerReference r:id="rId8" w:type="default"/>
          <w:footerReference r:id="rId9" w:type="default"/>
          <w:pgSz w:w="11906" w:h="16838"/>
          <w:pgMar w:top="1440" w:right="1134" w:bottom="1440" w:left="1134" w:header="851" w:footer="992" w:gutter="0"/>
          <w:cols w:space="0" w:num="1"/>
          <w:docGrid w:linePitch="312" w:charSpace="0"/>
        </w:sectPr>
      </w:pPr>
    </w:p>
    <w:p>
      <w:pPr>
        <w:pStyle w:val="58"/>
      </w:pPr>
    </w:p>
    <w:p>
      <w:pPr>
        <w:rPr>
          <w:rStyle w:val="62"/>
          <w:rFonts w:ascii="仿宋" w:hAnsi="仿宋" w:eastAsia="仿宋" w:cs="仿宋"/>
        </w:rPr>
      </w:pPr>
      <w:r>
        <w:rPr>
          <w:rStyle w:val="62"/>
          <w:rFonts w:hint="eastAsia" w:ascii="仿宋" w:hAnsi="仿宋" w:eastAsia="仿宋" w:cs="仿宋"/>
        </w:rPr>
        <w:t>4、采购需求清单</w:t>
      </w:r>
    </w:p>
    <w:p>
      <w:pPr>
        <w:pStyle w:val="58"/>
      </w:pPr>
    </w:p>
    <w:tbl>
      <w:tblPr>
        <w:tblStyle w:val="41"/>
        <w:tblW w:w="14540" w:type="dxa"/>
        <w:tblInd w:w="93" w:type="dxa"/>
        <w:tblLayout w:type="autofit"/>
        <w:tblCellMar>
          <w:top w:w="0" w:type="dxa"/>
          <w:left w:w="108" w:type="dxa"/>
          <w:bottom w:w="0" w:type="dxa"/>
          <w:right w:w="108" w:type="dxa"/>
        </w:tblCellMar>
      </w:tblPr>
      <w:tblGrid>
        <w:gridCol w:w="2016"/>
        <w:gridCol w:w="1630"/>
        <w:gridCol w:w="9262"/>
        <w:gridCol w:w="936"/>
        <w:gridCol w:w="696"/>
      </w:tblGrid>
      <w:tr>
        <w:tblPrEx>
          <w:tblCellMar>
            <w:top w:w="0" w:type="dxa"/>
            <w:left w:w="108" w:type="dxa"/>
            <w:bottom w:w="0" w:type="dxa"/>
            <w:right w:w="108" w:type="dxa"/>
          </w:tblCellMar>
        </w:tblPrEx>
        <w:trPr>
          <w:trHeight w:val="1324" w:hRule="atLeast"/>
        </w:trPr>
        <w:tc>
          <w:tcPr>
            <w:tcW w:w="14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44"/>
                <w:szCs w:val="44"/>
              </w:rPr>
            </w:pPr>
            <w:r>
              <w:rPr>
                <w:rFonts w:hint="eastAsia" w:ascii="仿宋" w:hAnsi="仿宋" w:eastAsia="仿宋" w:cs="仿宋"/>
                <w:color w:val="000000"/>
                <w:kern w:val="0"/>
                <w:sz w:val="44"/>
                <w:szCs w:val="44"/>
                <w:lang w:bidi="ar"/>
              </w:rPr>
              <w:t>裕民县农畜产品5G+区块链+高精全追踪溯源项目(采购清单）</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名称</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参数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羊只管理系统</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功能要求</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1、通过对肉羊生命周期的全产业生产数据采集，管理等对肉羊的繁育、育肥、生产、称重分群、精准饲料、兽药、屠宰、产品质量追溯等，实现羊只养殖过程系统智能管理。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养殖场管理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通过对养殖场的编号、养殖场地址、联系人、电话、养殖场营业执照、经营资质、运输车辆登记。</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8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羊圈舍管理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通过对羊舍编号、羊群类型、品种、管理人员、饲养员、责任兽医、舍存数量、已存数量、未存数量、备注等信息的信息录入，实现对多个羊圈舍的统一信息化管理，并为羊只管理系统提供基础信息支持。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2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羊只档案</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通过采集羊只的编号、性别、品种、所在羊圈舍、类型、出生日 期、出生重量、胎次、饲养员、责任兽医、入场类型、父亲编号、母亲编号、入场日期、入场体重、外购体重、入场来源、状态、离场日期、备注等信息，以实现对单羊只的基本信息、体重、责任人管理及羊只谱系的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4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场内移动记录</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通过采集羊只在羊舍间的移动日期、 目标羊圈舍、饲养员、责任 兽医、经办人、移动原因等信息，实现对羊只所在区域的精准掌控及移动情况记录。</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4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离场登记记录</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通过采集羊只的离场日期、离场类型、离场原因、离场后去向、 离场经办人、备注等信息，实现对羊只离场信息的完整记录和去向追溯。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18"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整场移动记录</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通过采集整个羊场间的移动日期、原圈舍、目标羊舍、责任兽医、 饲养员、移动原因、经办人等信息，实现整个羊舍间的移动情况的记录和监管。</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8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精准饲喂</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根据配方管理，TMR 车严格执行配方计划，改变牧场饲喂随意， 没有规则，成本无法控制的局面，提高饲喂精准化，同时通过传感器， 可以实时了解投料饲料与计划配方之间的差别，从而实现配方日粮、投食日粮、采食日粮的一致性，保证饲料成本可控和羊群营养需要；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5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诊疗防疫</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根据羊只生长周期的特点，及生长过程中的特性，制定防疫检疫 的规程，系统及时预警，饲喂工人及时诊疗，实时跟踪羊只个体、羊群的检免情况，降低羊只的淘汰率、死亡率及降低羊只养殖成本；</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免疫保健设置</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通过对疫苗名称、疫苗类型、首免天数、免疫剂量等信息的采集和录入，实现对羊只疫苗使用情况及药品溯源提供基础信息支持。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1006"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繁育管理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羊只电子耳标，规范和引导种羊的繁殖事件登记，实时记录羊只发情、放栓、撤栓、配种、出检、复检、分娩、怀孕、流产断奶等情况，实现羊只繁育过程全监测，从源头上做到繁殖数据的规范性、完整性和一致性，同时通过胚 胎繁育，提高羊只繁育率；通过冻精销售，提高牧场经营效率，同时带动行业内的良种繁育。</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智能预警</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系统配置各种预警，及时提醒，及时实现，保证养殖过程科学化，例如产羔预警，断奶预警，初配预警，孕检预警等。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781"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饲料管理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系统提供饲料的进销存管理、饲料的消耗成本分析，降低牧场经营；</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5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销售管理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系统提供羊只销售功能，羊只销售过程通过扫描羊只电子耳标，同时系统自动生成出舍单，记录羊只销售重量、销售去向、价格等；销售系统记录编码，销售去向等，实现有依可查，有据可证；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综合分析图表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根据数据挖掘，整合、层层分解、层层分析等，实现大数据分析统计，形成多维度多层次报告；</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0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羊只个体追溯</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牧场建立全面的质量监测和质量追溯体系，实现数据全产业链，羊只质量追溯全过程，从而保证质量追溯的真实和可靠；</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67"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视频监控</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视频监控系统按照羊群、羊舍、产房、采精室、饲料库等关注的条件，方便动态监视，通过在当地养殖公司建立信息化系统，通过大屏可以随时监控牧场运行情况，实现远程可视化；</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角色管理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支持对系统权限通过角色的方式分配给相关用户及用户组</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4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日志管理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支持对用户的操作信息进行记录管理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供应商管理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登记供应商企业信息，包括企业名称、企业地址、负责人、联系方式</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用户组管理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支持按部门或岗位定用户组，并与角色关联赋予对应系统（菜单）权限，包括用户组名称、说明、所属角色</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用户管理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支持系统用户创建，并与用户组关联赋予对应系统（菜单）权限，包括用户ID（系统自动产生）、用户姓名、性别、联系方式、所属用户组</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巴什拜羊追溯系统</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2、巴什拜羊追溯系统</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116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追溯系统</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基于物联网云平台、智能无线络技术(4G、5G、WIFI等)，用户可通过手机端或平台对畜产品出栏，销售进行上报并进行全流程跟踪，购买方通过手机端对养殖户的畜产品通过上报二次加工场地、企业等进行流程追溯，并通过企业进行销售流程的上报工作。追溯企业信息、追溯产品信息、追溯养殖信息、追溯交售信息、精准召回、二维码追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屠宰管理系统</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EB管理系统和客户端管理系统，基础数据、客户出入场数据、宰前管理、仓库管理、屠宰/无害处理、速冻库管理、排酸库管理、成品库管理、胴体计量管理、包装管理、销售管理、物流管理、系统管理、报表管理等数据采集查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3105"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2.配套硬件</w:t>
            </w:r>
          </w:p>
        </w:tc>
      </w:tr>
      <w:tr>
        <w:tblPrEx>
          <w:tblCellMar>
            <w:top w:w="0" w:type="dxa"/>
            <w:left w:w="108" w:type="dxa"/>
            <w:bottom w:w="0" w:type="dxa"/>
            <w:right w:w="108" w:type="dxa"/>
          </w:tblCellMar>
        </w:tblPrEx>
        <w:trPr>
          <w:trHeight w:val="2996"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超高频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手持终端</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1、显示屏:5.2英寸，</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2、IPSFHD1920x1080分辨率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3、触控屏:支持多点触控，支持手套或湿手操作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4、电池容量：可充电锂聚合物电池8000mAh</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5、待机时间&gt;500小时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6、通讯接口：USB2.0Type-C，OTG，八核版支持TypeC耳机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7、传感器：重力传感器，光线传感器，距离传感器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8、性能参数：CPUCortex-A531.45GHz四核/Cortex-A532.5GHz八核</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50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产品溯源打印机</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打印材料：PET；铜版纸；合成纸；亚银聚酯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使用方式：工业级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输入方式：USB；串口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剪切方式：手动剪切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清晰度：≥200DPI/300DPI</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打印方式：热敏打印/热转印打印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打印速度：≥每秒15毫米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打印宽度：≥104毫米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可装碳带：≥300米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物联网溯源秤</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智能物联网可视台秤 溯源秤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溯源操作电脑</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CPU：≥英特尔 酷睿i5 10代；内存容量：≥8GB；集成显卡；固态硬盘（SSD）：≥512GB；显示器：≥21.5英寸；输入设备：配备鼠标、键盘；</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679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种羊定位项圈</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精准定位：项圈采用GPS+北斗双模定位，可精确采集放牧牲畜的位置信息，并在平台侧进行数据查看。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健康监测：项圈采集放牧牲畜的活动量，在平台侧可根据活动量数据判断放牧牲畜的健康、生病、死亡等。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材质优：外壳采用优选工程塑料（塑料合金），强韧环保。</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续航久：采用大容量高密度无损锂电池，搭配超低功耗设计，超长续航。</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体积小，重量轻：佩戴方便，不会对牲畜造成应激反应。</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一键盘点：通过对项圈实时在线情况进行筛查，可快速点清佩戴项圈的牲畜数量，防止牲畜丢失或出现意外。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疫情监测：通过对牲畜运动量的综合分析，快速识别异常的牲畜，并通过平台进行报警，做到疫情预警，防止疫情大面积传播。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发情监测：通过对牲畜运动量的综合分析，快速识别发情的牲畜，并通过平台进行报警，做到发情预警，避免错过发情期。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位置监测：对每个牲畜进行位置管理，同时设置电子围栏，出栏及时报警，防止牲畜丢失。</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远程管理便捷：人性化WEB/APP界面，远程牧场管理，更简单方便</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通讯方式：4G</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环境温度：-30℃—60℃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上传频率：默认2小时上传一次（频率可调节，与功耗相关）一天三次可使用2年以上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续航能力：12个月（电池可换）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定位方式：北斗/GPS双模定位</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定位精度：5m—50m（定位精度与天气及遮挡有关）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外壳防护等级：IP67</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尺寸：86mm*50mm*43mm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r>
      <w:tr>
        <w:tblPrEx>
          <w:tblCellMar>
            <w:top w:w="0" w:type="dxa"/>
            <w:left w:w="108" w:type="dxa"/>
            <w:bottom w:w="0" w:type="dxa"/>
            <w:right w:w="108" w:type="dxa"/>
          </w:tblCellMar>
        </w:tblPrEx>
        <w:trPr>
          <w:trHeight w:val="65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超高频电子耳标</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羊只唯一标识，用于基础信息存储、日常养殖信息记录，结合对应设备进行羊只清点，支持群读，防脱设计。ISO 11784/85(FDX-B)~134.2KHz</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ISO 18000-2~125KHz（可定制样式)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5000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1301"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环控传感器</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数采控制单元数采主机（工业级数采主机，监控终端，传感器数据采集，数据通信）；温湿度传感器（温度量程：-50～100℃；分辨率：0.1℃；准确度：±0.5℃ DC 12~24V，100mA；通讯：RS485。湿度量程：0～100%RH；分辨率：0.1%RH；准确度：±0.5%RH DC 12~24V，100mA；通讯：RS485）；光照强度传感器（量程：0-200000Lux 准确度：±5% DC 12~24V，200mA；通讯：RS485）；二氧化碳（CO2）传感器（量程：0~5000PPM，精度：50ppm，准确度：1%, DC 12~24V,300mA）；氨气（NH3）传感器（量程：0~5000PPM，精度：50ppm，准确度：3%, DC 12~24V,200mA）。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191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视频监控</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球机，最远红外30米，支持H.264编码/smart265编码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（1）≥300万像素，4mm定焦广角镜头；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（2）支持三种夜视模式，支持夜间全彩显示；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（3）支持PIR+人形监测，告警推送；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（4）支持双向语音通话；</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442"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质量安全监管系统</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门店备案管理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备案信息需包括门店资料、门店信息及账号信息等。</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0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商品管理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商品备案后需要进行商品入库管理，需包含新增入库、快速入库、修改售价、查看详情等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销售管理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需包含添加销售订单、点击扫码、拆袋、高度农药销售等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产品溯源</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产品销售后可支持兽药、饲料、数量、销售去向等追溯。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产品合格证制度系统</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产品合格证制度管理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合格证出证及打印</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审批通过的合格证出证，基于合格证模板精确打印合格证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出证管理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产品合格证申请和审批</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基本信息维护</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产品合格证包含的代码性质的基本信息维护</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用户管理模块</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用户维护和授权</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巴什拜羊认养系统</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1、认养前端</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认养一只羊APP</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支持安卓系统使用手机APP用户通过认养平台使用</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微信支付</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Style w:val="217"/>
                <w:rFonts w:hint="default" w:ascii="仿宋" w:hAnsi="仿宋" w:eastAsia="仿宋" w:cs="仿宋"/>
                <w:sz w:val="24"/>
                <w:szCs w:val="24"/>
                <w:lang w:bidi="ar"/>
              </w:rPr>
              <w:t>支持认养平台微信在</w:t>
            </w:r>
            <w:r>
              <w:rPr>
                <w:rStyle w:val="217"/>
                <w:rFonts w:hint="default" w:ascii="仿宋" w:hAnsi="仿宋" w:eastAsia="仿宋" w:cs="仿宋"/>
                <w:color w:val="auto"/>
                <w:sz w:val="24"/>
                <w:szCs w:val="24"/>
                <w:lang w:bidi="ar"/>
              </w:rPr>
              <w:t>线支付</w:t>
            </w:r>
            <w:r>
              <w:rPr>
                <w:rFonts w:hint="eastAsia" w:ascii="仿宋" w:hAnsi="仿宋" w:eastAsia="仿宋" w:cs="仿宋"/>
                <w:kern w:val="0"/>
                <w:sz w:val="24"/>
                <w:szCs w:val="24"/>
                <w:lang w:bidi="ar"/>
              </w:rPr>
              <w:t>（平台运营方需要提供支付宝和微信企业账号）</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牧场基本档案</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支持牧场信息展示及更新</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视频接入</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支持养殖现场视频实时接入</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环境监控</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支持养殖现场环境监测信息实时接入</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认养人信息</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支持认养人档案管理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商品信息</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支持认养商品信息管理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用户订单信息</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支持认养订单信息管理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认养关系管理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认养状态、认养关系信息管理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2、认养后端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流水管理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认养平台财务流水信息管理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认养订单管理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认养平台订单信息及分析管理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认养结算中心</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支持认养结算管理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商品信息管理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维护上架商品信息，支持选取个体、定价、认养周期、产品图片</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商品详情管理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信息类型、部位名、图片、说明</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发货物流管理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订单号、快递单号、物流公司、说明</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认养APP</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支持APP端的认养管理操作；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25"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巴什拜羊综合数据分析系统</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养殖概况</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养殖概况将牧场养殖情况以集团角度和维度进行统计分析对比，从羊群结构、存栏出栏统计、繁殖事件、繁育水平指标统计展示，更直观的展示出各牧场的养殖水平。 系统通过养殖场养殖管理系统平台汇集养殖场信息、生产信息、环境信息。</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77"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首页</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地理信息系统是将产业区各个养殖场、屠宰场、牧区、肉类加工厂等标注到地图上.从而使用者能够准确方便地掌握每个地区的养殖场、屠宰场、牧区的数量。</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动物防疫管理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系统辅助养殖场信息员、乡镇防疫员开展属地免疫管理、佩标业务工作的信息化管理，辅助防疫专管员实时管控辖区内动物防疫情况。</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2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无害化管理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使用对象为规模养殖场、病死动物收集点、无害化处理中心、牲畜保险公司及各级监管机构.系统由病死动物死亡登记、收集管理、移交管理、无害化处理记录、保险理赔等核心业务模块组成，辅助病死动物无害化处理工作与监管工作的信息化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0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屠宰管理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使用对象为屠宰企业.系统由准宰通知、库存统计、入场管理、待宰管理、无害化管理、统计分析等业务模块组成。辅助屠宰工作与监管工作的信息化管理.</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781"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溯源管理</w:t>
            </w:r>
          </w:p>
        </w:tc>
        <w:tc>
          <w:tcPr>
            <w:tcW w:w="9936" w:type="dxa"/>
            <w:tcBorders>
              <w:top w:val="nil"/>
              <w:left w:val="nil"/>
              <w:bottom w:val="nil"/>
              <w:right w:val="nil"/>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主要展示商品在地理位置信息、物流信息、销售去向、销售量、销售价格、以及市场价格。</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116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领导驾驶舱</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分析决策系统是基于管理学、运筹学，利用物联网数据、牲畜生长数据、统计数据、疾病数据、市场行情数据等不同维度下，利用大数据云计算技术，进行统计分析，构建一系列特色指数，将数据可视化，方便系统使用者进行根据当前情形进行分析和决策。把握市场动向，争取利益最大化。</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116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接口预留</w:t>
            </w:r>
          </w:p>
        </w:tc>
        <w:tc>
          <w:tcPr>
            <w:tcW w:w="9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为第三方数据访问提供数据接口</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855"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溯源商城系统</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服务商城小程序</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（1）首页：展示订单总量数据，商品总量数据，销售总额数据，店铺收藏总数，店铺评分；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（2）商品功能：可根据巴什拜羊肉品类动态添加产品，上架产品，下架产品，删除产品，库存情况，审核状态，添加封面，添加价格；</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（3）订单管理：可实时查看订单管理，查看订单状态，查看订单详情；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（4）运营功能：商城平台支持个性化运营服务，添加优惠券规则信息，banner列表，粉丝客服设置，满减包邮，满减活动，服务保障，可以根据已有功能进行设置；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（5）财务管理：财务模块可以查看，财务概况，商城结算，提现记录，和提现设置；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（6）统计功能：销售统计可以查看 成交额，单价 付款订单 付款人数 成功退款金额 退款订单，商品排行榜，还有相对应的数据图表展示，可以直观的查看信息情况；访问统计模块可以直接查看访问统计情况，（店铺收藏数量，商品收藏数量，访问量，访客量） 还有相对应的数据图表展示，可以直观的查看信息情况；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（7）设置功能：设置模块功能集成商户信息，运费模板，物流公司，退货地址，打印机管理，打印设置功能；</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41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商城发货物流管理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（1）发货信息录入接口：用户交易后，默认资金将会进入冻结状态，开发者在发货后，需要在小程序平台录入相关发货信息，平台会将发货信息以消息的形式推送给购买的微信用户。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（2）确认收货提醒接口：如已经从快递物流服务方获知到用户已经签收相关商品，可以通过该接口提醒用户及时确认收货，以提高资金结算效率，每个订单仅可调用一次。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消息跳转路径设置接口：已经在小程序内接入平台提供的确认收货组件，可以通过该接口设置发货消息及确认收货消息的跳转动作，用户点击发货消息时会直接进入小程序订单列表页面或详情页面进行确认收货，进一步优化用户体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（4）查询小程序是否已开通发货信息管理服务：调用该接口可查询小程序账号是否已开通小程序发货信息管理服务（已开通的小程序，可接入发货信息管理服务API进行发货管理）。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查询小程序是否已完成交易结算管理确认:调用该接口可查询小程序账号是否已完成交易结算管理确认（即对小程序已关联的所有商户号都完成了订单管理授权或解绑）。已完成订单管理授权的商户号，产生的订单均需要通过发货信息管理服务进行发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(6)相关消息推送:当产生交易或订单结算时，微信服务器会向开发者服务器、第三方平台方的消息与事件接收 URL 以 POST 的方式推送相关事件。注意，需要先接入 微信小程序消息推送服务 才能接收事件。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(7)小程序确认收货组件:开发者可通过调用wx.openBusinessView方式在本小程序打开确认收货组件，让用户完成确认收货操作。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开发者在接收到确认收货成功的回调后，需要通过查询订单发货状态后台接口再次确认是否完成确认收货，避免出现安全风险。</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86"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统一营销数据平台</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可提供多维度的数据统计分析，可汇总亦可针对单一的商城数据进行统计，具体包括订单量数据、用户量数据、商品量数据</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溯源体系建设（pc平台）</w:t>
            </w: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用户管理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企业用户信息管理，可以维护用户信息，修改密码等操作</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角色管理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企业角色信息管理，设定用户的角色，并调整功能权限</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品牌管理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维护品牌信息，包含新增，修改，启用、禁用、删除功能</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商品分类</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维护商品类别信息，包含新增，修改，启用、禁用、删除功能</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商品管理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维护商品信息，包含新增，修改，启用、禁用、删除、授权功能</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仓库管理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仓库基础信息编辑，支持仓库类型自定义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工厂管理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维护工厂基础属性信息，包含新增，修改，启用、禁用、删除功能</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车间管理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维护车间基础属性信息，包含新增，修改，启用、禁用、删除功能</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产线管理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维护产线基础属性信息，包含新增，修改，启用、禁用、删除功能</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经销商管理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经销商基础信息编辑，支持自定义经销商级别</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门店管理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门店基础信息编辑，支持自定义门店分组</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生产订单</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主要包含订单的查询、创建、修改、 删除、任务下发等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4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生产订单审核</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生产订单审核功能通过查询生产单号、生产批次等，查询生产单审核信息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4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生产任务单</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查询下发的生产任务订单的生产完成情况</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86"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出库单管理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1、包含订单新增、修改、导入、导出、查询；2、提供订单的删除、修改、作废操作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出库单审核</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主要包含导出，审核功能，通过查询出库单号或收发货单位、制单人、下单日期等查询出库单审核信息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入库单管理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1、包含订单新增、修改、导入、导出、查询；2、提供订单的删除、修改、作废操作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入库单审核</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主要包含导出，审核功能，通过查询入库单号或者收发货单位、制单人、下单时间等查询入库单审核信息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4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退入订单</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1、包含订单新增、修改、导入、导出、查询；2、提供订单的删除、修改、作废操作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退货单审核</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主要包含导出，审核功能，通过查询退货单号、退货单位、接收单位、制单人、下单时间等，查询退货单审核信息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调出订单</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1、包含订单新增、修改、导入、导出、查询；2、提供订单的删除、修改、作废操作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调拨单审核</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主要包含导出，审核功能通过查询调拨单号和调货单位，查询调货单审核信息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单据处理工具</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用于处理物流单据锁定，状态重置、结束订单等单据状态异常的即时处理工具</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流向查询</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通过对商品的数码查询，查询商品的流向信息查询结果有两种呈现模式，分别为视觉模式和网格模式</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疑似窜货查询</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通过单品物流码，进行数码窜货信息查看</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批次查询</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通过查询生产批次号，查询此批次的的信息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7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数码互查</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通过查询单品码或者箱码、托盘码，查询到相关联的单品码和箱码信息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防伪查询</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消费者查询数码后提供相关查询区域、时间、标签、商品信息</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防伪综合查询</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多渠道标签查询统计综合报表</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防伪区域查询</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按区域统计商品的防伪查询数</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窜货明细报表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统计企业不同时间段下疑似窜货数码的明细情况</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7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疑似窜货热力地图</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主要包含查询窜货、查看窜货报表功能，通过查询商品数码，查询商品是否有窜货行为查询结果有两种呈现模式，分别为视觉模式和网格模式</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5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生产明细报表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包含对生产明细报表的查询、导出功能；作废的生产订单下的任务单从该列表中移除</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86"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生产统计报表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该功能主要包含对生产统计报表的查询、导出；作废的生产订单从该列表中移除</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出库扫码明细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统计每个出库订单下具体扫描的是哪些数码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出库统计表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从商品角度出发，统计企业下各类商品的出库总量情况</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入库扫码明细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统计每个入库订单下具体扫描的是哪些数码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入库统计表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从商品角度出发，统计企业下各类商品的入库总量情况</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退货扫码明细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统计每个退货订单下具体扫描的是哪些数码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退货统计表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从商品角度出发，统计企业下各类商品的退货总量情况</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调货扫码明细</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统计每个调货订单下具体扫描的是哪些数码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调货统计表</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从商品角度出发，统计企业下各类商品的调货总量情况</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智慧追溯</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企业可以在追溯列表进行查询、创建、编辑、查看、上线、下线、复制及删除等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86"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溯源体系PDA采集器</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有单全段包装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基础的整段扫码包装业务，支持取消订单、编辑订单、结束订单、设置任务单据的基础显示字段等</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无单全段包装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基础的整段扫码包装业务，支持取消订单、编辑订单、结束订单、设置任务单据的基础显示字段等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4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有单分段包装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提供按照商品包装层级分段进行扫码包装业务，支持取消订单、编辑订单、结束订单、设置任务单据的基础显示字段等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无单分段包装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提供按照商品包装层级分段进行扫码包装业务，支持取消订单、编辑订单、结束订单、设置任务单据的基础显示字段等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有单零级包装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实现套标的手工包装关联商品业务，支持取消订单、编辑订单、结束订单、设置任务单据的基础显示字段等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无单零级包装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实现套标的手工包装关联商品业务，支持取消订单、编辑订单、结束订单、设置任务单据的基础显示字段等</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18"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增加包装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针对已经完成的订单，在进行仓储发货前进行的为不满箱商品再包一个商品使之满箱的诉求</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解除包装</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针对已经包装完成的商品，出现商品异常，需要解除重新返工的诉求，支持解当前级，解全级或解商品</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标签替换</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针对仓储流转过程中出现标签损坏，需要重新更换标签的诉求</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2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有订单出库</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基础的扫码发货，支持虚拟托发货、反向发货、发货关联商品、多设备执行同一订单，支持扫码过程中进行数码删除、商品删除、订单重置、结束订单、填写快递号相关操作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4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无订单出库</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无单扫码发货，支持虚拟托发货、反向发货、发货关联商品、自定义单号、多设备执行同一订单，支持扫码过程中进行数码删除、商品删除、订单重置、结束订单、填写快递号相关操作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2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有订单入库</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基础的扫码收货入库，支持虚拟托入库、反向入库、入库关联商品、多设备执行同一订单，支持扫码过程中进行数码删除、商品删除、订单重置、结束订单相关操作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0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无订单入库</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无单扫码收货入库，支持虚拟托入库、反向入库、入库关联商品、自定义单号、多设备执行同一订单，支持扫码过程中进行数码删除、商品删除、订单重置、结束订单相关操作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一键收货</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接收方按照发货方的发货订单一键接收</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9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有订单退货</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基础的扫码退出/退入，支持虚拟托退货、反向退出/退入、多设备执行同一订单，支持扫码过程中进行数码删除、商品删除、订单重置、结束订单、填写快递号相关操作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2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无订单退货</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无单扫码退出/退入，支持虚拟托退货、反向退出/退入、自定义单号、多设备执行同一订单，支持扫码过程中进行数码删除、商品删除、订单重置、结束订单、填写快递号相关操作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退货整入</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接收方按照退货方的退货订单一键接收</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有订单调货</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基础的扫码调出/调入，支持虚拟托调货、反向调出/调入、多设备执行同一订单，支持扫码过程中进行数码删除、商品删除、订单重置、结束订单、填写快递号相关操作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4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无订单调货</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无单扫码调出/调入，支持虚拟托调货、反向调出/调入、自定义单号、多设备执行同一订单，支持PDA订单创建企业审核，支持扫码过程中进行数码删除、商品删除、订单重置、结束订单、填写快递号相关操作</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调货整入</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接收方按照调货方的调货订单一键接收</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其他选用业务（非功能）</w:t>
            </w:r>
          </w:p>
        </w:tc>
        <w:tc>
          <w:tcPr>
            <w:tcW w:w="993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出库激活、出库关联商品、虚拟托出库、反向发货、多设备发货</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87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红花溯源及区块链建设</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1、端到端安全可信链：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智能化的联动处置综合运营管理体系，提供设备端到应用端的可信链，对体系内各类信息的加解密，密钥保存，密钥生命周期管理进行完整的支持。提供平台功能截图证明材料</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116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2、可自定义的数字看板：</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为应对复杂多变的数据报表查看需求，平台提供基于地图和基于看板的两种数据可视化编排工具，方便快速定义出适合不同业务人员和角色的数据视图。提供平台功能截图证明材料。</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1256"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红花溯源平台软件开发</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1910" w:hRule="atLeast"/>
        </w:trPr>
        <w:tc>
          <w:tcPr>
            <w:tcW w:w="14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溯源数据中心装修工程</w:t>
            </w:r>
          </w:p>
        </w:tc>
      </w:tr>
      <w:tr>
        <w:tblPrEx>
          <w:tblCellMar>
            <w:top w:w="0" w:type="dxa"/>
            <w:left w:w="108" w:type="dxa"/>
            <w:bottom w:w="0" w:type="dxa"/>
            <w:right w:w="108" w:type="dxa"/>
          </w:tblCellMar>
        </w:tblPrEx>
        <w:trPr>
          <w:trHeight w:val="53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造型吊顶工程</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乳胶漆造型吊顶，轻钢龙骨、9mm石膏板造型，刮腻子2遍、乳胶漆2遍</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61.93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冲孔造型吊顶，轻钢龙骨、12mm阻燃板、喷黑，定制冲孔铁皮饰面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97.23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艺术圆形吊顶，轻钢龙骨、12mm阻燃板，定制竹炭板造型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4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软膜吊顶，轻钢龙骨、12mm阻燃板、9mm石膏板，刮腻子2遍、内置光源、面层软膜UV、安装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41.60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4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造型灯槽制作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65.06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r>
      <w:tr>
        <w:tblPrEx>
          <w:tblCellMar>
            <w:top w:w="0" w:type="dxa"/>
            <w:left w:w="108" w:type="dxa"/>
            <w:bottom w:w="0" w:type="dxa"/>
            <w:right w:w="108" w:type="dxa"/>
          </w:tblCellMar>
        </w:tblPrEx>
        <w:trPr>
          <w:trHeight w:val="5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艺术造型指引标志雕刻、烤漆、美工安装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463"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地面工程</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自流平一遍、局部拼色塑胶地板铺贴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226.27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486"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拉槽</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60.51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r>
      <w:tr>
        <w:tblPrEx>
          <w:tblCellMar>
            <w:top w:w="0" w:type="dxa"/>
            <w:left w:w="108" w:type="dxa"/>
            <w:bottom w:w="0" w:type="dxa"/>
            <w:right w:w="108" w:type="dxa"/>
          </w:tblCellMar>
        </w:tblPrEx>
        <w:trPr>
          <w:trHeight w:val="486"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新建隔墙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75轻钢龙骨、12mm阻燃板、局部9mm石膏板基层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234.48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463"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4.96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造型2立面展墙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3.40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造型3、4立面展墙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12.56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造型5立面展墙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造型6立面展墙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17.58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造型7立面展墙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104.90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造型8立面展墙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17.39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造型9立面展墙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3.12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造型10立面展墙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2.33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造型11立面展墙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定制铝塑板、成品单开木门1000*2400mm、五金件、安装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5.92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造型12立面展墙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定制铝塑板、损耗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6.09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造型13立面展墙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7.85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造型14立面展墙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二级造型制作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4.07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造型15立面展墙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造型油漆展台、直径2.7米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8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造型16立面展墙</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1、综合布线、布管、桥架、辅件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2、灯具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226.27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智能多媒体</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软件/视频</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数据大屏1、播放控制软件2、剪辑视频1分钟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数据工厂1、播放控制软件2、圆柱剪辑视频、特效0.5分钟3、触摸软件程序制作：6套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240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中控软件：1、远程唤醒系统：展厅设备一键启动、一键关闭；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2、灯光控制系统软件：整体展厅照明及效果灯光逻辑控制，可编程并发控制。点对点灯光控制，可随时通过数据接口调整灯光部署，含网络数据接口，后台管理；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3、中控控制客户端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远程实时监控管理系统：实时监测展厅设备运行状态/远程更换内容；实时通讯控制系统：应与灯光控制部分进行实时通讯控制&lt;双向通讯&gt;；应与主程序进行对接，实现无线同步控制，可控制展厅灯光、设备及视频播放等效果；支持脉冲I/O信号、DMX512信号、电平信号、RS-232信号、时序信号控制方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1028" w:hRule="atLeast"/>
        </w:trPr>
        <w:tc>
          <w:tcPr>
            <w:tcW w:w="14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机房装修工程</w:t>
            </w: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地面工程</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地面铺砖工费辅料（套内面积126平方米）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126</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地面瓷砖1500*750（套内面积126平方米）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126</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墙面工程</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基层腻子找平 ，涂刷乳胶漆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214.95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顶面工程</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石膏造型吊顶木工制作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125.40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数据中心走廊施工工程</w:t>
            </w: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地面施工</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地面自流平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地面铺塑胶地板</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墙面施工</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网红门封轻钢龙骨石膏板基层</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12.92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52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网红门封阻燃版 + 白色铝塑板饰面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12.92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395"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踏步楼体楼梯</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五色灯条材料费+控制器+模块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r>
      <w:tr>
        <w:tblPrEx>
          <w:tblCellMar>
            <w:top w:w="0" w:type="dxa"/>
            <w:left w:w="108" w:type="dxa"/>
            <w:bottom w:w="0" w:type="dxa"/>
            <w:right w:w="108" w:type="dxa"/>
          </w:tblCellMar>
        </w:tblPrEx>
        <w:trPr>
          <w:trHeight w:val="802" w:hRule="atLeast"/>
        </w:trPr>
        <w:tc>
          <w:tcPr>
            <w:tcW w:w="14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溯源数据中心建设</w:t>
            </w:r>
          </w:p>
        </w:tc>
      </w:tr>
      <w:tr>
        <w:tblPrEx>
          <w:tblCellMar>
            <w:top w:w="0" w:type="dxa"/>
            <w:left w:w="108" w:type="dxa"/>
            <w:bottom w:w="0" w:type="dxa"/>
            <w:right w:w="108" w:type="dxa"/>
          </w:tblCellMar>
        </w:tblPrEx>
        <w:trPr>
          <w:trHeight w:val="802"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电力变压器</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SCB10-500KAV</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802"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低压电缆</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YJV,120,4芯，22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m</w:t>
            </w:r>
          </w:p>
        </w:tc>
      </w:tr>
      <w:tr>
        <w:tblPrEx>
          <w:tblCellMar>
            <w:top w:w="0" w:type="dxa"/>
            <w:left w:w="108" w:type="dxa"/>
            <w:bottom w:w="0" w:type="dxa"/>
            <w:right w:w="108" w:type="dxa"/>
          </w:tblCellMar>
        </w:tblPrEx>
        <w:trPr>
          <w:trHeight w:val="802"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配电柜</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电力配电柜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802"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低压开关</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630A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802"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数据大屏</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LED屏 p1.86</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室内全彩屏P1.86、结构、接收卡、处理器等 单块模组尺寸320*160  单块分辨率172*86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平米</w:t>
            </w:r>
          </w:p>
        </w:tc>
      </w:tr>
      <w:tr>
        <w:tblPrEx>
          <w:tblCellMar>
            <w:top w:w="0" w:type="dxa"/>
            <w:left w:w="108" w:type="dxa"/>
            <w:bottom w:w="0" w:type="dxa"/>
            <w:right w:w="108" w:type="dxa"/>
          </w:tblCellMar>
        </w:tblPrEx>
        <w:trPr>
          <w:trHeight w:val="44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13代酷睿i9-13900KF RTX4090 24G显卡 64G DDR5 2TB SSD)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23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音响 产品描述：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1.采用6只3寸全频喇叭单元。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2.箱体采用12mm优质高密度板，精密CNC加工，耐磨喷漆处理。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3.精确设计的扬声器频率响应，优化人声部分的高保真还原。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4.拼接排列扬声器设计，用较少的扬声器实现更大范围的声场覆盖。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5.适用于大型多功能厅，剧院，体育馆，以及户外演出等等。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4759"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1.额定输出功率：2x500W@4R；2x350W@8R</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2.输入灵敏度与阻抗：MIC1,2,3:±2.5mV/600Ω-±200mV/10KΩ,带幻象平衡输入）；DVD:350mV/10KΩ,（非平衡输入）；VCD:350mV/10KΩ,（非平衡输入）；BMG:350mV/10KΩ,（非平衡输入）；光纤，同轴:1000mV</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3.输出：S.W(150Hz):1V/470Ω；PRE:1V±50mv/470Ω；REC:200mV±20mv/470Ω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4.话筒音调：低频:±10dBat100Hz；中频:±10dBat2KHz；高频:±10dBat10KHz</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5.音乐音调：低频:±10dBat100Hz；中频:±10dBat2KHz；高频:±10dBat10KHz</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6.谐波失真：功放额定输出功率1Kz(1/8A功率条件下）≤0.1%</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7.USB播放：支持MP3、WAV、APE、FLAC</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8.通讯：RS485通讯中控集成控制能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9.频率响应：DVD,VCD,BGM:20HZ（±3dB）--20KHZ（±3dB）；Mic:50HZ（±3dB）--16KHZ（±3dB）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10.信噪比：Mic:≥85dB；音乐:≥85dB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11.保护：过载，短路，过压，欠压保护。</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12.指示灯：电源,输出电平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13.供电电压：~220V 50Hz</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14.功率损耗：1200W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15.尺寸(LxWxH)：430x395x88mm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44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摄像头感应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9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无线话筒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39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会商智慧屏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802"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数据工厂</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软模组 LED屏 p1.86</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室内全彩屏P1.86、结构、接收卡、处理器等 单块模组尺寸320*160  单块分辨率172*86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平米</w:t>
            </w:r>
          </w:p>
        </w:tc>
      </w:tr>
      <w:tr>
        <w:tblPrEx>
          <w:tblCellMar>
            <w:top w:w="0" w:type="dxa"/>
            <w:left w:w="108" w:type="dxa"/>
            <w:bottom w:w="0" w:type="dxa"/>
            <w:right w:w="108" w:type="dxa"/>
          </w:tblCellMar>
        </w:tblPrEx>
        <w:trPr>
          <w:trHeight w:val="418"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i7 12700F 16G 500GSSD  RTX3060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2002"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1．额定功率：100W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 阻抗：黑: Com;红: 8Ω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3．灵敏度(1W/1M)：91dB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4．频率响应(-10dB)：50-20KHz</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5．喇叭单元：8" ×1  1.5"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448"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产品特点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1.音源具备光纤，同轴，USB，蓝牙，路线，麦克风等多路输入。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2.内置DSP音效处理，具备延时、混响、混音、防啸叫（7级移频）、变调（10级），人声激励，消原唱等功能。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3.控制可以通过红外遥控、编码开关、按键实现其功能。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4.面板LCD显示屏,实现直观显示各种功能及工作状态。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5.提供3路RCA线路输入，3路平衡麦带幻象电源输入。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6.采用DSP处理器，预置多种场景模式。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7.每路话筒音量独立可调，效果可调，音乐音量独立可调，高中低音调节。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8.内置RS485通讯中控集成控制能。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32寸触摸一体机（I5\9代、8G、256固态 GT1030） 电容的）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46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SONY全画幅数码相机及标准变焦G镜头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触摸程序定制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333"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VR漫游</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65寸工业显示器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VR眼镜及软件程序定制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33"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中控</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显示器（65寸）</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中控主机I5 10代 8G  固态256G 显卡GT1030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655"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机柜42U机柜  600*800*2000 符合ANSI/EIA RS-310-D，IEC297-2，DIN41491，PART1，DIN41494，PART7， GB/T3047.2- 92标准，兼容ETSI标准。前后网孔门，表面处理：方孔条镀蓝锌，其余：脱脂，磷化，静电喷塑，最大静载：1000kg-1300kg(带支脚）高度2050mm，宽度2050mm，深度2050mm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定制灯光控制器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r>
        <w:tblPrEx>
          <w:tblCellMar>
            <w:top w:w="0" w:type="dxa"/>
            <w:left w:w="108" w:type="dxa"/>
            <w:bottom w:w="0" w:type="dxa"/>
            <w:right w:w="108" w:type="dxa"/>
          </w:tblCellMar>
        </w:tblPrEx>
        <w:trPr>
          <w:trHeight w:val="333"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中控软件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333"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机房设备采购</w:t>
            </w: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服务器机柜（微模块机柜），五组服务器机柜，机房环境监控，电源柜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r>
      <w:tr>
        <w:tblPrEx>
          <w:tblCellMar>
            <w:top w:w="0" w:type="dxa"/>
            <w:left w:w="108" w:type="dxa"/>
            <w:bottom w:w="0" w:type="dxa"/>
            <w:right w:w="108" w:type="dxa"/>
          </w:tblCellMar>
        </w:tblPrEx>
        <w:trPr>
          <w:trHeight w:val="344"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1668"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1.5p机房空调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r>
    </w:tbl>
    <w:p>
      <w:pPr>
        <w:rPr>
          <w:sz w:val="22"/>
          <w:szCs w:val="24"/>
        </w:rPr>
      </w:pPr>
    </w:p>
    <w:p>
      <w:pPr>
        <w:sectPr>
          <w:pgSz w:w="16838" w:h="11906" w:orient="landscape"/>
          <w:pgMar w:top="1134" w:right="1440" w:bottom="1134" w:left="1440" w:header="851" w:footer="992" w:gutter="0"/>
          <w:cols w:space="0" w:num="1"/>
          <w:docGrid w:linePitch="312" w:charSpace="0"/>
        </w:sectPr>
      </w:pPr>
      <w:r>
        <w:br w:type="page"/>
      </w:r>
    </w:p>
    <w:p>
      <w:pPr>
        <w:pStyle w:val="58"/>
      </w:pPr>
    </w:p>
    <w:p>
      <w:pPr>
        <w:pStyle w:val="58"/>
      </w:pPr>
    </w:p>
    <w:p>
      <w:pPr>
        <w:pStyle w:val="58"/>
      </w:pPr>
    </w:p>
    <w:p>
      <w:pPr>
        <w:pStyle w:val="2"/>
        <w:numPr>
          <w:ilvl w:val="0"/>
          <w:numId w:val="5"/>
        </w:numPr>
      </w:pPr>
      <w:bookmarkStart w:id="241" w:name="_Toc12550"/>
      <w:bookmarkStart w:id="242" w:name="_Toc27218"/>
      <w:bookmarkStart w:id="243" w:name="_Toc3226"/>
      <w:r>
        <w:t>投标文件格式</w:t>
      </w:r>
      <w:bookmarkEnd w:id="241"/>
      <w:bookmarkEnd w:id="242"/>
      <w:bookmarkEnd w:id="243"/>
    </w:p>
    <w:p/>
    <w:p>
      <w:pPr>
        <w:pStyle w:val="40"/>
        <w:ind w:left="420"/>
      </w:pPr>
    </w:p>
    <w:p/>
    <w:p>
      <w:pPr>
        <w:pStyle w:val="40"/>
        <w:ind w:left="420"/>
      </w:pPr>
    </w:p>
    <w:p>
      <w:pPr>
        <w:pStyle w:val="40"/>
        <w:ind w:left="0" w:leftChars="0" w:firstLine="0" w:firstLineChars="0"/>
      </w:pPr>
    </w:p>
    <w:p>
      <w:pPr>
        <w:adjustRightInd w:val="0"/>
        <w:snapToGrid w:val="0"/>
        <w:spacing w:line="560" w:lineRule="exact"/>
        <w:jc w:val="center"/>
        <w:rPr>
          <w:rFonts w:ascii="Times New Roman" w:hAnsi="Times New Roman" w:eastAsia="方正仿宋_GB2312" w:cs="Times New Roman"/>
          <w:bCs/>
          <w:sz w:val="32"/>
          <w:szCs w:val="32"/>
        </w:rPr>
      </w:pPr>
      <w:bookmarkStart w:id="244" w:name="_Toc12570"/>
      <w:r>
        <w:rPr>
          <w:rFonts w:hint="eastAsia" w:ascii="Times New Roman" w:hAnsi="Times New Roman" w:eastAsia="方正仿宋_GB2312" w:cs="Times New Roman"/>
          <w:bCs/>
          <w:sz w:val="32"/>
          <w:szCs w:val="32"/>
        </w:rPr>
        <w:t>裕民县农畜产品5G+区块链+高精全追踪溯源项目</w:t>
      </w:r>
    </w:p>
    <w:p>
      <w:pPr>
        <w:spacing w:line="560" w:lineRule="exact"/>
        <w:jc w:val="center"/>
        <w:rPr>
          <w:rFonts w:ascii="Times New Roman" w:hAnsi="Times New Roman" w:eastAsia="方正仿宋_GB2312" w:cs="Times New Roman"/>
          <w:bCs/>
          <w:sz w:val="32"/>
          <w:szCs w:val="32"/>
        </w:rPr>
      </w:pPr>
    </w:p>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项目编号：</w:t>
      </w:r>
    </w:p>
    <w:p>
      <w:pPr>
        <w:pStyle w:val="27"/>
        <w:spacing w:line="560" w:lineRule="exact"/>
        <w:ind w:left="640" w:hanging="640"/>
        <w:rPr>
          <w:rFonts w:eastAsia="方正仿宋_GB2312"/>
          <w:bCs/>
          <w:szCs w:val="32"/>
        </w:rPr>
      </w:pPr>
    </w:p>
    <w:p>
      <w:pPr>
        <w:spacing w:line="560" w:lineRule="exact"/>
        <w:jc w:val="center"/>
        <w:rPr>
          <w:rFonts w:ascii="Times New Roman" w:hAnsi="Times New Roman" w:eastAsia="方正仿宋_GB2312" w:cs="Times New Roman"/>
          <w:bCs/>
          <w:sz w:val="32"/>
          <w:szCs w:val="32"/>
        </w:rPr>
      </w:pPr>
    </w:p>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投 标 文 件</w:t>
      </w:r>
    </w:p>
    <w:p>
      <w:pPr>
        <w:spacing w:line="560" w:lineRule="exact"/>
        <w:rPr>
          <w:rFonts w:ascii="Times New Roman" w:hAnsi="Times New Roman" w:eastAsia="方正仿宋_GB2312" w:cs="Times New Roman"/>
          <w:bCs/>
          <w:sz w:val="32"/>
          <w:szCs w:val="32"/>
        </w:rPr>
      </w:pP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投标人单位名称：</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（盖公章）</w:t>
      </w: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法定代表人或委托代理人：</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（签字或盖章）</w:t>
      </w:r>
    </w:p>
    <w:p>
      <w:pPr>
        <w:pStyle w:val="12"/>
        <w:spacing w:line="560" w:lineRule="exact"/>
        <w:rPr>
          <w:rFonts w:ascii="Times New Roman" w:hAnsi="Times New Roman" w:eastAsia="方正仿宋_GB2312"/>
          <w:bCs/>
          <w:sz w:val="32"/>
          <w:szCs w:val="32"/>
        </w:rPr>
      </w:pPr>
      <w:r>
        <w:rPr>
          <w:rFonts w:ascii="Times New Roman" w:hAnsi="Times New Roman" w:eastAsia="方正仿宋_GB2312"/>
          <w:bCs/>
          <w:sz w:val="32"/>
          <w:szCs w:val="32"/>
        </w:rPr>
        <w:t>联系人及联系电话：</w:t>
      </w:r>
      <w:r>
        <w:rPr>
          <w:rFonts w:ascii="Times New Roman" w:hAnsi="Times New Roman" w:eastAsia="方正仿宋_GB2312"/>
          <w:bCs/>
          <w:sz w:val="32"/>
          <w:szCs w:val="32"/>
          <w:u w:val="single"/>
        </w:rPr>
        <w:t xml:space="preserve">                                  </w:t>
      </w:r>
    </w:p>
    <w:p>
      <w:pPr>
        <w:spacing w:line="560" w:lineRule="exact"/>
        <w:jc w:val="center"/>
        <w:rPr>
          <w:rFonts w:ascii="Times New Roman" w:hAnsi="Times New Roman" w:eastAsia="方正仿宋_GB2312" w:cs="Times New Roman"/>
          <w:bCs/>
          <w:sz w:val="32"/>
          <w:szCs w:val="32"/>
        </w:rPr>
      </w:pPr>
    </w:p>
    <w:p>
      <w:pPr>
        <w:spacing w:line="560" w:lineRule="exact"/>
        <w:ind w:firstLine="3200" w:firstLineChars="1000"/>
        <w:jc w:val="lef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二O二四年   月   日</w:t>
      </w:r>
    </w:p>
    <w:p>
      <w:pPr>
        <w:spacing w:line="560" w:lineRule="exact"/>
        <w:rPr>
          <w:rFonts w:ascii="Times New Roman" w:hAnsi="Times New Roman" w:eastAsia="方正仿宋_GB2312" w:cs="Times New Roman"/>
          <w:b/>
          <w:sz w:val="32"/>
          <w:szCs w:val="32"/>
        </w:rPr>
      </w:pPr>
      <w:r>
        <w:rPr>
          <w:rFonts w:ascii="Times New Roman" w:hAnsi="Times New Roman" w:eastAsia="方正仿宋_GB2312" w:cs="Times New Roman"/>
          <w:b/>
          <w:sz w:val="32"/>
          <w:szCs w:val="32"/>
        </w:rPr>
        <w:br w:type="page"/>
      </w:r>
    </w:p>
    <w:p>
      <w:pPr>
        <w:tabs>
          <w:tab w:val="center" w:pos="4832"/>
          <w:tab w:val="left" w:pos="7140"/>
        </w:tabs>
        <w:spacing w:line="560" w:lineRule="exact"/>
        <w:jc w:val="center"/>
        <w:rPr>
          <w:rFonts w:ascii="Times New Roman" w:hAnsi="Times New Roman" w:eastAsia="方正仿宋_GB2312" w:cs="Times New Roman"/>
          <w:b/>
          <w:sz w:val="32"/>
          <w:szCs w:val="32"/>
        </w:rPr>
      </w:pPr>
      <w:r>
        <w:rPr>
          <w:rFonts w:ascii="Times New Roman" w:hAnsi="Times New Roman" w:eastAsia="方正仿宋_GB2312" w:cs="Times New Roman"/>
          <w:b/>
          <w:sz w:val="32"/>
          <w:szCs w:val="32"/>
        </w:rPr>
        <w:t>目录</w:t>
      </w:r>
      <w:bookmarkEnd w:id="244"/>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1、投标函</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2、法定代表人身份证明书</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3、授权委托书</w:t>
      </w:r>
    </w:p>
    <w:p>
      <w:pPr>
        <w:spacing w:line="560" w:lineRule="exact"/>
        <w:ind w:firstLine="960" w:firstLineChars="300"/>
        <w:rPr>
          <w:rFonts w:ascii="Times New Roman" w:hAnsi="Times New Roman" w:eastAsia="方正仿宋_GB2312" w:cs="Times New Roman"/>
          <w:sz w:val="32"/>
          <w:szCs w:val="32"/>
        </w:rPr>
      </w:pPr>
      <w:r>
        <w:rPr>
          <w:rFonts w:ascii="Times New Roman" w:hAnsi="Times New Roman" w:eastAsia="方正仿宋_GB2312" w:cs="Times New Roman"/>
          <w:bCs/>
          <w:sz w:val="32"/>
          <w:szCs w:val="32"/>
        </w:rPr>
        <w:t>4、供应商概况（后附特定资格证明文件）</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5、具有独立承担民事责任的能力证明材料</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6、具有良好的商业信誉和健全的财务会计制度证明材料</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7、具有履行合同所必需的设备和专业技术能力证明材料或声明</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8、有依法缴纳税收和社会保障资金的良好记录的证明材料</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9、参加政府采购活动前三年内，在经营活动中没有重大违法记录的声明</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10、开标一览表</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10.1投标</w:t>
      </w:r>
      <w:r>
        <w:rPr>
          <w:rFonts w:ascii="Times New Roman" w:hAnsi="Times New Roman" w:eastAsia="方正仿宋_GB2312" w:cs="Times New Roman"/>
          <w:kern w:val="0"/>
          <w:sz w:val="32"/>
          <w:szCs w:val="32"/>
        </w:rPr>
        <w:t>价格</w:t>
      </w:r>
      <w:r>
        <w:rPr>
          <w:rFonts w:ascii="Times New Roman" w:hAnsi="Times New Roman" w:eastAsia="方正仿宋_GB2312" w:cs="Times New Roman"/>
          <w:bCs/>
          <w:sz w:val="32"/>
          <w:szCs w:val="32"/>
        </w:rPr>
        <w:t>分类明细表</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11、技术条款偏离表</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12、商务条款偏离表</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13、企业类似项目业绩表</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14、拟派项目负责人（项目经理）简历表</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15、拟派项目组成员情况</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16、</w:t>
      </w:r>
      <w:r>
        <w:rPr>
          <w:rFonts w:hint="eastAsia" w:ascii="Times New Roman" w:hAnsi="Times New Roman" w:eastAsia="方正仿宋_GB2312" w:cs="Times New Roman"/>
          <w:bCs/>
          <w:sz w:val="32"/>
          <w:szCs w:val="32"/>
        </w:rPr>
        <w:t>实施方案</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17、</w:t>
      </w:r>
      <w:r>
        <w:rPr>
          <w:rFonts w:hint="eastAsia" w:ascii="Times New Roman" w:hAnsi="Times New Roman" w:eastAsia="方正仿宋_GB2312" w:cs="Times New Roman"/>
          <w:bCs/>
          <w:sz w:val="32"/>
          <w:szCs w:val="32"/>
        </w:rPr>
        <w:t>应用系统设计方案</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18、</w:t>
      </w:r>
      <w:r>
        <w:rPr>
          <w:rFonts w:hint="eastAsia" w:ascii="Times New Roman" w:hAnsi="Times New Roman" w:eastAsia="方正仿宋_GB2312" w:cs="Times New Roman"/>
          <w:bCs/>
          <w:sz w:val="32"/>
          <w:szCs w:val="32"/>
        </w:rPr>
        <w:t>系统安全性设计方案</w:t>
      </w:r>
    </w:p>
    <w:p>
      <w:pPr>
        <w:spacing w:line="560" w:lineRule="exact"/>
        <w:ind w:firstLine="960" w:firstLineChars="300"/>
        <w:rPr>
          <w:rFonts w:ascii="Times New Roman" w:hAnsi="Times New Roman" w:eastAsia="方正仿宋_GB2312" w:cs="Times New Roman"/>
          <w:bCs/>
          <w:sz w:val="32"/>
          <w:szCs w:val="32"/>
        </w:rPr>
      </w:pPr>
      <w:r>
        <w:rPr>
          <w:rFonts w:hint="eastAsia" w:ascii="Times New Roman" w:hAnsi="Times New Roman" w:eastAsia="方正仿宋_GB2312" w:cs="Times New Roman"/>
          <w:bCs/>
          <w:sz w:val="32"/>
          <w:szCs w:val="32"/>
        </w:rPr>
        <w:t>19</w:t>
      </w:r>
      <w:r>
        <w:rPr>
          <w:rFonts w:ascii="Times New Roman" w:hAnsi="Times New Roman" w:eastAsia="方正仿宋_GB2312" w:cs="Times New Roman"/>
          <w:bCs/>
          <w:sz w:val="32"/>
          <w:szCs w:val="32"/>
        </w:rPr>
        <w:t>、</w:t>
      </w:r>
      <w:r>
        <w:rPr>
          <w:rFonts w:hint="eastAsia" w:ascii="Times New Roman" w:hAnsi="Times New Roman" w:eastAsia="方正仿宋_GB2312" w:cs="Times New Roman"/>
          <w:bCs/>
          <w:sz w:val="32"/>
          <w:szCs w:val="32"/>
        </w:rPr>
        <w:t>售后服务方案</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2</w:t>
      </w:r>
      <w:r>
        <w:rPr>
          <w:rFonts w:hint="eastAsia" w:ascii="Times New Roman" w:hAnsi="Times New Roman" w:eastAsia="方正仿宋_GB2312" w:cs="Times New Roman"/>
          <w:bCs/>
          <w:sz w:val="32"/>
          <w:szCs w:val="32"/>
        </w:rPr>
        <w:t>0</w:t>
      </w:r>
      <w:r>
        <w:rPr>
          <w:rFonts w:ascii="Times New Roman" w:hAnsi="Times New Roman" w:eastAsia="方正仿宋_GB2312" w:cs="Times New Roman"/>
          <w:bCs/>
          <w:sz w:val="32"/>
          <w:szCs w:val="32"/>
        </w:rPr>
        <w:t>、服务承诺</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2</w:t>
      </w:r>
      <w:r>
        <w:rPr>
          <w:rFonts w:hint="eastAsia" w:ascii="Times New Roman" w:hAnsi="Times New Roman" w:eastAsia="方正仿宋_GB2312" w:cs="Times New Roman"/>
          <w:bCs/>
          <w:sz w:val="32"/>
          <w:szCs w:val="32"/>
        </w:rPr>
        <w:t>1</w:t>
      </w:r>
      <w:r>
        <w:rPr>
          <w:rFonts w:ascii="Times New Roman" w:hAnsi="Times New Roman" w:eastAsia="方正仿宋_GB2312" w:cs="Times New Roman"/>
          <w:bCs/>
          <w:sz w:val="32"/>
          <w:szCs w:val="32"/>
        </w:rPr>
        <w:t>、投标保证金缴纳凭证</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2</w:t>
      </w:r>
      <w:r>
        <w:rPr>
          <w:rFonts w:hint="eastAsia" w:ascii="Times New Roman" w:hAnsi="Times New Roman" w:eastAsia="方正仿宋_GB2312" w:cs="Times New Roman"/>
          <w:bCs/>
          <w:sz w:val="32"/>
          <w:szCs w:val="32"/>
        </w:rPr>
        <w:t>2</w:t>
      </w:r>
      <w:r>
        <w:rPr>
          <w:rFonts w:ascii="Times New Roman" w:hAnsi="Times New Roman" w:eastAsia="方正仿宋_GB2312" w:cs="Times New Roman"/>
          <w:bCs/>
          <w:sz w:val="32"/>
          <w:szCs w:val="32"/>
        </w:rPr>
        <w:t>、中小企业声明函</w:t>
      </w:r>
      <w:r>
        <w:rPr>
          <w:rFonts w:hint="eastAsia" w:ascii="Times New Roman" w:hAnsi="Times New Roman" w:eastAsia="方正仿宋_GB2312" w:cs="Times New Roman"/>
          <w:bCs/>
          <w:sz w:val="32"/>
          <w:szCs w:val="32"/>
        </w:rPr>
        <w:t>、分包意向协议</w:t>
      </w:r>
    </w:p>
    <w:p>
      <w:pPr>
        <w:spacing w:line="560" w:lineRule="exact"/>
        <w:ind w:firstLine="960" w:firstLineChars="300"/>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2</w:t>
      </w:r>
      <w:r>
        <w:rPr>
          <w:rFonts w:hint="eastAsia" w:ascii="Times New Roman" w:hAnsi="Times New Roman" w:eastAsia="方正仿宋_GB2312" w:cs="Times New Roman"/>
          <w:bCs/>
          <w:sz w:val="32"/>
          <w:szCs w:val="32"/>
        </w:rPr>
        <w:t>3</w:t>
      </w:r>
      <w:r>
        <w:rPr>
          <w:rFonts w:ascii="Times New Roman" w:hAnsi="Times New Roman" w:eastAsia="方正仿宋_GB2312" w:cs="Times New Roman"/>
          <w:bCs/>
          <w:sz w:val="32"/>
          <w:szCs w:val="32"/>
        </w:rPr>
        <w:t>、其他需要提交的资料</w:t>
      </w: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注：为了便于查找，请按上述顺序编制投标文件内容，并在目录中标明每项内容的起始页码。</w:t>
      </w:r>
    </w:p>
    <w:p>
      <w:pPr>
        <w:tabs>
          <w:tab w:val="center" w:pos="4832"/>
          <w:tab w:val="left" w:pos="7140"/>
        </w:tabs>
        <w:spacing w:line="560" w:lineRule="exact"/>
        <w:jc w:val="center"/>
        <w:outlineLvl w:val="0"/>
        <w:rPr>
          <w:rFonts w:ascii="Times New Roman" w:hAnsi="Times New Roman" w:eastAsia="方正仿宋_GB2312" w:cs="Times New Roman"/>
          <w:b/>
          <w:sz w:val="32"/>
          <w:szCs w:val="32"/>
        </w:rPr>
      </w:pPr>
      <w:bookmarkStart w:id="245" w:name="_Toc507586166"/>
      <w:bookmarkStart w:id="246" w:name="_Toc533503181"/>
      <w:r>
        <w:rPr>
          <w:rFonts w:ascii="Times New Roman" w:hAnsi="Times New Roman" w:eastAsia="方正仿宋_GB2312" w:cs="Times New Roman"/>
          <w:b/>
          <w:sz w:val="32"/>
          <w:szCs w:val="32"/>
        </w:rPr>
        <w:br w:type="page"/>
      </w:r>
      <w:bookmarkStart w:id="247" w:name="_Toc22738"/>
      <w:bookmarkStart w:id="248" w:name="_Toc8578"/>
      <w:bookmarkStart w:id="249" w:name="_Toc3866"/>
      <w:r>
        <w:rPr>
          <w:rStyle w:val="63"/>
          <w:rFonts w:hint="eastAsia"/>
        </w:rPr>
        <w:t>（一）</w:t>
      </w:r>
      <w:r>
        <w:rPr>
          <w:rStyle w:val="63"/>
        </w:rPr>
        <w:t>投标函</w:t>
      </w:r>
      <w:bookmarkEnd w:id="247"/>
      <w:bookmarkEnd w:id="248"/>
      <w:bookmarkEnd w:id="249"/>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致：</w:t>
      </w:r>
      <w:r>
        <w:rPr>
          <w:rFonts w:ascii="Times New Roman" w:hAnsi="Times New Roman" w:eastAsia="方正仿宋_GB2312" w:cs="Times New Roman"/>
          <w:kern w:val="0"/>
          <w:sz w:val="32"/>
          <w:szCs w:val="32"/>
          <w:u w:val="single"/>
        </w:rPr>
        <w:t>（采购人名称）</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根据已收到</w:t>
      </w:r>
      <w:r>
        <w:rPr>
          <w:rFonts w:ascii="Times New Roman" w:hAnsi="Times New Roman" w:eastAsia="方正仿宋_GB2312" w:cs="Times New Roman"/>
          <w:kern w:val="0"/>
          <w:sz w:val="32"/>
          <w:szCs w:val="32"/>
          <w:u w:val="single"/>
        </w:rPr>
        <w:t xml:space="preserve">               </w:t>
      </w:r>
      <w:r>
        <w:rPr>
          <w:rFonts w:ascii="Times New Roman" w:hAnsi="Times New Roman" w:eastAsia="方正仿宋_GB2312" w:cs="Times New Roman"/>
          <w:kern w:val="0"/>
          <w:sz w:val="32"/>
          <w:szCs w:val="32"/>
        </w:rPr>
        <w:t>的项目的招标文件，遵照《中华人民共和国政府采购法》、《中华人民共和国政府采购法实施条例》等有关法律法规的规定，经考察现场和充分研究贵方的招标文件的全部内容后，我方郑重承诺如下：</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1.我方投标价格为人民币</w:t>
      </w:r>
      <w:r>
        <w:rPr>
          <w:rFonts w:ascii="Times New Roman" w:hAnsi="Times New Roman" w:eastAsia="方正仿宋_GB2312" w:cs="Times New Roman"/>
          <w:kern w:val="0"/>
          <w:sz w:val="32"/>
          <w:szCs w:val="32"/>
          <w:u w:val="single"/>
        </w:rPr>
        <w:t xml:space="preserve">     </w:t>
      </w:r>
      <w:r>
        <w:rPr>
          <w:rFonts w:ascii="Times New Roman" w:hAnsi="Times New Roman" w:eastAsia="方正仿宋_GB2312" w:cs="Times New Roman"/>
          <w:kern w:val="0"/>
          <w:sz w:val="32"/>
          <w:szCs w:val="32"/>
        </w:rPr>
        <w:t>元（大写：</w:t>
      </w:r>
      <w:r>
        <w:rPr>
          <w:rFonts w:ascii="Times New Roman" w:hAnsi="Times New Roman" w:eastAsia="方正仿宋_GB2312" w:cs="Times New Roman"/>
          <w:kern w:val="0"/>
          <w:sz w:val="32"/>
          <w:szCs w:val="32"/>
          <w:u w:val="single"/>
        </w:rPr>
        <w:t xml:space="preserve">     </w:t>
      </w:r>
      <w:r>
        <w:rPr>
          <w:rFonts w:ascii="Times New Roman" w:hAnsi="Times New Roman" w:eastAsia="方正仿宋_GB2312" w:cs="Times New Roman"/>
          <w:kern w:val="0"/>
          <w:sz w:val="32"/>
          <w:szCs w:val="32"/>
        </w:rPr>
        <w:t>），合同履约期限为</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kern w:val="0"/>
          <w:sz w:val="32"/>
          <w:szCs w:val="32"/>
        </w:rPr>
        <w:t>。</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2.如果我方中标，我方将在招标文件规定的时间内签订合同。如果我方违约，贵方有权终止我方中标并选择其它中标单位。</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3.本投标文件在招标文件规定的投标有效期内对我方具有约束力。</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4.如果我方中标，我方将完全按照招标文件及采购需求中的内容履约合同。</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5.我方保证投标文件内容无任何虚假、未侵犯他人知识产权。如有虚假，同意废除中标资格并被没收投标担保，承担因侵犯他人知识产权而由此引起的全部法律责任和经济责任。</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6.我方愿意提供贵方可能要求的与投标有关的一切数据或资料，完全理解贵方不一定接受最低投标报价的投标或收到的任何投标。</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7.我方派法定代表人或其授权委托人作为我方代表，负责按时参加开标会并签署与投标有关的相关文件等。</w:t>
      </w:r>
    </w:p>
    <w:p>
      <w:pPr>
        <w:widowControl/>
        <w:shd w:val="clear" w:color="auto" w:fill="FFFFFF"/>
        <w:snapToGrid w:val="0"/>
        <w:spacing w:line="560" w:lineRule="exact"/>
        <w:ind w:firstLine="420"/>
        <w:jc w:val="left"/>
        <w:rPr>
          <w:rFonts w:ascii="Times New Roman" w:hAnsi="Times New Roman" w:eastAsia="方正仿宋_GB2312" w:cs="Times New Roman"/>
          <w:sz w:val="32"/>
          <w:szCs w:val="32"/>
        </w:rPr>
      </w:pPr>
      <w:r>
        <w:rPr>
          <w:rFonts w:ascii="Times New Roman" w:hAnsi="Times New Roman" w:eastAsia="方正仿宋_GB2312" w:cs="Times New Roman"/>
          <w:kern w:val="0"/>
          <w:sz w:val="32"/>
          <w:szCs w:val="32"/>
        </w:rPr>
        <w:t>8.我方</w:t>
      </w:r>
      <w:r>
        <w:rPr>
          <w:rFonts w:ascii="Times New Roman" w:hAnsi="Times New Roman" w:eastAsia="方正仿宋_GB2312" w:cs="Times New Roman"/>
          <w:sz w:val="32"/>
          <w:szCs w:val="32"/>
        </w:rPr>
        <w:t>保证按招标文件及合同约定原则处理因采购人原因增加或调整的工作量及其他事宜。</w:t>
      </w:r>
    </w:p>
    <w:p>
      <w:pPr>
        <w:widowControl/>
        <w:shd w:val="clear" w:color="auto" w:fill="FFFFFF"/>
        <w:snapToGrid w:val="0"/>
        <w:spacing w:line="560" w:lineRule="exact"/>
        <w:ind w:firstLine="42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9.如我方中标，在合同签订后3个工作日内向采购代理机构提供采购合同原件一份用于采购资料备案工作。</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投标人：（盖章）</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法定代表人或被授权委托人：（签字或盖章）</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日期：年月日</w:t>
      </w:r>
    </w:p>
    <w:p>
      <w:pPr>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br w:type="page"/>
      </w:r>
    </w:p>
    <w:p>
      <w:pPr>
        <w:pStyle w:val="3"/>
        <w:jc w:val="center"/>
      </w:pPr>
      <w:bookmarkStart w:id="250" w:name="_Toc8358"/>
      <w:bookmarkStart w:id="251" w:name="_Toc14476"/>
      <w:bookmarkStart w:id="252" w:name="_Toc28002"/>
      <w:r>
        <w:rPr>
          <w:rFonts w:hint="eastAsia"/>
        </w:rPr>
        <w:t>（二）</w:t>
      </w:r>
      <w:r>
        <w:t>法定代表人身份证明书</w:t>
      </w:r>
      <w:bookmarkEnd w:id="250"/>
      <w:bookmarkEnd w:id="251"/>
      <w:bookmarkEnd w:id="252"/>
    </w:p>
    <w:p>
      <w:pPr>
        <w:spacing w:line="560" w:lineRule="exact"/>
        <w:jc w:val="center"/>
        <w:rPr>
          <w:rFonts w:ascii="Times New Roman" w:hAnsi="Times New Roman" w:eastAsia="方正仿宋_GB2312" w:cs="Times New Roman"/>
          <w:bCs/>
          <w:sz w:val="32"/>
          <w:szCs w:val="32"/>
        </w:rPr>
      </w:pPr>
    </w:p>
    <w:p>
      <w:pPr>
        <w:spacing w:line="560" w:lineRule="exact"/>
        <w:jc w:val="center"/>
        <w:rPr>
          <w:rFonts w:ascii="Times New Roman" w:hAnsi="Times New Roman" w:eastAsia="方正仿宋_GB2312" w:cs="Times New Roman"/>
          <w:bCs/>
          <w:sz w:val="32"/>
          <w:szCs w:val="32"/>
        </w:rPr>
      </w:pPr>
    </w:p>
    <w:p>
      <w:pPr>
        <w:spacing w:line="560" w:lineRule="exact"/>
        <w:rPr>
          <w:rFonts w:ascii="Times New Roman" w:hAnsi="Times New Roman" w:eastAsia="方正仿宋_GB2312" w:cs="Times New Roman"/>
          <w:bCs/>
          <w:sz w:val="32"/>
          <w:szCs w:val="32"/>
          <w:u w:val="single"/>
        </w:rPr>
      </w:pPr>
      <w:r>
        <w:rPr>
          <w:rFonts w:ascii="Times New Roman" w:hAnsi="Times New Roman" w:eastAsia="方正仿宋_GB2312" w:cs="Times New Roman"/>
          <w:bCs/>
          <w:sz w:val="32"/>
          <w:szCs w:val="32"/>
        </w:rPr>
        <w:t>企业名称：</w:t>
      </w:r>
      <w:r>
        <w:rPr>
          <w:rFonts w:ascii="Times New Roman" w:hAnsi="Times New Roman" w:eastAsia="方正仿宋_GB2312" w:cs="Times New Roman"/>
          <w:bCs/>
          <w:sz w:val="32"/>
          <w:szCs w:val="32"/>
          <w:u w:val="single"/>
        </w:rPr>
        <w:t xml:space="preserve">                                                   </w:t>
      </w:r>
    </w:p>
    <w:p>
      <w:pPr>
        <w:spacing w:line="560" w:lineRule="exact"/>
        <w:rPr>
          <w:rFonts w:ascii="Times New Roman" w:hAnsi="Times New Roman" w:eastAsia="方正仿宋_GB2312" w:cs="Times New Roman"/>
          <w:bCs/>
          <w:sz w:val="32"/>
          <w:szCs w:val="32"/>
          <w:u w:val="single"/>
        </w:rPr>
      </w:pPr>
    </w:p>
    <w:p>
      <w:pPr>
        <w:spacing w:line="560" w:lineRule="exact"/>
        <w:rPr>
          <w:rFonts w:ascii="Times New Roman" w:hAnsi="Times New Roman" w:eastAsia="方正仿宋_GB2312" w:cs="Times New Roman"/>
          <w:bCs/>
          <w:sz w:val="32"/>
          <w:szCs w:val="32"/>
          <w:u w:val="single"/>
        </w:rPr>
      </w:pPr>
      <w:r>
        <w:rPr>
          <w:rFonts w:ascii="Times New Roman" w:hAnsi="Times New Roman" w:eastAsia="方正仿宋_GB2312" w:cs="Times New Roman"/>
          <w:bCs/>
          <w:sz w:val="32"/>
          <w:szCs w:val="32"/>
        </w:rPr>
        <w:t>企业类型：</w:t>
      </w:r>
      <w:r>
        <w:rPr>
          <w:rFonts w:ascii="Times New Roman" w:hAnsi="Times New Roman" w:eastAsia="方正仿宋_GB2312" w:cs="Times New Roman"/>
          <w:bCs/>
          <w:sz w:val="32"/>
          <w:szCs w:val="32"/>
          <w:u w:val="single"/>
        </w:rPr>
        <w:t xml:space="preserve">                                                   </w:t>
      </w:r>
    </w:p>
    <w:p>
      <w:pPr>
        <w:spacing w:line="560" w:lineRule="exact"/>
        <w:rPr>
          <w:rFonts w:ascii="Times New Roman" w:hAnsi="Times New Roman" w:eastAsia="方正仿宋_GB2312" w:cs="Times New Roman"/>
          <w:bCs/>
          <w:sz w:val="32"/>
          <w:szCs w:val="32"/>
        </w:rPr>
      </w:pPr>
    </w:p>
    <w:p>
      <w:pPr>
        <w:spacing w:line="560" w:lineRule="exact"/>
        <w:rPr>
          <w:rFonts w:ascii="Times New Roman" w:hAnsi="Times New Roman" w:eastAsia="方正仿宋_GB2312" w:cs="Times New Roman"/>
          <w:bCs/>
          <w:sz w:val="32"/>
          <w:szCs w:val="32"/>
          <w:u w:val="single"/>
        </w:rPr>
      </w:pPr>
      <w:r>
        <w:rPr>
          <w:rFonts w:ascii="Times New Roman" w:hAnsi="Times New Roman" w:eastAsia="方正仿宋_GB2312" w:cs="Times New Roman"/>
          <w:bCs/>
          <w:sz w:val="32"/>
          <w:szCs w:val="32"/>
        </w:rPr>
        <w:t>地    址：</w:t>
      </w:r>
      <w:r>
        <w:rPr>
          <w:rFonts w:ascii="Times New Roman" w:hAnsi="Times New Roman" w:eastAsia="方正仿宋_GB2312" w:cs="Times New Roman"/>
          <w:bCs/>
          <w:sz w:val="32"/>
          <w:szCs w:val="32"/>
          <w:u w:val="single"/>
        </w:rPr>
        <w:t xml:space="preserve">                                                   </w:t>
      </w:r>
    </w:p>
    <w:p>
      <w:pPr>
        <w:spacing w:line="560" w:lineRule="exact"/>
        <w:rPr>
          <w:rFonts w:ascii="Times New Roman" w:hAnsi="Times New Roman" w:eastAsia="方正仿宋_GB2312" w:cs="Times New Roman"/>
          <w:bCs/>
          <w:sz w:val="32"/>
          <w:szCs w:val="32"/>
        </w:rPr>
      </w:pPr>
    </w:p>
    <w:p>
      <w:pPr>
        <w:spacing w:line="560" w:lineRule="exact"/>
        <w:rPr>
          <w:rFonts w:ascii="Times New Roman" w:hAnsi="Times New Roman" w:eastAsia="方正仿宋_GB2312" w:cs="Times New Roman"/>
          <w:bCs/>
          <w:sz w:val="32"/>
          <w:szCs w:val="32"/>
          <w:u w:val="single"/>
        </w:rPr>
      </w:pPr>
      <w:r>
        <w:rPr>
          <w:rFonts w:ascii="Times New Roman" w:hAnsi="Times New Roman" w:eastAsia="方正仿宋_GB2312" w:cs="Times New Roman"/>
          <w:bCs/>
          <w:sz w:val="32"/>
          <w:szCs w:val="32"/>
        </w:rPr>
        <w:t>营业期限：</w:t>
      </w:r>
      <w:r>
        <w:rPr>
          <w:rFonts w:ascii="Times New Roman" w:hAnsi="Times New Roman" w:eastAsia="方正仿宋_GB2312" w:cs="Times New Roman"/>
          <w:bCs/>
          <w:sz w:val="32"/>
          <w:szCs w:val="32"/>
          <w:u w:val="single"/>
        </w:rPr>
        <w:t xml:space="preserve">                                                   </w:t>
      </w:r>
    </w:p>
    <w:p>
      <w:pPr>
        <w:spacing w:line="560" w:lineRule="exact"/>
        <w:rPr>
          <w:rFonts w:ascii="Times New Roman" w:hAnsi="Times New Roman" w:eastAsia="方正仿宋_GB2312" w:cs="Times New Roman"/>
          <w:bCs/>
          <w:sz w:val="32"/>
          <w:szCs w:val="32"/>
        </w:rPr>
      </w:pPr>
    </w:p>
    <w:p>
      <w:pPr>
        <w:spacing w:line="560" w:lineRule="exact"/>
        <w:rPr>
          <w:rFonts w:ascii="Times New Roman" w:hAnsi="Times New Roman" w:eastAsia="方正仿宋_GB2312" w:cs="Times New Roman"/>
          <w:bCs/>
          <w:sz w:val="32"/>
          <w:szCs w:val="32"/>
          <w:u w:val="single"/>
        </w:rPr>
      </w:pPr>
      <w:r>
        <w:rPr>
          <w:rFonts w:ascii="Times New Roman" w:hAnsi="Times New Roman" w:eastAsia="方正仿宋_GB2312" w:cs="Times New Roman"/>
          <w:bCs/>
          <w:sz w:val="32"/>
          <w:szCs w:val="32"/>
        </w:rPr>
        <w:t>成立时间：</w:t>
      </w:r>
      <w:r>
        <w:rPr>
          <w:rFonts w:ascii="Times New Roman" w:hAnsi="Times New Roman" w:eastAsia="方正仿宋_GB2312" w:cs="Times New Roman"/>
          <w:bCs/>
          <w:sz w:val="32"/>
          <w:szCs w:val="32"/>
          <w:u w:val="single"/>
        </w:rPr>
        <w:t xml:space="preserve">                                                   </w:t>
      </w:r>
    </w:p>
    <w:p>
      <w:pPr>
        <w:spacing w:line="560" w:lineRule="exact"/>
        <w:rPr>
          <w:rFonts w:ascii="Times New Roman" w:hAnsi="Times New Roman" w:eastAsia="方正仿宋_GB2312" w:cs="Times New Roman"/>
          <w:bCs/>
          <w:sz w:val="32"/>
          <w:szCs w:val="32"/>
          <w:u w:val="single"/>
        </w:rPr>
      </w:pPr>
    </w:p>
    <w:p>
      <w:pPr>
        <w:spacing w:line="560" w:lineRule="exact"/>
        <w:rPr>
          <w:rFonts w:ascii="Times New Roman" w:hAnsi="Times New Roman" w:eastAsia="方正仿宋_GB2312" w:cs="Times New Roman"/>
          <w:bCs/>
          <w:sz w:val="32"/>
          <w:szCs w:val="32"/>
          <w:u w:val="single"/>
        </w:rPr>
      </w:pPr>
    </w:p>
    <w:p>
      <w:pPr>
        <w:spacing w:line="560" w:lineRule="exact"/>
        <w:rPr>
          <w:rFonts w:ascii="Times New Roman" w:hAnsi="Times New Roman" w:eastAsia="方正仿宋_GB2312" w:cs="Times New Roman"/>
          <w:bCs/>
          <w:sz w:val="32"/>
          <w:szCs w:val="32"/>
          <w:u w:val="single"/>
        </w:rPr>
      </w:pPr>
    </w:p>
    <w:p>
      <w:pPr>
        <w:spacing w:line="560" w:lineRule="exact"/>
        <w:rPr>
          <w:rFonts w:ascii="Times New Roman" w:hAnsi="Times New Roman" w:eastAsia="方正仿宋_GB2312" w:cs="Times New Roman"/>
          <w:bCs/>
          <w:sz w:val="32"/>
          <w:szCs w:val="32"/>
          <w:u w:val="single"/>
        </w:rPr>
      </w:pPr>
      <w:r>
        <w:rPr>
          <w:rFonts w:ascii="Times New Roman" w:hAnsi="Times New Roman" w:eastAsia="方正仿宋_GB2312" w:cs="Times New Roman"/>
          <w:bCs/>
          <w:sz w:val="32"/>
          <w:szCs w:val="32"/>
        </w:rPr>
        <w:t>姓名：</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 xml:space="preserve">    性别：</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 xml:space="preserve">   年龄：</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 xml:space="preserve">  职务：</w:t>
      </w:r>
      <w:r>
        <w:rPr>
          <w:rFonts w:ascii="Times New Roman" w:hAnsi="Times New Roman" w:eastAsia="方正仿宋_GB2312" w:cs="Times New Roman"/>
          <w:bCs/>
          <w:sz w:val="32"/>
          <w:szCs w:val="32"/>
          <w:u w:val="single"/>
        </w:rPr>
        <w:t xml:space="preserve">               </w:t>
      </w: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 xml:space="preserve">系 </w:t>
      </w:r>
      <w:r>
        <w:rPr>
          <w:rFonts w:ascii="Times New Roman" w:hAnsi="Times New Roman" w:eastAsia="方正仿宋_GB2312" w:cs="Times New Roman"/>
          <w:bCs/>
          <w:sz w:val="32"/>
          <w:szCs w:val="32"/>
          <w:u w:val="single"/>
        </w:rPr>
        <w:t xml:space="preserve">         （供应商名称）               </w:t>
      </w:r>
      <w:r>
        <w:rPr>
          <w:rFonts w:ascii="Times New Roman" w:hAnsi="Times New Roman" w:eastAsia="方正仿宋_GB2312" w:cs="Times New Roman"/>
          <w:bCs/>
          <w:sz w:val="32"/>
          <w:szCs w:val="32"/>
        </w:rPr>
        <w:t>的法定代表人。</w:t>
      </w:r>
    </w:p>
    <w:p>
      <w:pPr>
        <w:spacing w:line="560" w:lineRule="exact"/>
        <w:rPr>
          <w:rFonts w:ascii="Times New Roman" w:hAnsi="Times New Roman" w:eastAsia="方正仿宋_GB2312" w:cs="Times New Roman"/>
          <w:bCs/>
          <w:sz w:val="32"/>
          <w:szCs w:val="32"/>
        </w:rPr>
      </w:pP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特此证明。</w:t>
      </w:r>
    </w:p>
    <w:p>
      <w:pPr>
        <w:spacing w:line="560" w:lineRule="exact"/>
        <w:rPr>
          <w:rFonts w:ascii="Times New Roman" w:hAnsi="Times New Roman" w:eastAsia="方正仿宋_GB2312" w:cs="Times New Roman"/>
          <w:bCs/>
          <w:sz w:val="32"/>
          <w:szCs w:val="32"/>
        </w:rPr>
      </w:pPr>
    </w:p>
    <w:p>
      <w:pPr>
        <w:spacing w:line="560" w:lineRule="exact"/>
        <w:rPr>
          <w:rFonts w:ascii="Times New Roman" w:hAnsi="Times New Roman" w:eastAsia="方正仿宋_GB2312" w:cs="Times New Roman"/>
          <w:bCs/>
          <w:sz w:val="32"/>
          <w:szCs w:val="32"/>
        </w:rPr>
      </w:pPr>
    </w:p>
    <w:p>
      <w:pPr>
        <w:wordWrap w:val="0"/>
        <w:spacing w:line="560" w:lineRule="exact"/>
        <w:jc w:val="right"/>
        <w:rPr>
          <w:rFonts w:ascii="Times New Roman" w:hAnsi="Times New Roman" w:eastAsia="方正仿宋_GB2312" w:cs="Times New Roman"/>
          <w:bCs/>
          <w:sz w:val="32"/>
          <w:szCs w:val="32"/>
          <w:u w:val="single"/>
        </w:rPr>
      </w:pPr>
      <w:r>
        <w:rPr>
          <w:rFonts w:ascii="Times New Roman" w:hAnsi="Times New Roman" w:eastAsia="方正仿宋_GB2312" w:cs="Times New Roman"/>
          <w:bCs/>
          <w:sz w:val="32"/>
          <w:szCs w:val="32"/>
        </w:rPr>
        <w:t>供应商：</w:t>
      </w:r>
      <w:r>
        <w:rPr>
          <w:rFonts w:ascii="Times New Roman" w:hAnsi="Times New Roman" w:eastAsia="方正仿宋_GB2312" w:cs="Times New Roman"/>
          <w:bCs/>
          <w:sz w:val="32"/>
          <w:szCs w:val="32"/>
          <w:u w:val="single"/>
        </w:rPr>
        <w:t xml:space="preserve">                      （盖章）</w:t>
      </w:r>
    </w:p>
    <w:p>
      <w:pPr>
        <w:spacing w:line="560" w:lineRule="exact"/>
        <w:jc w:val="righ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日  期：</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年</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月</w:t>
      </w:r>
      <w:r>
        <w:rPr>
          <w:rFonts w:ascii="Times New Roman" w:hAnsi="Times New Roman" w:eastAsia="方正仿宋_GB2312" w:cs="Times New Roman"/>
          <w:bCs/>
          <w:sz w:val="32"/>
          <w:szCs w:val="32"/>
          <w:u w:val="single"/>
        </w:rPr>
        <w:t xml:space="preserve">        </w:t>
      </w:r>
      <w:r>
        <w:rPr>
          <w:rFonts w:ascii="Times New Roman" w:hAnsi="Times New Roman" w:eastAsia="方正仿宋_GB2312" w:cs="Times New Roman"/>
          <w:bCs/>
          <w:sz w:val="32"/>
          <w:szCs w:val="32"/>
        </w:rPr>
        <w:t>日</w:t>
      </w:r>
    </w:p>
    <w:p>
      <w:pPr>
        <w:pStyle w:val="3"/>
        <w:jc w:val="center"/>
      </w:pPr>
      <w:bookmarkStart w:id="253" w:name="_Toc5279"/>
      <w:bookmarkStart w:id="254" w:name="_Toc8673"/>
      <w:bookmarkStart w:id="255" w:name="_Toc3108"/>
      <w:r>
        <w:rPr>
          <w:rFonts w:hint="eastAsia"/>
        </w:rPr>
        <w:t>（三）</w:t>
      </w:r>
      <w:r>
        <w:t>授权委托书</w:t>
      </w:r>
      <w:bookmarkEnd w:id="253"/>
      <w:bookmarkEnd w:id="254"/>
      <w:bookmarkEnd w:id="255"/>
    </w:p>
    <w:p>
      <w:pPr>
        <w:spacing w:line="560" w:lineRule="exact"/>
        <w:jc w:val="center"/>
        <w:rPr>
          <w:rFonts w:ascii="Times New Roman" w:hAnsi="Times New Roman" w:eastAsia="方正仿宋_GB2312" w:cs="Times New Roman"/>
          <w:b/>
          <w:sz w:val="32"/>
          <w:szCs w:val="32"/>
        </w:rPr>
      </w:pPr>
    </w:p>
    <w:p>
      <w:pPr>
        <w:spacing w:line="560" w:lineRule="exact"/>
        <w:rPr>
          <w:rFonts w:ascii="Times New Roman" w:hAnsi="Times New Roman" w:eastAsia="方正仿宋_GB2312" w:cs="Times New Roman"/>
          <w:sz w:val="32"/>
          <w:szCs w:val="32"/>
        </w:rPr>
      </w:pPr>
    </w:p>
    <w:p>
      <w:pPr>
        <w:spacing w:line="560" w:lineRule="exact"/>
        <w:ind w:firstLine="63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本授权委托书声明：我</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（姓名）系</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（供应商名称）的法定代表人</w:t>
      </w:r>
      <w:r>
        <w:rPr>
          <w:rFonts w:hint="eastAsia"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eastAsia="zh-CN"/>
        </w:rPr>
        <w:t>负责人</w:t>
      </w:r>
      <w:r>
        <w:rPr>
          <w:rFonts w:ascii="Times New Roman" w:hAnsi="Times New Roman" w:eastAsia="方正仿宋_GB2312" w:cs="Times New Roman"/>
          <w:sz w:val="32"/>
          <w:szCs w:val="32"/>
        </w:rPr>
        <w:t>，现授权委托</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（供应商名称）的</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（姓名）为我公司代理人，以本公司的名义参加</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（采购人）的</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招标</w:t>
      </w:r>
      <w:r>
        <w:rPr>
          <w:rFonts w:hint="eastAsia" w:ascii="Times New Roman" w:hAnsi="Times New Roman" w:eastAsia="方正仿宋_GB2312" w:cs="Times New Roman"/>
          <w:sz w:val="32"/>
          <w:szCs w:val="32"/>
          <w:lang w:eastAsia="zh-CN"/>
        </w:rPr>
        <w:t>项目</w:t>
      </w:r>
      <w:r>
        <w:rPr>
          <w:rFonts w:ascii="Times New Roman" w:hAnsi="Times New Roman" w:eastAsia="方正仿宋_GB2312" w:cs="Times New Roman"/>
          <w:sz w:val="32"/>
          <w:szCs w:val="32"/>
        </w:rPr>
        <w:t>的投标活动。代理人签署的投标文件和参加整个工程招标投标活动中所签署的一切文件和处理与之有关的一切事物，我均予以承认。</w:t>
      </w: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代理人：</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性别：</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年龄：</w:t>
      </w:r>
      <w:r>
        <w:rPr>
          <w:rFonts w:ascii="Times New Roman" w:hAnsi="Times New Roman" w:eastAsia="方正仿宋_GB2312" w:cs="Times New Roman"/>
          <w:sz w:val="32"/>
          <w:szCs w:val="32"/>
          <w:u w:val="single"/>
        </w:rPr>
        <w:t xml:space="preserve">             </w:t>
      </w: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单  位：</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部门：</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职务：</w:t>
      </w:r>
      <w:r>
        <w:rPr>
          <w:rFonts w:ascii="Times New Roman" w:hAnsi="Times New Roman" w:eastAsia="方正仿宋_GB2312" w:cs="Times New Roman"/>
          <w:sz w:val="32"/>
          <w:szCs w:val="32"/>
          <w:u w:val="single"/>
        </w:rPr>
        <w:t xml:space="preserve">             </w:t>
      </w: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代理人无转委权。特此委托。</w:t>
      </w: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供应商：（盖章）</w:t>
      </w: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法定代表人：（签字或盖章）</w:t>
      </w:r>
    </w:p>
    <w:p>
      <w:pPr>
        <w:spacing w:line="560" w:lineRule="exact"/>
        <w:rPr>
          <w:rFonts w:ascii="Times New Roman" w:hAnsi="Times New Roman" w:eastAsia="方正仿宋_GB2312" w:cs="Times New Roman"/>
          <w:sz w:val="32"/>
          <w:szCs w:val="32"/>
        </w:rPr>
      </w:pPr>
    </w:p>
    <w:p>
      <w:pPr>
        <w:spacing w:line="560" w:lineRule="exact"/>
        <w:jc w:val="center"/>
        <w:rPr>
          <w:rFonts w:ascii="Times New Roman" w:hAnsi="Times New Roman" w:eastAsia="方正仿宋_GB2312" w:cs="Times New Roman"/>
          <w:b/>
          <w:sz w:val="32"/>
          <w:szCs w:val="32"/>
        </w:rPr>
      </w:pPr>
    </w:p>
    <w:p>
      <w:pPr>
        <w:spacing w:line="560" w:lineRule="exact"/>
        <w:jc w:val="right"/>
        <w:rPr>
          <w:rFonts w:ascii="Times New Roman" w:hAnsi="Times New Roman" w:eastAsia="方正仿宋_GB2312" w:cs="Times New Roman"/>
          <w:b/>
          <w:sz w:val="32"/>
          <w:szCs w:val="32"/>
        </w:rPr>
      </w:pPr>
      <w:r>
        <w:rPr>
          <w:rFonts w:ascii="Times New Roman" w:hAnsi="Times New Roman" w:eastAsia="方正仿宋_GB2312" w:cs="Times New Roman"/>
          <w:sz w:val="32"/>
          <w:szCs w:val="32"/>
        </w:rPr>
        <w:t>日期：</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年</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月</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日</w:t>
      </w:r>
    </w:p>
    <w:p>
      <w:pPr>
        <w:pStyle w:val="3"/>
        <w:jc w:val="center"/>
      </w:pPr>
      <w:bookmarkStart w:id="256" w:name="_Toc22484"/>
      <w:bookmarkStart w:id="257" w:name="_Toc16088"/>
      <w:bookmarkStart w:id="258" w:name="_Toc21585"/>
      <w:r>
        <w:rPr>
          <w:rFonts w:hint="eastAsia"/>
        </w:rPr>
        <w:t>（四）</w:t>
      </w:r>
      <w:r>
        <w:t>供应商概况表</w:t>
      </w:r>
      <w:bookmarkEnd w:id="256"/>
      <w:bookmarkEnd w:id="257"/>
      <w:bookmarkEnd w:id="258"/>
    </w:p>
    <w:p>
      <w:pPr>
        <w:spacing w:line="560" w:lineRule="exact"/>
        <w:ind w:left="424" w:leftChars="202"/>
        <w:jc w:val="center"/>
        <w:rPr>
          <w:rFonts w:ascii="Times New Roman" w:hAnsi="Times New Roman" w:eastAsia="方正仿宋_GB2312" w:cs="Times New Roman"/>
          <w:b/>
          <w:sz w:val="32"/>
          <w:szCs w:val="32"/>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046"/>
        <w:gridCol w:w="584"/>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供应商名称</w:t>
            </w:r>
          </w:p>
        </w:tc>
        <w:tc>
          <w:tcPr>
            <w:tcW w:w="6732" w:type="dxa"/>
            <w:gridSpan w:val="9"/>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注册地址</w:t>
            </w:r>
          </w:p>
        </w:tc>
        <w:tc>
          <w:tcPr>
            <w:tcW w:w="3101" w:type="dxa"/>
            <w:gridSpan w:val="5"/>
            <w:vAlign w:val="center"/>
          </w:tcPr>
          <w:p>
            <w:pPr>
              <w:spacing w:line="560" w:lineRule="exact"/>
              <w:jc w:val="center"/>
              <w:rPr>
                <w:rFonts w:ascii="Times New Roman" w:hAnsi="Times New Roman" w:eastAsia="方正仿宋_GB2312" w:cs="Times New Roman"/>
                <w:sz w:val="32"/>
                <w:szCs w:val="32"/>
              </w:rPr>
            </w:pPr>
          </w:p>
        </w:tc>
        <w:tc>
          <w:tcPr>
            <w:tcW w:w="1246"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邮政编码</w:t>
            </w:r>
          </w:p>
        </w:tc>
        <w:tc>
          <w:tcPr>
            <w:tcW w:w="2385" w:type="dxa"/>
            <w:gridSpan w:val="3"/>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Merge w:val="restart"/>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联系方式</w:t>
            </w:r>
          </w:p>
        </w:tc>
        <w:tc>
          <w:tcPr>
            <w:tcW w:w="1046"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联系人</w:t>
            </w:r>
          </w:p>
        </w:tc>
        <w:tc>
          <w:tcPr>
            <w:tcW w:w="2055" w:type="dxa"/>
            <w:gridSpan w:val="4"/>
            <w:vAlign w:val="center"/>
          </w:tcPr>
          <w:p>
            <w:pPr>
              <w:spacing w:line="560" w:lineRule="exact"/>
              <w:jc w:val="center"/>
              <w:rPr>
                <w:rFonts w:ascii="Times New Roman" w:hAnsi="Times New Roman" w:eastAsia="方正仿宋_GB2312" w:cs="Times New Roman"/>
                <w:sz w:val="32"/>
                <w:szCs w:val="32"/>
              </w:rPr>
            </w:pPr>
          </w:p>
        </w:tc>
        <w:tc>
          <w:tcPr>
            <w:tcW w:w="1246"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电  话</w:t>
            </w:r>
          </w:p>
        </w:tc>
        <w:tc>
          <w:tcPr>
            <w:tcW w:w="2385" w:type="dxa"/>
            <w:gridSpan w:val="3"/>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Merge w:val="continue"/>
            <w:vAlign w:val="center"/>
          </w:tcPr>
          <w:p>
            <w:pPr>
              <w:spacing w:line="560" w:lineRule="exact"/>
              <w:jc w:val="center"/>
              <w:rPr>
                <w:rFonts w:ascii="Times New Roman" w:hAnsi="Times New Roman" w:eastAsia="方正仿宋_GB2312" w:cs="Times New Roman"/>
                <w:sz w:val="32"/>
                <w:szCs w:val="32"/>
              </w:rPr>
            </w:pPr>
          </w:p>
        </w:tc>
        <w:tc>
          <w:tcPr>
            <w:tcW w:w="1046"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传 真</w:t>
            </w:r>
          </w:p>
        </w:tc>
        <w:tc>
          <w:tcPr>
            <w:tcW w:w="2055" w:type="dxa"/>
            <w:gridSpan w:val="4"/>
            <w:vAlign w:val="center"/>
          </w:tcPr>
          <w:p>
            <w:pPr>
              <w:spacing w:line="560" w:lineRule="exact"/>
              <w:jc w:val="center"/>
              <w:rPr>
                <w:rFonts w:ascii="Times New Roman" w:hAnsi="Times New Roman" w:eastAsia="方正仿宋_GB2312" w:cs="Times New Roman"/>
                <w:sz w:val="32"/>
                <w:szCs w:val="32"/>
              </w:rPr>
            </w:pPr>
          </w:p>
        </w:tc>
        <w:tc>
          <w:tcPr>
            <w:tcW w:w="1246"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网  址</w:t>
            </w:r>
          </w:p>
        </w:tc>
        <w:tc>
          <w:tcPr>
            <w:tcW w:w="2385" w:type="dxa"/>
            <w:gridSpan w:val="3"/>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组织结构</w:t>
            </w:r>
          </w:p>
        </w:tc>
        <w:tc>
          <w:tcPr>
            <w:tcW w:w="6732" w:type="dxa"/>
            <w:gridSpan w:val="9"/>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法定代表人</w:t>
            </w:r>
          </w:p>
        </w:tc>
        <w:tc>
          <w:tcPr>
            <w:tcW w:w="1046"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姓名</w:t>
            </w:r>
          </w:p>
        </w:tc>
        <w:tc>
          <w:tcPr>
            <w:tcW w:w="584" w:type="dxa"/>
            <w:vAlign w:val="center"/>
          </w:tcPr>
          <w:p>
            <w:pPr>
              <w:spacing w:line="560" w:lineRule="exact"/>
              <w:jc w:val="center"/>
              <w:rPr>
                <w:rFonts w:ascii="Times New Roman" w:hAnsi="Times New Roman" w:eastAsia="方正仿宋_GB2312" w:cs="Times New Roman"/>
                <w:sz w:val="32"/>
                <w:szCs w:val="32"/>
              </w:rPr>
            </w:pPr>
          </w:p>
        </w:tc>
        <w:tc>
          <w:tcPr>
            <w:tcW w:w="1276" w:type="dxa"/>
            <w:gridSpan w:val="2"/>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技术职称</w:t>
            </w:r>
          </w:p>
        </w:tc>
        <w:tc>
          <w:tcPr>
            <w:tcW w:w="1701" w:type="dxa"/>
            <w:gridSpan w:val="3"/>
            <w:vAlign w:val="center"/>
          </w:tcPr>
          <w:p>
            <w:pPr>
              <w:spacing w:line="560" w:lineRule="exact"/>
              <w:jc w:val="center"/>
              <w:rPr>
                <w:rFonts w:ascii="Times New Roman" w:hAnsi="Times New Roman" w:eastAsia="方正仿宋_GB2312" w:cs="Times New Roman"/>
                <w:sz w:val="32"/>
                <w:szCs w:val="32"/>
              </w:rPr>
            </w:pPr>
          </w:p>
        </w:tc>
        <w:tc>
          <w:tcPr>
            <w:tcW w:w="709"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电话</w:t>
            </w:r>
          </w:p>
        </w:tc>
        <w:tc>
          <w:tcPr>
            <w:tcW w:w="1416"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技术负责人</w:t>
            </w:r>
          </w:p>
        </w:tc>
        <w:tc>
          <w:tcPr>
            <w:tcW w:w="1046"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姓名</w:t>
            </w:r>
          </w:p>
        </w:tc>
        <w:tc>
          <w:tcPr>
            <w:tcW w:w="584" w:type="dxa"/>
            <w:vAlign w:val="center"/>
          </w:tcPr>
          <w:p>
            <w:pPr>
              <w:spacing w:line="560" w:lineRule="exact"/>
              <w:jc w:val="center"/>
              <w:rPr>
                <w:rFonts w:ascii="Times New Roman" w:hAnsi="Times New Roman" w:eastAsia="方正仿宋_GB2312" w:cs="Times New Roman"/>
                <w:sz w:val="32"/>
                <w:szCs w:val="32"/>
              </w:rPr>
            </w:pPr>
          </w:p>
        </w:tc>
        <w:tc>
          <w:tcPr>
            <w:tcW w:w="1276" w:type="dxa"/>
            <w:gridSpan w:val="2"/>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技术职称</w:t>
            </w:r>
          </w:p>
        </w:tc>
        <w:tc>
          <w:tcPr>
            <w:tcW w:w="1701" w:type="dxa"/>
            <w:gridSpan w:val="3"/>
            <w:vAlign w:val="center"/>
          </w:tcPr>
          <w:p>
            <w:pPr>
              <w:spacing w:line="560" w:lineRule="exact"/>
              <w:jc w:val="center"/>
              <w:rPr>
                <w:rFonts w:ascii="Times New Roman" w:hAnsi="Times New Roman" w:eastAsia="方正仿宋_GB2312" w:cs="Times New Roman"/>
                <w:sz w:val="32"/>
                <w:szCs w:val="32"/>
              </w:rPr>
            </w:pPr>
          </w:p>
        </w:tc>
        <w:tc>
          <w:tcPr>
            <w:tcW w:w="709" w:type="dxa"/>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电话</w:t>
            </w:r>
          </w:p>
        </w:tc>
        <w:tc>
          <w:tcPr>
            <w:tcW w:w="1416"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成立时间</w:t>
            </w:r>
          </w:p>
        </w:tc>
        <w:tc>
          <w:tcPr>
            <w:tcW w:w="1630" w:type="dxa"/>
            <w:gridSpan w:val="2"/>
            <w:vAlign w:val="center"/>
          </w:tcPr>
          <w:p>
            <w:pPr>
              <w:spacing w:line="560" w:lineRule="exact"/>
              <w:jc w:val="center"/>
              <w:rPr>
                <w:rFonts w:ascii="Times New Roman" w:hAnsi="Times New Roman" w:eastAsia="方正仿宋_GB2312" w:cs="Times New Roman"/>
                <w:sz w:val="32"/>
                <w:szCs w:val="32"/>
              </w:rPr>
            </w:pPr>
          </w:p>
        </w:tc>
        <w:tc>
          <w:tcPr>
            <w:tcW w:w="5102" w:type="dxa"/>
            <w:gridSpan w:val="7"/>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企业资质等级</w:t>
            </w:r>
          </w:p>
        </w:tc>
        <w:tc>
          <w:tcPr>
            <w:tcW w:w="1630" w:type="dxa"/>
            <w:gridSpan w:val="2"/>
            <w:vAlign w:val="center"/>
          </w:tcPr>
          <w:p>
            <w:pPr>
              <w:spacing w:line="560" w:lineRule="exact"/>
              <w:jc w:val="center"/>
              <w:rPr>
                <w:rFonts w:ascii="Times New Roman" w:hAnsi="Times New Roman" w:eastAsia="方正仿宋_GB2312" w:cs="Times New Roman"/>
                <w:sz w:val="32"/>
                <w:szCs w:val="32"/>
              </w:rPr>
            </w:pPr>
          </w:p>
        </w:tc>
        <w:tc>
          <w:tcPr>
            <w:tcW w:w="993" w:type="dxa"/>
            <w:vMerge w:val="restart"/>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其中</w:t>
            </w:r>
          </w:p>
        </w:tc>
        <w:tc>
          <w:tcPr>
            <w:tcW w:w="1984" w:type="dxa"/>
            <w:gridSpan w:val="4"/>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项目负责人</w:t>
            </w:r>
          </w:p>
        </w:tc>
        <w:tc>
          <w:tcPr>
            <w:tcW w:w="2125" w:type="dxa"/>
            <w:gridSpan w:val="2"/>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营业执照号</w:t>
            </w:r>
          </w:p>
        </w:tc>
        <w:tc>
          <w:tcPr>
            <w:tcW w:w="1630" w:type="dxa"/>
            <w:gridSpan w:val="2"/>
            <w:vAlign w:val="center"/>
          </w:tcPr>
          <w:p>
            <w:pPr>
              <w:spacing w:line="560" w:lineRule="exact"/>
              <w:jc w:val="center"/>
              <w:rPr>
                <w:rFonts w:ascii="Times New Roman" w:hAnsi="Times New Roman" w:eastAsia="方正仿宋_GB2312" w:cs="Times New Roman"/>
                <w:sz w:val="32"/>
                <w:szCs w:val="32"/>
              </w:rPr>
            </w:pPr>
          </w:p>
        </w:tc>
        <w:tc>
          <w:tcPr>
            <w:tcW w:w="993" w:type="dxa"/>
            <w:vMerge w:val="continue"/>
            <w:vAlign w:val="center"/>
          </w:tcPr>
          <w:p>
            <w:pPr>
              <w:spacing w:line="560" w:lineRule="exact"/>
              <w:jc w:val="center"/>
              <w:rPr>
                <w:rFonts w:ascii="Times New Roman" w:hAnsi="Times New Roman" w:eastAsia="方正仿宋_GB2312" w:cs="Times New Roman"/>
                <w:sz w:val="32"/>
                <w:szCs w:val="32"/>
              </w:rPr>
            </w:pPr>
          </w:p>
        </w:tc>
        <w:tc>
          <w:tcPr>
            <w:tcW w:w="1984" w:type="dxa"/>
            <w:gridSpan w:val="4"/>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高级职称人员</w:t>
            </w:r>
          </w:p>
        </w:tc>
        <w:tc>
          <w:tcPr>
            <w:tcW w:w="2125" w:type="dxa"/>
            <w:gridSpan w:val="2"/>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注册资金</w:t>
            </w:r>
          </w:p>
        </w:tc>
        <w:tc>
          <w:tcPr>
            <w:tcW w:w="1630" w:type="dxa"/>
            <w:gridSpan w:val="2"/>
            <w:vAlign w:val="center"/>
          </w:tcPr>
          <w:p>
            <w:pPr>
              <w:spacing w:line="560" w:lineRule="exact"/>
              <w:jc w:val="center"/>
              <w:rPr>
                <w:rFonts w:ascii="Times New Roman" w:hAnsi="Times New Roman" w:eastAsia="方正仿宋_GB2312" w:cs="Times New Roman"/>
                <w:sz w:val="32"/>
                <w:szCs w:val="32"/>
              </w:rPr>
            </w:pPr>
          </w:p>
        </w:tc>
        <w:tc>
          <w:tcPr>
            <w:tcW w:w="993" w:type="dxa"/>
            <w:vMerge w:val="continue"/>
            <w:vAlign w:val="center"/>
          </w:tcPr>
          <w:p>
            <w:pPr>
              <w:spacing w:line="560" w:lineRule="exact"/>
              <w:jc w:val="center"/>
              <w:rPr>
                <w:rFonts w:ascii="Times New Roman" w:hAnsi="Times New Roman" w:eastAsia="方正仿宋_GB2312" w:cs="Times New Roman"/>
                <w:sz w:val="32"/>
                <w:szCs w:val="32"/>
              </w:rPr>
            </w:pPr>
          </w:p>
        </w:tc>
        <w:tc>
          <w:tcPr>
            <w:tcW w:w="1984" w:type="dxa"/>
            <w:gridSpan w:val="4"/>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中级职称人员</w:t>
            </w:r>
          </w:p>
        </w:tc>
        <w:tc>
          <w:tcPr>
            <w:tcW w:w="2125" w:type="dxa"/>
            <w:gridSpan w:val="2"/>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开户银行</w:t>
            </w:r>
          </w:p>
        </w:tc>
        <w:tc>
          <w:tcPr>
            <w:tcW w:w="1630" w:type="dxa"/>
            <w:gridSpan w:val="2"/>
            <w:vAlign w:val="center"/>
          </w:tcPr>
          <w:p>
            <w:pPr>
              <w:spacing w:line="560" w:lineRule="exact"/>
              <w:jc w:val="center"/>
              <w:rPr>
                <w:rFonts w:ascii="Times New Roman" w:hAnsi="Times New Roman" w:eastAsia="方正仿宋_GB2312" w:cs="Times New Roman"/>
                <w:sz w:val="32"/>
                <w:szCs w:val="32"/>
              </w:rPr>
            </w:pPr>
          </w:p>
        </w:tc>
        <w:tc>
          <w:tcPr>
            <w:tcW w:w="993" w:type="dxa"/>
            <w:vMerge w:val="continue"/>
            <w:vAlign w:val="center"/>
          </w:tcPr>
          <w:p>
            <w:pPr>
              <w:spacing w:line="560" w:lineRule="exact"/>
              <w:jc w:val="center"/>
              <w:rPr>
                <w:rFonts w:ascii="Times New Roman" w:hAnsi="Times New Roman" w:eastAsia="方正仿宋_GB2312" w:cs="Times New Roman"/>
                <w:sz w:val="32"/>
                <w:szCs w:val="32"/>
              </w:rPr>
            </w:pPr>
          </w:p>
        </w:tc>
        <w:tc>
          <w:tcPr>
            <w:tcW w:w="1984" w:type="dxa"/>
            <w:gridSpan w:val="4"/>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初级职称人员</w:t>
            </w:r>
          </w:p>
        </w:tc>
        <w:tc>
          <w:tcPr>
            <w:tcW w:w="2125" w:type="dxa"/>
            <w:gridSpan w:val="2"/>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账号</w:t>
            </w:r>
          </w:p>
        </w:tc>
        <w:tc>
          <w:tcPr>
            <w:tcW w:w="1630" w:type="dxa"/>
            <w:gridSpan w:val="2"/>
            <w:vAlign w:val="center"/>
          </w:tcPr>
          <w:p>
            <w:pPr>
              <w:spacing w:line="560" w:lineRule="exact"/>
              <w:jc w:val="center"/>
              <w:rPr>
                <w:rFonts w:ascii="Times New Roman" w:hAnsi="Times New Roman" w:eastAsia="方正仿宋_GB2312" w:cs="Times New Roman"/>
                <w:sz w:val="32"/>
                <w:szCs w:val="32"/>
              </w:rPr>
            </w:pPr>
          </w:p>
        </w:tc>
        <w:tc>
          <w:tcPr>
            <w:tcW w:w="993" w:type="dxa"/>
            <w:vMerge w:val="continue"/>
            <w:vAlign w:val="center"/>
          </w:tcPr>
          <w:p>
            <w:pPr>
              <w:spacing w:line="560" w:lineRule="exact"/>
              <w:jc w:val="center"/>
              <w:rPr>
                <w:rFonts w:ascii="Times New Roman" w:hAnsi="Times New Roman" w:eastAsia="方正仿宋_GB2312" w:cs="Times New Roman"/>
                <w:sz w:val="32"/>
                <w:szCs w:val="32"/>
              </w:rPr>
            </w:pPr>
          </w:p>
        </w:tc>
        <w:tc>
          <w:tcPr>
            <w:tcW w:w="1984" w:type="dxa"/>
            <w:gridSpan w:val="4"/>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技  工</w:t>
            </w:r>
          </w:p>
        </w:tc>
        <w:tc>
          <w:tcPr>
            <w:tcW w:w="2125" w:type="dxa"/>
            <w:gridSpan w:val="2"/>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经营范围</w:t>
            </w:r>
          </w:p>
        </w:tc>
        <w:tc>
          <w:tcPr>
            <w:tcW w:w="6732" w:type="dxa"/>
            <w:gridSpan w:val="9"/>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14"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备注</w:t>
            </w:r>
          </w:p>
        </w:tc>
        <w:tc>
          <w:tcPr>
            <w:tcW w:w="6732" w:type="dxa"/>
            <w:gridSpan w:val="9"/>
            <w:vAlign w:val="center"/>
          </w:tcPr>
          <w:p>
            <w:pPr>
              <w:spacing w:line="560" w:lineRule="exact"/>
              <w:jc w:val="center"/>
              <w:rPr>
                <w:rFonts w:ascii="Times New Roman" w:hAnsi="Times New Roman" w:eastAsia="方正仿宋_GB2312" w:cs="Times New Roman"/>
                <w:sz w:val="32"/>
                <w:szCs w:val="32"/>
              </w:rPr>
            </w:pPr>
          </w:p>
        </w:tc>
      </w:tr>
    </w:tbl>
    <w:p>
      <w:pPr>
        <w:topLinePunct/>
        <w:spacing w:line="560" w:lineRule="exact"/>
        <w:ind w:firstLine="800" w:firstLineChars="250"/>
        <w:rPr>
          <w:rFonts w:ascii="Times New Roman" w:hAnsi="Times New Roman" w:eastAsia="方正仿宋_GB2312" w:cs="Times New Roman"/>
          <w:sz w:val="32"/>
          <w:szCs w:val="32"/>
        </w:rPr>
      </w:pPr>
    </w:p>
    <w:p>
      <w:pPr>
        <w:spacing w:line="560" w:lineRule="exact"/>
        <w:jc w:val="center"/>
        <w:outlineLvl w:val="0"/>
        <w:rPr>
          <w:rFonts w:ascii="Times New Roman" w:hAnsi="Times New Roman" w:eastAsia="方正仿宋_GB2312" w:cs="Times New Roman"/>
          <w:sz w:val="32"/>
          <w:szCs w:val="32"/>
        </w:rPr>
      </w:pPr>
      <w:r>
        <w:rPr>
          <w:rFonts w:ascii="Times New Roman" w:hAnsi="Times New Roman" w:eastAsia="方正仿宋_GB2312" w:cs="Times New Roman"/>
          <w:sz w:val="32"/>
          <w:szCs w:val="32"/>
          <w:u w:val="single"/>
        </w:rPr>
        <w:br w:type="page"/>
      </w:r>
      <w:bookmarkStart w:id="259" w:name="_Toc21357"/>
      <w:bookmarkStart w:id="260" w:name="_Toc30561"/>
      <w:bookmarkStart w:id="261" w:name="_Toc27737"/>
      <w:r>
        <w:rPr>
          <w:rStyle w:val="63"/>
          <w:rFonts w:hint="eastAsia"/>
        </w:rPr>
        <w:t>（五）</w:t>
      </w:r>
      <w:r>
        <w:rPr>
          <w:rStyle w:val="63"/>
        </w:rPr>
        <w:t>具有独立承担民事责任的能力的证明材料</w:t>
      </w:r>
      <w:bookmarkEnd w:id="259"/>
      <w:bookmarkEnd w:id="260"/>
      <w:bookmarkEnd w:id="261"/>
    </w:p>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注：提供法人或者非法人组织的营业执照等证明文件</w:t>
      </w:r>
    </w:p>
    <w:p>
      <w:pPr>
        <w:spacing w:line="560" w:lineRule="exact"/>
        <w:jc w:val="center"/>
        <w:outlineLvl w:val="0"/>
        <w:rPr>
          <w:rFonts w:ascii="Times New Roman" w:hAnsi="Times New Roman" w:eastAsia="方正仿宋_GB2312" w:cs="Times New Roman"/>
          <w:b/>
          <w:sz w:val="32"/>
          <w:szCs w:val="32"/>
        </w:rPr>
      </w:pPr>
      <w:r>
        <w:rPr>
          <w:rFonts w:ascii="Times New Roman" w:hAnsi="Times New Roman" w:eastAsia="方正仿宋_GB2312" w:cs="Times New Roman"/>
          <w:sz w:val="32"/>
          <w:szCs w:val="32"/>
          <w:u w:val="single"/>
        </w:rPr>
        <w:br w:type="page"/>
      </w:r>
      <w:bookmarkStart w:id="262" w:name="_Toc2889"/>
      <w:bookmarkStart w:id="263" w:name="_Toc9997"/>
      <w:bookmarkStart w:id="264" w:name="_Toc16450"/>
      <w:r>
        <w:rPr>
          <w:rStyle w:val="63"/>
          <w:rFonts w:hint="eastAsia"/>
        </w:rPr>
        <w:t>（六）</w:t>
      </w:r>
      <w:r>
        <w:rPr>
          <w:rStyle w:val="63"/>
        </w:rPr>
        <w:t>具有良好的商业信誉和健全的财务会计制度证明材料</w:t>
      </w:r>
      <w:bookmarkEnd w:id="262"/>
      <w:bookmarkEnd w:id="263"/>
      <w:bookmarkEnd w:id="264"/>
    </w:p>
    <w:p>
      <w:pPr>
        <w:spacing w:line="560" w:lineRule="exact"/>
        <w:ind w:firstLine="640" w:firstLineChars="200"/>
        <w:jc w:val="center"/>
        <w:outlineLvl w:val="0"/>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bookmarkStart w:id="265" w:name="_Toc29428"/>
      <w:bookmarkStart w:id="266" w:name="_Toc18622"/>
      <w:bookmarkStart w:id="267" w:name="_Toc5660"/>
      <w:r>
        <w:rPr>
          <w:rStyle w:val="63"/>
          <w:rFonts w:hint="eastAsia"/>
        </w:rPr>
        <w:t>（七）</w:t>
      </w:r>
      <w:r>
        <w:rPr>
          <w:rStyle w:val="63"/>
        </w:rPr>
        <w:t>具有履行合同所必需的设备和专业技术能力证明材料或声明</w:t>
      </w:r>
      <w:bookmarkEnd w:id="265"/>
      <w:bookmarkEnd w:id="266"/>
      <w:bookmarkEnd w:id="267"/>
    </w:p>
    <w:p>
      <w:pPr>
        <w:pStyle w:val="40"/>
        <w:spacing w:line="560" w:lineRule="exact"/>
        <w:ind w:left="420" w:firstLine="640"/>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p>
    <w:p>
      <w:pPr>
        <w:pStyle w:val="3"/>
        <w:jc w:val="center"/>
      </w:pPr>
      <w:bookmarkStart w:id="268" w:name="_Toc2107"/>
      <w:bookmarkStart w:id="269" w:name="_Toc20419"/>
      <w:bookmarkStart w:id="270" w:name="_Toc5018"/>
      <w:r>
        <w:rPr>
          <w:rFonts w:hint="eastAsia"/>
        </w:rPr>
        <w:t>（八）</w:t>
      </w:r>
      <w:r>
        <w:t>有依法缴纳税收和社会保障资金的良好记录证明材料</w:t>
      </w:r>
      <w:bookmarkEnd w:id="268"/>
      <w:bookmarkEnd w:id="269"/>
      <w:bookmarkEnd w:id="270"/>
    </w:p>
    <w:p>
      <w:pPr>
        <w:pStyle w:val="40"/>
        <w:spacing w:line="560" w:lineRule="exact"/>
        <w:ind w:left="420" w:firstLine="640"/>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p>
    <w:p>
      <w:pPr>
        <w:pStyle w:val="3"/>
        <w:jc w:val="center"/>
      </w:pPr>
      <w:bookmarkStart w:id="271" w:name="_Toc15282"/>
      <w:bookmarkStart w:id="272" w:name="_Toc13700"/>
      <w:bookmarkStart w:id="273" w:name="_Toc655"/>
      <w:r>
        <w:rPr>
          <w:rFonts w:hint="eastAsia"/>
        </w:rPr>
        <w:t>（九）</w:t>
      </w:r>
      <w:r>
        <w:t>参加政府采购活动前三年内，在经营活动中没有重大违法记录的声明</w:t>
      </w:r>
      <w:bookmarkEnd w:id="271"/>
      <w:bookmarkEnd w:id="272"/>
      <w:bookmarkEnd w:id="273"/>
    </w:p>
    <w:p>
      <w:pPr>
        <w:widowControl/>
        <w:jc w:val="left"/>
        <w:rPr>
          <w:rFonts w:ascii="Times New Roman" w:hAnsi="Times New Roman" w:eastAsia="方正仿宋_GB2312" w:cs="Times New Roman"/>
          <w:sz w:val="32"/>
          <w:szCs w:val="32"/>
          <w:u w:val="single"/>
        </w:rPr>
      </w:pPr>
    </w:p>
    <w:p>
      <w:pPr>
        <w:spacing w:line="560" w:lineRule="exact"/>
        <w:rPr>
          <w:rFonts w:ascii="Times New Roman" w:hAnsi="Times New Roman" w:eastAsia="方正仿宋_GB2312" w:cs="Times New Roman"/>
          <w:sz w:val="32"/>
          <w:szCs w:val="32"/>
          <w:u w:val="single"/>
        </w:rPr>
      </w:pPr>
    </w:p>
    <w:p>
      <w:pPr>
        <w:widowControl/>
        <w:jc w:val="left"/>
        <w:rPr>
          <w:rFonts w:ascii="???" w:hAnsi="???" w:eastAsia="楷体" w:cs="Arial"/>
          <w:bCs/>
          <w:color w:val="020000"/>
          <w:kern w:val="0"/>
          <w:sz w:val="32"/>
          <w:szCs w:val="32"/>
        </w:rPr>
      </w:pPr>
      <w:bookmarkStart w:id="274" w:name="_Toc26900"/>
      <w:bookmarkStart w:id="275" w:name="_Toc30556"/>
      <w:bookmarkStart w:id="276" w:name="_Toc18111"/>
      <w:r>
        <w:br w:type="page"/>
      </w:r>
    </w:p>
    <w:p>
      <w:pPr>
        <w:pStyle w:val="3"/>
        <w:jc w:val="center"/>
      </w:pPr>
      <w:r>
        <w:rPr>
          <w:rFonts w:hint="eastAsia"/>
        </w:rPr>
        <w:t>（十）</w:t>
      </w:r>
      <w:r>
        <w:t>开标一览表</w:t>
      </w:r>
      <w:bookmarkEnd w:id="274"/>
      <w:bookmarkEnd w:id="275"/>
      <w:bookmarkEnd w:id="276"/>
    </w:p>
    <w:p>
      <w:pPr>
        <w:autoSpaceDE w:val="0"/>
        <w:autoSpaceDN w:val="0"/>
        <w:adjustRightInd w:val="0"/>
        <w:spacing w:line="560" w:lineRule="exact"/>
        <w:rPr>
          <w:rFonts w:ascii="Times New Roman" w:hAnsi="Times New Roman" w:eastAsia="方正仿宋_GB2312" w:cs="Times New Roman"/>
          <w:kern w:val="0"/>
          <w:sz w:val="32"/>
          <w:szCs w:val="32"/>
        </w:rPr>
      </w:pPr>
    </w:p>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项目名称：</w:t>
      </w:r>
    </w:p>
    <w:tbl>
      <w:tblPr>
        <w:tblStyle w:val="4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05"/>
        <w:gridCol w:w="5880"/>
      </w:tblGrid>
      <w:tr>
        <w:tblPrEx>
          <w:tblCellMar>
            <w:top w:w="0" w:type="dxa"/>
            <w:left w:w="108" w:type="dxa"/>
            <w:bottom w:w="0" w:type="dxa"/>
            <w:right w:w="108" w:type="dxa"/>
          </w:tblCellMar>
        </w:tblPrEx>
        <w:trPr>
          <w:jc w:val="center"/>
        </w:trPr>
        <w:tc>
          <w:tcPr>
            <w:tcW w:w="1053"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序号</w:t>
            </w:r>
          </w:p>
        </w:tc>
        <w:tc>
          <w:tcPr>
            <w:tcW w:w="2205"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项目</w:t>
            </w:r>
          </w:p>
        </w:tc>
        <w:tc>
          <w:tcPr>
            <w:tcW w:w="5880"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p>
        </w:tc>
        <w:tc>
          <w:tcPr>
            <w:tcW w:w="2205"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投标总报价（元）</w:t>
            </w:r>
          </w:p>
        </w:tc>
        <w:tc>
          <w:tcPr>
            <w:tcW w:w="5880"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小写：</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kern w:val="0"/>
                <w:sz w:val="32"/>
                <w:szCs w:val="32"/>
              </w:rPr>
              <w:t>；</w:t>
            </w:r>
          </w:p>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大写：</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p>
        </w:tc>
        <w:tc>
          <w:tcPr>
            <w:tcW w:w="2205"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项目负责人</w:t>
            </w:r>
          </w:p>
        </w:tc>
        <w:tc>
          <w:tcPr>
            <w:tcW w:w="5880" w:type="dxa"/>
            <w:vAlign w:val="center"/>
          </w:tcPr>
          <w:p>
            <w:pPr>
              <w:autoSpaceDE w:val="0"/>
              <w:autoSpaceDN w:val="0"/>
              <w:adjustRightInd w:val="0"/>
              <w:spacing w:line="560" w:lineRule="exact"/>
              <w:jc w:val="center"/>
              <w:rPr>
                <w:rFonts w:ascii="Times New Roman" w:hAnsi="Times New Roman" w:eastAsia="方正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38" w:type="dxa"/>
            <w:gridSpan w:val="3"/>
            <w:vAlign w:val="center"/>
          </w:tcPr>
          <w:p>
            <w:pPr>
              <w:autoSpaceDE w:val="0"/>
              <w:autoSpaceDN w:val="0"/>
              <w:adjustRightInd w:val="0"/>
              <w:spacing w:line="560" w:lineRule="exac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合同履约期限</w:t>
            </w:r>
            <w:r>
              <w:rPr>
                <w:rFonts w:ascii="Times New Roman" w:hAnsi="Times New Roman" w:eastAsia="方正仿宋_GB2312" w:cs="Times New Roman"/>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38" w:type="dxa"/>
            <w:gridSpan w:val="3"/>
            <w:vAlign w:val="center"/>
          </w:tcPr>
          <w:p>
            <w:pPr>
              <w:autoSpaceDE w:val="0"/>
              <w:autoSpaceDN w:val="0"/>
              <w:adjustRightInd w:val="0"/>
              <w:spacing w:line="560" w:lineRule="exact"/>
              <w:rPr>
                <w:rFonts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rPr>
              <w:t>平台运行维护期：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38" w:type="dxa"/>
            <w:gridSpan w:val="3"/>
            <w:vAlign w:val="center"/>
          </w:tcPr>
          <w:p>
            <w:pPr>
              <w:autoSpaceDE w:val="0"/>
              <w:autoSpaceDN w:val="0"/>
              <w:adjustRightInd w:val="0"/>
              <w:spacing w:line="560" w:lineRule="exac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 xml:space="preserve">备注： </w:t>
            </w:r>
          </w:p>
        </w:tc>
      </w:tr>
    </w:tbl>
    <w:p>
      <w:pPr>
        <w:autoSpaceDE w:val="0"/>
        <w:autoSpaceDN w:val="0"/>
        <w:adjustRightInd w:val="0"/>
        <w:spacing w:line="560" w:lineRule="exact"/>
        <w:jc w:val="left"/>
        <w:rPr>
          <w:rFonts w:ascii="Times New Roman" w:hAnsi="Times New Roman" w:eastAsia="方正仿宋_GB2312" w:cs="Times New Roman"/>
          <w:kern w:val="0"/>
          <w:sz w:val="32"/>
          <w:szCs w:val="32"/>
        </w:rPr>
      </w:pPr>
    </w:p>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注：1.表中大小写不一致时，以大写为准。</w:t>
      </w:r>
    </w:p>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2.投标报价为完成本次采购项目内的所有内容的一切相关费用。可根据需要附报价明细。</w:t>
      </w:r>
    </w:p>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3.本表中“投标总报价”必须与《投标函》中的“投标总报价”均保持一致，如不一致，以《开标一览表》为准。</w:t>
      </w:r>
    </w:p>
    <w:p>
      <w:pPr>
        <w:autoSpaceDE w:val="0"/>
        <w:autoSpaceDN w:val="0"/>
        <w:adjustRightInd w:val="0"/>
        <w:spacing w:line="560" w:lineRule="exact"/>
        <w:jc w:val="left"/>
        <w:rPr>
          <w:rFonts w:ascii="Times New Roman" w:hAnsi="Times New Roman" w:eastAsia="方正仿宋_GB2312" w:cs="Times New Roman"/>
          <w:kern w:val="0"/>
          <w:sz w:val="32"/>
          <w:szCs w:val="32"/>
        </w:rPr>
      </w:pPr>
    </w:p>
    <w:p>
      <w:pPr>
        <w:autoSpaceDE w:val="0"/>
        <w:autoSpaceDN w:val="0"/>
        <w:adjustRightInd w:val="0"/>
        <w:spacing w:line="560" w:lineRule="exact"/>
        <w:jc w:val="left"/>
        <w:rPr>
          <w:rFonts w:ascii="Times New Roman" w:hAnsi="Times New Roman" w:eastAsia="方正仿宋_GB2312" w:cs="Times New Roman"/>
          <w:kern w:val="0"/>
          <w:sz w:val="32"/>
          <w:szCs w:val="32"/>
        </w:rPr>
      </w:pPr>
    </w:p>
    <w:p>
      <w:pPr>
        <w:autoSpaceDE w:val="0"/>
        <w:autoSpaceDN w:val="0"/>
        <w:adjustRightInd w:val="0"/>
        <w:spacing w:line="560" w:lineRule="exact"/>
        <w:jc w:val="left"/>
        <w:rPr>
          <w:rFonts w:ascii="Times New Roman" w:hAnsi="Times New Roman" w:eastAsia="方正仿宋_GB2312" w:cs="Times New Roman"/>
          <w:kern w:val="0"/>
          <w:sz w:val="32"/>
          <w:szCs w:val="32"/>
        </w:rPr>
      </w:pPr>
    </w:p>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w:t>
      </w:r>
      <w:r>
        <w:rPr>
          <w:rFonts w:ascii="Times New Roman" w:hAnsi="Times New Roman" w:eastAsia="方正仿宋_GB2312" w:cs="Times New Roman"/>
          <w:kern w:val="0"/>
          <w:sz w:val="32"/>
          <w:szCs w:val="32"/>
          <w:u w:val="single"/>
        </w:rPr>
        <w:t>（全称）（盖章）</w:t>
      </w:r>
    </w:p>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法定代表人或被授权委托人：（签字或盖章）</w:t>
      </w:r>
    </w:p>
    <w:p>
      <w:pPr>
        <w:autoSpaceDE w:val="0"/>
        <w:autoSpaceDN w:val="0"/>
        <w:adjustRightIn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日期：  年  月  日</w:t>
      </w:r>
    </w:p>
    <w:p>
      <w:pPr>
        <w:spacing w:line="560" w:lineRule="exact"/>
        <w:jc w:val="center"/>
        <w:rPr>
          <w:rFonts w:ascii="Times New Roman" w:hAnsi="Times New Roman" w:eastAsia="方正仿宋_GB2312" w:cs="Times New Roman"/>
          <w:b/>
          <w:sz w:val="32"/>
          <w:szCs w:val="32"/>
        </w:rPr>
      </w:pPr>
      <w:r>
        <w:rPr>
          <w:rFonts w:ascii="Times New Roman" w:hAnsi="Times New Roman" w:eastAsia="方正仿宋_GB2312" w:cs="Times New Roman"/>
          <w:sz w:val="32"/>
          <w:szCs w:val="32"/>
        </w:rPr>
        <w:br w:type="page"/>
      </w:r>
      <w:r>
        <w:rPr>
          <w:rFonts w:ascii="Times New Roman" w:hAnsi="Times New Roman" w:eastAsia="方正仿宋_GB2312" w:cs="Times New Roman"/>
          <w:b/>
          <w:sz w:val="32"/>
          <w:szCs w:val="32"/>
        </w:rPr>
        <w:t>10.1、投标报价明细表</w:t>
      </w:r>
    </w:p>
    <w:p>
      <w:pPr>
        <w:pStyle w:val="39"/>
        <w:spacing w:line="560" w:lineRule="exact"/>
        <w:ind w:firstLine="320"/>
        <w:rPr>
          <w:rFonts w:hint="default" w:ascii="Times New Roman" w:hAnsi="Times New Roman" w:eastAsia="方正仿宋_GB2312" w:cs="Times New Roman"/>
          <w:sz w:val="32"/>
          <w:szCs w:val="32"/>
        </w:rPr>
      </w:pP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项目名称：                     项目编号/包号：</w:t>
      </w:r>
    </w:p>
    <w:tbl>
      <w:tblPr>
        <w:tblStyle w:val="41"/>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26"/>
        <w:gridCol w:w="2415"/>
        <w:gridCol w:w="1237"/>
        <w:gridCol w:w="156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序号</w:t>
            </w:r>
          </w:p>
        </w:tc>
        <w:tc>
          <w:tcPr>
            <w:tcW w:w="192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标的名称</w:t>
            </w:r>
          </w:p>
        </w:tc>
        <w:tc>
          <w:tcPr>
            <w:tcW w:w="24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服务期</w:t>
            </w:r>
          </w:p>
        </w:tc>
        <w:tc>
          <w:tcPr>
            <w:tcW w:w="12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单价</w:t>
            </w: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数量</w:t>
            </w: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w:t>
            </w:r>
          </w:p>
        </w:tc>
        <w:tc>
          <w:tcPr>
            <w:tcW w:w="192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w:t>
            </w:r>
          </w:p>
        </w:tc>
        <w:tc>
          <w:tcPr>
            <w:tcW w:w="192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3</w:t>
            </w:r>
          </w:p>
        </w:tc>
        <w:tc>
          <w:tcPr>
            <w:tcW w:w="192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4</w:t>
            </w:r>
          </w:p>
        </w:tc>
        <w:tc>
          <w:tcPr>
            <w:tcW w:w="192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w:t>
            </w:r>
          </w:p>
        </w:tc>
        <w:tc>
          <w:tcPr>
            <w:tcW w:w="521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总计</w:t>
            </w:r>
          </w:p>
        </w:tc>
        <w:tc>
          <w:tcPr>
            <w:tcW w:w="8706"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小写:</w:t>
            </w: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大写：</w:t>
            </w:r>
          </w:p>
        </w:tc>
      </w:tr>
    </w:tbl>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法定代表人或授权委托人（签字或盖章）：</w:t>
      </w:r>
    </w:p>
    <w:p>
      <w:pPr>
        <w:spacing w:line="560" w:lineRule="exact"/>
        <w:ind w:firstLine="57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投标人盖章：                                     </w:t>
      </w:r>
    </w:p>
    <w:p>
      <w:pPr>
        <w:spacing w:line="560" w:lineRule="exact"/>
        <w:ind w:firstLine="570"/>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20</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年</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月</w:t>
      </w:r>
      <w:r>
        <w:rPr>
          <w:rFonts w:ascii="Times New Roman" w:hAnsi="Times New Roman" w:eastAsia="方正仿宋_GB2312" w:cs="Times New Roman"/>
          <w:sz w:val="32"/>
          <w:szCs w:val="32"/>
          <w:u w:val="single"/>
        </w:rPr>
        <w:t xml:space="preserve">    </w:t>
      </w:r>
      <w:r>
        <w:rPr>
          <w:rFonts w:ascii="Times New Roman" w:hAnsi="Times New Roman" w:eastAsia="方正仿宋_GB2312" w:cs="Times New Roman"/>
          <w:sz w:val="32"/>
          <w:szCs w:val="32"/>
        </w:rPr>
        <w:t>日</w:t>
      </w:r>
    </w:p>
    <w:p>
      <w:pPr>
        <w:spacing w:line="560" w:lineRule="exact"/>
        <w:ind w:firstLine="570"/>
        <w:jc w:val="center"/>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注：1.上述报价包含一切由供应商承担的费用；</w:t>
      </w:r>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b/>
          <w:sz w:val="32"/>
          <w:szCs w:val="32"/>
        </w:rPr>
      </w:pPr>
      <w:r>
        <w:rPr>
          <w:rFonts w:ascii="Times New Roman" w:hAnsi="Times New Roman" w:eastAsia="方正仿宋_GB2312" w:cs="Times New Roman"/>
          <w:b/>
          <w:sz w:val="32"/>
          <w:szCs w:val="32"/>
        </w:rPr>
        <w:br w:type="page"/>
      </w:r>
    </w:p>
    <w:p>
      <w:pPr>
        <w:pStyle w:val="3"/>
        <w:jc w:val="center"/>
      </w:pPr>
      <w:bookmarkStart w:id="277" w:name="_Toc32426"/>
      <w:bookmarkStart w:id="278" w:name="_Toc26231"/>
      <w:bookmarkStart w:id="279" w:name="_Toc7754"/>
      <w:r>
        <w:rPr>
          <w:rFonts w:hint="eastAsia"/>
        </w:rPr>
        <w:t>（十一）</w:t>
      </w:r>
      <w:r>
        <w:t>技术条款偏离表</w:t>
      </w:r>
      <w:bookmarkEnd w:id="277"/>
      <w:bookmarkEnd w:id="278"/>
      <w:bookmarkEnd w:id="279"/>
    </w:p>
    <w:tbl>
      <w:tblPr>
        <w:tblStyle w:val="41"/>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序号</w:t>
            </w:r>
          </w:p>
        </w:tc>
        <w:tc>
          <w:tcPr>
            <w:tcW w:w="1357"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服务内容</w:t>
            </w:r>
          </w:p>
        </w:tc>
        <w:tc>
          <w:tcPr>
            <w:tcW w:w="1326"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招标文件条目号</w:t>
            </w:r>
          </w:p>
        </w:tc>
        <w:tc>
          <w:tcPr>
            <w:tcW w:w="1326"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招标文件要求规格</w:t>
            </w:r>
          </w:p>
        </w:tc>
        <w:tc>
          <w:tcPr>
            <w:tcW w:w="1326"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投标规格</w:t>
            </w:r>
          </w:p>
        </w:tc>
        <w:tc>
          <w:tcPr>
            <w:tcW w:w="1327"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偏离</w:t>
            </w:r>
          </w:p>
        </w:tc>
        <w:tc>
          <w:tcPr>
            <w:tcW w:w="1327"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560" w:lineRule="exact"/>
              <w:jc w:val="center"/>
              <w:rPr>
                <w:rFonts w:ascii="Times New Roman" w:hAnsi="Times New Roman" w:eastAsia="方正仿宋_GB2312" w:cs="Times New Roman"/>
                <w:b/>
                <w:bCs/>
                <w:sz w:val="32"/>
                <w:szCs w:val="32"/>
              </w:rPr>
            </w:pPr>
          </w:p>
        </w:tc>
        <w:tc>
          <w:tcPr>
            <w:tcW w:w="1357"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560" w:lineRule="exact"/>
              <w:jc w:val="center"/>
              <w:rPr>
                <w:rFonts w:ascii="Times New Roman" w:hAnsi="Times New Roman" w:eastAsia="方正仿宋_GB2312" w:cs="Times New Roman"/>
                <w:b/>
                <w:bCs/>
                <w:sz w:val="32"/>
                <w:szCs w:val="32"/>
              </w:rPr>
            </w:pPr>
          </w:p>
        </w:tc>
        <w:tc>
          <w:tcPr>
            <w:tcW w:w="1357"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560" w:lineRule="exact"/>
              <w:jc w:val="center"/>
              <w:rPr>
                <w:rFonts w:ascii="Times New Roman" w:hAnsi="Times New Roman" w:eastAsia="方正仿宋_GB2312" w:cs="Times New Roman"/>
                <w:b/>
                <w:bCs/>
                <w:sz w:val="32"/>
                <w:szCs w:val="32"/>
              </w:rPr>
            </w:pPr>
          </w:p>
        </w:tc>
        <w:tc>
          <w:tcPr>
            <w:tcW w:w="1357"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560" w:lineRule="exact"/>
              <w:jc w:val="center"/>
              <w:rPr>
                <w:rFonts w:ascii="Times New Roman" w:hAnsi="Times New Roman" w:eastAsia="方正仿宋_GB2312" w:cs="Times New Roman"/>
                <w:b/>
                <w:bCs/>
                <w:sz w:val="32"/>
                <w:szCs w:val="32"/>
              </w:rPr>
            </w:pPr>
          </w:p>
        </w:tc>
        <w:tc>
          <w:tcPr>
            <w:tcW w:w="1357"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560" w:lineRule="exact"/>
              <w:jc w:val="center"/>
              <w:rPr>
                <w:rFonts w:ascii="Times New Roman" w:hAnsi="Times New Roman" w:eastAsia="方正仿宋_GB2312" w:cs="Times New Roman"/>
                <w:b/>
                <w:bCs/>
                <w:sz w:val="32"/>
                <w:szCs w:val="32"/>
              </w:rPr>
            </w:pPr>
          </w:p>
        </w:tc>
        <w:tc>
          <w:tcPr>
            <w:tcW w:w="1357"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6"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c>
          <w:tcPr>
            <w:tcW w:w="1327" w:type="dxa"/>
          </w:tcPr>
          <w:p>
            <w:pPr>
              <w:spacing w:line="560" w:lineRule="exact"/>
              <w:jc w:val="center"/>
              <w:rPr>
                <w:rFonts w:ascii="Times New Roman" w:hAnsi="Times New Roman" w:eastAsia="方正仿宋_GB2312" w:cs="Times New Roman"/>
                <w:b/>
                <w:bCs/>
                <w:sz w:val="32"/>
                <w:szCs w:val="32"/>
              </w:rPr>
            </w:pPr>
          </w:p>
        </w:tc>
      </w:tr>
    </w:tbl>
    <w:p>
      <w:pPr>
        <w:spacing w:line="560" w:lineRule="exact"/>
        <w:ind w:firstLine="633" w:firstLineChars="198"/>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备注：投标人应根据其提供的服务，对照招标文件第</w:t>
      </w:r>
      <w:r>
        <w:rPr>
          <w:rFonts w:hint="eastAsia" w:ascii="Times New Roman" w:hAnsi="Times New Roman" w:eastAsia="方正仿宋_GB2312" w:cs="Times New Roman"/>
          <w:sz w:val="32"/>
          <w:szCs w:val="32"/>
        </w:rPr>
        <w:t>五</w:t>
      </w:r>
      <w:r>
        <w:rPr>
          <w:rFonts w:ascii="Times New Roman" w:hAnsi="Times New Roman" w:eastAsia="方正仿宋_GB2312" w:cs="Times New Roman"/>
          <w:sz w:val="32"/>
          <w:szCs w:val="32"/>
        </w:rPr>
        <w:t>章“采购需求”中的要求，有差异的，则在此表中列明实际响应的内容提要并加以说明，以便查对。本表包括所有的技术响应及差异。无差异说明表示完全响应。</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投标人：（盖章）</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法定代表人或被授权委托人：（签字或盖章）</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日期：年月日</w:t>
      </w:r>
    </w:p>
    <w:p>
      <w:pPr>
        <w:tabs>
          <w:tab w:val="center" w:pos="4832"/>
          <w:tab w:val="left" w:pos="7140"/>
        </w:tabs>
        <w:spacing w:line="560" w:lineRule="exact"/>
        <w:jc w:val="center"/>
        <w:outlineLvl w:val="0"/>
        <w:rPr>
          <w:rFonts w:ascii="Times New Roman" w:hAnsi="Times New Roman" w:eastAsia="方正仿宋_GB2312" w:cs="Times New Roman"/>
          <w:b/>
          <w:sz w:val="32"/>
          <w:szCs w:val="32"/>
        </w:rPr>
      </w:pPr>
      <w:r>
        <w:rPr>
          <w:rFonts w:ascii="Times New Roman" w:hAnsi="Times New Roman" w:eastAsia="方正仿宋_GB2312" w:cs="Times New Roman"/>
          <w:b/>
          <w:bCs/>
          <w:kern w:val="36"/>
          <w:sz w:val="32"/>
          <w:szCs w:val="32"/>
        </w:rPr>
        <w:br w:type="page"/>
      </w:r>
      <w:bookmarkStart w:id="280" w:name="_Toc28935"/>
      <w:bookmarkStart w:id="281" w:name="_Toc31626"/>
      <w:bookmarkStart w:id="282" w:name="_Toc20427"/>
      <w:r>
        <w:rPr>
          <w:rStyle w:val="63"/>
          <w:rFonts w:hint="eastAsia"/>
        </w:rPr>
        <w:t>（十二）</w:t>
      </w:r>
      <w:r>
        <w:rPr>
          <w:rStyle w:val="63"/>
        </w:rPr>
        <w:t>商务条款偏离表</w:t>
      </w:r>
      <w:bookmarkEnd w:id="280"/>
      <w:bookmarkEnd w:id="281"/>
      <w:bookmarkEnd w:id="282"/>
    </w:p>
    <w:tbl>
      <w:tblPr>
        <w:tblStyle w:val="41"/>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序号</w:t>
            </w:r>
          </w:p>
        </w:tc>
        <w:tc>
          <w:tcPr>
            <w:tcW w:w="2070"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招标文件条目号</w:t>
            </w:r>
          </w:p>
        </w:tc>
        <w:tc>
          <w:tcPr>
            <w:tcW w:w="2052"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招标文件的商务条款</w:t>
            </w:r>
          </w:p>
        </w:tc>
        <w:tc>
          <w:tcPr>
            <w:tcW w:w="2126"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投标文件的商务条款</w:t>
            </w:r>
          </w:p>
        </w:tc>
        <w:tc>
          <w:tcPr>
            <w:tcW w:w="1985" w:type="dxa"/>
            <w:vAlign w:val="center"/>
          </w:tcPr>
          <w:p>
            <w:pPr>
              <w:spacing w:line="560" w:lineRule="exact"/>
              <w:jc w:val="center"/>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560" w:lineRule="exact"/>
              <w:jc w:val="center"/>
              <w:rPr>
                <w:rFonts w:ascii="Times New Roman" w:hAnsi="Times New Roman" w:eastAsia="方正仿宋_GB2312" w:cs="Times New Roman"/>
                <w:b/>
                <w:bCs/>
                <w:sz w:val="32"/>
                <w:szCs w:val="32"/>
              </w:rPr>
            </w:pPr>
          </w:p>
        </w:tc>
        <w:tc>
          <w:tcPr>
            <w:tcW w:w="2070" w:type="dxa"/>
          </w:tcPr>
          <w:p>
            <w:pPr>
              <w:spacing w:line="560" w:lineRule="exact"/>
              <w:jc w:val="center"/>
              <w:rPr>
                <w:rFonts w:ascii="Times New Roman" w:hAnsi="Times New Roman" w:eastAsia="方正仿宋_GB2312" w:cs="Times New Roman"/>
                <w:b/>
                <w:bCs/>
                <w:sz w:val="32"/>
                <w:szCs w:val="32"/>
              </w:rPr>
            </w:pPr>
          </w:p>
        </w:tc>
        <w:tc>
          <w:tcPr>
            <w:tcW w:w="2052" w:type="dxa"/>
          </w:tcPr>
          <w:p>
            <w:pPr>
              <w:spacing w:line="560" w:lineRule="exact"/>
              <w:jc w:val="center"/>
              <w:rPr>
                <w:rFonts w:ascii="Times New Roman" w:hAnsi="Times New Roman" w:eastAsia="方正仿宋_GB2312" w:cs="Times New Roman"/>
                <w:b/>
                <w:bCs/>
                <w:sz w:val="32"/>
                <w:szCs w:val="32"/>
              </w:rPr>
            </w:pPr>
          </w:p>
        </w:tc>
        <w:tc>
          <w:tcPr>
            <w:tcW w:w="2126" w:type="dxa"/>
          </w:tcPr>
          <w:p>
            <w:pPr>
              <w:spacing w:line="560" w:lineRule="exact"/>
              <w:jc w:val="center"/>
              <w:rPr>
                <w:rFonts w:ascii="Times New Roman" w:hAnsi="Times New Roman" w:eastAsia="方正仿宋_GB2312" w:cs="Times New Roman"/>
                <w:b/>
                <w:bCs/>
                <w:sz w:val="32"/>
                <w:szCs w:val="32"/>
              </w:rPr>
            </w:pPr>
          </w:p>
        </w:tc>
        <w:tc>
          <w:tcPr>
            <w:tcW w:w="1985"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560" w:lineRule="exact"/>
              <w:jc w:val="center"/>
              <w:rPr>
                <w:rFonts w:ascii="Times New Roman" w:hAnsi="Times New Roman" w:eastAsia="方正仿宋_GB2312" w:cs="Times New Roman"/>
                <w:b/>
                <w:bCs/>
                <w:sz w:val="32"/>
                <w:szCs w:val="32"/>
              </w:rPr>
            </w:pPr>
          </w:p>
        </w:tc>
        <w:tc>
          <w:tcPr>
            <w:tcW w:w="2070" w:type="dxa"/>
          </w:tcPr>
          <w:p>
            <w:pPr>
              <w:spacing w:line="560" w:lineRule="exact"/>
              <w:jc w:val="center"/>
              <w:rPr>
                <w:rFonts w:ascii="Times New Roman" w:hAnsi="Times New Roman" w:eastAsia="方正仿宋_GB2312" w:cs="Times New Roman"/>
                <w:b/>
                <w:bCs/>
                <w:sz w:val="32"/>
                <w:szCs w:val="32"/>
              </w:rPr>
            </w:pPr>
          </w:p>
        </w:tc>
        <w:tc>
          <w:tcPr>
            <w:tcW w:w="2052" w:type="dxa"/>
          </w:tcPr>
          <w:p>
            <w:pPr>
              <w:spacing w:line="560" w:lineRule="exact"/>
              <w:jc w:val="center"/>
              <w:rPr>
                <w:rFonts w:ascii="Times New Roman" w:hAnsi="Times New Roman" w:eastAsia="方正仿宋_GB2312" w:cs="Times New Roman"/>
                <w:b/>
                <w:bCs/>
                <w:sz w:val="32"/>
                <w:szCs w:val="32"/>
              </w:rPr>
            </w:pPr>
          </w:p>
        </w:tc>
        <w:tc>
          <w:tcPr>
            <w:tcW w:w="2126" w:type="dxa"/>
          </w:tcPr>
          <w:p>
            <w:pPr>
              <w:spacing w:line="560" w:lineRule="exact"/>
              <w:jc w:val="center"/>
              <w:rPr>
                <w:rFonts w:ascii="Times New Roman" w:hAnsi="Times New Roman" w:eastAsia="方正仿宋_GB2312" w:cs="Times New Roman"/>
                <w:b/>
                <w:bCs/>
                <w:sz w:val="32"/>
                <w:szCs w:val="32"/>
              </w:rPr>
            </w:pPr>
          </w:p>
        </w:tc>
        <w:tc>
          <w:tcPr>
            <w:tcW w:w="1985"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560" w:lineRule="exact"/>
              <w:jc w:val="center"/>
              <w:rPr>
                <w:rFonts w:ascii="Times New Roman" w:hAnsi="Times New Roman" w:eastAsia="方正仿宋_GB2312" w:cs="Times New Roman"/>
                <w:b/>
                <w:bCs/>
                <w:sz w:val="32"/>
                <w:szCs w:val="32"/>
              </w:rPr>
            </w:pPr>
          </w:p>
        </w:tc>
        <w:tc>
          <w:tcPr>
            <w:tcW w:w="2070" w:type="dxa"/>
          </w:tcPr>
          <w:p>
            <w:pPr>
              <w:spacing w:line="560" w:lineRule="exact"/>
              <w:jc w:val="center"/>
              <w:rPr>
                <w:rFonts w:ascii="Times New Roman" w:hAnsi="Times New Roman" w:eastAsia="方正仿宋_GB2312" w:cs="Times New Roman"/>
                <w:b/>
                <w:bCs/>
                <w:sz w:val="32"/>
                <w:szCs w:val="32"/>
              </w:rPr>
            </w:pPr>
          </w:p>
        </w:tc>
        <w:tc>
          <w:tcPr>
            <w:tcW w:w="2052" w:type="dxa"/>
          </w:tcPr>
          <w:p>
            <w:pPr>
              <w:spacing w:line="560" w:lineRule="exact"/>
              <w:jc w:val="center"/>
              <w:rPr>
                <w:rFonts w:ascii="Times New Roman" w:hAnsi="Times New Roman" w:eastAsia="方正仿宋_GB2312" w:cs="Times New Roman"/>
                <w:b/>
                <w:bCs/>
                <w:sz w:val="32"/>
                <w:szCs w:val="32"/>
              </w:rPr>
            </w:pPr>
          </w:p>
        </w:tc>
        <w:tc>
          <w:tcPr>
            <w:tcW w:w="2126" w:type="dxa"/>
          </w:tcPr>
          <w:p>
            <w:pPr>
              <w:spacing w:line="560" w:lineRule="exact"/>
              <w:jc w:val="center"/>
              <w:rPr>
                <w:rFonts w:ascii="Times New Roman" w:hAnsi="Times New Roman" w:eastAsia="方正仿宋_GB2312" w:cs="Times New Roman"/>
                <w:b/>
                <w:bCs/>
                <w:sz w:val="32"/>
                <w:szCs w:val="32"/>
              </w:rPr>
            </w:pPr>
          </w:p>
        </w:tc>
        <w:tc>
          <w:tcPr>
            <w:tcW w:w="1985"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560" w:lineRule="exact"/>
              <w:jc w:val="center"/>
              <w:rPr>
                <w:rFonts w:ascii="Times New Roman" w:hAnsi="Times New Roman" w:eastAsia="方正仿宋_GB2312" w:cs="Times New Roman"/>
                <w:b/>
                <w:bCs/>
                <w:sz w:val="32"/>
                <w:szCs w:val="32"/>
              </w:rPr>
            </w:pPr>
          </w:p>
        </w:tc>
        <w:tc>
          <w:tcPr>
            <w:tcW w:w="2070" w:type="dxa"/>
          </w:tcPr>
          <w:p>
            <w:pPr>
              <w:spacing w:line="560" w:lineRule="exact"/>
              <w:jc w:val="center"/>
              <w:rPr>
                <w:rFonts w:ascii="Times New Roman" w:hAnsi="Times New Roman" w:eastAsia="方正仿宋_GB2312" w:cs="Times New Roman"/>
                <w:b/>
                <w:bCs/>
                <w:sz w:val="32"/>
                <w:szCs w:val="32"/>
              </w:rPr>
            </w:pPr>
          </w:p>
        </w:tc>
        <w:tc>
          <w:tcPr>
            <w:tcW w:w="2052" w:type="dxa"/>
          </w:tcPr>
          <w:p>
            <w:pPr>
              <w:spacing w:line="560" w:lineRule="exact"/>
              <w:jc w:val="center"/>
              <w:rPr>
                <w:rFonts w:ascii="Times New Roman" w:hAnsi="Times New Roman" w:eastAsia="方正仿宋_GB2312" w:cs="Times New Roman"/>
                <w:b/>
                <w:bCs/>
                <w:sz w:val="32"/>
                <w:szCs w:val="32"/>
              </w:rPr>
            </w:pPr>
          </w:p>
        </w:tc>
        <w:tc>
          <w:tcPr>
            <w:tcW w:w="2126" w:type="dxa"/>
          </w:tcPr>
          <w:p>
            <w:pPr>
              <w:spacing w:line="560" w:lineRule="exact"/>
              <w:jc w:val="center"/>
              <w:rPr>
                <w:rFonts w:ascii="Times New Roman" w:hAnsi="Times New Roman" w:eastAsia="方正仿宋_GB2312" w:cs="Times New Roman"/>
                <w:b/>
                <w:bCs/>
                <w:sz w:val="32"/>
                <w:szCs w:val="32"/>
              </w:rPr>
            </w:pPr>
          </w:p>
        </w:tc>
        <w:tc>
          <w:tcPr>
            <w:tcW w:w="1985" w:type="dxa"/>
          </w:tcPr>
          <w:p>
            <w:pPr>
              <w:spacing w:line="560" w:lineRule="exact"/>
              <w:jc w:val="center"/>
              <w:rPr>
                <w:rFonts w:ascii="Times New Roman" w:hAnsi="Times New Roman" w:eastAsia="方正仿宋_GB2312"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560" w:lineRule="exact"/>
              <w:jc w:val="center"/>
              <w:rPr>
                <w:rFonts w:ascii="Times New Roman" w:hAnsi="Times New Roman" w:eastAsia="方正仿宋_GB2312" w:cs="Times New Roman"/>
                <w:b/>
                <w:bCs/>
                <w:sz w:val="32"/>
                <w:szCs w:val="32"/>
              </w:rPr>
            </w:pPr>
          </w:p>
        </w:tc>
        <w:tc>
          <w:tcPr>
            <w:tcW w:w="2070" w:type="dxa"/>
          </w:tcPr>
          <w:p>
            <w:pPr>
              <w:spacing w:line="560" w:lineRule="exact"/>
              <w:jc w:val="center"/>
              <w:rPr>
                <w:rFonts w:ascii="Times New Roman" w:hAnsi="Times New Roman" w:eastAsia="方正仿宋_GB2312" w:cs="Times New Roman"/>
                <w:b/>
                <w:bCs/>
                <w:sz w:val="32"/>
                <w:szCs w:val="32"/>
              </w:rPr>
            </w:pPr>
          </w:p>
        </w:tc>
        <w:tc>
          <w:tcPr>
            <w:tcW w:w="2052" w:type="dxa"/>
          </w:tcPr>
          <w:p>
            <w:pPr>
              <w:spacing w:line="560" w:lineRule="exact"/>
              <w:jc w:val="center"/>
              <w:rPr>
                <w:rFonts w:ascii="Times New Roman" w:hAnsi="Times New Roman" w:eastAsia="方正仿宋_GB2312" w:cs="Times New Roman"/>
                <w:b/>
                <w:bCs/>
                <w:sz w:val="32"/>
                <w:szCs w:val="32"/>
              </w:rPr>
            </w:pPr>
          </w:p>
        </w:tc>
        <w:tc>
          <w:tcPr>
            <w:tcW w:w="2126" w:type="dxa"/>
          </w:tcPr>
          <w:p>
            <w:pPr>
              <w:spacing w:line="560" w:lineRule="exact"/>
              <w:jc w:val="center"/>
              <w:rPr>
                <w:rFonts w:ascii="Times New Roman" w:hAnsi="Times New Roman" w:eastAsia="方正仿宋_GB2312" w:cs="Times New Roman"/>
                <w:b/>
                <w:bCs/>
                <w:sz w:val="32"/>
                <w:szCs w:val="32"/>
              </w:rPr>
            </w:pPr>
          </w:p>
        </w:tc>
        <w:tc>
          <w:tcPr>
            <w:tcW w:w="1985" w:type="dxa"/>
          </w:tcPr>
          <w:p>
            <w:pPr>
              <w:spacing w:line="560" w:lineRule="exact"/>
              <w:jc w:val="center"/>
              <w:rPr>
                <w:rFonts w:ascii="Times New Roman" w:hAnsi="Times New Roman" w:eastAsia="方正仿宋_GB2312" w:cs="Times New Roman"/>
                <w:b/>
                <w:bCs/>
                <w:sz w:val="32"/>
                <w:szCs w:val="32"/>
              </w:rPr>
            </w:pPr>
          </w:p>
        </w:tc>
      </w:tr>
    </w:tbl>
    <w:p>
      <w:pPr>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备注：投标人商务条款有差异的，则在此表中列明实际响应的内容提要并加以说明，以便查对。无差异说明表示完全响应。</w:t>
      </w:r>
    </w:p>
    <w:p>
      <w:pPr>
        <w:spacing w:line="560" w:lineRule="exact"/>
        <w:jc w:val="left"/>
        <w:rPr>
          <w:rFonts w:ascii="Times New Roman" w:hAnsi="Times New Roman" w:eastAsia="方正仿宋_GB2312" w:cs="Times New Roman"/>
          <w:sz w:val="32"/>
          <w:szCs w:val="32"/>
        </w:rPr>
      </w:pPr>
    </w:p>
    <w:p>
      <w:pPr>
        <w:spacing w:line="560" w:lineRule="exact"/>
        <w:jc w:val="left"/>
        <w:rPr>
          <w:rFonts w:ascii="Times New Roman" w:hAnsi="Times New Roman" w:eastAsia="方正仿宋_GB2312" w:cs="Times New Roman"/>
          <w:sz w:val="32"/>
          <w:szCs w:val="32"/>
        </w:rPr>
      </w:pP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投标人：（盖章）</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法定代表人或被授权委托人：（签字或盖章）</w:t>
      </w:r>
    </w:p>
    <w:p>
      <w:pPr>
        <w:widowControl/>
        <w:shd w:val="clear" w:color="auto" w:fill="FFFFFF"/>
        <w:snapToGrid w:val="0"/>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日期：年月日</w:t>
      </w:r>
    </w:p>
    <w:p>
      <w:pPr>
        <w:tabs>
          <w:tab w:val="center" w:pos="4832"/>
          <w:tab w:val="left" w:pos="7140"/>
        </w:tabs>
        <w:spacing w:line="560" w:lineRule="exact"/>
        <w:jc w:val="center"/>
        <w:outlineLvl w:val="0"/>
        <w:rPr>
          <w:rFonts w:ascii="Times New Roman" w:hAnsi="Times New Roman" w:eastAsia="方正仿宋_GB2312" w:cs="Times New Roman"/>
          <w:b/>
          <w:bCs/>
          <w:sz w:val="32"/>
          <w:szCs w:val="32"/>
        </w:rPr>
      </w:pPr>
      <w:r>
        <w:rPr>
          <w:rFonts w:ascii="Times New Roman" w:hAnsi="Times New Roman" w:eastAsia="方正仿宋_GB2312" w:cs="Times New Roman"/>
          <w:b/>
          <w:bCs/>
          <w:kern w:val="36"/>
          <w:sz w:val="32"/>
          <w:szCs w:val="32"/>
        </w:rPr>
        <w:br w:type="page"/>
      </w:r>
      <w:bookmarkStart w:id="283" w:name="_Toc10335"/>
      <w:bookmarkStart w:id="284" w:name="_Toc1936"/>
      <w:bookmarkStart w:id="285" w:name="_Toc9596"/>
      <w:r>
        <w:rPr>
          <w:rStyle w:val="63"/>
          <w:rFonts w:hint="eastAsia"/>
        </w:rPr>
        <w:t>（十三）</w:t>
      </w:r>
      <w:r>
        <w:rPr>
          <w:rStyle w:val="63"/>
        </w:rPr>
        <w:t>企业类似项目业绩表</w:t>
      </w:r>
      <w:bookmarkEnd w:id="283"/>
      <w:bookmarkEnd w:id="284"/>
      <w:bookmarkEnd w:id="285"/>
    </w:p>
    <w:tbl>
      <w:tblPr>
        <w:tblStyle w:val="41"/>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项目名称</w:t>
            </w:r>
          </w:p>
        </w:tc>
        <w:tc>
          <w:tcPr>
            <w:tcW w:w="6148"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采购人名称</w:t>
            </w:r>
          </w:p>
        </w:tc>
        <w:tc>
          <w:tcPr>
            <w:tcW w:w="6148"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采购人地址</w:t>
            </w:r>
          </w:p>
        </w:tc>
        <w:tc>
          <w:tcPr>
            <w:tcW w:w="6148"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采购人联系人及电话</w:t>
            </w:r>
          </w:p>
        </w:tc>
        <w:tc>
          <w:tcPr>
            <w:tcW w:w="6148"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服务内容</w:t>
            </w:r>
          </w:p>
        </w:tc>
        <w:tc>
          <w:tcPr>
            <w:tcW w:w="6148"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合同期限</w:t>
            </w:r>
          </w:p>
        </w:tc>
        <w:tc>
          <w:tcPr>
            <w:tcW w:w="6148"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合同价格</w:t>
            </w:r>
          </w:p>
        </w:tc>
        <w:tc>
          <w:tcPr>
            <w:tcW w:w="6148"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备注</w:t>
            </w:r>
          </w:p>
        </w:tc>
        <w:tc>
          <w:tcPr>
            <w:tcW w:w="6148" w:type="dxa"/>
            <w:vAlign w:val="center"/>
          </w:tcPr>
          <w:p>
            <w:pPr>
              <w:spacing w:line="560" w:lineRule="exact"/>
              <w:jc w:val="center"/>
              <w:rPr>
                <w:rFonts w:ascii="Times New Roman" w:hAnsi="Times New Roman" w:eastAsia="方正仿宋_GB2312" w:cs="Times New Roman"/>
                <w:sz w:val="32"/>
                <w:szCs w:val="32"/>
              </w:rPr>
            </w:pPr>
          </w:p>
        </w:tc>
      </w:tr>
    </w:tbl>
    <w:p>
      <w:pPr>
        <w:spacing w:line="560" w:lineRule="exact"/>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备注：</w:t>
      </w: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1、本表后须附类似业绩的证明资料（合同或中标通知书或成交通知书复印件）</w:t>
      </w: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2、每张表格只填写一个项目的信息，并注明序号。</w:t>
      </w:r>
    </w:p>
    <w:p>
      <w:pPr>
        <w:spacing w:line="560" w:lineRule="exact"/>
        <w:rPr>
          <w:rFonts w:ascii="Times New Roman" w:hAnsi="Times New Roman" w:eastAsia="方正仿宋_GB2312" w:cs="Times New Roman"/>
          <w:sz w:val="32"/>
          <w:szCs w:val="32"/>
          <w:u w:val="single"/>
        </w:rPr>
      </w:pPr>
      <w:r>
        <w:rPr>
          <w:rFonts w:ascii="Times New Roman" w:hAnsi="Times New Roman" w:eastAsia="方正仿宋_GB2312" w:cs="Times New Roman"/>
          <w:sz w:val="32"/>
          <w:szCs w:val="32"/>
          <w:u w:val="single"/>
        </w:rPr>
        <w:br w:type="page"/>
      </w:r>
    </w:p>
    <w:p>
      <w:pPr>
        <w:pStyle w:val="3"/>
        <w:jc w:val="center"/>
      </w:pPr>
      <w:bookmarkStart w:id="286" w:name="_Toc1081"/>
      <w:bookmarkStart w:id="287" w:name="_Toc169"/>
      <w:bookmarkStart w:id="288" w:name="_Toc26848"/>
      <w:r>
        <w:rPr>
          <w:rFonts w:hint="eastAsia"/>
        </w:rPr>
        <w:t>（十四）</w:t>
      </w:r>
      <w:r>
        <w:t>拟派项目负责人（项目经理）简历表</w:t>
      </w:r>
      <w:bookmarkEnd w:id="286"/>
      <w:bookmarkEnd w:id="287"/>
      <w:bookmarkEnd w:id="288"/>
    </w:p>
    <w:tbl>
      <w:tblPr>
        <w:tblStyle w:val="41"/>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77"/>
        <w:gridCol w:w="1076"/>
        <w:gridCol w:w="1196"/>
        <w:gridCol w:w="2659"/>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姓  名</w:t>
            </w:r>
          </w:p>
        </w:tc>
        <w:tc>
          <w:tcPr>
            <w:tcW w:w="1177" w:type="dxa"/>
            <w:vAlign w:val="center"/>
          </w:tcPr>
          <w:p>
            <w:pPr>
              <w:spacing w:line="560" w:lineRule="exact"/>
              <w:jc w:val="center"/>
              <w:rPr>
                <w:rFonts w:ascii="Times New Roman" w:hAnsi="Times New Roman" w:eastAsia="方正仿宋_GB2312" w:cs="Times New Roman"/>
                <w:sz w:val="32"/>
                <w:szCs w:val="32"/>
              </w:rPr>
            </w:pPr>
          </w:p>
        </w:tc>
        <w:tc>
          <w:tcPr>
            <w:tcW w:w="1076"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年龄</w:t>
            </w:r>
          </w:p>
        </w:tc>
        <w:tc>
          <w:tcPr>
            <w:tcW w:w="1196" w:type="dxa"/>
            <w:vAlign w:val="center"/>
          </w:tcPr>
          <w:p>
            <w:pPr>
              <w:spacing w:line="560" w:lineRule="exact"/>
              <w:jc w:val="center"/>
              <w:rPr>
                <w:rFonts w:ascii="Times New Roman" w:hAnsi="Times New Roman" w:eastAsia="方正仿宋_GB2312" w:cs="Times New Roman"/>
                <w:sz w:val="32"/>
                <w:szCs w:val="32"/>
              </w:rPr>
            </w:pPr>
          </w:p>
        </w:tc>
        <w:tc>
          <w:tcPr>
            <w:tcW w:w="2659"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身份证号码</w:t>
            </w:r>
          </w:p>
        </w:tc>
        <w:tc>
          <w:tcPr>
            <w:tcW w:w="2590"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3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职  称</w:t>
            </w:r>
          </w:p>
        </w:tc>
        <w:tc>
          <w:tcPr>
            <w:tcW w:w="1177" w:type="dxa"/>
            <w:vAlign w:val="center"/>
          </w:tcPr>
          <w:p>
            <w:pPr>
              <w:spacing w:line="560" w:lineRule="exact"/>
              <w:jc w:val="center"/>
              <w:rPr>
                <w:rFonts w:ascii="Times New Roman" w:hAnsi="Times New Roman" w:eastAsia="方正仿宋_GB2312" w:cs="Times New Roman"/>
                <w:sz w:val="32"/>
                <w:szCs w:val="32"/>
              </w:rPr>
            </w:pPr>
          </w:p>
        </w:tc>
        <w:tc>
          <w:tcPr>
            <w:tcW w:w="1076" w:type="dxa"/>
            <w:vAlign w:val="center"/>
          </w:tcPr>
          <w:p>
            <w:pPr>
              <w:spacing w:before="100" w:beforeAutospacing="1" w:after="100" w:afterAutospacing="1"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职务</w:t>
            </w:r>
          </w:p>
        </w:tc>
        <w:tc>
          <w:tcPr>
            <w:tcW w:w="1196" w:type="dxa"/>
            <w:vAlign w:val="center"/>
          </w:tcPr>
          <w:p>
            <w:pPr>
              <w:spacing w:line="560" w:lineRule="exact"/>
              <w:jc w:val="center"/>
              <w:rPr>
                <w:rFonts w:ascii="Times New Roman" w:hAnsi="Times New Roman" w:eastAsia="方正仿宋_GB2312" w:cs="Times New Roman"/>
                <w:sz w:val="32"/>
                <w:szCs w:val="32"/>
              </w:rPr>
            </w:pPr>
          </w:p>
        </w:tc>
        <w:tc>
          <w:tcPr>
            <w:tcW w:w="2659" w:type="dxa"/>
            <w:vAlign w:val="center"/>
          </w:tcPr>
          <w:p>
            <w:pPr>
              <w:spacing w:before="100" w:beforeAutospacing="1" w:after="100" w:afterAutospacing="1"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联系电话</w:t>
            </w:r>
          </w:p>
        </w:tc>
        <w:tc>
          <w:tcPr>
            <w:tcW w:w="2590" w:type="dxa"/>
            <w:vAlign w:val="center"/>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332" w:type="dxa"/>
            <w:vAlign w:val="center"/>
          </w:tcPr>
          <w:p>
            <w:pPr>
              <w:spacing w:before="100" w:beforeAutospacing="1" w:after="100" w:afterAutospacing="1"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证书编号</w:t>
            </w:r>
          </w:p>
        </w:tc>
        <w:tc>
          <w:tcPr>
            <w:tcW w:w="3449" w:type="dxa"/>
            <w:gridSpan w:val="3"/>
            <w:vAlign w:val="center"/>
          </w:tcPr>
          <w:p>
            <w:pPr>
              <w:spacing w:line="560" w:lineRule="exact"/>
              <w:jc w:val="center"/>
              <w:rPr>
                <w:rFonts w:ascii="Times New Roman" w:hAnsi="Times New Roman" w:eastAsia="方正仿宋_GB2312" w:cs="Times New Roman"/>
                <w:sz w:val="32"/>
                <w:szCs w:val="32"/>
              </w:rPr>
            </w:pPr>
          </w:p>
        </w:tc>
        <w:tc>
          <w:tcPr>
            <w:tcW w:w="2659" w:type="dxa"/>
            <w:vAlign w:val="center"/>
          </w:tcPr>
          <w:p>
            <w:pPr>
              <w:spacing w:before="100" w:beforeAutospacing="1" w:after="100" w:afterAutospacing="1"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相关工作年限</w:t>
            </w:r>
          </w:p>
        </w:tc>
        <w:tc>
          <w:tcPr>
            <w:tcW w:w="2590" w:type="dxa"/>
            <w:vAlign w:val="center"/>
          </w:tcPr>
          <w:p>
            <w:pPr>
              <w:spacing w:line="560" w:lineRule="exact"/>
              <w:jc w:val="center"/>
              <w:rPr>
                <w:rFonts w:ascii="Times New Roman" w:hAnsi="Times New Roman" w:eastAsia="方正仿宋_GB2312" w:cs="Times New Roman"/>
                <w:sz w:val="32"/>
                <w:szCs w:val="32"/>
              </w:rPr>
            </w:pPr>
          </w:p>
        </w:tc>
      </w:tr>
    </w:tbl>
    <w:p>
      <w:pPr>
        <w:spacing w:line="560" w:lineRule="exact"/>
        <w:rPr>
          <w:rFonts w:ascii="Times New Roman" w:hAnsi="Times New Roman" w:eastAsia="方正仿宋_GB2312" w:cs="Times New Roman"/>
          <w:b/>
          <w:sz w:val="32"/>
          <w:szCs w:val="32"/>
        </w:rPr>
      </w:pPr>
    </w:p>
    <w:p>
      <w:pPr>
        <w:pStyle w:val="61"/>
        <w:spacing w:line="560" w:lineRule="exact"/>
        <w:rPr>
          <w:rFonts w:ascii="Times New Roman" w:hAnsi="Times New Roman" w:eastAsia="方正仿宋_GB2312" w:cs="Times New Roman"/>
          <w:b/>
          <w:sz w:val="32"/>
          <w:szCs w:val="32"/>
        </w:rPr>
      </w:pPr>
    </w:p>
    <w:p>
      <w:pPr>
        <w:pStyle w:val="61"/>
        <w:spacing w:line="560" w:lineRule="exact"/>
        <w:rPr>
          <w:rFonts w:ascii="Times New Roman" w:hAnsi="Times New Roman" w:eastAsia="方正仿宋_GB2312" w:cs="Times New Roman"/>
          <w:bCs/>
          <w:sz w:val="32"/>
          <w:szCs w:val="32"/>
        </w:rPr>
      </w:pPr>
      <w:r>
        <w:rPr>
          <w:rFonts w:ascii="Times New Roman" w:hAnsi="Times New Roman" w:eastAsia="方正仿宋_GB2312" w:cs="Times New Roman"/>
          <w:bCs/>
          <w:sz w:val="32"/>
          <w:szCs w:val="32"/>
        </w:rPr>
        <w:t>注：后附项目负责人相关证件。</w:t>
      </w:r>
    </w:p>
    <w:p>
      <w:pPr>
        <w:adjustRightInd w:val="0"/>
        <w:spacing w:line="560" w:lineRule="exact"/>
        <w:ind w:firstLine="560" w:firstLineChars="175"/>
        <w:jc w:val="left"/>
        <w:rPr>
          <w:rFonts w:ascii="Times New Roman" w:hAnsi="Times New Roman" w:eastAsia="方正仿宋_GB2312" w:cs="Times New Roman"/>
          <w:bCs/>
          <w:color w:val="000000"/>
          <w:sz w:val="32"/>
          <w:szCs w:val="32"/>
        </w:rPr>
      </w:pPr>
      <w:r>
        <w:rPr>
          <w:rFonts w:ascii="Times New Roman" w:hAnsi="Times New Roman" w:eastAsia="方正仿宋_GB2312" w:cs="Times New Roman"/>
          <w:bCs/>
          <w:color w:val="000000"/>
          <w:sz w:val="32"/>
          <w:szCs w:val="32"/>
        </w:rPr>
        <w:t>投标人名称（盖章）：</w:t>
      </w:r>
    </w:p>
    <w:p>
      <w:pPr>
        <w:adjustRightInd w:val="0"/>
        <w:spacing w:line="560" w:lineRule="exact"/>
        <w:ind w:firstLine="560" w:firstLineChars="175"/>
        <w:jc w:val="left"/>
        <w:rPr>
          <w:rFonts w:ascii="Times New Roman" w:hAnsi="Times New Roman" w:eastAsia="方正仿宋_GB2312" w:cs="Times New Roman"/>
          <w:bCs/>
          <w:color w:val="000000"/>
          <w:sz w:val="32"/>
          <w:szCs w:val="32"/>
        </w:rPr>
      </w:pPr>
      <w:r>
        <w:rPr>
          <w:rFonts w:ascii="Times New Roman" w:hAnsi="Times New Roman" w:eastAsia="方正仿宋_GB2312" w:cs="Times New Roman"/>
          <w:color w:val="000000"/>
          <w:sz w:val="32"/>
          <w:szCs w:val="32"/>
        </w:rPr>
        <w:t>法定代表人</w:t>
      </w:r>
      <w:r>
        <w:rPr>
          <w:rFonts w:hint="eastAsia" w:ascii="Times New Roman" w:hAnsi="Times New Roman" w:eastAsia="方正仿宋_GB2312" w:cs="Times New Roman"/>
          <w:color w:val="000000"/>
          <w:sz w:val="32"/>
          <w:szCs w:val="32"/>
          <w:lang w:eastAsia="zh-CN"/>
        </w:rPr>
        <w:t>或</w:t>
      </w:r>
      <w:r>
        <w:rPr>
          <w:rFonts w:ascii="Times New Roman" w:hAnsi="Times New Roman" w:eastAsia="方正仿宋_GB2312" w:cs="Times New Roman"/>
          <w:color w:val="000000"/>
          <w:sz w:val="32"/>
          <w:szCs w:val="32"/>
        </w:rPr>
        <w:t>授权委托人</w:t>
      </w:r>
      <w:r>
        <w:rPr>
          <w:rFonts w:ascii="Times New Roman" w:hAnsi="Times New Roman" w:eastAsia="方正仿宋_GB2312" w:cs="Times New Roman"/>
          <w:sz w:val="32"/>
          <w:szCs w:val="32"/>
        </w:rPr>
        <w:t>（签字或盖章）</w:t>
      </w:r>
      <w:r>
        <w:rPr>
          <w:rFonts w:ascii="Times New Roman" w:hAnsi="Times New Roman" w:eastAsia="方正仿宋_GB2312" w:cs="Times New Roman"/>
          <w:bCs/>
          <w:sz w:val="32"/>
          <w:szCs w:val="32"/>
        </w:rPr>
        <w:t>：</w:t>
      </w:r>
    </w:p>
    <w:p>
      <w:pPr>
        <w:spacing w:line="560" w:lineRule="exact"/>
        <w:ind w:firstLine="640" w:firstLineChars="200"/>
        <w:rPr>
          <w:rFonts w:ascii="Times New Roman" w:hAnsi="Times New Roman" w:eastAsia="方正仿宋_GB2312" w:cs="Times New Roman"/>
          <w:b/>
          <w:color w:val="000000"/>
          <w:sz w:val="32"/>
          <w:szCs w:val="32"/>
        </w:rPr>
      </w:pPr>
      <w:r>
        <w:rPr>
          <w:rFonts w:ascii="Times New Roman" w:hAnsi="Times New Roman" w:eastAsia="方正仿宋_GB2312" w:cs="Times New Roman"/>
          <w:bCs/>
          <w:color w:val="000000"/>
          <w:sz w:val="32"/>
          <w:szCs w:val="32"/>
        </w:rPr>
        <w:t>日  期:      年    月    日</w:t>
      </w:r>
    </w:p>
    <w:p>
      <w:pPr>
        <w:spacing w:line="560" w:lineRule="exact"/>
        <w:rPr>
          <w:rFonts w:ascii="Times New Roman" w:hAnsi="Times New Roman" w:eastAsia="方正仿宋_GB2312" w:cs="Times New Roman"/>
          <w:b/>
          <w:sz w:val="32"/>
          <w:szCs w:val="32"/>
        </w:rPr>
      </w:pPr>
    </w:p>
    <w:p>
      <w:pPr>
        <w:pStyle w:val="15"/>
        <w:spacing w:line="560" w:lineRule="exact"/>
        <w:ind w:left="1063" w:hanging="643"/>
        <w:rPr>
          <w:rFonts w:eastAsia="方正仿宋_GB2312"/>
          <w:b/>
          <w:szCs w:val="32"/>
        </w:rPr>
      </w:pPr>
    </w:p>
    <w:p>
      <w:pPr>
        <w:pStyle w:val="16"/>
        <w:spacing w:line="560" w:lineRule="exact"/>
        <w:rPr>
          <w:rFonts w:ascii="Times New Roman" w:hAnsi="Times New Roman" w:eastAsia="方正仿宋_GB2312" w:cs="Times New Roman"/>
          <w:b/>
          <w:sz w:val="32"/>
          <w:szCs w:val="32"/>
        </w:rPr>
      </w:pPr>
    </w:p>
    <w:p>
      <w:pPr>
        <w:pStyle w:val="16"/>
        <w:spacing w:line="560" w:lineRule="exact"/>
        <w:rPr>
          <w:rFonts w:ascii="Times New Roman" w:hAnsi="Times New Roman" w:eastAsia="方正仿宋_GB2312" w:cs="Times New Roman"/>
          <w:b/>
          <w:sz w:val="32"/>
          <w:szCs w:val="32"/>
        </w:rPr>
      </w:pPr>
    </w:p>
    <w:p>
      <w:pPr>
        <w:pStyle w:val="16"/>
        <w:spacing w:line="560" w:lineRule="exact"/>
        <w:rPr>
          <w:rFonts w:ascii="Times New Roman" w:hAnsi="Times New Roman" w:eastAsia="方正仿宋_GB2312" w:cs="Times New Roman"/>
          <w:b/>
          <w:sz w:val="32"/>
          <w:szCs w:val="32"/>
        </w:rPr>
      </w:pPr>
    </w:p>
    <w:p>
      <w:pPr>
        <w:pStyle w:val="16"/>
        <w:spacing w:line="560" w:lineRule="exact"/>
        <w:rPr>
          <w:rFonts w:ascii="Times New Roman" w:hAnsi="Times New Roman" w:eastAsia="方正仿宋_GB2312" w:cs="Times New Roman"/>
          <w:b/>
          <w:sz w:val="32"/>
          <w:szCs w:val="32"/>
        </w:rPr>
      </w:pPr>
    </w:p>
    <w:p>
      <w:pPr>
        <w:pStyle w:val="16"/>
        <w:spacing w:line="560" w:lineRule="exact"/>
        <w:rPr>
          <w:rFonts w:ascii="Times New Roman" w:hAnsi="Times New Roman" w:eastAsia="方正仿宋_GB2312" w:cs="Times New Roman"/>
          <w:b/>
          <w:sz w:val="32"/>
          <w:szCs w:val="32"/>
        </w:rPr>
      </w:pPr>
    </w:p>
    <w:p>
      <w:pPr>
        <w:pStyle w:val="16"/>
        <w:spacing w:line="560" w:lineRule="exact"/>
        <w:rPr>
          <w:rFonts w:ascii="Times New Roman" w:hAnsi="Times New Roman" w:eastAsia="方正仿宋_GB2312" w:cs="Times New Roman"/>
          <w:b/>
          <w:sz w:val="32"/>
          <w:szCs w:val="32"/>
        </w:rPr>
      </w:pPr>
    </w:p>
    <w:p>
      <w:pPr>
        <w:pStyle w:val="16"/>
        <w:spacing w:line="560" w:lineRule="exact"/>
        <w:rPr>
          <w:rFonts w:ascii="Times New Roman" w:hAnsi="Times New Roman" w:eastAsia="方正仿宋_GB2312" w:cs="Times New Roman"/>
          <w:b/>
          <w:sz w:val="32"/>
          <w:szCs w:val="32"/>
        </w:rPr>
      </w:pPr>
    </w:p>
    <w:p>
      <w:pPr>
        <w:pStyle w:val="16"/>
        <w:spacing w:line="560" w:lineRule="exact"/>
        <w:rPr>
          <w:rFonts w:ascii="Times New Roman" w:hAnsi="Times New Roman" w:eastAsia="方正仿宋_GB2312" w:cs="Times New Roman"/>
          <w:b/>
          <w:sz w:val="32"/>
          <w:szCs w:val="32"/>
        </w:rPr>
      </w:pPr>
      <w:r>
        <w:rPr>
          <w:rFonts w:ascii="Times New Roman" w:hAnsi="Times New Roman" w:eastAsia="方正仿宋_GB2312" w:cs="Times New Roman"/>
          <w:b/>
          <w:sz w:val="32"/>
          <w:szCs w:val="32"/>
        </w:rPr>
        <w:br w:type="page"/>
      </w:r>
    </w:p>
    <w:p>
      <w:pPr>
        <w:pStyle w:val="3"/>
        <w:jc w:val="center"/>
      </w:pPr>
      <w:bookmarkStart w:id="289" w:name="_Toc12936"/>
      <w:bookmarkStart w:id="290" w:name="_Toc8887"/>
      <w:bookmarkStart w:id="291" w:name="_Toc331"/>
      <w:r>
        <w:rPr>
          <w:rFonts w:hint="eastAsia"/>
        </w:rPr>
        <w:t>（十五）</w:t>
      </w:r>
      <w:r>
        <w:t>拟派项目组成员情况</w:t>
      </w:r>
      <w:bookmarkEnd w:id="289"/>
      <w:bookmarkEnd w:id="290"/>
      <w:bookmarkEnd w:id="291"/>
    </w:p>
    <w:p>
      <w:pPr>
        <w:spacing w:line="560" w:lineRule="exact"/>
        <w:rPr>
          <w:rFonts w:ascii="Times New Roman" w:hAnsi="Times New Roman" w:eastAsia="方正仿宋_GB2312" w:cs="Times New Roman"/>
          <w:sz w:val="32"/>
          <w:szCs w:val="32"/>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83"/>
        <w:gridCol w:w="936"/>
        <w:gridCol w:w="1052"/>
        <w:gridCol w:w="1052"/>
        <w:gridCol w:w="112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序号</w:t>
            </w:r>
          </w:p>
        </w:tc>
        <w:tc>
          <w:tcPr>
            <w:tcW w:w="1283"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姓名</w:t>
            </w:r>
          </w:p>
        </w:tc>
        <w:tc>
          <w:tcPr>
            <w:tcW w:w="936"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性别</w:t>
            </w:r>
          </w:p>
        </w:tc>
        <w:tc>
          <w:tcPr>
            <w:tcW w:w="105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年龄</w:t>
            </w:r>
          </w:p>
        </w:tc>
        <w:tc>
          <w:tcPr>
            <w:tcW w:w="1052"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职称</w:t>
            </w:r>
          </w:p>
        </w:tc>
        <w:tc>
          <w:tcPr>
            <w:tcW w:w="1128"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专业 </w:t>
            </w:r>
          </w:p>
        </w:tc>
        <w:tc>
          <w:tcPr>
            <w:tcW w:w="1701" w:type="dxa"/>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拟在本项目中</w:t>
            </w:r>
          </w:p>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担任的工作</w:t>
            </w:r>
          </w:p>
        </w:tc>
        <w:tc>
          <w:tcPr>
            <w:tcW w:w="1701" w:type="dxa"/>
            <w:vAlign w:val="center"/>
          </w:tcPr>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560" w:lineRule="exact"/>
              <w:jc w:val="center"/>
              <w:rPr>
                <w:rFonts w:ascii="Times New Roman" w:hAnsi="Times New Roman" w:eastAsia="方正仿宋_GB2312" w:cs="Times New Roman"/>
                <w:sz w:val="32"/>
                <w:szCs w:val="32"/>
              </w:rPr>
            </w:pPr>
          </w:p>
        </w:tc>
        <w:tc>
          <w:tcPr>
            <w:tcW w:w="1283" w:type="dxa"/>
            <w:vAlign w:val="center"/>
          </w:tcPr>
          <w:p>
            <w:pPr>
              <w:spacing w:line="560" w:lineRule="exact"/>
              <w:jc w:val="center"/>
              <w:rPr>
                <w:rFonts w:ascii="Times New Roman" w:hAnsi="Times New Roman" w:eastAsia="方正仿宋_GB2312" w:cs="Times New Roman"/>
                <w:sz w:val="32"/>
                <w:szCs w:val="32"/>
              </w:rPr>
            </w:pPr>
          </w:p>
        </w:tc>
        <w:tc>
          <w:tcPr>
            <w:tcW w:w="936"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052" w:type="dxa"/>
            <w:vAlign w:val="center"/>
          </w:tcPr>
          <w:p>
            <w:pPr>
              <w:spacing w:line="560" w:lineRule="exact"/>
              <w:jc w:val="center"/>
              <w:rPr>
                <w:rFonts w:ascii="Times New Roman" w:hAnsi="Times New Roman" w:eastAsia="方正仿宋_GB2312" w:cs="Times New Roman"/>
                <w:sz w:val="32"/>
                <w:szCs w:val="32"/>
              </w:rPr>
            </w:pPr>
          </w:p>
        </w:tc>
        <w:tc>
          <w:tcPr>
            <w:tcW w:w="1128" w:type="dxa"/>
            <w:vAlign w:val="center"/>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c>
          <w:tcPr>
            <w:tcW w:w="1701" w:type="dxa"/>
          </w:tcPr>
          <w:p>
            <w:pPr>
              <w:spacing w:line="560" w:lineRule="exact"/>
              <w:jc w:val="center"/>
              <w:rPr>
                <w:rFonts w:ascii="Times New Roman" w:hAnsi="Times New Roman" w:eastAsia="方正仿宋_GB2312" w:cs="Times New Roman"/>
                <w:sz w:val="32"/>
                <w:szCs w:val="32"/>
              </w:rPr>
            </w:pPr>
          </w:p>
        </w:tc>
      </w:tr>
    </w:tbl>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注：后附证明材料。</w:t>
      </w:r>
    </w:p>
    <w:p>
      <w:pPr>
        <w:pStyle w:val="15"/>
        <w:spacing w:line="560" w:lineRule="exact"/>
        <w:ind w:left="1060" w:hanging="640"/>
        <w:rPr>
          <w:rFonts w:eastAsia="方正仿宋_GB2312"/>
          <w:szCs w:val="32"/>
        </w:rPr>
      </w:pPr>
    </w:p>
    <w:p>
      <w:pPr>
        <w:adjustRightInd w:val="0"/>
        <w:spacing w:line="560" w:lineRule="exact"/>
        <w:ind w:firstLine="560" w:firstLineChars="175"/>
        <w:jc w:val="left"/>
        <w:rPr>
          <w:rFonts w:ascii="Times New Roman" w:hAnsi="Times New Roman" w:eastAsia="方正仿宋_GB2312" w:cs="Times New Roman"/>
          <w:bCs/>
          <w:color w:val="000000"/>
          <w:sz w:val="32"/>
          <w:szCs w:val="32"/>
        </w:rPr>
      </w:pPr>
      <w:r>
        <w:rPr>
          <w:rFonts w:ascii="Times New Roman" w:hAnsi="Times New Roman" w:eastAsia="方正仿宋_GB2312" w:cs="Times New Roman"/>
          <w:bCs/>
          <w:color w:val="000000"/>
          <w:sz w:val="32"/>
          <w:szCs w:val="32"/>
        </w:rPr>
        <w:t>投标人名称（盖章）：</w:t>
      </w:r>
    </w:p>
    <w:p>
      <w:pPr>
        <w:adjustRightInd w:val="0"/>
        <w:spacing w:line="560" w:lineRule="exact"/>
        <w:ind w:firstLine="560" w:firstLineChars="175"/>
        <w:jc w:val="left"/>
        <w:rPr>
          <w:rFonts w:ascii="Times New Roman" w:hAnsi="Times New Roman" w:eastAsia="方正仿宋_GB2312" w:cs="Times New Roman"/>
          <w:bCs/>
          <w:color w:val="000000"/>
          <w:sz w:val="32"/>
          <w:szCs w:val="32"/>
        </w:rPr>
      </w:pPr>
      <w:r>
        <w:rPr>
          <w:rFonts w:ascii="Times New Roman" w:hAnsi="Times New Roman" w:eastAsia="方正仿宋_GB2312" w:cs="Times New Roman"/>
          <w:color w:val="000000"/>
          <w:sz w:val="32"/>
          <w:szCs w:val="32"/>
        </w:rPr>
        <w:t>法定代表人或授权委托人</w:t>
      </w:r>
      <w:r>
        <w:rPr>
          <w:rFonts w:ascii="Times New Roman" w:hAnsi="Times New Roman" w:eastAsia="方正仿宋_GB2312" w:cs="Times New Roman"/>
          <w:sz w:val="32"/>
          <w:szCs w:val="32"/>
        </w:rPr>
        <w:t>（签字或盖章）</w:t>
      </w:r>
      <w:r>
        <w:rPr>
          <w:rFonts w:ascii="Times New Roman" w:hAnsi="Times New Roman" w:eastAsia="方正仿宋_GB2312" w:cs="Times New Roman"/>
          <w:bCs/>
          <w:sz w:val="32"/>
          <w:szCs w:val="32"/>
        </w:rPr>
        <w:t>：</w:t>
      </w:r>
    </w:p>
    <w:p>
      <w:pPr>
        <w:spacing w:line="560" w:lineRule="exact"/>
        <w:ind w:firstLine="640" w:firstLineChars="200"/>
        <w:rPr>
          <w:rFonts w:ascii="Times New Roman" w:hAnsi="Times New Roman" w:eastAsia="方正仿宋_GB2312" w:cs="Times New Roman"/>
          <w:b/>
          <w:color w:val="000000"/>
          <w:sz w:val="32"/>
          <w:szCs w:val="32"/>
        </w:rPr>
      </w:pPr>
      <w:r>
        <w:rPr>
          <w:rFonts w:ascii="Times New Roman" w:hAnsi="Times New Roman" w:eastAsia="方正仿宋_GB2312" w:cs="Times New Roman"/>
          <w:bCs/>
          <w:color w:val="000000"/>
          <w:sz w:val="32"/>
          <w:szCs w:val="32"/>
        </w:rPr>
        <w:t>日  期:      年    月    日</w:t>
      </w:r>
    </w:p>
    <w:p>
      <w:pPr>
        <w:spacing w:line="560" w:lineRule="exact"/>
        <w:rPr>
          <w:rFonts w:ascii="Times New Roman" w:hAnsi="Times New Roman" w:eastAsia="方正仿宋_GB2312" w:cs="Times New Roman"/>
          <w:b/>
          <w:sz w:val="32"/>
          <w:szCs w:val="32"/>
        </w:rPr>
      </w:pPr>
    </w:p>
    <w:p>
      <w:pPr>
        <w:spacing w:line="560" w:lineRule="exact"/>
        <w:rPr>
          <w:rFonts w:ascii="Times New Roman" w:hAnsi="Times New Roman" w:eastAsia="方正仿宋_GB2312" w:cs="Times New Roman"/>
          <w:sz w:val="32"/>
          <w:szCs w:val="32"/>
          <w:u w:val="single"/>
        </w:rPr>
      </w:pPr>
      <w:r>
        <w:rPr>
          <w:rFonts w:ascii="Times New Roman" w:hAnsi="Times New Roman" w:eastAsia="方正仿宋_GB2312" w:cs="Times New Roman"/>
          <w:sz w:val="32"/>
          <w:szCs w:val="32"/>
          <w:u w:val="single"/>
        </w:rPr>
        <w:br w:type="page"/>
      </w:r>
    </w:p>
    <w:p>
      <w:pPr>
        <w:pStyle w:val="3"/>
        <w:jc w:val="center"/>
      </w:pPr>
      <w:bookmarkStart w:id="292" w:name="_Toc23991"/>
      <w:bookmarkStart w:id="293" w:name="_Toc2984"/>
      <w:bookmarkStart w:id="294" w:name="_Toc21003"/>
      <w:r>
        <w:rPr>
          <w:rFonts w:hint="eastAsia"/>
        </w:rPr>
        <w:t>（十六）实施方案</w:t>
      </w:r>
      <w:r>
        <w:t>（格式自拟）</w:t>
      </w:r>
      <w:bookmarkEnd w:id="292"/>
      <w:bookmarkEnd w:id="293"/>
      <w:bookmarkEnd w:id="294"/>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p>
    <w:p>
      <w:pPr>
        <w:pStyle w:val="3"/>
        <w:jc w:val="center"/>
      </w:pPr>
      <w:bookmarkStart w:id="295" w:name="_Toc5947"/>
      <w:bookmarkStart w:id="296" w:name="_Toc2805"/>
      <w:bookmarkStart w:id="297" w:name="_Toc17913"/>
      <w:r>
        <w:rPr>
          <w:rFonts w:hint="eastAsia"/>
        </w:rPr>
        <w:t>（十七）应用系统设计方案</w:t>
      </w:r>
      <w:r>
        <w:t>（格式自拟）</w:t>
      </w:r>
      <w:bookmarkEnd w:id="295"/>
      <w:bookmarkEnd w:id="296"/>
      <w:bookmarkEnd w:id="297"/>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p>
    <w:p>
      <w:pPr>
        <w:pStyle w:val="3"/>
        <w:jc w:val="center"/>
      </w:pPr>
      <w:bookmarkStart w:id="298" w:name="_Toc13110"/>
      <w:bookmarkStart w:id="299" w:name="_Toc27473"/>
      <w:bookmarkStart w:id="300" w:name="_Toc17946"/>
      <w:r>
        <w:rPr>
          <w:rFonts w:hint="eastAsia"/>
        </w:rPr>
        <w:t>（十八）系统安全性设计方案</w:t>
      </w:r>
      <w:r>
        <w:t>（格式自拟）</w:t>
      </w:r>
      <w:bookmarkEnd w:id="298"/>
      <w:bookmarkEnd w:id="299"/>
      <w:bookmarkEnd w:id="300"/>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p>
    <w:p>
      <w:pPr>
        <w:pStyle w:val="3"/>
        <w:ind w:firstLine="0" w:firstLineChars="0"/>
        <w:jc w:val="center"/>
      </w:pPr>
      <w:bookmarkStart w:id="301" w:name="_Toc436"/>
      <w:bookmarkStart w:id="302" w:name="_Toc12198"/>
      <w:bookmarkStart w:id="303" w:name="_Toc31258"/>
      <w:r>
        <w:rPr>
          <w:rFonts w:hint="eastAsia"/>
        </w:rPr>
        <w:t>（十九）售后服务方案</w:t>
      </w:r>
      <w:r>
        <w:t>（格式自拟）</w:t>
      </w:r>
      <w:bookmarkEnd w:id="301"/>
      <w:bookmarkEnd w:id="302"/>
      <w:bookmarkEnd w:id="303"/>
    </w:p>
    <w:p>
      <w:pPr>
        <w:spacing w:line="560" w:lineRule="exact"/>
        <w:rPr>
          <w:rFonts w:ascii="Times New Roman" w:hAnsi="Times New Roman" w:eastAsia="方正仿宋_GB2312" w:cs="Times New Roman"/>
          <w:b/>
          <w:bCs/>
          <w:color w:val="020000"/>
          <w:kern w:val="0"/>
          <w:sz w:val="32"/>
          <w:szCs w:val="32"/>
        </w:rPr>
      </w:pPr>
      <w:r>
        <w:rPr>
          <w:rFonts w:ascii="Times New Roman" w:hAnsi="Times New Roman" w:eastAsia="方正仿宋_GB2312" w:cs="Times New Roman"/>
          <w:b/>
          <w:bCs/>
          <w:color w:val="020000"/>
          <w:kern w:val="0"/>
          <w:sz w:val="32"/>
          <w:szCs w:val="32"/>
        </w:rPr>
        <w:br w:type="page"/>
      </w:r>
    </w:p>
    <w:p>
      <w:pPr>
        <w:pStyle w:val="3"/>
        <w:jc w:val="center"/>
      </w:pPr>
      <w:bookmarkStart w:id="304" w:name="_Toc7279"/>
      <w:bookmarkStart w:id="305" w:name="_Toc23450"/>
      <w:bookmarkStart w:id="306" w:name="_Toc3171"/>
      <w:r>
        <w:rPr>
          <w:rFonts w:hint="eastAsia"/>
        </w:rPr>
        <w:t>（二十）</w:t>
      </w:r>
      <w:r>
        <w:t>服务承诺</w:t>
      </w:r>
      <w:bookmarkEnd w:id="304"/>
      <w:bookmarkEnd w:id="305"/>
      <w:bookmarkEnd w:id="306"/>
    </w:p>
    <w:p>
      <w:pPr>
        <w:spacing w:line="560" w:lineRule="exact"/>
        <w:rPr>
          <w:rFonts w:ascii="Times New Roman" w:hAnsi="Times New Roman" w:eastAsia="方正仿宋_GB2312" w:cs="Times New Roman"/>
          <w:sz w:val="32"/>
          <w:szCs w:val="32"/>
        </w:rPr>
      </w:pPr>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p>
    <w:p>
      <w:pPr>
        <w:pStyle w:val="3"/>
        <w:jc w:val="center"/>
      </w:pPr>
      <w:bookmarkStart w:id="307" w:name="_Toc13327"/>
      <w:bookmarkStart w:id="308" w:name="_Toc21605"/>
      <w:bookmarkStart w:id="309" w:name="_Toc8958"/>
      <w:r>
        <w:rPr>
          <w:rFonts w:hint="eastAsia"/>
        </w:rPr>
        <w:t>（二十一）</w:t>
      </w:r>
      <w:r>
        <w:t>投标保证金缴纳凭证</w:t>
      </w:r>
      <w:bookmarkEnd w:id="307"/>
      <w:bookmarkEnd w:id="308"/>
      <w:bookmarkEnd w:id="309"/>
    </w:p>
    <w:p>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br w:type="page"/>
      </w:r>
    </w:p>
    <w:p>
      <w:pPr>
        <w:spacing w:line="560" w:lineRule="exact"/>
        <w:rPr>
          <w:rFonts w:ascii="Times New Roman" w:hAnsi="Times New Roman" w:eastAsia="方正仿宋_GB2312" w:cs="Times New Roman"/>
          <w:sz w:val="32"/>
          <w:szCs w:val="32"/>
        </w:rPr>
      </w:pPr>
    </w:p>
    <w:p>
      <w:pPr>
        <w:pStyle w:val="3"/>
        <w:jc w:val="center"/>
      </w:pPr>
      <w:bookmarkStart w:id="310" w:name="_Toc10368"/>
      <w:bookmarkStart w:id="311" w:name="_Toc18372"/>
      <w:bookmarkStart w:id="312" w:name="_Toc12002"/>
      <w:r>
        <w:rPr>
          <w:rFonts w:hint="eastAsia"/>
        </w:rPr>
        <w:t>（二十二）</w:t>
      </w:r>
      <w:r>
        <w:t>中小企业声明函</w:t>
      </w:r>
      <w:bookmarkEnd w:id="310"/>
      <w:bookmarkEnd w:id="311"/>
      <w:bookmarkEnd w:id="312"/>
    </w:p>
    <w:p>
      <w:pPr>
        <w:spacing w:line="560" w:lineRule="exact"/>
        <w:jc w:val="center"/>
        <w:rPr>
          <w:rFonts w:ascii="Times New Roman" w:hAnsi="Times New Roman" w:eastAsia="方正仿宋_GB2312" w:cs="Times New Roman"/>
          <w:b/>
          <w:bCs/>
          <w:spacing w:val="-2"/>
          <w:sz w:val="32"/>
          <w:szCs w:val="32"/>
        </w:rPr>
      </w:pPr>
      <w:r>
        <w:rPr>
          <w:rFonts w:ascii="Times New Roman" w:hAnsi="Times New Roman" w:eastAsia="方正仿宋_GB2312" w:cs="Times New Roman"/>
          <w:spacing w:val="-2"/>
          <w:sz w:val="32"/>
          <w:szCs w:val="32"/>
        </w:rPr>
        <w:t>中小企业声明函（工程、服务）</w:t>
      </w:r>
    </w:p>
    <w:p>
      <w:pPr>
        <w:pStyle w:val="34"/>
        <w:spacing w:after="0" w:line="560" w:lineRule="exact"/>
        <w:rPr>
          <w:rFonts w:ascii="Times New Roman" w:hAnsi="Times New Roman" w:eastAsia="方正仿宋_GB2312" w:cs="Times New Roman"/>
          <w:sz w:val="32"/>
          <w:szCs w:val="32"/>
        </w:rPr>
      </w:pP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本公司（联合体）郑重声明，根据《政府采购促进中小企业发展管理办法》（财库﹝2020﹞46号）的规定，本公司（联合体）参加</w:t>
      </w:r>
      <w:r>
        <w:rPr>
          <w:rFonts w:ascii="Times New Roman" w:hAnsi="Times New Roman" w:eastAsia="方正仿宋_GB2312" w:cs="Times New Roman"/>
          <w:spacing w:val="-2"/>
          <w:sz w:val="32"/>
          <w:szCs w:val="32"/>
          <w:u w:val="single"/>
        </w:rPr>
        <w:t>（单位名称）</w:t>
      </w:r>
      <w:r>
        <w:rPr>
          <w:rFonts w:ascii="Times New Roman" w:hAnsi="Times New Roman" w:eastAsia="方正仿宋_GB2312" w:cs="Times New Roman"/>
          <w:spacing w:val="-2"/>
          <w:sz w:val="32"/>
          <w:szCs w:val="32"/>
        </w:rPr>
        <w:t>的</w:t>
      </w:r>
      <w:r>
        <w:rPr>
          <w:rFonts w:ascii="Times New Roman" w:hAnsi="Times New Roman" w:eastAsia="方正仿宋_GB2312" w:cs="Times New Roman"/>
          <w:spacing w:val="-2"/>
          <w:sz w:val="32"/>
          <w:szCs w:val="32"/>
          <w:u w:val="single"/>
        </w:rPr>
        <w:t>（项目名称）</w:t>
      </w:r>
      <w:r>
        <w:rPr>
          <w:rFonts w:ascii="Times New Roman" w:hAnsi="Times New Roman" w:eastAsia="方正仿宋_GB2312" w:cs="Times New Roman"/>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pPr>
        <w:spacing w:line="560" w:lineRule="exact"/>
        <w:ind w:firstLine="632" w:firstLineChars="200"/>
        <w:rPr>
          <w:rFonts w:ascii="Times New Roman" w:hAnsi="Times New Roman" w:eastAsia="方正仿宋_GB2312" w:cs="Times New Roman"/>
          <w:sz w:val="32"/>
          <w:szCs w:val="32"/>
        </w:rPr>
      </w:pPr>
      <w:r>
        <w:rPr>
          <w:rFonts w:ascii="Times New Roman" w:hAnsi="Times New Roman" w:eastAsia="方正仿宋_GB2312" w:cs="Times New Roman"/>
          <w:spacing w:val="-2"/>
          <w:sz w:val="32"/>
          <w:szCs w:val="32"/>
        </w:rPr>
        <w:t xml:space="preserve">1. </w:t>
      </w:r>
      <w:r>
        <w:rPr>
          <w:rFonts w:ascii="Times New Roman" w:hAnsi="Times New Roman" w:eastAsia="方正仿宋_GB2312" w:cs="Times New Roman"/>
          <w:spacing w:val="-2"/>
          <w:sz w:val="32"/>
          <w:szCs w:val="32"/>
          <w:u w:val="single"/>
        </w:rPr>
        <w:t>（标的名称）</w:t>
      </w:r>
      <w:r>
        <w:rPr>
          <w:rFonts w:ascii="Times New Roman" w:hAnsi="Times New Roman" w:eastAsia="方正仿宋_GB2312" w:cs="Times New Roman"/>
          <w:spacing w:val="-2"/>
          <w:sz w:val="32"/>
          <w:szCs w:val="32"/>
        </w:rPr>
        <w:t>，属于</w:t>
      </w:r>
      <w:r>
        <w:rPr>
          <w:rFonts w:ascii="Times New Roman" w:hAnsi="Times New Roman" w:eastAsia="方正仿宋_GB2312" w:cs="Times New Roman"/>
          <w:spacing w:val="-2"/>
          <w:sz w:val="32"/>
          <w:szCs w:val="32"/>
          <w:u w:val="single"/>
        </w:rPr>
        <w:t>（采购文件中明确的所属行业）</w:t>
      </w:r>
      <w:r>
        <w:rPr>
          <w:rFonts w:ascii="Times New Roman" w:hAnsi="Times New Roman" w:eastAsia="方正仿宋_GB2312" w:cs="Times New Roman"/>
          <w:spacing w:val="-2"/>
          <w:sz w:val="32"/>
          <w:szCs w:val="32"/>
        </w:rPr>
        <w:t>；</w:t>
      </w:r>
      <w:r>
        <w:rPr>
          <w:rFonts w:ascii="Times New Roman" w:hAnsi="Times New Roman" w:eastAsia="方正仿宋_GB2312" w:cs="Times New Roman"/>
          <w:sz w:val="32"/>
          <w:szCs w:val="32"/>
        </w:rPr>
        <w:t>承建（承接）企业为</w:t>
      </w:r>
      <w:r>
        <w:rPr>
          <w:rFonts w:ascii="Times New Roman" w:hAnsi="Times New Roman" w:eastAsia="方正仿宋_GB2312" w:cs="Times New Roman"/>
          <w:spacing w:val="-2"/>
          <w:sz w:val="32"/>
          <w:szCs w:val="32"/>
          <w:u w:val="single"/>
        </w:rPr>
        <w:t>（企业名称）</w:t>
      </w:r>
      <w:r>
        <w:rPr>
          <w:rFonts w:ascii="Times New Roman" w:hAnsi="Times New Roman" w:eastAsia="方正仿宋_GB2312" w:cs="Times New Roman"/>
          <w:spacing w:val="-2"/>
          <w:sz w:val="32"/>
          <w:szCs w:val="32"/>
        </w:rPr>
        <w:t>，</w:t>
      </w:r>
      <w:r>
        <w:rPr>
          <w:rFonts w:ascii="Times New Roman" w:hAnsi="Times New Roman" w:eastAsia="方正仿宋_GB2312" w:cs="Times New Roman"/>
          <w:sz w:val="32"/>
          <w:szCs w:val="32"/>
        </w:rPr>
        <w:t>从业人员</w:t>
      </w:r>
      <w:r>
        <w:rPr>
          <w:rFonts w:ascii="Times New Roman" w:hAnsi="Times New Roman" w:eastAsia="方正仿宋_GB2312" w:cs="Times New Roman"/>
          <w:spacing w:val="-2"/>
          <w:sz w:val="32"/>
          <w:szCs w:val="32"/>
          <w:u w:val="single"/>
        </w:rPr>
        <w:t xml:space="preserve">     </w:t>
      </w:r>
      <w:r>
        <w:rPr>
          <w:rFonts w:ascii="Times New Roman" w:hAnsi="Times New Roman" w:eastAsia="方正仿宋_GB2312" w:cs="Times New Roman"/>
          <w:sz w:val="32"/>
          <w:szCs w:val="32"/>
        </w:rPr>
        <w:t>人，营业收入为</w:t>
      </w:r>
      <w:r>
        <w:rPr>
          <w:rFonts w:ascii="Times New Roman" w:hAnsi="Times New Roman" w:eastAsia="方正仿宋_GB2312" w:cs="Times New Roman"/>
          <w:spacing w:val="-2"/>
          <w:sz w:val="32"/>
          <w:szCs w:val="32"/>
          <w:u w:val="single"/>
        </w:rPr>
        <w:t xml:space="preserve">    </w:t>
      </w:r>
      <w:r>
        <w:rPr>
          <w:rFonts w:ascii="Times New Roman" w:hAnsi="Times New Roman" w:eastAsia="方正仿宋_GB2312" w:cs="Times New Roman"/>
          <w:sz w:val="32"/>
          <w:szCs w:val="32"/>
        </w:rPr>
        <w:t>万元，资产总额为</w:t>
      </w:r>
      <w:r>
        <w:rPr>
          <w:rFonts w:ascii="Times New Roman" w:hAnsi="Times New Roman" w:eastAsia="方正仿宋_GB2312" w:cs="Times New Roman"/>
          <w:spacing w:val="-2"/>
          <w:sz w:val="32"/>
          <w:szCs w:val="32"/>
          <w:u w:val="single"/>
        </w:rPr>
        <w:t xml:space="preserve">    </w:t>
      </w:r>
      <w:r>
        <w:rPr>
          <w:rFonts w:ascii="Times New Roman" w:hAnsi="Times New Roman" w:eastAsia="方正仿宋_GB2312" w:cs="Times New Roman"/>
          <w:sz w:val="32"/>
          <w:szCs w:val="32"/>
        </w:rPr>
        <w:t xml:space="preserve">万元，属于（中型企业、小型企业、微型企业）； </w:t>
      </w:r>
    </w:p>
    <w:p>
      <w:pPr>
        <w:spacing w:line="560" w:lineRule="exact"/>
        <w:ind w:firstLine="632" w:firstLineChars="200"/>
        <w:rPr>
          <w:rFonts w:ascii="Times New Roman" w:hAnsi="Times New Roman" w:eastAsia="方正仿宋_GB2312" w:cs="Times New Roman"/>
          <w:spacing w:val="-2"/>
          <w:sz w:val="32"/>
          <w:szCs w:val="32"/>
        </w:rPr>
      </w:pPr>
      <w:r>
        <w:rPr>
          <w:rFonts w:ascii="Times New Roman" w:hAnsi="Times New Roman" w:eastAsia="方正仿宋_GB2312" w:cs="Times New Roman"/>
          <w:spacing w:val="-2"/>
          <w:sz w:val="32"/>
          <w:szCs w:val="32"/>
        </w:rPr>
        <w:t xml:space="preserve">2. </w:t>
      </w:r>
      <w:r>
        <w:rPr>
          <w:rFonts w:ascii="Times New Roman" w:hAnsi="Times New Roman" w:eastAsia="方正仿宋_GB2312" w:cs="Times New Roman"/>
          <w:spacing w:val="-2"/>
          <w:sz w:val="32"/>
          <w:szCs w:val="32"/>
          <w:u w:val="single"/>
        </w:rPr>
        <w:t>（标的名称）</w:t>
      </w:r>
      <w:r>
        <w:rPr>
          <w:rFonts w:ascii="Times New Roman" w:hAnsi="Times New Roman" w:eastAsia="方正仿宋_GB2312" w:cs="Times New Roman"/>
          <w:spacing w:val="-2"/>
          <w:sz w:val="32"/>
          <w:szCs w:val="32"/>
        </w:rPr>
        <w:t xml:space="preserve"> ，</w:t>
      </w:r>
      <w:r>
        <w:rPr>
          <w:rFonts w:ascii="Times New Roman" w:hAnsi="Times New Roman" w:eastAsia="方正仿宋_GB2312" w:cs="Times New Roman"/>
          <w:sz w:val="32"/>
          <w:szCs w:val="32"/>
        </w:rPr>
        <w:t>属于</w:t>
      </w:r>
      <w:r>
        <w:rPr>
          <w:rFonts w:ascii="Times New Roman" w:hAnsi="Times New Roman" w:eastAsia="方正仿宋_GB2312" w:cs="Times New Roman"/>
          <w:spacing w:val="-2"/>
          <w:sz w:val="32"/>
          <w:szCs w:val="32"/>
          <w:u w:val="single"/>
        </w:rPr>
        <w:t>（采购文件中明确的所属行业）</w:t>
      </w:r>
      <w:r>
        <w:rPr>
          <w:rFonts w:ascii="Times New Roman" w:hAnsi="Times New Roman" w:eastAsia="方正仿宋_GB2312" w:cs="Times New Roman"/>
          <w:spacing w:val="-2"/>
          <w:sz w:val="32"/>
          <w:szCs w:val="32"/>
        </w:rPr>
        <w:t>；</w:t>
      </w:r>
      <w:r>
        <w:rPr>
          <w:rFonts w:ascii="Times New Roman" w:hAnsi="Times New Roman" w:eastAsia="方正仿宋_GB2312" w:cs="Times New Roman"/>
          <w:sz w:val="32"/>
          <w:szCs w:val="32"/>
        </w:rPr>
        <w:t>承建（承接）企业为</w:t>
      </w:r>
      <w:r>
        <w:rPr>
          <w:rFonts w:ascii="Times New Roman" w:hAnsi="Times New Roman" w:eastAsia="方正仿宋_GB2312" w:cs="Times New Roman"/>
          <w:spacing w:val="-2"/>
          <w:sz w:val="32"/>
          <w:szCs w:val="32"/>
          <w:u w:val="single"/>
        </w:rPr>
        <w:t>（企业名称）</w:t>
      </w:r>
      <w:r>
        <w:rPr>
          <w:rFonts w:ascii="Times New Roman" w:hAnsi="Times New Roman" w:eastAsia="方正仿宋_GB2312" w:cs="Times New Roman"/>
          <w:spacing w:val="-2"/>
          <w:sz w:val="32"/>
          <w:szCs w:val="32"/>
        </w:rPr>
        <w:t>，从业人员</w:t>
      </w:r>
      <w:r>
        <w:rPr>
          <w:rFonts w:ascii="Times New Roman" w:hAnsi="Times New Roman" w:eastAsia="方正仿宋_GB2312" w:cs="Times New Roman"/>
          <w:spacing w:val="-2"/>
          <w:sz w:val="32"/>
          <w:szCs w:val="32"/>
          <w:u w:val="single"/>
        </w:rPr>
        <w:t xml:space="preserve">     </w:t>
      </w:r>
      <w:r>
        <w:rPr>
          <w:rFonts w:ascii="Times New Roman" w:hAnsi="Times New Roman" w:eastAsia="方正仿宋_GB2312" w:cs="Times New Roman"/>
          <w:spacing w:val="-2"/>
          <w:sz w:val="32"/>
          <w:szCs w:val="32"/>
        </w:rPr>
        <w:t>人，</w:t>
      </w:r>
      <w:r>
        <w:rPr>
          <w:rFonts w:ascii="Times New Roman" w:hAnsi="Times New Roman" w:eastAsia="方正仿宋_GB2312" w:cs="Times New Roman"/>
          <w:sz w:val="32"/>
          <w:szCs w:val="32"/>
        </w:rPr>
        <w:t>营业收入为</w:t>
      </w:r>
      <w:r>
        <w:rPr>
          <w:rFonts w:ascii="Times New Roman" w:hAnsi="Times New Roman" w:eastAsia="方正仿宋_GB2312" w:cs="Times New Roman"/>
          <w:spacing w:val="-2"/>
          <w:sz w:val="32"/>
          <w:szCs w:val="32"/>
          <w:u w:val="single"/>
        </w:rPr>
        <w:t xml:space="preserve">    </w:t>
      </w:r>
      <w:r>
        <w:rPr>
          <w:rFonts w:ascii="Times New Roman" w:hAnsi="Times New Roman" w:eastAsia="方正仿宋_GB2312" w:cs="Times New Roman"/>
          <w:sz w:val="32"/>
          <w:szCs w:val="32"/>
        </w:rPr>
        <w:t>万元，资产总额为</w:t>
      </w:r>
      <w:r>
        <w:rPr>
          <w:rFonts w:ascii="Times New Roman" w:hAnsi="Times New Roman" w:eastAsia="方正仿宋_GB2312" w:cs="Times New Roman"/>
          <w:spacing w:val="-2"/>
          <w:sz w:val="32"/>
          <w:szCs w:val="32"/>
          <w:u w:val="single"/>
        </w:rPr>
        <w:t xml:space="preserve">    </w:t>
      </w:r>
      <w:r>
        <w:rPr>
          <w:rFonts w:ascii="Times New Roman" w:hAnsi="Times New Roman" w:eastAsia="方正仿宋_GB2312" w:cs="Times New Roman"/>
          <w:sz w:val="32"/>
          <w:szCs w:val="32"/>
        </w:rPr>
        <w:t>万元，属于</w:t>
      </w:r>
      <w:r>
        <w:rPr>
          <w:rFonts w:ascii="Times New Roman" w:hAnsi="Times New Roman" w:eastAsia="方正仿宋_GB2312" w:cs="Times New Roman"/>
          <w:spacing w:val="-2"/>
          <w:sz w:val="32"/>
          <w:szCs w:val="32"/>
          <w:u w:val="single"/>
        </w:rPr>
        <w:t>（中型企业、小型企业、微型企业）</w:t>
      </w:r>
      <w:r>
        <w:rPr>
          <w:rFonts w:ascii="Times New Roman" w:hAnsi="Times New Roman" w:eastAsia="方正仿宋_GB2312" w:cs="Times New Roman"/>
          <w:spacing w:val="-2"/>
          <w:sz w:val="32"/>
          <w:szCs w:val="32"/>
        </w:rPr>
        <w:t xml:space="preserve">； </w:t>
      </w:r>
    </w:p>
    <w:p>
      <w:pPr>
        <w:spacing w:line="560" w:lineRule="exact"/>
        <w:ind w:firstLine="632" w:firstLineChars="200"/>
        <w:rPr>
          <w:rFonts w:ascii="Times New Roman" w:hAnsi="Times New Roman" w:eastAsia="方正仿宋_GB2312" w:cs="Times New Roman"/>
          <w:spacing w:val="-2"/>
          <w:sz w:val="32"/>
          <w:szCs w:val="32"/>
        </w:rPr>
      </w:pPr>
      <w:r>
        <w:rPr>
          <w:rFonts w:ascii="Times New Roman" w:hAnsi="Times New Roman" w:eastAsia="方正仿宋_GB2312" w:cs="Times New Roman"/>
          <w:spacing w:val="-2"/>
          <w:sz w:val="32"/>
          <w:szCs w:val="32"/>
        </w:rPr>
        <w:t>……</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以上企业，不属于大企业的分支机构，不存在控股股东为大企业的情形，也不存在与大企业的负责人为同一人的情形。</w:t>
      </w:r>
    </w:p>
    <w:p>
      <w:pPr>
        <w:spacing w:line="560" w:lineRule="exact"/>
        <w:ind w:firstLine="640" w:firstLineChars="200"/>
        <w:rPr>
          <w:rFonts w:ascii="Times New Roman" w:hAnsi="Times New Roman" w:eastAsia="方正仿宋_GB2312" w:cs="Times New Roman"/>
          <w:spacing w:val="-2"/>
          <w:sz w:val="32"/>
          <w:szCs w:val="32"/>
        </w:rPr>
      </w:pPr>
      <w:r>
        <w:rPr>
          <w:rFonts w:ascii="Times New Roman" w:hAnsi="Times New Roman" w:eastAsia="方正仿宋_GB2312" w:cs="Times New Roman"/>
          <w:sz w:val="32"/>
          <w:szCs w:val="32"/>
        </w:rPr>
        <w:t xml:space="preserve">本企业对上述声明内容的真实性负责。如有虚假，将依法承担相应责任。 </w:t>
      </w: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企业名称（盖章）：        </w:t>
      </w:r>
    </w:p>
    <w:p>
      <w:pPr>
        <w:spacing w:line="560" w:lineRule="exact"/>
        <w:ind w:firstLine="640" w:firstLineChars="200"/>
        <w:rPr>
          <w:rFonts w:ascii="Times New Roman" w:hAnsi="Times New Roman" w:eastAsia="方正仿宋_GB2312" w:cs="Times New Roman"/>
          <w:spacing w:val="-2"/>
          <w:sz w:val="32"/>
          <w:szCs w:val="32"/>
        </w:rPr>
      </w:pPr>
      <w:r>
        <w:rPr>
          <w:rFonts w:ascii="Times New Roman" w:hAnsi="Times New Roman" w:eastAsia="方正仿宋_GB2312" w:cs="Times New Roman"/>
          <w:sz w:val="32"/>
          <w:szCs w:val="32"/>
        </w:rPr>
        <w:t>日 期：</w:t>
      </w:r>
    </w:p>
    <w:p>
      <w:pPr>
        <w:pStyle w:val="34"/>
        <w:spacing w:after="0" w:line="560" w:lineRule="exact"/>
        <w:rPr>
          <w:rFonts w:ascii="Times New Roman" w:hAnsi="Times New Roman" w:eastAsia="方正仿宋_GB2312" w:cs="Times New Roman"/>
          <w:spacing w:val="-2"/>
          <w:sz w:val="32"/>
          <w:szCs w:val="32"/>
        </w:rPr>
      </w:pPr>
    </w:p>
    <w:p>
      <w:pPr>
        <w:spacing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从业人员、营业收入、资产总额填报上一年度数据，无上一年度数据的新成立企业可不填报。</w:t>
      </w: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Pr>
        <w:rPr>
          <w:rFonts w:ascii="Times New Roman" w:hAnsi="Times New Roman" w:eastAsia="方正仿宋_GB2312" w:cs="Times New Roman"/>
          <w:sz w:val="32"/>
          <w:szCs w:val="32"/>
        </w:rPr>
      </w:pPr>
    </w:p>
    <w:p>
      <w:pPr>
        <w:pStyle w:val="40"/>
        <w:ind w:left="420" w:firstLine="640"/>
        <w:rPr>
          <w:rFonts w:ascii="Times New Roman" w:hAnsi="Times New Roman" w:eastAsia="方正仿宋_GB2312" w:cs="Times New Roman"/>
          <w:sz w:val="32"/>
          <w:szCs w:val="32"/>
        </w:rPr>
      </w:pPr>
    </w:p>
    <w:p/>
    <w:p>
      <w:pPr>
        <w:pStyle w:val="3"/>
      </w:pPr>
      <w:bookmarkStart w:id="313" w:name="_Toc266"/>
      <w:bookmarkStart w:id="314" w:name="_Toc4967"/>
      <w:bookmarkStart w:id="315" w:name="_Toc14747"/>
      <w:r>
        <w:t>监狱企业证明</w:t>
      </w:r>
      <w:bookmarkEnd w:id="313"/>
      <w:bookmarkEnd w:id="314"/>
      <w:bookmarkEnd w:id="315"/>
    </w:p>
    <w:p>
      <w:pPr>
        <w:spacing w:line="560" w:lineRule="exact"/>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（注：符合条件的监狱企业请提供本函，不符合的不提供本函）</w:t>
      </w:r>
    </w:p>
    <w:p>
      <w:pPr>
        <w:pStyle w:val="210"/>
        <w:snapToGrid w:val="0"/>
        <w:spacing w:before="120" w:beforeLines="50" w:line="560" w:lineRule="exact"/>
        <w:rPr>
          <w:rFonts w:ascii="Times New Roman" w:hAnsi="Times New Roman" w:eastAsia="方正仿宋_GB2312" w:cs="Times New Roman"/>
          <w:sz w:val="32"/>
          <w:szCs w:val="32"/>
        </w:rPr>
      </w:pPr>
    </w:p>
    <w:p>
      <w:pPr>
        <w:pStyle w:val="210"/>
        <w:snapToGrid w:val="0"/>
        <w:spacing w:before="120" w:beforeLines="50" w:line="560" w:lineRule="exact"/>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省级以上监狱管理局、戒毒管理局（含新疆生产建设兵团）出具的属于监狱企业的证明文件。</w:t>
      </w:r>
    </w:p>
    <w:p>
      <w:pPr>
        <w:shd w:val="clear" w:color="auto" w:fill="FFFFFF"/>
        <w:spacing w:line="560" w:lineRule="exact"/>
        <w:jc w:val="center"/>
        <w:outlineLvl w:val="0"/>
        <w:rPr>
          <w:rFonts w:ascii="Times New Roman" w:hAnsi="Times New Roman" w:eastAsia="方正仿宋_GB2312" w:cs="Times New Roman"/>
          <w:sz w:val="32"/>
          <w:szCs w:val="32"/>
        </w:rPr>
      </w:pPr>
      <w:r>
        <w:rPr>
          <w:rFonts w:ascii="Times New Roman" w:hAnsi="Times New Roman" w:eastAsia="方正仿宋_GB2312" w:cs="Times New Roman"/>
          <w:spacing w:val="-2"/>
          <w:sz w:val="32"/>
          <w:szCs w:val="32"/>
        </w:rPr>
        <w:br w:type="page"/>
      </w:r>
      <w:bookmarkStart w:id="316" w:name="_Toc4261"/>
      <w:bookmarkStart w:id="317" w:name="_Toc14921"/>
      <w:bookmarkStart w:id="318" w:name="_Toc19320"/>
      <w:r>
        <w:rPr>
          <w:rStyle w:val="63"/>
        </w:rPr>
        <w:t>残疾人福利性单位声明函</w:t>
      </w:r>
      <w:bookmarkEnd w:id="316"/>
      <w:bookmarkEnd w:id="317"/>
      <w:bookmarkEnd w:id="318"/>
    </w:p>
    <w:p>
      <w:pPr>
        <w:widowControl/>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pPr>
        <w:widowControl/>
        <w:spacing w:line="560" w:lineRule="exact"/>
        <w:ind w:firstLine="640" w:firstLineChars="200"/>
        <w:rPr>
          <w:rStyle w:val="211"/>
          <w:rFonts w:hAnsi="Times New Roman" w:eastAsia="方正仿宋_GB2312" w:cs="Times New Roman"/>
          <w:sz w:val="32"/>
          <w:szCs w:val="32"/>
        </w:rPr>
      </w:pPr>
      <w:r>
        <w:rPr>
          <w:rStyle w:val="211"/>
          <w:rFonts w:hAnsi="Times New Roman" w:eastAsia="方正仿宋_GB2312" w:cs="Times New Roman"/>
          <w:sz w:val="32"/>
          <w:szCs w:val="32"/>
        </w:rPr>
        <w:t>本单位郑重声明，根据《财政部 民政部 中国残疾人联合会关于促进残疾人就业政府采购政策的通知》（财库〔2017〕141号）的规定，本单位为符合条件的残疾人福利性单位， 且本单位参加______单位的采购文件编号为______的项目采购活动提供本单位制造的服务或产品（由本单位承担工程/提供服务），或者提供其他残疾人福利性单位制造的服务或产品（不包括使用非残疾人福利性单位注册商标的服务或产品）。</w:t>
      </w:r>
    </w:p>
    <w:p>
      <w:pPr>
        <w:widowControl/>
        <w:spacing w:line="560" w:lineRule="exact"/>
        <w:ind w:firstLine="640" w:firstLineChars="200"/>
        <w:rPr>
          <w:rStyle w:val="211"/>
          <w:rFonts w:hAnsi="Times New Roman" w:eastAsia="方正仿宋_GB2312" w:cs="Times New Roman"/>
          <w:sz w:val="32"/>
          <w:szCs w:val="32"/>
        </w:rPr>
      </w:pPr>
      <w:r>
        <w:rPr>
          <w:rStyle w:val="211"/>
          <w:rFonts w:hAnsi="Times New Roman" w:eastAsia="方正仿宋_GB2312" w:cs="Times New Roman"/>
          <w:sz w:val="32"/>
          <w:szCs w:val="32"/>
        </w:rPr>
        <w:t>本单位在本次政府采购活动中提供的残疾人福利单位产品报价合计为人民币（大写）  元整（￥：  ）。</w:t>
      </w:r>
    </w:p>
    <w:p>
      <w:pPr>
        <w:widowControl/>
        <w:spacing w:line="560" w:lineRule="exact"/>
        <w:ind w:firstLine="640" w:firstLineChars="200"/>
        <w:rPr>
          <w:rStyle w:val="211"/>
          <w:rFonts w:hAnsi="Times New Roman" w:eastAsia="方正仿宋_GB2312" w:cs="Times New Roman"/>
          <w:sz w:val="32"/>
          <w:szCs w:val="32"/>
        </w:rPr>
      </w:pPr>
      <w:r>
        <w:rPr>
          <w:rStyle w:val="211"/>
          <w:rFonts w:hAnsi="Times New Roman" w:eastAsia="方正仿宋_GB2312" w:cs="Times New Roman"/>
          <w:sz w:val="32"/>
          <w:szCs w:val="32"/>
        </w:rPr>
        <w:t>本单位对上述声明的真实性负责。如有虚假，将依法承担相应责任。</w:t>
      </w:r>
    </w:p>
    <w:p>
      <w:pPr>
        <w:widowControl/>
        <w:spacing w:line="560" w:lineRule="exact"/>
        <w:rPr>
          <w:rStyle w:val="211"/>
          <w:rFonts w:hAnsi="Times New Roman" w:eastAsia="方正仿宋_GB2312" w:cs="Times New Roman"/>
          <w:sz w:val="32"/>
          <w:szCs w:val="32"/>
        </w:rPr>
      </w:pPr>
      <w:r>
        <w:rPr>
          <w:rStyle w:val="211"/>
          <w:rFonts w:hAnsi="Times New Roman" w:eastAsia="方正仿宋_GB2312" w:cs="Times New Roman"/>
          <w:sz w:val="32"/>
          <w:szCs w:val="32"/>
        </w:rPr>
        <w:t>（备注：1、供应商如不提供此声明函，价格将不做相应扣除。2、中标供应商为残疾人福利单位的，此声明函将随中标结果同时公告，接受社会监督）</w:t>
      </w:r>
    </w:p>
    <w:p>
      <w:pPr>
        <w:widowControl/>
        <w:spacing w:line="560" w:lineRule="exact"/>
        <w:rPr>
          <w:rFonts w:ascii="Times New Roman" w:hAnsi="Times New Roman" w:eastAsia="方正仿宋_GB2312" w:cs="Times New Roman"/>
          <w:sz w:val="32"/>
          <w:szCs w:val="32"/>
        </w:rPr>
      </w:pPr>
    </w:p>
    <w:p>
      <w:pPr>
        <w:widowControl/>
        <w:spacing w:line="560" w:lineRule="exact"/>
        <w:rPr>
          <w:rFonts w:ascii="Times New Roman" w:hAnsi="Times New Roman" w:eastAsia="方正仿宋_GB2312" w:cs="Times New Roman"/>
          <w:sz w:val="32"/>
          <w:szCs w:val="32"/>
        </w:rPr>
      </w:pPr>
    </w:p>
    <w:p>
      <w:pPr>
        <w:pStyle w:val="212"/>
        <w:spacing w:line="560" w:lineRule="exact"/>
        <w:ind w:firstLine="640"/>
        <w:rPr>
          <w:rFonts w:ascii="Times New Roman" w:hAnsi="Times New Roman" w:eastAsia="方正仿宋_GB2312"/>
          <w:color w:val="000000"/>
          <w:sz w:val="32"/>
          <w:szCs w:val="32"/>
          <w:u w:val="single"/>
        </w:rPr>
      </w:pPr>
      <w:r>
        <w:rPr>
          <w:rStyle w:val="211"/>
          <w:rFonts w:hAnsi="Times New Roman" w:eastAsia="方正仿宋_GB2312" w:cs="Times New Roman"/>
          <w:sz w:val="32"/>
          <w:szCs w:val="32"/>
        </w:rPr>
        <w:t xml:space="preserve">供应商名称（盖章）：                             </w:t>
      </w:r>
    </w:p>
    <w:p>
      <w:pPr>
        <w:pStyle w:val="212"/>
        <w:spacing w:line="560" w:lineRule="exact"/>
        <w:ind w:firstLine="640"/>
        <w:rPr>
          <w:rFonts w:ascii="Times New Roman" w:hAnsi="Times New Roman" w:eastAsia="方正仿宋_GB2312"/>
          <w:sz w:val="32"/>
          <w:szCs w:val="32"/>
        </w:rPr>
      </w:pPr>
      <w:r>
        <w:rPr>
          <w:rStyle w:val="211"/>
          <w:rFonts w:hAnsi="Times New Roman" w:eastAsia="方正仿宋_GB2312" w:cs="Times New Roman"/>
          <w:sz w:val="32"/>
          <w:szCs w:val="32"/>
        </w:rPr>
        <w:t xml:space="preserve">法定代表人或其授权委托人（签字或盖章）：  </w:t>
      </w:r>
    </w:p>
    <w:p>
      <w:pPr>
        <w:pStyle w:val="212"/>
        <w:spacing w:line="560" w:lineRule="exact"/>
        <w:ind w:firstLine="640"/>
        <w:rPr>
          <w:rFonts w:ascii="Times New Roman" w:hAnsi="Times New Roman" w:eastAsia="方正仿宋_GB2312"/>
          <w:sz w:val="32"/>
          <w:szCs w:val="32"/>
        </w:rPr>
      </w:pPr>
      <w:r>
        <w:rPr>
          <w:rStyle w:val="211"/>
          <w:rFonts w:hAnsi="Times New Roman" w:eastAsia="方正仿宋_GB2312" w:cs="Times New Roman"/>
          <w:sz w:val="32"/>
          <w:szCs w:val="32"/>
        </w:rPr>
        <w:t>日期：       年      月      日</w:t>
      </w:r>
    </w:p>
    <w:p>
      <w:pPr>
        <w:pStyle w:val="14"/>
        <w:spacing w:line="560" w:lineRule="exact"/>
        <w:jc w:val="both"/>
        <w:rPr>
          <w:rFonts w:ascii="Times New Roman" w:hAnsi="Times New Roman" w:eastAsia="方正仿宋_GB2312" w:cs="Times New Roman"/>
          <w:color w:val="000000"/>
          <w:sz w:val="32"/>
          <w:szCs w:val="32"/>
        </w:rPr>
      </w:pPr>
    </w:p>
    <w:p>
      <w:pPr>
        <w:spacing w:line="560" w:lineRule="exact"/>
        <w:rPr>
          <w:rFonts w:ascii="Times New Roman" w:hAnsi="Times New Roman" w:eastAsia="方正仿宋_GB2312" w:cs="Times New Roman"/>
          <w:sz w:val="32"/>
          <w:szCs w:val="32"/>
        </w:rPr>
      </w:pPr>
    </w:p>
    <w:p>
      <w:pPr>
        <w:spacing w:line="560" w:lineRule="exact"/>
        <w:ind w:firstLine="4000" w:firstLineChars="1250"/>
        <w:rPr>
          <w:rFonts w:ascii="仿宋" w:hAnsi="仿宋" w:eastAsia="仿宋" w:cs="仿宋"/>
          <w:b/>
          <w:bCs/>
          <w:sz w:val="32"/>
          <w:szCs w:val="32"/>
        </w:rPr>
      </w:pPr>
      <w:r>
        <w:rPr>
          <w:rFonts w:ascii="Times New Roman" w:hAnsi="Times New Roman" w:eastAsia="方正仿宋_GB2312" w:cs="Times New Roman"/>
          <w:sz w:val="32"/>
          <w:szCs w:val="32"/>
        </w:rPr>
        <w:br w:type="page"/>
      </w:r>
      <w:bookmarkStart w:id="319" w:name="_Toc11150"/>
      <w:bookmarkStart w:id="320" w:name="_Toc3027"/>
      <w:bookmarkStart w:id="321" w:name="_Toc28068"/>
      <w:r>
        <w:rPr>
          <w:rFonts w:hint="eastAsia" w:ascii="仿宋" w:hAnsi="仿宋" w:eastAsia="仿宋" w:cs="仿宋"/>
          <w:b/>
          <w:bCs/>
          <w:sz w:val="32"/>
          <w:szCs w:val="32"/>
        </w:rPr>
        <w:t>分包意向协议</w:t>
      </w:r>
    </w:p>
    <w:p>
      <w:pPr>
        <w:pStyle w:val="221"/>
        <w:spacing w:after="0" w:line="440" w:lineRule="exact"/>
        <w:ind w:firstLine="600"/>
        <w:rPr>
          <w:rFonts w:ascii="仿宋" w:hAnsi="仿宋" w:eastAsia="仿宋" w:cs="仿宋"/>
          <w:sz w:val="32"/>
          <w:szCs w:val="32"/>
        </w:rPr>
      </w:pP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若成为</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rPr>
        <w:t>（项目名称）</w:t>
      </w:r>
      <w:r>
        <w:rPr>
          <w:rFonts w:hint="eastAsia" w:ascii="仿宋" w:hAnsi="仿宋" w:eastAsia="仿宋" w:cs="仿宋"/>
          <w:color w:val="000000"/>
          <w:sz w:val="32"/>
          <w:szCs w:val="32"/>
        </w:rPr>
        <w:t>的中标</w:t>
      </w:r>
      <w:r>
        <w:rPr>
          <w:rFonts w:hint="eastAsia" w:ascii="仿宋" w:hAnsi="仿宋" w:eastAsia="仿宋" w:cs="仿宋"/>
          <w:color w:val="000000"/>
          <w:sz w:val="32"/>
          <w:szCs w:val="32"/>
          <w:lang w:val="en-US"/>
        </w:rPr>
        <w:t>单位，</w:t>
      </w:r>
      <w:r>
        <w:rPr>
          <w:rFonts w:hint="eastAsia" w:ascii="仿宋" w:hAnsi="仿宋" w:eastAsia="仿宋" w:cs="仿宋"/>
          <w:color w:val="000000"/>
          <w:sz w:val="32"/>
          <w:szCs w:val="32"/>
        </w:rPr>
        <w:t>将依法采取分包方式履行合同。</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与</w:t>
      </w:r>
      <w:r>
        <w:rPr>
          <w:rFonts w:hint="eastAsia" w:ascii="仿宋" w:hAnsi="仿宋" w:eastAsia="仿宋" w:cs="仿宋"/>
          <w:color w:val="000000"/>
          <w:sz w:val="32"/>
          <w:szCs w:val="32"/>
          <w:u w:val="single"/>
        </w:rPr>
        <w:t>（所有分包供应商名称）</w:t>
      </w:r>
      <w:r>
        <w:rPr>
          <w:rFonts w:hint="eastAsia" w:ascii="仿宋" w:hAnsi="仿宋" w:eastAsia="仿宋" w:cs="仿宋"/>
          <w:color w:val="000000"/>
          <w:sz w:val="32"/>
          <w:szCs w:val="32"/>
        </w:rPr>
        <w:t>达成分包意向协议。</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一、分包意向各方关系</w:t>
      </w:r>
    </w:p>
    <w:p>
      <w:pPr>
        <w:spacing w:line="440" w:lineRule="exact"/>
        <w:ind w:firstLine="640" w:firstLineChars="200"/>
        <w:rPr>
          <w:rFonts w:ascii="仿宋" w:hAnsi="仿宋" w:eastAsia="仿宋" w:cs="仿宋"/>
          <w:sz w:val="32"/>
          <w:szCs w:val="32"/>
        </w:rPr>
      </w:pPr>
      <w:r>
        <w:rPr>
          <w:rFonts w:hint="eastAsia" w:ascii="仿宋" w:hAnsi="仿宋" w:eastAsia="仿宋" w:cs="仿宋"/>
          <w:kern w:val="0"/>
          <w:sz w:val="32"/>
          <w:szCs w:val="32"/>
          <w:u w:val="single"/>
        </w:rPr>
        <w:t>（甲公司全称）</w:t>
      </w:r>
      <w:r>
        <w:rPr>
          <w:rFonts w:hint="eastAsia" w:ascii="仿宋" w:hAnsi="仿宋" w:eastAsia="仿宋" w:cs="仿宋"/>
          <w:kern w:val="0"/>
          <w:sz w:val="32"/>
          <w:szCs w:val="32"/>
        </w:rPr>
        <w:t>为</w:t>
      </w:r>
      <w:r>
        <w:rPr>
          <w:rFonts w:hint="eastAsia" w:ascii="仿宋" w:hAnsi="仿宋" w:eastAsia="仿宋" w:cs="仿宋"/>
          <w:sz w:val="32"/>
          <w:szCs w:val="32"/>
        </w:rPr>
        <w:t>投标供应商</w:t>
      </w:r>
      <w:r>
        <w:rPr>
          <w:rFonts w:hint="eastAsia" w:ascii="仿宋" w:hAnsi="仿宋" w:eastAsia="仿宋" w:cs="仿宋"/>
          <w:kern w:val="0"/>
          <w:sz w:val="32"/>
          <w:szCs w:val="32"/>
        </w:rPr>
        <w:t>、</w:t>
      </w:r>
      <w:r>
        <w:rPr>
          <w:rFonts w:hint="eastAsia" w:ascii="仿宋" w:hAnsi="仿宋" w:eastAsia="仿宋" w:cs="仿宋"/>
          <w:kern w:val="0"/>
          <w:sz w:val="32"/>
          <w:szCs w:val="32"/>
          <w:u w:val="single"/>
        </w:rPr>
        <w:t>（乙公司全称）</w:t>
      </w:r>
      <w:r>
        <w:rPr>
          <w:rFonts w:hint="eastAsia" w:ascii="仿宋" w:hAnsi="仿宋" w:eastAsia="仿宋" w:cs="仿宋"/>
          <w:kern w:val="0"/>
          <w:sz w:val="32"/>
          <w:szCs w:val="32"/>
        </w:rPr>
        <w:t>、</w:t>
      </w:r>
      <w:r>
        <w:rPr>
          <w:rFonts w:hint="eastAsia" w:ascii="仿宋" w:hAnsi="仿宋" w:eastAsia="仿宋" w:cs="仿宋"/>
          <w:kern w:val="0"/>
          <w:sz w:val="32"/>
          <w:szCs w:val="32"/>
          <w:u w:val="single"/>
        </w:rPr>
        <w:t>（……公司全称）</w:t>
      </w:r>
      <w:r>
        <w:rPr>
          <w:rFonts w:hint="eastAsia" w:ascii="仿宋" w:hAnsi="仿宋" w:eastAsia="仿宋" w:cs="仿宋"/>
          <w:sz w:val="32"/>
          <w:szCs w:val="32"/>
        </w:rPr>
        <w:t>为分包意向供应商，</w:t>
      </w:r>
      <w:r>
        <w:rPr>
          <w:rFonts w:hint="eastAsia" w:ascii="仿宋" w:hAnsi="仿宋" w:eastAsia="仿宋" w:cs="仿宋"/>
          <w:kern w:val="0"/>
          <w:sz w:val="32"/>
          <w:szCs w:val="32"/>
          <w:u w:val="single"/>
        </w:rPr>
        <w:t>（甲公司全称）</w:t>
      </w:r>
      <w:r>
        <w:rPr>
          <w:rFonts w:hint="eastAsia" w:ascii="仿宋" w:hAnsi="仿宋" w:eastAsia="仿宋" w:cs="仿宋"/>
          <w:sz w:val="32"/>
          <w:szCs w:val="32"/>
        </w:rPr>
        <w:t>以投标供应商的身份参加本项目的</w:t>
      </w:r>
      <w:r>
        <w:rPr>
          <w:rFonts w:hint="eastAsia" w:ascii="仿宋" w:hAnsi="仿宋" w:eastAsia="仿宋" w:cs="仿宋"/>
          <w:kern w:val="0"/>
          <w:sz w:val="32"/>
          <w:szCs w:val="32"/>
        </w:rPr>
        <w:t>投标</w:t>
      </w:r>
      <w:r>
        <w:rPr>
          <w:rFonts w:hint="eastAsia" w:ascii="仿宋" w:hAnsi="仿宋" w:eastAsia="仿宋" w:cs="仿宋"/>
          <w:sz w:val="32"/>
          <w:szCs w:val="32"/>
        </w:rPr>
        <w:t>。若中标，</w:t>
      </w:r>
      <w:r>
        <w:rPr>
          <w:rFonts w:hint="eastAsia" w:ascii="仿宋" w:hAnsi="仿宋" w:eastAsia="仿宋" w:cs="仿宋"/>
          <w:kern w:val="0"/>
          <w:sz w:val="32"/>
          <w:szCs w:val="32"/>
          <w:u w:val="single"/>
        </w:rPr>
        <w:t>（甲公司全称）</w:t>
      </w:r>
      <w:r>
        <w:rPr>
          <w:rFonts w:hint="eastAsia" w:ascii="仿宋" w:hAnsi="仿宋" w:eastAsia="仿宋" w:cs="仿宋"/>
          <w:kern w:val="0"/>
          <w:sz w:val="32"/>
          <w:szCs w:val="32"/>
        </w:rPr>
        <w:t>与</w:t>
      </w:r>
      <w:r>
        <w:rPr>
          <w:rFonts w:hint="eastAsia" w:ascii="仿宋" w:hAnsi="仿宋" w:eastAsia="仿宋" w:cs="仿宋"/>
          <w:sz w:val="32"/>
          <w:szCs w:val="32"/>
        </w:rPr>
        <w:t>采购人签订政府采购合同。承接分包意向的各供应商与</w:t>
      </w:r>
      <w:r>
        <w:rPr>
          <w:rFonts w:hint="eastAsia" w:ascii="仿宋" w:hAnsi="仿宋" w:eastAsia="仿宋" w:cs="仿宋"/>
          <w:sz w:val="32"/>
          <w:szCs w:val="32"/>
          <w:u w:val="single"/>
        </w:rPr>
        <w:t>（</w:t>
      </w:r>
      <w:r>
        <w:rPr>
          <w:rFonts w:hint="eastAsia" w:ascii="仿宋" w:hAnsi="仿宋" w:eastAsia="仿宋" w:cs="仿宋"/>
          <w:kern w:val="0"/>
          <w:sz w:val="32"/>
          <w:szCs w:val="32"/>
          <w:u w:val="single"/>
        </w:rPr>
        <w:t>甲公司全称</w:t>
      </w:r>
      <w:r>
        <w:rPr>
          <w:rFonts w:hint="eastAsia" w:ascii="仿宋" w:hAnsi="仿宋" w:eastAsia="仿宋" w:cs="仿宋"/>
          <w:sz w:val="32"/>
          <w:szCs w:val="32"/>
          <w:u w:val="single"/>
        </w:rPr>
        <w:t>）</w:t>
      </w:r>
      <w:r>
        <w:rPr>
          <w:rFonts w:hint="eastAsia" w:ascii="仿宋" w:hAnsi="仿宋" w:eastAsia="仿宋" w:cs="仿宋"/>
          <w:sz w:val="32"/>
          <w:szCs w:val="32"/>
        </w:rPr>
        <w:t>签订分包合同。</w:t>
      </w:r>
      <w:r>
        <w:rPr>
          <w:rFonts w:hint="eastAsia" w:ascii="仿宋" w:hAnsi="仿宋" w:eastAsia="仿宋" w:cs="仿宋"/>
          <w:kern w:val="0"/>
          <w:sz w:val="32"/>
          <w:szCs w:val="32"/>
          <w:u w:val="single"/>
        </w:rPr>
        <w:t>（甲公司全称）</w:t>
      </w:r>
      <w:r>
        <w:rPr>
          <w:rFonts w:hint="eastAsia" w:ascii="仿宋" w:hAnsi="仿宋" w:eastAsia="仿宋" w:cs="仿宋"/>
          <w:sz w:val="32"/>
          <w:szCs w:val="32"/>
        </w:rPr>
        <w:t>就采购项目和分包项目向采购人负责，分包供应商就分包项目承担责任。</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二、有关事项约定如下：</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1.如中标，分包供应商分别与</w:t>
      </w:r>
      <w:r>
        <w:rPr>
          <w:rFonts w:hint="eastAsia" w:ascii="仿宋" w:hAnsi="仿宋" w:eastAsia="仿宋" w:cs="仿宋"/>
          <w:sz w:val="32"/>
          <w:szCs w:val="32"/>
          <w:u w:val="single"/>
        </w:rPr>
        <w:t>（</w:t>
      </w:r>
      <w:r>
        <w:rPr>
          <w:rFonts w:hint="eastAsia" w:ascii="仿宋" w:hAnsi="仿宋" w:eastAsia="仿宋" w:cs="仿宋"/>
          <w:kern w:val="0"/>
          <w:sz w:val="32"/>
          <w:szCs w:val="32"/>
          <w:u w:val="single"/>
        </w:rPr>
        <w:t>甲公司全称</w:t>
      </w:r>
      <w:r>
        <w:rPr>
          <w:rFonts w:hint="eastAsia" w:ascii="仿宋" w:hAnsi="仿宋" w:eastAsia="仿宋" w:cs="仿宋"/>
          <w:sz w:val="32"/>
          <w:szCs w:val="32"/>
          <w:u w:val="single"/>
        </w:rPr>
        <w:t>）</w:t>
      </w:r>
      <w:r>
        <w:rPr>
          <w:rFonts w:hint="eastAsia" w:ascii="仿宋" w:hAnsi="仿宋" w:eastAsia="仿宋" w:cs="仿宋"/>
          <w:sz w:val="32"/>
          <w:szCs w:val="32"/>
        </w:rPr>
        <w:t>签订合同书，并就中标项目分包部分向采购人负责有连带的和各自的法律责任；</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2.分包意向供应商1</w:t>
      </w:r>
      <w:r>
        <w:rPr>
          <w:rFonts w:hint="eastAsia" w:ascii="仿宋" w:hAnsi="仿宋" w:eastAsia="仿宋" w:cs="仿宋"/>
          <w:sz w:val="32"/>
          <w:szCs w:val="32"/>
          <w:u w:val="single"/>
        </w:rPr>
        <w:t>　（公司全称）　</w:t>
      </w:r>
      <w:r>
        <w:rPr>
          <w:rFonts w:hint="eastAsia" w:ascii="仿宋" w:hAnsi="仿宋" w:eastAsia="仿宋" w:cs="仿宋"/>
          <w:sz w:val="32"/>
          <w:szCs w:val="32"/>
        </w:rPr>
        <w:t>为</w:t>
      </w:r>
      <w:r>
        <w:rPr>
          <w:rFonts w:hint="eastAsia" w:ascii="仿宋" w:hAnsi="仿宋" w:eastAsia="仿宋" w:cs="仿宋"/>
          <w:sz w:val="32"/>
          <w:szCs w:val="32"/>
          <w:u w:val="single"/>
        </w:rPr>
        <w:t>（请填写：大型、中型、小型、微型）</w:t>
      </w:r>
      <w:r>
        <w:rPr>
          <w:rFonts w:hint="eastAsia" w:ascii="仿宋" w:hAnsi="仿宋" w:eastAsia="仿宋" w:cs="仿宋"/>
          <w:sz w:val="32"/>
          <w:szCs w:val="32"/>
        </w:rPr>
        <w:t>企业，将承担适宜分包部分</w:t>
      </w:r>
      <w:r>
        <w:rPr>
          <w:rFonts w:hint="eastAsia" w:ascii="仿宋" w:hAnsi="仿宋" w:eastAsia="仿宋" w:cs="仿宋"/>
          <w:sz w:val="32"/>
          <w:szCs w:val="32"/>
          <w:u w:val="single"/>
        </w:rPr>
        <w:t xml:space="preserve"> （具体分包内容），</w:t>
      </w:r>
      <w:r>
        <w:rPr>
          <w:rFonts w:hint="eastAsia" w:ascii="仿宋" w:hAnsi="仿宋" w:eastAsia="仿宋" w:cs="仿宋"/>
          <w:sz w:val="32"/>
          <w:szCs w:val="32"/>
        </w:rPr>
        <w:t>合同总金额</w:t>
      </w:r>
      <w:r>
        <w:rPr>
          <w:rFonts w:hint="eastAsia" w:ascii="仿宋" w:hAnsi="仿宋" w:eastAsia="仿宋" w:cs="仿宋"/>
          <w:sz w:val="32"/>
          <w:szCs w:val="32"/>
          <w:u w:val="single"/>
        </w:rPr>
        <w:t>　　</w:t>
      </w:r>
      <w:r>
        <w:rPr>
          <w:rFonts w:hint="eastAsia" w:ascii="仿宋" w:hAnsi="仿宋" w:eastAsia="仿宋" w:cs="仿宋"/>
          <w:sz w:val="32"/>
          <w:szCs w:val="32"/>
        </w:rPr>
        <w:t>的工作内容。</w:t>
      </w:r>
    </w:p>
    <w:p>
      <w:pPr>
        <w:rPr>
          <w:rFonts w:ascii="仿宋" w:hAnsi="仿宋" w:eastAsia="仿宋" w:cs="仿宋"/>
          <w:sz w:val="32"/>
          <w:szCs w:val="32"/>
        </w:rPr>
      </w:pPr>
      <w:r>
        <w:rPr>
          <w:rFonts w:hint="eastAsia" w:ascii="仿宋" w:hAnsi="仿宋" w:eastAsia="仿宋" w:cs="仿宋"/>
          <w:sz w:val="32"/>
          <w:szCs w:val="32"/>
        </w:rPr>
        <w:t>3.分包意向供应商2</w:t>
      </w:r>
      <w:r>
        <w:rPr>
          <w:rFonts w:hint="eastAsia" w:ascii="仿宋" w:hAnsi="仿宋" w:eastAsia="仿宋" w:cs="仿宋"/>
          <w:sz w:val="32"/>
          <w:szCs w:val="32"/>
          <w:u w:val="single"/>
        </w:rPr>
        <w:t>　（公司全称）　</w:t>
      </w:r>
      <w:r>
        <w:rPr>
          <w:rFonts w:hint="eastAsia" w:ascii="仿宋" w:hAnsi="仿宋" w:eastAsia="仿宋" w:cs="仿宋"/>
          <w:sz w:val="32"/>
          <w:szCs w:val="32"/>
        </w:rPr>
        <w:t>为</w:t>
      </w:r>
      <w:r>
        <w:rPr>
          <w:rFonts w:hint="eastAsia" w:ascii="仿宋" w:hAnsi="仿宋" w:eastAsia="仿宋" w:cs="仿宋"/>
          <w:sz w:val="32"/>
          <w:szCs w:val="32"/>
          <w:u w:val="single"/>
        </w:rPr>
        <w:t>（请填写：大型、中型、小型、微型）</w:t>
      </w:r>
      <w:r>
        <w:rPr>
          <w:rFonts w:hint="eastAsia" w:ascii="仿宋" w:hAnsi="仿宋" w:eastAsia="仿宋" w:cs="仿宋"/>
          <w:sz w:val="32"/>
          <w:szCs w:val="32"/>
        </w:rPr>
        <w:t>企业，将承担适宜分包部分</w:t>
      </w:r>
      <w:r>
        <w:rPr>
          <w:rFonts w:hint="eastAsia" w:ascii="仿宋" w:hAnsi="仿宋" w:eastAsia="仿宋" w:cs="仿宋"/>
          <w:sz w:val="32"/>
          <w:szCs w:val="32"/>
          <w:u w:val="single"/>
        </w:rPr>
        <w:t>（具体分包内容），</w:t>
      </w:r>
      <w:r>
        <w:rPr>
          <w:rFonts w:hint="eastAsia" w:ascii="仿宋" w:hAnsi="仿宋" w:eastAsia="仿宋" w:cs="仿宋"/>
          <w:sz w:val="32"/>
          <w:szCs w:val="32"/>
        </w:rPr>
        <w:t>合同总金额</w:t>
      </w:r>
      <w:r>
        <w:rPr>
          <w:rFonts w:hint="eastAsia" w:ascii="仿宋" w:hAnsi="仿宋" w:eastAsia="仿宋" w:cs="仿宋"/>
          <w:sz w:val="32"/>
          <w:szCs w:val="32"/>
          <w:u w:val="single"/>
        </w:rPr>
        <w:t>　　</w:t>
      </w:r>
      <w:r>
        <w:rPr>
          <w:rFonts w:hint="eastAsia" w:ascii="仿宋" w:hAnsi="仿宋" w:eastAsia="仿宋" w:cs="仿宋"/>
          <w:sz w:val="32"/>
          <w:szCs w:val="32"/>
        </w:rPr>
        <w:t>的工作内容。</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4.分包意向供应商3</w:t>
      </w:r>
      <w:r>
        <w:rPr>
          <w:rFonts w:hint="eastAsia" w:ascii="仿宋" w:hAnsi="仿宋" w:eastAsia="仿宋" w:cs="仿宋"/>
          <w:sz w:val="32"/>
          <w:szCs w:val="32"/>
          <w:u w:val="single"/>
        </w:rPr>
        <w:t>　（公司全称）　</w:t>
      </w:r>
      <w:r>
        <w:rPr>
          <w:rFonts w:hint="eastAsia" w:ascii="仿宋" w:hAnsi="仿宋" w:eastAsia="仿宋" w:cs="仿宋"/>
          <w:sz w:val="32"/>
          <w:szCs w:val="32"/>
        </w:rPr>
        <w:t>为</w:t>
      </w:r>
      <w:r>
        <w:rPr>
          <w:rFonts w:hint="eastAsia" w:ascii="仿宋" w:hAnsi="仿宋" w:eastAsia="仿宋" w:cs="仿宋"/>
          <w:sz w:val="32"/>
          <w:szCs w:val="32"/>
          <w:u w:val="single"/>
        </w:rPr>
        <w:t>（请填写：大型、中型、小型、微型）</w:t>
      </w:r>
      <w:r>
        <w:rPr>
          <w:rFonts w:hint="eastAsia" w:ascii="仿宋" w:hAnsi="仿宋" w:eastAsia="仿宋" w:cs="仿宋"/>
          <w:sz w:val="32"/>
          <w:szCs w:val="32"/>
        </w:rPr>
        <w:t>企业，将承担适宜分包部分</w:t>
      </w:r>
      <w:r>
        <w:rPr>
          <w:rFonts w:hint="eastAsia" w:ascii="仿宋" w:hAnsi="仿宋" w:eastAsia="仿宋" w:cs="仿宋"/>
          <w:sz w:val="32"/>
          <w:szCs w:val="32"/>
          <w:u w:val="single"/>
        </w:rPr>
        <w:t>（具体分包内容），</w:t>
      </w:r>
      <w:r>
        <w:rPr>
          <w:rFonts w:hint="eastAsia" w:ascii="仿宋" w:hAnsi="仿宋" w:eastAsia="仿宋" w:cs="仿宋"/>
          <w:sz w:val="32"/>
          <w:szCs w:val="32"/>
        </w:rPr>
        <w:t>合同总金额</w:t>
      </w:r>
      <w:r>
        <w:rPr>
          <w:rFonts w:hint="eastAsia" w:ascii="仿宋" w:hAnsi="仿宋" w:eastAsia="仿宋" w:cs="仿宋"/>
          <w:sz w:val="32"/>
          <w:szCs w:val="32"/>
          <w:u w:val="single"/>
        </w:rPr>
        <w:t>　　</w:t>
      </w:r>
      <w:r>
        <w:rPr>
          <w:rFonts w:hint="eastAsia" w:ascii="仿宋" w:hAnsi="仿宋" w:eastAsia="仿宋" w:cs="仿宋"/>
          <w:sz w:val="32"/>
          <w:szCs w:val="32"/>
        </w:rPr>
        <w:t>的工作内容。</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三、接受分包合同的中小企业与分包企业之间</w:t>
      </w:r>
      <w:r>
        <w:rPr>
          <w:rFonts w:hint="eastAsia" w:ascii="仿宋" w:hAnsi="仿宋" w:eastAsia="仿宋" w:cs="仿宋"/>
          <w:sz w:val="32"/>
          <w:szCs w:val="32"/>
          <w:u w:val="single"/>
        </w:rPr>
        <w:t>（请填写：是否存在）</w:t>
      </w:r>
      <w:r>
        <w:rPr>
          <w:rFonts w:hint="eastAsia" w:ascii="仿宋" w:hAnsi="仿宋" w:eastAsia="仿宋" w:cs="仿宋"/>
          <w:sz w:val="32"/>
          <w:szCs w:val="32"/>
        </w:rPr>
        <w:t>直接控股、管理关系的情形。</w:t>
      </w:r>
    </w:p>
    <w:p>
      <w:pPr>
        <w:spacing w:line="4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四、如因违约过失责任而导致采购人经济损失或被索赔时，</w:t>
      </w:r>
      <w:r>
        <w:rPr>
          <w:rFonts w:hint="eastAsia" w:ascii="仿宋" w:hAnsi="仿宋" w:eastAsia="仿宋" w:cs="仿宋"/>
          <w:sz w:val="32"/>
          <w:szCs w:val="32"/>
          <w:u w:val="single"/>
        </w:rPr>
        <w:t>（</w:t>
      </w:r>
      <w:r>
        <w:rPr>
          <w:rFonts w:hint="eastAsia" w:ascii="仿宋" w:hAnsi="仿宋" w:eastAsia="仿宋" w:cs="仿宋"/>
          <w:kern w:val="0"/>
          <w:sz w:val="32"/>
          <w:szCs w:val="32"/>
          <w:u w:val="single"/>
        </w:rPr>
        <w:t>甲公司全称</w:t>
      </w:r>
      <w:r>
        <w:rPr>
          <w:rFonts w:hint="eastAsia" w:ascii="仿宋" w:hAnsi="仿宋" w:eastAsia="仿宋" w:cs="仿宋"/>
          <w:sz w:val="32"/>
          <w:szCs w:val="32"/>
          <w:u w:val="single"/>
        </w:rPr>
        <w:t>）</w:t>
      </w:r>
      <w:r>
        <w:rPr>
          <w:rFonts w:hint="eastAsia" w:ascii="仿宋" w:hAnsi="仿宋" w:eastAsia="仿宋" w:cs="仿宋"/>
          <w:kern w:val="0"/>
          <w:sz w:val="32"/>
          <w:szCs w:val="32"/>
        </w:rPr>
        <w:t>同意无条件优先清偿采购人的一切债务和经济赔偿。</w:t>
      </w:r>
    </w:p>
    <w:p>
      <w:pPr>
        <w:spacing w:line="4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五、中小企业合同金额为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，占</w:t>
      </w:r>
      <w:r>
        <w:rPr>
          <w:rFonts w:hint="eastAsia" w:ascii="仿宋" w:hAnsi="仿宋" w:eastAsia="仿宋" w:cs="仿宋"/>
          <w:sz w:val="32"/>
          <w:szCs w:val="32"/>
        </w:rPr>
        <w:t>合同总金额</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，其中小微企业合同金额为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，占</w:t>
      </w:r>
      <w:r>
        <w:rPr>
          <w:rFonts w:hint="eastAsia" w:ascii="仿宋" w:hAnsi="仿宋" w:eastAsia="仿宋" w:cs="仿宋"/>
          <w:sz w:val="32"/>
          <w:szCs w:val="32"/>
        </w:rPr>
        <w:t>合同总金额</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w:t>
      </w:r>
    </w:p>
    <w:p>
      <w:pPr>
        <w:widowControl/>
        <w:tabs>
          <w:tab w:val="left" w:pos="2977"/>
          <w:tab w:val="left" w:pos="5954"/>
        </w:tabs>
        <w:spacing w:line="440" w:lineRule="exact"/>
        <w:ind w:firstLine="6080" w:firstLineChars="1900"/>
        <w:jc w:val="left"/>
        <w:rPr>
          <w:rFonts w:ascii="仿宋" w:hAnsi="仿宋" w:eastAsia="仿宋" w:cs="仿宋"/>
          <w:kern w:val="0"/>
          <w:sz w:val="32"/>
          <w:szCs w:val="32"/>
        </w:rPr>
      </w:pPr>
    </w:p>
    <w:p>
      <w:pPr>
        <w:widowControl/>
        <w:tabs>
          <w:tab w:val="left" w:pos="2977"/>
          <w:tab w:val="left" w:pos="5954"/>
        </w:tabs>
        <w:spacing w:line="440" w:lineRule="exact"/>
        <w:ind w:firstLine="6080" w:firstLineChars="1900"/>
        <w:jc w:val="left"/>
        <w:rPr>
          <w:rFonts w:ascii="仿宋" w:hAnsi="仿宋" w:eastAsia="仿宋" w:cs="仿宋"/>
          <w:kern w:val="0"/>
          <w:sz w:val="32"/>
          <w:szCs w:val="32"/>
        </w:rPr>
      </w:pPr>
      <w:r>
        <w:rPr>
          <w:rFonts w:hint="eastAsia" w:ascii="仿宋" w:hAnsi="仿宋" w:eastAsia="仿宋" w:cs="仿宋"/>
          <w:kern w:val="0"/>
          <w:sz w:val="32"/>
          <w:szCs w:val="32"/>
        </w:rPr>
        <w:t xml:space="preserve">投标人：（盖章） </w:t>
      </w:r>
      <w:r>
        <w:rPr>
          <w:rFonts w:hint="eastAsia" w:ascii="仿宋" w:hAnsi="仿宋" w:eastAsia="仿宋" w:cs="仿宋"/>
          <w:kern w:val="0"/>
          <w:sz w:val="32"/>
          <w:szCs w:val="32"/>
        </w:rPr>
        <w:tab/>
      </w:r>
    </w:p>
    <w:p>
      <w:pPr>
        <w:widowControl/>
        <w:tabs>
          <w:tab w:val="left" w:pos="2977"/>
          <w:tab w:val="left" w:pos="5954"/>
        </w:tabs>
        <w:spacing w:line="440" w:lineRule="exact"/>
        <w:ind w:firstLine="5760" w:firstLineChars="1800"/>
        <w:jc w:val="left"/>
        <w:rPr>
          <w:rFonts w:ascii="仿宋" w:hAnsi="仿宋" w:eastAsia="仿宋" w:cs="仿宋"/>
          <w:kern w:val="0"/>
          <w:sz w:val="32"/>
          <w:szCs w:val="32"/>
        </w:rPr>
      </w:pPr>
      <w:r>
        <w:rPr>
          <w:rFonts w:hint="eastAsia" w:ascii="仿宋" w:hAnsi="仿宋" w:eastAsia="仿宋" w:cs="仿宋"/>
          <w:kern w:val="0"/>
          <w:sz w:val="32"/>
          <w:szCs w:val="32"/>
        </w:rPr>
        <w:t>法定代表人（签字或</w:t>
      </w:r>
      <w:r>
        <w:rPr>
          <w:rFonts w:hint="eastAsia" w:ascii="仿宋" w:hAnsi="仿宋" w:eastAsia="仿宋" w:cs="仿宋"/>
          <w:sz w:val="32"/>
          <w:szCs w:val="32"/>
        </w:rPr>
        <w:t>盖章</w:t>
      </w:r>
      <w:r>
        <w:rPr>
          <w:rFonts w:hint="eastAsia" w:ascii="仿宋" w:hAnsi="仿宋" w:eastAsia="仿宋" w:cs="仿宋"/>
          <w:kern w:val="0"/>
          <w:sz w:val="32"/>
          <w:szCs w:val="32"/>
        </w:rPr>
        <w:t>）</w:t>
      </w:r>
    </w:p>
    <w:p>
      <w:pPr>
        <w:widowControl/>
        <w:tabs>
          <w:tab w:val="left" w:pos="2977"/>
          <w:tab w:val="left" w:pos="5954"/>
        </w:tabs>
        <w:spacing w:line="440" w:lineRule="exact"/>
        <w:jc w:val="left"/>
        <w:rPr>
          <w:rFonts w:ascii="仿宋" w:hAnsi="仿宋" w:eastAsia="仿宋" w:cs="仿宋"/>
          <w:kern w:val="0"/>
          <w:sz w:val="32"/>
          <w:szCs w:val="32"/>
        </w:rPr>
      </w:pPr>
      <w:r>
        <w:rPr>
          <w:rFonts w:hint="eastAsia" w:ascii="仿宋" w:hAnsi="仿宋" w:eastAsia="仿宋" w:cs="仿宋"/>
          <w:kern w:val="0"/>
          <w:sz w:val="32"/>
          <w:szCs w:val="32"/>
        </w:rPr>
        <w:t>　　                                   年　　月　　日</w:t>
      </w:r>
      <w:r>
        <w:rPr>
          <w:rFonts w:hint="eastAsia" w:ascii="仿宋" w:hAnsi="仿宋" w:eastAsia="仿宋" w:cs="仿宋"/>
          <w:kern w:val="0"/>
          <w:sz w:val="32"/>
          <w:szCs w:val="32"/>
        </w:rPr>
        <w:tab/>
      </w:r>
    </w:p>
    <w:p>
      <w:pPr>
        <w:spacing w:line="440" w:lineRule="exact"/>
        <w:ind w:left="944" w:hanging="944" w:hangingChars="294"/>
        <w:rPr>
          <w:rFonts w:ascii="仿宋" w:hAnsi="仿宋" w:eastAsia="仿宋" w:cs="仿宋"/>
          <w:b/>
          <w:sz w:val="32"/>
          <w:szCs w:val="32"/>
        </w:rPr>
      </w:pPr>
    </w:p>
    <w:p>
      <w:pPr>
        <w:spacing w:line="440" w:lineRule="exact"/>
        <w:ind w:left="944" w:hanging="944" w:hangingChars="294"/>
        <w:rPr>
          <w:rFonts w:ascii="仿宋" w:hAnsi="仿宋" w:eastAsia="仿宋" w:cs="仿宋"/>
          <w:b/>
          <w:bCs/>
          <w:sz w:val="32"/>
          <w:szCs w:val="32"/>
        </w:rPr>
      </w:pPr>
      <w:r>
        <w:rPr>
          <w:rFonts w:hint="eastAsia" w:ascii="仿宋" w:hAnsi="仿宋" w:eastAsia="仿宋" w:cs="仿宋"/>
          <w:b/>
          <w:sz w:val="32"/>
          <w:szCs w:val="32"/>
        </w:rPr>
        <w:t>注：</w:t>
      </w:r>
      <w:r>
        <w:rPr>
          <w:rFonts w:hint="eastAsia" w:ascii="仿宋" w:hAnsi="仿宋" w:eastAsia="仿宋" w:cs="仿宋"/>
          <w:b/>
          <w:bCs/>
          <w:sz w:val="32"/>
          <w:szCs w:val="32"/>
        </w:rPr>
        <w:t>本分包意向协议内容将作为签订合同的附件之一。</w:t>
      </w:r>
    </w:p>
    <w:p>
      <w:pPr>
        <w:rPr>
          <w:sz w:val="32"/>
          <w:szCs w:val="32"/>
        </w:rPr>
      </w:pPr>
      <w:r>
        <w:rPr>
          <w:rFonts w:hint="eastAsia"/>
          <w:sz w:val="32"/>
          <w:szCs w:val="32"/>
        </w:rPr>
        <w:br w:type="page"/>
      </w:r>
    </w:p>
    <w:p>
      <w:pPr>
        <w:pStyle w:val="3"/>
        <w:jc w:val="center"/>
      </w:pPr>
      <w:r>
        <w:rPr>
          <w:rFonts w:hint="eastAsia"/>
        </w:rPr>
        <w:t>（二十三）</w:t>
      </w:r>
      <w:r>
        <w:t>其他需要提交的资料</w:t>
      </w:r>
      <w:bookmarkEnd w:id="245"/>
      <w:bookmarkEnd w:id="246"/>
      <w:bookmarkEnd w:id="319"/>
      <w:bookmarkEnd w:id="320"/>
      <w:bookmarkEnd w:id="321"/>
      <w:bookmarkStart w:id="322" w:name="_Toc502825832"/>
      <w:bookmarkEnd w:id="322"/>
    </w:p>
    <w:p>
      <w:pPr>
        <w:spacing w:line="560" w:lineRule="exact"/>
        <w:rPr>
          <w:rFonts w:ascii="Times New Roman" w:hAnsi="Times New Roman" w:eastAsia="方正仿宋_GB2312" w:cs="Times New Roman"/>
          <w:sz w:val="32"/>
          <w:szCs w:val="32"/>
        </w:rPr>
      </w:pPr>
    </w:p>
    <w:sectPr>
      <w:pgSz w:w="11906" w:h="16838"/>
      <w:pgMar w:top="1440" w:right="1134" w:bottom="1440" w:left="113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0"/>
      <w:jc w:val="right"/>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jc w:val="center"/>
                          </w:pPr>
                          <w:r>
                            <w:fldChar w:fldCharType="begin"/>
                          </w:r>
                          <w:r>
                            <w:instrText xml:space="preserve">PAGE   \* MERGEFORMAT</w:instrText>
                          </w:r>
                          <w:r>
                            <w:fldChar w:fldCharType="separate"/>
                          </w:r>
                          <w:r>
                            <w:rPr>
                              <w:lang w:val="zh-CN"/>
                            </w:rPr>
                            <w:t>35</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ENcM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vENcM0BAACnAwAADgAAAAAAAAABACAAAAAeAQAAZHJzL2Uy&#10;b0RvYy54bWxQSwUGAAAAAAYABgBZAQAAXQUAAAAA&#10;">
              <v:fill on="f" focussize="0,0"/>
              <v:stroke on="f"/>
              <v:imagedata o:title=""/>
              <o:lock v:ext="edit" aspectratio="f"/>
              <v:textbox inset="0mm,0mm,0mm,0mm" style="mso-fit-shape-to-text:t;">
                <w:txbxContent>
                  <w:p>
                    <w:pPr>
                      <w:pStyle w:val="23"/>
                      <w:jc w:val="center"/>
                    </w:pPr>
                    <w:r>
                      <w:fldChar w:fldCharType="begin"/>
                    </w:r>
                    <w:r>
                      <w:instrText xml:space="preserve">PAGE   \* MERGEFORMAT</w:instrText>
                    </w:r>
                    <w:r>
                      <w:fldChar w:fldCharType="separate"/>
                    </w:r>
                    <w:r>
                      <w:rPr>
                        <w:lang w:val="zh-CN"/>
                      </w:rPr>
                      <w:t>35</w:t>
                    </w:r>
                    <w:r>
                      <w:rPr>
                        <w:lang w:val="zh-CN"/>
                      </w:rPr>
                      <w:fldChar w:fldCharType="end"/>
                    </w:r>
                  </w:p>
                </w:txbxContent>
              </v:textbox>
            </v:shape>
          </w:pict>
        </mc:Fallback>
      </mc:AlternateContent>
    </w:r>
  </w:p>
  <w:p>
    <w:pPr>
      <w:pStyle w:val="2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C8EDE"/>
    <w:multiLevelType w:val="singleLevel"/>
    <w:tmpl w:val="EA0C8EDE"/>
    <w:lvl w:ilvl="0" w:tentative="0">
      <w:start w:val="1"/>
      <w:numFmt w:val="chineseCounting"/>
      <w:suff w:val="nothing"/>
      <w:lvlText w:val="%1、"/>
      <w:lvlJc w:val="left"/>
      <w:rPr>
        <w:rFonts w:hint="eastAsia"/>
      </w:rPr>
    </w:lvl>
  </w:abstractNum>
  <w:abstractNum w:abstractNumId="1">
    <w:nsid w:val="0B0970B4"/>
    <w:multiLevelType w:val="singleLevel"/>
    <w:tmpl w:val="0B0970B4"/>
    <w:lvl w:ilvl="0" w:tentative="0">
      <w:start w:val="6"/>
      <w:numFmt w:val="chineseCounting"/>
      <w:suff w:val="nothing"/>
      <w:lvlText w:val="%1、"/>
      <w:lvlJc w:val="left"/>
      <w:rPr>
        <w:rFonts w:hint="eastAsia"/>
      </w:rPr>
    </w:lvl>
  </w:abstractNum>
  <w:abstractNum w:abstractNumId="2">
    <w:nsid w:val="1F51CBEC"/>
    <w:multiLevelType w:val="singleLevel"/>
    <w:tmpl w:val="1F51CBEC"/>
    <w:lvl w:ilvl="0" w:tentative="0">
      <w:start w:val="1"/>
      <w:numFmt w:val="chineseCounting"/>
      <w:pStyle w:val="2"/>
      <w:suff w:val="nothing"/>
      <w:lvlText w:val="%1、"/>
      <w:lvlJc w:val="left"/>
      <w:pPr>
        <w:ind w:left="0" w:firstLine="42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B1475B6"/>
    <w:multiLevelType w:val="singleLevel"/>
    <w:tmpl w:val="6B1475B6"/>
    <w:lvl w:ilvl="0" w:tentative="0">
      <w:start w:val="3"/>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NGIwN2UyNmMzMGZlOWIzZWNiZGI2ZWZhZmI4MzMifQ=="/>
  </w:docVars>
  <w:rsids>
    <w:rsidRoot w:val="00EC05B2"/>
    <w:rsid w:val="000013C2"/>
    <w:rsid w:val="00002EC7"/>
    <w:rsid w:val="00004EA3"/>
    <w:rsid w:val="00005DA9"/>
    <w:rsid w:val="00012677"/>
    <w:rsid w:val="00013777"/>
    <w:rsid w:val="00015A50"/>
    <w:rsid w:val="000167A7"/>
    <w:rsid w:val="000252E0"/>
    <w:rsid w:val="00030B7B"/>
    <w:rsid w:val="000316B1"/>
    <w:rsid w:val="00032FBE"/>
    <w:rsid w:val="0003656D"/>
    <w:rsid w:val="00036E65"/>
    <w:rsid w:val="00046A3F"/>
    <w:rsid w:val="00047424"/>
    <w:rsid w:val="0005015D"/>
    <w:rsid w:val="000509B9"/>
    <w:rsid w:val="00050F07"/>
    <w:rsid w:val="00051ECC"/>
    <w:rsid w:val="000558F5"/>
    <w:rsid w:val="00063135"/>
    <w:rsid w:val="000658C8"/>
    <w:rsid w:val="0007263A"/>
    <w:rsid w:val="00085073"/>
    <w:rsid w:val="000926B0"/>
    <w:rsid w:val="00093EC5"/>
    <w:rsid w:val="000977C5"/>
    <w:rsid w:val="000A2413"/>
    <w:rsid w:val="000C1C35"/>
    <w:rsid w:val="000C4EDD"/>
    <w:rsid w:val="000C4EE5"/>
    <w:rsid w:val="000D3800"/>
    <w:rsid w:val="000E233D"/>
    <w:rsid w:val="000E3A00"/>
    <w:rsid w:val="000F4774"/>
    <w:rsid w:val="000F5D02"/>
    <w:rsid w:val="00104668"/>
    <w:rsid w:val="001051D3"/>
    <w:rsid w:val="00105641"/>
    <w:rsid w:val="00106CDF"/>
    <w:rsid w:val="00110AE6"/>
    <w:rsid w:val="00114588"/>
    <w:rsid w:val="001157AA"/>
    <w:rsid w:val="00115914"/>
    <w:rsid w:val="00120E3E"/>
    <w:rsid w:val="00122C51"/>
    <w:rsid w:val="00123716"/>
    <w:rsid w:val="00135B4A"/>
    <w:rsid w:val="00141B8F"/>
    <w:rsid w:val="0014566D"/>
    <w:rsid w:val="00146722"/>
    <w:rsid w:val="001470D6"/>
    <w:rsid w:val="00147F5D"/>
    <w:rsid w:val="00171EE8"/>
    <w:rsid w:val="0017602B"/>
    <w:rsid w:val="00177C98"/>
    <w:rsid w:val="00180143"/>
    <w:rsid w:val="00190F2D"/>
    <w:rsid w:val="00194130"/>
    <w:rsid w:val="001A671D"/>
    <w:rsid w:val="001A69E5"/>
    <w:rsid w:val="001B2AD3"/>
    <w:rsid w:val="001B425E"/>
    <w:rsid w:val="001B44B5"/>
    <w:rsid w:val="001B5269"/>
    <w:rsid w:val="001B710F"/>
    <w:rsid w:val="001B7ABB"/>
    <w:rsid w:val="001C5104"/>
    <w:rsid w:val="001D0F00"/>
    <w:rsid w:val="001D4764"/>
    <w:rsid w:val="001F0117"/>
    <w:rsid w:val="001F1592"/>
    <w:rsid w:val="001F1976"/>
    <w:rsid w:val="001F4AF4"/>
    <w:rsid w:val="00202C18"/>
    <w:rsid w:val="0020340E"/>
    <w:rsid w:val="00203CAD"/>
    <w:rsid w:val="00203E5E"/>
    <w:rsid w:val="0020606B"/>
    <w:rsid w:val="002120DD"/>
    <w:rsid w:val="00214597"/>
    <w:rsid w:val="00222F38"/>
    <w:rsid w:val="0022682E"/>
    <w:rsid w:val="00226DA4"/>
    <w:rsid w:val="00233ECF"/>
    <w:rsid w:val="002407C2"/>
    <w:rsid w:val="00240959"/>
    <w:rsid w:val="00246575"/>
    <w:rsid w:val="00253F64"/>
    <w:rsid w:val="00257B58"/>
    <w:rsid w:val="002611C4"/>
    <w:rsid w:val="00267E20"/>
    <w:rsid w:val="00270F68"/>
    <w:rsid w:val="00282467"/>
    <w:rsid w:val="002861B1"/>
    <w:rsid w:val="00287213"/>
    <w:rsid w:val="002966A6"/>
    <w:rsid w:val="002A143A"/>
    <w:rsid w:val="002A2350"/>
    <w:rsid w:val="002A66CF"/>
    <w:rsid w:val="002B1AB4"/>
    <w:rsid w:val="002B561A"/>
    <w:rsid w:val="002B7600"/>
    <w:rsid w:val="002C3007"/>
    <w:rsid w:val="002C32F7"/>
    <w:rsid w:val="002C455B"/>
    <w:rsid w:val="002C6BB4"/>
    <w:rsid w:val="002C71E9"/>
    <w:rsid w:val="002D748A"/>
    <w:rsid w:val="002E22EB"/>
    <w:rsid w:val="002E7C45"/>
    <w:rsid w:val="002F0EBB"/>
    <w:rsid w:val="002F0F26"/>
    <w:rsid w:val="003018A9"/>
    <w:rsid w:val="00303B88"/>
    <w:rsid w:val="00304A87"/>
    <w:rsid w:val="00305391"/>
    <w:rsid w:val="0031074F"/>
    <w:rsid w:val="00312DA9"/>
    <w:rsid w:val="0032215A"/>
    <w:rsid w:val="00325A46"/>
    <w:rsid w:val="00325D7C"/>
    <w:rsid w:val="00335009"/>
    <w:rsid w:val="0033718A"/>
    <w:rsid w:val="0034279E"/>
    <w:rsid w:val="00343CA6"/>
    <w:rsid w:val="00344E9A"/>
    <w:rsid w:val="003463AE"/>
    <w:rsid w:val="00346876"/>
    <w:rsid w:val="00346EF0"/>
    <w:rsid w:val="003571D9"/>
    <w:rsid w:val="003630AA"/>
    <w:rsid w:val="00363396"/>
    <w:rsid w:val="00365092"/>
    <w:rsid w:val="00367110"/>
    <w:rsid w:val="00370875"/>
    <w:rsid w:val="003771D0"/>
    <w:rsid w:val="003831D0"/>
    <w:rsid w:val="003936F9"/>
    <w:rsid w:val="003A3474"/>
    <w:rsid w:val="003A3B0D"/>
    <w:rsid w:val="003A4938"/>
    <w:rsid w:val="003A72B5"/>
    <w:rsid w:val="003C0470"/>
    <w:rsid w:val="003C1159"/>
    <w:rsid w:val="003C2E9C"/>
    <w:rsid w:val="003C3842"/>
    <w:rsid w:val="003C45D7"/>
    <w:rsid w:val="003D1FC7"/>
    <w:rsid w:val="003D7900"/>
    <w:rsid w:val="003D7D95"/>
    <w:rsid w:val="003E50F2"/>
    <w:rsid w:val="003F07D1"/>
    <w:rsid w:val="003F4BAD"/>
    <w:rsid w:val="00407147"/>
    <w:rsid w:val="00417260"/>
    <w:rsid w:val="00426884"/>
    <w:rsid w:val="00427563"/>
    <w:rsid w:val="004301C4"/>
    <w:rsid w:val="00436B5E"/>
    <w:rsid w:val="00444A7E"/>
    <w:rsid w:val="00444B1C"/>
    <w:rsid w:val="00445A85"/>
    <w:rsid w:val="0044642F"/>
    <w:rsid w:val="0044669C"/>
    <w:rsid w:val="0045094D"/>
    <w:rsid w:val="004509E5"/>
    <w:rsid w:val="004526E3"/>
    <w:rsid w:val="004533FC"/>
    <w:rsid w:val="00455CD7"/>
    <w:rsid w:val="00463542"/>
    <w:rsid w:val="004679A5"/>
    <w:rsid w:val="00476B49"/>
    <w:rsid w:val="0048069E"/>
    <w:rsid w:val="00480C39"/>
    <w:rsid w:val="004931E3"/>
    <w:rsid w:val="00494B52"/>
    <w:rsid w:val="004A25CB"/>
    <w:rsid w:val="004A392F"/>
    <w:rsid w:val="004B789F"/>
    <w:rsid w:val="004C41D6"/>
    <w:rsid w:val="004C7350"/>
    <w:rsid w:val="004D14F2"/>
    <w:rsid w:val="004E2684"/>
    <w:rsid w:val="004E4AA0"/>
    <w:rsid w:val="004F4992"/>
    <w:rsid w:val="004F6380"/>
    <w:rsid w:val="004F7979"/>
    <w:rsid w:val="004F7EE6"/>
    <w:rsid w:val="005136A9"/>
    <w:rsid w:val="00521610"/>
    <w:rsid w:val="00524664"/>
    <w:rsid w:val="00533384"/>
    <w:rsid w:val="00557AA0"/>
    <w:rsid w:val="00561C6A"/>
    <w:rsid w:val="00575009"/>
    <w:rsid w:val="0058128F"/>
    <w:rsid w:val="0059702D"/>
    <w:rsid w:val="005A1EDF"/>
    <w:rsid w:val="005A28AB"/>
    <w:rsid w:val="005A5819"/>
    <w:rsid w:val="005B0A16"/>
    <w:rsid w:val="005B1F40"/>
    <w:rsid w:val="005C2690"/>
    <w:rsid w:val="005C3351"/>
    <w:rsid w:val="005C42DE"/>
    <w:rsid w:val="005C5F2D"/>
    <w:rsid w:val="005D67E1"/>
    <w:rsid w:val="005E175D"/>
    <w:rsid w:val="005E739A"/>
    <w:rsid w:val="005E73D8"/>
    <w:rsid w:val="005F110D"/>
    <w:rsid w:val="005F4005"/>
    <w:rsid w:val="005F56BB"/>
    <w:rsid w:val="006027A6"/>
    <w:rsid w:val="00604DDC"/>
    <w:rsid w:val="00606035"/>
    <w:rsid w:val="00607B05"/>
    <w:rsid w:val="0061026B"/>
    <w:rsid w:val="00612958"/>
    <w:rsid w:val="006129DC"/>
    <w:rsid w:val="00612F2B"/>
    <w:rsid w:val="00621776"/>
    <w:rsid w:val="00624442"/>
    <w:rsid w:val="00631826"/>
    <w:rsid w:val="0063247E"/>
    <w:rsid w:val="006331AE"/>
    <w:rsid w:val="006346A7"/>
    <w:rsid w:val="00634E04"/>
    <w:rsid w:val="00640A40"/>
    <w:rsid w:val="00647730"/>
    <w:rsid w:val="00650766"/>
    <w:rsid w:val="00650DAA"/>
    <w:rsid w:val="006665CB"/>
    <w:rsid w:val="00676F90"/>
    <w:rsid w:val="00677975"/>
    <w:rsid w:val="00686DA7"/>
    <w:rsid w:val="0069602A"/>
    <w:rsid w:val="006A036A"/>
    <w:rsid w:val="006A1BEE"/>
    <w:rsid w:val="006A5097"/>
    <w:rsid w:val="006A65F8"/>
    <w:rsid w:val="006A7319"/>
    <w:rsid w:val="006B0667"/>
    <w:rsid w:val="006B35F0"/>
    <w:rsid w:val="006B6E07"/>
    <w:rsid w:val="006C17AD"/>
    <w:rsid w:val="006C2B33"/>
    <w:rsid w:val="006C7633"/>
    <w:rsid w:val="006C76C8"/>
    <w:rsid w:val="006D107F"/>
    <w:rsid w:val="006F1394"/>
    <w:rsid w:val="006F592D"/>
    <w:rsid w:val="007004DE"/>
    <w:rsid w:val="00705B5C"/>
    <w:rsid w:val="007077FC"/>
    <w:rsid w:val="00714922"/>
    <w:rsid w:val="00717D12"/>
    <w:rsid w:val="00720C44"/>
    <w:rsid w:val="007240D9"/>
    <w:rsid w:val="00724FD9"/>
    <w:rsid w:val="00734E94"/>
    <w:rsid w:val="00737E0F"/>
    <w:rsid w:val="00745362"/>
    <w:rsid w:val="00753A78"/>
    <w:rsid w:val="00755EC4"/>
    <w:rsid w:val="00756A32"/>
    <w:rsid w:val="00770669"/>
    <w:rsid w:val="00780174"/>
    <w:rsid w:val="00781C30"/>
    <w:rsid w:val="0078214F"/>
    <w:rsid w:val="00784469"/>
    <w:rsid w:val="00790CA9"/>
    <w:rsid w:val="007922E4"/>
    <w:rsid w:val="0079646A"/>
    <w:rsid w:val="007A35C1"/>
    <w:rsid w:val="007A62D2"/>
    <w:rsid w:val="007A797B"/>
    <w:rsid w:val="007A79CF"/>
    <w:rsid w:val="007B16CC"/>
    <w:rsid w:val="007B3C42"/>
    <w:rsid w:val="007C0807"/>
    <w:rsid w:val="007C20E6"/>
    <w:rsid w:val="007C7536"/>
    <w:rsid w:val="007D56C5"/>
    <w:rsid w:val="007D6BAB"/>
    <w:rsid w:val="007F6BE5"/>
    <w:rsid w:val="00804C30"/>
    <w:rsid w:val="00810CDD"/>
    <w:rsid w:val="008111D4"/>
    <w:rsid w:val="008158FD"/>
    <w:rsid w:val="008161A1"/>
    <w:rsid w:val="00821940"/>
    <w:rsid w:val="008229CD"/>
    <w:rsid w:val="00824CE2"/>
    <w:rsid w:val="00827EBB"/>
    <w:rsid w:val="0083079B"/>
    <w:rsid w:val="00835780"/>
    <w:rsid w:val="00842427"/>
    <w:rsid w:val="0085206D"/>
    <w:rsid w:val="00855DCD"/>
    <w:rsid w:val="00856DC9"/>
    <w:rsid w:val="0085782A"/>
    <w:rsid w:val="00863F0B"/>
    <w:rsid w:val="00865427"/>
    <w:rsid w:val="008655A4"/>
    <w:rsid w:val="00867546"/>
    <w:rsid w:val="008678A3"/>
    <w:rsid w:val="00873B55"/>
    <w:rsid w:val="00876362"/>
    <w:rsid w:val="00877AD7"/>
    <w:rsid w:val="00882775"/>
    <w:rsid w:val="008834DA"/>
    <w:rsid w:val="008931D0"/>
    <w:rsid w:val="008944F6"/>
    <w:rsid w:val="00897944"/>
    <w:rsid w:val="008A5F6B"/>
    <w:rsid w:val="008A6AE0"/>
    <w:rsid w:val="008A7035"/>
    <w:rsid w:val="008B0CE8"/>
    <w:rsid w:val="008B0DFE"/>
    <w:rsid w:val="008C07C9"/>
    <w:rsid w:val="008D13FB"/>
    <w:rsid w:val="008D2A0D"/>
    <w:rsid w:val="008D327B"/>
    <w:rsid w:val="008D7214"/>
    <w:rsid w:val="008E135D"/>
    <w:rsid w:val="008E61AE"/>
    <w:rsid w:val="009004F3"/>
    <w:rsid w:val="0090085A"/>
    <w:rsid w:val="009017F4"/>
    <w:rsid w:val="009031D9"/>
    <w:rsid w:val="00912104"/>
    <w:rsid w:val="00912498"/>
    <w:rsid w:val="00915801"/>
    <w:rsid w:val="0092052E"/>
    <w:rsid w:val="009254B5"/>
    <w:rsid w:val="009309EF"/>
    <w:rsid w:val="00931FAF"/>
    <w:rsid w:val="009364AB"/>
    <w:rsid w:val="00945FA0"/>
    <w:rsid w:val="00956122"/>
    <w:rsid w:val="00956314"/>
    <w:rsid w:val="00957560"/>
    <w:rsid w:val="00962150"/>
    <w:rsid w:val="009654D4"/>
    <w:rsid w:val="009900E0"/>
    <w:rsid w:val="00991E66"/>
    <w:rsid w:val="00992313"/>
    <w:rsid w:val="009974D6"/>
    <w:rsid w:val="009A0215"/>
    <w:rsid w:val="009A32BD"/>
    <w:rsid w:val="009A6852"/>
    <w:rsid w:val="009C14D1"/>
    <w:rsid w:val="009D006B"/>
    <w:rsid w:val="009D3BF8"/>
    <w:rsid w:val="009E3732"/>
    <w:rsid w:val="009F13B0"/>
    <w:rsid w:val="009F1A98"/>
    <w:rsid w:val="009F267F"/>
    <w:rsid w:val="009F2AE1"/>
    <w:rsid w:val="009F3736"/>
    <w:rsid w:val="009F6C3A"/>
    <w:rsid w:val="00A00812"/>
    <w:rsid w:val="00A00988"/>
    <w:rsid w:val="00A0569A"/>
    <w:rsid w:val="00A06B61"/>
    <w:rsid w:val="00A126D5"/>
    <w:rsid w:val="00A14CF3"/>
    <w:rsid w:val="00A200A9"/>
    <w:rsid w:val="00A268B0"/>
    <w:rsid w:val="00A320CC"/>
    <w:rsid w:val="00A332B2"/>
    <w:rsid w:val="00A34CE9"/>
    <w:rsid w:val="00A46A94"/>
    <w:rsid w:val="00A46F67"/>
    <w:rsid w:val="00A56161"/>
    <w:rsid w:val="00A60791"/>
    <w:rsid w:val="00A678EE"/>
    <w:rsid w:val="00A745A7"/>
    <w:rsid w:val="00A74E1E"/>
    <w:rsid w:val="00A7733B"/>
    <w:rsid w:val="00A83B41"/>
    <w:rsid w:val="00A84455"/>
    <w:rsid w:val="00A917F0"/>
    <w:rsid w:val="00A9395E"/>
    <w:rsid w:val="00A93D5C"/>
    <w:rsid w:val="00A95B5D"/>
    <w:rsid w:val="00AA0CDE"/>
    <w:rsid w:val="00AA512A"/>
    <w:rsid w:val="00AA58BC"/>
    <w:rsid w:val="00AA6FF9"/>
    <w:rsid w:val="00AC7094"/>
    <w:rsid w:val="00AC7220"/>
    <w:rsid w:val="00AC7E3C"/>
    <w:rsid w:val="00AD42B6"/>
    <w:rsid w:val="00AD5CC4"/>
    <w:rsid w:val="00AD74B2"/>
    <w:rsid w:val="00AD7E3E"/>
    <w:rsid w:val="00AE2856"/>
    <w:rsid w:val="00AE619B"/>
    <w:rsid w:val="00AF02D7"/>
    <w:rsid w:val="00AF1F1F"/>
    <w:rsid w:val="00AF2C2B"/>
    <w:rsid w:val="00AF4C24"/>
    <w:rsid w:val="00B03FF7"/>
    <w:rsid w:val="00B078B1"/>
    <w:rsid w:val="00B171B1"/>
    <w:rsid w:val="00B24C86"/>
    <w:rsid w:val="00B30545"/>
    <w:rsid w:val="00B310E3"/>
    <w:rsid w:val="00B3215E"/>
    <w:rsid w:val="00B34FA4"/>
    <w:rsid w:val="00B352D1"/>
    <w:rsid w:val="00B37BE7"/>
    <w:rsid w:val="00B46044"/>
    <w:rsid w:val="00B50DE8"/>
    <w:rsid w:val="00B55F3E"/>
    <w:rsid w:val="00B61FDD"/>
    <w:rsid w:val="00B622E4"/>
    <w:rsid w:val="00B63DAF"/>
    <w:rsid w:val="00B6568A"/>
    <w:rsid w:val="00B658C0"/>
    <w:rsid w:val="00B70576"/>
    <w:rsid w:val="00B76C04"/>
    <w:rsid w:val="00B839DC"/>
    <w:rsid w:val="00BA1ECB"/>
    <w:rsid w:val="00BA37C5"/>
    <w:rsid w:val="00BB0583"/>
    <w:rsid w:val="00BB0C97"/>
    <w:rsid w:val="00BB65EF"/>
    <w:rsid w:val="00BC2A6C"/>
    <w:rsid w:val="00BC5280"/>
    <w:rsid w:val="00BC55B1"/>
    <w:rsid w:val="00BD1F99"/>
    <w:rsid w:val="00BE190D"/>
    <w:rsid w:val="00BE42B0"/>
    <w:rsid w:val="00BE66F9"/>
    <w:rsid w:val="00BF5446"/>
    <w:rsid w:val="00C04792"/>
    <w:rsid w:val="00C132C2"/>
    <w:rsid w:val="00C14BE7"/>
    <w:rsid w:val="00C1761C"/>
    <w:rsid w:val="00C17A45"/>
    <w:rsid w:val="00C4363F"/>
    <w:rsid w:val="00C557A5"/>
    <w:rsid w:val="00C61D56"/>
    <w:rsid w:val="00C62435"/>
    <w:rsid w:val="00C6320C"/>
    <w:rsid w:val="00C63342"/>
    <w:rsid w:val="00C810BA"/>
    <w:rsid w:val="00C8359E"/>
    <w:rsid w:val="00C93584"/>
    <w:rsid w:val="00CA0704"/>
    <w:rsid w:val="00CB6567"/>
    <w:rsid w:val="00CC1DAA"/>
    <w:rsid w:val="00CC4481"/>
    <w:rsid w:val="00CD2041"/>
    <w:rsid w:val="00CE3FE4"/>
    <w:rsid w:val="00CE5F72"/>
    <w:rsid w:val="00CF1213"/>
    <w:rsid w:val="00CF18FF"/>
    <w:rsid w:val="00CF2EAF"/>
    <w:rsid w:val="00CF6590"/>
    <w:rsid w:val="00D01F0A"/>
    <w:rsid w:val="00D024A7"/>
    <w:rsid w:val="00D13F4A"/>
    <w:rsid w:val="00D14C4A"/>
    <w:rsid w:val="00D14F9C"/>
    <w:rsid w:val="00D20BCC"/>
    <w:rsid w:val="00D20CB5"/>
    <w:rsid w:val="00D24263"/>
    <w:rsid w:val="00D305F7"/>
    <w:rsid w:val="00D30627"/>
    <w:rsid w:val="00D310CD"/>
    <w:rsid w:val="00D3382B"/>
    <w:rsid w:val="00D353B1"/>
    <w:rsid w:val="00D42B37"/>
    <w:rsid w:val="00D43D5E"/>
    <w:rsid w:val="00D4471E"/>
    <w:rsid w:val="00D502C6"/>
    <w:rsid w:val="00D532C3"/>
    <w:rsid w:val="00D54D6A"/>
    <w:rsid w:val="00D56006"/>
    <w:rsid w:val="00D6103A"/>
    <w:rsid w:val="00D6661C"/>
    <w:rsid w:val="00D70D1C"/>
    <w:rsid w:val="00D7246B"/>
    <w:rsid w:val="00D7415C"/>
    <w:rsid w:val="00D76F07"/>
    <w:rsid w:val="00D77686"/>
    <w:rsid w:val="00D8122A"/>
    <w:rsid w:val="00D82EFC"/>
    <w:rsid w:val="00D838B6"/>
    <w:rsid w:val="00D87551"/>
    <w:rsid w:val="00D91BC7"/>
    <w:rsid w:val="00D93DBE"/>
    <w:rsid w:val="00D93ECF"/>
    <w:rsid w:val="00DA5876"/>
    <w:rsid w:val="00DA7BDA"/>
    <w:rsid w:val="00DB074A"/>
    <w:rsid w:val="00DB4774"/>
    <w:rsid w:val="00DC1D72"/>
    <w:rsid w:val="00DC77E8"/>
    <w:rsid w:val="00DD15E9"/>
    <w:rsid w:val="00DD62D4"/>
    <w:rsid w:val="00DE1FBA"/>
    <w:rsid w:val="00DE7EBE"/>
    <w:rsid w:val="00DF3D12"/>
    <w:rsid w:val="00E028B8"/>
    <w:rsid w:val="00E03E13"/>
    <w:rsid w:val="00E05896"/>
    <w:rsid w:val="00E07FD5"/>
    <w:rsid w:val="00E114F8"/>
    <w:rsid w:val="00E12DB8"/>
    <w:rsid w:val="00E1558A"/>
    <w:rsid w:val="00E17C90"/>
    <w:rsid w:val="00E17E53"/>
    <w:rsid w:val="00E22BA3"/>
    <w:rsid w:val="00E35FA0"/>
    <w:rsid w:val="00E403D9"/>
    <w:rsid w:val="00E4126A"/>
    <w:rsid w:val="00E414DF"/>
    <w:rsid w:val="00E46646"/>
    <w:rsid w:val="00E47D36"/>
    <w:rsid w:val="00E51076"/>
    <w:rsid w:val="00E60BA6"/>
    <w:rsid w:val="00E62BDF"/>
    <w:rsid w:val="00E70043"/>
    <w:rsid w:val="00E73FE9"/>
    <w:rsid w:val="00E76D0F"/>
    <w:rsid w:val="00E8124D"/>
    <w:rsid w:val="00E87445"/>
    <w:rsid w:val="00EC05B2"/>
    <w:rsid w:val="00ED1F68"/>
    <w:rsid w:val="00ED2574"/>
    <w:rsid w:val="00ED5871"/>
    <w:rsid w:val="00ED7E5E"/>
    <w:rsid w:val="00EE0037"/>
    <w:rsid w:val="00EE0901"/>
    <w:rsid w:val="00EE1B85"/>
    <w:rsid w:val="00EF3F73"/>
    <w:rsid w:val="00EF4F2A"/>
    <w:rsid w:val="00F0271A"/>
    <w:rsid w:val="00F05F63"/>
    <w:rsid w:val="00F07EA3"/>
    <w:rsid w:val="00F11272"/>
    <w:rsid w:val="00F12956"/>
    <w:rsid w:val="00F26CB8"/>
    <w:rsid w:val="00F32E12"/>
    <w:rsid w:val="00F44AB8"/>
    <w:rsid w:val="00F5160C"/>
    <w:rsid w:val="00F53B84"/>
    <w:rsid w:val="00F54D9C"/>
    <w:rsid w:val="00F57507"/>
    <w:rsid w:val="00F57B39"/>
    <w:rsid w:val="00F663F9"/>
    <w:rsid w:val="00F870B7"/>
    <w:rsid w:val="00FA2DE8"/>
    <w:rsid w:val="00FB0134"/>
    <w:rsid w:val="00FB0EB8"/>
    <w:rsid w:val="00FB2760"/>
    <w:rsid w:val="00FB2830"/>
    <w:rsid w:val="00FC0C3A"/>
    <w:rsid w:val="00FC1233"/>
    <w:rsid w:val="00FC62BD"/>
    <w:rsid w:val="00FC6B78"/>
    <w:rsid w:val="00FD304A"/>
    <w:rsid w:val="00FD319C"/>
    <w:rsid w:val="00FD5868"/>
    <w:rsid w:val="00FD622E"/>
    <w:rsid w:val="00FE2EDD"/>
    <w:rsid w:val="00FE3E64"/>
    <w:rsid w:val="00FE46FE"/>
    <w:rsid w:val="019F1AD1"/>
    <w:rsid w:val="034F70F3"/>
    <w:rsid w:val="052170E9"/>
    <w:rsid w:val="059660B3"/>
    <w:rsid w:val="05D62122"/>
    <w:rsid w:val="06DC269B"/>
    <w:rsid w:val="0A1B0756"/>
    <w:rsid w:val="0A7A4939"/>
    <w:rsid w:val="0A9D4207"/>
    <w:rsid w:val="0AE762CA"/>
    <w:rsid w:val="0B566F4B"/>
    <w:rsid w:val="0D5F1E42"/>
    <w:rsid w:val="0FE60C3C"/>
    <w:rsid w:val="116F150F"/>
    <w:rsid w:val="13BF5402"/>
    <w:rsid w:val="13EB0318"/>
    <w:rsid w:val="189D3748"/>
    <w:rsid w:val="19003CC3"/>
    <w:rsid w:val="19CF6501"/>
    <w:rsid w:val="19F17E3E"/>
    <w:rsid w:val="1A2D54E1"/>
    <w:rsid w:val="1ACF1C00"/>
    <w:rsid w:val="1B8A492A"/>
    <w:rsid w:val="1BAE1E09"/>
    <w:rsid w:val="1BCC258A"/>
    <w:rsid w:val="1BEF5711"/>
    <w:rsid w:val="1E2A25F0"/>
    <w:rsid w:val="1EE400DE"/>
    <w:rsid w:val="201070C4"/>
    <w:rsid w:val="229D08F4"/>
    <w:rsid w:val="23A47674"/>
    <w:rsid w:val="24C62C28"/>
    <w:rsid w:val="24EF5FDD"/>
    <w:rsid w:val="24F1241A"/>
    <w:rsid w:val="26396C33"/>
    <w:rsid w:val="2654314A"/>
    <w:rsid w:val="26574260"/>
    <w:rsid w:val="27A163F2"/>
    <w:rsid w:val="27B23411"/>
    <w:rsid w:val="291B7C0C"/>
    <w:rsid w:val="29FF7B38"/>
    <w:rsid w:val="2A6C5C4F"/>
    <w:rsid w:val="2AD227A4"/>
    <w:rsid w:val="2D431C45"/>
    <w:rsid w:val="2E935CBC"/>
    <w:rsid w:val="2F47086C"/>
    <w:rsid w:val="2F910000"/>
    <w:rsid w:val="30111964"/>
    <w:rsid w:val="337313DE"/>
    <w:rsid w:val="33AD3D2D"/>
    <w:rsid w:val="3474329C"/>
    <w:rsid w:val="35672EB1"/>
    <w:rsid w:val="36851D82"/>
    <w:rsid w:val="39785EB2"/>
    <w:rsid w:val="397864DD"/>
    <w:rsid w:val="39BA69F0"/>
    <w:rsid w:val="39E93787"/>
    <w:rsid w:val="3A1C538F"/>
    <w:rsid w:val="3C1A0379"/>
    <w:rsid w:val="3C790F5A"/>
    <w:rsid w:val="3CD1409A"/>
    <w:rsid w:val="3D57783C"/>
    <w:rsid w:val="3DEC3DF5"/>
    <w:rsid w:val="3E6543B8"/>
    <w:rsid w:val="3F73440F"/>
    <w:rsid w:val="3FC7326B"/>
    <w:rsid w:val="3FD53461"/>
    <w:rsid w:val="416C746D"/>
    <w:rsid w:val="455A3545"/>
    <w:rsid w:val="46C67458"/>
    <w:rsid w:val="47EE0D7D"/>
    <w:rsid w:val="4832508A"/>
    <w:rsid w:val="48ED265B"/>
    <w:rsid w:val="49513721"/>
    <w:rsid w:val="49A543C7"/>
    <w:rsid w:val="4A0F2A72"/>
    <w:rsid w:val="4B027984"/>
    <w:rsid w:val="4C5C1A26"/>
    <w:rsid w:val="4D4F4D9D"/>
    <w:rsid w:val="4D6629E8"/>
    <w:rsid w:val="4DFD1224"/>
    <w:rsid w:val="4F4731B4"/>
    <w:rsid w:val="51086DF8"/>
    <w:rsid w:val="510C31D4"/>
    <w:rsid w:val="51807ED7"/>
    <w:rsid w:val="52791115"/>
    <w:rsid w:val="534837B2"/>
    <w:rsid w:val="53661A7C"/>
    <w:rsid w:val="550D34E7"/>
    <w:rsid w:val="56607BE1"/>
    <w:rsid w:val="57E2626D"/>
    <w:rsid w:val="58FC7211"/>
    <w:rsid w:val="59124138"/>
    <w:rsid w:val="5A5A0B0C"/>
    <w:rsid w:val="5AA03325"/>
    <w:rsid w:val="5AF653B9"/>
    <w:rsid w:val="5B3717DC"/>
    <w:rsid w:val="5B5F0BA5"/>
    <w:rsid w:val="5BB31BC0"/>
    <w:rsid w:val="5C115B42"/>
    <w:rsid w:val="5C18473E"/>
    <w:rsid w:val="61BB6285"/>
    <w:rsid w:val="62501D5D"/>
    <w:rsid w:val="643A3EA5"/>
    <w:rsid w:val="66205F1D"/>
    <w:rsid w:val="67765091"/>
    <w:rsid w:val="68E6478C"/>
    <w:rsid w:val="6B4031EB"/>
    <w:rsid w:val="6D543021"/>
    <w:rsid w:val="6F3B7EEC"/>
    <w:rsid w:val="6F472AA9"/>
    <w:rsid w:val="6FBA23EA"/>
    <w:rsid w:val="6FCA008A"/>
    <w:rsid w:val="709020CD"/>
    <w:rsid w:val="721B74EB"/>
    <w:rsid w:val="74827320"/>
    <w:rsid w:val="74FC0CE6"/>
    <w:rsid w:val="75226749"/>
    <w:rsid w:val="75A21D5B"/>
    <w:rsid w:val="75BB6C7B"/>
    <w:rsid w:val="77057A7D"/>
    <w:rsid w:val="77847878"/>
    <w:rsid w:val="785E5813"/>
    <w:rsid w:val="78B50521"/>
    <w:rsid w:val="79135551"/>
    <w:rsid w:val="797B5F24"/>
    <w:rsid w:val="7A121C75"/>
    <w:rsid w:val="7AD44B0E"/>
    <w:rsid w:val="7B7B07F2"/>
    <w:rsid w:val="7F2C4387"/>
    <w:rsid w:val="7FCB5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98"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99"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62"/>
    <w:autoRedefine/>
    <w:qFormat/>
    <w:uiPriority w:val="9"/>
    <w:pPr>
      <w:keepNext/>
      <w:widowControl/>
      <w:numPr>
        <w:ilvl w:val="0"/>
        <w:numId w:val="1"/>
      </w:numPr>
      <w:spacing w:line="560" w:lineRule="exact"/>
      <w:jc w:val="center"/>
      <w:outlineLvl w:val="0"/>
    </w:pPr>
    <w:rPr>
      <w:rFonts w:ascii="???" w:hAnsi="???" w:eastAsia="黑体" w:cs="Arial"/>
      <w:bCs/>
      <w:color w:val="020000"/>
      <w:kern w:val="36"/>
      <w:sz w:val="32"/>
      <w:szCs w:val="44"/>
    </w:rPr>
  </w:style>
  <w:style w:type="paragraph" w:styleId="3">
    <w:name w:val="heading 2"/>
    <w:basedOn w:val="1"/>
    <w:next w:val="1"/>
    <w:link w:val="63"/>
    <w:autoRedefine/>
    <w:qFormat/>
    <w:uiPriority w:val="0"/>
    <w:pPr>
      <w:keepNext/>
      <w:widowControl/>
      <w:spacing w:line="560" w:lineRule="exact"/>
      <w:ind w:firstLine="640" w:firstLineChars="200"/>
      <w:jc w:val="left"/>
      <w:outlineLvl w:val="1"/>
    </w:pPr>
    <w:rPr>
      <w:rFonts w:ascii="???" w:hAnsi="???" w:eastAsia="楷体" w:cs="Arial"/>
      <w:bCs/>
      <w:color w:val="020000"/>
      <w:kern w:val="0"/>
      <w:sz w:val="32"/>
      <w:szCs w:val="32"/>
    </w:rPr>
  </w:style>
  <w:style w:type="paragraph" w:styleId="4">
    <w:name w:val="heading 3"/>
    <w:basedOn w:val="1"/>
    <w:next w:val="1"/>
    <w:link w:val="64"/>
    <w:autoRedefine/>
    <w:qFormat/>
    <w:uiPriority w:val="99"/>
    <w:pPr>
      <w:keepNext/>
      <w:widowControl/>
      <w:spacing w:line="560" w:lineRule="exact"/>
      <w:ind w:firstLine="640" w:firstLineChars="200"/>
      <w:jc w:val="left"/>
      <w:outlineLvl w:val="2"/>
    </w:pPr>
    <w:rPr>
      <w:rFonts w:ascii="??" w:hAnsi="??" w:eastAsia="楷体" w:cs="Arial"/>
      <w:bCs/>
      <w:color w:val="000000"/>
      <w:kern w:val="0"/>
      <w:sz w:val="32"/>
      <w:szCs w:val="32"/>
    </w:rPr>
  </w:style>
  <w:style w:type="paragraph" w:styleId="5">
    <w:name w:val="heading 4"/>
    <w:basedOn w:val="1"/>
    <w:next w:val="1"/>
    <w:autoRedefine/>
    <w:qFormat/>
    <w:uiPriority w:val="98"/>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rPr>
      <w:rFonts w:ascii="Times New Roman" w:hAnsi="Times New Roman" w:cs="Times New Roman"/>
      <w:szCs w:val="24"/>
    </w:rPr>
  </w:style>
  <w:style w:type="paragraph" w:styleId="8">
    <w:name w:val="List Number"/>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9">
    <w:name w:val="Normal Indent"/>
    <w:basedOn w:val="1"/>
    <w:next w:val="1"/>
    <w:link w:val="115"/>
    <w:autoRedefine/>
    <w:qFormat/>
    <w:uiPriority w:val="99"/>
    <w:pPr>
      <w:ind w:firstLine="420" w:firstLineChars="200"/>
    </w:pPr>
    <w:rPr>
      <w:rFonts w:ascii="Times New Roman" w:hAnsi="Times New Roman" w:cs="Times New Roman"/>
      <w:kern w:val="0"/>
      <w:sz w:val="24"/>
      <w:szCs w:val="20"/>
    </w:rPr>
  </w:style>
  <w:style w:type="paragraph" w:styleId="10">
    <w:name w:val="Document Map"/>
    <w:basedOn w:val="1"/>
    <w:link w:val="133"/>
    <w:autoRedefine/>
    <w:qFormat/>
    <w:uiPriority w:val="0"/>
    <w:rPr>
      <w:rFonts w:ascii="宋体" w:cs="Times New Roman"/>
      <w:kern w:val="0"/>
      <w:sz w:val="18"/>
      <w:szCs w:val="20"/>
    </w:rPr>
  </w:style>
  <w:style w:type="paragraph" w:styleId="11">
    <w:name w:val="annotation text"/>
    <w:basedOn w:val="1"/>
    <w:link w:val="160"/>
    <w:autoRedefine/>
    <w:qFormat/>
    <w:uiPriority w:val="0"/>
    <w:pPr>
      <w:jc w:val="left"/>
    </w:pPr>
  </w:style>
  <w:style w:type="paragraph" w:styleId="12">
    <w:name w:val="Body Text"/>
    <w:basedOn w:val="1"/>
    <w:link w:val="136"/>
    <w:autoRedefine/>
    <w:qFormat/>
    <w:uiPriority w:val="0"/>
    <w:pPr>
      <w:spacing w:after="120"/>
    </w:pPr>
    <w:rPr>
      <w:rFonts w:cs="Times New Roman"/>
      <w:kern w:val="0"/>
      <w:sz w:val="24"/>
      <w:szCs w:val="20"/>
    </w:rPr>
  </w:style>
  <w:style w:type="paragraph" w:styleId="13">
    <w:name w:val="Body Text Indent"/>
    <w:basedOn w:val="1"/>
    <w:next w:val="14"/>
    <w:link w:val="67"/>
    <w:autoRedefine/>
    <w:qFormat/>
    <w:uiPriority w:val="0"/>
    <w:pPr>
      <w:widowControl/>
      <w:spacing w:after="120"/>
      <w:ind w:left="420"/>
    </w:pPr>
    <w:rPr>
      <w:rFonts w:ascii="??" w:hAnsi="??" w:cs="Arial"/>
      <w:kern w:val="0"/>
      <w:sz w:val="24"/>
      <w:szCs w:val="24"/>
    </w:rPr>
  </w:style>
  <w:style w:type="paragraph" w:styleId="14">
    <w:name w:val="Normal (Web)"/>
    <w:basedOn w:val="1"/>
    <w:next w:val="1"/>
    <w:autoRedefine/>
    <w:qFormat/>
    <w:uiPriority w:val="99"/>
    <w:pPr>
      <w:widowControl/>
      <w:spacing w:before="100" w:beforeAutospacing="1" w:after="100" w:afterAutospacing="1"/>
      <w:jc w:val="left"/>
    </w:pPr>
    <w:rPr>
      <w:rFonts w:ascii="宋体" w:hAnsi="宋体"/>
      <w:kern w:val="0"/>
      <w:sz w:val="24"/>
      <w:szCs w:val="24"/>
    </w:rPr>
  </w:style>
  <w:style w:type="paragraph" w:styleId="15">
    <w:name w:val="List 2"/>
    <w:basedOn w:val="1"/>
    <w:next w:val="16"/>
    <w:autoRedefine/>
    <w:qFormat/>
    <w:uiPriority w:val="0"/>
    <w:pPr>
      <w:adjustRightInd w:val="0"/>
      <w:spacing w:line="312" w:lineRule="atLeast"/>
      <w:ind w:left="100" w:leftChars="200" w:hanging="200" w:hangingChars="200"/>
      <w:textAlignment w:val="baseline"/>
    </w:pPr>
    <w:rPr>
      <w:rFonts w:ascii="Times New Roman" w:hAnsi="Times New Roman" w:eastAsia="仿宋" w:cs="Times New Roman"/>
      <w:kern w:val="0"/>
      <w:sz w:val="32"/>
      <w:szCs w:val="20"/>
    </w:rPr>
  </w:style>
  <w:style w:type="paragraph" w:styleId="16">
    <w:name w:val="Plain Text"/>
    <w:basedOn w:val="1"/>
    <w:next w:val="1"/>
    <w:link w:val="196"/>
    <w:autoRedefine/>
    <w:qFormat/>
    <w:uiPriority w:val="0"/>
    <w:rPr>
      <w:rFonts w:ascii="宋体" w:hAnsi="Courier New"/>
      <w:szCs w:val="21"/>
    </w:rPr>
  </w:style>
  <w:style w:type="paragraph" w:styleId="17">
    <w:name w:val="toc 5"/>
    <w:basedOn w:val="1"/>
    <w:next w:val="1"/>
    <w:autoRedefine/>
    <w:qFormat/>
    <w:uiPriority w:val="0"/>
    <w:pPr>
      <w:ind w:left="1680" w:leftChars="800"/>
    </w:pPr>
    <w:rPr>
      <w:rFonts w:ascii="Times New Roman" w:hAnsi="Times New Roman" w:cs="Times New Roman"/>
      <w:szCs w:val="24"/>
    </w:rPr>
  </w:style>
  <w:style w:type="paragraph" w:styleId="18">
    <w:name w:val="toc 3"/>
    <w:basedOn w:val="1"/>
    <w:next w:val="1"/>
    <w:autoRedefine/>
    <w:qFormat/>
    <w:uiPriority w:val="39"/>
    <w:pPr>
      <w:ind w:left="840" w:leftChars="400"/>
    </w:pPr>
    <w:rPr>
      <w:rFonts w:ascii="Times New Roman" w:hAnsi="Times New Roman" w:cs="Times New Roman"/>
      <w:szCs w:val="24"/>
    </w:rPr>
  </w:style>
  <w:style w:type="paragraph" w:styleId="19">
    <w:name w:val="toc 8"/>
    <w:basedOn w:val="1"/>
    <w:next w:val="1"/>
    <w:autoRedefine/>
    <w:qFormat/>
    <w:uiPriority w:val="0"/>
    <w:pPr>
      <w:ind w:left="2940" w:leftChars="1400"/>
    </w:pPr>
    <w:rPr>
      <w:rFonts w:ascii="Times New Roman" w:hAnsi="Times New Roman" w:cs="Times New Roman"/>
      <w:szCs w:val="24"/>
    </w:rPr>
  </w:style>
  <w:style w:type="paragraph" w:styleId="20">
    <w:name w:val="Date"/>
    <w:basedOn w:val="1"/>
    <w:next w:val="1"/>
    <w:link w:val="155"/>
    <w:autoRedefine/>
    <w:qFormat/>
    <w:uiPriority w:val="0"/>
    <w:rPr>
      <w:szCs w:val="21"/>
    </w:rPr>
  </w:style>
  <w:style w:type="paragraph" w:styleId="21">
    <w:name w:val="Body Text Indent 2"/>
    <w:basedOn w:val="1"/>
    <w:link w:val="129"/>
    <w:autoRedefine/>
    <w:qFormat/>
    <w:uiPriority w:val="99"/>
    <w:pPr>
      <w:spacing w:before="100" w:beforeAutospacing="1" w:after="100" w:afterAutospacing="1" w:line="360" w:lineRule="auto"/>
      <w:ind w:firstLine="420"/>
    </w:pPr>
    <w:rPr>
      <w:rFonts w:ascii="宋体" w:cs="Times New Roman"/>
      <w:kern w:val="0"/>
      <w:sz w:val="24"/>
      <w:szCs w:val="20"/>
    </w:rPr>
  </w:style>
  <w:style w:type="paragraph" w:styleId="22">
    <w:name w:val="Balloon Text"/>
    <w:basedOn w:val="1"/>
    <w:link w:val="79"/>
    <w:autoRedefine/>
    <w:qFormat/>
    <w:uiPriority w:val="99"/>
    <w:rPr>
      <w:rFonts w:cs="Times New Roman"/>
      <w:sz w:val="18"/>
      <w:szCs w:val="18"/>
    </w:rPr>
  </w:style>
  <w:style w:type="paragraph" w:styleId="23">
    <w:name w:val="footer"/>
    <w:basedOn w:val="1"/>
    <w:link w:val="66"/>
    <w:autoRedefine/>
    <w:qFormat/>
    <w:uiPriority w:val="99"/>
    <w:pPr>
      <w:tabs>
        <w:tab w:val="center" w:pos="4153"/>
        <w:tab w:val="right" w:pos="8306"/>
      </w:tabs>
      <w:snapToGrid w:val="0"/>
      <w:jc w:val="left"/>
    </w:pPr>
    <w:rPr>
      <w:rFonts w:cs="Times New Roman"/>
      <w:sz w:val="18"/>
      <w:szCs w:val="18"/>
    </w:rPr>
  </w:style>
  <w:style w:type="paragraph" w:styleId="24">
    <w:name w:val="header"/>
    <w:basedOn w:val="1"/>
    <w:next w:val="1"/>
    <w:link w:val="65"/>
    <w:autoRedefine/>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5">
    <w:name w:val="toc 1"/>
    <w:basedOn w:val="1"/>
    <w:next w:val="1"/>
    <w:autoRedefine/>
    <w:qFormat/>
    <w:uiPriority w:val="39"/>
    <w:rPr>
      <w:rFonts w:ascii="Times New Roman" w:hAnsi="Times New Roman" w:cs="Times New Roman"/>
      <w:szCs w:val="24"/>
    </w:rPr>
  </w:style>
  <w:style w:type="paragraph" w:styleId="26">
    <w:name w:val="toc 4"/>
    <w:basedOn w:val="1"/>
    <w:next w:val="1"/>
    <w:autoRedefine/>
    <w:qFormat/>
    <w:uiPriority w:val="0"/>
    <w:pPr>
      <w:ind w:left="1260" w:leftChars="600"/>
    </w:pPr>
    <w:rPr>
      <w:rFonts w:ascii="Times New Roman" w:hAnsi="Times New Roman" w:cs="Times New Roman"/>
      <w:szCs w:val="24"/>
    </w:rPr>
  </w:style>
  <w:style w:type="paragraph" w:styleId="27">
    <w:name w:val="List"/>
    <w:basedOn w:val="1"/>
    <w:autoRedefine/>
    <w:qFormat/>
    <w:uiPriority w:val="0"/>
    <w:pPr>
      <w:adjustRightInd w:val="0"/>
      <w:spacing w:line="312" w:lineRule="atLeast"/>
      <w:ind w:left="200" w:hanging="200" w:hangingChars="200"/>
      <w:textAlignment w:val="baseline"/>
    </w:pPr>
    <w:rPr>
      <w:rFonts w:ascii="Times New Roman" w:hAnsi="Times New Roman" w:eastAsia="仿宋" w:cs="Times New Roman"/>
      <w:kern w:val="0"/>
      <w:sz w:val="32"/>
      <w:szCs w:val="20"/>
    </w:rPr>
  </w:style>
  <w:style w:type="paragraph" w:styleId="28">
    <w:name w:val="footnote text"/>
    <w:basedOn w:val="1"/>
    <w:link w:val="172"/>
    <w:autoRedefine/>
    <w:qFormat/>
    <w:uiPriority w:val="0"/>
    <w:pPr>
      <w:snapToGrid w:val="0"/>
      <w:jc w:val="left"/>
    </w:pPr>
    <w:rPr>
      <w:rFonts w:ascii="Times New Roman" w:hAnsi="Times New Roman" w:cs="Times New Roman"/>
      <w:sz w:val="18"/>
      <w:szCs w:val="18"/>
    </w:rPr>
  </w:style>
  <w:style w:type="paragraph" w:styleId="29">
    <w:name w:val="toc 6"/>
    <w:basedOn w:val="1"/>
    <w:next w:val="1"/>
    <w:autoRedefine/>
    <w:qFormat/>
    <w:uiPriority w:val="0"/>
    <w:pPr>
      <w:ind w:left="2100" w:leftChars="1000"/>
    </w:pPr>
    <w:rPr>
      <w:rFonts w:ascii="Times New Roman" w:hAnsi="Times New Roman" w:cs="Times New Roman"/>
      <w:szCs w:val="24"/>
    </w:rPr>
  </w:style>
  <w:style w:type="paragraph" w:styleId="30">
    <w:name w:val="Body Text Indent 3"/>
    <w:basedOn w:val="1"/>
    <w:link w:val="131"/>
    <w:autoRedefine/>
    <w:qFormat/>
    <w:uiPriority w:val="99"/>
    <w:pPr>
      <w:spacing w:line="440" w:lineRule="exact"/>
      <w:ind w:firstLine="412" w:firstLineChars="200"/>
    </w:pPr>
    <w:rPr>
      <w:rFonts w:ascii="宋体" w:cs="Times New Roman"/>
      <w:kern w:val="0"/>
      <w:sz w:val="20"/>
      <w:szCs w:val="20"/>
    </w:rPr>
  </w:style>
  <w:style w:type="paragraph" w:styleId="31">
    <w:name w:val="table of figures"/>
    <w:basedOn w:val="1"/>
    <w:next w:val="1"/>
    <w:autoRedefine/>
    <w:qFormat/>
    <w:uiPriority w:val="0"/>
    <w:pPr>
      <w:ind w:left="200" w:leftChars="200" w:hanging="200" w:hangingChars="200"/>
    </w:pPr>
    <w:rPr>
      <w:rFonts w:ascii="Times New Roman" w:hAnsi="Times New Roman" w:cs="Times New Roman"/>
      <w:szCs w:val="20"/>
    </w:rPr>
  </w:style>
  <w:style w:type="paragraph" w:styleId="32">
    <w:name w:val="toc 2"/>
    <w:basedOn w:val="1"/>
    <w:next w:val="1"/>
    <w:autoRedefine/>
    <w:qFormat/>
    <w:uiPriority w:val="39"/>
    <w:pPr>
      <w:ind w:left="420" w:leftChars="200"/>
    </w:pPr>
    <w:rPr>
      <w:rFonts w:ascii="Times New Roman" w:hAnsi="Times New Roman" w:cs="Times New Roman"/>
      <w:szCs w:val="24"/>
    </w:rPr>
  </w:style>
  <w:style w:type="paragraph" w:styleId="33">
    <w:name w:val="toc 9"/>
    <w:basedOn w:val="1"/>
    <w:next w:val="1"/>
    <w:autoRedefine/>
    <w:qFormat/>
    <w:uiPriority w:val="0"/>
    <w:pPr>
      <w:ind w:left="3360" w:leftChars="1600"/>
    </w:pPr>
    <w:rPr>
      <w:rFonts w:ascii="Times New Roman" w:hAnsi="Times New Roman" w:cs="Times New Roman"/>
      <w:szCs w:val="24"/>
    </w:rPr>
  </w:style>
  <w:style w:type="paragraph" w:styleId="34">
    <w:name w:val="Body Text 2"/>
    <w:basedOn w:val="1"/>
    <w:autoRedefine/>
    <w:qFormat/>
    <w:uiPriority w:val="0"/>
    <w:pPr>
      <w:spacing w:after="120" w:line="480" w:lineRule="auto"/>
    </w:pPr>
  </w:style>
  <w:style w:type="paragraph" w:styleId="35">
    <w:name w:val="List Continue 2"/>
    <w:basedOn w:val="1"/>
    <w:autoRedefine/>
    <w:qFormat/>
    <w:uiPriority w:val="99"/>
    <w:pPr>
      <w:spacing w:after="120"/>
      <w:ind w:left="840" w:leftChars="400"/>
    </w:pPr>
    <w:rPr>
      <w:rFonts w:ascii="Times New Roman" w:hAnsi="Times New Roman" w:cs="Times New Roman"/>
      <w:szCs w:val="24"/>
    </w:rPr>
  </w:style>
  <w:style w:type="paragraph" w:styleId="36">
    <w:name w:val="index 1"/>
    <w:basedOn w:val="1"/>
    <w:next w:val="1"/>
    <w:autoRedefine/>
    <w:qFormat/>
    <w:uiPriority w:val="0"/>
    <w:pPr>
      <w:adjustRightInd w:val="0"/>
      <w:snapToGrid w:val="0"/>
      <w:spacing w:line="300" w:lineRule="exact"/>
    </w:pPr>
    <w:rPr>
      <w:rFonts w:ascii="宋体" w:hAnsi="宋体" w:cs="Times New Roman"/>
      <w:bCs/>
      <w:sz w:val="20"/>
      <w:szCs w:val="21"/>
    </w:rPr>
  </w:style>
  <w:style w:type="paragraph" w:styleId="37">
    <w:name w:val="Title"/>
    <w:basedOn w:val="1"/>
    <w:next w:val="1"/>
    <w:link w:val="158"/>
    <w:autoRedefine/>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1"/>
    <w:next w:val="11"/>
    <w:link w:val="165"/>
    <w:autoRedefine/>
    <w:qFormat/>
    <w:uiPriority w:val="0"/>
    <w:rPr>
      <w:b/>
      <w:bCs/>
    </w:rPr>
  </w:style>
  <w:style w:type="paragraph" w:styleId="39">
    <w:name w:val="Body Text First Indent"/>
    <w:basedOn w:val="12"/>
    <w:next w:val="29"/>
    <w:autoRedefine/>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40">
    <w:name w:val="Body Text First Indent 2"/>
    <w:basedOn w:val="13"/>
    <w:next w:val="9"/>
    <w:link w:val="200"/>
    <w:autoRedefine/>
    <w:unhideWhenUsed/>
    <w:qFormat/>
    <w:uiPriority w:val="0"/>
    <w:pPr>
      <w:widowControl w:val="0"/>
      <w:ind w:left="200" w:leftChars="200" w:firstLine="420" w:firstLineChars="200"/>
    </w:pPr>
    <w:rPr>
      <w:rFonts w:ascii="Calibri" w:hAnsi="Calibri" w:cs="宋体"/>
      <w:kern w:val="2"/>
      <w:sz w:val="21"/>
      <w:szCs w:val="22"/>
    </w:rPr>
  </w:style>
  <w:style w:type="table" w:styleId="42">
    <w:name w:val="Table Grid"/>
    <w:basedOn w:val="4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rFonts w:cs="Times New Roman"/>
      <w:b/>
    </w:rPr>
  </w:style>
  <w:style w:type="character" w:styleId="45">
    <w:name w:val="page number"/>
    <w:basedOn w:val="43"/>
    <w:autoRedefine/>
    <w:qFormat/>
    <w:uiPriority w:val="0"/>
    <w:rPr>
      <w:rFonts w:cs="Times New Roman"/>
    </w:rPr>
  </w:style>
  <w:style w:type="character" w:styleId="46">
    <w:name w:val="FollowedHyperlink"/>
    <w:basedOn w:val="43"/>
    <w:autoRedefine/>
    <w:qFormat/>
    <w:uiPriority w:val="99"/>
    <w:rPr>
      <w:rFonts w:cs="Times New Roman"/>
      <w:color w:val="555555"/>
      <w:u w:val="none"/>
    </w:rPr>
  </w:style>
  <w:style w:type="character" w:styleId="47">
    <w:name w:val="Emphasis"/>
    <w:basedOn w:val="43"/>
    <w:autoRedefine/>
    <w:qFormat/>
    <w:uiPriority w:val="0"/>
    <w:rPr>
      <w:rFonts w:cs="Times New Roman"/>
      <w:i/>
    </w:rPr>
  </w:style>
  <w:style w:type="character" w:styleId="48">
    <w:name w:val="HTML Definition"/>
    <w:basedOn w:val="43"/>
    <w:autoRedefine/>
    <w:qFormat/>
    <w:uiPriority w:val="99"/>
    <w:rPr>
      <w:rFonts w:cs="Times New Roman"/>
    </w:rPr>
  </w:style>
  <w:style w:type="character" w:styleId="49">
    <w:name w:val="HTML Acronym"/>
    <w:basedOn w:val="43"/>
    <w:autoRedefine/>
    <w:qFormat/>
    <w:uiPriority w:val="99"/>
    <w:rPr>
      <w:rFonts w:cs="Times New Roman"/>
    </w:rPr>
  </w:style>
  <w:style w:type="character" w:styleId="50">
    <w:name w:val="HTML Variable"/>
    <w:basedOn w:val="43"/>
    <w:autoRedefine/>
    <w:qFormat/>
    <w:uiPriority w:val="99"/>
    <w:rPr>
      <w:rFonts w:cs="Times New Roman"/>
    </w:rPr>
  </w:style>
  <w:style w:type="character" w:styleId="51">
    <w:name w:val="Hyperlink"/>
    <w:basedOn w:val="43"/>
    <w:autoRedefine/>
    <w:qFormat/>
    <w:uiPriority w:val="99"/>
    <w:rPr>
      <w:rFonts w:cs="Times New Roman"/>
      <w:color w:val="555555"/>
      <w:u w:val="none"/>
    </w:rPr>
  </w:style>
  <w:style w:type="character" w:styleId="52">
    <w:name w:val="HTML Code"/>
    <w:basedOn w:val="43"/>
    <w:autoRedefine/>
    <w:qFormat/>
    <w:uiPriority w:val="99"/>
    <w:rPr>
      <w:rFonts w:ascii="monospace" w:hAnsi="monospace" w:cs="Times New Roman"/>
      <w:sz w:val="24"/>
    </w:rPr>
  </w:style>
  <w:style w:type="character" w:styleId="53">
    <w:name w:val="annotation reference"/>
    <w:autoRedefine/>
    <w:qFormat/>
    <w:uiPriority w:val="0"/>
    <w:rPr>
      <w:sz w:val="21"/>
      <w:szCs w:val="21"/>
    </w:rPr>
  </w:style>
  <w:style w:type="character" w:styleId="54">
    <w:name w:val="HTML Cite"/>
    <w:basedOn w:val="43"/>
    <w:autoRedefine/>
    <w:qFormat/>
    <w:uiPriority w:val="99"/>
    <w:rPr>
      <w:rFonts w:cs="Times New Roman"/>
    </w:rPr>
  </w:style>
  <w:style w:type="character" w:styleId="55">
    <w:name w:val="footnote reference"/>
    <w:autoRedefine/>
    <w:qFormat/>
    <w:uiPriority w:val="0"/>
    <w:rPr>
      <w:vertAlign w:val="superscript"/>
    </w:rPr>
  </w:style>
  <w:style w:type="character" w:styleId="56">
    <w:name w:val="HTML Keyboard"/>
    <w:basedOn w:val="43"/>
    <w:autoRedefine/>
    <w:qFormat/>
    <w:uiPriority w:val="99"/>
    <w:rPr>
      <w:rFonts w:ascii="monospace" w:hAnsi="monospace" w:cs="Times New Roman"/>
      <w:sz w:val="24"/>
    </w:rPr>
  </w:style>
  <w:style w:type="character" w:styleId="57">
    <w:name w:val="HTML Sample"/>
    <w:basedOn w:val="43"/>
    <w:autoRedefine/>
    <w:qFormat/>
    <w:uiPriority w:val="99"/>
    <w:rPr>
      <w:rFonts w:ascii="monospace" w:hAnsi="monospace" w:cs="Times New Roman"/>
      <w:sz w:val="24"/>
    </w:rPr>
  </w:style>
  <w:style w:type="paragraph" w:customStyle="1" w:styleId="58">
    <w:name w:val="_Style 2"/>
    <w:basedOn w:val="1"/>
    <w:autoRedefine/>
    <w:qFormat/>
    <w:uiPriority w:val="99"/>
    <w:pPr>
      <w:ind w:firstLine="420" w:firstLineChars="200"/>
    </w:pPr>
    <w:rPr>
      <w:rFonts w:cs="Times New Roman"/>
    </w:rPr>
  </w:style>
  <w:style w:type="paragraph" w:customStyle="1" w:styleId="59">
    <w:name w:val="标题 5（有编号）（绿盟科技）"/>
    <w:basedOn w:val="1"/>
    <w:next w:val="60"/>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1">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62">
    <w:name w:val="标题 1 字符"/>
    <w:basedOn w:val="43"/>
    <w:link w:val="2"/>
    <w:autoRedefine/>
    <w:qFormat/>
    <w:uiPriority w:val="9"/>
    <w:rPr>
      <w:rFonts w:ascii="???" w:hAnsi="???" w:eastAsia="黑体" w:cs="Arial"/>
      <w:bCs/>
      <w:color w:val="020000"/>
      <w:kern w:val="36"/>
      <w:sz w:val="32"/>
      <w:szCs w:val="44"/>
    </w:rPr>
  </w:style>
  <w:style w:type="character" w:customStyle="1" w:styleId="63">
    <w:name w:val="标题 2 字符"/>
    <w:basedOn w:val="43"/>
    <w:link w:val="3"/>
    <w:autoRedefine/>
    <w:qFormat/>
    <w:uiPriority w:val="99"/>
    <w:rPr>
      <w:rFonts w:ascii="???" w:hAnsi="???" w:eastAsia="楷体" w:cs="Arial"/>
      <w:bCs/>
      <w:color w:val="020000"/>
      <w:kern w:val="0"/>
      <w:sz w:val="32"/>
      <w:szCs w:val="32"/>
    </w:rPr>
  </w:style>
  <w:style w:type="character" w:customStyle="1" w:styleId="64">
    <w:name w:val="标题 3 字符"/>
    <w:basedOn w:val="43"/>
    <w:link w:val="4"/>
    <w:autoRedefine/>
    <w:qFormat/>
    <w:uiPriority w:val="99"/>
    <w:rPr>
      <w:rFonts w:ascii="??" w:hAnsi="??" w:eastAsia="楷体" w:cs="Arial"/>
      <w:bCs/>
      <w:color w:val="000000"/>
      <w:kern w:val="0"/>
      <w:sz w:val="32"/>
      <w:szCs w:val="32"/>
    </w:rPr>
  </w:style>
  <w:style w:type="character" w:customStyle="1" w:styleId="65">
    <w:name w:val="页眉 字符"/>
    <w:basedOn w:val="43"/>
    <w:link w:val="24"/>
    <w:autoRedefine/>
    <w:qFormat/>
    <w:uiPriority w:val="99"/>
    <w:rPr>
      <w:rFonts w:ascii="Calibri" w:hAnsi="Calibri" w:eastAsia="宋体" w:cs="Times New Roman"/>
      <w:sz w:val="18"/>
      <w:szCs w:val="18"/>
    </w:rPr>
  </w:style>
  <w:style w:type="character" w:customStyle="1" w:styleId="66">
    <w:name w:val="页脚 字符"/>
    <w:basedOn w:val="43"/>
    <w:link w:val="23"/>
    <w:autoRedefine/>
    <w:qFormat/>
    <w:uiPriority w:val="99"/>
    <w:rPr>
      <w:rFonts w:ascii="Calibri" w:hAnsi="Calibri" w:eastAsia="宋体" w:cs="Times New Roman"/>
      <w:sz w:val="18"/>
      <w:szCs w:val="18"/>
    </w:rPr>
  </w:style>
  <w:style w:type="character" w:customStyle="1" w:styleId="67">
    <w:name w:val="正文文本缩进 字符"/>
    <w:basedOn w:val="43"/>
    <w:link w:val="13"/>
    <w:autoRedefine/>
    <w:qFormat/>
    <w:uiPriority w:val="0"/>
    <w:rPr>
      <w:rFonts w:ascii="??" w:hAnsi="??" w:eastAsia="宋体" w:cs="Arial"/>
      <w:kern w:val="0"/>
      <w:sz w:val="24"/>
      <w:szCs w:val="24"/>
    </w:rPr>
  </w:style>
  <w:style w:type="paragraph" w:styleId="68">
    <w:name w:val="List Paragraph"/>
    <w:basedOn w:val="1"/>
    <w:autoRedefine/>
    <w:qFormat/>
    <w:uiPriority w:val="34"/>
    <w:pPr>
      <w:ind w:firstLine="420" w:firstLineChars="200"/>
    </w:pPr>
    <w:rPr>
      <w:rFonts w:cs="Times New Roman"/>
    </w:rPr>
  </w:style>
  <w:style w:type="character" w:customStyle="1" w:styleId="69">
    <w:name w:val="标题 2 Char Char"/>
    <w:autoRedefine/>
    <w:qFormat/>
    <w:uiPriority w:val="99"/>
    <w:rPr>
      <w:rFonts w:ascii="Arial" w:hAnsi="Arial" w:eastAsia="黑体"/>
      <w:b/>
      <w:kern w:val="2"/>
      <w:sz w:val="32"/>
      <w:lang w:val="en-US" w:eastAsia="zh-CN"/>
    </w:rPr>
  </w:style>
  <w:style w:type="character" w:customStyle="1" w:styleId="70">
    <w:name w:val="2charchar"/>
    <w:basedOn w:val="43"/>
    <w:autoRedefine/>
    <w:qFormat/>
    <w:uiPriority w:val="99"/>
    <w:rPr>
      <w:rFonts w:cs="Times New Roman"/>
    </w:rPr>
  </w:style>
  <w:style w:type="paragraph" w:customStyle="1" w:styleId="71">
    <w:name w:val="表格文字"/>
    <w:basedOn w:val="1"/>
    <w:autoRedefine/>
    <w:qFormat/>
    <w:uiPriority w:val="99"/>
    <w:pPr>
      <w:adjustRightInd w:val="0"/>
      <w:spacing w:line="420" w:lineRule="atLeast"/>
      <w:jc w:val="left"/>
    </w:pPr>
    <w:rPr>
      <w:rFonts w:ascii="Times New Roman" w:hAnsi="Times New Roman" w:cs="Times New Roman"/>
      <w:kern w:val="0"/>
      <w:szCs w:val="20"/>
    </w:rPr>
  </w:style>
  <w:style w:type="paragraph" w:customStyle="1" w:styleId="72">
    <w:name w:val="z-窗体顶端1"/>
    <w:basedOn w:val="1"/>
    <w:next w:val="1"/>
    <w:link w:val="73"/>
    <w:autoRedefine/>
    <w:qFormat/>
    <w:uiPriority w:val="99"/>
    <w:pPr>
      <w:widowControl/>
      <w:pBdr>
        <w:bottom w:val="single" w:color="auto" w:sz="6" w:space="1"/>
      </w:pBdr>
      <w:jc w:val="center"/>
    </w:pPr>
    <w:rPr>
      <w:rFonts w:ascii="Arial" w:hAnsi="Arial" w:cs="Arial"/>
      <w:vanish/>
      <w:kern w:val="0"/>
      <w:sz w:val="16"/>
      <w:szCs w:val="16"/>
    </w:rPr>
  </w:style>
  <w:style w:type="character" w:customStyle="1" w:styleId="73">
    <w:name w:val="z-窗体顶端 Char"/>
    <w:basedOn w:val="43"/>
    <w:link w:val="72"/>
    <w:autoRedefine/>
    <w:qFormat/>
    <w:uiPriority w:val="99"/>
    <w:rPr>
      <w:rFonts w:ascii="Arial" w:hAnsi="Arial" w:eastAsia="宋体" w:cs="Arial"/>
      <w:vanish/>
      <w:kern w:val="0"/>
      <w:sz w:val="16"/>
      <w:szCs w:val="16"/>
    </w:rPr>
  </w:style>
  <w:style w:type="paragraph" w:customStyle="1" w:styleId="74">
    <w:name w:val="z-窗体底端1"/>
    <w:basedOn w:val="1"/>
    <w:next w:val="1"/>
    <w:link w:val="75"/>
    <w:autoRedefine/>
    <w:qFormat/>
    <w:uiPriority w:val="99"/>
    <w:pPr>
      <w:widowControl/>
      <w:pBdr>
        <w:top w:val="single" w:color="auto" w:sz="6" w:space="1"/>
      </w:pBdr>
      <w:jc w:val="center"/>
    </w:pPr>
    <w:rPr>
      <w:rFonts w:ascii="Arial" w:hAnsi="Arial" w:cs="Arial"/>
      <w:vanish/>
      <w:kern w:val="0"/>
      <w:sz w:val="16"/>
      <w:szCs w:val="16"/>
    </w:rPr>
  </w:style>
  <w:style w:type="character" w:customStyle="1" w:styleId="75">
    <w:name w:val="z-窗体底端 Char"/>
    <w:basedOn w:val="43"/>
    <w:link w:val="74"/>
    <w:autoRedefine/>
    <w:qFormat/>
    <w:uiPriority w:val="99"/>
    <w:rPr>
      <w:rFonts w:ascii="Arial" w:hAnsi="Arial" w:eastAsia="宋体" w:cs="Arial"/>
      <w:vanish/>
      <w:kern w:val="0"/>
      <w:sz w:val="16"/>
      <w:szCs w:val="16"/>
    </w:rPr>
  </w:style>
  <w:style w:type="paragraph" w:customStyle="1" w:styleId="76">
    <w:name w:val="hu正文"/>
    <w:basedOn w:val="1"/>
    <w:link w:val="77"/>
    <w:autoRedefine/>
    <w:qFormat/>
    <w:uiPriority w:val="99"/>
    <w:pPr>
      <w:spacing w:before="156" w:after="156" w:line="300" w:lineRule="auto"/>
      <w:ind w:firstLine="480" w:firstLineChars="200"/>
    </w:pPr>
    <w:rPr>
      <w:rFonts w:ascii="Times New Roman" w:hAnsi="Times New Roman" w:cs="Times New Roman"/>
      <w:kern w:val="0"/>
      <w:sz w:val="24"/>
      <w:szCs w:val="20"/>
    </w:rPr>
  </w:style>
  <w:style w:type="character" w:customStyle="1" w:styleId="77">
    <w:name w:val="hu正文 Char"/>
    <w:link w:val="76"/>
    <w:autoRedefine/>
    <w:qFormat/>
    <w:uiPriority w:val="99"/>
    <w:rPr>
      <w:rFonts w:ascii="Times New Roman" w:hAnsi="Times New Roman" w:eastAsia="宋体" w:cs="Times New Roman"/>
      <w:kern w:val="0"/>
      <w:sz w:val="24"/>
      <w:szCs w:val="20"/>
    </w:rPr>
  </w:style>
  <w:style w:type="paragraph" w:styleId="78">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字符"/>
    <w:basedOn w:val="43"/>
    <w:link w:val="22"/>
    <w:autoRedefine/>
    <w:qFormat/>
    <w:uiPriority w:val="99"/>
    <w:rPr>
      <w:rFonts w:ascii="Calibri" w:hAnsi="Calibri" w:eastAsia="宋体" w:cs="Times New Roman"/>
      <w:sz w:val="18"/>
      <w:szCs w:val="18"/>
    </w:rPr>
  </w:style>
  <w:style w:type="character" w:customStyle="1" w:styleId="80">
    <w:name w:val="ui-bz-bg-hover1"/>
    <w:basedOn w:val="43"/>
    <w:autoRedefine/>
    <w:qFormat/>
    <w:uiPriority w:val="99"/>
    <w:rPr>
      <w:rFonts w:cs="Times New Roman"/>
    </w:rPr>
  </w:style>
  <w:style w:type="character" w:customStyle="1" w:styleId="81">
    <w:name w:val="批注框文本 Char1"/>
    <w:autoRedefine/>
    <w:qFormat/>
    <w:uiPriority w:val="99"/>
    <w:rPr>
      <w:rFonts w:ascii="Times New Roman" w:hAnsi="Times New Roman" w:eastAsia="宋体"/>
      <w:sz w:val="18"/>
    </w:rPr>
  </w:style>
  <w:style w:type="character" w:customStyle="1" w:styleId="82">
    <w:name w:val="bds_nopic"/>
    <w:basedOn w:val="43"/>
    <w:autoRedefine/>
    <w:qFormat/>
    <w:uiPriority w:val="99"/>
    <w:rPr>
      <w:rFonts w:cs="Times New Roman"/>
    </w:rPr>
  </w:style>
  <w:style w:type="character" w:customStyle="1" w:styleId="83">
    <w:name w:val="tip12"/>
    <w:autoRedefine/>
    <w:qFormat/>
    <w:uiPriority w:val="99"/>
    <w:rPr>
      <w:vanish/>
      <w:color w:val="FF0000"/>
      <w:sz w:val="18"/>
    </w:rPr>
  </w:style>
  <w:style w:type="character" w:customStyle="1" w:styleId="84">
    <w:name w:val="Body Text Indent 3 Char"/>
    <w:autoRedefine/>
    <w:qFormat/>
    <w:uiPriority w:val="99"/>
    <w:rPr>
      <w:rFonts w:ascii="宋体" w:eastAsia="宋体"/>
    </w:rPr>
  </w:style>
  <w:style w:type="character" w:customStyle="1" w:styleId="85">
    <w:name w:val="HTML Markup"/>
    <w:autoRedefine/>
    <w:qFormat/>
    <w:uiPriority w:val="99"/>
    <w:rPr>
      <w:vanish/>
      <w:color w:val="FF0000"/>
    </w:rPr>
  </w:style>
  <w:style w:type="character" w:customStyle="1" w:styleId="86">
    <w:name w:val="tip7"/>
    <w:autoRedefine/>
    <w:qFormat/>
    <w:uiPriority w:val="99"/>
    <w:rPr>
      <w:vanish/>
      <w:color w:val="FF0000"/>
      <w:sz w:val="18"/>
    </w:rPr>
  </w:style>
  <w:style w:type="character" w:customStyle="1" w:styleId="87">
    <w:name w:val="f-star"/>
    <w:autoRedefine/>
    <w:qFormat/>
    <w:uiPriority w:val="99"/>
    <w:rPr>
      <w:color w:val="999999"/>
      <w:sz w:val="21"/>
    </w:rPr>
  </w:style>
  <w:style w:type="character" w:customStyle="1" w:styleId="88">
    <w:name w:val="Document Map Char1"/>
    <w:autoRedefine/>
    <w:qFormat/>
    <w:uiPriority w:val="99"/>
    <w:rPr>
      <w:rFonts w:ascii="Times New Roman" w:hAnsi="Times New Roman"/>
      <w:kern w:val="2"/>
      <w:sz w:val="2"/>
    </w:rPr>
  </w:style>
  <w:style w:type="character" w:customStyle="1" w:styleId="89">
    <w:name w:val="my-class2"/>
    <w:basedOn w:val="43"/>
    <w:autoRedefine/>
    <w:qFormat/>
    <w:uiPriority w:val="99"/>
    <w:rPr>
      <w:rFonts w:cs="Times New Roman"/>
    </w:rPr>
  </w:style>
  <w:style w:type="character" w:customStyle="1" w:styleId="90">
    <w:name w:val="no52"/>
    <w:basedOn w:val="43"/>
    <w:autoRedefine/>
    <w:qFormat/>
    <w:uiPriority w:val="99"/>
    <w:rPr>
      <w:rFonts w:cs="Times New Roman"/>
    </w:rPr>
  </w:style>
  <w:style w:type="character" w:customStyle="1" w:styleId="91">
    <w:name w:val="no4"/>
    <w:basedOn w:val="43"/>
    <w:autoRedefine/>
    <w:qFormat/>
    <w:uiPriority w:val="99"/>
    <w:rPr>
      <w:rFonts w:cs="Times New Roman"/>
    </w:rPr>
  </w:style>
  <w:style w:type="character" w:customStyle="1" w:styleId="92">
    <w:name w:val="my-notice"/>
    <w:basedOn w:val="43"/>
    <w:autoRedefine/>
    <w:qFormat/>
    <w:uiPriority w:val="99"/>
    <w:rPr>
      <w:rFonts w:cs="Times New Roman"/>
    </w:rPr>
  </w:style>
  <w:style w:type="character" w:customStyle="1" w:styleId="93">
    <w:name w:val="ico-jiang"/>
    <w:basedOn w:val="43"/>
    <w:autoRedefine/>
    <w:qFormat/>
    <w:uiPriority w:val="99"/>
    <w:rPr>
      <w:rFonts w:cs="Times New Roman"/>
    </w:rPr>
  </w:style>
  <w:style w:type="character" w:customStyle="1" w:styleId="94">
    <w:name w:val="ico-jiang2"/>
    <w:basedOn w:val="43"/>
    <w:autoRedefine/>
    <w:qFormat/>
    <w:uiPriority w:val="99"/>
    <w:rPr>
      <w:rFonts w:cs="Times New Roman"/>
    </w:rPr>
  </w:style>
  <w:style w:type="character" w:customStyle="1" w:styleId="95">
    <w:name w:val="bds_more1"/>
    <w:autoRedefine/>
    <w:qFormat/>
    <w:uiPriority w:val="99"/>
    <w:rPr>
      <w:rFonts w:ascii="宋体" w:hAnsi="宋体" w:eastAsia="宋体"/>
    </w:rPr>
  </w:style>
  <w:style w:type="character" w:customStyle="1" w:styleId="96">
    <w:name w:val="Body Text Indent 2 Char"/>
    <w:autoRedefine/>
    <w:qFormat/>
    <w:uiPriority w:val="99"/>
    <w:rPr>
      <w:rFonts w:ascii="宋体" w:eastAsia="宋体"/>
      <w:sz w:val="24"/>
    </w:rPr>
  </w:style>
  <w:style w:type="character" w:customStyle="1" w:styleId="97">
    <w:name w:val="org_name"/>
    <w:basedOn w:val="43"/>
    <w:autoRedefine/>
    <w:qFormat/>
    <w:uiPriority w:val="99"/>
    <w:rPr>
      <w:rFonts w:cs="Times New Roman"/>
    </w:rPr>
  </w:style>
  <w:style w:type="character" w:customStyle="1" w:styleId="98">
    <w:name w:val="org_name2"/>
    <w:basedOn w:val="43"/>
    <w:autoRedefine/>
    <w:qFormat/>
    <w:uiPriority w:val="99"/>
    <w:rPr>
      <w:rFonts w:cs="Times New Roman"/>
    </w:rPr>
  </w:style>
  <w:style w:type="character" w:customStyle="1" w:styleId="99">
    <w:name w:val="tip10"/>
    <w:autoRedefine/>
    <w:qFormat/>
    <w:uiPriority w:val="99"/>
    <w:rPr>
      <w:vanish/>
      <w:color w:val="FF0000"/>
      <w:sz w:val="18"/>
    </w:rPr>
  </w:style>
  <w:style w:type="character" w:customStyle="1" w:styleId="100">
    <w:name w:val="orange"/>
    <w:autoRedefine/>
    <w:qFormat/>
    <w:uiPriority w:val="99"/>
    <w:rPr>
      <w:color w:val="3FB58F"/>
    </w:rPr>
  </w:style>
  <w:style w:type="character" w:customStyle="1" w:styleId="101">
    <w:name w:val="bds_more"/>
    <w:basedOn w:val="43"/>
    <w:autoRedefine/>
    <w:qFormat/>
    <w:uiPriority w:val="99"/>
    <w:rPr>
      <w:rFonts w:cs="Times New Roman"/>
    </w:rPr>
  </w:style>
  <w:style w:type="character" w:customStyle="1" w:styleId="102">
    <w:name w:val="t-tag"/>
    <w:autoRedefine/>
    <w:qFormat/>
    <w:uiPriority w:val="99"/>
    <w:rPr>
      <w:color w:val="FFFFFF"/>
      <w:sz w:val="18"/>
      <w:shd w:val="clear" w:color="auto" w:fill="FE8833"/>
    </w:rPr>
  </w:style>
  <w:style w:type="character" w:customStyle="1" w:styleId="103">
    <w:name w:val="top-icon"/>
    <w:basedOn w:val="43"/>
    <w:autoRedefine/>
    <w:qFormat/>
    <w:uiPriority w:val="99"/>
    <w:rPr>
      <w:rFonts w:cs="Times New Roman"/>
    </w:rPr>
  </w:style>
  <w:style w:type="character" w:customStyle="1" w:styleId="104">
    <w:name w:val="Body Text Char"/>
    <w:autoRedefine/>
    <w:qFormat/>
    <w:uiPriority w:val="99"/>
    <w:rPr>
      <w:sz w:val="24"/>
    </w:rPr>
  </w:style>
  <w:style w:type="character" w:customStyle="1" w:styleId="105">
    <w:name w:val="no72"/>
    <w:basedOn w:val="43"/>
    <w:autoRedefine/>
    <w:qFormat/>
    <w:uiPriority w:val="99"/>
    <w:rPr>
      <w:rFonts w:cs="Times New Roman"/>
    </w:rPr>
  </w:style>
  <w:style w:type="character" w:customStyle="1" w:styleId="106">
    <w:name w:val="bds_nopic2"/>
    <w:basedOn w:val="43"/>
    <w:autoRedefine/>
    <w:qFormat/>
    <w:uiPriority w:val="99"/>
    <w:rPr>
      <w:rFonts w:cs="Times New Roman"/>
    </w:rPr>
  </w:style>
  <w:style w:type="character" w:customStyle="1" w:styleId="107">
    <w:name w:val="Document Map Char"/>
    <w:autoRedefine/>
    <w:qFormat/>
    <w:uiPriority w:val="99"/>
    <w:rPr>
      <w:rFonts w:ascii="宋体"/>
      <w:sz w:val="18"/>
    </w:rPr>
  </w:style>
  <w:style w:type="character" w:customStyle="1" w:styleId="108">
    <w:name w:val="no6"/>
    <w:basedOn w:val="43"/>
    <w:autoRedefine/>
    <w:qFormat/>
    <w:uiPriority w:val="99"/>
    <w:rPr>
      <w:rFonts w:cs="Times New Roman"/>
    </w:rPr>
  </w:style>
  <w:style w:type="character" w:customStyle="1" w:styleId="109">
    <w:name w:val="tip"/>
    <w:autoRedefine/>
    <w:qFormat/>
    <w:uiPriority w:val="99"/>
    <w:rPr>
      <w:vanish/>
      <w:color w:val="FF0000"/>
      <w:sz w:val="18"/>
    </w:rPr>
  </w:style>
  <w:style w:type="character" w:customStyle="1" w:styleId="110">
    <w:name w:val="apple-converted-space"/>
    <w:basedOn w:val="43"/>
    <w:autoRedefine/>
    <w:qFormat/>
    <w:uiPriority w:val="99"/>
    <w:rPr>
      <w:rFonts w:cs="Times New Roman"/>
    </w:rPr>
  </w:style>
  <w:style w:type="character" w:customStyle="1" w:styleId="111">
    <w:name w:val="bds_more2"/>
    <w:basedOn w:val="43"/>
    <w:autoRedefine/>
    <w:qFormat/>
    <w:uiPriority w:val="99"/>
    <w:rPr>
      <w:rFonts w:cs="Times New Roman"/>
    </w:rPr>
  </w:style>
  <w:style w:type="character" w:customStyle="1" w:styleId="112">
    <w:name w:val="my-class"/>
    <w:basedOn w:val="43"/>
    <w:autoRedefine/>
    <w:qFormat/>
    <w:uiPriority w:val="99"/>
    <w:rPr>
      <w:rFonts w:cs="Times New Roman"/>
    </w:rPr>
  </w:style>
  <w:style w:type="character" w:customStyle="1" w:styleId="113">
    <w:name w:val="ui-bz-bg-hover"/>
    <w:autoRedefine/>
    <w:qFormat/>
    <w:uiPriority w:val="99"/>
    <w:rPr>
      <w:shd w:val="clear" w:color="auto" w:fill="000000"/>
    </w:rPr>
  </w:style>
  <w:style w:type="character" w:customStyle="1" w:styleId="114">
    <w:name w:val="no7"/>
    <w:basedOn w:val="43"/>
    <w:autoRedefine/>
    <w:qFormat/>
    <w:uiPriority w:val="99"/>
    <w:rPr>
      <w:rFonts w:cs="Times New Roman"/>
    </w:rPr>
  </w:style>
  <w:style w:type="character" w:customStyle="1" w:styleId="115">
    <w:name w:val="正文缩进 字符"/>
    <w:link w:val="9"/>
    <w:autoRedefine/>
    <w:qFormat/>
    <w:uiPriority w:val="99"/>
    <w:rPr>
      <w:rFonts w:ascii="Times New Roman" w:hAnsi="Times New Roman" w:eastAsia="宋体" w:cs="Times New Roman"/>
      <w:kern w:val="0"/>
      <w:sz w:val="24"/>
      <w:szCs w:val="20"/>
    </w:rPr>
  </w:style>
  <w:style w:type="character" w:customStyle="1" w:styleId="116">
    <w:name w:val="ico-jiang1"/>
    <w:basedOn w:val="43"/>
    <w:autoRedefine/>
    <w:qFormat/>
    <w:uiPriority w:val="99"/>
    <w:rPr>
      <w:rFonts w:cs="Times New Roman"/>
    </w:rPr>
  </w:style>
  <w:style w:type="character" w:customStyle="1" w:styleId="117">
    <w:name w:val="no62"/>
    <w:basedOn w:val="43"/>
    <w:autoRedefine/>
    <w:qFormat/>
    <w:uiPriority w:val="99"/>
    <w:rPr>
      <w:rFonts w:cs="Times New Roman"/>
    </w:rPr>
  </w:style>
  <w:style w:type="character" w:customStyle="1" w:styleId="118">
    <w:name w:val="orange5"/>
    <w:autoRedefine/>
    <w:qFormat/>
    <w:uiPriority w:val="99"/>
    <w:rPr>
      <w:color w:val="3FB58F"/>
    </w:rPr>
  </w:style>
  <w:style w:type="character" w:customStyle="1" w:styleId="119">
    <w:name w:val="bds_more4"/>
    <w:basedOn w:val="43"/>
    <w:autoRedefine/>
    <w:qFormat/>
    <w:uiPriority w:val="99"/>
    <w:rPr>
      <w:rFonts w:cs="Times New Roman"/>
    </w:rPr>
  </w:style>
  <w:style w:type="character" w:customStyle="1" w:styleId="120">
    <w:name w:val="no5"/>
    <w:basedOn w:val="43"/>
    <w:autoRedefine/>
    <w:qFormat/>
    <w:uiPriority w:val="99"/>
    <w:rPr>
      <w:rFonts w:cs="Times New Roman"/>
    </w:rPr>
  </w:style>
  <w:style w:type="character" w:customStyle="1" w:styleId="121">
    <w:name w:val="bds_more3"/>
    <w:basedOn w:val="43"/>
    <w:autoRedefine/>
    <w:qFormat/>
    <w:uiPriority w:val="99"/>
    <w:rPr>
      <w:rFonts w:cs="Times New Roman"/>
    </w:rPr>
  </w:style>
  <w:style w:type="character" w:customStyle="1" w:styleId="122">
    <w:name w:val="no42"/>
    <w:basedOn w:val="43"/>
    <w:autoRedefine/>
    <w:qFormat/>
    <w:uiPriority w:val="99"/>
    <w:rPr>
      <w:rFonts w:cs="Times New Roman"/>
    </w:rPr>
  </w:style>
  <w:style w:type="character" w:customStyle="1" w:styleId="123">
    <w:name w:val="bds_nopic1"/>
    <w:basedOn w:val="43"/>
    <w:autoRedefine/>
    <w:qFormat/>
    <w:uiPriority w:val="99"/>
    <w:rPr>
      <w:rFonts w:cs="Times New Roman"/>
    </w:rPr>
  </w:style>
  <w:style w:type="character" w:customStyle="1" w:styleId="124">
    <w:name w:val="my-notice1"/>
    <w:basedOn w:val="43"/>
    <w:autoRedefine/>
    <w:qFormat/>
    <w:uiPriority w:val="99"/>
    <w:rPr>
      <w:rFonts w:cs="Times New Roman"/>
    </w:rPr>
  </w:style>
  <w:style w:type="character" w:customStyle="1" w:styleId="125">
    <w:name w:val="orange6"/>
    <w:autoRedefine/>
    <w:qFormat/>
    <w:uiPriority w:val="99"/>
    <w:rPr>
      <w:color w:val="3FB58F"/>
    </w:rPr>
  </w:style>
  <w:style w:type="character" w:customStyle="1" w:styleId="126">
    <w:name w:val="Document Map Char2"/>
    <w:autoRedefine/>
    <w:qFormat/>
    <w:uiPriority w:val="99"/>
    <w:rPr>
      <w:rFonts w:ascii="宋体"/>
      <w:sz w:val="18"/>
    </w:rPr>
  </w:style>
  <w:style w:type="character" w:customStyle="1" w:styleId="127">
    <w:name w:val="ico-jiang3"/>
    <w:basedOn w:val="43"/>
    <w:autoRedefine/>
    <w:qFormat/>
    <w:uiPriority w:val="99"/>
    <w:rPr>
      <w:rFonts w:cs="Times New Roman"/>
    </w:rPr>
  </w:style>
  <w:style w:type="character" w:customStyle="1" w:styleId="128">
    <w:name w:val="tip13"/>
    <w:autoRedefine/>
    <w:qFormat/>
    <w:uiPriority w:val="99"/>
    <w:rPr>
      <w:vanish/>
      <w:color w:val="FF0000"/>
      <w:sz w:val="18"/>
    </w:rPr>
  </w:style>
  <w:style w:type="character" w:customStyle="1" w:styleId="129">
    <w:name w:val="正文文本缩进 2 字符"/>
    <w:basedOn w:val="43"/>
    <w:link w:val="21"/>
    <w:autoRedefine/>
    <w:qFormat/>
    <w:uiPriority w:val="99"/>
    <w:rPr>
      <w:rFonts w:ascii="宋体" w:hAnsi="Calibri" w:eastAsia="宋体" w:cs="Times New Roman"/>
      <w:kern w:val="0"/>
      <w:sz w:val="24"/>
      <w:szCs w:val="20"/>
    </w:rPr>
  </w:style>
  <w:style w:type="character" w:customStyle="1" w:styleId="130">
    <w:name w:val="Body Text Indent 2 Char1"/>
    <w:basedOn w:val="43"/>
    <w:autoRedefine/>
    <w:qFormat/>
    <w:uiPriority w:val="99"/>
    <w:rPr>
      <w:rFonts w:cs="Times New Roman"/>
    </w:rPr>
  </w:style>
  <w:style w:type="character" w:customStyle="1" w:styleId="131">
    <w:name w:val="正文文本缩进 3 字符"/>
    <w:basedOn w:val="43"/>
    <w:link w:val="30"/>
    <w:autoRedefine/>
    <w:qFormat/>
    <w:uiPriority w:val="99"/>
    <w:rPr>
      <w:rFonts w:ascii="宋体" w:hAnsi="Calibri" w:eastAsia="宋体" w:cs="Times New Roman"/>
      <w:kern w:val="0"/>
      <w:sz w:val="20"/>
      <w:szCs w:val="20"/>
    </w:rPr>
  </w:style>
  <w:style w:type="character" w:customStyle="1" w:styleId="132">
    <w:name w:val="Body Text Indent 3 Char1"/>
    <w:basedOn w:val="43"/>
    <w:autoRedefine/>
    <w:qFormat/>
    <w:uiPriority w:val="99"/>
    <w:rPr>
      <w:rFonts w:cs="Times New Roman"/>
      <w:sz w:val="16"/>
      <w:szCs w:val="16"/>
    </w:rPr>
  </w:style>
  <w:style w:type="character" w:customStyle="1" w:styleId="133">
    <w:name w:val="文档结构图 字符"/>
    <w:basedOn w:val="43"/>
    <w:link w:val="10"/>
    <w:autoRedefine/>
    <w:qFormat/>
    <w:uiPriority w:val="99"/>
    <w:rPr>
      <w:rFonts w:ascii="宋体" w:hAnsi="Calibri" w:eastAsia="宋体" w:cs="Times New Roman"/>
      <w:kern w:val="0"/>
      <w:sz w:val="18"/>
      <w:szCs w:val="20"/>
    </w:rPr>
  </w:style>
  <w:style w:type="character" w:customStyle="1" w:styleId="134">
    <w:name w:val="Document Map Char3"/>
    <w:basedOn w:val="43"/>
    <w:autoRedefine/>
    <w:qFormat/>
    <w:uiPriority w:val="99"/>
    <w:rPr>
      <w:rFonts w:ascii="Times New Roman" w:hAnsi="Times New Roman" w:cs="Times New Roman"/>
      <w:sz w:val="2"/>
    </w:rPr>
  </w:style>
  <w:style w:type="paragraph" w:customStyle="1" w:styleId="135">
    <w:name w:val="_Style 1"/>
    <w:basedOn w:val="1"/>
    <w:autoRedefine/>
    <w:qFormat/>
    <w:uiPriority w:val="99"/>
    <w:pPr>
      <w:ind w:firstLine="420" w:firstLineChars="200"/>
    </w:pPr>
    <w:rPr>
      <w:rFonts w:ascii="Times New Roman" w:hAnsi="Times New Roman" w:cs="Times New Roman"/>
      <w:szCs w:val="24"/>
    </w:rPr>
  </w:style>
  <w:style w:type="character" w:customStyle="1" w:styleId="136">
    <w:name w:val="正文文本 字符"/>
    <w:basedOn w:val="43"/>
    <w:link w:val="12"/>
    <w:autoRedefine/>
    <w:qFormat/>
    <w:uiPriority w:val="99"/>
    <w:rPr>
      <w:rFonts w:ascii="Calibri" w:hAnsi="Calibri" w:eastAsia="宋体" w:cs="Times New Roman"/>
      <w:kern w:val="0"/>
      <w:sz w:val="24"/>
      <w:szCs w:val="20"/>
    </w:rPr>
  </w:style>
  <w:style w:type="character" w:customStyle="1" w:styleId="137">
    <w:name w:val="Body Text Char1"/>
    <w:basedOn w:val="43"/>
    <w:autoRedefine/>
    <w:qFormat/>
    <w:uiPriority w:val="99"/>
    <w:rPr>
      <w:rFonts w:cs="Times New Roman"/>
    </w:rPr>
  </w:style>
  <w:style w:type="paragraph" w:customStyle="1" w:styleId="138">
    <w:name w:val="_Style 21"/>
    <w:basedOn w:val="1"/>
    <w:autoRedefine/>
    <w:qFormat/>
    <w:uiPriority w:val="99"/>
    <w:rPr>
      <w:rFonts w:ascii="Times New Roman" w:hAnsi="Times New Roman" w:cs="Times New Roman"/>
      <w:szCs w:val="20"/>
    </w:rPr>
  </w:style>
  <w:style w:type="paragraph" w:customStyle="1" w:styleId="139">
    <w:name w:val="p0"/>
    <w:basedOn w:val="1"/>
    <w:autoRedefine/>
    <w:qFormat/>
    <w:uiPriority w:val="99"/>
    <w:pPr>
      <w:widowControl/>
    </w:pPr>
    <w:rPr>
      <w:rFonts w:ascii="Times New Roman" w:hAnsi="Times New Roman" w:cs="Times New Roman"/>
      <w:kern w:val="0"/>
      <w:szCs w:val="21"/>
    </w:rPr>
  </w:style>
  <w:style w:type="paragraph" w:customStyle="1" w:styleId="140">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Times New Roman"/>
      <w:kern w:val="0"/>
      <w:sz w:val="18"/>
      <w:szCs w:val="18"/>
    </w:rPr>
  </w:style>
  <w:style w:type="paragraph" w:customStyle="1" w:styleId="141">
    <w:name w:val="xl25"/>
    <w:basedOn w:val="1"/>
    <w:autoRedefine/>
    <w:qFormat/>
    <w:uiPriority w:val="99"/>
    <w:pPr>
      <w:widowControl/>
      <w:spacing w:before="100" w:beforeAutospacing="1" w:after="100" w:afterAutospacing="1"/>
      <w:textAlignment w:val="center"/>
    </w:pPr>
    <w:rPr>
      <w:rFonts w:ascii="宋体" w:hAnsi="宋体" w:cs="Times New Roman"/>
      <w:kern w:val="0"/>
      <w:sz w:val="18"/>
      <w:szCs w:val="18"/>
    </w:rPr>
  </w:style>
  <w:style w:type="paragraph" w:customStyle="1" w:styleId="142">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cs="Times New Roman"/>
      <w:color w:val="404040"/>
      <w:kern w:val="0"/>
      <w:sz w:val="24"/>
      <w:szCs w:val="20"/>
      <w:lang w:eastAsia="en-US"/>
    </w:rPr>
  </w:style>
  <w:style w:type="paragraph" w:customStyle="1" w:styleId="143">
    <w:name w:val="无间隔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autoRedefine/>
    <w:qFormat/>
    <w:uiPriority w:val="99"/>
    <w:pPr>
      <w:ind w:firstLine="420" w:firstLineChars="200"/>
    </w:pPr>
    <w:rPr>
      <w:rFonts w:ascii="Times New Roman" w:hAnsi="Times New Roman" w:cs="Times New Roman"/>
      <w:szCs w:val="24"/>
    </w:rPr>
  </w:style>
  <w:style w:type="paragraph" w:customStyle="1" w:styleId="145">
    <w:name w:val="txt14"/>
    <w:basedOn w:val="1"/>
    <w:autoRedefine/>
    <w:qFormat/>
    <w:uiPriority w:val="99"/>
    <w:pPr>
      <w:widowControl/>
      <w:spacing w:before="100" w:beforeAutospacing="1" w:after="100" w:afterAutospacing="1"/>
      <w:jc w:val="left"/>
    </w:pPr>
    <w:rPr>
      <w:rFonts w:ascii="宋体" w:hAnsi="宋体" w:cs="Times New Roman"/>
      <w:color w:val="000000"/>
      <w:kern w:val="0"/>
      <w:szCs w:val="21"/>
    </w:rPr>
  </w:style>
  <w:style w:type="paragraph" w:customStyle="1" w:styleId="146">
    <w:name w:val="_Style 11"/>
    <w:basedOn w:val="1"/>
    <w:autoRedefine/>
    <w:qFormat/>
    <w:uiPriority w:val="99"/>
    <w:rPr>
      <w:rFonts w:ascii="Times New Roman" w:hAnsi="Times New Roman" w:cs="Times New Roman"/>
      <w:szCs w:val="24"/>
    </w:rPr>
  </w:style>
  <w:style w:type="paragraph" w:customStyle="1" w:styleId="147">
    <w:name w:val="Char"/>
    <w:basedOn w:val="1"/>
    <w:autoRedefine/>
    <w:qFormat/>
    <w:uiPriority w:val="99"/>
    <w:rPr>
      <w:rFonts w:ascii="Times New Roman" w:hAnsi="Times New Roman" w:cs="Times New Roman"/>
      <w:szCs w:val="21"/>
    </w:rPr>
  </w:style>
  <w:style w:type="paragraph" w:customStyle="1" w:styleId="148">
    <w:name w:val="列出段落1"/>
    <w:basedOn w:val="1"/>
    <w:autoRedefine/>
    <w:qFormat/>
    <w:uiPriority w:val="0"/>
    <w:pPr>
      <w:ind w:firstLine="420" w:firstLineChars="200"/>
    </w:pPr>
    <w:rPr>
      <w:rFonts w:ascii="Times New Roman" w:hAnsi="Times New Roman" w:cs="Times New Roman"/>
      <w:szCs w:val="24"/>
    </w:rPr>
  </w:style>
  <w:style w:type="paragraph" w:customStyle="1" w:styleId="149">
    <w:name w:val="列出段落2"/>
    <w:basedOn w:val="1"/>
    <w:autoRedefine/>
    <w:qFormat/>
    <w:uiPriority w:val="99"/>
    <w:pPr>
      <w:ind w:firstLine="420" w:firstLineChars="200"/>
    </w:pPr>
    <w:rPr>
      <w:rFonts w:ascii="Times New Roman" w:hAnsi="Times New Roman" w:cs="Times New Roman"/>
      <w:szCs w:val="24"/>
    </w:rPr>
  </w:style>
  <w:style w:type="paragraph" w:customStyle="1" w:styleId="150">
    <w:name w:val="TOC 标题1"/>
    <w:basedOn w:val="2"/>
    <w:next w:val="1"/>
    <w:autoRedefine/>
    <w:qFormat/>
    <w:uiPriority w:val="39"/>
    <w:pPr>
      <w:keepLines/>
      <w:spacing w:before="48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autoRedefine/>
    <w:qFormat/>
    <w:uiPriority w:val="99"/>
    <w:pPr>
      <w:spacing w:line="440" w:lineRule="exact"/>
      <w:ind w:firstLine="412" w:firstLineChars="200"/>
    </w:pPr>
    <w:rPr>
      <w:rFonts w:ascii="宋体" w:hAnsi="宋体" w:cs="Times New Roman"/>
      <w:kern w:val="0"/>
      <w:sz w:val="20"/>
      <w:szCs w:val="20"/>
    </w:rPr>
  </w:style>
  <w:style w:type="character" w:customStyle="1" w:styleId="152">
    <w:name w:val="font41"/>
    <w:autoRedefine/>
    <w:qFormat/>
    <w:uiPriority w:val="99"/>
    <w:rPr>
      <w:rFonts w:hint="eastAsia" w:ascii="宋体" w:hAnsi="宋体" w:eastAsia="宋体" w:cs="宋体"/>
      <w:b/>
      <w:color w:val="000000"/>
      <w:sz w:val="22"/>
      <w:szCs w:val="22"/>
      <w:u w:val="none"/>
    </w:rPr>
  </w:style>
  <w:style w:type="character" w:customStyle="1" w:styleId="153">
    <w:name w:val="font81"/>
    <w:basedOn w:val="43"/>
    <w:autoRedefine/>
    <w:qFormat/>
    <w:uiPriority w:val="99"/>
    <w:rPr>
      <w:rFonts w:hint="eastAsia" w:ascii="宋体" w:hAnsi="宋体" w:eastAsia="宋体" w:cs="宋体"/>
      <w:b/>
      <w:color w:val="000000"/>
      <w:sz w:val="22"/>
      <w:szCs w:val="22"/>
      <w:u w:val="none"/>
    </w:rPr>
  </w:style>
  <w:style w:type="character" w:customStyle="1" w:styleId="154">
    <w:name w:val="font21"/>
    <w:autoRedefine/>
    <w:qFormat/>
    <w:uiPriority w:val="0"/>
    <w:rPr>
      <w:rFonts w:hint="eastAsia" w:ascii="宋体" w:hAnsi="宋体" w:eastAsia="宋体" w:cs="宋体"/>
      <w:color w:val="000000"/>
      <w:sz w:val="18"/>
      <w:szCs w:val="18"/>
      <w:u w:val="none"/>
    </w:rPr>
  </w:style>
  <w:style w:type="character" w:customStyle="1" w:styleId="155">
    <w:name w:val="日期 字符"/>
    <w:link w:val="20"/>
    <w:autoRedefine/>
    <w:qFormat/>
    <w:uiPriority w:val="0"/>
    <w:rPr>
      <w:szCs w:val="21"/>
    </w:rPr>
  </w:style>
  <w:style w:type="character" w:customStyle="1" w:styleId="156">
    <w:name w:val="font01"/>
    <w:autoRedefine/>
    <w:qFormat/>
    <w:uiPriority w:val="99"/>
    <w:rPr>
      <w:rFonts w:hint="eastAsia" w:ascii="宋体" w:hAnsi="宋体" w:eastAsia="宋体" w:cs="宋体"/>
      <w:color w:val="000000"/>
      <w:sz w:val="22"/>
      <w:szCs w:val="22"/>
      <w:u w:val="none"/>
    </w:rPr>
  </w:style>
  <w:style w:type="character" w:customStyle="1" w:styleId="157">
    <w:name w:val="Char Char1"/>
    <w:autoRedefine/>
    <w:qFormat/>
    <w:uiPriority w:val="0"/>
    <w:rPr>
      <w:rFonts w:eastAsia="宋体"/>
      <w:kern w:val="2"/>
      <w:sz w:val="18"/>
      <w:szCs w:val="18"/>
      <w:lang w:val="en-US" w:eastAsia="zh-CN" w:bidi="ar-SA"/>
    </w:rPr>
  </w:style>
  <w:style w:type="character" w:customStyle="1" w:styleId="158">
    <w:name w:val="标题 字符"/>
    <w:link w:val="37"/>
    <w:autoRedefine/>
    <w:qFormat/>
    <w:uiPriority w:val="0"/>
    <w:rPr>
      <w:rFonts w:ascii="Cambria" w:hAnsi="Cambria" w:cs="Times New Roman"/>
      <w:b/>
      <w:bCs/>
      <w:sz w:val="32"/>
      <w:szCs w:val="32"/>
    </w:rPr>
  </w:style>
  <w:style w:type="character" w:customStyle="1" w:styleId="159">
    <w:name w:val="hei141"/>
    <w:autoRedefine/>
    <w:qFormat/>
    <w:uiPriority w:val="0"/>
    <w:rPr>
      <w:rFonts w:hint="eastAsia" w:ascii="宋体" w:hAnsi="宋体" w:eastAsia="宋体"/>
      <w:color w:val="000000"/>
      <w:sz w:val="19"/>
      <w:szCs w:val="19"/>
      <w:u w:val="none"/>
    </w:rPr>
  </w:style>
  <w:style w:type="character" w:customStyle="1" w:styleId="160">
    <w:name w:val="批注文字 字符"/>
    <w:link w:val="11"/>
    <w:autoRedefine/>
    <w:qFormat/>
    <w:uiPriority w:val="0"/>
  </w:style>
  <w:style w:type="character" w:customStyle="1" w:styleId="161">
    <w:name w:val="apple-style-span"/>
    <w:basedOn w:val="43"/>
    <w:autoRedefine/>
    <w:qFormat/>
    <w:uiPriority w:val="0"/>
  </w:style>
  <w:style w:type="character" w:customStyle="1" w:styleId="162">
    <w:name w:val="param-value"/>
    <w:autoRedefine/>
    <w:qFormat/>
    <w:uiPriority w:val="99"/>
    <w:rPr>
      <w:rFonts w:cs="Times New Roman"/>
    </w:rPr>
  </w:style>
  <w:style w:type="character" w:customStyle="1" w:styleId="163">
    <w:name w:val="font61"/>
    <w:autoRedefine/>
    <w:qFormat/>
    <w:uiPriority w:val="0"/>
    <w:rPr>
      <w:rFonts w:hint="eastAsia" w:ascii="宋体" w:hAnsi="宋体" w:eastAsia="宋体" w:cs="宋体"/>
      <w:color w:val="000000"/>
      <w:sz w:val="22"/>
      <w:szCs w:val="22"/>
      <w:u w:val="none"/>
    </w:rPr>
  </w:style>
  <w:style w:type="character" w:customStyle="1" w:styleId="164">
    <w:name w:val="font11"/>
    <w:autoRedefine/>
    <w:qFormat/>
    <w:uiPriority w:val="0"/>
    <w:rPr>
      <w:rFonts w:hint="eastAsia" w:ascii="宋体" w:hAnsi="宋体" w:eastAsia="宋体" w:cs="宋体"/>
      <w:color w:val="FF0000"/>
      <w:sz w:val="22"/>
      <w:szCs w:val="22"/>
      <w:u w:val="none"/>
    </w:rPr>
  </w:style>
  <w:style w:type="character" w:customStyle="1" w:styleId="165">
    <w:name w:val="批注主题 字符"/>
    <w:link w:val="38"/>
    <w:autoRedefine/>
    <w:qFormat/>
    <w:uiPriority w:val="0"/>
    <w:rPr>
      <w:b/>
      <w:bCs/>
    </w:rPr>
  </w:style>
  <w:style w:type="character" w:customStyle="1" w:styleId="166">
    <w:name w:val="批注文字 Char1"/>
    <w:basedOn w:val="43"/>
    <w:autoRedefine/>
    <w:qFormat/>
    <w:uiPriority w:val="99"/>
  </w:style>
  <w:style w:type="paragraph" w:customStyle="1" w:styleId="167">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autoRedefine/>
    <w:qFormat/>
    <w:uiPriority w:val="99"/>
    <w:rPr>
      <w:b/>
      <w:bCs/>
    </w:rPr>
  </w:style>
  <w:style w:type="paragraph" w:customStyle="1" w:styleId="169">
    <w:name w:val="reader-word-layer reader-word-s1-17"/>
    <w:basedOn w:val="1"/>
    <w:autoRedefine/>
    <w:qFormat/>
    <w:uiPriority w:val="0"/>
    <w:pPr>
      <w:widowControl/>
      <w:spacing w:before="100" w:beforeAutospacing="1" w:after="100" w:afterAutospacing="1"/>
      <w:jc w:val="left"/>
    </w:pPr>
    <w:rPr>
      <w:rFonts w:ascii="宋体" w:hAnsi="宋体"/>
      <w:kern w:val="0"/>
      <w:sz w:val="24"/>
      <w:szCs w:val="24"/>
    </w:rPr>
  </w:style>
  <w:style w:type="character" w:customStyle="1" w:styleId="170">
    <w:name w:val="日期 Char1"/>
    <w:basedOn w:val="43"/>
    <w:autoRedefine/>
    <w:qFormat/>
    <w:uiPriority w:val="99"/>
  </w:style>
  <w:style w:type="paragraph" w:customStyle="1" w:styleId="171">
    <w:name w:val="reader-word-layer reader-word-s1-14"/>
    <w:basedOn w:val="1"/>
    <w:autoRedefine/>
    <w:qFormat/>
    <w:uiPriority w:val="0"/>
    <w:pPr>
      <w:widowControl/>
      <w:spacing w:before="100" w:beforeAutospacing="1" w:after="100" w:afterAutospacing="1"/>
      <w:jc w:val="left"/>
    </w:pPr>
    <w:rPr>
      <w:rFonts w:ascii="宋体" w:hAnsi="宋体"/>
      <w:kern w:val="0"/>
      <w:sz w:val="24"/>
      <w:szCs w:val="24"/>
    </w:rPr>
  </w:style>
  <w:style w:type="character" w:customStyle="1" w:styleId="172">
    <w:name w:val="脚注文本 字符"/>
    <w:basedOn w:val="43"/>
    <w:link w:val="28"/>
    <w:autoRedefine/>
    <w:qFormat/>
    <w:uiPriority w:val="0"/>
    <w:rPr>
      <w:rFonts w:ascii="Times New Roman" w:hAnsi="Times New Roman" w:eastAsia="宋体" w:cs="Times New Roman"/>
      <w:sz w:val="18"/>
      <w:szCs w:val="18"/>
    </w:rPr>
  </w:style>
  <w:style w:type="paragraph" w:customStyle="1" w:styleId="173">
    <w:name w:val="reader-word-layer reader-word-s1-16"/>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74">
    <w:name w:val="reader-word-layer reader-word-s1-15"/>
    <w:basedOn w:val="1"/>
    <w:autoRedefine/>
    <w:qFormat/>
    <w:uiPriority w:val="0"/>
    <w:pPr>
      <w:widowControl/>
      <w:spacing w:before="100" w:beforeAutospacing="1" w:after="100" w:afterAutospacing="1"/>
      <w:jc w:val="left"/>
    </w:pPr>
    <w:rPr>
      <w:rFonts w:ascii="宋体" w:hAnsi="宋体"/>
      <w:kern w:val="0"/>
      <w:sz w:val="24"/>
      <w:szCs w:val="24"/>
    </w:rPr>
  </w:style>
  <w:style w:type="character" w:customStyle="1" w:styleId="175">
    <w:name w:val="标题 Char1"/>
    <w:basedOn w:val="43"/>
    <w:autoRedefine/>
    <w:qFormat/>
    <w:uiPriority w:val="10"/>
    <w:rPr>
      <w:rFonts w:ascii="Cambria" w:hAnsi="Cambria" w:eastAsia="宋体" w:cs="宋体"/>
      <w:b/>
      <w:bCs/>
      <w:sz w:val="32"/>
      <w:szCs w:val="32"/>
    </w:rPr>
  </w:style>
  <w:style w:type="paragraph" w:customStyle="1" w:styleId="176">
    <w:name w:val="本文正文"/>
    <w:basedOn w:val="1"/>
    <w:autoRedefine/>
    <w:qFormat/>
    <w:uiPriority w:val="0"/>
    <w:pPr>
      <w:widowControl/>
      <w:spacing w:line="480" w:lineRule="exact"/>
      <w:ind w:firstLine="200" w:firstLineChars="200"/>
      <w:jc w:val="left"/>
    </w:pPr>
    <w:rPr>
      <w:rFonts w:ascii="宋体" w:hAnsi="宋体" w:cs="Times New Roman"/>
      <w:kern w:val="0"/>
      <w:sz w:val="24"/>
      <w:szCs w:val="24"/>
    </w:rPr>
  </w:style>
  <w:style w:type="paragraph" w:customStyle="1" w:styleId="177">
    <w:name w:val="reader-word-layer reader-word-s1-18"/>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78">
    <w:name w:val="Char Char Char1 Char Char Char Char"/>
    <w:basedOn w:val="1"/>
    <w:autoRedefine/>
    <w:qFormat/>
    <w:uiPriority w:val="99"/>
    <w:pPr>
      <w:spacing w:line="300" w:lineRule="auto"/>
    </w:pPr>
    <w:rPr>
      <w:rFonts w:ascii="Tahoma" w:hAnsi="Tahoma" w:cs="Times New Roman"/>
      <w:sz w:val="24"/>
      <w:szCs w:val="24"/>
    </w:rPr>
  </w:style>
  <w:style w:type="paragraph" w:customStyle="1" w:styleId="179">
    <w:name w:val="Default"/>
    <w:autoRedefine/>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0">
    <w:name w:val="List Paragraph1"/>
    <w:basedOn w:val="1"/>
    <w:autoRedefine/>
    <w:qFormat/>
    <w:uiPriority w:val="0"/>
    <w:pPr>
      <w:ind w:firstLine="420" w:firstLineChars="200"/>
    </w:pPr>
    <w:rPr>
      <w:rFonts w:ascii="Times New Roman" w:hAnsi="Times New Roman" w:cs="Times New Roman"/>
      <w:szCs w:val="24"/>
    </w:rPr>
  </w:style>
  <w:style w:type="paragraph" w:customStyle="1" w:styleId="181">
    <w:name w:val="reader-word-layer reader-word-s1-1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82">
    <w:name w:val="reader-word-layer reader-word-s1-19"/>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83">
    <w:name w:val="reader-word-layer reader-word-s1-10"/>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84">
    <w:name w:val="Char Char4"/>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85">
    <w:name w:val="reader-word-layer"/>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86">
    <w:name w:val="Char Char4 Char Char"/>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87">
    <w:name w:val="列出段落3"/>
    <w:basedOn w:val="1"/>
    <w:autoRedefine/>
    <w:qFormat/>
    <w:uiPriority w:val="0"/>
    <w:pPr>
      <w:ind w:firstLine="420" w:firstLineChars="200"/>
    </w:pPr>
    <w:rPr>
      <w:rFonts w:ascii="Times New Roman" w:hAnsi="Times New Roman" w:cs="Times New Roman"/>
      <w:szCs w:val="24"/>
    </w:rPr>
  </w:style>
  <w:style w:type="character" w:customStyle="1" w:styleId="188">
    <w:name w:val="Char Char12"/>
    <w:autoRedefine/>
    <w:qFormat/>
    <w:uiPriority w:val="0"/>
    <w:rPr>
      <w:rFonts w:eastAsia="宋体"/>
      <w:kern w:val="2"/>
      <w:sz w:val="18"/>
      <w:szCs w:val="18"/>
      <w:lang w:val="en-US" w:eastAsia="zh-CN" w:bidi="ar-SA"/>
    </w:rPr>
  </w:style>
  <w:style w:type="paragraph" w:customStyle="1" w:styleId="189">
    <w:name w:val="Char Char42"/>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90">
    <w:name w:val="Char Char4 Char Char2"/>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91">
    <w:name w:val="列出段落4"/>
    <w:basedOn w:val="1"/>
    <w:autoRedefine/>
    <w:qFormat/>
    <w:uiPriority w:val="0"/>
    <w:pPr>
      <w:ind w:firstLine="420" w:firstLineChars="200"/>
    </w:pPr>
    <w:rPr>
      <w:rFonts w:ascii="Times New Roman" w:hAnsi="Times New Roman" w:cs="Times New Roman"/>
      <w:szCs w:val="24"/>
    </w:rPr>
  </w:style>
  <w:style w:type="character" w:customStyle="1" w:styleId="192">
    <w:name w:val="Char Char11"/>
    <w:autoRedefine/>
    <w:qFormat/>
    <w:uiPriority w:val="0"/>
    <w:rPr>
      <w:rFonts w:eastAsia="宋体"/>
      <w:kern w:val="2"/>
      <w:sz w:val="18"/>
      <w:szCs w:val="18"/>
      <w:lang w:val="en-US" w:eastAsia="zh-CN" w:bidi="ar-SA"/>
    </w:rPr>
  </w:style>
  <w:style w:type="paragraph" w:customStyle="1" w:styleId="193">
    <w:name w:val="Char Char41"/>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94">
    <w:name w:val="Char Char4 Char Char1"/>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195">
    <w:name w:val="列出段落5"/>
    <w:basedOn w:val="1"/>
    <w:autoRedefine/>
    <w:qFormat/>
    <w:uiPriority w:val="0"/>
    <w:pPr>
      <w:ind w:firstLine="420" w:firstLineChars="200"/>
    </w:pPr>
    <w:rPr>
      <w:rFonts w:ascii="Times New Roman" w:hAnsi="Times New Roman" w:cs="Times New Roman"/>
      <w:szCs w:val="24"/>
    </w:rPr>
  </w:style>
  <w:style w:type="character" w:customStyle="1" w:styleId="196">
    <w:name w:val="纯文本 字符"/>
    <w:link w:val="16"/>
    <w:autoRedefine/>
    <w:qFormat/>
    <w:uiPriority w:val="0"/>
    <w:rPr>
      <w:rFonts w:ascii="宋体" w:hAnsi="Courier New" w:eastAsia="宋体"/>
      <w:szCs w:val="21"/>
    </w:rPr>
  </w:style>
  <w:style w:type="character" w:customStyle="1" w:styleId="197">
    <w:name w:val="纯文本 Char1"/>
    <w:basedOn w:val="43"/>
    <w:autoRedefine/>
    <w:qFormat/>
    <w:uiPriority w:val="99"/>
    <w:rPr>
      <w:rFonts w:ascii="宋体" w:hAnsi="Courier New" w:eastAsia="宋体" w:cs="Courier New"/>
      <w:szCs w:val="21"/>
    </w:rPr>
  </w:style>
  <w:style w:type="paragraph" w:customStyle="1" w:styleId="198">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99">
    <w:name w:val="Table Paragraph"/>
    <w:basedOn w:val="1"/>
    <w:autoRedefine/>
    <w:qFormat/>
    <w:uiPriority w:val="1"/>
    <w:pPr>
      <w:autoSpaceDE w:val="0"/>
      <w:autoSpaceDN w:val="0"/>
      <w:jc w:val="left"/>
    </w:pPr>
    <w:rPr>
      <w:rFonts w:ascii="宋体" w:hAnsi="宋体"/>
      <w:kern w:val="0"/>
      <w:sz w:val="22"/>
    </w:rPr>
  </w:style>
  <w:style w:type="character" w:customStyle="1" w:styleId="200">
    <w:name w:val="正文首行缩进 2 字符"/>
    <w:basedOn w:val="67"/>
    <w:link w:val="40"/>
    <w:autoRedefine/>
    <w:semiHidden/>
    <w:qFormat/>
    <w:uiPriority w:val="99"/>
    <w:rPr>
      <w:rFonts w:ascii="Calibri" w:hAnsi="Calibri" w:eastAsia="宋体" w:cs="宋体"/>
      <w:kern w:val="2"/>
      <w:sz w:val="21"/>
      <w:szCs w:val="22"/>
    </w:rPr>
  </w:style>
  <w:style w:type="paragraph" w:customStyle="1" w:styleId="201">
    <w:name w:val="UserStyle_4"/>
    <w:basedOn w:val="1"/>
    <w:autoRedefine/>
    <w:qFormat/>
    <w:uiPriority w:val="0"/>
    <w:pPr>
      <w:widowControl/>
      <w:jc w:val="left"/>
      <w:textAlignment w:val="baseline"/>
    </w:pPr>
    <w:rPr>
      <w:rFonts w:ascii="宋体" w:hAnsi="宋体" w:cs="Times New Roman"/>
      <w:kern w:val="0"/>
      <w:sz w:val="22"/>
      <w:lang w:eastAsia="en-US"/>
    </w:rPr>
  </w:style>
  <w:style w:type="paragraph" w:customStyle="1" w:styleId="202">
    <w:name w:val="样式4"/>
    <w:basedOn w:val="1"/>
    <w:autoRedefine/>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character" w:customStyle="1" w:styleId="203">
    <w:name w:val="font51"/>
    <w:basedOn w:val="43"/>
    <w:autoRedefine/>
    <w:qFormat/>
    <w:uiPriority w:val="0"/>
    <w:rPr>
      <w:rFonts w:hint="eastAsia" w:ascii="宋体" w:hAnsi="宋体" w:eastAsia="宋体" w:cs="宋体"/>
      <w:color w:val="000000"/>
      <w:sz w:val="20"/>
      <w:szCs w:val="20"/>
      <w:u w:val="none"/>
    </w:rPr>
  </w:style>
  <w:style w:type="character" w:customStyle="1" w:styleId="204">
    <w:name w:val="font71"/>
    <w:basedOn w:val="43"/>
    <w:autoRedefine/>
    <w:qFormat/>
    <w:uiPriority w:val="0"/>
    <w:rPr>
      <w:rFonts w:hint="eastAsia" w:ascii="宋体" w:hAnsi="宋体" w:eastAsia="宋体" w:cs="宋体"/>
      <w:color w:val="000000"/>
      <w:sz w:val="20"/>
      <w:szCs w:val="20"/>
      <w:u w:val="none"/>
    </w:rPr>
  </w:style>
  <w:style w:type="paragraph" w:customStyle="1" w:styleId="205">
    <w:name w:val="正文_1_0"/>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06">
    <w:name w:val="未处理的提及1"/>
    <w:basedOn w:val="43"/>
    <w:autoRedefine/>
    <w:semiHidden/>
    <w:unhideWhenUsed/>
    <w:qFormat/>
    <w:uiPriority w:val="99"/>
    <w:rPr>
      <w:color w:val="605E5C"/>
      <w:shd w:val="clear" w:color="auto" w:fill="E1DFDD"/>
    </w:rPr>
  </w:style>
  <w:style w:type="paragraph" w:customStyle="1" w:styleId="207">
    <w:name w:val="正文缩进1"/>
    <w:basedOn w:val="1"/>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cs="Times New Roman"/>
      <w:sz w:val="24"/>
      <w:szCs w:val="21"/>
    </w:rPr>
  </w:style>
  <w:style w:type="character" w:customStyle="1" w:styleId="208">
    <w:name w:val="7）页眉页脚"/>
    <w:autoRedefine/>
    <w:qFormat/>
    <w:uiPriority w:val="0"/>
    <w:rPr>
      <w:rFonts w:ascii="仿宋_GB2312" w:eastAsia="仿宋_GB2312"/>
      <w:b/>
      <w:i/>
      <w:sz w:val="18"/>
      <w:vertAlign w:val="baseline"/>
    </w:rPr>
  </w:style>
  <w:style w:type="character" w:customStyle="1" w:styleId="209">
    <w:name w:val="font111"/>
    <w:basedOn w:val="43"/>
    <w:autoRedefine/>
    <w:qFormat/>
    <w:uiPriority w:val="0"/>
    <w:rPr>
      <w:rFonts w:hint="eastAsia" w:ascii="宋体" w:hAnsi="宋体" w:eastAsia="宋体" w:cs="宋体"/>
      <w:color w:val="000000"/>
      <w:sz w:val="22"/>
      <w:szCs w:val="22"/>
      <w:u w:val="none"/>
    </w:rPr>
  </w:style>
  <w:style w:type="paragraph" w:customStyle="1" w:styleId="210">
    <w:name w:val="纯文本1"/>
    <w:basedOn w:val="1"/>
    <w:autoRedefine/>
    <w:qFormat/>
    <w:uiPriority w:val="0"/>
    <w:rPr>
      <w:rFonts w:ascii="宋体" w:hAnsi="Courier New" w:cs="Courier New"/>
      <w:szCs w:val="21"/>
    </w:rPr>
  </w:style>
  <w:style w:type="character" w:customStyle="1" w:styleId="211">
    <w:name w:val="f正文"/>
    <w:autoRedefine/>
    <w:qFormat/>
    <w:uiPriority w:val="0"/>
    <w:rPr>
      <w:rFonts w:ascii="Times New Roman" w:hAnsi="仿宋" w:eastAsia="仿宋" w:cs="仿宋"/>
      <w:sz w:val="28"/>
    </w:rPr>
  </w:style>
  <w:style w:type="paragraph" w:customStyle="1" w:styleId="212">
    <w:name w:val="myS"/>
    <w:autoRedefine/>
    <w:qFormat/>
    <w:uiPriority w:val="0"/>
    <w:pPr>
      <w:wordWrap w:val="0"/>
      <w:overflowPunct w:val="0"/>
      <w:spacing w:line="480" w:lineRule="exact"/>
      <w:ind w:firstLine="200" w:firstLineChars="200"/>
    </w:pPr>
    <w:rPr>
      <w:rFonts w:ascii="Calibri" w:hAnsi="Calibri" w:eastAsia="宋体" w:cs="Times New Roman"/>
      <w:kern w:val="2"/>
      <w:sz w:val="21"/>
      <w:szCs w:val="22"/>
      <w:lang w:val="en-US" w:eastAsia="zh-CN" w:bidi="ar-SA"/>
    </w:rPr>
  </w:style>
  <w:style w:type="paragraph" w:customStyle="1" w:styleId="213">
    <w:name w:val="正文2"/>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WPSOffice手动目录 1"/>
    <w:autoRedefine/>
    <w:qFormat/>
    <w:uiPriority w:val="0"/>
    <w:rPr>
      <w:rFonts w:ascii="Times New Roman" w:hAnsi="Times New Roman" w:eastAsia="宋体" w:cs="Times New Roman"/>
      <w:lang w:val="en-US" w:eastAsia="zh-CN" w:bidi="ar-SA"/>
    </w:rPr>
  </w:style>
  <w:style w:type="paragraph" w:customStyle="1" w:styleId="215">
    <w:name w:val="Table Text"/>
    <w:basedOn w:val="1"/>
    <w:autoRedefine/>
    <w:semiHidden/>
    <w:qFormat/>
    <w:uiPriority w:val="0"/>
    <w:rPr>
      <w:rFonts w:ascii="宋体" w:hAnsi="宋体"/>
      <w:sz w:val="24"/>
      <w:szCs w:val="24"/>
      <w:lang w:eastAsia="en-US"/>
    </w:rPr>
  </w:style>
  <w:style w:type="table" w:customStyle="1" w:styleId="216">
    <w:name w:val="Table Normal"/>
    <w:autoRedefine/>
    <w:semiHidden/>
    <w:unhideWhenUsed/>
    <w:qFormat/>
    <w:uiPriority w:val="0"/>
    <w:tblPr>
      <w:tblCellMar>
        <w:top w:w="0" w:type="dxa"/>
        <w:left w:w="0" w:type="dxa"/>
        <w:bottom w:w="0" w:type="dxa"/>
        <w:right w:w="0" w:type="dxa"/>
      </w:tblCellMar>
    </w:tblPr>
  </w:style>
  <w:style w:type="character" w:customStyle="1" w:styleId="217">
    <w:name w:val="font31"/>
    <w:basedOn w:val="43"/>
    <w:autoRedefine/>
    <w:qFormat/>
    <w:uiPriority w:val="0"/>
    <w:rPr>
      <w:rFonts w:hint="eastAsia" w:ascii="宋体" w:hAnsi="宋体" w:eastAsia="宋体" w:cs="宋体"/>
      <w:color w:val="000000"/>
      <w:sz w:val="22"/>
      <w:szCs w:val="22"/>
      <w:u w:val="none"/>
    </w:rPr>
  </w:style>
  <w:style w:type="paragraph" w:customStyle="1" w:styleId="218">
    <w:name w:val="索引 11"/>
    <w:basedOn w:val="1"/>
    <w:next w:val="1"/>
    <w:autoRedefine/>
    <w:qFormat/>
    <w:uiPriority w:val="0"/>
    <w:pPr>
      <w:spacing w:line="360" w:lineRule="auto"/>
    </w:pPr>
    <w:rPr>
      <w:rFonts w:ascii="仿宋_GB2312" w:eastAsia="仿宋_GB2312"/>
      <w:sz w:val="24"/>
      <w:szCs w:val="20"/>
    </w:rPr>
  </w:style>
  <w:style w:type="paragraph" w:customStyle="1" w:styleId="21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0">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221">
    <w:name w:val="正文文本1"/>
    <w:basedOn w:val="1"/>
    <w:autoRedefine/>
    <w:qFormat/>
    <w:uiPriority w:val="0"/>
    <w:pPr>
      <w:spacing w:after="480" w:line="444" w:lineRule="auto"/>
      <w:ind w:firstLine="400"/>
    </w:pPr>
    <w:rPr>
      <w:rFonts w:ascii="宋体" w:hAnsi="宋体"/>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DEE0D-2464-4B47-96C5-67E8F9F9518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110</Pages>
  <Words>6635</Words>
  <Characters>37820</Characters>
  <Lines>315</Lines>
  <Paragraphs>88</Paragraphs>
  <TotalTime>13</TotalTime>
  <ScaleCrop>false</ScaleCrop>
  <LinksUpToDate>false</LinksUpToDate>
  <CharactersWithSpaces>44367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2024-03-26T09:16:00Z</dcterms:created>
  <dc:creator>WHB</dc:creator>
  <cp:lastModifiedBy>A58  -zby</cp:lastModifiedBy>
  <cp:lastPrinted>2023-12-20T04:42:00Z</cp:lastPrinted>
  <dcterms:modified xsi:type="dcterms:W3CDTF">2024-04-11T10:10:18Z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E8BDF9670B6E4846ABEA087648BBF725_13</vt:lpwstr>
  </property>
</Properties>
</file>